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24B0F" w14:textId="77777777" w:rsidR="00274E98" w:rsidRDefault="00274E98" w:rsidP="00685B35">
      <w:pPr>
        <w:pStyle w:val="Documentsubtitle"/>
        <w:spacing w:before="920"/>
      </w:pPr>
    </w:p>
    <w:p w14:paraId="683875B5" w14:textId="77777777" w:rsidR="00274E98" w:rsidRDefault="00274E98" w:rsidP="00685B35">
      <w:pPr>
        <w:pStyle w:val="Documentsubtitle"/>
        <w:spacing w:before="920"/>
      </w:pPr>
    </w:p>
    <w:p w14:paraId="362001B6" w14:textId="77777777" w:rsidR="00274E98" w:rsidRDefault="00274E98" w:rsidP="00685B35">
      <w:pPr>
        <w:pStyle w:val="Documentsubtitle"/>
        <w:spacing w:before="920"/>
      </w:pPr>
    </w:p>
    <w:p w14:paraId="5946EAA5" w14:textId="6E3AD978" w:rsidR="00424468" w:rsidRPr="00A1389F" w:rsidRDefault="004F3CF5" w:rsidP="00685B35">
      <w:pPr>
        <w:pStyle w:val="Documentsubtitle"/>
        <w:spacing w:before="920"/>
      </w:pPr>
      <w:r>
        <w:rPr>
          <w:noProof/>
        </w:rPr>
        <w:drawing>
          <wp:anchor distT="0" distB="0" distL="114300" distR="114300" simplePos="0" relativeHeight="251658240" behindDoc="1" locked="1" layoutInCell="1" allowOverlap="0" wp14:anchorId="5D0D7BA3" wp14:editId="1C231B1B">
            <wp:simplePos x="0" y="0"/>
            <wp:positionH relativeFrom="page">
              <wp:align>right</wp:align>
            </wp:positionH>
            <wp:positionV relativeFrom="margin">
              <wp:align>center</wp:align>
            </wp:positionV>
            <wp:extent cx="7552690" cy="10675620"/>
            <wp:effectExtent l="0" t="0" r="0" b="0"/>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2690" cy="10675620"/>
                    </a:xfrm>
                    <a:prstGeom prst="rect">
                      <a:avLst/>
                    </a:prstGeom>
                  </pic:spPr>
                </pic:pic>
              </a:graphicData>
            </a:graphic>
            <wp14:sizeRelH relativeFrom="margin">
              <wp14:pctWidth>0</wp14:pctWidth>
            </wp14:sizeRelH>
            <wp14:sizeRelV relativeFrom="margin">
              <wp14:pctHeight>0</wp14:pctHeight>
            </wp14:sizeRelV>
          </wp:anchor>
        </w:drawing>
      </w:r>
      <w:r w:rsidR="00424468">
        <w:t>Po</w:t>
      </w:r>
      <w:r w:rsidR="00424468" w:rsidRPr="000B27B9">
        <w:t xml:space="preserve">licy and </w:t>
      </w:r>
      <w:r w:rsidR="00424468">
        <w:t>f</w:t>
      </w:r>
      <w:r w:rsidR="00424468" w:rsidRPr="000B27B9">
        <w:t xml:space="preserve">unding </w:t>
      </w:r>
      <w:r w:rsidR="00424468">
        <w:t>g</w:t>
      </w:r>
      <w:r w:rsidR="00424468" w:rsidRPr="009C35D2">
        <w:t>uidelines</w:t>
      </w:r>
      <w:r w:rsidR="00424468" w:rsidRPr="000B27B9">
        <w:t xml:space="preserve"> </w:t>
      </w:r>
      <w:r w:rsidR="00424468" w:rsidRPr="009C35D2">
        <w:t>202</w:t>
      </w:r>
      <w:r w:rsidR="00424468">
        <w:t>3–24</w:t>
      </w:r>
    </w:p>
    <w:p w14:paraId="10A4A585" w14:textId="62B5BB97" w:rsidR="00424468" w:rsidRDefault="00424468" w:rsidP="00424468">
      <w:pPr>
        <w:pStyle w:val="Documenttitle"/>
      </w:pPr>
      <w:r>
        <w:t>Funding rules</w:t>
      </w:r>
    </w:p>
    <w:p w14:paraId="544D85A5" w14:textId="51A1065A" w:rsidR="001652EC" w:rsidRDefault="00424468" w:rsidP="00685B35">
      <w:pPr>
        <w:pStyle w:val="Body"/>
        <w:rPr>
          <w:lang w:val="en-US"/>
        </w:rPr>
      </w:pPr>
      <w:r>
        <w:t>This document sets out the</w:t>
      </w:r>
      <w:r w:rsidRPr="00491158">
        <w:t xml:space="preserve"> financial parameters</w:t>
      </w:r>
      <w:r>
        <w:t xml:space="preserve"> – and </w:t>
      </w:r>
      <w:r w:rsidRPr="00491158">
        <w:t>specifically</w:t>
      </w:r>
      <w:r>
        <w:t>,</w:t>
      </w:r>
      <w:r w:rsidRPr="00491158">
        <w:t xml:space="preserve"> the detailed pricing and</w:t>
      </w:r>
      <w:r>
        <w:t xml:space="preserve"> </w:t>
      </w:r>
      <w:r w:rsidRPr="00491158">
        <w:t>budgetary targets</w:t>
      </w:r>
      <w:r>
        <w:t xml:space="preserve"> – </w:t>
      </w:r>
      <w:r w:rsidRPr="00491158">
        <w:t xml:space="preserve">that funded organisations </w:t>
      </w:r>
      <w:r>
        <w:t>will</w:t>
      </w:r>
      <w:r w:rsidRPr="00491158">
        <w:t xml:space="preserve"> </w:t>
      </w:r>
      <w:r>
        <w:t xml:space="preserve">use </w:t>
      </w:r>
      <w:r w:rsidRPr="00491158">
        <w:t>to achieve the Victorian Government’s outcomes.</w:t>
      </w:r>
    </w:p>
    <w:p w14:paraId="67F0FED3" w14:textId="3015469B" w:rsidR="00424468" w:rsidRDefault="00424468">
      <w:pPr>
        <w:spacing w:after="0" w:line="240" w:lineRule="auto"/>
        <w:rPr>
          <w:lang w:val="en-US"/>
        </w:rPr>
        <w:sectPr w:rsidR="00424468" w:rsidSect="00903B70">
          <w:headerReference w:type="even" r:id="rId12"/>
          <w:headerReference w:type="default" r:id="rId13"/>
          <w:footerReference w:type="even" r:id="rId14"/>
          <w:footerReference w:type="default" r:id="rId15"/>
          <w:headerReference w:type="first" r:id="rId16"/>
          <w:footerReference w:type="first" r:id="rId17"/>
          <w:pgSz w:w="11906" w:h="16838" w:code="9"/>
          <w:pgMar w:top="1135" w:right="1304" w:bottom="993" w:left="1304" w:header="680" w:footer="567" w:gutter="0"/>
          <w:pgNumType w:fmt="lowerRoman"/>
          <w:cols w:space="340"/>
          <w:titlePg/>
          <w:docGrid w:linePitch="360"/>
        </w:sectPr>
      </w:pPr>
    </w:p>
    <w:p w14:paraId="74F9E2BC" w14:textId="53A8E663" w:rsidR="00774811" w:rsidRDefault="00494760" w:rsidP="00685B35">
      <w:pPr>
        <w:pStyle w:val="Accessibilitypara"/>
        <w:spacing w:before="8000"/>
      </w:pPr>
      <w:r w:rsidRPr="000F3F7F">
        <w:rPr>
          <w:lang w:val="en-US"/>
        </w:rPr>
        <w:lastRenderedPageBreak/>
        <w:t>To receive this publication in an accessible format</w:t>
      </w:r>
      <w:r w:rsidR="00E7609D">
        <w:rPr>
          <w:lang w:val="en-US"/>
        </w:rPr>
        <w:t xml:space="preserve"> email </w:t>
      </w:r>
      <w:hyperlink r:id="rId18" w:history="1">
        <w:r w:rsidR="00741904">
          <w:rPr>
            <w:rStyle w:val="Hyperlink"/>
          </w:rPr>
          <w:t>Commissioning and System Improvement; Accountability</w:t>
        </w:r>
      </w:hyperlink>
      <w:r w:rsidR="00741904">
        <w:rPr>
          <w:rStyle w:val="Hyperlink"/>
        </w:rPr>
        <w:t xml:space="preserve"> on</w:t>
      </w:r>
      <w:r w:rsidR="00741904">
        <w:t xml:space="preserve"> &lt;Accountability</w:t>
      </w:r>
      <w:r w:rsidR="00741904" w:rsidRPr="00E41295">
        <w:t>@</w:t>
      </w:r>
      <w:r w:rsidR="00741904">
        <w:t>health</w:t>
      </w:r>
      <w:r w:rsidR="00741904" w:rsidRPr="00E41295">
        <w:t>.vic.gov.au</w:t>
      </w:r>
      <w:r w:rsidR="00741904">
        <w:t>&gt;.</w:t>
      </w:r>
    </w:p>
    <w:p w14:paraId="3B518EAE" w14:textId="0F4213AF" w:rsidR="00494760" w:rsidRPr="00741904" w:rsidRDefault="00494760" w:rsidP="00741904">
      <w:pPr>
        <w:pStyle w:val="DHHSaccessibilitypara"/>
      </w:pPr>
      <w:r w:rsidRPr="00903B70">
        <w:rPr>
          <w:sz w:val="20"/>
        </w:rPr>
        <w:t>Authorised and published by the Victorian Government, 1 Treasury Place, Melbourne.</w:t>
      </w:r>
    </w:p>
    <w:p w14:paraId="42DB781C" w14:textId="15E4CAED" w:rsidR="00494760" w:rsidRPr="00903B70" w:rsidRDefault="00494760" w:rsidP="3D00DAF1">
      <w:pPr>
        <w:pStyle w:val="Body"/>
        <w:rPr>
          <w:sz w:val="20"/>
        </w:rPr>
      </w:pPr>
      <w:r w:rsidRPr="3D00DAF1">
        <w:rPr>
          <w:sz w:val="20"/>
        </w:rPr>
        <w:t xml:space="preserve">© State of Victoria, Department of Health, </w:t>
      </w:r>
      <w:r w:rsidR="0002212C">
        <w:rPr>
          <w:sz w:val="20"/>
        </w:rPr>
        <w:t xml:space="preserve">February </w:t>
      </w:r>
      <w:r w:rsidR="00084A83" w:rsidRPr="0002212C">
        <w:rPr>
          <w:sz w:val="20"/>
        </w:rPr>
        <w:t>202</w:t>
      </w:r>
      <w:r w:rsidR="0002212C" w:rsidRPr="0002212C">
        <w:rPr>
          <w:sz w:val="20"/>
        </w:rPr>
        <w:t>4</w:t>
      </w:r>
      <w:r w:rsidRPr="0002212C">
        <w:rPr>
          <w:sz w:val="20"/>
        </w:rPr>
        <w:t>.</w:t>
      </w:r>
    </w:p>
    <w:p w14:paraId="04159040" w14:textId="77777777" w:rsidR="007E108B" w:rsidRPr="00903B70" w:rsidRDefault="007E108B" w:rsidP="007E108B">
      <w:pPr>
        <w:pStyle w:val="Imprint"/>
        <w:rPr>
          <w:color w:val="auto"/>
        </w:rPr>
      </w:pPr>
      <w:r w:rsidRPr="00903B70">
        <w:rPr>
          <w:color w:val="auto"/>
        </w:rPr>
        <w:t>In this document, ‘Aboriginal’ refers to both Aboriginal and Torres Strait Islander people. ‘Indigenous’ or ‘Koori/Koorie’ is retained when part of the title of a report, program or quotation</w:t>
      </w:r>
      <w:r w:rsidRPr="00903B70">
        <w:t>.</w:t>
      </w:r>
    </w:p>
    <w:p w14:paraId="0779A70C" w14:textId="411807E3" w:rsidR="00494760" w:rsidRPr="00903B70" w:rsidRDefault="00494760" w:rsidP="00B92CD4">
      <w:pPr>
        <w:pStyle w:val="Body"/>
        <w:rPr>
          <w:sz w:val="20"/>
          <w:lang w:val="en-US"/>
        </w:rPr>
      </w:pPr>
      <w:r w:rsidRPr="00C45C95">
        <w:rPr>
          <w:sz w:val="20"/>
          <w:lang w:val="en-US"/>
        </w:rPr>
        <w:t xml:space="preserve">ISSN </w:t>
      </w:r>
      <w:r w:rsidR="007E6E59" w:rsidRPr="00C45C95">
        <w:rPr>
          <w:rFonts w:cs="Arial"/>
          <w:color w:val="000000"/>
          <w:sz w:val="20"/>
        </w:rPr>
        <w:t>2653-4207</w:t>
      </w:r>
      <w:r w:rsidRPr="00C45C95">
        <w:rPr>
          <w:sz w:val="20"/>
          <w:lang w:val="en-US"/>
        </w:rPr>
        <w:t xml:space="preserve"> (online)</w:t>
      </w:r>
    </w:p>
    <w:p w14:paraId="610A3553" w14:textId="23CCF407" w:rsidR="000F1413" w:rsidRDefault="000F1413" w:rsidP="000F1413">
      <w:pPr>
        <w:pStyle w:val="Imprint"/>
      </w:pPr>
      <w:bookmarkStart w:id="0" w:name="_Toc96525158"/>
      <w:bookmarkStart w:id="1" w:name="_Toc100263255"/>
      <w:r w:rsidRPr="00903B70">
        <w:rPr>
          <w:lang w:val="en-US"/>
        </w:rPr>
        <w:t xml:space="preserve">Available on the </w:t>
      </w:r>
      <w:hyperlink r:id="rId19" w:history="1">
        <w:r w:rsidRPr="00903B70">
          <w:rPr>
            <w:rStyle w:val="Hyperlink"/>
            <w:lang w:val="en-US"/>
          </w:rPr>
          <w:t>Policy and Funding Guidelines webpage</w:t>
        </w:r>
      </w:hyperlink>
      <w:r w:rsidRPr="00903B70">
        <w:rPr>
          <w:lang w:val="en-US"/>
        </w:rPr>
        <w:t xml:space="preserve"> &lt;https://www.health.vic.gov.au/policy-and-funding-guidelines-for-health-services&gt;.</w:t>
      </w:r>
      <w:r w:rsidR="00E835BA" w:rsidRPr="00E835BA">
        <w:t xml:space="preserve"> </w:t>
      </w:r>
    </w:p>
    <w:p w14:paraId="0E1845A0" w14:textId="77777777" w:rsidR="00E835BA" w:rsidRPr="00903B70" w:rsidRDefault="00E835BA" w:rsidP="000F1413">
      <w:pPr>
        <w:pStyle w:val="Imprint"/>
        <w:rPr>
          <w:lang w:val="en-US"/>
        </w:rPr>
      </w:pPr>
    </w:p>
    <w:p w14:paraId="1FCE8320" w14:textId="77777777" w:rsidR="000B27B9" w:rsidRPr="00ED6DDD" w:rsidRDefault="000B27B9" w:rsidP="00E02B46">
      <w:pPr>
        <w:pStyle w:val="Heading1"/>
        <w:numPr>
          <w:ilvl w:val="0"/>
          <w:numId w:val="0"/>
        </w:numPr>
      </w:pPr>
      <w:bookmarkStart w:id="2" w:name="_Toc156569568"/>
      <w:r w:rsidRPr="00ED6DDD">
        <w:lastRenderedPageBreak/>
        <w:t>Contents</w:t>
      </w:r>
      <w:bookmarkEnd w:id="0"/>
      <w:bookmarkEnd w:id="1"/>
      <w:bookmarkEnd w:id="2"/>
    </w:p>
    <w:p w14:paraId="5C50A9AA" w14:textId="358B9BCC" w:rsidR="009619D9" w:rsidRDefault="000B27B9">
      <w:pPr>
        <w:pStyle w:val="TOC1"/>
        <w:rPr>
          <w:rFonts w:asciiTheme="minorHAnsi" w:eastAsiaTheme="minorEastAsia" w:hAnsiTheme="minorHAnsi" w:cstheme="minorBidi"/>
          <w:b w:val="0"/>
          <w:sz w:val="22"/>
          <w:szCs w:val="22"/>
          <w:lang w:eastAsia="en-AU"/>
        </w:rPr>
      </w:pPr>
      <w:r>
        <w:rPr>
          <w:caps/>
        </w:rPr>
        <w:fldChar w:fldCharType="begin"/>
      </w:r>
      <w:r>
        <w:rPr>
          <w:caps/>
        </w:rPr>
        <w:instrText xml:space="preserve"> TOC \o "1-3" \h \z \u </w:instrText>
      </w:r>
      <w:r>
        <w:rPr>
          <w:caps/>
        </w:rPr>
        <w:fldChar w:fldCharType="separate"/>
      </w:r>
      <w:hyperlink w:anchor="_Toc156569568" w:history="1">
        <w:r w:rsidR="009619D9" w:rsidRPr="00840063">
          <w:rPr>
            <w:rStyle w:val="Hyperlink"/>
          </w:rPr>
          <w:t>Contents</w:t>
        </w:r>
        <w:r w:rsidR="009619D9">
          <w:rPr>
            <w:webHidden/>
          </w:rPr>
          <w:tab/>
        </w:r>
        <w:r w:rsidR="009619D9">
          <w:rPr>
            <w:webHidden/>
          </w:rPr>
          <w:fldChar w:fldCharType="begin"/>
        </w:r>
        <w:r w:rsidR="009619D9">
          <w:rPr>
            <w:webHidden/>
          </w:rPr>
          <w:instrText xml:space="preserve"> PAGEREF _Toc156569568 \h </w:instrText>
        </w:r>
        <w:r w:rsidR="009619D9">
          <w:rPr>
            <w:webHidden/>
          </w:rPr>
        </w:r>
        <w:r w:rsidR="009619D9">
          <w:rPr>
            <w:webHidden/>
          </w:rPr>
          <w:fldChar w:fldCharType="separate"/>
        </w:r>
        <w:r w:rsidR="009619D9">
          <w:rPr>
            <w:webHidden/>
          </w:rPr>
          <w:t>iii</w:t>
        </w:r>
        <w:r w:rsidR="009619D9">
          <w:rPr>
            <w:webHidden/>
          </w:rPr>
          <w:fldChar w:fldCharType="end"/>
        </w:r>
      </w:hyperlink>
    </w:p>
    <w:p w14:paraId="1D89D359" w14:textId="27A4151B" w:rsidR="009619D9" w:rsidRDefault="00000000">
      <w:pPr>
        <w:pStyle w:val="TOC1"/>
        <w:rPr>
          <w:rFonts w:asciiTheme="minorHAnsi" w:eastAsiaTheme="minorEastAsia" w:hAnsiTheme="minorHAnsi" w:cstheme="minorBidi"/>
          <w:b w:val="0"/>
          <w:sz w:val="22"/>
          <w:szCs w:val="22"/>
          <w:lang w:eastAsia="en-AU"/>
        </w:rPr>
      </w:pPr>
      <w:hyperlink w:anchor="_Toc156569569" w:history="1">
        <w:r w:rsidR="009619D9" w:rsidRPr="00840063">
          <w:rPr>
            <w:rStyle w:val="Hyperlink"/>
          </w:rPr>
          <w:t xml:space="preserve">Overview of the </w:t>
        </w:r>
        <w:r w:rsidR="009619D9" w:rsidRPr="00840063">
          <w:rPr>
            <w:rStyle w:val="Hyperlink"/>
            <w:i/>
          </w:rPr>
          <w:t xml:space="preserve">Policy and </w:t>
        </w:r>
        <w:r w:rsidR="009619D9" w:rsidRPr="00840063">
          <w:rPr>
            <w:rStyle w:val="Hyperlink"/>
            <w:i/>
            <w:iCs/>
          </w:rPr>
          <w:t>funding guidelines</w:t>
        </w:r>
        <w:r w:rsidR="009619D9" w:rsidRPr="00840063">
          <w:rPr>
            <w:rStyle w:val="Hyperlink"/>
          </w:rPr>
          <w:t xml:space="preserve"> </w:t>
        </w:r>
        <w:r w:rsidR="009619D9" w:rsidRPr="00840063">
          <w:rPr>
            <w:rStyle w:val="Hyperlink"/>
            <w:i/>
          </w:rPr>
          <w:t>202</w:t>
        </w:r>
        <w:r w:rsidR="009619D9" w:rsidRPr="00840063">
          <w:rPr>
            <w:rStyle w:val="Hyperlink"/>
            <w:i/>
            <w:iCs/>
          </w:rPr>
          <w:t>3–24</w:t>
        </w:r>
        <w:r w:rsidR="009619D9">
          <w:rPr>
            <w:webHidden/>
          </w:rPr>
          <w:tab/>
        </w:r>
        <w:r w:rsidR="009619D9">
          <w:rPr>
            <w:webHidden/>
          </w:rPr>
          <w:fldChar w:fldCharType="begin"/>
        </w:r>
        <w:r w:rsidR="009619D9">
          <w:rPr>
            <w:webHidden/>
          </w:rPr>
          <w:instrText xml:space="preserve"> PAGEREF _Toc156569569 \h </w:instrText>
        </w:r>
        <w:r w:rsidR="009619D9">
          <w:rPr>
            <w:webHidden/>
          </w:rPr>
        </w:r>
        <w:r w:rsidR="009619D9">
          <w:rPr>
            <w:webHidden/>
          </w:rPr>
          <w:fldChar w:fldCharType="separate"/>
        </w:r>
        <w:r w:rsidR="009619D9">
          <w:rPr>
            <w:webHidden/>
          </w:rPr>
          <w:t>1</w:t>
        </w:r>
        <w:r w:rsidR="009619D9">
          <w:rPr>
            <w:webHidden/>
          </w:rPr>
          <w:fldChar w:fldCharType="end"/>
        </w:r>
      </w:hyperlink>
    </w:p>
    <w:p w14:paraId="4B7DC916" w14:textId="07F87059" w:rsidR="009619D9" w:rsidRDefault="00000000">
      <w:pPr>
        <w:pStyle w:val="TOC2"/>
        <w:rPr>
          <w:rFonts w:asciiTheme="minorHAnsi" w:eastAsiaTheme="minorEastAsia" w:hAnsiTheme="minorHAnsi" w:cstheme="minorBidi"/>
          <w:b w:val="0"/>
          <w:bCs w:val="0"/>
          <w:sz w:val="22"/>
          <w:szCs w:val="22"/>
          <w:lang w:eastAsia="en-AU"/>
        </w:rPr>
      </w:pPr>
      <w:hyperlink w:anchor="_Toc156569570" w:history="1">
        <w:r w:rsidR="009619D9" w:rsidRPr="00840063">
          <w:rPr>
            <w:rStyle w:val="Hyperlink"/>
            <w:rFonts w:eastAsia="MS Gothic"/>
          </w:rPr>
          <w:t>Policy guide</w:t>
        </w:r>
        <w:r w:rsidR="009619D9">
          <w:rPr>
            <w:webHidden/>
          </w:rPr>
          <w:tab/>
        </w:r>
        <w:r w:rsidR="009619D9">
          <w:rPr>
            <w:webHidden/>
          </w:rPr>
          <w:fldChar w:fldCharType="begin"/>
        </w:r>
        <w:r w:rsidR="009619D9">
          <w:rPr>
            <w:webHidden/>
          </w:rPr>
          <w:instrText xml:space="preserve"> PAGEREF _Toc156569570 \h </w:instrText>
        </w:r>
        <w:r w:rsidR="009619D9">
          <w:rPr>
            <w:webHidden/>
          </w:rPr>
        </w:r>
        <w:r w:rsidR="009619D9">
          <w:rPr>
            <w:webHidden/>
          </w:rPr>
          <w:fldChar w:fldCharType="separate"/>
        </w:r>
        <w:r w:rsidR="009619D9">
          <w:rPr>
            <w:webHidden/>
          </w:rPr>
          <w:t>1</w:t>
        </w:r>
        <w:r w:rsidR="009619D9">
          <w:rPr>
            <w:webHidden/>
          </w:rPr>
          <w:fldChar w:fldCharType="end"/>
        </w:r>
      </w:hyperlink>
    </w:p>
    <w:p w14:paraId="33981CF8" w14:textId="2CA8C80F" w:rsidR="009619D9" w:rsidRDefault="00000000">
      <w:pPr>
        <w:pStyle w:val="TOC3"/>
        <w:rPr>
          <w:rFonts w:asciiTheme="minorHAnsi" w:eastAsiaTheme="minorEastAsia" w:hAnsiTheme="minorHAnsi" w:cstheme="minorBidi"/>
          <w:noProof/>
          <w:sz w:val="22"/>
          <w:szCs w:val="22"/>
          <w:lang w:eastAsia="en-AU"/>
        </w:rPr>
      </w:pPr>
      <w:hyperlink w:anchor="_Toc156569571" w:history="1">
        <w:r w:rsidR="009619D9" w:rsidRPr="00840063">
          <w:rPr>
            <w:rStyle w:val="Hyperlink"/>
            <w:noProof/>
          </w:rPr>
          <w:t>Part 1: Operational and service delivery policy</w:t>
        </w:r>
        <w:r w:rsidR="009619D9">
          <w:rPr>
            <w:noProof/>
            <w:webHidden/>
          </w:rPr>
          <w:tab/>
        </w:r>
        <w:r w:rsidR="009619D9">
          <w:rPr>
            <w:noProof/>
            <w:webHidden/>
          </w:rPr>
          <w:fldChar w:fldCharType="begin"/>
        </w:r>
        <w:r w:rsidR="009619D9">
          <w:rPr>
            <w:noProof/>
            <w:webHidden/>
          </w:rPr>
          <w:instrText xml:space="preserve"> PAGEREF _Toc156569571 \h </w:instrText>
        </w:r>
        <w:r w:rsidR="009619D9">
          <w:rPr>
            <w:noProof/>
            <w:webHidden/>
          </w:rPr>
        </w:r>
        <w:r w:rsidR="009619D9">
          <w:rPr>
            <w:noProof/>
            <w:webHidden/>
          </w:rPr>
          <w:fldChar w:fldCharType="separate"/>
        </w:r>
        <w:r w:rsidR="009619D9">
          <w:rPr>
            <w:noProof/>
            <w:webHidden/>
          </w:rPr>
          <w:t>1</w:t>
        </w:r>
        <w:r w:rsidR="009619D9">
          <w:rPr>
            <w:noProof/>
            <w:webHidden/>
          </w:rPr>
          <w:fldChar w:fldCharType="end"/>
        </w:r>
      </w:hyperlink>
    </w:p>
    <w:p w14:paraId="6D9C36F9" w14:textId="6D3A6C33" w:rsidR="009619D9" w:rsidRDefault="00000000">
      <w:pPr>
        <w:pStyle w:val="TOC3"/>
        <w:rPr>
          <w:rFonts w:asciiTheme="minorHAnsi" w:eastAsiaTheme="minorEastAsia" w:hAnsiTheme="minorHAnsi" w:cstheme="minorBidi"/>
          <w:noProof/>
          <w:sz w:val="22"/>
          <w:szCs w:val="22"/>
          <w:lang w:eastAsia="en-AU"/>
        </w:rPr>
      </w:pPr>
      <w:hyperlink w:anchor="_Toc156569572" w:history="1">
        <w:r w:rsidR="009619D9" w:rsidRPr="00840063">
          <w:rPr>
            <w:rStyle w:val="Hyperlink"/>
            <w:noProof/>
          </w:rPr>
          <w:t>Part 2: Obligations, standards and requirements</w:t>
        </w:r>
        <w:r w:rsidR="009619D9">
          <w:rPr>
            <w:noProof/>
            <w:webHidden/>
          </w:rPr>
          <w:tab/>
        </w:r>
        <w:r w:rsidR="009619D9">
          <w:rPr>
            <w:noProof/>
            <w:webHidden/>
          </w:rPr>
          <w:fldChar w:fldCharType="begin"/>
        </w:r>
        <w:r w:rsidR="009619D9">
          <w:rPr>
            <w:noProof/>
            <w:webHidden/>
          </w:rPr>
          <w:instrText xml:space="preserve"> PAGEREF _Toc156569572 \h </w:instrText>
        </w:r>
        <w:r w:rsidR="009619D9">
          <w:rPr>
            <w:noProof/>
            <w:webHidden/>
          </w:rPr>
        </w:r>
        <w:r w:rsidR="009619D9">
          <w:rPr>
            <w:noProof/>
            <w:webHidden/>
          </w:rPr>
          <w:fldChar w:fldCharType="separate"/>
        </w:r>
        <w:r w:rsidR="009619D9">
          <w:rPr>
            <w:noProof/>
            <w:webHidden/>
          </w:rPr>
          <w:t>1</w:t>
        </w:r>
        <w:r w:rsidR="009619D9">
          <w:rPr>
            <w:noProof/>
            <w:webHidden/>
          </w:rPr>
          <w:fldChar w:fldCharType="end"/>
        </w:r>
      </w:hyperlink>
    </w:p>
    <w:p w14:paraId="1CF5E958" w14:textId="104CC4C5" w:rsidR="009619D9" w:rsidRDefault="00000000">
      <w:pPr>
        <w:pStyle w:val="TOC2"/>
        <w:rPr>
          <w:rFonts w:asciiTheme="minorHAnsi" w:eastAsiaTheme="minorEastAsia" w:hAnsiTheme="minorHAnsi" w:cstheme="minorBidi"/>
          <w:b w:val="0"/>
          <w:bCs w:val="0"/>
          <w:sz w:val="22"/>
          <w:szCs w:val="22"/>
          <w:lang w:eastAsia="en-AU"/>
        </w:rPr>
      </w:pPr>
      <w:hyperlink w:anchor="_Toc156569573" w:history="1">
        <w:r w:rsidR="009619D9" w:rsidRPr="00840063">
          <w:rPr>
            <w:rStyle w:val="Hyperlink"/>
            <w:rFonts w:eastAsia="MS Gothic"/>
          </w:rPr>
          <w:t>Funding rules</w:t>
        </w:r>
        <w:r w:rsidR="009619D9">
          <w:rPr>
            <w:webHidden/>
          </w:rPr>
          <w:tab/>
        </w:r>
        <w:r w:rsidR="009619D9">
          <w:rPr>
            <w:webHidden/>
          </w:rPr>
          <w:fldChar w:fldCharType="begin"/>
        </w:r>
        <w:r w:rsidR="009619D9">
          <w:rPr>
            <w:webHidden/>
          </w:rPr>
          <w:instrText xml:space="preserve"> PAGEREF _Toc156569573 \h </w:instrText>
        </w:r>
        <w:r w:rsidR="009619D9">
          <w:rPr>
            <w:webHidden/>
          </w:rPr>
        </w:r>
        <w:r w:rsidR="009619D9">
          <w:rPr>
            <w:webHidden/>
          </w:rPr>
          <w:fldChar w:fldCharType="separate"/>
        </w:r>
        <w:r w:rsidR="009619D9">
          <w:rPr>
            <w:webHidden/>
          </w:rPr>
          <w:t>1</w:t>
        </w:r>
        <w:r w:rsidR="009619D9">
          <w:rPr>
            <w:webHidden/>
          </w:rPr>
          <w:fldChar w:fldCharType="end"/>
        </w:r>
      </w:hyperlink>
    </w:p>
    <w:p w14:paraId="21058440" w14:textId="6AD544FA" w:rsidR="009619D9" w:rsidRDefault="00000000">
      <w:pPr>
        <w:pStyle w:val="TOC3"/>
        <w:rPr>
          <w:rFonts w:asciiTheme="minorHAnsi" w:eastAsiaTheme="minorEastAsia" w:hAnsiTheme="minorHAnsi" w:cstheme="minorBidi"/>
          <w:noProof/>
          <w:sz w:val="22"/>
          <w:szCs w:val="22"/>
          <w:lang w:eastAsia="en-AU"/>
        </w:rPr>
      </w:pPr>
      <w:hyperlink w:anchor="_Toc156569574" w:history="1">
        <w:r w:rsidR="009619D9" w:rsidRPr="00840063">
          <w:rPr>
            <w:rStyle w:val="Hyperlink"/>
            <w:noProof/>
          </w:rPr>
          <w:t>Part 1: Budgetary landscape and pricing arrangements</w:t>
        </w:r>
        <w:r w:rsidR="009619D9">
          <w:rPr>
            <w:noProof/>
            <w:webHidden/>
          </w:rPr>
          <w:tab/>
        </w:r>
        <w:r w:rsidR="009619D9">
          <w:rPr>
            <w:noProof/>
            <w:webHidden/>
          </w:rPr>
          <w:fldChar w:fldCharType="begin"/>
        </w:r>
        <w:r w:rsidR="009619D9">
          <w:rPr>
            <w:noProof/>
            <w:webHidden/>
          </w:rPr>
          <w:instrText xml:space="preserve"> PAGEREF _Toc156569574 \h </w:instrText>
        </w:r>
        <w:r w:rsidR="009619D9">
          <w:rPr>
            <w:noProof/>
            <w:webHidden/>
          </w:rPr>
        </w:r>
        <w:r w:rsidR="009619D9">
          <w:rPr>
            <w:noProof/>
            <w:webHidden/>
          </w:rPr>
          <w:fldChar w:fldCharType="separate"/>
        </w:r>
        <w:r w:rsidR="009619D9">
          <w:rPr>
            <w:noProof/>
            <w:webHidden/>
          </w:rPr>
          <w:t>1</w:t>
        </w:r>
        <w:r w:rsidR="009619D9">
          <w:rPr>
            <w:noProof/>
            <w:webHidden/>
          </w:rPr>
          <w:fldChar w:fldCharType="end"/>
        </w:r>
      </w:hyperlink>
    </w:p>
    <w:p w14:paraId="6BAF5653" w14:textId="23C83781" w:rsidR="009619D9" w:rsidRDefault="00000000">
      <w:pPr>
        <w:pStyle w:val="TOC3"/>
        <w:rPr>
          <w:rFonts w:asciiTheme="minorHAnsi" w:eastAsiaTheme="minorEastAsia" w:hAnsiTheme="minorHAnsi" w:cstheme="minorBidi"/>
          <w:noProof/>
          <w:sz w:val="22"/>
          <w:szCs w:val="22"/>
          <w:lang w:eastAsia="en-AU"/>
        </w:rPr>
      </w:pPr>
      <w:hyperlink w:anchor="_Toc156569575" w:history="1">
        <w:r w:rsidR="009619D9" w:rsidRPr="00840063">
          <w:rPr>
            <w:rStyle w:val="Hyperlink"/>
            <w:noProof/>
          </w:rPr>
          <w:t>Part 2: Funding and activity levels</w:t>
        </w:r>
        <w:r w:rsidR="009619D9">
          <w:rPr>
            <w:noProof/>
            <w:webHidden/>
          </w:rPr>
          <w:tab/>
        </w:r>
        <w:r w:rsidR="009619D9">
          <w:rPr>
            <w:noProof/>
            <w:webHidden/>
          </w:rPr>
          <w:fldChar w:fldCharType="begin"/>
        </w:r>
        <w:r w:rsidR="009619D9">
          <w:rPr>
            <w:noProof/>
            <w:webHidden/>
          </w:rPr>
          <w:instrText xml:space="preserve"> PAGEREF _Toc156569575 \h </w:instrText>
        </w:r>
        <w:r w:rsidR="009619D9">
          <w:rPr>
            <w:noProof/>
            <w:webHidden/>
          </w:rPr>
        </w:r>
        <w:r w:rsidR="009619D9">
          <w:rPr>
            <w:noProof/>
            <w:webHidden/>
          </w:rPr>
          <w:fldChar w:fldCharType="separate"/>
        </w:r>
        <w:r w:rsidR="009619D9">
          <w:rPr>
            <w:noProof/>
            <w:webHidden/>
          </w:rPr>
          <w:t>1</w:t>
        </w:r>
        <w:r w:rsidR="009619D9">
          <w:rPr>
            <w:noProof/>
            <w:webHidden/>
          </w:rPr>
          <w:fldChar w:fldCharType="end"/>
        </w:r>
      </w:hyperlink>
    </w:p>
    <w:p w14:paraId="408FAE81" w14:textId="12B15B7A" w:rsidR="009619D9" w:rsidRDefault="00000000">
      <w:pPr>
        <w:pStyle w:val="TOC2"/>
        <w:rPr>
          <w:rFonts w:asciiTheme="minorHAnsi" w:eastAsiaTheme="minorEastAsia" w:hAnsiTheme="minorHAnsi" w:cstheme="minorBidi"/>
          <w:b w:val="0"/>
          <w:bCs w:val="0"/>
          <w:sz w:val="22"/>
          <w:szCs w:val="22"/>
          <w:lang w:eastAsia="en-AU"/>
        </w:rPr>
      </w:pPr>
      <w:hyperlink w:anchor="_Toc156569576" w:history="1">
        <w:r w:rsidR="009619D9" w:rsidRPr="00840063">
          <w:rPr>
            <w:rStyle w:val="Hyperlink"/>
          </w:rPr>
          <w:t>Terminology</w:t>
        </w:r>
        <w:r w:rsidR="009619D9">
          <w:rPr>
            <w:webHidden/>
          </w:rPr>
          <w:tab/>
        </w:r>
        <w:r w:rsidR="009619D9">
          <w:rPr>
            <w:webHidden/>
          </w:rPr>
          <w:fldChar w:fldCharType="begin"/>
        </w:r>
        <w:r w:rsidR="009619D9">
          <w:rPr>
            <w:webHidden/>
          </w:rPr>
          <w:instrText xml:space="preserve"> PAGEREF _Toc156569576 \h </w:instrText>
        </w:r>
        <w:r w:rsidR="009619D9">
          <w:rPr>
            <w:webHidden/>
          </w:rPr>
        </w:r>
        <w:r w:rsidR="009619D9">
          <w:rPr>
            <w:webHidden/>
          </w:rPr>
          <w:fldChar w:fldCharType="separate"/>
        </w:r>
        <w:r w:rsidR="009619D9">
          <w:rPr>
            <w:webHidden/>
          </w:rPr>
          <w:t>2</w:t>
        </w:r>
        <w:r w:rsidR="009619D9">
          <w:rPr>
            <w:webHidden/>
          </w:rPr>
          <w:fldChar w:fldCharType="end"/>
        </w:r>
      </w:hyperlink>
    </w:p>
    <w:p w14:paraId="63266A8B" w14:textId="045ABB6B" w:rsidR="009619D9" w:rsidRDefault="00000000">
      <w:pPr>
        <w:pStyle w:val="TOC1"/>
        <w:tabs>
          <w:tab w:val="left" w:pos="794"/>
        </w:tabs>
        <w:rPr>
          <w:rFonts w:asciiTheme="minorHAnsi" w:eastAsiaTheme="minorEastAsia" w:hAnsiTheme="minorHAnsi" w:cstheme="minorBidi"/>
          <w:b w:val="0"/>
          <w:sz w:val="22"/>
          <w:szCs w:val="22"/>
          <w:lang w:eastAsia="en-AU"/>
        </w:rPr>
      </w:pPr>
      <w:hyperlink w:anchor="_Toc156569577" w:history="1">
        <w:r w:rsidR="009619D9" w:rsidRPr="00840063">
          <w:rPr>
            <w:rStyle w:val="Hyperlink"/>
          </w:rPr>
          <w:t>1</w:t>
        </w:r>
        <w:r w:rsidR="009619D9">
          <w:rPr>
            <w:rFonts w:asciiTheme="minorHAnsi" w:eastAsiaTheme="minorEastAsia" w:hAnsiTheme="minorHAnsi" w:cstheme="minorBidi"/>
            <w:b w:val="0"/>
            <w:sz w:val="22"/>
            <w:szCs w:val="22"/>
            <w:lang w:eastAsia="en-AU"/>
          </w:rPr>
          <w:tab/>
        </w:r>
        <w:r w:rsidR="009619D9" w:rsidRPr="00840063">
          <w:rPr>
            <w:rStyle w:val="Hyperlink"/>
          </w:rPr>
          <w:t>Budgetary landscape and pricing arrangements</w:t>
        </w:r>
        <w:r w:rsidR="009619D9">
          <w:rPr>
            <w:webHidden/>
          </w:rPr>
          <w:tab/>
        </w:r>
        <w:r w:rsidR="009619D9">
          <w:rPr>
            <w:webHidden/>
          </w:rPr>
          <w:fldChar w:fldCharType="begin"/>
        </w:r>
        <w:r w:rsidR="009619D9">
          <w:rPr>
            <w:webHidden/>
          </w:rPr>
          <w:instrText xml:space="preserve"> PAGEREF _Toc156569577 \h </w:instrText>
        </w:r>
        <w:r w:rsidR="009619D9">
          <w:rPr>
            <w:webHidden/>
          </w:rPr>
        </w:r>
        <w:r w:rsidR="009619D9">
          <w:rPr>
            <w:webHidden/>
          </w:rPr>
          <w:fldChar w:fldCharType="separate"/>
        </w:r>
        <w:r w:rsidR="009619D9">
          <w:rPr>
            <w:webHidden/>
          </w:rPr>
          <w:t>3</w:t>
        </w:r>
        <w:r w:rsidR="009619D9">
          <w:rPr>
            <w:webHidden/>
          </w:rPr>
          <w:fldChar w:fldCharType="end"/>
        </w:r>
      </w:hyperlink>
    </w:p>
    <w:p w14:paraId="53D254F9" w14:textId="031F9783" w:rsidR="009619D9" w:rsidRDefault="00000000">
      <w:pPr>
        <w:pStyle w:val="TOC2"/>
        <w:rPr>
          <w:rFonts w:asciiTheme="minorHAnsi" w:eastAsiaTheme="minorEastAsia" w:hAnsiTheme="minorHAnsi" w:cstheme="minorBidi"/>
          <w:b w:val="0"/>
          <w:bCs w:val="0"/>
          <w:sz w:val="22"/>
          <w:szCs w:val="22"/>
          <w:lang w:eastAsia="en-AU"/>
        </w:rPr>
      </w:pPr>
      <w:hyperlink w:anchor="_Toc156569578" w:history="1">
        <w:r w:rsidR="009619D9" w:rsidRPr="00840063">
          <w:rPr>
            <w:rStyle w:val="Hyperlink"/>
          </w:rPr>
          <w:t>1.1</w:t>
        </w:r>
        <w:r w:rsidR="009619D9">
          <w:rPr>
            <w:rFonts w:asciiTheme="minorHAnsi" w:eastAsiaTheme="minorEastAsia" w:hAnsiTheme="minorHAnsi" w:cstheme="minorBidi"/>
            <w:b w:val="0"/>
            <w:bCs w:val="0"/>
            <w:sz w:val="22"/>
            <w:szCs w:val="22"/>
            <w:lang w:eastAsia="en-AU"/>
          </w:rPr>
          <w:tab/>
        </w:r>
        <w:r w:rsidR="009619D9" w:rsidRPr="00840063">
          <w:rPr>
            <w:rStyle w:val="Hyperlink"/>
          </w:rPr>
          <w:t>Budget highlights</w:t>
        </w:r>
        <w:r w:rsidR="009619D9">
          <w:rPr>
            <w:webHidden/>
          </w:rPr>
          <w:tab/>
        </w:r>
        <w:r w:rsidR="009619D9">
          <w:rPr>
            <w:webHidden/>
          </w:rPr>
          <w:fldChar w:fldCharType="begin"/>
        </w:r>
        <w:r w:rsidR="009619D9">
          <w:rPr>
            <w:webHidden/>
          </w:rPr>
          <w:instrText xml:space="preserve"> PAGEREF _Toc156569578 \h </w:instrText>
        </w:r>
        <w:r w:rsidR="009619D9">
          <w:rPr>
            <w:webHidden/>
          </w:rPr>
        </w:r>
        <w:r w:rsidR="009619D9">
          <w:rPr>
            <w:webHidden/>
          </w:rPr>
          <w:fldChar w:fldCharType="separate"/>
        </w:r>
        <w:r w:rsidR="009619D9">
          <w:rPr>
            <w:webHidden/>
          </w:rPr>
          <w:t>4</w:t>
        </w:r>
        <w:r w:rsidR="009619D9">
          <w:rPr>
            <w:webHidden/>
          </w:rPr>
          <w:fldChar w:fldCharType="end"/>
        </w:r>
      </w:hyperlink>
    </w:p>
    <w:p w14:paraId="4712C5AC" w14:textId="40E008F0" w:rsidR="009619D9" w:rsidRDefault="00000000">
      <w:pPr>
        <w:pStyle w:val="TOC2"/>
        <w:rPr>
          <w:rFonts w:asciiTheme="minorHAnsi" w:eastAsiaTheme="minorEastAsia" w:hAnsiTheme="minorHAnsi" w:cstheme="minorBidi"/>
          <w:b w:val="0"/>
          <w:bCs w:val="0"/>
          <w:sz w:val="22"/>
          <w:szCs w:val="22"/>
          <w:lang w:eastAsia="en-AU"/>
        </w:rPr>
      </w:pPr>
      <w:hyperlink w:anchor="_Toc156569579" w:history="1">
        <w:r w:rsidR="009619D9" w:rsidRPr="00840063">
          <w:rPr>
            <w:rStyle w:val="Hyperlink"/>
          </w:rPr>
          <w:t>1.2</w:t>
        </w:r>
        <w:r w:rsidR="009619D9">
          <w:rPr>
            <w:rFonts w:asciiTheme="minorHAnsi" w:eastAsiaTheme="minorEastAsia" w:hAnsiTheme="minorHAnsi" w:cstheme="minorBidi"/>
            <w:b w:val="0"/>
            <w:bCs w:val="0"/>
            <w:sz w:val="22"/>
            <w:szCs w:val="22"/>
            <w:lang w:eastAsia="en-AU"/>
          </w:rPr>
          <w:tab/>
        </w:r>
        <w:r w:rsidR="009619D9" w:rsidRPr="00840063">
          <w:rPr>
            <w:rStyle w:val="Hyperlink"/>
          </w:rPr>
          <w:t>Output initiatives</w:t>
        </w:r>
        <w:r w:rsidR="009619D9">
          <w:rPr>
            <w:webHidden/>
          </w:rPr>
          <w:tab/>
        </w:r>
        <w:r w:rsidR="009619D9">
          <w:rPr>
            <w:webHidden/>
          </w:rPr>
          <w:fldChar w:fldCharType="begin"/>
        </w:r>
        <w:r w:rsidR="009619D9">
          <w:rPr>
            <w:webHidden/>
          </w:rPr>
          <w:instrText xml:space="preserve"> PAGEREF _Toc156569579 \h </w:instrText>
        </w:r>
        <w:r w:rsidR="009619D9">
          <w:rPr>
            <w:webHidden/>
          </w:rPr>
        </w:r>
        <w:r w:rsidR="009619D9">
          <w:rPr>
            <w:webHidden/>
          </w:rPr>
          <w:fldChar w:fldCharType="separate"/>
        </w:r>
        <w:r w:rsidR="009619D9">
          <w:rPr>
            <w:webHidden/>
          </w:rPr>
          <w:t>6</w:t>
        </w:r>
        <w:r w:rsidR="009619D9">
          <w:rPr>
            <w:webHidden/>
          </w:rPr>
          <w:fldChar w:fldCharType="end"/>
        </w:r>
      </w:hyperlink>
    </w:p>
    <w:p w14:paraId="363642EF" w14:textId="78B0CA23" w:rsidR="009619D9" w:rsidRDefault="00000000">
      <w:pPr>
        <w:pStyle w:val="TOC3"/>
        <w:rPr>
          <w:rFonts w:asciiTheme="minorHAnsi" w:eastAsiaTheme="minorEastAsia" w:hAnsiTheme="minorHAnsi" w:cstheme="minorBidi"/>
          <w:noProof/>
          <w:sz w:val="22"/>
          <w:szCs w:val="22"/>
          <w:lang w:eastAsia="en-AU"/>
        </w:rPr>
      </w:pPr>
      <w:hyperlink w:anchor="_Toc156569580" w:history="1">
        <w:r w:rsidR="009619D9" w:rsidRPr="00840063">
          <w:rPr>
            <w:rStyle w:val="Hyperlink"/>
            <w:noProof/>
          </w:rPr>
          <w:t>1.2.1</w:t>
        </w:r>
        <w:r w:rsidR="009619D9">
          <w:rPr>
            <w:rFonts w:asciiTheme="minorHAnsi" w:eastAsiaTheme="minorEastAsia" w:hAnsiTheme="minorHAnsi" w:cstheme="minorBidi"/>
            <w:noProof/>
            <w:sz w:val="22"/>
            <w:szCs w:val="22"/>
            <w:lang w:eastAsia="en-AU"/>
          </w:rPr>
          <w:tab/>
        </w:r>
        <w:r w:rsidR="009619D9" w:rsidRPr="00840063">
          <w:rPr>
            <w:rStyle w:val="Hyperlink"/>
            <w:noProof/>
          </w:rPr>
          <w:t>Admitted Services</w:t>
        </w:r>
        <w:r w:rsidR="009619D9">
          <w:rPr>
            <w:noProof/>
            <w:webHidden/>
          </w:rPr>
          <w:tab/>
        </w:r>
        <w:r w:rsidR="009619D9">
          <w:rPr>
            <w:noProof/>
            <w:webHidden/>
          </w:rPr>
          <w:fldChar w:fldCharType="begin"/>
        </w:r>
        <w:r w:rsidR="009619D9">
          <w:rPr>
            <w:noProof/>
            <w:webHidden/>
          </w:rPr>
          <w:instrText xml:space="preserve"> PAGEREF _Toc156569580 \h </w:instrText>
        </w:r>
        <w:r w:rsidR="009619D9">
          <w:rPr>
            <w:noProof/>
            <w:webHidden/>
          </w:rPr>
        </w:r>
        <w:r w:rsidR="009619D9">
          <w:rPr>
            <w:noProof/>
            <w:webHidden/>
          </w:rPr>
          <w:fldChar w:fldCharType="separate"/>
        </w:r>
        <w:r w:rsidR="009619D9">
          <w:rPr>
            <w:noProof/>
            <w:webHidden/>
          </w:rPr>
          <w:t>6</w:t>
        </w:r>
        <w:r w:rsidR="009619D9">
          <w:rPr>
            <w:noProof/>
            <w:webHidden/>
          </w:rPr>
          <w:fldChar w:fldCharType="end"/>
        </w:r>
      </w:hyperlink>
    </w:p>
    <w:p w14:paraId="5AB2906E" w14:textId="4EA4096A" w:rsidR="009619D9" w:rsidRDefault="00000000">
      <w:pPr>
        <w:pStyle w:val="TOC3"/>
        <w:rPr>
          <w:rFonts w:asciiTheme="minorHAnsi" w:eastAsiaTheme="minorEastAsia" w:hAnsiTheme="minorHAnsi" w:cstheme="minorBidi"/>
          <w:noProof/>
          <w:sz w:val="22"/>
          <w:szCs w:val="22"/>
          <w:lang w:eastAsia="en-AU"/>
        </w:rPr>
      </w:pPr>
      <w:hyperlink w:anchor="_Toc156569581" w:history="1">
        <w:r w:rsidR="009619D9" w:rsidRPr="00840063">
          <w:rPr>
            <w:rStyle w:val="Hyperlink"/>
            <w:noProof/>
          </w:rPr>
          <w:t>1.2.2</w:t>
        </w:r>
        <w:r w:rsidR="009619D9">
          <w:rPr>
            <w:rFonts w:asciiTheme="minorHAnsi" w:eastAsiaTheme="minorEastAsia" w:hAnsiTheme="minorHAnsi" w:cstheme="minorBidi"/>
            <w:noProof/>
            <w:sz w:val="22"/>
            <w:szCs w:val="22"/>
            <w:lang w:eastAsia="en-AU"/>
          </w:rPr>
          <w:tab/>
        </w:r>
        <w:r w:rsidR="009619D9" w:rsidRPr="00840063">
          <w:rPr>
            <w:rStyle w:val="Hyperlink"/>
            <w:noProof/>
          </w:rPr>
          <w:t>Ambulance Emergency Services</w:t>
        </w:r>
        <w:r w:rsidR="009619D9">
          <w:rPr>
            <w:noProof/>
            <w:webHidden/>
          </w:rPr>
          <w:tab/>
        </w:r>
        <w:r w:rsidR="009619D9">
          <w:rPr>
            <w:noProof/>
            <w:webHidden/>
          </w:rPr>
          <w:fldChar w:fldCharType="begin"/>
        </w:r>
        <w:r w:rsidR="009619D9">
          <w:rPr>
            <w:noProof/>
            <w:webHidden/>
          </w:rPr>
          <w:instrText xml:space="preserve"> PAGEREF _Toc156569581 \h </w:instrText>
        </w:r>
        <w:r w:rsidR="009619D9">
          <w:rPr>
            <w:noProof/>
            <w:webHidden/>
          </w:rPr>
        </w:r>
        <w:r w:rsidR="009619D9">
          <w:rPr>
            <w:noProof/>
            <w:webHidden/>
          </w:rPr>
          <w:fldChar w:fldCharType="separate"/>
        </w:r>
        <w:r w:rsidR="009619D9">
          <w:rPr>
            <w:noProof/>
            <w:webHidden/>
          </w:rPr>
          <w:t>6</w:t>
        </w:r>
        <w:r w:rsidR="009619D9">
          <w:rPr>
            <w:noProof/>
            <w:webHidden/>
          </w:rPr>
          <w:fldChar w:fldCharType="end"/>
        </w:r>
      </w:hyperlink>
    </w:p>
    <w:p w14:paraId="0F5BC25A" w14:textId="71BE863A" w:rsidR="009619D9" w:rsidRDefault="00000000">
      <w:pPr>
        <w:pStyle w:val="TOC3"/>
        <w:rPr>
          <w:rFonts w:asciiTheme="minorHAnsi" w:eastAsiaTheme="minorEastAsia" w:hAnsiTheme="minorHAnsi" w:cstheme="minorBidi"/>
          <w:noProof/>
          <w:sz w:val="22"/>
          <w:szCs w:val="22"/>
          <w:lang w:eastAsia="en-AU"/>
        </w:rPr>
      </w:pPr>
      <w:hyperlink w:anchor="_Toc156569582" w:history="1">
        <w:r w:rsidR="009619D9" w:rsidRPr="00840063">
          <w:rPr>
            <w:rStyle w:val="Hyperlink"/>
            <w:noProof/>
          </w:rPr>
          <w:t>1.2.3</w:t>
        </w:r>
        <w:r w:rsidR="009619D9">
          <w:rPr>
            <w:rFonts w:asciiTheme="minorHAnsi" w:eastAsiaTheme="minorEastAsia" w:hAnsiTheme="minorHAnsi" w:cstheme="minorBidi"/>
            <w:noProof/>
            <w:sz w:val="22"/>
            <w:szCs w:val="22"/>
            <w:lang w:eastAsia="en-AU"/>
          </w:rPr>
          <w:tab/>
        </w:r>
        <w:r w:rsidR="009619D9" w:rsidRPr="00840063">
          <w:rPr>
            <w:rStyle w:val="Hyperlink"/>
            <w:noProof/>
          </w:rPr>
          <w:t>Community Health Care</w:t>
        </w:r>
        <w:r w:rsidR="009619D9">
          <w:rPr>
            <w:noProof/>
            <w:webHidden/>
          </w:rPr>
          <w:tab/>
        </w:r>
        <w:r w:rsidR="009619D9">
          <w:rPr>
            <w:noProof/>
            <w:webHidden/>
          </w:rPr>
          <w:fldChar w:fldCharType="begin"/>
        </w:r>
        <w:r w:rsidR="009619D9">
          <w:rPr>
            <w:noProof/>
            <w:webHidden/>
          </w:rPr>
          <w:instrText xml:space="preserve"> PAGEREF _Toc156569582 \h </w:instrText>
        </w:r>
        <w:r w:rsidR="009619D9">
          <w:rPr>
            <w:noProof/>
            <w:webHidden/>
          </w:rPr>
        </w:r>
        <w:r w:rsidR="009619D9">
          <w:rPr>
            <w:noProof/>
            <w:webHidden/>
          </w:rPr>
          <w:fldChar w:fldCharType="separate"/>
        </w:r>
        <w:r w:rsidR="009619D9">
          <w:rPr>
            <w:noProof/>
            <w:webHidden/>
          </w:rPr>
          <w:t>7</w:t>
        </w:r>
        <w:r w:rsidR="009619D9">
          <w:rPr>
            <w:noProof/>
            <w:webHidden/>
          </w:rPr>
          <w:fldChar w:fldCharType="end"/>
        </w:r>
      </w:hyperlink>
    </w:p>
    <w:p w14:paraId="4E3BA9DF" w14:textId="136A26DF" w:rsidR="009619D9" w:rsidRDefault="00000000">
      <w:pPr>
        <w:pStyle w:val="TOC3"/>
        <w:rPr>
          <w:rFonts w:asciiTheme="minorHAnsi" w:eastAsiaTheme="minorEastAsia" w:hAnsiTheme="minorHAnsi" w:cstheme="minorBidi"/>
          <w:noProof/>
          <w:sz w:val="22"/>
          <w:szCs w:val="22"/>
          <w:lang w:eastAsia="en-AU"/>
        </w:rPr>
      </w:pPr>
      <w:hyperlink w:anchor="_Toc156569583" w:history="1">
        <w:r w:rsidR="009619D9" w:rsidRPr="00840063">
          <w:rPr>
            <w:rStyle w:val="Hyperlink"/>
            <w:noProof/>
          </w:rPr>
          <w:t>1.2.4</w:t>
        </w:r>
        <w:r w:rsidR="009619D9">
          <w:rPr>
            <w:rFonts w:asciiTheme="minorHAnsi" w:eastAsiaTheme="minorEastAsia" w:hAnsiTheme="minorHAnsi" w:cstheme="minorBidi"/>
            <w:noProof/>
            <w:sz w:val="22"/>
            <w:szCs w:val="22"/>
            <w:lang w:eastAsia="en-AU"/>
          </w:rPr>
          <w:tab/>
        </w:r>
        <w:r w:rsidR="009619D9" w:rsidRPr="00840063">
          <w:rPr>
            <w:rStyle w:val="Hyperlink"/>
            <w:noProof/>
          </w:rPr>
          <w:t>Dental Services</w:t>
        </w:r>
        <w:r w:rsidR="009619D9">
          <w:rPr>
            <w:noProof/>
            <w:webHidden/>
          </w:rPr>
          <w:tab/>
        </w:r>
        <w:r w:rsidR="009619D9">
          <w:rPr>
            <w:noProof/>
            <w:webHidden/>
          </w:rPr>
          <w:fldChar w:fldCharType="begin"/>
        </w:r>
        <w:r w:rsidR="009619D9">
          <w:rPr>
            <w:noProof/>
            <w:webHidden/>
          </w:rPr>
          <w:instrText xml:space="preserve"> PAGEREF _Toc156569583 \h </w:instrText>
        </w:r>
        <w:r w:rsidR="009619D9">
          <w:rPr>
            <w:noProof/>
            <w:webHidden/>
          </w:rPr>
        </w:r>
        <w:r w:rsidR="009619D9">
          <w:rPr>
            <w:noProof/>
            <w:webHidden/>
          </w:rPr>
          <w:fldChar w:fldCharType="separate"/>
        </w:r>
        <w:r w:rsidR="009619D9">
          <w:rPr>
            <w:noProof/>
            <w:webHidden/>
          </w:rPr>
          <w:t>7</w:t>
        </w:r>
        <w:r w:rsidR="009619D9">
          <w:rPr>
            <w:noProof/>
            <w:webHidden/>
          </w:rPr>
          <w:fldChar w:fldCharType="end"/>
        </w:r>
      </w:hyperlink>
    </w:p>
    <w:p w14:paraId="61F0AC2C" w14:textId="126C4E7E" w:rsidR="009619D9" w:rsidRDefault="00000000">
      <w:pPr>
        <w:pStyle w:val="TOC3"/>
        <w:rPr>
          <w:rFonts w:asciiTheme="minorHAnsi" w:eastAsiaTheme="minorEastAsia" w:hAnsiTheme="minorHAnsi" w:cstheme="minorBidi"/>
          <w:noProof/>
          <w:sz w:val="22"/>
          <w:szCs w:val="22"/>
          <w:lang w:eastAsia="en-AU"/>
        </w:rPr>
      </w:pPr>
      <w:hyperlink w:anchor="_Toc156569584" w:history="1">
        <w:r w:rsidR="009619D9" w:rsidRPr="00840063">
          <w:rPr>
            <w:rStyle w:val="Hyperlink"/>
            <w:noProof/>
          </w:rPr>
          <w:t>1.2.5</w:t>
        </w:r>
        <w:r w:rsidR="009619D9">
          <w:rPr>
            <w:rFonts w:asciiTheme="minorHAnsi" w:eastAsiaTheme="minorEastAsia" w:hAnsiTheme="minorHAnsi" w:cstheme="minorBidi"/>
            <w:noProof/>
            <w:sz w:val="22"/>
            <w:szCs w:val="22"/>
            <w:lang w:eastAsia="en-AU"/>
          </w:rPr>
          <w:tab/>
        </w:r>
        <w:r w:rsidR="009619D9" w:rsidRPr="00840063">
          <w:rPr>
            <w:rStyle w:val="Hyperlink"/>
            <w:noProof/>
          </w:rPr>
          <w:t>Drug Treatment and Rehabilitation</w:t>
        </w:r>
        <w:r w:rsidR="009619D9">
          <w:rPr>
            <w:noProof/>
            <w:webHidden/>
          </w:rPr>
          <w:tab/>
        </w:r>
        <w:r w:rsidR="009619D9">
          <w:rPr>
            <w:noProof/>
            <w:webHidden/>
          </w:rPr>
          <w:fldChar w:fldCharType="begin"/>
        </w:r>
        <w:r w:rsidR="009619D9">
          <w:rPr>
            <w:noProof/>
            <w:webHidden/>
          </w:rPr>
          <w:instrText xml:space="preserve"> PAGEREF _Toc156569584 \h </w:instrText>
        </w:r>
        <w:r w:rsidR="009619D9">
          <w:rPr>
            <w:noProof/>
            <w:webHidden/>
          </w:rPr>
        </w:r>
        <w:r w:rsidR="009619D9">
          <w:rPr>
            <w:noProof/>
            <w:webHidden/>
          </w:rPr>
          <w:fldChar w:fldCharType="separate"/>
        </w:r>
        <w:r w:rsidR="009619D9">
          <w:rPr>
            <w:noProof/>
            <w:webHidden/>
          </w:rPr>
          <w:t>8</w:t>
        </w:r>
        <w:r w:rsidR="009619D9">
          <w:rPr>
            <w:noProof/>
            <w:webHidden/>
          </w:rPr>
          <w:fldChar w:fldCharType="end"/>
        </w:r>
      </w:hyperlink>
    </w:p>
    <w:p w14:paraId="6909FDDB" w14:textId="333D596B" w:rsidR="009619D9" w:rsidRDefault="00000000">
      <w:pPr>
        <w:pStyle w:val="TOC3"/>
        <w:rPr>
          <w:rFonts w:asciiTheme="minorHAnsi" w:eastAsiaTheme="minorEastAsia" w:hAnsiTheme="minorHAnsi" w:cstheme="minorBidi"/>
          <w:noProof/>
          <w:sz w:val="22"/>
          <w:szCs w:val="22"/>
          <w:lang w:eastAsia="en-AU"/>
        </w:rPr>
      </w:pPr>
      <w:hyperlink w:anchor="_Toc156569585" w:history="1">
        <w:r w:rsidR="009619D9" w:rsidRPr="00840063">
          <w:rPr>
            <w:rStyle w:val="Hyperlink"/>
            <w:noProof/>
          </w:rPr>
          <w:t>1.2.6</w:t>
        </w:r>
        <w:r w:rsidR="009619D9">
          <w:rPr>
            <w:rFonts w:asciiTheme="minorHAnsi" w:eastAsiaTheme="minorEastAsia" w:hAnsiTheme="minorHAnsi" w:cstheme="minorBidi"/>
            <w:noProof/>
            <w:sz w:val="22"/>
            <w:szCs w:val="22"/>
            <w:lang w:eastAsia="en-AU"/>
          </w:rPr>
          <w:tab/>
        </w:r>
        <w:r w:rsidR="009619D9" w:rsidRPr="00840063">
          <w:rPr>
            <w:rStyle w:val="Hyperlink"/>
            <w:noProof/>
          </w:rPr>
          <w:t>Health Protection</w:t>
        </w:r>
        <w:r w:rsidR="009619D9">
          <w:rPr>
            <w:noProof/>
            <w:webHidden/>
          </w:rPr>
          <w:tab/>
        </w:r>
        <w:r w:rsidR="009619D9">
          <w:rPr>
            <w:noProof/>
            <w:webHidden/>
          </w:rPr>
          <w:fldChar w:fldCharType="begin"/>
        </w:r>
        <w:r w:rsidR="009619D9">
          <w:rPr>
            <w:noProof/>
            <w:webHidden/>
          </w:rPr>
          <w:instrText xml:space="preserve"> PAGEREF _Toc156569585 \h </w:instrText>
        </w:r>
        <w:r w:rsidR="009619D9">
          <w:rPr>
            <w:noProof/>
            <w:webHidden/>
          </w:rPr>
        </w:r>
        <w:r w:rsidR="009619D9">
          <w:rPr>
            <w:noProof/>
            <w:webHidden/>
          </w:rPr>
          <w:fldChar w:fldCharType="separate"/>
        </w:r>
        <w:r w:rsidR="009619D9">
          <w:rPr>
            <w:noProof/>
            <w:webHidden/>
          </w:rPr>
          <w:t>8</w:t>
        </w:r>
        <w:r w:rsidR="009619D9">
          <w:rPr>
            <w:noProof/>
            <w:webHidden/>
          </w:rPr>
          <w:fldChar w:fldCharType="end"/>
        </w:r>
      </w:hyperlink>
    </w:p>
    <w:p w14:paraId="3F5CADA6" w14:textId="24B38836" w:rsidR="009619D9" w:rsidRDefault="00000000">
      <w:pPr>
        <w:pStyle w:val="TOC3"/>
        <w:rPr>
          <w:rFonts w:asciiTheme="minorHAnsi" w:eastAsiaTheme="minorEastAsia" w:hAnsiTheme="minorHAnsi" w:cstheme="minorBidi"/>
          <w:noProof/>
          <w:sz w:val="22"/>
          <w:szCs w:val="22"/>
          <w:lang w:eastAsia="en-AU"/>
        </w:rPr>
      </w:pPr>
      <w:hyperlink w:anchor="_Toc156569586" w:history="1">
        <w:r w:rsidR="009619D9" w:rsidRPr="00840063">
          <w:rPr>
            <w:rStyle w:val="Hyperlink"/>
            <w:noProof/>
          </w:rPr>
          <w:t>1.2.7</w:t>
        </w:r>
        <w:r w:rsidR="009619D9">
          <w:rPr>
            <w:rFonts w:asciiTheme="minorHAnsi" w:eastAsiaTheme="minorEastAsia" w:hAnsiTheme="minorHAnsi" w:cstheme="minorBidi"/>
            <w:noProof/>
            <w:sz w:val="22"/>
            <w:szCs w:val="22"/>
            <w:lang w:eastAsia="en-AU"/>
          </w:rPr>
          <w:tab/>
        </w:r>
        <w:r w:rsidR="009619D9" w:rsidRPr="00840063">
          <w:rPr>
            <w:rStyle w:val="Hyperlink"/>
            <w:noProof/>
          </w:rPr>
          <w:t>Health Workforce Training and Development</w:t>
        </w:r>
        <w:r w:rsidR="009619D9">
          <w:rPr>
            <w:noProof/>
            <w:webHidden/>
          </w:rPr>
          <w:tab/>
        </w:r>
        <w:r w:rsidR="009619D9">
          <w:rPr>
            <w:noProof/>
            <w:webHidden/>
          </w:rPr>
          <w:fldChar w:fldCharType="begin"/>
        </w:r>
        <w:r w:rsidR="009619D9">
          <w:rPr>
            <w:noProof/>
            <w:webHidden/>
          </w:rPr>
          <w:instrText xml:space="preserve"> PAGEREF _Toc156569586 \h </w:instrText>
        </w:r>
        <w:r w:rsidR="009619D9">
          <w:rPr>
            <w:noProof/>
            <w:webHidden/>
          </w:rPr>
        </w:r>
        <w:r w:rsidR="009619D9">
          <w:rPr>
            <w:noProof/>
            <w:webHidden/>
          </w:rPr>
          <w:fldChar w:fldCharType="separate"/>
        </w:r>
        <w:r w:rsidR="009619D9">
          <w:rPr>
            <w:noProof/>
            <w:webHidden/>
          </w:rPr>
          <w:t>8</w:t>
        </w:r>
        <w:r w:rsidR="009619D9">
          <w:rPr>
            <w:noProof/>
            <w:webHidden/>
          </w:rPr>
          <w:fldChar w:fldCharType="end"/>
        </w:r>
      </w:hyperlink>
    </w:p>
    <w:p w14:paraId="617E9324" w14:textId="566F6ADC" w:rsidR="009619D9" w:rsidRDefault="00000000">
      <w:pPr>
        <w:pStyle w:val="TOC3"/>
        <w:rPr>
          <w:rFonts w:asciiTheme="minorHAnsi" w:eastAsiaTheme="minorEastAsia" w:hAnsiTheme="minorHAnsi" w:cstheme="minorBidi"/>
          <w:noProof/>
          <w:sz w:val="22"/>
          <w:szCs w:val="22"/>
          <w:lang w:eastAsia="en-AU"/>
        </w:rPr>
      </w:pPr>
      <w:hyperlink w:anchor="_Toc156569587" w:history="1">
        <w:r w:rsidR="009619D9" w:rsidRPr="00840063">
          <w:rPr>
            <w:rStyle w:val="Hyperlink"/>
            <w:noProof/>
          </w:rPr>
          <w:t>1.2.8</w:t>
        </w:r>
        <w:r w:rsidR="009619D9">
          <w:rPr>
            <w:rFonts w:asciiTheme="minorHAnsi" w:eastAsiaTheme="minorEastAsia" w:hAnsiTheme="minorHAnsi" w:cstheme="minorBidi"/>
            <w:noProof/>
            <w:sz w:val="22"/>
            <w:szCs w:val="22"/>
            <w:lang w:eastAsia="en-AU"/>
          </w:rPr>
          <w:tab/>
        </w:r>
        <w:r w:rsidR="009619D9" w:rsidRPr="00840063">
          <w:rPr>
            <w:rStyle w:val="Hyperlink"/>
            <w:noProof/>
          </w:rPr>
          <w:t>Maternal and Child Health and Early Parenting Services</w:t>
        </w:r>
        <w:r w:rsidR="009619D9">
          <w:rPr>
            <w:noProof/>
            <w:webHidden/>
          </w:rPr>
          <w:tab/>
        </w:r>
        <w:r w:rsidR="009619D9">
          <w:rPr>
            <w:noProof/>
            <w:webHidden/>
          </w:rPr>
          <w:fldChar w:fldCharType="begin"/>
        </w:r>
        <w:r w:rsidR="009619D9">
          <w:rPr>
            <w:noProof/>
            <w:webHidden/>
          </w:rPr>
          <w:instrText xml:space="preserve"> PAGEREF _Toc156569587 \h </w:instrText>
        </w:r>
        <w:r w:rsidR="009619D9">
          <w:rPr>
            <w:noProof/>
            <w:webHidden/>
          </w:rPr>
        </w:r>
        <w:r w:rsidR="009619D9">
          <w:rPr>
            <w:noProof/>
            <w:webHidden/>
          </w:rPr>
          <w:fldChar w:fldCharType="separate"/>
        </w:r>
        <w:r w:rsidR="009619D9">
          <w:rPr>
            <w:noProof/>
            <w:webHidden/>
          </w:rPr>
          <w:t>9</w:t>
        </w:r>
        <w:r w:rsidR="009619D9">
          <w:rPr>
            <w:noProof/>
            <w:webHidden/>
          </w:rPr>
          <w:fldChar w:fldCharType="end"/>
        </w:r>
      </w:hyperlink>
    </w:p>
    <w:p w14:paraId="4FDFC41D" w14:textId="41E453A2" w:rsidR="009619D9" w:rsidRDefault="00000000">
      <w:pPr>
        <w:pStyle w:val="TOC3"/>
        <w:rPr>
          <w:rFonts w:asciiTheme="minorHAnsi" w:eastAsiaTheme="minorEastAsia" w:hAnsiTheme="minorHAnsi" w:cstheme="minorBidi"/>
          <w:noProof/>
          <w:sz w:val="22"/>
          <w:szCs w:val="22"/>
          <w:lang w:eastAsia="en-AU"/>
        </w:rPr>
      </w:pPr>
      <w:hyperlink w:anchor="_Toc156569588" w:history="1">
        <w:r w:rsidR="009619D9" w:rsidRPr="00840063">
          <w:rPr>
            <w:rStyle w:val="Hyperlink"/>
            <w:noProof/>
          </w:rPr>
          <w:t>1.2.9</w:t>
        </w:r>
        <w:r w:rsidR="009619D9">
          <w:rPr>
            <w:rFonts w:asciiTheme="minorHAnsi" w:eastAsiaTheme="minorEastAsia" w:hAnsiTheme="minorHAnsi" w:cstheme="minorBidi"/>
            <w:noProof/>
            <w:sz w:val="22"/>
            <w:szCs w:val="22"/>
            <w:lang w:eastAsia="en-AU"/>
          </w:rPr>
          <w:tab/>
        </w:r>
        <w:r w:rsidR="009619D9" w:rsidRPr="00840063">
          <w:rPr>
            <w:rStyle w:val="Hyperlink"/>
            <w:noProof/>
          </w:rPr>
          <w:t>Medical Research</w:t>
        </w:r>
        <w:r w:rsidR="009619D9">
          <w:rPr>
            <w:noProof/>
            <w:webHidden/>
          </w:rPr>
          <w:tab/>
        </w:r>
        <w:r w:rsidR="009619D9">
          <w:rPr>
            <w:noProof/>
            <w:webHidden/>
          </w:rPr>
          <w:fldChar w:fldCharType="begin"/>
        </w:r>
        <w:r w:rsidR="009619D9">
          <w:rPr>
            <w:noProof/>
            <w:webHidden/>
          </w:rPr>
          <w:instrText xml:space="preserve"> PAGEREF _Toc156569588 \h </w:instrText>
        </w:r>
        <w:r w:rsidR="009619D9">
          <w:rPr>
            <w:noProof/>
            <w:webHidden/>
          </w:rPr>
        </w:r>
        <w:r w:rsidR="009619D9">
          <w:rPr>
            <w:noProof/>
            <w:webHidden/>
          </w:rPr>
          <w:fldChar w:fldCharType="separate"/>
        </w:r>
        <w:r w:rsidR="009619D9">
          <w:rPr>
            <w:noProof/>
            <w:webHidden/>
          </w:rPr>
          <w:t>9</w:t>
        </w:r>
        <w:r w:rsidR="009619D9">
          <w:rPr>
            <w:noProof/>
            <w:webHidden/>
          </w:rPr>
          <w:fldChar w:fldCharType="end"/>
        </w:r>
      </w:hyperlink>
    </w:p>
    <w:p w14:paraId="567365EC" w14:textId="6DADD31F" w:rsidR="009619D9" w:rsidRDefault="00000000">
      <w:pPr>
        <w:pStyle w:val="TOC3"/>
        <w:rPr>
          <w:rFonts w:asciiTheme="minorHAnsi" w:eastAsiaTheme="minorEastAsia" w:hAnsiTheme="minorHAnsi" w:cstheme="minorBidi"/>
          <w:noProof/>
          <w:sz w:val="22"/>
          <w:szCs w:val="22"/>
          <w:lang w:eastAsia="en-AU"/>
        </w:rPr>
      </w:pPr>
      <w:hyperlink w:anchor="_Toc156569589" w:history="1">
        <w:r w:rsidR="009619D9" w:rsidRPr="00840063">
          <w:rPr>
            <w:rStyle w:val="Hyperlink"/>
            <w:noProof/>
          </w:rPr>
          <w:t>1.2.10</w:t>
        </w:r>
        <w:r w:rsidR="009619D9">
          <w:rPr>
            <w:rFonts w:asciiTheme="minorHAnsi" w:eastAsiaTheme="minorEastAsia" w:hAnsiTheme="minorHAnsi" w:cstheme="minorBidi"/>
            <w:noProof/>
            <w:sz w:val="22"/>
            <w:szCs w:val="22"/>
            <w:lang w:eastAsia="en-AU"/>
          </w:rPr>
          <w:tab/>
        </w:r>
        <w:r w:rsidR="009619D9" w:rsidRPr="00840063">
          <w:rPr>
            <w:rStyle w:val="Hyperlink"/>
            <w:noProof/>
          </w:rPr>
          <w:t>Mental Health Clinical Care</w:t>
        </w:r>
        <w:r w:rsidR="009619D9">
          <w:rPr>
            <w:noProof/>
            <w:webHidden/>
          </w:rPr>
          <w:tab/>
        </w:r>
        <w:r w:rsidR="009619D9">
          <w:rPr>
            <w:noProof/>
            <w:webHidden/>
          </w:rPr>
          <w:fldChar w:fldCharType="begin"/>
        </w:r>
        <w:r w:rsidR="009619D9">
          <w:rPr>
            <w:noProof/>
            <w:webHidden/>
          </w:rPr>
          <w:instrText xml:space="preserve"> PAGEREF _Toc156569589 \h </w:instrText>
        </w:r>
        <w:r w:rsidR="009619D9">
          <w:rPr>
            <w:noProof/>
            <w:webHidden/>
          </w:rPr>
        </w:r>
        <w:r w:rsidR="009619D9">
          <w:rPr>
            <w:noProof/>
            <w:webHidden/>
          </w:rPr>
          <w:fldChar w:fldCharType="separate"/>
        </w:r>
        <w:r w:rsidR="009619D9">
          <w:rPr>
            <w:noProof/>
            <w:webHidden/>
          </w:rPr>
          <w:t>9</w:t>
        </w:r>
        <w:r w:rsidR="009619D9">
          <w:rPr>
            <w:noProof/>
            <w:webHidden/>
          </w:rPr>
          <w:fldChar w:fldCharType="end"/>
        </w:r>
      </w:hyperlink>
    </w:p>
    <w:p w14:paraId="241A0353" w14:textId="4797C744" w:rsidR="009619D9" w:rsidRDefault="00000000">
      <w:pPr>
        <w:pStyle w:val="TOC3"/>
        <w:rPr>
          <w:rFonts w:asciiTheme="minorHAnsi" w:eastAsiaTheme="minorEastAsia" w:hAnsiTheme="minorHAnsi" w:cstheme="minorBidi"/>
          <w:noProof/>
          <w:sz w:val="22"/>
          <w:szCs w:val="22"/>
          <w:lang w:eastAsia="en-AU"/>
        </w:rPr>
      </w:pPr>
      <w:hyperlink w:anchor="_Toc156569590" w:history="1">
        <w:r w:rsidR="009619D9" w:rsidRPr="00840063">
          <w:rPr>
            <w:rStyle w:val="Hyperlink"/>
            <w:noProof/>
          </w:rPr>
          <w:t>1.2.11</w:t>
        </w:r>
        <w:r w:rsidR="009619D9">
          <w:rPr>
            <w:rFonts w:asciiTheme="minorHAnsi" w:eastAsiaTheme="minorEastAsia" w:hAnsiTheme="minorHAnsi" w:cstheme="minorBidi"/>
            <w:noProof/>
            <w:sz w:val="22"/>
            <w:szCs w:val="22"/>
            <w:lang w:eastAsia="en-AU"/>
          </w:rPr>
          <w:tab/>
        </w:r>
        <w:r w:rsidR="009619D9" w:rsidRPr="00840063">
          <w:rPr>
            <w:rStyle w:val="Hyperlink"/>
            <w:noProof/>
          </w:rPr>
          <w:t>Mental Health Community Support</w:t>
        </w:r>
        <w:r w:rsidR="009619D9">
          <w:rPr>
            <w:noProof/>
            <w:webHidden/>
          </w:rPr>
          <w:tab/>
        </w:r>
        <w:r w:rsidR="009619D9">
          <w:rPr>
            <w:noProof/>
            <w:webHidden/>
          </w:rPr>
          <w:fldChar w:fldCharType="begin"/>
        </w:r>
        <w:r w:rsidR="009619D9">
          <w:rPr>
            <w:noProof/>
            <w:webHidden/>
          </w:rPr>
          <w:instrText xml:space="preserve"> PAGEREF _Toc156569590 \h </w:instrText>
        </w:r>
        <w:r w:rsidR="009619D9">
          <w:rPr>
            <w:noProof/>
            <w:webHidden/>
          </w:rPr>
        </w:r>
        <w:r w:rsidR="009619D9">
          <w:rPr>
            <w:noProof/>
            <w:webHidden/>
          </w:rPr>
          <w:fldChar w:fldCharType="separate"/>
        </w:r>
        <w:r w:rsidR="009619D9">
          <w:rPr>
            <w:noProof/>
            <w:webHidden/>
          </w:rPr>
          <w:t>10</w:t>
        </w:r>
        <w:r w:rsidR="009619D9">
          <w:rPr>
            <w:noProof/>
            <w:webHidden/>
          </w:rPr>
          <w:fldChar w:fldCharType="end"/>
        </w:r>
      </w:hyperlink>
    </w:p>
    <w:p w14:paraId="14FE52E8" w14:textId="7599902B" w:rsidR="009619D9" w:rsidRDefault="00000000">
      <w:pPr>
        <w:pStyle w:val="TOC3"/>
        <w:rPr>
          <w:rFonts w:asciiTheme="minorHAnsi" w:eastAsiaTheme="minorEastAsia" w:hAnsiTheme="minorHAnsi" w:cstheme="minorBidi"/>
          <w:noProof/>
          <w:sz w:val="22"/>
          <w:szCs w:val="22"/>
          <w:lang w:eastAsia="en-AU"/>
        </w:rPr>
      </w:pPr>
      <w:hyperlink w:anchor="_Toc156569591" w:history="1">
        <w:r w:rsidR="009619D9" w:rsidRPr="00840063">
          <w:rPr>
            <w:rStyle w:val="Hyperlink"/>
            <w:noProof/>
          </w:rPr>
          <w:t>1.2.12</w:t>
        </w:r>
        <w:r w:rsidR="009619D9">
          <w:rPr>
            <w:rFonts w:asciiTheme="minorHAnsi" w:eastAsiaTheme="minorEastAsia" w:hAnsiTheme="minorHAnsi" w:cstheme="minorBidi"/>
            <w:noProof/>
            <w:sz w:val="22"/>
            <w:szCs w:val="22"/>
            <w:lang w:eastAsia="en-AU"/>
          </w:rPr>
          <w:tab/>
        </w:r>
        <w:r w:rsidR="009619D9" w:rsidRPr="00840063">
          <w:rPr>
            <w:rStyle w:val="Hyperlink"/>
            <w:noProof/>
          </w:rPr>
          <w:t>Non-Admitted Services</w:t>
        </w:r>
        <w:r w:rsidR="009619D9">
          <w:rPr>
            <w:noProof/>
            <w:webHidden/>
          </w:rPr>
          <w:tab/>
        </w:r>
        <w:r w:rsidR="009619D9">
          <w:rPr>
            <w:noProof/>
            <w:webHidden/>
          </w:rPr>
          <w:fldChar w:fldCharType="begin"/>
        </w:r>
        <w:r w:rsidR="009619D9">
          <w:rPr>
            <w:noProof/>
            <w:webHidden/>
          </w:rPr>
          <w:instrText xml:space="preserve"> PAGEREF _Toc156569591 \h </w:instrText>
        </w:r>
        <w:r w:rsidR="009619D9">
          <w:rPr>
            <w:noProof/>
            <w:webHidden/>
          </w:rPr>
        </w:r>
        <w:r w:rsidR="009619D9">
          <w:rPr>
            <w:noProof/>
            <w:webHidden/>
          </w:rPr>
          <w:fldChar w:fldCharType="separate"/>
        </w:r>
        <w:r w:rsidR="009619D9">
          <w:rPr>
            <w:noProof/>
            <w:webHidden/>
          </w:rPr>
          <w:t>10</w:t>
        </w:r>
        <w:r w:rsidR="009619D9">
          <w:rPr>
            <w:noProof/>
            <w:webHidden/>
          </w:rPr>
          <w:fldChar w:fldCharType="end"/>
        </w:r>
      </w:hyperlink>
    </w:p>
    <w:p w14:paraId="7BBF5A41" w14:textId="79648002" w:rsidR="009619D9" w:rsidRDefault="00000000">
      <w:pPr>
        <w:pStyle w:val="TOC3"/>
        <w:rPr>
          <w:rFonts w:asciiTheme="minorHAnsi" w:eastAsiaTheme="minorEastAsia" w:hAnsiTheme="minorHAnsi" w:cstheme="minorBidi"/>
          <w:noProof/>
          <w:sz w:val="22"/>
          <w:szCs w:val="22"/>
          <w:lang w:eastAsia="en-AU"/>
        </w:rPr>
      </w:pPr>
      <w:hyperlink w:anchor="_Toc156569592" w:history="1">
        <w:r w:rsidR="009619D9" w:rsidRPr="00840063">
          <w:rPr>
            <w:rStyle w:val="Hyperlink"/>
            <w:noProof/>
          </w:rPr>
          <w:t>1.2.13</w:t>
        </w:r>
        <w:r w:rsidR="009619D9">
          <w:rPr>
            <w:rFonts w:asciiTheme="minorHAnsi" w:eastAsiaTheme="minorEastAsia" w:hAnsiTheme="minorHAnsi" w:cstheme="minorBidi"/>
            <w:noProof/>
            <w:sz w:val="22"/>
            <w:szCs w:val="22"/>
            <w:lang w:eastAsia="en-AU"/>
          </w:rPr>
          <w:tab/>
        </w:r>
        <w:r w:rsidR="009619D9" w:rsidRPr="00840063">
          <w:rPr>
            <w:rStyle w:val="Hyperlink"/>
            <w:noProof/>
          </w:rPr>
          <w:t>Residential Aged Care</w:t>
        </w:r>
        <w:r w:rsidR="009619D9">
          <w:rPr>
            <w:noProof/>
            <w:webHidden/>
          </w:rPr>
          <w:tab/>
        </w:r>
        <w:r w:rsidR="009619D9">
          <w:rPr>
            <w:noProof/>
            <w:webHidden/>
          </w:rPr>
          <w:fldChar w:fldCharType="begin"/>
        </w:r>
        <w:r w:rsidR="009619D9">
          <w:rPr>
            <w:noProof/>
            <w:webHidden/>
          </w:rPr>
          <w:instrText xml:space="preserve"> PAGEREF _Toc156569592 \h </w:instrText>
        </w:r>
        <w:r w:rsidR="009619D9">
          <w:rPr>
            <w:noProof/>
            <w:webHidden/>
          </w:rPr>
        </w:r>
        <w:r w:rsidR="009619D9">
          <w:rPr>
            <w:noProof/>
            <w:webHidden/>
          </w:rPr>
          <w:fldChar w:fldCharType="separate"/>
        </w:r>
        <w:r w:rsidR="009619D9">
          <w:rPr>
            <w:noProof/>
            <w:webHidden/>
          </w:rPr>
          <w:t>10</w:t>
        </w:r>
        <w:r w:rsidR="009619D9">
          <w:rPr>
            <w:noProof/>
            <w:webHidden/>
          </w:rPr>
          <w:fldChar w:fldCharType="end"/>
        </w:r>
      </w:hyperlink>
    </w:p>
    <w:p w14:paraId="76F676DB" w14:textId="427F0509" w:rsidR="009619D9" w:rsidRDefault="00000000">
      <w:pPr>
        <w:pStyle w:val="TOC2"/>
        <w:rPr>
          <w:rFonts w:asciiTheme="minorHAnsi" w:eastAsiaTheme="minorEastAsia" w:hAnsiTheme="minorHAnsi" w:cstheme="minorBidi"/>
          <w:b w:val="0"/>
          <w:bCs w:val="0"/>
          <w:sz w:val="22"/>
          <w:szCs w:val="22"/>
          <w:lang w:eastAsia="en-AU"/>
        </w:rPr>
      </w:pPr>
      <w:hyperlink w:anchor="_Toc156569593" w:history="1">
        <w:r w:rsidR="009619D9" w:rsidRPr="00840063">
          <w:rPr>
            <w:rStyle w:val="Hyperlink"/>
          </w:rPr>
          <w:t>1.3</w:t>
        </w:r>
        <w:r w:rsidR="009619D9">
          <w:rPr>
            <w:rFonts w:asciiTheme="minorHAnsi" w:eastAsiaTheme="minorEastAsia" w:hAnsiTheme="minorHAnsi" w:cstheme="minorBidi"/>
            <w:b w:val="0"/>
            <w:bCs w:val="0"/>
            <w:sz w:val="22"/>
            <w:szCs w:val="22"/>
            <w:lang w:eastAsia="en-AU"/>
          </w:rPr>
          <w:tab/>
        </w:r>
        <w:r w:rsidR="009619D9" w:rsidRPr="00840063">
          <w:rPr>
            <w:rStyle w:val="Hyperlink"/>
          </w:rPr>
          <w:t>Asset initiatives</w:t>
        </w:r>
        <w:r w:rsidR="009619D9">
          <w:rPr>
            <w:webHidden/>
          </w:rPr>
          <w:tab/>
        </w:r>
        <w:r w:rsidR="009619D9">
          <w:rPr>
            <w:webHidden/>
          </w:rPr>
          <w:fldChar w:fldCharType="begin"/>
        </w:r>
        <w:r w:rsidR="009619D9">
          <w:rPr>
            <w:webHidden/>
          </w:rPr>
          <w:instrText xml:space="preserve"> PAGEREF _Toc156569593 \h </w:instrText>
        </w:r>
        <w:r w:rsidR="009619D9">
          <w:rPr>
            <w:webHidden/>
          </w:rPr>
        </w:r>
        <w:r w:rsidR="009619D9">
          <w:rPr>
            <w:webHidden/>
          </w:rPr>
          <w:fldChar w:fldCharType="separate"/>
        </w:r>
        <w:r w:rsidR="009619D9">
          <w:rPr>
            <w:webHidden/>
          </w:rPr>
          <w:t>11</w:t>
        </w:r>
        <w:r w:rsidR="009619D9">
          <w:rPr>
            <w:webHidden/>
          </w:rPr>
          <w:fldChar w:fldCharType="end"/>
        </w:r>
      </w:hyperlink>
    </w:p>
    <w:p w14:paraId="683AAA84" w14:textId="4CF39F06" w:rsidR="009619D9" w:rsidRDefault="00000000">
      <w:pPr>
        <w:pStyle w:val="TOC2"/>
        <w:rPr>
          <w:rFonts w:asciiTheme="minorHAnsi" w:eastAsiaTheme="minorEastAsia" w:hAnsiTheme="minorHAnsi" w:cstheme="minorBidi"/>
          <w:b w:val="0"/>
          <w:bCs w:val="0"/>
          <w:sz w:val="22"/>
          <w:szCs w:val="22"/>
          <w:lang w:eastAsia="en-AU"/>
        </w:rPr>
      </w:pPr>
      <w:hyperlink w:anchor="_Toc156569594" w:history="1">
        <w:r w:rsidR="009619D9" w:rsidRPr="00840063">
          <w:rPr>
            <w:rStyle w:val="Hyperlink"/>
          </w:rPr>
          <w:t>1.4</w:t>
        </w:r>
        <w:r w:rsidR="009619D9">
          <w:rPr>
            <w:rFonts w:asciiTheme="minorHAnsi" w:eastAsiaTheme="minorEastAsia" w:hAnsiTheme="minorHAnsi" w:cstheme="minorBidi"/>
            <w:b w:val="0"/>
            <w:bCs w:val="0"/>
            <w:sz w:val="22"/>
            <w:szCs w:val="22"/>
            <w:lang w:eastAsia="en-AU"/>
          </w:rPr>
          <w:tab/>
        </w:r>
        <w:r w:rsidR="009619D9" w:rsidRPr="00840063">
          <w:rPr>
            <w:rStyle w:val="Hyperlink"/>
          </w:rPr>
          <w:t>National programs</w:t>
        </w:r>
        <w:r w:rsidR="009619D9">
          <w:rPr>
            <w:webHidden/>
          </w:rPr>
          <w:tab/>
        </w:r>
        <w:r w:rsidR="009619D9">
          <w:rPr>
            <w:webHidden/>
          </w:rPr>
          <w:fldChar w:fldCharType="begin"/>
        </w:r>
        <w:r w:rsidR="009619D9">
          <w:rPr>
            <w:webHidden/>
          </w:rPr>
          <w:instrText xml:space="preserve"> PAGEREF _Toc156569594 \h </w:instrText>
        </w:r>
        <w:r w:rsidR="009619D9">
          <w:rPr>
            <w:webHidden/>
          </w:rPr>
        </w:r>
        <w:r w:rsidR="009619D9">
          <w:rPr>
            <w:webHidden/>
          </w:rPr>
          <w:fldChar w:fldCharType="separate"/>
        </w:r>
        <w:r w:rsidR="009619D9">
          <w:rPr>
            <w:webHidden/>
          </w:rPr>
          <w:t>14</w:t>
        </w:r>
        <w:r w:rsidR="009619D9">
          <w:rPr>
            <w:webHidden/>
          </w:rPr>
          <w:fldChar w:fldCharType="end"/>
        </w:r>
      </w:hyperlink>
    </w:p>
    <w:p w14:paraId="2DAC66A4" w14:textId="229E4C88" w:rsidR="009619D9" w:rsidRDefault="00000000">
      <w:pPr>
        <w:pStyle w:val="TOC3"/>
        <w:rPr>
          <w:rFonts w:asciiTheme="minorHAnsi" w:eastAsiaTheme="minorEastAsia" w:hAnsiTheme="minorHAnsi" w:cstheme="minorBidi"/>
          <w:noProof/>
          <w:sz w:val="22"/>
          <w:szCs w:val="22"/>
          <w:lang w:eastAsia="en-AU"/>
        </w:rPr>
      </w:pPr>
      <w:hyperlink w:anchor="_Toc156569595" w:history="1">
        <w:r w:rsidR="009619D9" w:rsidRPr="00840063">
          <w:rPr>
            <w:rStyle w:val="Hyperlink"/>
            <w:noProof/>
          </w:rPr>
          <w:t>1.4.1</w:t>
        </w:r>
        <w:r w:rsidR="009619D9">
          <w:rPr>
            <w:rFonts w:asciiTheme="minorHAnsi" w:eastAsiaTheme="minorEastAsia" w:hAnsiTheme="minorHAnsi" w:cstheme="minorBidi"/>
            <w:noProof/>
            <w:sz w:val="22"/>
            <w:szCs w:val="22"/>
            <w:lang w:eastAsia="en-AU"/>
          </w:rPr>
          <w:tab/>
        </w:r>
        <w:r w:rsidR="009619D9" w:rsidRPr="00840063">
          <w:rPr>
            <w:rStyle w:val="Hyperlink"/>
            <w:noProof/>
          </w:rPr>
          <w:t>Transition Care Program</w:t>
        </w:r>
        <w:r w:rsidR="009619D9">
          <w:rPr>
            <w:noProof/>
            <w:webHidden/>
          </w:rPr>
          <w:tab/>
        </w:r>
        <w:r w:rsidR="009619D9">
          <w:rPr>
            <w:noProof/>
            <w:webHidden/>
          </w:rPr>
          <w:fldChar w:fldCharType="begin"/>
        </w:r>
        <w:r w:rsidR="009619D9">
          <w:rPr>
            <w:noProof/>
            <w:webHidden/>
          </w:rPr>
          <w:instrText xml:space="preserve"> PAGEREF _Toc156569595 \h </w:instrText>
        </w:r>
        <w:r w:rsidR="009619D9">
          <w:rPr>
            <w:noProof/>
            <w:webHidden/>
          </w:rPr>
        </w:r>
        <w:r w:rsidR="009619D9">
          <w:rPr>
            <w:noProof/>
            <w:webHidden/>
          </w:rPr>
          <w:fldChar w:fldCharType="separate"/>
        </w:r>
        <w:r w:rsidR="009619D9">
          <w:rPr>
            <w:noProof/>
            <w:webHidden/>
          </w:rPr>
          <w:t>14</w:t>
        </w:r>
        <w:r w:rsidR="009619D9">
          <w:rPr>
            <w:noProof/>
            <w:webHidden/>
          </w:rPr>
          <w:fldChar w:fldCharType="end"/>
        </w:r>
      </w:hyperlink>
    </w:p>
    <w:p w14:paraId="49EA6F81" w14:textId="2EEDA9F6" w:rsidR="009619D9" w:rsidRDefault="00000000">
      <w:pPr>
        <w:pStyle w:val="TOC3"/>
        <w:rPr>
          <w:rFonts w:asciiTheme="minorHAnsi" w:eastAsiaTheme="minorEastAsia" w:hAnsiTheme="minorHAnsi" w:cstheme="minorBidi"/>
          <w:noProof/>
          <w:sz w:val="22"/>
          <w:szCs w:val="22"/>
          <w:lang w:eastAsia="en-AU"/>
        </w:rPr>
      </w:pPr>
      <w:hyperlink w:anchor="_Toc156569596" w:history="1">
        <w:r w:rsidR="009619D9" w:rsidRPr="00840063">
          <w:rPr>
            <w:rStyle w:val="Hyperlink"/>
            <w:noProof/>
          </w:rPr>
          <w:t>1.4.2</w:t>
        </w:r>
        <w:r w:rsidR="009619D9">
          <w:rPr>
            <w:rFonts w:asciiTheme="minorHAnsi" w:eastAsiaTheme="minorEastAsia" w:hAnsiTheme="minorHAnsi" w:cstheme="minorBidi"/>
            <w:noProof/>
            <w:sz w:val="22"/>
            <w:szCs w:val="22"/>
            <w:lang w:eastAsia="en-AU"/>
          </w:rPr>
          <w:tab/>
        </w:r>
        <w:r w:rsidR="009619D9" w:rsidRPr="00840063">
          <w:rPr>
            <w:rStyle w:val="Hyperlink"/>
            <w:noProof/>
          </w:rPr>
          <w:t>National Bowel Cancer Screening Program</w:t>
        </w:r>
        <w:r w:rsidR="009619D9">
          <w:rPr>
            <w:noProof/>
            <w:webHidden/>
          </w:rPr>
          <w:tab/>
        </w:r>
        <w:r w:rsidR="009619D9">
          <w:rPr>
            <w:noProof/>
            <w:webHidden/>
          </w:rPr>
          <w:fldChar w:fldCharType="begin"/>
        </w:r>
        <w:r w:rsidR="009619D9">
          <w:rPr>
            <w:noProof/>
            <w:webHidden/>
          </w:rPr>
          <w:instrText xml:space="preserve"> PAGEREF _Toc156569596 \h </w:instrText>
        </w:r>
        <w:r w:rsidR="009619D9">
          <w:rPr>
            <w:noProof/>
            <w:webHidden/>
          </w:rPr>
        </w:r>
        <w:r w:rsidR="009619D9">
          <w:rPr>
            <w:noProof/>
            <w:webHidden/>
          </w:rPr>
          <w:fldChar w:fldCharType="separate"/>
        </w:r>
        <w:r w:rsidR="009619D9">
          <w:rPr>
            <w:noProof/>
            <w:webHidden/>
          </w:rPr>
          <w:t>14</w:t>
        </w:r>
        <w:r w:rsidR="009619D9">
          <w:rPr>
            <w:noProof/>
            <w:webHidden/>
          </w:rPr>
          <w:fldChar w:fldCharType="end"/>
        </w:r>
      </w:hyperlink>
    </w:p>
    <w:p w14:paraId="41C47E1B" w14:textId="3E827EA3" w:rsidR="009619D9" w:rsidRDefault="00000000">
      <w:pPr>
        <w:pStyle w:val="TOC2"/>
        <w:rPr>
          <w:rFonts w:asciiTheme="minorHAnsi" w:eastAsiaTheme="minorEastAsia" w:hAnsiTheme="minorHAnsi" w:cstheme="minorBidi"/>
          <w:b w:val="0"/>
          <w:bCs w:val="0"/>
          <w:sz w:val="22"/>
          <w:szCs w:val="22"/>
          <w:lang w:eastAsia="en-AU"/>
        </w:rPr>
      </w:pPr>
      <w:hyperlink w:anchor="_Toc156569597" w:history="1">
        <w:r w:rsidR="009619D9" w:rsidRPr="00840063">
          <w:rPr>
            <w:rStyle w:val="Hyperlink"/>
          </w:rPr>
          <w:t>1.5</w:t>
        </w:r>
        <w:r w:rsidR="009619D9">
          <w:rPr>
            <w:rFonts w:asciiTheme="minorHAnsi" w:eastAsiaTheme="minorEastAsia" w:hAnsiTheme="minorHAnsi" w:cstheme="minorBidi"/>
            <w:b w:val="0"/>
            <w:bCs w:val="0"/>
            <w:sz w:val="22"/>
            <w:szCs w:val="22"/>
            <w:lang w:eastAsia="en-AU"/>
          </w:rPr>
          <w:tab/>
        </w:r>
        <w:r w:rsidR="009619D9" w:rsidRPr="00840063">
          <w:rPr>
            <w:rStyle w:val="Hyperlink"/>
          </w:rPr>
          <w:t>Pricing and funding</w:t>
        </w:r>
        <w:r w:rsidR="009619D9">
          <w:rPr>
            <w:webHidden/>
          </w:rPr>
          <w:tab/>
        </w:r>
        <w:r w:rsidR="009619D9">
          <w:rPr>
            <w:webHidden/>
          </w:rPr>
          <w:fldChar w:fldCharType="begin"/>
        </w:r>
        <w:r w:rsidR="009619D9">
          <w:rPr>
            <w:webHidden/>
          </w:rPr>
          <w:instrText xml:space="preserve"> PAGEREF _Toc156569597 \h </w:instrText>
        </w:r>
        <w:r w:rsidR="009619D9">
          <w:rPr>
            <w:webHidden/>
          </w:rPr>
        </w:r>
        <w:r w:rsidR="009619D9">
          <w:rPr>
            <w:webHidden/>
          </w:rPr>
          <w:fldChar w:fldCharType="separate"/>
        </w:r>
        <w:r w:rsidR="009619D9">
          <w:rPr>
            <w:webHidden/>
          </w:rPr>
          <w:t>16</w:t>
        </w:r>
        <w:r w:rsidR="009619D9">
          <w:rPr>
            <w:webHidden/>
          </w:rPr>
          <w:fldChar w:fldCharType="end"/>
        </w:r>
      </w:hyperlink>
    </w:p>
    <w:p w14:paraId="2A26AE46" w14:textId="0D9D9D0B" w:rsidR="009619D9" w:rsidRDefault="00000000">
      <w:pPr>
        <w:pStyle w:val="TOC3"/>
        <w:rPr>
          <w:rFonts w:asciiTheme="minorHAnsi" w:eastAsiaTheme="minorEastAsia" w:hAnsiTheme="minorHAnsi" w:cstheme="minorBidi"/>
          <w:noProof/>
          <w:sz w:val="22"/>
          <w:szCs w:val="22"/>
          <w:lang w:eastAsia="en-AU"/>
        </w:rPr>
      </w:pPr>
      <w:hyperlink w:anchor="_Toc156569598" w:history="1">
        <w:r w:rsidR="009619D9" w:rsidRPr="00840063">
          <w:rPr>
            <w:rStyle w:val="Hyperlink"/>
            <w:noProof/>
          </w:rPr>
          <w:t>1.5.1</w:t>
        </w:r>
        <w:r w:rsidR="009619D9">
          <w:rPr>
            <w:rFonts w:asciiTheme="minorHAnsi" w:eastAsiaTheme="minorEastAsia" w:hAnsiTheme="minorHAnsi" w:cstheme="minorBidi"/>
            <w:noProof/>
            <w:sz w:val="22"/>
            <w:szCs w:val="22"/>
            <w:lang w:eastAsia="en-AU"/>
          </w:rPr>
          <w:tab/>
        </w:r>
        <w:r w:rsidR="009619D9" w:rsidRPr="00840063">
          <w:rPr>
            <w:rStyle w:val="Hyperlink"/>
            <w:noProof/>
          </w:rPr>
          <w:t>Pricing and funding framework</w:t>
        </w:r>
        <w:r w:rsidR="009619D9">
          <w:rPr>
            <w:noProof/>
            <w:webHidden/>
          </w:rPr>
          <w:tab/>
        </w:r>
        <w:r w:rsidR="009619D9">
          <w:rPr>
            <w:noProof/>
            <w:webHidden/>
          </w:rPr>
          <w:fldChar w:fldCharType="begin"/>
        </w:r>
        <w:r w:rsidR="009619D9">
          <w:rPr>
            <w:noProof/>
            <w:webHidden/>
          </w:rPr>
          <w:instrText xml:space="preserve"> PAGEREF _Toc156569598 \h </w:instrText>
        </w:r>
        <w:r w:rsidR="009619D9">
          <w:rPr>
            <w:noProof/>
            <w:webHidden/>
          </w:rPr>
        </w:r>
        <w:r w:rsidR="009619D9">
          <w:rPr>
            <w:noProof/>
            <w:webHidden/>
          </w:rPr>
          <w:fldChar w:fldCharType="separate"/>
        </w:r>
        <w:r w:rsidR="009619D9">
          <w:rPr>
            <w:noProof/>
            <w:webHidden/>
          </w:rPr>
          <w:t>16</w:t>
        </w:r>
        <w:r w:rsidR="009619D9">
          <w:rPr>
            <w:noProof/>
            <w:webHidden/>
          </w:rPr>
          <w:fldChar w:fldCharType="end"/>
        </w:r>
      </w:hyperlink>
    </w:p>
    <w:p w14:paraId="28F86C74" w14:textId="35AA78D8" w:rsidR="009619D9" w:rsidRDefault="00000000">
      <w:pPr>
        <w:pStyle w:val="TOC3"/>
        <w:rPr>
          <w:rFonts w:asciiTheme="minorHAnsi" w:eastAsiaTheme="minorEastAsia" w:hAnsiTheme="minorHAnsi" w:cstheme="minorBidi"/>
          <w:noProof/>
          <w:sz w:val="22"/>
          <w:szCs w:val="22"/>
          <w:lang w:eastAsia="en-AU"/>
        </w:rPr>
      </w:pPr>
      <w:hyperlink w:anchor="_Toc156569599" w:history="1">
        <w:r w:rsidR="009619D9" w:rsidRPr="00840063">
          <w:rPr>
            <w:rStyle w:val="Hyperlink"/>
            <w:noProof/>
          </w:rPr>
          <w:t>1.5.2</w:t>
        </w:r>
        <w:r w:rsidR="009619D9">
          <w:rPr>
            <w:rFonts w:asciiTheme="minorHAnsi" w:eastAsiaTheme="minorEastAsia" w:hAnsiTheme="minorHAnsi" w:cstheme="minorBidi"/>
            <w:noProof/>
            <w:sz w:val="22"/>
            <w:szCs w:val="22"/>
            <w:lang w:eastAsia="en-AU"/>
          </w:rPr>
          <w:tab/>
        </w:r>
        <w:r w:rsidR="009619D9" w:rsidRPr="00840063">
          <w:rPr>
            <w:rStyle w:val="Hyperlink"/>
            <w:noProof/>
          </w:rPr>
          <w:t>Commonwealth funding</w:t>
        </w:r>
        <w:r w:rsidR="009619D9">
          <w:rPr>
            <w:noProof/>
            <w:webHidden/>
          </w:rPr>
          <w:tab/>
        </w:r>
        <w:r w:rsidR="009619D9">
          <w:rPr>
            <w:noProof/>
            <w:webHidden/>
          </w:rPr>
          <w:fldChar w:fldCharType="begin"/>
        </w:r>
        <w:r w:rsidR="009619D9">
          <w:rPr>
            <w:noProof/>
            <w:webHidden/>
          </w:rPr>
          <w:instrText xml:space="preserve"> PAGEREF _Toc156569599 \h </w:instrText>
        </w:r>
        <w:r w:rsidR="009619D9">
          <w:rPr>
            <w:noProof/>
            <w:webHidden/>
          </w:rPr>
        </w:r>
        <w:r w:rsidR="009619D9">
          <w:rPr>
            <w:noProof/>
            <w:webHidden/>
          </w:rPr>
          <w:fldChar w:fldCharType="separate"/>
        </w:r>
        <w:r w:rsidR="009619D9">
          <w:rPr>
            <w:noProof/>
            <w:webHidden/>
          </w:rPr>
          <w:t>16</w:t>
        </w:r>
        <w:r w:rsidR="009619D9">
          <w:rPr>
            <w:noProof/>
            <w:webHidden/>
          </w:rPr>
          <w:fldChar w:fldCharType="end"/>
        </w:r>
      </w:hyperlink>
    </w:p>
    <w:p w14:paraId="5D655A62" w14:textId="2021D590" w:rsidR="009619D9" w:rsidRDefault="00000000">
      <w:pPr>
        <w:pStyle w:val="TOC3"/>
        <w:rPr>
          <w:rFonts w:asciiTheme="minorHAnsi" w:eastAsiaTheme="minorEastAsia" w:hAnsiTheme="minorHAnsi" w:cstheme="minorBidi"/>
          <w:noProof/>
          <w:sz w:val="22"/>
          <w:szCs w:val="22"/>
          <w:lang w:eastAsia="en-AU"/>
        </w:rPr>
      </w:pPr>
      <w:hyperlink w:anchor="_Toc156569600" w:history="1">
        <w:r w:rsidR="009619D9" w:rsidRPr="00840063">
          <w:rPr>
            <w:rStyle w:val="Hyperlink"/>
            <w:rFonts w:eastAsia="Arial"/>
            <w:noProof/>
          </w:rPr>
          <w:t>1.5.3</w:t>
        </w:r>
        <w:r w:rsidR="009619D9">
          <w:rPr>
            <w:rFonts w:asciiTheme="minorHAnsi" w:eastAsiaTheme="minorEastAsia" w:hAnsiTheme="minorHAnsi" w:cstheme="minorBidi"/>
            <w:noProof/>
            <w:sz w:val="22"/>
            <w:szCs w:val="22"/>
            <w:lang w:eastAsia="en-AU"/>
          </w:rPr>
          <w:tab/>
        </w:r>
        <w:r w:rsidR="009619D9" w:rsidRPr="00840063">
          <w:rPr>
            <w:rStyle w:val="Hyperlink"/>
            <w:noProof/>
          </w:rPr>
          <w:t>Funding reforms 2023–24</w:t>
        </w:r>
        <w:r w:rsidR="009619D9">
          <w:rPr>
            <w:noProof/>
            <w:webHidden/>
          </w:rPr>
          <w:tab/>
        </w:r>
        <w:r w:rsidR="009619D9">
          <w:rPr>
            <w:noProof/>
            <w:webHidden/>
          </w:rPr>
          <w:fldChar w:fldCharType="begin"/>
        </w:r>
        <w:r w:rsidR="009619D9">
          <w:rPr>
            <w:noProof/>
            <w:webHidden/>
          </w:rPr>
          <w:instrText xml:space="preserve"> PAGEREF _Toc156569600 \h </w:instrText>
        </w:r>
        <w:r w:rsidR="009619D9">
          <w:rPr>
            <w:noProof/>
            <w:webHidden/>
          </w:rPr>
        </w:r>
        <w:r w:rsidR="009619D9">
          <w:rPr>
            <w:noProof/>
            <w:webHidden/>
          </w:rPr>
          <w:fldChar w:fldCharType="separate"/>
        </w:r>
        <w:r w:rsidR="009619D9">
          <w:rPr>
            <w:noProof/>
            <w:webHidden/>
          </w:rPr>
          <w:t>17</w:t>
        </w:r>
        <w:r w:rsidR="009619D9">
          <w:rPr>
            <w:noProof/>
            <w:webHidden/>
          </w:rPr>
          <w:fldChar w:fldCharType="end"/>
        </w:r>
      </w:hyperlink>
    </w:p>
    <w:p w14:paraId="14493CF1" w14:textId="67393EC9" w:rsidR="009619D9" w:rsidRDefault="00000000">
      <w:pPr>
        <w:pStyle w:val="TOC2"/>
        <w:rPr>
          <w:rFonts w:asciiTheme="minorHAnsi" w:eastAsiaTheme="minorEastAsia" w:hAnsiTheme="minorHAnsi" w:cstheme="minorBidi"/>
          <w:b w:val="0"/>
          <w:bCs w:val="0"/>
          <w:sz w:val="22"/>
          <w:szCs w:val="22"/>
          <w:lang w:eastAsia="en-AU"/>
        </w:rPr>
      </w:pPr>
      <w:hyperlink w:anchor="_Toc156569601" w:history="1">
        <w:r w:rsidR="009619D9" w:rsidRPr="00840063">
          <w:rPr>
            <w:rStyle w:val="Hyperlink"/>
          </w:rPr>
          <w:t>1.6</w:t>
        </w:r>
        <w:r w:rsidR="009619D9">
          <w:rPr>
            <w:rFonts w:asciiTheme="minorHAnsi" w:eastAsiaTheme="minorEastAsia" w:hAnsiTheme="minorHAnsi" w:cstheme="minorBidi"/>
            <w:b w:val="0"/>
            <w:bCs w:val="0"/>
            <w:sz w:val="22"/>
            <w:szCs w:val="22"/>
            <w:lang w:eastAsia="en-AU"/>
          </w:rPr>
          <w:tab/>
        </w:r>
        <w:r w:rsidR="009619D9" w:rsidRPr="00840063">
          <w:rPr>
            <w:rStyle w:val="Hyperlink"/>
          </w:rPr>
          <w:t>National funding arrangements</w:t>
        </w:r>
        <w:r w:rsidR="009619D9">
          <w:rPr>
            <w:webHidden/>
          </w:rPr>
          <w:tab/>
        </w:r>
        <w:r w:rsidR="009619D9">
          <w:rPr>
            <w:webHidden/>
          </w:rPr>
          <w:fldChar w:fldCharType="begin"/>
        </w:r>
        <w:r w:rsidR="009619D9">
          <w:rPr>
            <w:webHidden/>
          </w:rPr>
          <w:instrText xml:space="preserve"> PAGEREF _Toc156569601 \h </w:instrText>
        </w:r>
        <w:r w:rsidR="009619D9">
          <w:rPr>
            <w:webHidden/>
          </w:rPr>
        </w:r>
        <w:r w:rsidR="009619D9">
          <w:rPr>
            <w:webHidden/>
          </w:rPr>
          <w:fldChar w:fldCharType="separate"/>
        </w:r>
        <w:r w:rsidR="009619D9">
          <w:rPr>
            <w:webHidden/>
          </w:rPr>
          <w:t>21</w:t>
        </w:r>
        <w:r w:rsidR="009619D9">
          <w:rPr>
            <w:webHidden/>
          </w:rPr>
          <w:fldChar w:fldCharType="end"/>
        </w:r>
      </w:hyperlink>
    </w:p>
    <w:p w14:paraId="58B3AD23" w14:textId="22AF6D23" w:rsidR="009619D9" w:rsidRDefault="00000000">
      <w:pPr>
        <w:pStyle w:val="TOC3"/>
        <w:rPr>
          <w:rFonts w:asciiTheme="minorHAnsi" w:eastAsiaTheme="minorEastAsia" w:hAnsiTheme="minorHAnsi" w:cstheme="minorBidi"/>
          <w:noProof/>
          <w:sz w:val="22"/>
          <w:szCs w:val="22"/>
          <w:lang w:eastAsia="en-AU"/>
        </w:rPr>
      </w:pPr>
      <w:hyperlink w:anchor="_Toc156569602" w:history="1">
        <w:r w:rsidR="009619D9" w:rsidRPr="00840063">
          <w:rPr>
            <w:rStyle w:val="Hyperlink"/>
            <w:noProof/>
          </w:rPr>
          <w:t>1.6.1</w:t>
        </w:r>
        <w:r w:rsidR="009619D9">
          <w:rPr>
            <w:rFonts w:asciiTheme="minorHAnsi" w:eastAsiaTheme="minorEastAsia" w:hAnsiTheme="minorHAnsi" w:cstheme="minorBidi"/>
            <w:noProof/>
            <w:sz w:val="22"/>
            <w:szCs w:val="22"/>
            <w:lang w:eastAsia="en-AU"/>
          </w:rPr>
          <w:tab/>
        </w:r>
        <w:r w:rsidR="009619D9" w:rsidRPr="00840063">
          <w:rPr>
            <w:rStyle w:val="Hyperlink"/>
            <w:noProof/>
          </w:rPr>
          <w:t>Pricing framework for Australian public hospitals</w:t>
        </w:r>
        <w:r w:rsidR="009619D9">
          <w:rPr>
            <w:noProof/>
            <w:webHidden/>
          </w:rPr>
          <w:tab/>
        </w:r>
        <w:r w:rsidR="009619D9">
          <w:rPr>
            <w:noProof/>
            <w:webHidden/>
          </w:rPr>
          <w:fldChar w:fldCharType="begin"/>
        </w:r>
        <w:r w:rsidR="009619D9">
          <w:rPr>
            <w:noProof/>
            <w:webHidden/>
          </w:rPr>
          <w:instrText xml:space="preserve"> PAGEREF _Toc156569602 \h </w:instrText>
        </w:r>
        <w:r w:rsidR="009619D9">
          <w:rPr>
            <w:noProof/>
            <w:webHidden/>
          </w:rPr>
        </w:r>
        <w:r w:rsidR="009619D9">
          <w:rPr>
            <w:noProof/>
            <w:webHidden/>
          </w:rPr>
          <w:fldChar w:fldCharType="separate"/>
        </w:r>
        <w:r w:rsidR="009619D9">
          <w:rPr>
            <w:noProof/>
            <w:webHidden/>
          </w:rPr>
          <w:t>21</w:t>
        </w:r>
        <w:r w:rsidR="009619D9">
          <w:rPr>
            <w:noProof/>
            <w:webHidden/>
          </w:rPr>
          <w:fldChar w:fldCharType="end"/>
        </w:r>
      </w:hyperlink>
    </w:p>
    <w:p w14:paraId="0005EB6A" w14:textId="3C9569AC" w:rsidR="009619D9" w:rsidRDefault="00000000">
      <w:pPr>
        <w:pStyle w:val="TOC3"/>
        <w:rPr>
          <w:rFonts w:asciiTheme="minorHAnsi" w:eastAsiaTheme="minorEastAsia" w:hAnsiTheme="minorHAnsi" w:cstheme="minorBidi"/>
          <w:noProof/>
          <w:sz w:val="22"/>
          <w:szCs w:val="22"/>
          <w:lang w:eastAsia="en-AU"/>
        </w:rPr>
      </w:pPr>
      <w:hyperlink w:anchor="_Toc156569603" w:history="1">
        <w:r w:rsidR="009619D9" w:rsidRPr="00840063">
          <w:rPr>
            <w:rStyle w:val="Hyperlink"/>
            <w:noProof/>
          </w:rPr>
          <w:t>1.6.2</w:t>
        </w:r>
        <w:r w:rsidR="009619D9">
          <w:rPr>
            <w:rFonts w:asciiTheme="minorHAnsi" w:eastAsiaTheme="minorEastAsia" w:hAnsiTheme="minorHAnsi" w:cstheme="minorBidi"/>
            <w:noProof/>
            <w:sz w:val="22"/>
            <w:szCs w:val="22"/>
            <w:lang w:eastAsia="en-AU"/>
          </w:rPr>
          <w:tab/>
        </w:r>
        <w:r w:rsidR="009619D9" w:rsidRPr="00840063">
          <w:rPr>
            <w:rStyle w:val="Hyperlink"/>
            <w:noProof/>
          </w:rPr>
          <w:t>Victorian alignment with the national funding model</w:t>
        </w:r>
        <w:r w:rsidR="009619D9">
          <w:rPr>
            <w:noProof/>
            <w:webHidden/>
          </w:rPr>
          <w:tab/>
        </w:r>
        <w:r w:rsidR="009619D9">
          <w:rPr>
            <w:noProof/>
            <w:webHidden/>
          </w:rPr>
          <w:fldChar w:fldCharType="begin"/>
        </w:r>
        <w:r w:rsidR="009619D9">
          <w:rPr>
            <w:noProof/>
            <w:webHidden/>
          </w:rPr>
          <w:instrText xml:space="preserve"> PAGEREF _Toc156569603 \h </w:instrText>
        </w:r>
        <w:r w:rsidR="009619D9">
          <w:rPr>
            <w:noProof/>
            <w:webHidden/>
          </w:rPr>
        </w:r>
        <w:r w:rsidR="009619D9">
          <w:rPr>
            <w:noProof/>
            <w:webHidden/>
          </w:rPr>
          <w:fldChar w:fldCharType="separate"/>
        </w:r>
        <w:r w:rsidR="009619D9">
          <w:rPr>
            <w:noProof/>
            <w:webHidden/>
          </w:rPr>
          <w:t>23</w:t>
        </w:r>
        <w:r w:rsidR="009619D9">
          <w:rPr>
            <w:noProof/>
            <w:webHidden/>
          </w:rPr>
          <w:fldChar w:fldCharType="end"/>
        </w:r>
      </w:hyperlink>
    </w:p>
    <w:p w14:paraId="7E24F0DC" w14:textId="50DD4C8D" w:rsidR="009619D9" w:rsidRDefault="00000000">
      <w:pPr>
        <w:pStyle w:val="TOC2"/>
        <w:rPr>
          <w:rFonts w:asciiTheme="minorHAnsi" w:eastAsiaTheme="minorEastAsia" w:hAnsiTheme="minorHAnsi" w:cstheme="minorBidi"/>
          <w:b w:val="0"/>
          <w:bCs w:val="0"/>
          <w:sz w:val="22"/>
          <w:szCs w:val="22"/>
          <w:lang w:eastAsia="en-AU"/>
        </w:rPr>
      </w:pPr>
      <w:hyperlink w:anchor="_Toc156569604" w:history="1">
        <w:r w:rsidR="009619D9" w:rsidRPr="00840063">
          <w:rPr>
            <w:rStyle w:val="Hyperlink"/>
          </w:rPr>
          <w:t>1.7</w:t>
        </w:r>
        <w:r w:rsidR="009619D9">
          <w:rPr>
            <w:rFonts w:asciiTheme="minorHAnsi" w:eastAsiaTheme="minorEastAsia" w:hAnsiTheme="minorHAnsi" w:cstheme="minorBidi"/>
            <w:b w:val="0"/>
            <w:bCs w:val="0"/>
            <w:sz w:val="22"/>
            <w:szCs w:val="22"/>
            <w:lang w:eastAsia="en-AU"/>
          </w:rPr>
          <w:tab/>
        </w:r>
        <w:r w:rsidR="009619D9" w:rsidRPr="00840063">
          <w:rPr>
            <w:rStyle w:val="Hyperlink"/>
          </w:rPr>
          <w:t>Pricing for quality</w:t>
        </w:r>
        <w:r w:rsidR="009619D9">
          <w:rPr>
            <w:webHidden/>
          </w:rPr>
          <w:tab/>
        </w:r>
        <w:r w:rsidR="009619D9">
          <w:rPr>
            <w:webHidden/>
          </w:rPr>
          <w:fldChar w:fldCharType="begin"/>
        </w:r>
        <w:r w:rsidR="009619D9">
          <w:rPr>
            <w:webHidden/>
          </w:rPr>
          <w:instrText xml:space="preserve"> PAGEREF _Toc156569604 \h </w:instrText>
        </w:r>
        <w:r w:rsidR="009619D9">
          <w:rPr>
            <w:webHidden/>
          </w:rPr>
        </w:r>
        <w:r w:rsidR="009619D9">
          <w:rPr>
            <w:webHidden/>
          </w:rPr>
          <w:fldChar w:fldCharType="separate"/>
        </w:r>
        <w:r w:rsidR="009619D9">
          <w:rPr>
            <w:webHidden/>
          </w:rPr>
          <w:t>25</w:t>
        </w:r>
        <w:r w:rsidR="009619D9">
          <w:rPr>
            <w:webHidden/>
          </w:rPr>
          <w:fldChar w:fldCharType="end"/>
        </w:r>
      </w:hyperlink>
    </w:p>
    <w:p w14:paraId="6A392055" w14:textId="11DB1FFA" w:rsidR="009619D9" w:rsidRDefault="00000000">
      <w:pPr>
        <w:pStyle w:val="TOC3"/>
        <w:rPr>
          <w:rFonts w:asciiTheme="minorHAnsi" w:eastAsiaTheme="minorEastAsia" w:hAnsiTheme="minorHAnsi" w:cstheme="minorBidi"/>
          <w:noProof/>
          <w:sz w:val="22"/>
          <w:szCs w:val="22"/>
          <w:lang w:eastAsia="en-AU"/>
        </w:rPr>
      </w:pPr>
      <w:hyperlink w:anchor="_Toc156569605" w:history="1">
        <w:r w:rsidR="009619D9" w:rsidRPr="00840063">
          <w:rPr>
            <w:rStyle w:val="Hyperlink"/>
            <w:noProof/>
            <w:lang w:eastAsia="en-AU"/>
          </w:rPr>
          <w:t>1.7.1</w:t>
        </w:r>
        <w:r w:rsidR="009619D9">
          <w:rPr>
            <w:rFonts w:asciiTheme="minorHAnsi" w:eastAsiaTheme="minorEastAsia" w:hAnsiTheme="minorHAnsi" w:cstheme="minorBidi"/>
            <w:noProof/>
            <w:sz w:val="22"/>
            <w:szCs w:val="22"/>
            <w:lang w:eastAsia="en-AU"/>
          </w:rPr>
          <w:tab/>
        </w:r>
        <w:r w:rsidR="009619D9" w:rsidRPr="00840063">
          <w:rPr>
            <w:rStyle w:val="Hyperlink"/>
            <w:noProof/>
            <w:lang w:eastAsia="en-AU"/>
          </w:rPr>
          <w:t>Sentinel events list</w:t>
        </w:r>
        <w:r w:rsidR="009619D9">
          <w:rPr>
            <w:noProof/>
            <w:webHidden/>
          </w:rPr>
          <w:tab/>
        </w:r>
        <w:r w:rsidR="009619D9">
          <w:rPr>
            <w:noProof/>
            <w:webHidden/>
          </w:rPr>
          <w:fldChar w:fldCharType="begin"/>
        </w:r>
        <w:r w:rsidR="009619D9">
          <w:rPr>
            <w:noProof/>
            <w:webHidden/>
          </w:rPr>
          <w:instrText xml:space="preserve"> PAGEREF _Toc156569605 \h </w:instrText>
        </w:r>
        <w:r w:rsidR="009619D9">
          <w:rPr>
            <w:noProof/>
            <w:webHidden/>
          </w:rPr>
        </w:r>
        <w:r w:rsidR="009619D9">
          <w:rPr>
            <w:noProof/>
            <w:webHidden/>
          </w:rPr>
          <w:fldChar w:fldCharType="separate"/>
        </w:r>
        <w:r w:rsidR="009619D9">
          <w:rPr>
            <w:noProof/>
            <w:webHidden/>
          </w:rPr>
          <w:t>25</w:t>
        </w:r>
        <w:r w:rsidR="009619D9">
          <w:rPr>
            <w:noProof/>
            <w:webHidden/>
          </w:rPr>
          <w:fldChar w:fldCharType="end"/>
        </w:r>
      </w:hyperlink>
    </w:p>
    <w:p w14:paraId="2C9A409C" w14:textId="11F75A28" w:rsidR="009619D9" w:rsidRDefault="00000000">
      <w:pPr>
        <w:pStyle w:val="TOC3"/>
        <w:rPr>
          <w:rFonts w:asciiTheme="minorHAnsi" w:eastAsiaTheme="minorEastAsia" w:hAnsiTheme="minorHAnsi" w:cstheme="minorBidi"/>
          <w:noProof/>
          <w:sz w:val="22"/>
          <w:szCs w:val="22"/>
          <w:lang w:eastAsia="en-AU"/>
        </w:rPr>
      </w:pPr>
      <w:hyperlink w:anchor="_Toc156569606" w:history="1">
        <w:r w:rsidR="009619D9" w:rsidRPr="00840063">
          <w:rPr>
            <w:rStyle w:val="Hyperlink"/>
            <w:noProof/>
            <w:lang w:eastAsia="en-AU"/>
          </w:rPr>
          <w:t>1.7.2</w:t>
        </w:r>
        <w:r w:rsidR="009619D9">
          <w:rPr>
            <w:rFonts w:asciiTheme="minorHAnsi" w:eastAsiaTheme="minorEastAsia" w:hAnsiTheme="minorHAnsi" w:cstheme="minorBidi"/>
            <w:noProof/>
            <w:sz w:val="22"/>
            <w:szCs w:val="22"/>
            <w:lang w:eastAsia="en-AU"/>
          </w:rPr>
          <w:tab/>
        </w:r>
        <w:r w:rsidR="009619D9" w:rsidRPr="00840063">
          <w:rPr>
            <w:rStyle w:val="Hyperlink"/>
            <w:noProof/>
            <w:lang w:eastAsia="en-AU"/>
          </w:rPr>
          <w:t>Hospital acquired complications</w:t>
        </w:r>
        <w:r w:rsidR="009619D9">
          <w:rPr>
            <w:noProof/>
            <w:webHidden/>
          </w:rPr>
          <w:tab/>
        </w:r>
        <w:r w:rsidR="009619D9">
          <w:rPr>
            <w:noProof/>
            <w:webHidden/>
          </w:rPr>
          <w:fldChar w:fldCharType="begin"/>
        </w:r>
        <w:r w:rsidR="009619D9">
          <w:rPr>
            <w:noProof/>
            <w:webHidden/>
          </w:rPr>
          <w:instrText xml:space="preserve"> PAGEREF _Toc156569606 \h </w:instrText>
        </w:r>
        <w:r w:rsidR="009619D9">
          <w:rPr>
            <w:noProof/>
            <w:webHidden/>
          </w:rPr>
        </w:r>
        <w:r w:rsidR="009619D9">
          <w:rPr>
            <w:noProof/>
            <w:webHidden/>
          </w:rPr>
          <w:fldChar w:fldCharType="separate"/>
        </w:r>
        <w:r w:rsidR="009619D9">
          <w:rPr>
            <w:noProof/>
            <w:webHidden/>
          </w:rPr>
          <w:t>26</w:t>
        </w:r>
        <w:r w:rsidR="009619D9">
          <w:rPr>
            <w:noProof/>
            <w:webHidden/>
          </w:rPr>
          <w:fldChar w:fldCharType="end"/>
        </w:r>
      </w:hyperlink>
    </w:p>
    <w:p w14:paraId="34AD7172" w14:textId="615B9A70" w:rsidR="009619D9" w:rsidRDefault="00000000">
      <w:pPr>
        <w:pStyle w:val="TOC2"/>
        <w:rPr>
          <w:rFonts w:asciiTheme="minorHAnsi" w:eastAsiaTheme="minorEastAsia" w:hAnsiTheme="minorHAnsi" w:cstheme="minorBidi"/>
          <w:b w:val="0"/>
          <w:bCs w:val="0"/>
          <w:sz w:val="22"/>
          <w:szCs w:val="22"/>
          <w:lang w:eastAsia="en-AU"/>
        </w:rPr>
      </w:pPr>
      <w:hyperlink w:anchor="_Toc156569607" w:history="1">
        <w:r w:rsidR="009619D9" w:rsidRPr="00840063">
          <w:rPr>
            <w:rStyle w:val="Hyperlink"/>
          </w:rPr>
          <w:t>1.8</w:t>
        </w:r>
        <w:r w:rsidR="009619D9">
          <w:rPr>
            <w:rFonts w:asciiTheme="minorHAnsi" w:eastAsiaTheme="minorEastAsia" w:hAnsiTheme="minorHAnsi" w:cstheme="minorBidi"/>
            <w:b w:val="0"/>
            <w:bCs w:val="0"/>
            <w:sz w:val="22"/>
            <w:szCs w:val="22"/>
            <w:lang w:eastAsia="en-AU"/>
          </w:rPr>
          <w:tab/>
        </w:r>
        <w:r w:rsidR="009619D9" w:rsidRPr="00840063">
          <w:rPr>
            <w:rStyle w:val="Hyperlink"/>
          </w:rPr>
          <w:t>Health service requirements</w:t>
        </w:r>
        <w:r w:rsidR="009619D9">
          <w:rPr>
            <w:webHidden/>
          </w:rPr>
          <w:tab/>
        </w:r>
        <w:r w:rsidR="009619D9">
          <w:rPr>
            <w:webHidden/>
          </w:rPr>
          <w:fldChar w:fldCharType="begin"/>
        </w:r>
        <w:r w:rsidR="009619D9">
          <w:rPr>
            <w:webHidden/>
          </w:rPr>
          <w:instrText xml:space="preserve"> PAGEREF _Toc156569607 \h </w:instrText>
        </w:r>
        <w:r w:rsidR="009619D9">
          <w:rPr>
            <w:webHidden/>
          </w:rPr>
        </w:r>
        <w:r w:rsidR="009619D9">
          <w:rPr>
            <w:webHidden/>
          </w:rPr>
          <w:fldChar w:fldCharType="separate"/>
        </w:r>
        <w:r w:rsidR="009619D9">
          <w:rPr>
            <w:webHidden/>
          </w:rPr>
          <w:t>27</w:t>
        </w:r>
        <w:r w:rsidR="009619D9">
          <w:rPr>
            <w:webHidden/>
          </w:rPr>
          <w:fldChar w:fldCharType="end"/>
        </w:r>
      </w:hyperlink>
    </w:p>
    <w:p w14:paraId="7CE5F4E8" w14:textId="70E68ED4" w:rsidR="009619D9" w:rsidRDefault="00000000">
      <w:pPr>
        <w:pStyle w:val="TOC3"/>
        <w:rPr>
          <w:rFonts w:asciiTheme="minorHAnsi" w:eastAsiaTheme="minorEastAsia" w:hAnsiTheme="minorHAnsi" w:cstheme="minorBidi"/>
          <w:noProof/>
          <w:sz w:val="22"/>
          <w:szCs w:val="22"/>
          <w:lang w:eastAsia="en-AU"/>
        </w:rPr>
      </w:pPr>
      <w:hyperlink w:anchor="_Toc156569608" w:history="1">
        <w:r w:rsidR="009619D9" w:rsidRPr="00840063">
          <w:rPr>
            <w:rStyle w:val="Hyperlink"/>
            <w:noProof/>
          </w:rPr>
          <w:t>1.8.1</w:t>
        </w:r>
        <w:r w:rsidR="009619D9">
          <w:rPr>
            <w:rFonts w:asciiTheme="minorHAnsi" w:eastAsiaTheme="minorEastAsia" w:hAnsiTheme="minorHAnsi" w:cstheme="minorBidi"/>
            <w:noProof/>
            <w:sz w:val="22"/>
            <w:szCs w:val="22"/>
            <w:lang w:eastAsia="en-AU"/>
          </w:rPr>
          <w:tab/>
        </w:r>
        <w:r w:rsidR="009619D9" w:rsidRPr="00840063">
          <w:rPr>
            <w:rStyle w:val="Hyperlink"/>
            <w:noProof/>
          </w:rPr>
          <w:t>Patient costing</w:t>
        </w:r>
        <w:r w:rsidR="009619D9">
          <w:rPr>
            <w:noProof/>
            <w:webHidden/>
          </w:rPr>
          <w:tab/>
        </w:r>
        <w:r w:rsidR="009619D9">
          <w:rPr>
            <w:noProof/>
            <w:webHidden/>
          </w:rPr>
          <w:fldChar w:fldCharType="begin"/>
        </w:r>
        <w:r w:rsidR="009619D9">
          <w:rPr>
            <w:noProof/>
            <w:webHidden/>
          </w:rPr>
          <w:instrText xml:space="preserve"> PAGEREF _Toc156569608 \h </w:instrText>
        </w:r>
        <w:r w:rsidR="009619D9">
          <w:rPr>
            <w:noProof/>
            <w:webHidden/>
          </w:rPr>
        </w:r>
        <w:r w:rsidR="009619D9">
          <w:rPr>
            <w:noProof/>
            <w:webHidden/>
          </w:rPr>
          <w:fldChar w:fldCharType="separate"/>
        </w:r>
        <w:r w:rsidR="009619D9">
          <w:rPr>
            <w:noProof/>
            <w:webHidden/>
          </w:rPr>
          <w:t>27</w:t>
        </w:r>
        <w:r w:rsidR="009619D9">
          <w:rPr>
            <w:noProof/>
            <w:webHidden/>
          </w:rPr>
          <w:fldChar w:fldCharType="end"/>
        </w:r>
      </w:hyperlink>
    </w:p>
    <w:p w14:paraId="1CF167F6" w14:textId="2E77536F" w:rsidR="009619D9" w:rsidRDefault="00000000">
      <w:pPr>
        <w:pStyle w:val="TOC3"/>
        <w:rPr>
          <w:rFonts w:asciiTheme="minorHAnsi" w:eastAsiaTheme="minorEastAsia" w:hAnsiTheme="minorHAnsi" w:cstheme="minorBidi"/>
          <w:noProof/>
          <w:sz w:val="22"/>
          <w:szCs w:val="22"/>
          <w:lang w:eastAsia="en-AU"/>
        </w:rPr>
      </w:pPr>
      <w:hyperlink w:anchor="_Toc156569609" w:history="1">
        <w:r w:rsidR="009619D9" w:rsidRPr="00840063">
          <w:rPr>
            <w:rStyle w:val="Hyperlink"/>
            <w:noProof/>
          </w:rPr>
          <w:t>1.8.2</w:t>
        </w:r>
        <w:r w:rsidR="009619D9">
          <w:rPr>
            <w:rFonts w:asciiTheme="minorHAnsi" w:eastAsiaTheme="minorEastAsia" w:hAnsiTheme="minorHAnsi" w:cstheme="minorBidi"/>
            <w:noProof/>
            <w:sz w:val="22"/>
            <w:szCs w:val="22"/>
            <w:lang w:eastAsia="en-AU"/>
          </w:rPr>
          <w:tab/>
        </w:r>
        <w:r w:rsidR="009619D9" w:rsidRPr="00840063">
          <w:rPr>
            <w:rStyle w:val="Hyperlink"/>
            <w:noProof/>
          </w:rPr>
          <w:t>Activity reporting</w:t>
        </w:r>
        <w:r w:rsidR="009619D9">
          <w:rPr>
            <w:noProof/>
            <w:webHidden/>
          </w:rPr>
          <w:tab/>
        </w:r>
        <w:r w:rsidR="009619D9">
          <w:rPr>
            <w:noProof/>
            <w:webHidden/>
          </w:rPr>
          <w:fldChar w:fldCharType="begin"/>
        </w:r>
        <w:r w:rsidR="009619D9">
          <w:rPr>
            <w:noProof/>
            <w:webHidden/>
          </w:rPr>
          <w:instrText xml:space="preserve"> PAGEREF _Toc156569609 \h </w:instrText>
        </w:r>
        <w:r w:rsidR="009619D9">
          <w:rPr>
            <w:noProof/>
            <w:webHidden/>
          </w:rPr>
        </w:r>
        <w:r w:rsidR="009619D9">
          <w:rPr>
            <w:noProof/>
            <w:webHidden/>
          </w:rPr>
          <w:fldChar w:fldCharType="separate"/>
        </w:r>
        <w:r w:rsidR="009619D9">
          <w:rPr>
            <w:noProof/>
            <w:webHidden/>
          </w:rPr>
          <w:t>28</w:t>
        </w:r>
        <w:r w:rsidR="009619D9">
          <w:rPr>
            <w:noProof/>
            <w:webHidden/>
          </w:rPr>
          <w:fldChar w:fldCharType="end"/>
        </w:r>
      </w:hyperlink>
    </w:p>
    <w:p w14:paraId="742E0F9F" w14:textId="33A37C66" w:rsidR="009619D9" w:rsidRDefault="00000000">
      <w:pPr>
        <w:pStyle w:val="TOC2"/>
        <w:rPr>
          <w:rFonts w:asciiTheme="minorHAnsi" w:eastAsiaTheme="minorEastAsia" w:hAnsiTheme="minorHAnsi" w:cstheme="minorBidi"/>
          <w:b w:val="0"/>
          <w:bCs w:val="0"/>
          <w:sz w:val="22"/>
          <w:szCs w:val="22"/>
          <w:lang w:eastAsia="en-AU"/>
        </w:rPr>
      </w:pPr>
      <w:hyperlink w:anchor="_Toc156569610" w:history="1">
        <w:r w:rsidR="009619D9" w:rsidRPr="00840063">
          <w:rPr>
            <w:rStyle w:val="Hyperlink"/>
          </w:rPr>
          <w:t>1.9</w:t>
        </w:r>
        <w:r w:rsidR="009619D9">
          <w:rPr>
            <w:rFonts w:asciiTheme="minorHAnsi" w:eastAsiaTheme="minorEastAsia" w:hAnsiTheme="minorHAnsi" w:cstheme="minorBidi"/>
            <w:b w:val="0"/>
            <w:bCs w:val="0"/>
            <w:sz w:val="22"/>
            <w:szCs w:val="22"/>
            <w:lang w:eastAsia="en-AU"/>
          </w:rPr>
          <w:tab/>
        </w:r>
        <w:r w:rsidR="009619D9" w:rsidRPr="00840063">
          <w:rPr>
            <w:rStyle w:val="Hyperlink"/>
          </w:rPr>
          <w:t>Pricing for ABF-funded services</w:t>
        </w:r>
        <w:r w:rsidR="009619D9">
          <w:rPr>
            <w:webHidden/>
          </w:rPr>
          <w:tab/>
        </w:r>
        <w:r w:rsidR="009619D9">
          <w:rPr>
            <w:webHidden/>
          </w:rPr>
          <w:fldChar w:fldCharType="begin"/>
        </w:r>
        <w:r w:rsidR="009619D9">
          <w:rPr>
            <w:webHidden/>
          </w:rPr>
          <w:instrText xml:space="preserve"> PAGEREF _Toc156569610 \h </w:instrText>
        </w:r>
        <w:r w:rsidR="009619D9">
          <w:rPr>
            <w:webHidden/>
          </w:rPr>
        </w:r>
        <w:r w:rsidR="009619D9">
          <w:rPr>
            <w:webHidden/>
          </w:rPr>
          <w:fldChar w:fldCharType="separate"/>
        </w:r>
        <w:r w:rsidR="009619D9">
          <w:rPr>
            <w:webHidden/>
          </w:rPr>
          <w:t>32</w:t>
        </w:r>
        <w:r w:rsidR="009619D9">
          <w:rPr>
            <w:webHidden/>
          </w:rPr>
          <w:fldChar w:fldCharType="end"/>
        </w:r>
      </w:hyperlink>
    </w:p>
    <w:p w14:paraId="261A3D00" w14:textId="51AE8A70" w:rsidR="009619D9" w:rsidRDefault="00000000">
      <w:pPr>
        <w:pStyle w:val="TOC3"/>
        <w:rPr>
          <w:rFonts w:asciiTheme="minorHAnsi" w:eastAsiaTheme="minorEastAsia" w:hAnsiTheme="minorHAnsi" w:cstheme="minorBidi"/>
          <w:noProof/>
          <w:sz w:val="22"/>
          <w:szCs w:val="22"/>
          <w:lang w:eastAsia="en-AU"/>
        </w:rPr>
      </w:pPr>
      <w:hyperlink w:anchor="_Toc156569611" w:history="1">
        <w:r w:rsidR="009619D9" w:rsidRPr="00840063">
          <w:rPr>
            <w:rStyle w:val="Hyperlink"/>
            <w:noProof/>
          </w:rPr>
          <w:t>1.9.1</w:t>
        </w:r>
        <w:r w:rsidR="009619D9">
          <w:rPr>
            <w:rFonts w:asciiTheme="minorHAnsi" w:eastAsiaTheme="minorEastAsia" w:hAnsiTheme="minorHAnsi" w:cstheme="minorBidi"/>
            <w:noProof/>
            <w:sz w:val="22"/>
            <w:szCs w:val="22"/>
            <w:lang w:eastAsia="en-AU"/>
          </w:rPr>
          <w:tab/>
        </w:r>
        <w:r w:rsidR="009619D9" w:rsidRPr="00840063">
          <w:rPr>
            <w:rStyle w:val="Hyperlink"/>
            <w:noProof/>
          </w:rPr>
          <w:t>NWAU price weights</w:t>
        </w:r>
        <w:r w:rsidR="009619D9">
          <w:rPr>
            <w:noProof/>
            <w:webHidden/>
          </w:rPr>
          <w:tab/>
        </w:r>
        <w:r w:rsidR="009619D9">
          <w:rPr>
            <w:noProof/>
            <w:webHidden/>
          </w:rPr>
          <w:fldChar w:fldCharType="begin"/>
        </w:r>
        <w:r w:rsidR="009619D9">
          <w:rPr>
            <w:noProof/>
            <w:webHidden/>
          </w:rPr>
          <w:instrText xml:space="preserve"> PAGEREF _Toc156569611 \h </w:instrText>
        </w:r>
        <w:r w:rsidR="009619D9">
          <w:rPr>
            <w:noProof/>
            <w:webHidden/>
          </w:rPr>
        </w:r>
        <w:r w:rsidR="009619D9">
          <w:rPr>
            <w:noProof/>
            <w:webHidden/>
          </w:rPr>
          <w:fldChar w:fldCharType="separate"/>
        </w:r>
        <w:r w:rsidR="009619D9">
          <w:rPr>
            <w:noProof/>
            <w:webHidden/>
          </w:rPr>
          <w:t>32</w:t>
        </w:r>
        <w:r w:rsidR="009619D9">
          <w:rPr>
            <w:noProof/>
            <w:webHidden/>
          </w:rPr>
          <w:fldChar w:fldCharType="end"/>
        </w:r>
      </w:hyperlink>
    </w:p>
    <w:p w14:paraId="57A2F4C0" w14:textId="4D99B6AA" w:rsidR="009619D9" w:rsidRDefault="00000000">
      <w:pPr>
        <w:pStyle w:val="TOC3"/>
        <w:rPr>
          <w:rFonts w:asciiTheme="minorHAnsi" w:eastAsiaTheme="minorEastAsia" w:hAnsiTheme="minorHAnsi" w:cstheme="minorBidi"/>
          <w:noProof/>
          <w:sz w:val="22"/>
          <w:szCs w:val="22"/>
          <w:lang w:eastAsia="en-AU"/>
        </w:rPr>
      </w:pPr>
      <w:hyperlink w:anchor="_Toc156569612" w:history="1">
        <w:r w:rsidR="009619D9" w:rsidRPr="00840063">
          <w:rPr>
            <w:rStyle w:val="Hyperlink"/>
            <w:noProof/>
          </w:rPr>
          <w:t>1.9.2</w:t>
        </w:r>
        <w:r w:rsidR="009619D9">
          <w:rPr>
            <w:rFonts w:asciiTheme="minorHAnsi" w:eastAsiaTheme="minorEastAsia" w:hAnsiTheme="minorHAnsi" w:cstheme="minorBidi"/>
            <w:noProof/>
            <w:sz w:val="22"/>
            <w:szCs w:val="22"/>
            <w:lang w:eastAsia="en-AU"/>
          </w:rPr>
          <w:tab/>
        </w:r>
        <w:r w:rsidR="009619D9" w:rsidRPr="00840063">
          <w:rPr>
            <w:rStyle w:val="Hyperlink"/>
            <w:noProof/>
          </w:rPr>
          <w:t>Pricing</w:t>
        </w:r>
        <w:r w:rsidR="009619D9">
          <w:rPr>
            <w:noProof/>
            <w:webHidden/>
          </w:rPr>
          <w:tab/>
        </w:r>
        <w:r w:rsidR="009619D9">
          <w:rPr>
            <w:noProof/>
            <w:webHidden/>
          </w:rPr>
          <w:fldChar w:fldCharType="begin"/>
        </w:r>
        <w:r w:rsidR="009619D9">
          <w:rPr>
            <w:noProof/>
            <w:webHidden/>
          </w:rPr>
          <w:instrText xml:space="preserve"> PAGEREF _Toc156569612 \h </w:instrText>
        </w:r>
        <w:r w:rsidR="009619D9">
          <w:rPr>
            <w:noProof/>
            <w:webHidden/>
          </w:rPr>
        </w:r>
        <w:r w:rsidR="009619D9">
          <w:rPr>
            <w:noProof/>
            <w:webHidden/>
          </w:rPr>
          <w:fldChar w:fldCharType="separate"/>
        </w:r>
        <w:r w:rsidR="009619D9">
          <w:rPr>
            <w:noProof/>
            <w:webHidden/>
          </w:rPr>
          <w:t>33</w:t>
        </w:r>
        <w:r w:rsidR="009619D9">
          <w:rPr>
            <w:noProof/>
            <w:webHidden/>
          </w:rPr>
          <w:fldChar w:fldCharType="end"/>
        </w:r>
      </w:hyperlink>
    </w:p>
    <w:p w14:paraId="21945C18" w14:textId="06B431DD" w:rsidR="009619D9" w:rsidRDefault="00000000">
      <w:pPr>
        <w:pStyle w:val="TOC2"/>
        <w:rPr>
          <w:rFonts w:asciiTheme="minorHAnsi" w:eastAsiaTheme="minorEastAsia" w:hAnsiTheme="minorHAnsi" w:cstheme="minorBidi"/>
          <w:b w:val="0"/>
          <w:bCs w:val="0"/>
          <w:sz w:val="22"/>
          <w:szCs w:val="22"/>
          <w:lang w:eastAsia="en-AU"/>
        </w:rPr>
      </w:pPr>
      <w:hyperlink w:anchor="_Toc156569613" w:history="1">
        <w:r w:rsidR="009619D9" w:rsidRPr="00840063">
          <w:rPr>
            <w:rStyle w:val="Hyperlink"/>
          </w:rPr>
          <w:t>1.10</w:t>
        </w:r>
        <w:r w:rsidR="009619D9">
          <w:rPr>
            <w:rFonts w:asciiTheme="minorHAnsi" w:eastAsiaTheme="minorEastAsia" w:hAnsiTheme="minorHAnsi" w:cstheme="minorBidi"/>
            <w:b w:val="0"/>
            <w:bCs w:val="0"/>
            <w:sz w:val="22"/>
            <w:szCs w:val="22"/>
            <w:lang w:eastAsia="en-AU"/>
          </w:rPr>
          <w:tab/>
        </w:r>
        <w:r w:rsidR="009619D9" w:rsidRPr="00840063">
          <w:rPr>
            <w:rStyle w:val="Hyperlink"/>
          </w:rPr>
          <w:t>Acute admitted services</w:t>
        </w:r>
        <w:r w:rsidR="009619D9">
          <w:rPr>
            <w:webHidden/>
          </w:rPr>
          <w:tab/>
        </w:r>
        <w:r w:rsidR="009619D9">
          <w:rPr>
            <w:webHidden/>
          </w:rPr>
          <w:fldChar w:fldCharType="begin"/>
        </w:r>
        <w:r w:rsidR="009619D9">
          <w:rPr>
            <w:webHidden/>
          </w:rPr>
          <w:instrText xml:space="preserve"> PAGEREF _Toc156569613 \h </w:instrText>
        </w:r>
        <w:r w:rsidR="009619D9">
          <w:rPr>
            <w:webHidden/>
          </w:rPr>
        </w:r>
        <w:r w:rsidR="009619D9">
          <w:rPr>
            <w:webHidden/>
          </w:rPr>
          <w:fldChar w:fldCharType="separate"/>
        </w:r>
        <w:r w:rsidR="009619D9">
          <w:rPr>
            <w:webHidden/>
          </w:rPr>
          <w:t>34</w:t>
        </w:r>
        <w:r w:rsidR="009619D9">
          <w:rPr>
            <w:webHidden/>
          </w:rPr>
          <w:fldChar w:fldCharType="end"/>
        </w:r>
      </w:hyperlink>
    </w:p>
    <w:p w14:paraId="539DBF3D" w14:textId="6DC1503A" w:rsidR="009619D9" w:rsidRDefault="00000000">
      <w:pPr>
        <w:pStyle w:val="TOC3"/>
        <w:rPr>
          <w:rFonts w:asciiTheme="minorHAnsi" w:eastAsiaTheme="minorEastAsia" w:hAnsiTheme="minorHAnsi" w:cstheme="minorBidi"/>
          <w:noProof/>
          <w:sz w:val="22"/>
          <w:szCs w:val="22"/>
          <w:lang w:eastAsia="en-AU"/>
        </w:rPr>
      </w:pPr>
      <w:hyperlink w:anchor="_Toc156569614" w:history="1">
        <w:r w:rsidR="009619D9" w:rsidRPr="00840063">
          <w:rPr>
            <w:rStyle w:val="Hyperlink"/>
            <w:noProof/>
          </w:rPr>
          <w:t>1.10.1</w:t>
        </w:r>
        <w:r w:rsidR="009619D9">
          <w:rPr>
            <w:rFonts w:asciiTheme="minorHAnsi" w:eastAsiaTheme="minorEastAsia" w:hAnsiTheme="minorHAnsi" w:cstheme="minorBidi"/>
            <w:noProof/>
            <w:sz w:val="22"/>
            <w:szCs w:val="22"/>
            <w:lang w:eastAsia="en-AU"/>
          </w:rPr>
          <w:tab/>
        </w:r>
        <w:r w:rsidR="009619D9" w:rsidRPr="00840063">
          <w:rPr>
            <w:rStyle w:val="Hyperlink"/>
            <w:noProof/>
          </w:rPr>
          <w:t>Eligibility</w:t>
        </w:r>
        <w:r w:rsidR="009619D9">
          <w:rPr>
            <w:noProof/>
            <w:webHidden/>
          </w:rPr>
          <w:tab/>
        </w:r>
        <w:r w:rsidR="009619D9">
          <w:rPr>
            <w:noProof/>
            <w:webHidden/>
          </w:rPr>
          <w:fldChar w:fldCharType="begin"/>
        </w:r>
        <w:r w:rsidR="009619D9">
          <w:rPr>
            <w:noProof/>
            <w:webHidden/>
          </w:rPr>
          <w:instrText xml:space="preserve"> PAGEREF _Toc156569614 \h </w:instrText>
        </w:r>
        <w:r w:rsidR="009619D9">
          <w:rPr>
            <w:noProof/>
            <w:webHidden/>
          </w:rPr>
        </w:r>
        <w:r w:rsidR="009619D9">
          <w:rPr>
            <w:noProof/>
            <w:webHidden/>
          </w:rPr>
          <w:fldChar w:fldCharType="separate"/>
        </w:r>
        <w:r w:rsidR="009619D9">
          <w:rPr>
            <w:noProof/>
            <w:webHidden/>
          </w:rPr>
          <w:t>34</w:t>
        </w:r>
        <w:r w:rsidR="009619D9">
          <w:rPr>
            <w:noProof/>
            <w:webHidden/>
          </w:rPr>
          <w:fldChar w:fldCharType="end"/>
        </w:r>
      </w:hyperlink>
    </w:p>
    <w:p w14:paraId="65BE5BAD" w14:textId="33989806" w:rsidR="009619D9" w:rsidRDefault="00000000">
      <w:pPr>
        <w:pStyle w:val="TOC3"/>
        <w:rPr>
          <w:rFonts w:asciiTheme="minorHAnsi" w:eastAsiaTheme="minorEastAsia" w:hAnsiTheme="minorHAnsi" w:cstheme="minorBidi"/>
          <w:noProof/>
          <w:sz w:val="22"/>
          <w:szCs w:val="22"/>
          <w:lang w:eastAsia="en-AU"/>
        </w:rPr>
      </w:pPr>
      <w:hyperlink w:anchor="_Toc156569615" w:history="1">
        <w:r w:rsidR="009619D9" w:rsidRPr="00840063">
          <w:rPr>
            <w:rStyle w:val="Hyperlink"/>
            <w:noProof/>
          </w:rPr>
          <w:t>1.10.2</w:t>
        </w:r>
        <w:r w:rsidR="009619D9">
          <w:rPr>
            <w:rFonts w:asciiTheme="minorHAnsi" w:eastAsiaTheme="minorEastAsia" w:hAnsiTheme="minorHAnsi" w:cstheme="minorBidi"/>
            <w:noProof/>
            <w:sz w:val="22"/>
            <w:szCs w:val="22"/>
            <w:lang w:eastAsia="en-AU"/>
          </w:rPr>
          <w:tab/>
        </w:r>
        <w:r w:rsidR="009619D9" w:rsidRPr="00840063">
          <w:rPr>
            <w:rStyle w:val="Hyperlink"/>
            <w:noProof/>
          </w:rPr>
          <w:t>Business rules</w:t>
        </w:r>
        <w:r w:rsidR="009619D9">
          <w:rPr>
            <w:noProof/>
            <w:webHidden/>
          </w:rPr>
          <w:tab/>
        </w:r>
        <w:r w:rsidR="009619D9">
          <w:rPr>
            <w:noProof/>
            <w:webHidden/>
          </w:rPr>
          <w:fldChar w:fldCharType="begin"/>
        </w:r>
        <w:r w:rsidR="009619D9">
          <w:rPr>
            <w:noProof/>
            <w:webHidden/>
          </w:rPr>
          <w:instrText xml:space="preserve"> PAGEREF _Toc156569615 \h </w:instrText>
        </w:r>
        <w:r w:rsidR="009619D9">
          <w:rPr>
            <w:noProof/>
            <w:webHidden/>
          </w:rPr>
        </w:r>
        <w:r w:rsidR="009619D9">
          <w:rPr>
            <w:noProof/>
            <w:webHidden/>
          </w:rPr>
          <w:fldChar w:fldCharType="separate"/>
        </w:r>
        <w:r w:rsidR="009619D9">
          <w:rPr>
            <w:noProof/>
            <w:webHidden/>
          </w:rPr>
          <w:t>34</w:t>
        </w:r>
        <w:r w:rsidR="009619D9">
          <w:rPr>
            <w:noProof/>
            <w:webHidden/>
          </w:rPr>
          <w:fldChar w:fldCharType="end"/>
        </w:r>
      </w:hyperlink>
    </w:p>
    <w:p w14:paraId="52CFF7DA" w14:textId="454C0EC4" w:rsidR="009619D9" w:rsidRDefault="00000000">
      <w:pPr>
        <w:pStyle w:val="TOC3"/>
        <w:rPr>
          <w:rFonts w:asciiTheme="minorHAnsi" w:eastAsiaTheme="minorEastAsia" w:hAnsiTheme="minorHAnsi" w:cstheme="minorBidi"/>
          <w:noProof/>
          <w:sz w:val="22"/>
          <w:szCs w:val="22"/>
          <w:lang w:eastAsia="en-AU"/>
        </w:rPr>
      </w:pPr>
      <w:hyperlink w:anchor="_Toc156569616" w:history="1">
        <w:r w:rsidR="009619D9" w:rsidRPr="00840063">
          <w:rPr>
            <w:rStyle w:val="Hyperlink"/>
            <w:noProof/>
          </w:rPr>
          <w:t>1.10.3</w:t>
        </w:r>
        <w:r w:rsidR="009619D9">
          <w:rPr>
            <w:rFonts w:asciiTheme="minorHAnsi" w:eastAsiaTheme="minorEastAsia" w:hAnsiTheme="minorHAnsi" w:cstheme="minorBidi"/>
            <w:noProof/>
            <w:sz w:val="22"/>
            <w:szCs w:val="22"/>
            <w:lang w:eastAsia="en-AU"/>
          </w:rPr>
          <w:tab/>
        </w:r>
        <w:r w:rsidR="009619D9" w:rsidRPr="00840063">
          <w:rPr>
            <w:rStyle w:val="Hyperlink"/>
            <w:noProof/>
          </w:rPr>
          <w:t>Transport supplement to health services</w:t>
        </w:r>
        <w:r w:rsidR="009619D9">
          <w:rPr>
            <w:noProof/>
            <w:webHidden/>
          </w:rPr>
          <w:tab/>
        </w:r>
        <w:r w:rsidR="009619D9">
          <w:rPr>
            <w:noProof/>
            <w:webHidden/>
          </w:rPr>
          <w:fldChar w:fldCharType="begin"/>
        </w:r>
        <w:r w:rsidR="009619D9">
          <w:rPr>
            <w:noProof/>
            <w:webHidden/>
          </w:rPr>
          <w:instrText xml:space="preserve"> PAGEREF _Toc156569616 \h </w:instrText>
        </w:r>
        <w:r w:rsidR="009619D9">
          <w:rPr>
            <w:noProof/>
            <w:webHidden/>
          </w:rPr>
        </w:r>
        <w:r w:rsidR="009619D9">
          <w:rPr>
            <w:noProof/>
            <w:webHidden/>
          </w:rPr>
          <w:fldChar w:fldCharType="separate"/>
        </w:r>
        <w:r w:rsidR="009619D9">
          <w:rPr>
            <w:noProof/>
            <w:webHidden/>
          </w:rPr>
          <w:t>35</w:t>
        </w:r>
        <w:r w:rsidR="009619D9">
          <w:rPr>
            <w:noProof/>
            <w:webHidden/>
          </w:rPr>
          <w:fldChar w:fldCharType="end"/>
        </w:r>
      </w:hyperlink>
    </w:p>
    <w:p w14:paraId="0F6457A4" w14:textId="18C5F9EA" w:rsidR="009619D9" w:rsidRDefault="00000000">
      <w:pPr>
        <w:pStyle w:val="TOC3"/>
        <w:rPr>
          <w:rFonts w:asciiTheme="minorHAnsi" w:eastAsiaTheme="minorEastAsia" w:hAnsiTheme="minorHAnsi" w:cstheme="minorBidi"/>
          <w:noProof/>
          <w:sz w:val="22"/>
          <w:szCs w:val="22"/>
          <w:lang w:eastAsia="en-AU"/>
        </w:rPr>
      </w:pPr>
      <w:hyperlink w:anchor="_Toc156569617" w:history="1">
        <w:r w:rsidR="009619D9" w:rsidRPr="00840063">
          <w:rPr>
            <w:rStyle w:val="Hyperlink"/>
            <w:noProof/>
          </w:rPr>
          <w:t>1.10.4</w:t>
        </w:r>
        <w:r w:rsidR="009619D9">
          <w:rPr>
            <w:rFonts w:asciiTheme="minorHAnsi" w:eastAsiaTheme="minorEastAsia" w:hAnsiTheme="minorHAnsi" w:cstheme="minorBidi"/>
            <w:noProof/>
            <w:sz w:val="22"/>
            <w:szCs w:val="22"/>
            <w:lang w:eastAsia="en-AU"/>
          </w:rPr>
          <w:tab/>
        </w:r>
        <w:r w:rsidR="009619D9" w:rsidRPr="00840063">
          <w:rPr>
            <w:rStyle w:val="Hyperlink"/>
            <w:noProof/>
          </w:rPr>
          <w:t>Interpreter supplement to health services</w:t>
        </w:r>
        <w:r w:rsidR="009619D9">
          <w:rPr>
            <w:noProof/>
            <w:webHidden/>
          </w:rPr>
          <w:tab/>
        </w:r>
        <w:r w:rsidR="009619D9">
          <w:rPr>
            <w:noProof/>
            <w:webHidden/>
          </w:rPr>
          <w:fldChar w:fldCharType="begin"/>
        </w:r>
        <w:r w:rsidR="009619D9">
          <w:rPr>
            <w:noProof/>
            <w:webHidden/>
          </w:rPr>
          <w:instrText xml:space="preserve"> PAGEREF _Toc156569617 \h </w:instrText>
        </w:r>
        <w:r w:rsidR="009619D9">
          <w:rPr>
            <w:noProof/>
            <w:webHidden/>
          </w:rPr>
        </w:r>
        <w:r w:rsidR="009619D9">
          <w:rPr>
            <w:noProof/>
            <w:webHidden/>
          </w:rPr>
          <w:fldChar w:fldCharType="separate"/>
        </w:r>
        <w:r w:rsidR="009619D9">
          <w:rPr>
            <w:noProof/>
            <w:webHidden/>
          </w:rPr>
          <w:t>35</w:t>
        </w:r>
        <w:r w:rsidR="009619D9">
          <w:rPr>
            <w:noProof/>
            <w:webHidden/>
          </w:rPr>
          <w:fldChar w:fldCharType="end"/>
        </w:r>
      </w:hyperlink>
    </w:p>
    <w:p w14:paraId="1782E235" w14:textId="77974813" w:rsidR="009619D9" w:rsidRDefault="00000000">
      <w:pPr>
        <w:pStyle w:val="TOC3"/>
        <w:rPr>
          <w:rFonts w:asciiTheme="minorHAnsi" w:eastAsiaTheme="minorEastAsia" w:hAnsiTheme="minorHAnsi" w:cstheme="minorBidi"/>
          <w:noProof/>
          <w:sz w:val="22"/>
          <w:szCs w:val="22"/>
          <w:lang w:eastAsia="en-AU"/>
        </w:rPr>
      </w:pPr>
      <w:hyperlink w:anchor="_Toc156569618" w:history="1">
        <w:r w:rsidR="009619D9" w:rsidRPr="00840063">
          <w:rPr>
            <w:rStyle w:val="Hyperlink"/>
            <w:noProof/>
          </w:rPr>
          <w:t>1.10.5</w:t>
        </w:r>
        <w:r w:rsidR="009619D9">
          <w:rPr>
            <w:rFonts w:asciiTheme="minorHAnsi" w:eastAsiaTheme="minorEastAsia" w:hAnsiTheme="minorHAnsi" w:cstheme="minorBidi"/>
            <w:noProof/>
            <w:sz w:val="22"/>
            <w:szCs w:val="22"/>
            <w:lang w:eastAsia="en-AU"/>
          </w:rPr>
          <w:tab/>
        </w:r>
        <w:r w:rsidR="009619D9" w:rsidRPr="00840063">
          <w:rPr>
            <w:rStyle w:val="Hyperlink"/>
            <w:noProof/>
          </w:rPr>
          <w:t>Hospital in the Home</w:t>
        </w:r>
        <w:r w:rsidR="009619D9">
          <w:rPr>
            <w:noProof/>
            <w:webHidden/>
          </w:rPr>
          <w:tab/>
        </w:r>
        <w:r w:rsidR="009619D9">
          <w:rPr>
            <w:noProof/>
            <w:webHidden/>
          </w:rPr>
          <w:fldChar w:fldCharType="begin"/>
        </w:r>
        <w:r w:rsidR="009619D9">
          <w:rPr>
            <w:noProof/>
            <w:webHidden/>
          </w:rPr>
          <w:instrText xml:space="preserve"> PAGEREF _Toc156569618 \h </w:instrText>
        </w:r>
        <w:r w:rsidR="009619D9">
          <w:rPr>
            <w:noProof/>
            <w:webHidden/>
          </w:rPr>
        </w:r>
        <w:r w:rsidR="009619D9">
          <w:rPr>
            <w:noProof/>
            <w:webHidden/>
          </w:rPr>
          <w:fldChar w:fldCharType="separate"/>
        </w:r>
        <w:r w:rsidR="009619D9">
          <w:rPr>
            <w:noProof/>
            <w:webHidden/>
          </w:rPr>
          <w:t>35</w:t>
        </w:r>
        <w:r w:rsidR="009619D9">
          <w:rPr>
            <w:noProof/>
            <w:webHidden/>
          </w:rPr>
          <w:fldChar w:fldCharType="end"/>
        </w:r>
      </w:hyperlink>
    </w:p>
    <w:p w14:paraId="132CC481" w14:textId="71B87672" w:rsidR="009619D9" w:rsidRDefault="00000000">
      <w:pPr>
        <w:pStyle w:val="TOC2"/>
        <w:rPr>
          <w:rFonts w:asciiTheme="minorHAnsi" w:eastAsiaTheme="minorEastAsia" w:hAnsiTheme="minorHAnsi" w:cstheme="minorBidi"/>
          <w:b w:val="0"/>
          <w:bCs w:val="0"/>
          <w:sz w:val="22"/>
          <w:szCs w:val="22"/>
          <w:lang w:eastAsia="en-AU"/>
        </w:rPr>
      </w:pPr>
      <w:hyperlink w:anchor="_Toc156569619" w:history="1">
        <w:r w:rsidR="009619D9" w:rsidRPr="00840063">
          <w:rPr>
            <w:rStyle w:val="Hyperlink"/>
          </w:rPr>
          <w:t>1.11</w:t>
        </w:r>
        <w:r w:rsidR="009619D9">
          <w:rPr>
            <w:rFonts w:asciiTheme="minorHAnsi" w:eastAsiaTheme="minorEastAsia" w:hAnsiTheme="minorHAnsi" w:cstheme="minorBidi"/>
            <w:b w:val="0"/>
            <w:bCs w:val="0"/>
            <w:sz w:val="22"/>
            <w:szCs w:val="22"/>
            <w:lang w:eastAsia="en-AU"/>
          </w:rPr>
          <w:tab/>
        </w:r>
        <w:r w:rsidR="009619D9" w:rsidRPr="00840063">
          <w:rPr>
            <w:rStyle w:val="Hyperlink"/>
          </w:rPr>
          <w:t>Subacute admitted services</w:t>
        </w:r>
        <w:r w:rsidR="009619D9">
          <w:rPr>
            <w:webHidden/>
          </w:rPr>
          <w:tab/>
        </w:r>
        <w:r w:rsidR="009619D9">
          <w:rPr>
            <w:webHidden/>
          </w:rPr>
          <w:fldChar w:fldCharType="begin"/>
        </w:r>
        <w:r w:rsidR="009619D9">
          <w:rPr>
            <w:webHidden/>
          </w:rPr>
          <w:instrText xml:space="preserve"> PAGEREF _Toc156569619 \h </w:instrText>
        </w:r>
        <w:r w:rsidR="009619D9">
          <w:rPr>
            <w:webHidden/>
          </w:rPr>
        </w:r>
        <w:r w:rsidR="009619D9">
          <w:rPr>
            <w:webHidden/>
          </w:rPr>
          <w:fldChar w:fldCharType="separate"/>
        </w:r>
        <w:r w:rsidR="009619D9">
          <w:rPr>
            <w:webHidden/>
          </w:rPr>
          <w:t>36</w:t>
        </w:r>
        <w:r w:rsidR="009619D9">
          <w:rPr>
            <w:webHidden/>
          </w:rPr>
          <w:fldChar w:fldCharType="end"/>
        </w:r>
      </w:hyperlink>
    </w:p>
    <w:p w14:paraId="377B33A6" w14:textId="4BF1FFCF" w:rsidR="009619D9" w:rsidRDefault="00000000">
      <w:pPr>
        <w:pStyle w:val="TOC3"/>
        <w:rPr>
          <w:rFonts w:asciiTheme="minorHAnsi" w:eastAsiaTheme="minorEastAsia" w:hAnsiTheme="minorHAnsi" w:cstheme="minorBidi"/>
          <w:noProof/>
          <w:sz w:val="22"/>
          <w:szCs w:val="22"/>
          <w:lang w:eastAsia="en-AU"/>
        </w:rPr>
      </w:pPr>
      <w:hyperlink w:anchor="_Toc156569620" w:history="1">
        <w:r w:rsidR="009619D9" w:rsidRPr="00840063">
          <w:rPr>
            <w:rStyle w:val="Hyperlink"/>
            <w:noProof/>
          </w:rPr>
          <w:t>1.11.1</w:t>
        </w:r>
        <w:r w:rsidR="009619D9">
          <w:rPr>
            <w:rFonts w:asciiTheme="minorHAnsi" w:eastAsiaTheme="minorEastAsia" w:hAnsiTheme="minorHAnsi" w:cstheme="minorBidi"/>
            <w:noProof/>
            <w:sz w:val="22"/>
            <w:szCs w:val="22"/>
            <w:lang w:eastAsia="en-AU"/>
          </w:rPr>
          <w:tab/>
        </w:r>
        <w:r w:rsidR="009619D9" w:rsidRPr="00840063">
          <w:rPr>
            <w:rStyle w:val="Hyperlink"/>
            <w:noProof/>
          </w:rPr>
          <w:t>Eligibility</w:t>
        </w:r>
        <w:r w:rsidR="009619D9">
          <w:rPr>
            <w:noProof/>
            <w:webHidden/>
          </w:rPr>
          <w:tab/>
        </w:r>
        <w:r w:rsidR="009619D9">
          <w:rPr>
            <w:noProof/>
            <w:webHidden/>
          </w:rPr>
          <w:fldChar w:fldCharType="begin"/>
        </w:r>
        <w:r w:rsidR="009619D9">
          <w:rPr>
            <w:noProof/>
            <w:webHidden/>
          </w:rPr>
          <w:instrText xml:space="preserve"> PAGEREF _Toc156569620 \h </w:instrText>
        </w:r>
        <w:r w:rsidR="009619D9">
          <w:rPr>
            <w:noProof/>
            <w:webHidden/>
          </w:rPr>
        </w:r>
        <w:r w:rsidR="009619D9">
          <w:rPr>
            <w:noProof/>
            <w:webHidden/>
          </w:rPr>
          <w:fldChar w:fldCharType="separate"/>
        </w:r>
        <w:r w:rsidR="009619D9">
          <w:rPr>
            <w:noProof/>
            <w:webHidden/>
          </w:rPr>
          <w:t>36</w:t>
        </w:r>
        <w:r w:rsidR="009619D9">
          <w:rPr>
            <w:noProof/>
            <w:webHidden/>
          </w:rPr>
          <w:fldChar w:fldCharType="end"/>
        </w:r>
      </w:hyperlink>
    </w:p>
    <w:p w14:paraId="0C793648" w14:textId="670DB4EA" w:rsidR="009619D9" w:rsidRDefault="00000000">
      <w:pPr>
        <w:pStyle w:val="TOC3"/>
        <w:rPr>
          <w:rFonts w:asciiTheme="minorHAnsi" w:eastAsiaTheme="minorEastAsia" w:hAnsiTheme="minorHAnsi" w:cstheme="minorBidi"/>
          <w:noProof/>
          <w:sz w:val="22"/>
          <w:szCs w:val="22"/>
          <w:lang w:eastAsia="en-AU"/>
        </w:rPr>
      </w:pPr>
      <w:hyperlink w:anchor="_Toc156569621" w:history="1">
        <w:r w:rsidR="009619D9" w:rsidRPr="00840063">
          <w:rPr>
            <w:rStyle w:val="Hyperlink"/>
            <w:noProof/>
          </w:rPr>
          <w:t>1.11.2</w:t>
        </w:r>
        <w:r w:rsidR="009619D9">
          <w:rPr>
            <w:rFonts w:asciiTheme="minorHAnsi" w:eastAsiaTheme="minorEastAsia" w:hAnsiTheme="minorHAnsi" w:cstheme="minorBidi"/>
            <w:noProof/>
            <w:sz w:val="22"/>
            <w:szCs w:val="22"/>
            <w:lang w:eastAsia="en-AU"/>
          </w:rPr>
          <w:tab/>
        </w:r>
        <w:r w:rsidR="009619D9" w:rsidRPr="00840063">
          <w:rPr>
            <w:rStyle w:val="Hyperlink"/>
            <w:noProof/>
          </w:rPr>
          <w:t>Business rules</w:t>
        </w:r>
        <w:r w:rsidR="009619D9">
          <w:rPr>
            <w:noProof/>
            <w:webHidden/>
          </w:rPr>
          <w:tab/>
        </w:r>
        <w:r w:rsidR="009619D9">
          <w:rPr>
            <w:noProof/>
            <w:webHidden/>
          </w:rPr>
          <w:fldChar w:fldCharType="begin"/>
        </w:r>
        <w:r w:rsidR="009619D9">
          <w:rPr>
            <w:noProof/>
            <w:webHidden/>
          </w:rPr>
          <w:instrText xml:space="preserve"> PAGEREF _Toc156569621 \h </w:instrText>
        </w:r>
        <w:r w:rsidR="009619D9">
          <w:rPr>
            <w:noProof/>
            <w:webHidden/>
          </w:rPr>
        </w:r>
        <w:r w:rsidR="009619D9">
          <w:rPr>
            <w:noProof/>
            <w:webHidden/>
          </w:rPr>
          <w:fldChar w:fldCharType="separate"/>
        </w:r>
        <w:r w:rsidR="009619D9">
          <w:rPr>
            <w:noProof/>
            <w:webHidden/>
          </w:rPr>
          <w:t>36</w:t>
        </w:r>
        <w:r w:rsidR="009619D9">
          <w:rPr>
            <w:noProof/>
            <w:webHidden/>
          </w:rPr>
          <w:fldChar w:fldCharType="end"/>
        </w:r>
      </w:hyperlink>
    </w:p>
    <w:p w14:paraId="21242CDE" w14:textId="6F86EA28" w:rsidR="009619D9" w:rsidRDefault="00000000">
      <w:pPr>
        <w:pStyle w:val="TOC2"/>
        <w:rPr>
          <w:rFonts w:asciiTheme="minorHAnsi" w:eastAsiaTheme="minorEastAsia" w:hAnsiTheme="minorHAnsi" w:cstheme="minorBidi"/>
          <w:b w:val="0"/>
          <w:bCs w:val="0"/>
          <w:sz w:val="22"/>
          <w:szCs w:val="22"/>
          <w:lang w:eastAsia="en-AU"/>
        </w:rPr>
      </w:pPr>
      <w:hyperlink w:anchor="_Toc156569622" w:history="1">
        <w:r w:rsidR="009619D9" w:rsidRPr="00840063">
          <w:rPr>
            <w:rStyle w:val="Hyperlink"/>
          </w:rPr>
          <w:t>1.12</w:t>
        </w:r>
        <w:r w:rsidR="009619D9">
          <w:rPr>
            <w:rFonts w:asciiTheme="minorHAnsi" w:eastAsiaTheme="minorEastAsia" w:hAnsiTheme="minorHAnsi" w:cstheme="minorBidi"/>
            <w:b w:val="0"/>
            <w:bCs w:val="0"/>
            <w:sz w:val="22"/>
            <w:szCs w:val="22"/>
            <w:lang w:eastAsia="en-AU"/>
          </w:rPr>
          <w:tab/>
        </w:r>
        <w:r w:rsidR="009619D9" w:rsidRPr="00840063">
          <w:rPr>
            <w:rStyle w:val="Hyperlink"/>
          </w:rPr>
          <w:t>Emergency care services</w:t>
        </w:r>
        <w:r w:rsidR="009619D9">
          <w:rPr>
            <w:webHidden/>
          </w:rPr>
          <w:tab/>
        </w:r>
        <w:r w:rsidR="009619D9">
          <w:rPr>
            <w:webHidden/>
          </w:rPr>
          <w:fldChar w:fldCharType="begin"/>
        </w:r>
        <w:r w:rsidR="009619D9">
          <w:rPr>
            <w:webHidden/>
          </w:rPr>
          <w:instrText xml:space="preserve"> PAGEREF _Toc156569622 \h </w:instrText>
        </w:r>
        <w:r w:rsidR="009619D9">
          <w:rPr>
            <w:webHidden/>
          </w:rPr>
        </w:r>
        <w:r w:rsidR="009619D9">
          <w:rPr>
            <w:webHidden/>
          </w:rPr>
          <w:fldChar w:fldCharType="separate"/>
        </w:r>
        <w:r w:rsidR="009619D9">
          <w:rPr>
            <w:webHidden/>
          </w:rPr>
          <w:t>38</w:t>
        </w:r>
        <w:r w:rsidR="009619D9">
          <w:rPr>
            <w:webHidden/>
          </w:rPr>
          <w:fldChar w:fldCharType="end"/>
        </w:r>
      </w:hyperlink>
    </w:p>
    <w:p w14:paraId="03DA09C8" w14:textId="669EA287" w:rsidR="009619D9" w:rsidRDefault="00000000">
      <w:pPr>
        <w:pStyle w:val="TOC3"/>
        <w:rPr>
          <w:rFonts w:asciiTheme="minorHAnsi" w:eastAsiaTheme="minorEastAsia" w:hAnsiTheme="minorHAnsi" w:cstheme="minorBidi"/>
          <w:noProof/>
          <w:sz w:val="22"/>
          <w:szCs w:val="22"/>
          <w:lang w:eastAsia="en-AU"/>
        </w:rPr>
      </w:pPr>
      <w:hyperlink w:anchor="_Toc156569623" w:history="1">
        <w:r w:rsidR="009619D9" w:rsidRPr="00840063">
          <w:rPr>
            <w:rStyle w:val="Hyperlink"/>
            <w:noProof/>
          </w:rPr>
          <w:t>1.12.1</w:t>
        </w:r>
        <w:r w:rsidR="009619D9">
          <w:rPr>
            <w:rFonts w:asciiTheme="minorHAnsi" w:eastAsiaTheme="minorEastAsia" w:hAnsiTheme="minorHAnsi" w:cstheme="minorBidi"/>
            <w:noProof/>
            <w:sz w:val="22"/>
            <w:szCs w:val="22"/>
            <w:lang w:eastAsia="en-AU"/>
          </w:rPr>
          <w:tab/>
        </w:r>
        <w:r w:rsidR="009619D9" w:rsidRPr="00840063">
          <w:rPr>
            <w:rStyle w:val="Hyperlink"/>
            <w:noProof/>
          </w:rPr>
          <w:t>Eligibility</w:t>
        </w:r>
        <w:r w:rsidR="009619D9">
          <w:rPr>
            <w:noProof/>
            <w:webHidden/>
          </w:rPr>
          <w:tab/>
        </w:r>
        <w:r w:rsidR="009619D9">
          <w:rPr>
            <w:noProof/>
            <w:webHidden/>
          </w:rPr>
          <w:fldChar w:fldCharType="begin"/>
        </w:r>
        <w:r w:rsidR="009619D9">
          <w:rPr>
            <w:noProof/>
            <w:webHidden/>
          </w:rPr>
          <w:instrText xml:space="preserve"> PAGEREF _Toc156569623 \h </w:instrText>
        </w:r>
        <w:r w:rsidR="009619D9">
          <w:rPr>
            <w:noProof/>
            <w:webHidden/>
          </w:rPr>
        </w:r>
        <w:r w:rsidR="009619D9">
          <w:rPr>
            <w:noProof/>
            <w:webHidden/>
          </w:rPr>
          <w:fldChar w:fldCharType="separate"/>
        </w:r>
        <w:r w:rsidR="009619D9">
          <w:rPr>
            <w:noProof/>
            <w:webHidden/>
          </w:rPr>
          <w:t>38</w:t>
        </w:r>
        <w:r w:rsidR="009619D9">
          <w:rPr>
            <w:noProof/>
            <w:webHidden/>
          </w:rPr>
          <w:fldChar w:fldCharType="end"/>
        </w:r>
      </w:hyperlink>
    </w:p>
    <w:p w14:paraId="5EB5FBEC" w14:textId="4F313488" w:rsidR="009619D9" w:rsidRDefault="00000000">
      <w:pPr>
        <w:pStyle w:val="TOC3"/>
        <w:rPr>
          <w:rFonts w:asciiTheme="minorHAnsi" w:eastAsiaTheme="minorEastAsia" w:hAnsiTheme="minorHAnsi" w:cstheme="minorBidi"/>
          <w:noProof/>
          <w:sz w:val="22"/>
          <w:szCs w:val="22"/>
          <w:lang w:eastAsia="en-AU"/>
        </w:rPr>
      </w:pPr>
      <w:hyperlink w:anchor="_Toc156569624" w:history="1">
        <w:r w:rsidR="009619D9" w:rsidRPr="00840063">
          <w:rPr>
            <w:rStyle w:val="Hyperlink"/>
            <w:noProof/>
          </w:rPr>
          <w:t>1.12.2</w:t>
        </w:r>
        <w:r w:rsidR="009619D9">
          <w:rPr>
            <w:rFonts w:asciiTheme="minorHAnsi" w:eastAsiaTheme="minorEastAsia" w:hAnsiTheme="minorHAnsi" w:cstheme="minorBidi"/>
            <w:noProof/>
            <w:sz w:val="22"/>
            <w:szCs w:val="22"/>
            <w:lang w:eastAsia="en-AU"/>
          </w:rPr>
          <w:tab/>
        </w:r>
        <w:r w:rsidR="009619D9" w:rsidRPr="00840063">
          <w:rPr>
            <w:rStyle w:val="Hyperlink"/>
            <w:noProof/>
          </w:rPr>
          <w:t>Business rules</w:t>
        </w:r>
        <w:r w:rsidR="009619D9">
          <w:rPr>
            <w:noProof/>
            <w:webHidden/>
          </w:rPr>
          <w:tab/>
        </w:r>
        <w:r w:rsidR="009619D9">
          <w:rPr>
            <w:noProof/>
            <w:webHidden/>
          </w:rPr>
          <w:fldChar w:fldCharType="begin"/>
        </w:r>
        <w:r w:rsidR="009619D9">
          <w:rPr>
            <w:noProof/>
            <w:webHidden/>
          </w:rPr>
          <w:instrText xml:space="preserve"> PAGEREF _Toc156569624 \h </w:instrText>
        </w:r>
        <w:r w:rsidR="009619D9">
          <w:rPr>
            <w:noProof/>
            <w:webHidden/>
          </w:rPr>
        </w:r>
        <w:r w:rsidR="009619D9">
          <w:rPr>
            <w:noProof/>
            <w:webHidden/>
          </w:rPr>
          <w:fldChar w:fldCharType="separate"/>
        </w:r>
        <w:r w:rsidR="009619D9">
          <w:rPr>
            <w:noProof/>
            <w:webHidden/>
          </w:rPr>
          <w:t>38</w:t>
        </w:r>
        <w:r w:rsidR="009619D9">
          <w:rPr>
            <w:noProof/>
            <w:webHidden/>
          </w:rPr>
          <w:fldChar w:fldCharType="end"/>
        </w:r>
      </w:hyperlink>
    </w:p>
    <w:p w14:paraId="068E6468" w14:textId="5BB338EE" w:rsidR="009619D9" w:rsidRDefault="00000000">
      <w:pPr>
        <w:pStyle w:val="TOC3"/>
        <w:rPr>
          <w:rFonts w:asciiTheme="minorHAnsi" w:eastAsiaTheme="minorEastAsia" w:hAnsiTheme="minorHAnsi" w:cstheme="minorBidi"/>
          <w:noProof/>
          <w:sz w:val="22"/>
          <w:szCs w:val="22"/>
          <w:lang w:eastAsia="en-AU"/>
        </w:rPr>
      </w:pPr>
      <w:hyperlink w:anchor="_Toc156569625" w:history="1">
        <w:r w:rsidR="009619D9" w:rsidRPr="00840063">
          <w:rPr>
            <w:rStyle w:val="Hyperlink"/>
            <w:noProof/>
          </w:rPr>
          <w:t>1.12.3</w:t>
        </w:r>
        <w:r w:rsidR="009619D9">
          <w:rPr>
            <w:rFonts w:asciiTheme="minorHAnsi" w:eastAsiaTheme="minorEastAsia" w:hAnsiTheme="minorHAnsi" w:cstheme="minorBidi"/>
            <w:noProof/>
            <w:sz w:val="22"/>
            <w:szCs w:val="22"/>
            <w:lang w:eastAsia="en-AU"/>
          </w:rPr>
          <w:tab/>
        </w:r>
        <w:r w:rsidR="009619D9" w:rsidRPr="00840063">
          <w:rPr>
            <w:rStyle w:val="Hyperlink"/>
            <w:noProof/>
          </w:rPr>
          <w:t>Victorian Virtual Emergency Department</w:t>
        </w:r>
        <w:r w:rsidR="009619D9">
          <w:rPr>
            <w:noProof/>
            <w:webHidden/>
          </w:rPr>
          <w:tab/>
        </w:r>
        <w:r w:rsidR="009619D9">
          <w:rPr>
            <w:noProof/>
            <w:webHidden/>
          </w:rPr>
          <w:fldChar w:fldCharType="begin"/>
        </w:r>
        <w:r w:rsidR="009619D9">
          <w:rPr>
            <w:noProof/>
            <w:webHidden/>
          </w:rPr>
          <w:instrText xml:space="preserve"> PAGEREF _Toc156569625 \h </w:instrText>
        </w:r>
        <w:r w:rsidR="009619D9">
          <w:rPr>
            <w:noProof/>
            <w:webHidden/>
          </w:rPr>
        </w:r>
        <w:r w:rsidR="009619D9">
          <w:rPr>
            <w:noProof/>
            <w:webHidden/>
          </w:rPr>
          <w:fldChar w:fldCharType="separate"/>
        </w:r>
        <w:r w:rsidR="009619D9">
          <w:rPr>
            <w:noProof/>
            <w:webHidden/>
          </w:rPr>
          <w:t>38</w:t>
        </w:r>
        <w:r w:rsidR="009619D9">
          <w:rPr>
            <w:noProof/>
            <w:webHidden/>
          </w:rPr>
          <w:fldChar w:fldCharType="end"/>
        </w:r>
      </w:hyperlink>
    </w:p>
    <w:p w14:paraId="1FAE8AD4" w14:textId="7FBB2C41" w:rsidR="009619D9" w:rsidRDefault="00000000">
      <w:pPr>
        <w:pStyle w:val="TOC2"/>
        <w:rPr>
          <w:rFonts w:asciiTheme="minorHAnsi" w:eastAsiaTheme="minorEastAsia" w:hAnsiTheme="minorHAnsi" w:cstheme="minorBidi"/>
          <w:b w:val="0"/>
          <w:bCs w:val="0"/>
          <w:sz w:val="22"/>
          <w:szCs w:val="22"/>
          <w:lang w:eastAsia="en-AU"/>
        </w:rPr>
      </w:pPr>
      <w:hyperlink w:anchor="_Toc156569626" w:history="1">
        <w:r w:rsidR="009619D9" w:rsidRPr="00840063">
          <w:rPr>
            <w:rStyle w:val="Hyperlink"/>
          </w:rPr>
          <w:t>1.13</w:t>
        </w:r>
        <w:r w:rsidR="009619D9">
          <w:rPr>
            <w:rFonts w:asciiTheme="minorHAnsi" w:eastAsiaTheme="minorEastAsia" w:hAnsiTheme="minorHAnsi" w:cstheme="minorBidi"/>
            <w:b w:val="0"/>
            <w:bCs w:val="0"/>
            <w:sz w:val="22"/>
            <w:szCs w:val="22"/>
            <w:lang w:eastAsia="en-AU"/>
          </w:rPr>
          <w:tab/>
        </w:r>
        <w:r w:rsidR="009619D9" w:rsidRPr="00840063">
          <w:rPr>
            <w:rStyle w:val="Hyperlink"/>
          </w:rPr>
          <w:t>Non-admitted activity-based funded services</w:t>
        </w:r>
        <w:r w:rsidR="009619D9">
          <w:rPr>
            <w:webHidden/>
          </w:rPr>
          <w:tab/>
        </w:r>
        <w:r w:rsidR="009619D9">
          <w:rPr>
            <w:webHidden/>
          </w:rPr>
          <w:fldChar w:fldCharType="begin"/>
        </w:r>
        <w:r w:rsidR="009619D9">
          <w:rPr>
            <w:webHidden/>
          </w:rPr>
          <w:instrText xml:space="preserve"> PAGEREF _Toc156569626 \h </w:instrText>
        </w:r>
        <w:r w:rsidR="009619D9">
          <w:rPr>
            <w:webHidden/>
          </w:rPr>
        </w:r>
        <w:r w:rsidR="009619D9">
          <w:rPr>
            <w:webHidden/>
          </w:rPr>
          <w:fldChar w:fldCharType="separate"/>
        </w:r>
        <w:r w:rsidR="009619D9">
          <w:rPr>
            <w:webHidden/>
          </w:rPr>
          <w:t>40</w:t>
        </w:r>
        <w:r w:rsidR="009619D9">
          <w:rPr>
            <w:webHidden/>
          </w:rPr>
          <w:fldChar w:fldCharType="end"/>
        </w:r>
      </w:hyperlink>
    </w:p>
    <w:p w14:paraId="06109E77" w14:textId="6080BF68" w:rsidR="009619D9" w:rsidRDefault="00000000">
      <w:pPr>
        <w:pStyle w:val="TOC3"/>
        <w:rPr>
          <w:rFonts w:asciiTheme="minorHAnsi" w:eastAsiaTheme="minorEastAsia" w:hAnsiTheme="minorHAnsi" w:cstheme="minorBidi"/>
          <w:noProof/>
          <w:sz w:val="22"/>
          <w:szCs w:val="22"/>
          <w:lang w:eastAsia="en-AU"/>
        </w:rPr>
      </w:pPr>
      <w:hyperlink w:anchor="_Toc156569627" w:history="1">
        <w:r w:rsidR="009619D9" w:rsidRPr="00840063">
          <w:rPr>
            <w:rStyle w:val="Hyperlink"/>
            <w:noProof/>
          </w:rPr>
          <w:t>1.13.1</w:t>
        </w:r>
        <w:r w:rsidR="009619D9">
          <w:rPr>
            <w:rFonts w:asciiTheme="minorHAnsi" w:eastAsiaTheme="minorEastAsia" w:hAnsiTheme="minorHAnsi" w:cstheme="minorBidi"/>
            <w:noProof/>
            <w:sz w:val="22"/>
            <w:szCs w:val="22"/>
            <w:lang w:eastAsia="en-AU"/>
          </w:rPr>
          <w:tab/>
        </w:r>
        <w:r w:rsidR="009619D9" w:rsidRPr="00840063">
          <w:rPr>
            <w:rStyle w:val="Hyperlink"/>
            <w:noProof/>
          </w:rPr>
          <w:t>Eligibility</w:t>
        </w:r>
        <w:r w:rsidR="009619D9">
          <w:rPr>
            <w:noProof/>
            <w:webHidden/>
          </w:rPr>
          <w:tab/>
        </w:r>
        <w:r w:rsidR="009619D9">
          <w:rPr>
            <w:noProof/>
            <w:webHidden/>
          </w:rPr>
          <w:fldChar w:fldCharType="begin"/>
        </w:r>
        <w:r w:rsidR="009619D9">
          <w:rPr>
            <w:noProof/>
            <w:webHidden/>
          </w:rPr>
          <w:instrText xml:space="preserve"> PAGEREF _Toc156569627 \h </w:instrText>
        </w:r>
        <w:r w:rsidR="009619D9">
          <w:rPr>
            <w:noProof/>
            <w:webHidden/>
          </w:rPr>
        </w:r>
        <w:r w:rsidR="009619D9">
          <w:rPr>
            <w:noProof/>
            <w:webHidden/>
          </w:rPr>
          <w:fldChar w:fldCharType="separate"/>
        </w:r>
        <w:r w:rsidR="009619D9">
          <w:rPr>
            <w:noProof/>
            <w:webHidden/>
          </w:rPr>
          <w:t>40</w:t>
        </w:r>
        <w:r w:rsidR="009619D9">
          <w:rPr>
            <w:noProof/>
            <w:webHidden/>
          </w:rPr>
          <w:fldChar w:fldCharType="end"/>
        </w:r>
      </w:hyperlink>
    </w:p>
    <w:p w14:paraId="469BFE97" w14:textId="64AF147F" w:rsidR="009619D9" w:rsidRDefault="00000000">
      <w:pPr>
        <w:pStyle w:val="TOC3"/>
        <w:rPr>
          <w:rFonts w:asciiTheme="minorHAnsi" w:eastAsiaTheme="minorEastAsia" w:hAnsiTheme="minorHAnsi" w:cstheme="minorBidi"/>
          <w:noProof/>
          <w:sz w:val="22"/>
          <w:szCs w:val="22"/>
          <w:lang w:eastAsia="en-AU"/>
        </w:rPr>
      </w:pPr>
      <w:hyperlink w:anchor="_Toc156569628" w:history="1">
        <w:r w:rsidR="009619D9" w:rsidRPr="00840063">
          <w:rPr>
            <w:rStyle w:val="Hyperlink"/>
            <w:noProof/>
          </w:rPr>
          <w:t>1.13.2</w:t>
        </w:r>
        <w:r w:rsidR="009619D9">
          <w:rPr>
            <w:rFonts w:asciiTheme="minorHAnsi" w:eastAsiaTheme="minorEastAsia" w:hAnsiTheme="minorHAnsi" w:cstheme="minorBidi"/>
            <w:noProof/>
            <w:sz w:val="22"/>
            <w:szCs w:val="22"/>
            <w:lang w:eastAsia="en-AU"/>
          </w:rPr>
          <w:tab/>
        </w:r>
        <w:r w:rsidR="009619D9" w:rsidRPr="00840063">
          <w:rPr>
            <w:rStyle w:val="Hyperlink"/>
            <w:noProof/>
          </w:rPr>
          <w:t>Business rules</w:t>
        </w:r>
        <w:r w:rsidR="009619D9">
          <w:rPr>
            <w:noProof/>
            <w:webHidden/>
          </w:rPr>
          <w:tab/>
        </w:r>
        <w:r w:rsidR="009619D9">
          <w:rPr>
            <w:noProof/>
            <w:webHidden/>
          </w:rPr>
          <w:fldChar w:fldCharType="begin"/>
        </w:r>
        <w:r w:rsidR="009619D9">
          <w:rPr>
            <w:noProof/>
            <w:webHidden/>
          </w:rPr>
          <w:instrText xml:space="preserve"> PAGEREF _Toc156569628 \h </w:instrText>
        </w:r>
        <w:r w:rsidR="009619D9">
          <w:rPr>
            <w:noProof/>
            <w:webHidden/>
          </w:rPr>
        </w:r>
        <w:r w:rsidR="009619D9">
          <w:rPr>
            <w:noProof/>
            <w:webHidden/>
          </w:rPr>
          <w:fldChar w:fldCharType="separate"/>
        </w:r>
        <w:r w:rsidR="009619D9">
          <w:rPr>
            <w:noProof/>
            <w:webHidden/>
          </w:rPr>
          <w:t>40</w:t>
        </w:r>
        <w:r w:rsidR="009619D9">
          <w:rPr>
            <w:noProof/>
            <w:webHidden/>
          </w:rPr>
          <w:fldChar w:fldCharType="end"/>
        </w:r>
      </w:hyperlink>
    </w:p>
    <w:p w14:paraId="6982CC02" w14:textId="1E227C42" w:rsidR="009619D9" w:rsidRDefault="00000000">
      <w:pPr>
        <w:pStyle w:val="TOC3"/>
        <w:rPr>
          <w:rFonts w:asciiTheme="minorHAnsi" w:eastAsiaTheme="minorEastAsia" w:hAnsiTheme="minorHAnsi" w:cstheme="minorBidi"/>
          <w:noProof/>
          <w:sz w:val="22"/>
          <w:szCs w:val="22"/>
          <w:lang w:eastAsia="en-AU"/>
        </w:rPr>
      </w:pPr>
      <w:hyperlink w:anchor="_Toc156569629" w:history="1">
        <w:r w:rsidR="009619D9" w:rsidRPr="00840063">
          <w:rPr>
            <w:rStyle w:val="Hyperlink"/>
            <w:noProof/>
          </w:rPr>
          <w:t>1.13.3</w:t>
        </w:r>
        <w:r w:rsidR="009619D9">
          <w:rPr>
            <w:rFonts w:asciiTheme="minorHAnsi" w:eastAsiaTheme="minorEastAsia" w:hAnsiTheme="minorHAnsi" w:cstheme="minorBidi"/>
            <w:noProof/>
            <w:sz w:val="22"/>
            <w:szCs w:val="22"/>
            <w:lang w:eastAsia="en-AU"/>
          </w:rPr>
          <w:tab/>
        </w:r>
        <w:r w:rsidR="009619D9" w:rsidRPr="00840063">
          <w:rPr>
            <w:rStyle w:val="Hyperlink"/>
            <w:noProof/>
          </w:rPr>
          <w:t>Acute NHRA-funded specialist clinics services</w:t>
        </w:r>
        <w:r w:rsidR="009619D9">
          <w:rPr>
            <w:noProof/>
            <w:webHidden/>
          </w:rPr>
          <w:tab/>
        </w:r>
        <w:r w:rsidR="009619D9">
          <w:rPr>
            <w:noProof/>
            <w:webHidden/>
          </w:rPr>
          <w:fldChar w:fldCharType="begin"/>
        </w:r>
        <w:r w:rsidR="009619D9">
          <w:rPr>
            <w:noProof/>
            <w:webHidden/>
          </w:rPr>
          <w:instrText xml:space="preserve"> PAGEREF _Toc156569629 \h </w:instrText>
        </w:r>
        <w:r w:rsidR="009619D9">
          <w:rPr>
            <w:noProof/>
            <w:webHidden/>
          </w:rPr>
        </w:r>
        <w:r w:rsidR="009619D9">
          <w:rPr>
            <w:noProof/>
            <w:webHidden/>
          </w:rPr>
          <w:fldChar w:fldCharType="separate"/>
        </w:r>
        <w:r w:rsidR="009619D9">
          <w:rPr>
            <w:noProof/>
            <w:webHidden/>
          </w:rPr>
          <w:t>41</w:t>
        </w:r>
        <w:r w:rsidR="009619D9">
          <w:rPr>
            <w:noProof/>
            <w:webHidden/>
          </w:rPr>
          <w:fldChar w:fldCharType="end"/>
        </w:r>
      </w:hyperlink>
    </w:p>
    <w:p w14:paraId="59D94ACE" w14:textId="513B357C" w:rsidR="009619D9" w:rsidRDefault="00000000">
      <w:pPr>
        <w:pStyle w:val="TOC3"/>
        <w:rPr>
          <w:rFonts w:asciiTheme="minorHAnsi" w:eastAsiaTheme="minorEastAsia" w:hAnsiTheme="minorHAnsi" w:cstheme="minorBidi"/>
          <w:noProof/>
          <w:sz w:val="22"/>
          <w:szCs w:val="22"/>
          <w:lang w:eastAsia="en-AU"/>
        </w:rPr>
      </w:pPr>
      <w:hyperlink w:anchor="_Toc156569630" w:history="1">
        <w:r w:rsidR="009619D9" w:rsidRPr="00840063">
          <w:rPr>
            <w:rStyle w:val="Hyperlink"/>
            <w:noProof/>
          </w:rPr>
          <w:t>1.13.4</w:t>
        </w:r>
        <w:r w:rsidR="009619D9">
          <w:rPr>
            <w:rFonts w:asciiTheme="minorHAnsi" w:eastAsiaTheme="minorEastAsia" w:hAnsiTheme="minorHAnsi" w:cstheme="minorBidi"/>
            <w:noProof/>
            <w:sz w:val="22"/>
            <w:szCs w:val="22"/>
            <w:lang w:eastAsia="en-AU"/>
          </w:rPr>
          <w:tab/>
        </w:r>
        <w:r w:rsidR="009619D9" w:rsidRPr="00840063">
          <w:rPr>
            <w:rStyle w:val="Hyperlink"/>
            <w:noProof/>
          </w:rPr>
          <w:t>Home enteral nutrition</w:t>
        </w:r>
        <w:r w:rsidR="009619D9">
          <w:rPr>
            <w:noProof/>
            <w:webHidden/>
          </w:rPr>
          <w:tab/>
        </w:r>
        <w:r w:rsidR="009619D9">
          <w:rPr>
            <w:noProof/>
            <w:webHidden/>
          </w:rPr>
          <w:fldChar w:fldCharType="begin"/>
        </w:r>
        <w:r w:rsidR="009619D9">
          <w:rPr>
            <w:noProof/>
            <w:webHidden/>
          </w:rPr>
          <w:instrText xml:space="preserve"> PAGEREF _Toc156569630 \h </w:instrText>
        </w:r>
        <w:r w:rsidR="009619D9">
          <w:rPr>
            <w:noProof/>
            <w:webHidden/>
          </w:rPr>
        </w:r>
        <w:r w:rsidR="009619D9">
          <w:rPr>
            <w:noProof/>
            <w:webHidden/>
          </w:rPr>
          <w:fldChar w:fldCharType="separate"/>
        </w:r>
        <w:r w:rsidR="009619D9">
          <w:rPr>
            <w:noProof/>
            <w:webHidden/>
          </w:rPr>
          <w:t>42</w:t>
        </w:r>
        <w:r w:rsidR="009619D9">
          <w:rPr>
            <w:noProof/>
            <w:webHidden/>
          </w:rPr>
          <w:fldChar w:fldCharType="end"/>
        </w:r>
      </w:hyperlink>
    </w:p>
    <w:p w14:paraId="0017B820" w14:textId="61B4F29B" w:rsidR="009619D9" w:rsidRDefault="00000000">
      <w:pPr>
        <w:pStyle w:val="TOC3"/>
        <w:rPr>
          <w:rFonts w:asciiTheme="minorHAnsi" w:eastAsiaTheme="minorEastAsia" w:hAnsiTheme="minorHAnsi" w:cstheme="minorBidi"/>
          <w:noProof/>
          <w:sz w:val="22"/>
          <w:szCs w:val="22"/>
          <w:lang w:eastAsia="en-AU"/>
        </w:rPr>
      </w:pPr>
      <w:hyperlink w:anchor="_Toc156569631" w:history="1">
        <w:r w:rsidR="009619D9" w:rsidRPr="00840063">
          <w:rPr>
            <w:rStyle w:val="Hyperlink"/>
            <w:noProof/>
          </w:rPr>
          <w:t>1.13.5</w:t>
        </w:r>
        <w:r w:rsidR="009619D9">
          <w:rPr>
            <w:rFonts w:asciiTheme="minorHAnsi" w:eastAsiaTheme="minorEastAsia" w:hAnsiTheme="minorHAnsi" w:cstheme="minorBidi"/>
            <w:noProof/>
            <w:sz w:val="22"/>
            <w:szCs w:val="22"/>
            <w:lang w:eastAsia="en-AU"/>
          </w:rPr>
          <w:tab/>
        </w:r>
        <w:r w:rsidR="009619D9" w:rsidRPr="00840063">
          <w:rPr>
            <w:rStyle w:val="Hyperlink"/>
            <w:noProof/>
          </w:rPr>
          <w:t>Total parenteral nutrition</w:t>
        </w:r>
        <w:r w:rsidR="009619D9">
          <w:rPr>
            <w:noProof/>
            <w:webHidden/>
          </w:rPr>
          <w:tab/>
        </w:r>
        <w:r w:rsidR="009619D9">
          <w:rPr>
            <w:noProof/>
            <w:webHidden/>
          </w:rPr>
          <w:fldChar w:fldCharType="begin"/>
        </w:r>
        <w:r w:rsidR="009619D9">
          <w:rPr>
            <w:noProof/>
            <w:webHidden/>
          </w:rPr>
          <w:instrText xml:space="preserve"> PAGEREF _Toc156569631 \h </w:instrText>
        </w:r>
        <w:r w:rsidR="009619D9">
          <w:rPr>
            <w:noProof/>
            <w:webHidden/>
          </w:rPr>
        </w:r>
        <w:r w:rsidR="009619D9">
          <w:rPr>
            <w:noProof/>
            <w:webHidden/>
          </w:rPr>
          <w:fldChar w:fldCharType="separate"/>
        </w:r>
        <w:r w:rsidR="009619D9">
          <w:rPr>
            <w:noProof/>
            <w:webHidden/>
          </w:rPr>
          <w:t>42</w:t>
        </w:r>
        <w:r w:rsidR="009619D9">
          <w:rPr>
            <w:noProof/>
            <w:webHidden/>
          </w:rPr>
          <w:fldChar w:fldCharType="end"/>
        </w:r>
      </w:hyperlink>
    </w:p>
    <w:p w14:paraId="28FF5DB2" w14:textId="495F9540" w:rsidR="009619D9" w:rsidRDefault="00000000">
      <w:pPr>
        <w:pStyle w:val="TOC3"/>
        <w:rPr>
          <w:rFonts w:asciiTheme="minorHAnsi" w:eastAsiaTheme="minorEastAsia" w:hAnsiTheme="minorHAnsi" w:cstheme="minorBidi"/>
          <w:noProof/>
          <w:sz w:val="22"/>
          <w:szCs w:val="22"/>
          <w:lang w:eastAsia="en-AU"/>
        </w:rPr>
      </w:pPr>
      <w:hyperlink w:anchor="_Toc156569632" w:history="1">
        <w:r w:rsidR="009619D9" w:rsidRPr="00840063">
          <w:rPr>
            <w:rStyle w:val="Hyperlink"/>
            <w:noProof/>
          </w:rPr>
          <w:t>1.13.6</w:t>
        </w:r>
        <w:r w:rsidR="009619D9">
          <w:rPr>
            <w:rFonts w:asciiTheme="minorHAnsi" w:eastAsiaTheme="minorEastAsia" w:hAnsiTheme="minorHAnsi" w:cstheme="minorBidi"/>
            <w:noProof/>
            <w:sz w:val="22"/>
            <w:szCs w:val="22"/>
            <w:lang w:eastAsia="en-AU"/>
          </w:rPr>
          <w:tab/>
        </w:r>
        <w:r w:rsidR="009619D9" w:rsidRPr="00840063">
          <w:rPr>
            <w:rStyle w:val="Hyperlink"/>
            <w:noProof/>
          </w:rPr>
          <w:t>Home-based renal dialysis services</w:t>
        </w:r>
        <w:r w:rsidR="009619D9">
          <w:rPr>
            <w:noProof/>
            <w:webHidden/>
          </w:rPr>
          <w:tab/>
        </w:r>
        <w:r w:rsidR="009619D9">
          <w:rPr>
            <w:noProof/>
            <w:webHidden/>
          </w:rPr>
          <w:fldChar w:fldCharType="begin"/>
        </w:r>
        <w:r w:rsidR="009619D9">
          <w:rPr>
            <w:noProof/>
            <w:webHidden/>
          </w:rPr>
          <w:instrText xml:space="preserve"> PAGEREF _Toc156569632 \h </w:instrText>
        </w:r>
        <w:r w:rsidR="009619D9">
          <w:rPr>
            <w:noProof/>
            <w:webHidden/>
          </w:rPr>
        </w:r>
        <w:r w:rsidR="009619D9">
          <w:rPr>
            <w:noProof/>
            <w:webHidden/>
          </w:rPr>
          <w:fldChar w:fldCharType="separate"/>
        </w:r>
        <w:r w:rsidR="009619D9">
          <w:rPr>
            <w:noProof/>
            <w:webHidden/>
          </w:rPr>
          <w:t>42</w:t>
        </w:r>
        <w:r w:rsidR="009619D9">
          <w:rPr>
            <w:noProof/>
            <w:webHidden/>
          </w:rPr>
          <w:fldChar w:fldCharType="end"/>
        </w:r>
      </w:hyperlink>
    </w:p>
    <w:p w14:paraId="67BA46BC" w14:textId="0ACD670F" w:rsidR="009619D9" w:rsidRDefault="00000000">
      <w:pPr>
        <w:pStyle w:val="TOC3"/>
        <w:rPr>
          <w:rFonts w:asciiTheme="minorHAnsi" w:eastAsiaTheme="minorEastAsia" w:hAnsiTheme="minorHAnsi" w:cstheme="minorBidi"/>
          <w:noProof/>
          <w:sz w:val="22"/>
          <w:szCs w:val="22"/>
          <w:lang w:eastAsia="en-AU"/>
        </w:rPr>
      </w:pPr>
      <w:hyperlink w:anchor="_Toc156569633" w:history="1">
        <w:r w:rsidR="009619D9" w:rsidRPr="00840063">
          <w:rPr>
            <w:rStyle w:val="Hyperlink"/>
            <w:noProof/>
          </w:rPr>
          <w:t>1.13.7</w:t>
        </w:r>
        <w:r w:rsidR="009619D9">
          <w:rPr>
            <w:rFonts w:asciiTheme="minorHAnsi" w:eastAsiaTheme="minorEastAsia" w:hAnsiTheme="minorHAnsi" w:cstheme="minorBidi"/>
            <w:noProof/>
            <w:sz w:val="22"/>
            <w:szCs w:val="22"/>
            <w:lang w:eastAsia="en-AU"/>
          </w:rPr>
          <w:tab/>
        </w:r>
        <w:r w:rsidR="009619D9" w:rsidRPr="00840063">
          <w:rPr>
            <w:rStyle w:val="Hyperlink"/>
            <w:noProof/>
          </w:rPr>
          <w:t>Genomics</w:t>
        </w:r>
        <w:r w:rsidR="009619D9">
          <w:rPr>
            <w:noProof/>
            <w:webHidden/>
          </w:rPr>
          <w:tab/>
        </w:r>
        <w:r w:rsidR="009619D9">
          <w:rPr>
            <w:noProof/>
            <w:webHidden/>
          </w:rPr>
          <w:fldChar w:fldCharType="begin"/>
        </w:r>
        <w:r w:rsidR="009619D9">
          <w:rPr>
            <w:noProof/>
            <w:webHidden/>
          </w:rPr>
          <w:instrText xml:space="preserve"> PAGEREF _Toc156569633 \h </w:instrText>
        </w:r>
        <w:r w:rsidR="009619D9">
          <w:rPr>
            <w:noProof/>
            <w:webHidden/>
          </w:rPr>
        </w:r>
        <w:r w:rsidR="009619D9">
          <w:rPr>
            <w:noProof/>
            <w:webHidden/>
          </w:rPr>
          <w:fldChar w:fldCharType="separate"/>
        </w:r>
        <w:r w:rsidR="009619D9">
          <w:rPr>
            <w:noProof/>
            <w:webHidden/>
          </w:rPr>
          <w:t>42</w:t>
        </w:r>
        <w:r w:rsidR="009619D9">
          <w:rPr>
            <w:noProof/>
            <w:webHidden/>
          </w:rPr>
          <w:fldChar w:fldCharType="end"/>
        </w:r>
      </w:hyperlink>
    </w:p>
    <w:p w14:paraId="7038964D" w14:textId="034C76FA" w:rsidR="009619D9" w:rsidRDefault="00000000">
      <w:pPr>
        <w:pStyle w:val="TOC3"/>
        <w:rPr>
          <w:rFonts w:asciiTheme="minorHAnsi" w:eastAsiaTheme="minorEastAsia" w:hAnsiTheme="minorHAnsi" w:cstheme="minorBidi"/>
          <w:noProof/>
          <w:sz w:val="22"/>
          <w:szCs w:val="22"/>
          <w:lang w:eastAsia="en-AU"/>
        </w:rPr>
      </w:pPr>
      <w:hyperlink w:anchor="_Toc156569634" w:history="1">
        <w:r w:rsidR="009619D9" w:rsidRPr="00840063">
          <w:rPr>
            <w:rStyle w:val="Hyperlink"/>
            <w:noProof/>
          </w:rPr>
          <w:t>1.13.8</w:t>
        </w:r>
        <w:r w:rsidR="009619D9">
          <w:rPr>
            <w:rFonts w:asciiTheme="minorHAnsi" w:eastAsiaTheme="minorEastAsia" w:hAnsiTheme="minorHAnsi" w:cstheme="minorBidi"/>
            <w:noProof/>
            <w:sz w:val="22"/>
            <w:szCs w:val="22"/>
            <w:lang w:eastAsia="en-AU"/>
          </w:rPr>
          <w:tab/>
        </w:r>
        <w:r w:rsidR="009619D9" w:rsidRPr="00840063">
          <w:rPr>
            <w:rStyle w:val="Hyperlink"/>
            <w:noProof/>
          </w:rPr>
          <w:t>Complex Care (FCP) (previously the Family Choice Program)</w:t>
        </w:r>
        <w:r w:rsidR="009619D9">
          <w:rPr>
            <w:noProof/>
            <w:webHidden/>
          </w:rPr>
          <w:tab/>
        </w:r>
        <w:r w:rsidR="009619D9">
          <w:rPr>
            <w:noProof/>
            <w:webHidden/>
          </w:rPr>
          <w:fldChar w:fldCharType="begin"/>
        </w:r>
        <w:r w:rsidR="009619D9">
          <w:rPr>
            <w:noProof/>
            <w:webHidden/>
          </w:rPr>
          <w:instrText xml:space="preserve"> PAGEREF _Toc156569634 \h </w:instrText>
        </w:r>
        <w:r w:rsidR="009619D9">
          <w:rPr>
            <w:noProof/>
            <w:webHidden/>
          </w:rPr>
        </w:r>
        <w:r w:rsidR="009619D9">
          <w:rPr>
            <w:noProof/>
            <w:webHidden/>
          </w:rPr>
          <w:fldChar w:fldCharType="separate"/>
        </w:r>
        <w:r w:rsidR="009619D9">
          <w:rPr>
            <w:noProof/>
            <w:webHidden/>
          </w:rPr>
          <w:t>43</w:t>
        </w:r>
        <w:r w:rsidR="009619D9">
          <w:rPr>
            <w:noProof/>
            <w:webHidden/>
          </w:rPr>
          <w:fldChar w:fldCharType="end"/>
        </w:r>
      </w:hyperlink>
    </w:p>
    <w:p w14:paraId="45EAF96A" w14:textId="48972096" w:rsidR="009619D9" w:rsidRDefault="00000000">
      <w:pPr>
        <w:pStyle w:val="TOC2"/>
        <w:rPr>
          <w:rFonts w:asciiTheme="minorHAnsi" w:eastAsiaTheme="minorEastAsia" w:hAnsiTheme="minorHAnsi" w:cstheme="minorBidi"/>
          <w:b w:val="0"/>
          <w:bCs w:val="0"/>
          <w:sz w:val="22"/>
          <w:szCs w:val="22"/>
          <w:lang w:eastAsia="en-AU"/>
        </w:rPr>
      </w:pPr>
      <w:hyperlink w:anchor="_Toc156569635" w:history="1">
        <w:r w:rsidR="009619D9" w:rsidRPr="00840063">
          <w:rPr>
            <w:rStyle w:val="Hyperlink"/>
          </w:rPr>
          <w:t>1.14</w:t>
        </w:r>
        <w:r w:rsidR="009619D9">
          <w:rPr>
            <w:rFonts w:asciiTheme="minorHAnsi" w:eastAsiaTheme="minorEastAsia" w:hAnsiTheme="minorHAnsi" w:cstheme="minorBidi"/>
            <w:b w:val="0"/>
            <w:bCs w:val="0"/>
            <w:sz w:val="22"/>
            <w:szCs w:val="22"/>
            <w:lang w:eastAsia="en-AU"/>
          </w:rPr>
          <w:tab/>
        </w:r>
        <w:r w:rsidR="009619D9" w:rsidRPr="00840063">
          <w:rPr>
            <w:rStyle w:val="Hyperlink"/>
          </w:rPr>
          <w:t>Non-admitted block-funded services</w:t>
        </w:r>
        <w:r w:rsidR="009619D9">
          <w:rPr>
            <w:webHidden/>
          </w:rPr>
          <w:tab/>
        </w:r>
        <w:r w:rsidR="009619D9">
          <w:rPr>
            <w:webHidden/>
          </w:rPr>
          <w:fldChar w:fldCharType="begin"/>
        </w:r>
        <w:r w:rsidR="009619D9">
          <w:rPr>
            <w:webHidden/>
          </w:rPr>
          <w:instrText xml:space="preserve"> PAGEREF _Toc156569635 \h </w:instrText>
        </w:r>
        <w:r w:rsidR="009619D9">
          <w:rPr>
            <w:webHidden/>
          </w:rPr>
        </w:r>
        <w:r w:rsidR="009619D9">
          <w:rPr>
            <w:webHidden/>
          </w:rPr>
          <w:fldChar w:fldCharType="separate"/>
        </w:r>
        <w:r w:rsidR="009619D9">
          <w:rPr>
            <w:webHidden/>
          </w:rPr>
          <w:t>44</w:t>
        </w:r>
        <w:r w:rsidR="009619D9">
          <w:rPr>
            <w:webHidden/>
          </w:rPr>
          <w:fldChar w:fldCharType="end"/>
        </w:r>
      </w:hyperlink>
    </w:p>
    <w:p w14:paraId="626F31A5" w14:textId="064383F8" w:rsidR="009619D9" w:rsidRDefault="00000000">
      <w:pPr>
        <w:pStyle w:val="TOC3"/>
        <w:rPr>
          <w:rFonts w:asciiTheme="minorHAnsi" w:eastAsiaTheme="minorEastAsia" w:hAnsiTheme="minorHAnsi" w:cstheme="minorBidi"/>
          <w:noProof/>
          <w:sz w:val="22"/>
          <w:szCs w:val="22"/>
          <w:lang w:eastAsia="en-AU"/>
        </w:rPr>
      </w:pPr>
      <w:hyperlink w:anchor="_Toc156569636" w:history="1">
        <w:r w:rsidR="009619D9" w:rsidRPr="00840063">
          <w:rPr>
            <w:rStyle w:val="Hyperlink"/>
            <w:noProof/>
          </w:rPr>
          <w:t>1.14.1</w:t>
        </w:r>
        <w:r w:rsidR="009619D9">
          <w:rPr>
            <w:rFonts w:asciiTheme="minorHAnsi" w:eastAsiaTheme="minorEastAsia" w:hAnsiTheme="minorHAnsi" w:cstheme="minorBidi"/>
            <w:noProof/>
            <w:sz w:val="22"/>
            <w:szCs w:val="22"/>
            <w:lang w:eastAsia="en-AU"/>
          </w:rPr>
          <w:tab/>
        </w:r>
        <w:r w:rsidR="009619D9" w:rsidRPr="00840063">
          <w:rPr>
            <w:rStyle w:val="Hyperlink"/>
            <w:noProof/>
          </w:rPr>
          <w:t>Acute MBS-billed public specialist clinics services</w:t>
        </w:r>
        <w:r w:rsidR="009619D9">
          <w:rPr>
            <w:noProof/>
            <w:webHidden/>
          </w:rPr>
          <w:tab/>
        </w:r>
        <w:r w:rsidR="009619D9">
          <w:rPr>
            <w:noProof/>
            <w:webHidden/>
          </w:rPr>
          <w:fldChar w:fldCharType="begin"/>
        </w:r>
        <w:r w:rsidR="009619D9">
          <w:rPr>
            <w:noProof/>
            <w:webHidden/>
          </w:rPr>
          <w:instrText xml:space="preserve"> PAGEREF _Toc156569636 \h </w:instrText>
        </w:r>
        <w:r w:rsidR="009619D9">
          <w:rPr>
            <w:noProof/>
            <w:webHidden/>
          </w:rPr>
        </w:r>
        <w:r w:rsidR="009619D9">
          <w:rPr>
            <w:noProof/>
            <w:webHidden/>
          </w:rPr>
          <w:fldChar w:fldCharType="separate"/>
        </w:r>
        <w:r w:rsidR="009619D9">
          <w:rPr>
            <w:noProof/>
            <w:webHidden/>
          </w:rPr>
          <w:t>44</w:t>
        </w:r>
        <w:r w:rsidR="009619D9">
          <w:rPr>
            <w:noProof/>
            <w:webHidden/>
          </w:rPr>
          <w:fldChar w:fldCharType="end"/>
        </w:r>
      </w:hyperlink>
    </w:p>
    <w:p w14:paraId="5ED0747C" w14:textId="6F300D2E" w:rsidR="009619D9" w:rsidRDefault="00000000">
      <w:pPr>
        <w:pStyle w:val="TOC3"/>
        <w:rPr>
          <w:rFonts w:asciiTheme="minorHAnsi" w:eastAsiaTheme="minorEastAsia" w:hAnsiTheme="minorHAnsi" w:cstheme="minorBidi"/>
          <w:noProof/>
          <w:sz w:val="22"/>
          <w:szCs w:val="22"/>
          <w:lang w:eastAsia="en-AU"/>
        </w:rPr>
      </w:pPr>
      <w:hyperlink w:anchor="_Toc156569637" w:history="1">
        <w:r w:rsidR="009619D9" w:rsidRPr="00840063">
          <w:rPr>
            <w:rStyle w:val="Hyperlink"/>
            <w:noProof/>
          </w:rPr>
          <w:t>1.14.2</w:t>
        </w:r>
        <w:r w:rsidR="009619D9">
          <w:rPr>
            <w:rFonts w:asciiTheme="minorHAnsi" w:eastAsiaTheme="minorEastAsia" w:hAnsiTheme="minorHAnsi" w:cstheme="minorBidi"/>
            <w:noProof/>
            <w:sz w:val="22"/>
            <w:szCs w:val="22"/>
            <w:lang w:eastAsia="en-AU"/>
          </w:rPr>
          <w:tab/>
        </w:r>
        <w:r w:rsidR="009619D9" w:rsidRPr="00840063">
          <w:rPr>
            <w:rStyle w:val="Hyperlink"/>
            <w:noProof/>
          </w:rPr>
          <w:t>Community palliative care</w:t>
        </w:r>
        <w:r w:rsidR="009619D9">
          <w:rPr>
            <w:noProof/>
            <w:webHidden/>
          </w:rPr>
          <w:tab/>
        </w:r>
        <w:r w:rsidR="009619D9">
          <w:rPr>
            <w:noProof/>
            <w:webHidden/>
          </w:rPr>
          <w:fldChar w:fldCharType="begin"/>
        </w:r>
        <w:r w:rsidR="009619D9">
          <w:rPr>
            <w:noProof/>
            <w:webHidden/>
          </w:rPr>
          <w:instrText xml:space="preserve"> PAGEREF _Toc156569637 \h </w:instrText>
        </w:r>
        <w:r w:rsidR="009619D9">
          <w:rPr>
            <w:noProof/>
            <w:webHidden/>
          </w:rPr>
        </w:r>
        <w:r w:rsidR="009619D9">
          <w:rPr>
            <w:noProof/>
            <w:webHidden/>
          </w:rPr>
          <w:fldChar w:fldCharType="separate"/>
        </w:r>
        <w:r w:rsidR="009619D9">
          <w:rPr>
            <w:noProof/>
            <w:webHidden/>
          </w:rPr>
          <w:t>44</w:t>
        </w:r>
        <w:r w:rsidR="009619D9">
          <w:rPr>
            <w:noProof/>
            <w:webHidden/>
          </w:rPr>
          <w:fldChar w:fldCharType="end"/>
        </w:r>
      </w:hyperlink>
    </w:p>
    <w:p w14:paraId="7E11A850" w14:textId="66D834C8" w:rsidR="009619D9" w:rsidRDefault="00000000">
      <w:pPr>
        <w:pStyle w:val="TOC3"/>
        <w:rPr>
          <w:rFonts w:asciiTheme="minorHAnsi" w:eastAsiaTheme="minorEastAsia" w:hAnsiTheme="minorHAnsi" w:cstheme="minorBidi"/>
          <w:noProof/>
          <w:sz w:val="22"/>
          <w:szCs w:val="22"/>
          <w:lang w:eastAsia="en-AU"/>
        </w:rPr>
      </w:pPr>
      <w:hyperlink w:anchor="_Toc156569638" w:history="1">
        <w:r w:rsidR="009619D9" w:rsidRPr="00840063">
          <w:rPr>
            <w:rStyle w:val="Hyperlink"/>
            <w:noProof/>
          </w:rPr>
          <w:t>1.14.3</w:t>
        </w:r>
        <w:r w:rsidR="009619D9">
          <w:rPr>
            <w:rFonts w:asciiTheme="minorHAnsi" w:eastAsiaTheme="minorEastAsia" w:hAnsiTheme="minorHAnsi" w:cstheme="minorBidi"/>
            <w:noProof/>
            <w:sz w:val="22"/>
            <w:szCs w:val="22"/>
            <w:lang w:eastAsia="en-AU"/>
          </w:rPr>
          <w:tab/>
        </w:r>
        <w:r w:rsidR="009619D9" w:rsidRPr="00840063">
          <w:rPr>
            <w:rStyle w:val="Hyperlink"/>
            <w:noProof/>
          </w:rPr>
          <w:t>Palliative care consultancy services</w:t>
        </w:r>
        <w:r w:rsidR="009619D9">
          <w:rPr>
            <w:noProof/>
            <w:webHidden/>
          </w:rPr>
          <w:tab/>
        </w:r>
        <w:r w:rsidR="009619D9">
          <w:rPr>
            <w:noProof/>
            <w:webHidden/>
          </w:rPr>
          <w:fldChar w:fldCharType="begin"/>
        </w:r>
        <w:r w:rsidR="009619D9">
          <w:rPr>
            <w:noProof/>
            <w:webHidden/>
          </w:rPr>
          <w:instrText xml:space="preserve"> PAGEREF _Toc156569638 \h </w:instrText>
        </w:r>
        <w:r w:rsidR="009619D9">
          <w:rPr>
            <w:noProof/>
            <w:webHidden/>
          </w:rPr>
        </w:r>
        <w:r w:rsidR="009619D9">
          <w:rPr>
            <w:noProof/>
            <w:webHidden/>
          </w:rPr>
          <w:fldChar w:fldCharType="separate"/>
        </w:r>
        <w:r w:rsidR="009619D9">
          <w:rPr>
            <w:noProof/>
            <w:webHidden/>
          </w:rPr>
          <w:t>45</w:t>
        </w:r>
        <w:r w:rsidR="009619D9">
          <w:rPr>
            <w:noProof/>
            <w:webHidden/>
          </w:rPr>
          <w:fldChar w:fldCharType="end"/>
        </w:r>
      </w:hyperlink>
    </w:p>
    <w:p w14:paraId="0672FB27" w14:textId="5505B321" w:rsidR="009619D9" w:rsidRDefault="00000000">
      <w:pPr>
        <w:pStyle w:val="TOC3"/>
        <w:rPr>
          <w:rFonts w:asciiTheme="minorHAnsi" w:eastAsiaTheme="minorEastAsia" w:hAnsiTheme="minorHAnsi" w:cstheme="minorBidi"/>
          <w:noProof/>
          <w:sz w:val="22"/>
          <w:szCs w:val="22"/>
          <w:lang w:eastAsia="en-AU"/>
        </w:rPr>
      </w:pPr>
      <w:hyperlink w:anchor="_Toc156569639" w:history="1">
        <w:r w:rsidR="009619D9" w:rsidRPr="00840063">
          <w:rPr>
            <w:rStyle w:val="Hyperlink"/>
            <w:noProof/>
          </w:rPr>
          <w:t>1.14.4</w:t>
        </w:r>
        <w:r w:rsidR="009619D9">
          <w:rPr>
            <w:rFonts w:asciiTheme="minorHAnsi" w:eastAsiaTheme="minorEastAsia" w:hAnsiTheme="minorHAnsi" w:cstheme="minorBidi"/>
            <w:noProof/>
            <w:sz w:val="22"/>
            <w:szCs w:val="22"/>
            <w:lang w:eastAsia="en-AU"/>
          </w:rPr>
          <w:tab/>
        </w:r>
        <w:r w:rsidR="009619D9" w:rsidRPr="00840063">
          <w:rPr>
            <w:rStyle w:val="Hyperlink"/>
            <w:noProof/>
          </w:rPr>
          <w:t>Day hospice</w:t>
        </w:r>
        <w:r w:rsidR="009619D9">
          <w:rPr>
            <w:noProof/>
            <w:webHidden/>
          </w:rPr>
          <w:tab/>
        </w:r>
        <w:r w:rsidR="009619D9">
          <w:rPr>
            <w:noProof/>
            <w:webHidden/>
          </w:rPr>
          <w:fldChar w:fldCharType="begin"/>
        </w:r>
        <w:r w:rsidR="009619D9">
          <w:rPr>
            <w:noProof/>
            <w:webHidden/>
          </w:rPr>
          <w:instrText xml:space="preserve"> PAGEREF _Toc156569639 \h </w:instrText>
        </w:r>
        <w:r w:rsidR="009619D9">
          <w:rPr>
            <w:noProof/>
            <w:webHidden/>
          </w:rPr>
        </w:r>
        <w:r w:rsidR="009619D9">
          <w:rPr>
            <w:noProof/>
            <w:webHidden/>
          </w:rPr>
          <w:fldChar w:fldCharType="separate"/>
        </w:r>
        <w:r w:rsidR="009619D9">
          <w:rPr>
            <w:noProof/>
            <w:webHidden/>
          </w:rPr>
          <w:t>46</w:t>
        </w:r>
        <w:r w:rsidR="009619D9">
          <w:rPr>
            <w:noProof/>
            <w:webHidden/>
          </w:rPr>
          <w:fldChar w:fldCharType="end"/>
        </w:r>
      </w:hyperlink>
    </w:p>
    <w:p w14:paraId="0419C4D7" w14:textId="7562E43B" w:rsidR="009619D9" w:rsidRDefault="00000000">
      <w:pPr>
        <w:pStyle w:val="TOC3"/>
        <w:rPr>
          <w:rFonts w:asciiTheme="minorHAnsi" w:eastAsiaTheme="minorEastAsia" w:hAnsiTheme="minorHAnsi" w:cstheme="minorBidi"/>
          <w:noProof/>
          <w:sz w:val="22"/>
          <w:szCs w:val="22"/>
          <w:lang w:eastAsia="en-AU"/>
        </w:rPr>
      </w:pPr>
      <w:hyperlink w:anchor="_Toc156569640" w:history="1">
        <w:r w:rsidR="009619D9" w:rsidRPr="00840063">
          <w:rPr>
            <w:rStyle w:val="Hyperlink"/>
            <w:noProof/>
          </w:rPr>
          <w:t>1.14.5</w:t>
        </w:r>
        <w:r w:rsidR="009619D9">
          <w:rPr>
            <w:rFonts w:asciiTheme="minorHAnsi" w:eastAsiaTheme="minorEastAsia" w:hAnsiTheme="minorHAnsi" w:cstheme="minorBidi"/>
            <w:noProof/>
            <w:sz w:val="22"/>
            <w:szCs w:val="22"/>
            <w:lang w:eastAsia="en-AU"/>
          </w:rPr>
          <w:tab/>
        </w:r>
        <w:r w:rsidR="009619D9" w:rsidRPr="00840063">
          <w:rPr>
            <w:rStyle w:val="Hyperlink"/>
            <w:noProof/>
          </w:rPr>
          <w:t>Victorian Artificial Limb Program</w:t>
        </w:r>
        <w:r w:rsidR="009619D9">
          <w:rPr>
            <w:noProof/>
            <w:webHidden/>
          </w:rPr>
          <w:tab/>
        </w:r>
        <w:r w:rsidR="009619D9">
          <w:rPr>
            <w:noProof/>
            <w:webHidden/>
          </w:rPr>
          <w:fldChar w:fldCharType="begin"/>
        </w:r>
        <w:r w:rsidR="009619D9">
          <w:rPr>
            <w:noProof/>
            <w:webHidden/>
          </w:rPr>
          <w:instrText xml:space="preserve"> PAGEREF _Toc156569640 \h </w:instrText>
        </w:r>
        <w:r w:rsidR="009619D9">
          <w:rPr>
            <w:noProof/>
            <w:webHidden/>
          </w:rPr>
        </w:r>
        <w:r w:rsidR="009619D9">
          <w:rPr>
            <w:noProof/>
            <w:webHidden/>
          </w:rPr>
          <w:fldChar w:fldCharType="separate"/>
        </w:r>
        <w:r w:rsidR="009619D9">
          <w:rPr>
            <w:noProof/>
            <w:webHidden/>
          </w:rPr>
          <w:t>46</w:t>
        </w:r>
        <w:r w:rsidR="009619D9">
          <w:rPr>
            <w:noProof/>
            <w:webHidden/>
          </w:rPr>
          <w:fldChar w:fldCharType="end"/>
        </w:r>
      </w:hyperlink>
    </w:p>
    <w:p w14:paraId="6BA10C06" w14:textId="01E5F379" w:rsidR="009619D9" w:rsidRDefault="00000000">
      <w:pPr>
        <w:pStyle w:val="TOC3"/>
        <w:rPr>
          <w:rFonts w:asciiTheme="minorHAnsi" w:eastAsiaTheme="minorEastAsia" w:hAnsiTheme="minorHAnsi" w:cstheme="minorBidi"/>
          <w:noProof/>
          <w:sz w:val="22"/>
          <w:szCs w:val="22"/>
          <w:lang w:eastAsia="en-AU"/>
        </w:rPr>
      </w:pPr>
      <w:hyperlink w:anchor="_Toc156569641" w:history="1">
        <w:r w:rsidR="009619D9" w:rsidRPr="00840063">
          <w:rPr>
            <w:rStyle w:val="Hyperlink"/>
            <w:noProof/>
          </w:rPr>
          <w:t>1.14.6</w:t>
        </w:r>
        <w:r w:rsidR="009619D9">
          <w:rPr>
            <w:rFonts w:asciiTheme="minorHAnsi" w:eastAsiaTheme="minorEastAsia" w:hAnsiTheme="minorHAnsi" w:cstheme="minorBidi"/>
            <w:noProof/>
            <w:sz w:val="22"/>
            <w:szCs w:val="22"/>
            <w:lang w:eastAsia="en-AU"/>
          </w:rPr>
          <w:tab/>
        </w:r>
        <w:r w:rsidR="009619D9" w:rsidRPr="00840063">
          <w:rPr>
            <w:rStyle w:val="Hyperlink"/>
            <w:noProof/>
          </w:rPr>
          <w:t>Victorian Respiratory Support Service</w:t>
        </w:r>
        <w:r w:rsidR="009619D9">
          <w:rPr>
            <w:noProof/>
            <w:webHidden/>
          </w:rPr>
          <w:tab/>
        </w:r>
        <w:r w:rsidR="009619D9">
          <w:rPr>
            <w:noProof/>
            <w:webHidden/>
          </w:rPr>
          <w:fldChar w:fldCharType="begin"/>
        </w:r>
        <w:r w:rsidR="009619D9">
          <w:rPr>
            <w:noProof/>
            <w:webHidden/>
          </w:rPr>
          <w:instrText xml:space="preserve"> PAGEREF _Toc156569641 \h </w:instrText>
        </w:r>
        <w:r w:rsidR="009619D9">
          <w:rPr>
            <w:noProof/>
            <w:webHidden/>
          </w:rPr>
        </w:r>
        <w:r w:rsidR="009619D9">
          <w:rPr>
            <w:noProof/>
            <w:webHidden/>
          </w:rPr>
          <w:fldChar w:fldCharType="separate"/>
        </w:r>
        <w:r w:rsidR="009619D9">
          <w:rPr>
            <w:noProof/>
            <w:webHidden/>
          </w:rPr>
          <w:t>47</w:t>
        </w:r>
        <w:r w:rsidR="009619D9">
          <w:rPr>
            <w:noProof/>
            <w:webHidden/>
          </w:rPr>
          <w:fldChar w:fldCharType="end"/>
        </w:r>
      </w:hyperlink>
    </w:p>
    <w:p w14:paraId="1C572A8F" w14:textId="4DDBEEC9" w:rsidR="009619D9" w:rsidRDefault="00000000">
      <w:pPr>
        <w:pStyle w:val="TOC2"/>
        <w:rPr>
          <w:rFonts w:asciiTheme="minorHAnsi" w:eastAsiaTheme="minorEastAsia" w:hAnsiTheme="minorHAnsi" w:cstheme="minorBidi"/>
          <w:b w:val="0"/>
          <w:bCs w:val="0"/>
          <w:sz w:val="22"/>
          <w:szCs w:val="22"/>
          <w:lang w:eastAsia="en-AU"/>
        </w:rPr>
      </w:pPr>
      <w:hyperlink w:anchor="_Toc156569642" w:history="1">
        <w:r w:rsidR="009619D9" w:rsidRPr="00840063">
          <w:rPr>
            <w:rStyle w:val="Hyperlink"/>
          </w:rPr>
          <w:t>1.15</w:t>
        </w:r>
        <w:r w:rsidR="009619D9">
          <w:rPr>
            <w:rFonts w:asciiTheme="minorHAnsi" w:eastAsiaTheme="minorEastAsia" w:hAnsiTheme="minorHAnsi" w:cstheme="minorBidi"/>
            <w:b w:val="0"/>
            <w:bCs w:val="0"/>
            <w:sz w:val="22"/>
            <w:szCs w:val="22"/>
            <w:lang w:eastAsia="en-AU"/>
          </w:rPr>
          <w:tab/>
        </w:r>
        <w:r w:rsidR="009619D9" w:rsidRPr="00840063">
          <w:rPr>
            <w:rStyle w:val="Hyperlink"/>
          </w:rPr>
          <w:t>Acute specialist services</w:t>
        </w:r>
        <w:r w:rsidR="009619D9">
          <w:rPr>
            <w:webHidden/>
          </w:rPr>
          <w:tab/>
        </w:r>
        <w:r w:rsidR="009619D9">
          <w:rPr>
            <w:webHidden/>
          </w:rPr>
          <w:fldChar w:fldCharType="begin"/>
        </w:r>
        <w:r w:rsidR="009619D9">
          <w:rPr>
            <w:webHidden/>
          </w:rPr>
          <w:instrText xml:space="preserve"> PAGEREF _Toc156569642 \h </w:instrText>
        </w:r>
        <w:r w:rsidR="009619D9">
          <w:rPr>
            <w:webHidden/>
          </w:rPr>
        </w:r>
        <w:r w:rsidR="009619D9">
          <w:rPr>
            <w:webHidden/>
          </w:rPr>
          <w:fldChar w:fldCharType="separate"/>
        </w:r>
        <w:r w:rsidR="009619D9">
          <w:rPr>
            <w:webHidden/>
          </w:rPr>
          <w:t>48</w:t>
        </w:r>
        <w:r w:rsidR="009619D9">
          <w:rPr>
            <w:webHidden/>
          </w:rPr>
          <w:fldChar w:fldCharType="end"/>
        </w:r>
      </w:hyperlink>
    </w:p>
    <w:p w14:paraId="57086479" w14:textId="4B75F912" w:rsidR="009619D9" w:rsidRDefault="00000000">
      <w:pPr>
        <w:pStyle w:val="TOC3"/>
        <w:rPr>
          <w:rFonts w:asciiTheme="minorHAnsi" w:eastAsiaTheme="minorEastAsia" w:hAnsiTheme="minorHAnsi" w:cstheme="minorBidi"/>
          <w:noProof/>
          <w:sz w:val="22"/>
          <w:szCs w:val="22"/>
          <w:lang w:eastAsia="en-AU"/>
        </w:rPr>
      </w:pPr>
      <w:hyperlink w:anchor="_Toc156569643" w:history="1">
        <w:r w:rsidR="009619D9" w:rsidRPr="00840063">
          <w:rPr>
            <w:rStyle w:val="Hyperlink"/>
            <w:noProof/>
          </w:rPr>
          <w:t>1.15.1</w:t>
        </w:r>
        <w:r w:rsidR="009619D9">
          <w:rPr>
            <w:rFonts w:asciiTheme="minorHAnsi" w:eastAsiaTheme="minorEastAsia" w:hAnsiTheme="minorHAnsi" w:cstheme="minorBidi"/>
            <w:noProof/>
            <w:sz w:val="22"/>
            <w:szCs w:val="22"/>
            <w:lang w:eastAsia="en-AU"/>
          </w:rPr>
          <w:tab/>
        </w:r>
        <w:r w:rsidR="009619D9" w:rsidRPr="00840063">
          <w:rPr>
            <w:rStyle w:val="Hyperlink"/>
            <w:noProof/>
          </w:rPr>
          <w:t>Integrated hepatitis C</w:t>
        </w:r>
        <w:r w:rsidR="009619D9">
          <w:rPr>
            <w:noProof/>
            <w:webHidden/>
          </w:rPr>
          <w:tab/>
        </w:r>
        <w:r w:rsidR="009619D9">
          <w:rPr>
            <w:noProof/>
            <w:webHidden/>
          </w:rPr>
          <w:fldChar w:fldCharType="begin"/>
        </w:r>
        <w:r w:rsidR="009619D9">
          <w:rPr>
            <w:noProof/>
            <w:webHidden/>
          </w:rPr>
          <w:instrText xml:space="preserve"> PAGEREF _Toc156569643 \h </w:instrText>
        </w:r>
        <w:r w:rsidR="009619D9">
          <w:rPr>
            <w:noProof/>
            <w:webHidden/>
          </w:rPr>
        </w:r>
        <w:r w:rsidR="009619D9">
          <w:rPr>
            <w:noProof/>
            <w:webHidden/>
          </w:rPr>
          <w:fldChar w:fldCharType="separate"/>
        </w:r>
        <w:r w:rsidR="009619D9">
          <w:rPr>
            <w:noProof/>
            <w:webHidden/>
          </w:rPr>
          <w:t>48</w:t>
        </w:r>
        <w:r w:rsidR="009619D9">
          <w:rPr>
            <w:noProof/>
            <w:webHidden/>
          </w:rPr>
          <w:fldChar w:fldCharType="end"/>
        </w:r>
      </w:hyperlink>
    </w:p>
    <w:p w14:paraId="78035C75" w14:textId="3317310A" w:rsidR="009619D9" w:rsidRDefault="00000000">
      <w:pPr>
        <w:pStyle w:val="TOC3"/>
        <w:rPr>
          <w:rFonts w:asciiTheme="minorHAnsi" w:eastAsiaTheme="minorEastAsia" w:hAnsiTheme="minorHAnsi" w:cstheme="minorBidi"/>
          <w:noProof/>
          <w:sz w:val="22"/>
          <w:szCs w:val="22"/>
          <w:lang w:eastAsia="en-AU"/>
        </w:rPr>
      </w:pPr>
      <w:hyperlink w:anchor="_Toc156569644" w:history="1">
        <w:r w:rsidR="009619D9" w:rsidRPr="00840063">
          <w:rPr>
            <w:rStyle w:val="Hyperlink"/>
            <w:noProof/>
          </w:rPr>
          <w:t>1.15.2</w:t>
        </w:r>
        <w:r w:rsidR="009619D9">
          <w:rPr>
            <w:rFonts w:asciiTheme="minorHAnsi" w:eastAsiaTheme="minorEastAsia" w:hAnsiTheme="minorHAnsi" w:cstheme="minorBidi"/>
            <w:noProof/>
            <w:sz w:val="22"/>
            <w:szCs w:val="22"/>
            <w:lang w:eastAsia="en-AU"/>
          </w:rPr>
          <w:tab/>
        </w:r>
        <w:r w:rsidR="009619D9" w:rsidRPr="00840063">
          <w:rPr>
            <w:rStyle w:val="Hyperlink"/>
            <w:noProof/>
          </w:rPr>
          <w:t>Renal services</w:t>
        </w:r>
        <w:r w:rsidR="009619D9">
          <w:rPr>
            <w:noProof/>
            <w:webHidden/>
          </w:rPr>
          <w:tab/>
        </w:r>
        <w:r w:rsidR="009619D9">
          <w:rPr>
            <w:noProof/>
            <w:webHidden/>
          </w:rPr>
          <w:fldChar w:fldCharType="begin"/>
        </w:r>
        <w:r w:rsidR="009619D9">
          <w:rPr>
            <w:noProof/>
            <w:webHidden/>
          </w:rPr>
          <w:instrText xml:space="preserve"> PAGEREF _Toc156569644 \h </w:instrText>
        </w:r>
        <w:r w:rsidR="009619D9">
          <w:rPr>
            <w:noProof/>
            <w:webHidden/>
          </w:rPr>
        </w:r>
        <w:r w:rsidR="009619D9">
          <w:rPr>
            <w:noProof/>
            <w:webHidden/>
          </w:rPr>
          <w:fldChar w:fldCharType="separate"/>
        </w:r>
        <w:r w:rsidR="009619D9">
          <w:rPr>
            <w:noProof/>
            <w:webHidden/>
          </w:rPr>
          <w:t>48</w:t>
        </w:r>
        <w:r w:rsidR="009619D9">
          <w:rPr>
            <w:noProof/>
            <w:webHidden/>
          </w:rPr>
          <w:fldChar w:fldCharType="end"/>
        </w:r>
      </w:hyperlink>
    </w:p>
    <w:p w14:paraId="33FEE0ED" w14:textId="29BCEBD5" w:rsidR="009619D9" w:rsidRDefault="00000000">
      <w:pPr>
        <w:pStyle w:val="TOC3"/>
        <w:rPr>
          <w:rFonts w:asciiTheme="minorHAnsi" w:eastAsiaTheme="minorEastAsia" w:hAnsiTheme="minorHAnsi" w:cstheme="minorBidi"/>
          <w:noProof/>
          <w:sz w:val="22"/>
          <w:szCs w:val="22"/>
          <w:lang w:eastAsia="en-AU"/>
        </w:rPr>
      </w:pPr>
      <w:hyperlink w:anchor="_Toc156569645" w:history="1">
        <w:r w:rsidR="009619D9" w:rsidRPr="00840063">
          <w:rPr>
            <w:rStyle w:val="Hyperlink"/>
            <w:noProof/>
          </w:rPr>
          <w:t>1.15.3</w:t>
        </w:r>
        <w:r w:rsidR="009619D9">
          <w:rPr>
            <w:rFonts w:asciiTheme="minorHAnsi" w:eastAsiaTheme="minorEastAsia" w:hAnsiTheme="minorHAnsi" w:cstheme="minorBidi"/>
            <w:noProof/>
            <w:sz w:val="22"/>
            <w:szCs w:val="22"/>
            <w:lang w:eastAsia="en-AU"/>
          </w:rPr>
          <w:tab/>
        </w:r>
        <w:r w:rsidR="009619D9" w:rsidRPr="00840063">
          <w:rPr>
            <w:rStyle w:val="Hyperlink"/>
            <w:noProof/>
          </w:rPr>
          <w:t>Radiotherapy</w:t>
        </w:r>
        <w:r w:rsidR="009619D9">
          <w:rPr>
            <w:noProof/>
            <w:webHidden/>
          </w:rPr>
          <w:tab/>
        </w:r>
        <w:r w:rsidR="009619D9">
          <w:rPr>
            <w:noProof/>
            <w:webHidden/>
          </w:rPr>
          <w:fldChar w:fldCharType="begin"/>
        </w:r>
        <w:r w:rsidR="009619D9">
          <w:rPr>
            <w:noProof/>
            <w:webHidden/>
          </w:rPr>
          <w:instrText xml:space="preserve"> PAGEREF _Toc156569645 \h </w:instrText>
        </w:r>
        <w:r w:rsidR="009619D9">
          <w:rPr>
            <w:noProof/>
            <w:webHidden/>
          </w:rPr>
        </w:r>
        <w:r w:rsidR="009619D9">
          <w:rPr>
            <w:noProof/>
            <w:webHidden/>
          </w:rPr>
          <w:fldChar w:fldCharType="separate"/>
        </w:r>
        <w:r w:rsidR="009619D9">
          <w:rPr>
            <w:noProof/>
            <w:webHidden/>
          </w:rPr>
          <w:t>48</w:t>
        </w:r>
        <w:r w:rsidR="009619D9">
          <w:rPr>
            <w:noProof/>
            <w:webHidden/>
          </w:rPr>
          <w:fldChar w:fldCharType="end"/>
        </w:r>
      </w:hyperlink>
    </w:p>
    <w:p w14:paraId="5407B7A4" w14:textId="23E2608D" w:rsidR="009619D9" w:rsidRDefault="00000000">
      <w:pPr>
        <w:pStyle w:val="TOC2"/>
        <w:rPr>
          <w:rFonts w:asciiTheme="minorHAnsi" w:eastAsiaTheme="minorEastAsia" w:hAnsiTheme="minorHAnsi" w:cstheme="minorBidi"/>
          <w:b w:val="0"/>
          <w:bCs w:val="0"/>
          <w:sz w:val="22"/>
          <w:szCs w:val="22"/>
          <w:lang w:eastAsia="en-AU"/>
        </w:rPr>
      </w:pPr>
      <w:hyperlink w:anchor="_Toc156569646" w:history="1">
        <w:r w:rsidR="009619D9" w:rsidRPr="00840063">
          <w:rPr>
            <w:rStyle w:val="Hyperlink"/>
          </w:rPr>
          <w:t>1.16</w:t>
        </w:r>
        <w:r w:rsidR="009619D9">
          <w:rPr>
            <w:rFonts w:asciiTheme="minorHAnsi" w:eastAsiaTheme="minorEastAsia" w:hAnsiTheme="minorHAnsi" w:cstheme="minorBidi"/>
            <w:b w:val="0"/>
            <w:bCs w:val="0"/>
            <w:sz w:val="22"/>
            <w:szCs w:val="22"/>
            <w:lang w:eastAsia="en-AU"/>
          </w:rPr>
          <w:tab/>
        </w:r>
        <w:r w:rsidR="009619D9" w:rsidRPr="00840063">
          <w:rPr>
            <w:rStyle w:val="Hyperlink"/>
          </w:rPr>
          <w:t>Local public health unit block-funded functions</w:t>
        </w:r>
        <w:r w:rsidR="009619D9">
          <w:rPr>
            <w:webHidden/>
          </w:rPr>
          <w:tab/>
        </w:r>
        <w:r w:rsidR="009619D9">
          <w:rPr>
            <w:webHidden/>
          </w:rPr>
          <w:fldChar w:fldCharType="begin"/>
        </w:r>
        <w:r w:rsidR="009619D9">
          <w:rPr>
            <w:webHidden/>
          </w:rPr>
          <w:instrText xml:space="preserve"> PAGEREF _Toc156569646 \h </w:instrText>
        </w:r>
        <w:r w:rsidR="009619D9">
          <w:rPr>
            <w:webHidden/>
          </w:rPr>
        </w:r>
        <w:r w:rsidR="009619D9">
          <w:rPr>
            <w:webHidden/>
          </w:rPr>
          <w:fldChar w:fldCharType="separate"/>
        </w:r>
        <w:r w:rsidR="009619D9">
          <w:rPr>
            <w:webHidden/>
          </w:rPr>
          <w:t>51</w:t>
        </w:r>
        <w:r w:rsidR="009619D9">
          <w:rPr>
            <w:webHidden/>
          </w:rPr>
          <w:fldChar w:fldCharType="end"/>
        </w:r>
      </w:hyperlink>
    </w:p>
    <w:p w14:paraId="471CFCB9" w14:textId="503ED1FB" w:rsidR="009619D9" w:rsidRDefault="00000000">
      <w:pPr>
        <w:pStyle w:val="TOC3"/>
        <w:rPr>
          <w:rFonts w:asciiTheme="minorHAnsi" w:eastAsiaTheme="minorEastAsia" w:hAnsiTheme="minorHAnsi" w:cstheme="minorBidi"/>
          <w:noProof/>
          <w:sz w:val="22"/>
          <w:szCs w:val="22"/>
          <w:lang w:eastAsia="en-AU"/>
        </w:rPr>
      </w:pPr>
      <w:hyperlink w:anchor="_Toc156569647" w:history="1">
        <w:r w:rsidR="009619D9" w:rsidRPr="00840063">
          <w:rPr>
            <w:rStyle w:val="Hyperlink"/>
            <w:noProof/>
          </w:rPr>
          <w:t>1.16.1</w:t>
        </w:r>
        <w:r w:rsidR="009619D9">
          <w:rPr>
            <w:rFonts w:asciiTheme="minorHAnsi" w:eastAsiaTheme="minorEastAsia" w:hAnsiTheme="minorHAnsi" w:cstheme="minorBidi"/>
            <w:noProof/>
            <w:sz w:val="22"/>
            <w:szCs w:val="22"/>
            <w:lang w:eastAsia="en-AU"/>
          </w:rPr>
          <w:tab/>
        </w:r>
        <w:r w:rsidR="009619D9" w:rsidRPr="00840063">
          <w:rPr>
            <w:rStyle w:val="Hyperlink"/>
            <w:noProof/>
          </w:rPr>
          <w:t>LPHU core operations</w:t>
        </w:r>
        <w:r w:rsidR="009619D9">
          <w:rPr>
            <w:noProof/>
            <w:webHidden/>
          </w:rPr>
          <w:tab/>
        </w:r>
        <w:r w:rsidR="009619D9">
          <w:rPr>
            <w:noProof/>
            <w:webHidden/>
          </w:rPr>
          <w:fldChar w:fldCharType="begin"/>
        </w:r>
        <w:r w:rsidR="009619D9">
          <w:rPr>
            <w:noProof/>
            <w:webHidden/>
          </w:rPr>
          <w:instrText xml:space="preserve"> PAGEREF _Toc156569647 \h </w:instrText>
        </w:r>
        <w:r w:rsidR="009619D9">
          <w:rPr>
            <w:noProof/>
            <w:webHidden/>
          </w:rPr>
        </w:r>
        <w:r w:rsidR="009619D9">
          <w:rPr>
            <w:noProof/>
            <w:webHidden/>
          </w:rPr>
          <w:fldChar w:fldCharType="separate"/>
        </w:r>
        <w:r w:rsidR="009619D9">
          <w:rPr>
            <w:noProof/>
            <w:webHidden/>
          </w:rPr>
          <w:t>51</w:t>
        </w:r>
        <w:r w:rsidR="009619D9">
          <w:rPr>
            <w:noProof/>
            <w:webHidden/>
          </w:rPr>
          <w:fldChar w:fldCharType="end"/>
        </w:r>
      </w:hyperlink>
    </w:p>
    <w:p w14:paraId="3E181F7F" w14:textId="709C7A45" w:rsidR="009619D9" w:rsidRDefault="00000000">
      <w:pPr>
        <w:pStyle w:val="TOC3"/>
        <w:rPr>
          <w:rFonts w:asciiTheme="minorHAnsi" w:eastAsiaTheme="minorEastAsia" w:hAnsiTheme="minorHAnsi" w:cstheme="minorBidi"/>
          <w:noProof/>
          <w:sz w:val="22"/>
          <w:szCs w:val="22"/>
          <w:lang w:eastAsia="en-AU"/>
        </w:rPr>
      </w:pPr>
      <w:hyperlink w:anchor="_Toc156569648" w:history="1">
        <w:r w:rsidR="009619D9" w:rsidRPr="00840063">
          <w:rPr>
            <w:rStyle w:val="Hyperlink"/>
            <w:noProof/>
          </w:rPr>
          <w:t>1.16.2</w:t>
        </w:r>
        <w:r w:rsidR="009619D9">
          <w:rPr>
            <w:rFonts w:asciiTheme="minorHAnsi" w:eastAsiaTheme="minorEastAsia" w:hAnsiTheme="minorHAnsi" w:cstheme="minorBidi"/>
            <w:noProof/>
            <w:sz w:val="22"/>
            <w:szCs w:val="22"/>
            <w:lang w:eastAsia="en-AU"/>
          </w:rPr>
          <w:tab/>
        </w:r>
        <w:r w:rsidR="009619D9" w:rsidRPr="00840063">
          <w:rPr>
            <w:rStyle w:val="Hyperlink"/>
            <w:noProof/>
          </w:rPr>
          <w:t>Health advancement, LPHU prevention</w:t>
        </w:r>
        <w:r w:rsidR="009619D9">
          <w:rPr>
            <w:noProof/>
            <w:webHidden/>
          </w:rPr>
          <w:tab/>
        </w:r>
        <w:r w:rsidR="009619D9">
          <w:rPr>
            <w:noProof/>
            <w:webHidden/>
          </w:rPr>
          <w:fldChar w:fldCharType="begin"/>
        </w:r>
        <w:r w:rsidR="009619D9">
          <w:rPr>
            <w:noProof/>
            <w:webHidden/>
          </w:rPr>
          <w:instrText xml:space="preserve"> PAGEREF _Toc156569648 \h </w:instrText>
        </w:r>
        <w:r w:rsidR="009619D9">
          <w:rPr>
            <w:noProof/>
            <w:webHidden/>
          </w:rPr>
        </w:r>
        <w:r w:rsidR="009619D9">
          <w:rPr>
            <w:noProof/>
            <w:webHidden/>
          </w:rPr>
          <w:fldChar w:fldCharType="separate"/>
        </w:r>
        <w:r w:rsidR="009619D9">
          <w:rPr>
            <w:noProof/>
            <w:webHidden/>
          </w:rPr>
          <w:t>51</w:t>
        </w:r>
        <w:r w:rsidR="009619D9">
          <w:rPr>
            <w:noProof/>
            <w:webHidden/>
          </w:rPr>
          <w:fldChar w:fldCharType="end"/>
        </w:r>
      </w:hyperlink>
    </w:p>
    <w:p w14:paraId="3E7D2041" w14:textId="604E196F" w:rsidR="009619D9" w:rsidRDefault="00000000">
      <w:pPr>
        <w:pStyle w:val="TOC3"/>
        <w:rPr>
          <w:rFonts w:asciiTheme="minorHAnsi" w:eastAsiaTheme="minorEastAsia" w:hAnsiTheme="minorHAnsi" w:cstheme="minorBidi"/>
          <w:noProof/>
          <w:sz w:val="22"/>
          <w:szCs w:val="22"/>
          <w:lang w:eastAsia="en-AU"/>
        </w:rPr>
      </w:pPr>
      <w:hyperlink w:anchor="_Toc156569649" w:history="1">
        <w:r w:rsidR="009619D9" w:rsidRPr="00840063">
          <w:rPr>
            <w:rStyle w:val="Hyperlink"/>
            <w:noProof/>
          </w:rPr>
          <w:t>1.16.3</w:t>
        </w:r>
        <w:r w:rsidR="009619D9">
          <w:rPr>
            <w:rFonts w:asciiTheme="minorHAnsi" w:eastAsiaTheme="minorEastAsia" w:hAnsiTheme="minorHAnsi" w:cstheme="minorBidi"/>
            <w:noProof/>
            <w:sz w:val="22"/>
            <w:szCs w:val="22"/>
            <w:lang w:eastAsia="en-AU"/>
          </w:rPr>
          <w:tab/>
        </w:r>
        <w:r w:rsidR="009619D9" w:rsidRPr="00840063">
          <w:rPr>
            <w:rStyle w:val="Hyperlink"/>
            <w:noProof/>
          </w:rPr>
          <w:t>Business rules</w:t>
        </w:r>
        <w:r w:rsidR="009619D9">
          <w:rPr>
            <w:noProof/>
            <w:webHidden/>
          </w:rPr>
          <w:tab/>
        </w:r>
        <w:r w:rsidR="009619D9">
          <w:rPr>
            <w:noProof/>
            <w:webHidden/>
          </w:rPr>
          <w:fldChar w:fldCharType="begin"/>
        </w:r>
        <w:r w:rsidR="009619D9">
          <w:rPr>
            <w:noProof/>
            <w:webHidden/>
          </w:rPr>
          <w:instrText xml:space="preserve"> PAGEREF _Toc156569649 \h </w:instrText>
        </w:r>
        <w:r w:rsidR="009619D9">
          <w:rPr>
            <w:noProof/>
            <w:webHidden/>
          </w:rPr>
        </w:r>
        <w:r w:rsidR="009619D9">
          <w:rPr>
            <w:noProof/>
            <w:webHidden/>
          </w:rPr>
          <w:fldChar w:fldCharType="separate"/>
        </w:r>
        <w:r w:rsidR="009619D9">
          <w:rPr>
            <w:noProof/>
            <w:webHidden/>
          </w:rPr>
          <w:t>51</w:t>
        </w:r>
        <w:r w:rsidR="009619D9">
          <w:rPr>
            <w:noProof/>
            <w:webHidden/>
          </w:rPr>
          <w:fldChar w:fldCharType="end"/>
        </w:r>
      </w:hyperlink>
    </w:p>
    <w:p w14:paraId="614B44A3" w14:textId="126981C6" w:rsidR="009619D9" w:rsidRDefault="00000000">
      <w:pPr>
        <w:pStyle w:val="TOC2"/>
        <w:rPr>
          <w:rFonts w:asciiTheme="minorHAnsi" w:eastAsiaTheme="minorEastAsia" w:hAnsiTheme="minorHAnsi" w:cstheme="minorBidi"/>
          <w:b w:val="0"/>
          <w:bCs w:val="0"/>
          <w:sz w:val="22"/>
          <w:szCs w:val="22"/>
          <w:lang w:eastAsia="en-AU"/>
        </w:rPr>
      </w:pPr>
      <w:hyperlink w:anchor="_Toc156569650" w:history="1">
        <w:r w:rsidR="009619D9" w:rsidRPr="00840063">
          <w:rPr>
            <w:rStyle w:val="Hyperlink"/>
          </w:rPr>
          <w:t>1.17</w:t>
        </w:r>
        <w:r w:rsidR="009619D9">
          <w:rPr>
            <w:rFonts w:asciiTheme="minorHAnsi" w:eastAsiaTheme="minorEastAsia" w:hAnsiTheme="minorHAnsi" w:cstheme="minorBidi"/>
            <w:b w:val="0"/>
            <w:bCs w:val="0"/>
            <w:sz w:val="22"/>
            <w:szCs w:val="22"/>
            <w:lang w:eastAsia="en-AU"/>
          </w:rPr>
          <w:tab/>
        </w:r>
        <w:r w:rsidR="009619D9" w:rsidRPr="00840063">
          <w:rPr>
            <w:rStyle w:val="Hyperlink"/>
          </w:rPr>
          <w:t>Capital funding programs</w:t>
        </w:r>
        <w:r w:rsidR="009619D9">
          <w:rPr>
            <w:webHidden/>
          </w:rPr>
          <w:tab/>
        </w:r>
        <w:r w:rsidR="009619D9">
          <w:rPr>
            <w:webHidden/>
          </w:rPr>
          <w:fldChar w:fldCharType="begin"/>
        </w:r>
        <w:r w:rsidR="009619D9">
          <w:rPr>
            <w:webHidden/>
          </w:rPr>
          <w:instrText xml:space="preserve"> PAGEREF _Toc156569650 \h </w:instrText>
        </w:r>
        <w:r w:rsidR="009619D9">
          <w:rPr>
            <w:webHidden/>
          </w:rPr>
        </w:r>
        <w:r w:rsidR="009619D9">
          <w:rPr>
            <w:webHidden/>
          </w:rPr>
          <w:fldChar w:fldCharType="separate"/>
        </w:r>
        <w:r w:rsidR="009619D9">
          <w:rPr>
            <w:webHidden/>
          </w:rPr>
          <w:t>53</w:t>
        </w:r>
        <w:r w:rsidR="009619D9">
          <w:rPr>
            <w:webHidden/>
          </w:rPr>
          <w:fldChar w:fldCharType="end"/>
        </w:r>
      </w:hyperlink>
    </w:p>
    <w:p w14:paraId="1F95180E" w14:textId="73B62A19" w:rsidR="009619D9" w:rsidRDefault="00000000">
      <w:pPr>
        <w:pStyle w:val="TOC2"/>
        <w:rPr>
          <w:rFonts w:asciiTheme="minorHAnsi" w:eastAsiaTheme="minorEastAsia" w:hAnsiTheme="minorHAnsi" w:cstheme="minorBidi"/>
          <w:b w:val="0"/>
          <w:bCs w:val="0"/>
          <w:sz w:val="22"/>
          <w:szCs w:val="22"/>
          <w:lang w:eastAsia="en-AU"/>
        </w:rPr>
      </w:pPr>
      <w:hyperlink w:anchor="_Toc156569651" w:history="1">
        <w:r w:rsidR="009619D9" w:rsidRPr="00840063">
          <w:rPr>
            <w:rStyle w:val="Hyperlink"/>
          </w:rPr>
          <w:t>1.18</w:t>
        </w:r>
        <w:r w:rsidR="009619D9">
          <w:rPr>
            <w:rFonts w:asciiTheme="minorHAnsi" w:eastAsiaTheme="minorEastAsia" w:hAnsiTheme="minorHAnsi" w:cstheme="minorBidi"/>
            <w:b w:val="0"/>
            <w:bCs w:val="0"/>
            <w:sz w:val="22"/>
            <w:szCs w:val="22"/>
            <w:lang w:eastAsia="en-AU"/>
          </w:rPr>
          <w:tab/>
        </w:r>
        <w:r w:rsidR="009619D9" w:rsidRPr="00840063">
          <w:rPr>
            <w:rStyle w:val="Hyperlink"/>
          </w:rPr>
          <w:t>Prior-year adjustment: activity-based funding reconciliation</w:t>
        </w:r>
        <w:r w:rsidR="009619D9">
          <w:rPr>
            <w:webHidden/>
          </w:rPr>
          <w:tab/>
        </w:r>
        <w:r w:rsidR="009619D9">
          <w:rPr>
            <w:webHidden/>
          </w:rPr>
          <w:fldChar w:fldCharType="begin"/>
        </w:r>
        <w:r w:rsidR="009619D9">
          <w:rPr>
            <w:webHidden/>
          </w:rPr>
          <w:instrText xml:space="preserve"> PAGEREF _Toc156569651 \h </w:instrText>
        </w:r>
        <w:r w:rsidR="009619D9">
          <w:rPr>
            <w:webHidden/>
          </w:rPr>
        </w:r>
        <w:r w:rsidR="009619D9">
          <w:rPr>
            <w:webHidden/>
          </w:rPr>
          <w:fldChar w:fldCharType="separate"/>
        </w:r>
        <w:r w:rsidR="009619D9">
          <w:rPr>
            <w:webHidden/>
          </w:rPr>
          <w:t>54</w:t>
        </w:r>
        <w:r w:rsidR="009619D9">
          <w:rPr>
            <w:webHidden/>
          </w:rPr>
          <w:fldChar w:fldCharType="end"/>
        </w:r>
      </w:hyperlink>
    </w:p>
    <w:p w14:paraId="35C887B6" w14:textId="57337C62" w:rsidR="009619D9" w:rsidRDefault="00000000">
      <w:pPr>
        <w:pStyle w:val="TOC3"/>
        <w:rPr>
          <w:rFonts w:asciiTheme="minorHAnsi" w:eastAsiaTheme="minorEastAsia" w:hAnsiTheme="minorHAnsi" w:cstheme="minorBidi"/>
          <w:noProof/>
          <w:sz w:val="22"/>
          <w:szCs w:val="22"/>
          <w:lang w:eastAsia="en-AU"/>
        </w:rPr>
      </w:pPr>
      <w:hyperlink w:anchor="_Toc156569652" w:history="1">
        <w:r w:rsidR="009619D9" w:rsidRPr="00840063">
          <w:rPr>
            <w:rStyle w:val="Hyperlink"/>
            <w:noProof/>
          </w:rPr>
          <w:t>1.18.1</w:t>
        </w:r>
        <w:r w:rsidR="009619D9">
          <w:rPr>
            <w:rFonts w:asciiTheme="minorHAnsi" w:eastAsiaTheme="minorEastAsia" w:hAnsiTheme="minorHAnsi" w:cstheme="minorBidi"/>
            <w:noProof/>
            <w:sz w:val="22"/>
            <w:szCs w:val="22"/>
            <w:lang w:eastAsia="en-AU"/>
          </w:rPr>
          <w:tab/>
        </w:r>
        <w:r w:rsidR="009619D9" w:rsidRPr="00840063">
          <w:rPr>
            <w:rStyle w:val="Hyperlink"/>
            <w:noProof/>
          </w:rPr>
          <w:t>Victorian funding recall policy</w:t>
        </w:r>
        <w:r w:rsidR="009619D9">
          <w:rPr>
            <w:noProof/>
            <w:webHidden/>
          </w:rPr>
          <w:tab/>
        </w:r>
        <w:r w:rsidR="009619D9">
          <w:rPr>
            <w:noProof/>
            <w:webHidden/>
          </w:rPr>
          <w:fldChar w:fldCharType="begin"/>
        </w:r>
        <w:r w:rsidR="009619D9">
          <w:rPr>
            <w:noProof/>
            <w:webHidden/>
          </w:rPr>
          <w:instrText xml:space="preserve"> PAGEREF _Toc156569652 \h </w:instrText>
        </w:r>
        <w:r w:rsidR="009619D9">
          <w:rPr>
            <w:noProof/>
            <w:webHidden/>
          </w:rPr>
        </w:r>
        <w:r w:rsidR="009619D9">
          <w:rPr>
            <w:noProof/>
            <w:webHidden/>
          </w:rPr>
          <w:fldChar w:fldCharType="separate"/>
        </w:r>
        <w:r w:rsidR="009619D9">
          <w:rPr>
            <w:noProof/>
            <w:webHidden/>
          </w:rPr>
          <w:t>54</w:t>
        </w:r>
        <w:r w:rsidR="009619D9">
          <w:rPr>
            <w:noProof/>
            <w:webHidden/>
          </w:rPr>
          <w:fldChar w:fldCharType="end"/>
        </w:r>
      </w:hyperlink>
    </w:p>
    <w:p w14:paraId="690B148D" w14:textId="7CC7B393" w:rsidR="009619D9" w:rsidRDefault="00000000">
      <w:pPr>
        <w:pStyle w:val="TOC3"/>
        <w:rPr>
          <w:rFonts w:asciiTheme="minorHAnsi" w:eastAsiaTheme="minorEastAsia" w:hAnsiTheme="minorHAnsi" w:cstheme="minorBidi"/>
          <w:noProof/>
          <w:sz w:val="22"/>
          <w:szCs w:val="22"/>
          <w:lang w:eastAsia="en-AU"/>
        </w:rPr>
      </w:pPr>
      <w:hyperlink w:anchor="_Toc156569653" w:history="1">
        <w:r w:rsidR="009619D9" w:rsidRPr="00840063">
          <w:rPr>
            <w:rStyle w:val="Hyperlink"/>
            <w:noProof/>
          </w:rPr>
          <w:t>1.18.2</w:t>
        </w:r>
        <w:r w:rsidR="009619D9">
          <w:rPr>
            <w:rFonts w:asciiTheme="minorHAnsi" w:eastAsiaTheme="minorEastAsia" w:hAnsiTheme="minorHAnsi" w:cstheme="minorBidi"/>
            <w:noProof/>
            <w:sz w:val="22"/>
            <w:szCs w:val="22"/>
            <w:lang w:eastAsia="en-AU"/>
          </w:rPr>
          <w:tab/>
        </w:r>
        <w:r w:rsidR="009619D9" w:rsidRPr="00840063">
          <w:rPr>
            <w:rStyle w:val="Hyperlink"/>
            <w:noProof/>
          </w:rPr>
          <w:t>Funding for throughput above target</w:t>
        </w:r>
        <w:r w:rsidR="009619D9">
          <w:rPr>
            <w:noProof/>
            <w:webHidden/>
          </w:rPr>
          <w:tab/>
        </w:r>
        <w:r w:rsidR="009619D9">
          <w:rPr>
            <w:noProof/>
            <w:webHidden/>
          </w:rPr>
          <w:fldChar w:fldCharType="begin"/>
        </w:r>
        <w:r w:rsidR="009619D9">
          <w:rPr>
            <w:noProof/>
            <w:webHidden/>
          </w:rPr>
          <w:instrText xml:space="preserve"> PAGEREF _Toc156569653 \h </w:instrText>
        </w:r>
        <w:r w:rsidR="009619D9">
          <w:rPr>
            <w:noProof/>
            <w:webHidden/>
          </w:rPr>
        </w:r>
        <w:r w:rsidR="009619D9">
          <w:rPr>
            <w:noProof/>
            <w:webHidden/>
          </w:rPr>
          <w:fldChar w:fldCharType="separate"/>
        </w:r>
        <w:r w:rsidR="009619D9">
          <w:rPr>
            <w:noProof/>
            <w:webHidden/>
          </w:rPr>
          <w:t>57</w:t>
        </w:r>
        <w:r w:rsidR="009619D9">
          <w:rPr>
            <w:noProof/>
            <w:webHidden/>
          </w:rPr>
          <w:fldChar w:fldCharType="end"/>
        </w:r>
      </w:hyperlink>
    </w:p>
    <w:p w14:paraId="69205158" w14:textId="1197B21F" w:rsidR="009619D9" w:rsidRDefault="00000000">
      <w:pPr>
        <w:pStyle w:val="TOC3"/>
        <w:rPr>
          <w:rFonts w:asciiTheme="minorHAnsi" w:eastAsiaTheme="minorEastAsia" w:hAnsiTheme="minorHAnsi" w:cstheme="minorBidi"/>
          <w:noProof/>
          <w:sz w:val="22"/>
          <w:szCs w:val="22"/>
          <w:lang w:eastAsia="en-AU"/>
        </w:rPr>
      </w:pPr>
      <w:hyperlink w:anchor="_Toc156569654" w:history="1">
        <w:r w:rsidR="009619D9" w:rsidRPr="00840063">
          <w:rPr>
            <w:rStyle w:val="Hyperlink"/>
            <w:noProof/>
          </w:rPr>
          <w:t>1.18.3</w:t>
        </w:r>
        <w:r w:rsidR="009619D9">
          <w:rPr>
            <w:rFonts w:asciiTheme="minorHAnsi" w:eastAsiaTheme="minorEastAsia" w:hAnsiTheme="minorHAnsi" w:cstheme="minorBidi"/>
            <w:noProof/>
            <w:sz w:val="22"/>
            <w:szCs w:val="22"/>
            <w:lang w:eastAsia="en-AU"/>
          </w:rPr>
          <w:tab/>
        </w:r>
        <w:r w:rsidR="009619D9" w:rsidRPr="00840063">
          <w:rPr>
            <w:rStyle w:val="Hyperlink"/>
            <w:noProof/>
          </w:rPr>
          <w:t>Recall with respect to public and private activity mix changes</w:t>
        </w:r>
        <w:r w:rsidR="009619D9">
          <w:rPr>
            <w:noProof/>
            <w:webHidden/>
          </w:rPr>
          <w:tab/>
        </w:r>
        <w:r w:rsidR="009619D9">
          <w:rPr>
            <w:noProof/>
            <w:webHidden/>
          </w:rPr>
          <w:fldChar w:fldCharType="begin"/>
        </w:r>
        <w:r w:rsidR="009619D9">
          <w:rPr>
            <w:noProof/>
            <w:webHidden/>
          </w:rPr>
          <w:instrText xml:space="preserve"> PAGEREF _Toc156569654 \h </w:instrText>
        </w:r>
        <w:r w:rsidR="009619D9">
          <w:rPr>
            <w:noProof/>
            <w:webHidden/>
          </w:rPr>
        </w:r>
        <w:r w:rsidR="009619D9">
          <w:rPr>
            <w:noProof/>
            <w:webHidden/>
          </w:rPr>
          <w:fldChar w:fldCharType="separate"/>
        </w:r>
        <w:r w:rsidR="009619D9">
          <w:rPr>
            <w:noProof/>
            <w:webHidden/>
          </w:rPr>
          <w:t>58</w:t>
        </w:r>
        <w:r w:rsidR="009619D9">
          <w:rPr>
            <w:noProof/>
            <w:webHidden/>
          </w:rPr>
          <w:fldChar w:fldCharType="end"/>
        </w:r>
      </w:hyperlink>
    </w:p>
    <w:p w14:paraId="17DD7AEE" w14:textId="0972513D" w:rsidR="009619D9" w:rsidRDefault="00000000">
      <w:pPr>
        <w:pStyle w:val="TOC3"/>
        <w:rPr>
          <w:rFonts w:asciiTheme="minorHAnsi" w:eastAsiaTheme="minorEastAsia" w:hAnsiTheme="minorHAnsi" w:cstheme="minorBidi"/>
          <w:noProof/>
          <w:sz w:val="22"/>
          <w:szCs w:val="22"/>
          <w:lang w:eastAsia="en-AU"/>
        </w:rPr>
      </w:pPr>
      <w:hyperlink w:anchor="_Toc156569655" w:history="1">
        <w:r w:rsidR="009619D9" w:rsidRPr="00840063">
          <w:rPr>
            <w:rStyle w:val="Hyperlink"/>
            <w:noProof/>
          </w:rPr>
          <w:t>1.18.4</w:t>
        </w:r>
        <w:r w:rsidR="009619D9">
          <w:rPr>
            <w:rFonts w:asciiTheme="minorHAnsi" w:eastAsiaTheme="minorEastAsia" w:hAnsiTheme="minorHAnsi" w:cstheme="minorBidi"/>
            <w:noProof/>
            <w:sz w:val="22"/>
            <w:szCs w:val="22"/>
            <w:lang w:eastAsia="en-AU"/>
          </w:rPr>
          <w:tab/>
        </w:r>
        <w:r w:rsidR="009619D9" w:rsidRPr="00840063">
          <w:rPr>
            <w:rStyle w:val="Hyperlink"/>
            <w:noProof/>
          </w:rPr>
          <w:t>Reconciliation of National Health Reform Commonwealth contributions</w:t>
        </w:r>
        <w:r w:rsidR="009619D9">
          <w:rPr>
            <w:noProof/>
            <w:webHidden/>
          </w:rPr>
          <w:tab/>
        </w:r>
        <w:r w:rsidR="009619D9">
          <w:rPr>
            <w:noProof/>
            <w:webHidden/>
          </w:rPr>
          <w:fldChar w:fldCharType="begin"/>
        </w:r>
        <w:r w:rsidR="009619D9">
          <w:rPr>
            <w:noProof/>
            <w:webHidden/>
          </w:rPr>
          <w:instrText xml:space="preserve"> PAGEREF _Toc156569655 \h </w:instrText>
        </w:r>
        <w:r w:rsidR="009619D9">
          <w:rPr>
            <w:noProof/>
            <w:webHidden/>
          </w:rPr>
        </w:r>
        <w:r w:rsidR="009619D9">
          <w:rPr>
            <w:noProof/>
            <w:webHidden/>
          </w:rPr>
          <w:fldChar w:fldCharType="separate"/>
        </w:r>
        <w:r w:rsidR="009619D9">
          <w:rPr>
            <w:noProof/>
            <w:webHidden/>
          </w:rPr>
          <w:t>58</w:t>
        </w:r>
        <w:r w:rsidR="009619D9">
          <w:rPr>
            <w:noProof/>
            <w:webHidden/>
          </w:rPr>
          <w:fldChar w:fldCharType="end"/>
        </w:r>
      </w:hyperlink>
    </w:p>
    <w:p w14:paraId="26C1CDC3" w14:textId="38BADBA7" w:rsidR="009619D9" w:rsidRDefault="00000000">
      <w:pPr>
        <w:pStyle w:val="TOC3"/>
        <w:rPr>
          <w:rFonts w:asciiTheme="minorHAnsi" w:eastAsiaTheme="minorEastAsia" w:hAnsiTheme="minorHAnsi" w:cstheme="minorBidi"/>
          <w:noProof/>
          <w:sz w:val="22"/>
          <w:szCs w:val="22"/>
          <w:lang w:eastAsia="en-AU"/>
        </w:rPr>
      </w:pPr>
      <w:hyperlink w:anchor="_Toc156569656" w:history="1">
        <w:r w:rsidR="009619D9" w:rsidRPr="00840063">
          <w:rPr>
            <w:rStyle w:val="Hyperlink"/>
            <w:noProof/>
          </w:rPr>
          <w:t>1.18.5</w:t>
        </w:r>
        <w:r w:rsidR="009619D9">
          <w:rPr>
            <w:rFonts w:asciiTheme="minorHAnsi" w:eastAsiaTheme="minorEastAsia" w:hAnsiTheme="minorHAnsi" w:cstheme="minorBidi"/>
            <w:noProof/>
            <w:sz w:val="22"/>
            <w:szCs w:val="22"/>
            <w:lang w:eastAsia="en-AU"/>
          </w:rPr>
          <w:tab/>
        </w:r>
        <w:r w:rsidR="009619D9" w:rsidRPr="00840063">
          <w:rPr>
            <w:rStyle w:val="Hyperlink"/>
            <w:noProof/>
          </w:rPr>
          <w:t>Hospital activity, NWAU and subacute NWAU reports</w:t>
        </w:r>
        <w:r w:rsidR="009619D9">
          <w:rPr>
            <w:noProof/>
            <w:webHidden/>
          </w:rPr>
          <w:tab/>
        </w:r>
        <w:r w:rsidR="009619D9">
          <w:rPr>
            <w:noProof/>
            <w:webHidden/>
          </w:rPr>
          <w:fldChar w:fldCharType="begin"/>
        </w:r>
        <w:r w:rsidR="009619D9">
          <w:rPr>
            <w:noProof/>
            <w:webHidden/>
          </w:rPr>
          <w:instrText xml:space="preserve"> PAGEREF _Toc156569656 \h </w:instrText>
        </w:r>
        <w:r w:rsidR="009619D9">
          <w:rPr>
            <w:noProof/>
            <w:webHidden/>
          </w:rPr>
        </w:r>
        <w:r w:rsidR="009619D9">
          <w:rPr>
            <w:noProof/>
            <w:webHidden/>
          </w:rPr>
          <w:fldChar w:fldCharType="separate"/>
        </w:r>
        <w:r w:rsidR="009619D9">
          <w:rPr>
            <w:noProof/>
            <w:webHidden/>
          </w:rPr>
          <w:t>59</w:t>
        </w:r>
        <w:r w:rsidR="009619D9">
          <w:rPr>
            <w:noProof/>
            <w:webHidden/>
          </w:rPr>
          <w:fldChar w:fldCharType="end"/>
        </w:r>
      </w:hyperlink>
    </w:p>
    <w:p w14:paraId="73FF6863" w14:textId="2AE40D08" w:rsidR="009619D9" w:rsidRDefault="00000000">
      <w:pPr>
        <w:pStyle w:val="TOC2"/>
        <w:rPr>
          <w:rFonts w:asciiTheme="minorHAnsi" w:eastAsiaTheme="minorEastAsia" w:hAnsiTheme="minorHAnsi" w:cstheme="minorBidi"/>
          <w:b w:val="0"/>
          <w:bCs w:val="0"/>
          <w:sz w:val="22"/>
          <w:szCs w:val="22"/>
          <w:lang w:eastAsia="en-AU"/>
        </w:rPr>
      </w:pPr>
      <w:hyperlink w:anchor="_Toc156569657" w:history="1">
        <w:r w:rsidR="009619D9" w:rsidRPr="00840063">
          <w:rPr>
            <w:rStyle w:val="Hyperlink"/>
          </w:rPr>
          <w:t>1.19</w:t>
        </w:r>
        <w:r w:rsidR="009619D9">
          <w:rPr>
            <w:rFonts w:asciiTheme="minorHAnsi" w:eastAsiaTheme="minorEastAsia" w:hAnsiTheme="minorHAnsi" w:cstheme="minorBidi"/>
            <w:b w:val="0"/>
            <w:bCs w:val="0"/>
            <w:sz w:val="22"/>
            <w:szCs w:val="22"/>
            <w:lang w:eastAsia="en-AU"/>
          </w:rPr>
          <w:tab/>
        </w:r>
        <w:r w:rsidR="009619D9" w:rsidRPr="00840063">
          <w:rPr>
            <w:rStyle w:val="Hyperlink"/>
          </w:rPr>
          <w:t>Planned (elective) surgery recall policy  for 2023–24</w:t>
        </w:r>
        <w:r w:rsidR="009619D9">
          <w:rPr>
            <w:webHidden/>
          </w:rPr>
          <w:tab/>
        </w:r>
        <w:r w:rsidR="009619D9">
          <w:rPr>
            <w:webHidden/>
          </w:rPr>
          <w:fldChar w:fldCharType="begin"/>
        </w:r>
        <w:r w:rsidR="009619D9">
          <w:rPr>
            <w:webHidden/>
          </w:rPr>
          <w:instrText xml:space="preserve"> PAGEREF _Toc156569657 \h </w:instrText>
        </w:r>
        <w:r w:rsidR="009619D9">
          <w:rPr>
            <w:webHidden/>
          </w:rPr>
        </w:r>
        <w:r w:rsidR="009619D9">
          <w:rPr>
            <w:webHidden/>
          </w:rPr>
          <w:fldChar w:fldCharType="separate"/>
        </w:r>
        <w:r w:rsidR="009619D9">
          <w:rPr>
            <w:webHidden/>
          </w:rPr>
          <w:t>60</w:t>
        </w:r>
        <w:r w:rsidR="009619D9">
          <w:rPr>
            <w:webHidden/>
          </w:rPr>
          <w:fldChar w:fldCharType="end"/>
        </w:r>
      </w:hyperlink>
    </w:p>
    <w:p w14:paraId="285480CC" w14:textId="41DC8D22" w:rsidR="009619D9" w:rsidRDefault="00000000">
      <w:pPr>
        <w:pStyle w:val="TOC2"/>
        <w:rPr>
          <w:rFonts w:asciiTheme="minorHAnsi" w:eastAsiaTheme="minorEastAsia" w:hAnsiTheme="minorHAnsi" w:cstheme="minorBidi"/>
          <w:b w:val="0"/>
          <w:bCs w:val="0"/>
          <w:sz w:val="22"/>
          <w:szCs w:val="22"/>
          <w:lang w:eastAsia="en-AU"/>
        </w:rPr>
      </w:pPr>
      <w:hyperlink w:anchor="_Toc156569658" w:history="1">
        <w:r w:rsidR="009619D9" w:rsidRPr="00840063">
          <w:rPr>
            <w:rStyle w:val="Hyperlink"/>
          </w:rPr>
          <w:t>1.20</w:t>
        </w:r>
        <w:r w:rsidR="009619D9">
          <w:rPr>
            <w:rFonts w:asciiTheme="minorHAnsi" w:eastAsiaTheme="minorEastAsia" w:hAnsiTheme="minorHAnsi" w:cstheme="minorBidi"/>
            <w:b w:val="0"/>
            <w:bCs w:val="0"/>
            <w:sz w:val="22"/>
            <w:szCs w:val="22"/>
            <w:lang w:eastAsia="en-AU"/>
          </w:rPr>
          <w:tab/>
        </w:r>
        <w:r w:rsidR="009619D9" w:rsidRPr="00840063">
          <w:rPr>
            <w:rStyle w:val="Hyperlink"/>
          </w:rPr>
          <w:t>Calculating funding recall</w:t>
        </w:r>
        <w:r w:rsidR="009619D9">
          <w:rPr>
            <w:webHidden/>
          </w:rPr>
          <w:tab/>
        </w:r>
        <w:r w:rsidR="009619D9">
          <w:rPr>
            <w:webHidden/>
          </w:rPr>
          <w:fldChar w:fldCharType="begin"/>
        </w:r>
        <w:r w:rsidR="009619D9">
          <w:rPr>
            <w:webHidden/>
          </w:rPr>
          <w:instrText xml:space="preserve"> PAGEREF _Toc156569658 \h </w:instrText>
        </w:r>
        <w:r w:rsidR="009619D9">
          <w:rPr>
            <w:webHidden/>
          </w:rPr>
        </w:r>
        <w:r w:rsidR="009619D9">
          <w:rPr>
            <w:webHidden/>
          </w:rPr>
          <w:fldChar w:fldCharType="separate"/>
        </w:r>
        <w:r w:rsidR="009619D9">
          <w:rPr>
            <w:webHidden/>
          </w:rPr>
          <w:t>62</w:t>
        </w:r>
        <w:r w:rsidR="009619D9">
          <w:rPr>
            <w:webHidden/>
          </w:rPr>
          <w:fldChar w:fldCharType="end"/>
        </w:r>
      </w:hyperlink>
    </w:p>
    <w:p w14:paraId="4CDDDC10" w14:textId="07A111DF" w:rsidR="009619D9" w:rsidRDefault="00000000">
      <w:pPr>
        <w:pStyle w:val="TOC3"/>
        <w:rPr>
          <w:rFonts w:asciiTheme="minorHAnsi" w:eastAsiaTheme="minorEastAsia" w:hAnsiTheme="minorHAnsi" w:cstheme="minorBidi"/>
          <w:noProof/>
          <w:sz w:val="22"/>
          <w:szCs w:val="22"/>
          <w:lang w:eastAsia="en-AU"/>
        </w:rPr>
      </w:pPr>
      <w:hyperlink w:anchor="_Toc156569659" w:history="1">
        <w:r w:rsidR="009619D9" w:rsidRPr="00840063">
          <w:rPr>
            <w:rStyle w:val="Hyperlink"/>
            <w:noProof/>
          </w:rPr>
          <w:t>1.20.1</w:t>
        </w:r>
        <w:r w:rsidR="009619D9">
          <w:rPr>
            <w:rFonts w:asciiTheme="minorHAnsi" w:eastAsiaTheme="minorEastAsia" w:hAnsiTheme="minorHAnsi" w:cstheme="minorBidi"/>
            <w:noProof/>
            <w:sz w:val="22"/>
            <w:szCs w:val="22"/>
            <w:lang w:eastAsia="en-AU"/>
          </w:rPr>
          <w:tab/>
        </w:r>
        <w:r w:rsidR="009619D9" w:rsidRPr="00840063">
          <w:rPr>
            <w:rStyle w:val="Hyperlink"/>
            <w:noProof/>
          </w:rPr>
          <w:t>Calculating NWAU funding recall</w:t>
        </w:r>
        <w:r w:rsidR="009619D9">
          <w:rPr>
            <w:noProof/>
            <w:webHidden/>
          </w:rPr>
          <w:tab/>
        </w:r>
        <w:r w:rsidR="009619D9">
          <w:rPr>
            <w:noProof/>
            <w:webHidden/>
          </w:rPr>
          <w:fldChar w:fldCharType="begin"/>
        </w:r>
        <w:r w:rsidR="009619D9">
          <w:rPr>
            <w:noProof/>
            <w:webHidden/>
          </w:rPr>
          <w:instrText xml:space="preserve"> PAGEREF _Toc156569659 \h </w:instrText>
        </w:r>
        <w:r w:rsidR="009619D9">
          <w:rPr>
            <w:noProof/>
            <w:webHidden/>
          </w:rPr>
        </w:r>
        <w:r w:rsidR="009619D9">
          <w:rPr>
            <w:noProof/>
            <w:webHidden/>
          </w:rPr>
          <w:fldChar w:fldCharType="separate"/>
        </w:r>
        <w:r w:rsidR="009619D9">
          <w:rPr>
            <w:noProof/>
            <w:webHidden/>
          </w:rPr>
          <w:t>62</w:t>
        </w:r>
        <w:r w:rsidR="009619D9">
          <w:rPr>
            <w:noProof/>
            <w:webHidden/>
          </w:rPr>
          <w:fldChar w:fldCharType="end"/>
        </w:r>
      </w:hyperlink>
    </w:p>
    <w:p w14:paraId="7650365D" w14:textId="3D2E5E8B" w:rsidR="009619D9" w:rsidRDefault="00000000">
      <w:pPr>
        <w:pStyle w:val="TOC3"/>
        <w:rPr>
          <w:rFonts w:asciiTheme="minorHAnsi" w:eastAsiaTheme="minorEastAsia" w:hAnsiTheme="minorHAnsi" w:cstheme="minorBidi"/>
          <w:noProof/>
          <w:sz w:val="22"/>
          <w:szCs w:val="22"/>
          <w:lang w:eastAsia="en-AU"/>
        </w:rPr>
      </w:pPr>
      <w:hyperlink w:anchor="_Toc156569660" w:history="1">
        <w:r w:rsidR="009619D9" w:rsidRPr="00840063">
          <w:rPr>
            <w:rStyle w:val="Hyperlink"/>
            <w:noProof/>
          </w:rPr>
          <w:t>1.20.2</w:t>
        </w:r>
        <w:r w:rsidR="009619D9">
          <w:rPr>
            <w:rFonts w:asciiTheme="minorHAnsi" w:eastAsiaTheme="minorEastAsia" w:hAnsiTheme="minorHAnsi" w:cstheme="minorBidi"/>
            <w:noProof/>
            <w:sz w:val="22"/>
            <w:szCs w:val="22"/>
            <w:lang w:eastAsia="en-AU"/>
          </w:rPr>
          <w:tab/>
        </w:r>
        <w:r w:rsidR="009619D9" w:rsidRPr="00840063">
          <w:rPr>
            <w:rStyle w:val="Hyperlink"/>
            <w:noProof/>
          </w:rPr>
          <w:t>Calculating HAC NWAU growth-funding adjustment</w:t>
        </w:r>
        <w:r w:rsidR="009619D9">
          <w:rPr>
            <w:noProof/>
            <w:webHidden/>
          </w:rPr>
          <w:tab/>
        </w:r>
        <w:r w:rsidR="009619D9">
          <w:rPr>
            <w:noProof/>
            <w:webHidden/>
          </w:rPr>
          <w:fldChar w:fldCharType="begin"/>
        </w:r>
        <w:r w:rsidR="009619D9">
          <w:rPr>
            <w:noProof/>
            <w:webHidden/>
          </w:rPr>
          <w:instrText xml:space="preserve"> PAGEREF _Toc156569660 \h </w:instrText>
        </w:r>
        <w:r w:rsidR="009619D9">
          <w:rPr>
            <w:noProof/>
            <w:webHidden/>
          </w:rPr>
        </w:r>
        <w:r w:rsidR="009619D9">
          <w:rPr>
            <w:noProof/>
            <w:webHidden/>
          </w:rPr>
          <w:fldChar w:fldCharType="separate"/>
        </w:r>
        <w:r w:rsidR="009619D9">
          <w:rPr>
            <w:noProof/>
            <w:webHidden/>
          </w:rPr>
          <w:t>62</w:t>
        </w:r>
        <w:r w:rsidR="009619D9">
          <w:rPr>
            <w:noProof/>
            <w:webHidden/>
          </w:rPr>
          <w:fldChar w:fldCharType="end"/>
        </w:r>
      </w:hyperlink>
    </w:p>
    <w:p w14:paraId="7E4284D8" w14:textId="24398704" w:rsidR="009619D9" w:rsidRDefault="00000000">
      <w:pPr>
        <w:pStyle w:val="TOC3"/>
        <w:rPr>
          <w:rFonts w:asciiTheme="minorHAnsi" w:eastAsiaTheme="minorEastAsia" w:hAnsiTheme="minorHAnsi" w:cstheme="minorBidi"/>
          <w:noProof/>
          <w:sz w:val="22"/>
          <w:szCs w:val="22"/>
          <w:lang w:eastAsia="en-AU"/>
        </w:rPr>
      </w:pPr>
      <w:hyperlink w:anchor="_Toc156569661" w:history="1">
        <w:r w:rsidR="009619D9" w:rsidRPr="00840063">
          <w:rPr>
            <w:rStyle w:val="Hyperlink"/>
            <w:noProof/>
          </w:rPr>
          <w:t>1.20.3</w:t>
        </w:r>
        <w:r w:rsidR="009619D9">
          <w:rPr>
            <w:rFonts w:asciiTheme="minorHAnsi" w:eastAsiaTheme="minorEastAsia" w:hAnsiTheme="minorHAnsi" w:cstheme="minorBidi"/>
            <w:noProof/>
            <w:sz w:val="22"/>
            <w:szCs w:val="22"/>
            <w:lang w:eastAsia="en-AU"/>
          </w:rPr>
          <w:tab/>
        </w:r>
        <w:r w:rsidR="009619D9" w:rsidRPr="00840063">
          <w:rPr>
            <w:rStyle w:val="Hyperlink"/>
            <w:noProof/>
          </w:rPr>
          <w:t>Calculating TAC or Department of Veterans’ Affairs NWAU funding recall</w:t>
        </w:r>
        <w:r w:rsidR="009619D9">
          <w:rPr>
            <w:noProof/>
            <w:webHidden/>
          </w:rPr>
          <w:tab/>
        </w:r>
        <w:r w:rsidR="009619D9">
          <w:rPr>
            <w:noProof/>
            <w:webHidden/>
          </w:rPr>
          <w:fldChar w:fldCharType="begin"/>
        </w:r>
        <w:r w:rsidR="009619D9">
          <w:rPr>
            <w:noProof/>
            <w:webHidden/>
          </w:rPr>
          <w:instrText xml:space="preserve"> PAGEREF _Toc156569661 \h </w:instrText>
        </w:r>
        <w:r w:rsidR="009619D9">
          <w:rPr>
            <w:noProof/>
            <w:webHidden/>
          </w:rPr>
        </w:r>
        <w:r w:rsidR="009619D9">
          <w:rPr>
            <w:noProof/>
            <w:webHidden/>
          </w:rPr>
          <w:fldChar w:fldCharType="separate"/>
        </w:r>
        <w:r w:rsidR="009619D9">
          <w:rPr>
            <w:noProof/>
            <w:webHidden/>
          </w:rPr>
          <w:t>62</w:t>
        </w:r>
        <w:r w:rsidR="009619D9">
          <w:rPr>
            <w:noProof/>
            <w:webHidden/>
          </w:rPr>
          <w:fldChar w:fldCharType="end"/>
        </w:r>
      </w:hyperlink>
    </w:p>
    <w:p w14:paraId="58EF446F" w14:textId="7F703EBE" w:rsidR="009619D9" w:rsidRDefault="00000000">
      <w:pPr>
        <w:pStyle w:val="TOC3"/>
        <w:rPr>
          <w:rFonts w:asciiTheme="minorHAnsi" w:eastAsiaTheme="minorEastAsia" w:hAnsiTheme="minorHAnsi" w:cstheme="minorBidi"/>
          <w:noProof/>
          <w:sz w:val="22"/>
          <w:szCs w:val="22"/>
          <w:lang w:eastAsia="en-AU"/>
        </w:rPr>
      </w:pPr>
      <w:hyperlink w:anchor="_Toc156569662" w:history="1">
        <w:r w:rsidR="009619D9" w:rsidRPr="00840063">
          <w:rPr>
            <w:rStyle w:val="Hyperlink"/>
            <w:noProof/>
          </w:rPr>
          <w:t>1.20.4</w:t>
        </w:r>
        <w:r w:rsidR="009619D9">
          <w:rPr>
            <w:rFonts w:asciiTheme="minorHAnsi" w:eastAsiaTheme="minorEastAsia" w:hAnsiTheme="minorHAnsi" w:cstheme="minorBidi"/>
            <w:noProof/>
            <w:sz w:val="22"/>
            <w:szCs w:val="22"/>
            <w:lang w:eastAsia="en-AU"/>
          </w:rPr>
          <w:tab/>
        </w:r>
        <w:r w:rsidR="009619D9" w:rsidRPr="00840063">
          <w:rPr>
            <w:rStyle w:val="Hyperlink"/>
            <w:noProof/>
          </w:rPr>
          <w:t>Calculating National Bowel Cancer Screening Program colonoscopy NWAU recall</w:t>
        </w:r>
        <w:r w:rsidR="009619D9">
          <w:rPr>
            <w:noProof/>
            <w:webHidden/>
          </w:rPr>
          <w:tab/>
        </w:r>
        <w:r w:rsidR="009619D9">
          <w:rPr>
            <w:noProof/>
            <w:webHidden/>
          </w:rPr>
          <w:fldChar w:fldCharType="begin"/>
        </w:r>
        <w:r w:rsidR="009619D9">
          <w:rPr>
            <w:noProof/>
            <w:webHidden/>
          </w:rPr>
          <w:instrText xml:space="preserve"> PAGEREF _Toc156569662 \h </w:instrText>
        </w:r>
        <w:r w:rsidR="009619D9">
          <w:rPr>
            <w:noProof/>
            <w:webHidden/>
          </w:rPr>
        </w:r>
        <w:r w:rsidR="009619D9">
          <w:rPr>
            <w:noProof/>
            <w:webHidden/>
          </w:rPr>
          <w:fldChar w:fldCharType="separate"/>
        </w:r>
        <w:r w:rsidR="009619D9">
          <w:rPr>
            <w:noProof/>
            <w:webHidden/>
          </w:rPr>
          <w:t>63</w:t>
        </w:r>
        <w:r w:rsidR="009619D9">
          <w:rPr>
            <w:noProof/>
            <w:webHidden/>
          </w:rPr>
          <w:fldChar w:fldCharType="end"/>
        </w:r>
      </w:hyperlink>
    </w:p>
    <w:p w14:paraId="6E213ACD" w14:textId="025E985E" w:rsidR="009619D9" w:rsidRDefault="00000000">
      <w:pPr>
        <w:pStyle w:val="TOC3"/>
        <w:rPr>
          <w:rFonts w:asciiTheme="minorHAnsi" w:eastAsiaTheme="minorEastAsia" w:hAnsiTheme="minorHAnsi" w:cstheme="minorBidi"/>
          <w:noProof/>
          <w:sz w:val="22"/>
          <w:szCs w:val="22"/>
          <w:lang w:eastAsia="en-AU"/>
        </w:rPr>
      </w:pPr>
      <w:hyperlink w:anchor="_Toc156569663" w:history="1">
        <w:r w:rsidR="009619D9" w:rsidRPr="00840063">
          <w:rPr>
            <w:rStyle w:val="Hyperlink"/>
            <w:noProof/>
          </w:rPr>
          <w:t>1.20.5</w:t>
        </w:r>
        <w:r w:rsidR="009619D9">
          <w:rPr>
            <w:rFonts w:asciiTheme="minorHAnsi" w:eastAsiaTheme="minorEastAsia" w:hAnsiTheme="minorHAnsi" w:cstheme="minorBidi"/>
            <w:noProof/>
            <w:sz w:val="22"/>
            <w:szCs w:val="22"/>
            <w:lang w:eastAsia="en-AU"/>
          </w:rPr>
          <w:tab/>
        </w:r>
        <w:r w:rsidR="009619D9" w:rsidRPr="00840063">
          <w:rPr>
            <w:rStyle w:val="Hyperlink"/>
            <w:noProof/>
          </w:rPr>
          <w:t>Calculating home dialysis funding recall</w:t>
        </w:r>
        <w:r w:rsidR="009619D9">
          <w:rPr>
            <w:noProof/>
            <w:webHidden/>
          </w:rPr>
          <w:tab/>
        </w:r>
        <w:r w:rsidR="009619D9">
          <w:rPr>
            <w:noProof/>
            <w:webHidden/>
          </w:rPr>
          <w:fldChar w:fldCharType="begin"/>
        </w:r>
        <w:r w:rsidR="009619D9">
          <w:rPr>
            <w:noProof/>
            <w:webHidden/>
          </w:rPr>
          <w:instrText xml:space="preserve"> PAGEREF _Toc156569663 \h </w:instrText>
        </w:r>
        <w:r w:rsidR="009619D9">
          <w:rPr>
            <w:noProof/>
            <w:webHidden/>
          </w:rPr>
        </w:r>
        <w:r w:rsidR="009619D9">
          <w:rPr>
            <w:noProof/>
            <w:webHidden/>
          </w:rPr>
          <w:fldChar w:fldCharType="separate"/>
        </w:r>
        <w:r w:rsidR="009619D9">
          <w:rPr>
            <w:noProof/>
            <w:webHidden/>
          </w:rPr>
          <w:t>63</w:t>
        </w:r>
        <w:r w:rsidR="009619D9">
          <w:rPr>
            <w:noProof/>
            <w:webHidden/>
          </w:rPr>
          <w:fldChar w:fldCharType="end"/>
        </w:r>
      </w:hyperlink>
    </w:p>
    <w:p w14:paraId="0BD9BA92" w14:textId="4EC0DE39" w:rsidR="009619D9" w:rsidRDefault="00000000">
      <w:pPr>
        <w:pStyle w:val="TOC3"/>
        <w:rPr>
          <w:rFonts w:asciiTheme="minorHAnsi" w:eastAsiaTheme="minorEastAsia" w:hAnsiTheme="minorHAnsi" w:cstheme="minorBidi"/>
          <w:noProof/>
          <w:sz w:val="22"/>
          <w:szCs w:val="22"/>
          <w:lang w:eastAsia="en-AU"/>
        </w:rPr>
      </w:pPr>
      <w:hyperlink w:anchor="_Toc156569664" w:history="1">
        <w:r w:rsidR="009619D9" w:rsidRPr="00840063">
          <w:rPr>
            <w:rStyle w:val="Hyperlink"/>
            <w:noProof/>
          </w:rPr>
          <w:t>1.20.6</w:t>
        </w:r>
        <w:r w:rsidR="009619D9">
          <w:rPr>
            <w:rFonts w:asciiTheme="minorHAnsi" w:eastAsiaTheme="minorEastAsia" w:hAnsiTheme="minorHAnsi" w:cstheme="minorBidi"/>
            <w:noProof/>
            <w:sz w:val="22"/>
            <w:szCs w:val="22"/>
            <w:lang w:eastAsia="en-AU"/>
          </w:rPr>
          <w:tab/>
        </w:r>
        <w:r w:rsidR="009619D9" w:rsidRPr="00840063">
          <w:rPr>
            <w:rStyle w:val="Hyperlink"/>
            <w:noProof/>
          </w:rPr>
          <w:t>Calculating total parenteral nutrition recall</w:t>
        </w:r>
        <w:r w:rsidR="009619D9">
          <w:rPr>
            <w:noProof/>
            <w:webHidden/>
          </w:rPr>
          <w:tab/>
        </w:r>
        <w:r w:rsidR="009619D9">
          <w:rPr>
            <w:noProof/>
            <w:webHidden/>
          </w:rPr>
          <w:fldChar w:fldCharType="begin"/>
        </w:r>
        <w:r w:rsidR="009619D9">
          <w:rPr>
            <w:noProof/>
            <w:webHidden/>
          </w:rPr>
          <w:instrText xml:space="preserve"> PAGEREF _Toc156569664 \h </w:instrText>
        </w:r>
        <w:r w:rsidR="009619D9">
          <w:rPr>
            <w:noProof/>
            <w:webHidden/>
          </w:rPr>
        </w:r>
        <w:r w:rsidR="009619D9">
          <w:rPr>
            <w:noProof/>
            <w:webHidden/>
          </w:rPr>
          <w:fldChar w:fldCharType="separate"/>
        </w:r>
        <w:r w:rsidR="009619D9">
          <w:rPr>
            <w:noProof/>
            <w:webHidden/>
          </w:rPr>
          <w:t>63</w:t>
        </w:r>
        <w:r w:rsidR="009619D9">
          <w:rPr>
            <w:noProof/>
            <w:webHidden/>
          </w:rPr>
          <w:fldChar w:fldCharType="end"/>
        </w:r>
      </w:hyperlink>
    </w:p>
    <w:p w14:paraId="3AD71C53" w14:textId="3698133F" w:rsidR="009619D9" w:rsidRDefault="00000000">
      <w:pPr>
        <w:pStyle w:val="TOC3"/>
        <w:rPr>
          <w:rFonts w:asciiTheme="minorHAnsi" w:eastAsiaTheme="minorEastAsia" w:hAnsiTheme="minorHAnsi" w:cstheme="minorBidi"/>
          <w:noProof/>
          <w:sz w:val="22"/>
          <w:szCs w:val="22"/>
          <w:lang w:eastAsia="en-AU"/>
        </w:rPr>
      </w:pPr>
      <w:hyperlink w:anchor="_Toc156569665" w:history="1">
        <w:r w:rsidR="009619D9" w:rsidRPr="00840063">
          <w:rPr>
            <w:rStyle w:val="Hyperlink"/>
            <w:noProof/>
          </w:rPr>
          <w:t>1.20.7</w:t>
        </w:r>
        <w:r w:rsidR="009619D9">
          <w:rPr>
            <w:rFonts w:asciiTheme="minorHAnsi" w:eastAsiaTheme="minorEastAsia" w:hAnsiTheme="minorHAnsi" w:cstheme="minorBidi"/>
            <w:noProof/>
            <w:sz w:val="22"/>
            <w:szCs w:val="22"/>
            <w:lang w:eastAsia="en-AU"/>
          </w:rPr>
          <w:tab/>
        </w:r>
        <w:r w:rsidR="009619D9" w:rsidRPr="00840063">
          <w:rPr>
            <w:rStyle w:val="Hyperlink"/>
            <w:noProof/>
          </w:rPr>
          <w:t>Calculating home enteral nutrition recall</w:t>
        </w:r>
        <w:r w:rsidR="009619D9">
          <w:rPr>
            <w:noProof/>
            <w:webHidden/>
          </w:rPr>
          <w:tab/>
        </w:r>
        <w:r w:rsidR="009619D9">
          <w:rPr>
            <w:noProof/>
            <w:webHidden/>
          </w:rPr>
          <w:fldChar w:fldCharType="begin"/>
        </w:r>
        <w:r w:rsidR="009619D9">
          <w:rPr>
            <w:noProof/>
            <w:webHidden/>
          </w:rPr>
          <w:instrText xml:space="preserve"> PAGEREF _Toc156569665 \h </w:instrText>
        </w:r>
        <w:r w:rsidR="009619D9">
          <w:rPr>
            <w:noProof/>
            <w:webHidden/>
          </w:rPr>
        </w:r>
        <w:r w:rsidR="009619D9">
          <w:rPr>
            <w:noProof/>
            <w:webHidden/>
          </w:rPr>
          <w:fldChar w:fldCharType="separate"/>
        </w:r>
        <w:r w:rsidR="009619D9">
          <w:rPr>
            <w:noProof/>
            <w:webHidden/>
          </w:rPr>
          <w:t>63</w:t>
        </w:r>
        <w:r w:rsidR="009619D9">
          <w:rPr>
            <w:noProof/>
            <w:webHidden/>
          </w:rPr>
          <w:fldChar w:fldCharType="end"/>
        </w:r>
      </w:hyperlink>
    </w:p>
    <w:p w14:paraId="69667936" w14:textId="0CB162EC" w:rsidR="009619D9" w:rsidRDefault="00000000">
      <w:pPr>
        <w:pStyle w:val="TOC2"/>
        <w:rPr>
          <w:rFonts w:asciiTheme="minorHAnsi" w:eastAsiaTheme="minorEastAsia" w:hAnsiTheme="minorHAnsi" w:cstheme="minorBidi"/>
          <w:b w:val="0"/>
          <w:bCs w:val="0"/>
          <w:sz w:val="22"/>
          <w:szCs w:val="22"/>
          <w:lang w:eastAsia="en-AU"/>
        </w:rPr>
      </w:pPr>
      <w:hyperlink w:anchor="_Toc156569666" w:history="1">
        <w:r w:rsidR="009619D9" w:rsidRPr="00840063">
          <w:rPr>
            <w:rStyle w:val="Hyperlink"/>
          </w:rPr>
          <w:t>1.21</w:t>
        </w:r>
        <w:r w:rsidR="009619D9">
          <w:rPr>
            <w:rFonts w:asciiTheme="minorHAnsi" w:eastAsiaTheme="minorEastAsia" w:hAnsiTheme="minorHAnsi" w:cstheme="minorBidi"/>
            <w:b w:val="0"/>
            <w:bCs w:val="0"/>
            <w:sz w:val="22"/>
            <w:szCs w:val="22"/>
            <w:lang w:eastAsia="en-AU"/>
          </w:rPr>
          <w:tab/>
        </w:r>
        <w:r w:rsidR="009619D9" w:rsidRPr="00840063">
          <w:rPr>
            <w:rStyle w:val="Hyperlink"/>
          </w:rPr>
          <w:t>Funding for interstate and international patients</w:t>
        </w:r>
        <w:r w:rsidR="009619D9">
          <w:rPr>
            <w:webHidden/>
          </w:rPr>
          <w:tab/>
        </w:r>
        <w:r w:rsidR="009619D9">
          <w:rPr>
            <w:webHidden/>
          </w:rPr>
          <w:fldChar w:fldCharType="begin"/>
        </w:r>
        <w:r w:rsidR="009619D9">
          <w:rPr>
            <w:webHidden/>
          </w:rPr>
          <w:instrText xml:space="preserve"> PAGEREF _Toc156569666 \h </w:instrText>
        </w:r>
        <w:r w:rsidR="009619D9">
          <w:rPr>
            <w:webHidden/>
          </w:rPr>
        </w:r>
        <w:r w:rsidR="009619D9">
          <w:rPr>
            <w:webHidden/>
          </w:rPr>
          <w:fldChar w:fldCharType="separate"/>
        </w:r>
        <w:r w:rsidR="009619D9">
          <w:rPr>
            <w:webHidden/>
          </w:rPr>
          <w:t>65</w:t>
        </w:r>
        <w:r w:rsidR="009619D9">
          <w:rPr>
            <w:webHidden/>
          </w:rPr>
          <w:fldChar w:fldCharType="end"/>
        </w:r>
      </w:hyperlink>
    </w:p>
    <w:p w14:paraId="1B44FD63" w14:textId="6F974CA5" w:rsidR="009619D9" w:rsidRDefault="00000000">
      <w:pPr>
        <w:pStyle w:val="TOC3"/>
        <w:rPr>
          <w:rFonts w:asciiTheme="minorHAnsi" w:eastAsiaTheme="minorEastAsia" w:hAnsiTheme="minorHAnsi" w:cstheme="minorBidi"/>
          <w:noProof/>
          <w:sz w:val="22"/>
          <w:szCs w:val="22"/>
          <w:lang w:eastAsia="en-AU"/>
        </w:rPr>
      </w:pPr>
      <w:hyperlink w:anchor="_Toc156569667" w:history="1">
        <w:r w:rsidR="009619D9" w:rsidRPr="00840063">
          <w:rPr>
            <w:rStyle w:val="Hyperlink"/>
            <w:noProof/>
          </w:rPr>
          <w:t>1.21.1</w:t>
        </w:r>
        <w:r w:rsidR="009619D9">
          <w:rPr>
            <w:rFonts w:asciiTheme="minorHAnsi" w:eastAsiaTheme="minorEastAsia" w:hAnsiTheme="minorHAnsi" w:cstheme="minorBidi"/>
            <w:noProof/>
            <w:sz w:val="22"/>
            <w:szCs w:val="22"/>
            <w:lang w:eastAsia="en-AU"/>
          </w:rPr>
          <w:tab/>
        </w:r>
        <w:r w:rsidR="009619D9" w:rsidRPr="00840063">
          <w:rPr>
            <w:rStyle w:val="Hyperlink"/>
            <w:noProof/>
          </w:rPr>
          <w:t>Compensable patients</w:t>
        </w:r>
        <w:r w:rsidR="009619D9">
          <w:rPr>
            <w:noProof/>
            <w:webHidden/>
          </w:rPr>
          <w:tab/>
        </w:r>
        <w:r w:rsidR="009619D9">
          <w:rPr>
            <w:noProof/>
            <w:webHidden/>
          </w:rPr>
          <w:fldChar w:fldCharType="begin"/>
        </w:r>
        <w:r w:rsidR="009619D9">
          <w:rPr>
            <w:noProof/>
            <w:webHidden/>
          </w:rPr>
          <w:instrText xml:space="preserve"> PAGEREF _Toc156569667 \h </w:instrText>
        </w:r>
        <w:r w:rsidR="009619D9">
          <w:rPr>
            <w:noProof/>
            <w:webHidden/>
          </w:rPr>
        </w:r>
        <w:r w:rsidR="009619D9">
          <w:rPr>
            <w:noProof/>
            <w:webHidden/>
          </w:rPr>
          <w:fldChar w:fldCharType="separate"/>
        </w:r>
        <w:r w:rsidR="009619D9">
          <w:rPr>
            <w:noProof/>
            <w:webHidden/>
          </w:rPr>
          <w:t>65</w:t>
        </w:r>
        <w:r w:rsidR="009619D9">
          <w:rPr>
            <w:noProof/>
            <w:webHidden/>
          </w:rPr>
          <w:fldChar w:fldCharType="end"/>
        </w:r>
      </w:hyperlink>
    </w:p>
    <w:p w14:paraId="40B9809A" w14:textId="352BA9BD" w:rsidR="009619D9" w:rsidRDefault="00000000">
      <w:pPr>
        <w:pStyle w:val="TOC2"/>
        <w:rPr>
          <w:rFonts w:asciiTheme="minorHAnsi" w:eastAsiaTheme="minorEastAsia" w:hAnsiTheme="minorHAnsi" w:cstheme="minorBidi"/>
          <w:b w:val="0"/>
          <w:bCs w:val="0"/>
          <w:sz w:val="22"/>
          <w:szCs w:val="22"/>
          <w:lang w:eastAsia="en-AU"/>
        </w:rPr>
      </w:pPr>
      <w:hyperlink w:anchor="_Toc156569668" w:history="1">
        <w:r w:rsidR="009619D9" w:rsidRPr="00840063">
          <w:rPr>
            <w:rStyle w:val="Hyperlink"/>
            <w:rFonts w:eastAsia="Arial"/>
          </w:rPr>
          <w:t>1.22</w:t>
        </w:r>
        <w:r w:rsidR="009619D9">
          <w:rPr>
            <w:rFonts w:asciiTheme="minorHAnsi" w:eastAsiaTheme="minorEastAsia" w:hAnsiTheme="minorHAnsi" w:cstheme="minorBidi"/>
            <w:b w:val="0"/>
            <w:bCs w:val="0"/>
            <w:sz w:val="22"/>
            <w:szCs w:val="22"/>
            <w:lang w:eastAsia="en-AU"/>
          </w:rPr>
          <w:tab/>
        </w:r>
        <w:r w:rsidR="009619D9" w:rsidRPr="00840063">
          <w:rPr>
            <w:rStyle w:val="Hyperlink"/>
          </w:rPr>
          <w:t>Improving health outcomes for Aboriginal and Torres Strait Islander patients</w:t>
        </w:r>
        <w:r w:rsidR="009619D9">
          <w:rPr>
            <w:webHidden/>
          </w:rPr>
          <w:tab/>
        </w:r>
        <w:r w:rsidR="009619D9">
          <w:rPr>
            <w:webHidden/>
          </w:rPr>
          <w:fldChar w:fldCharType="begin"/>
        </w:r>
        <w:r w:rsidR="009619D9">
          <w:rPr>
            <w:webHidden/>
          </w:rPr>
          <w:instrText xml:space="preserve"> PAGEREF _Toc156569668 \h </w:instrText>
        </w:r>
        <w:r w:rsidR="009619D9">
          <w:rPr>
            <w:webHidden/>
          </w:rPr>
        </w:r>
        <w:r w:rsidR="009619D9">
          <w:rPr>
            <w:webHidden/>
          </w:rPr>
          <w:fldChar w:fldCharType="separate"/>
        </w:r>
        <w:r w:rsidR="009619D9">
          <w:rPr>
            <w:webHidden/>
          </w:rPr>
          <w:t>73</w:t>
        </w:r>
        <w:r w:rsidR="009619D9">
          <w:rPr>
            <w:webHidden/>
          </w:rPr>
          <w:fldChar w:fldCharType="end"/>
        </w:r>
      </w:hyperlink>
    </w:p>
    <w:p w14:paraId="27877248" w14:textId="07DA197A" w:rsidR="009619D9" w:rsidRDefault="00000000">
      <w:pPr>
        <w:pStyle w:val="TOC3"/>
        <w:rPr>
          <w:rFonts w:asciiTheme="minorHAnsi" w:eastAsiaTheme="minorEastAsia" w:hAnsiTheme="minorHAnsi" w:cstheme="minorBidi"/>
          <w:noProof/>
          <w:sz w:val="22"/>
          <w:szCs w:val="22"/>
          <w:lang w:eastAsia="en-AU"/>
        </w:rPr>
      </w:pPr>
      <w:hyperlink w:anchor="_Toc156569669" w:history="1">
        <w:r w:rsidR="009619D9" w:rsidRPr="00840063">
          <w:rPr>
            <w:rStyle w:val="Hyperlink"/>
            <w:rFonts w:eastAsia="Arial"/>
            <w:noProof/>
          </w:rPr>
          <w:t>1.22.1</w:t>
        </w:r>
        <w:r w:rsidR="009619D9">
          <w:rPr>
            <w:rFonts w:asciiTheme="minorHAnsi" w:eastAsiaTheme="minorEastAsia" w:hAnsiTheme="minorHAnsi" w:cstheme="minorBidi"/>
            <w:noProof/>
            <w:sz w:val="22"/>
            <w:szCs w:val="22"/>
            <w:lang w:eastAsia="en-AU"/>
          </w:rPr>
          <w:tab/>
        </w:r>
        <w:r w:rsidR="009619D9" w:rsidRPr="00840063">
          <w:rPr>
            <w:rStyle w:val="Hyperlink"/>
            <w:noProof/>
          </w:rPr>
          <w:t>Aboriginal cultural safety planning and reporting requirements</w:t>
        </w:r>
        <w:r w:rsidR="009619D9">
          <w:rPr>
            <w:noProof/>
            <w:webHidden/>
          </w:rPr>
          <w:tab/>
        </w:r>
        <w:r w:rsidR="009619D9">
          <w:rPr>
            <w:noProof/>
            <w:webHidden/>
          </w:rPr>
          <w:fldChar w:fldCharType="begin"/>
        </w:r>
        <w:r w:rsidR="009619D9">
          <w:rPr>
            <w:noProof/>
            <w:webHidden/>
          </w:rPr>
          <w:instrText xml:space="preserve"> PAGEREF _Toc156569669 \h </w:instrText>
        </w:r>
        <w:r w:rsidR="009619D9">
          <w:rPr>
            <w:noProof/>
            <w:webHidden/>
          </w:rPr>
        </w:r>
        <w:r w:rsidR="009619D9">
          <w:rPr>
            <w:noProof/>
            <w:webHidden/>
          </w:rPr>
          <w:fldChar w:fldCharType="separate"/>
        </w:r>
        <w:r w:rsidR="009619D9">
          <w:rPr>
            <w:noProof/>
            <w:webHidden/>
          </w:rPr>
          <w:t>73</w:t>
        </w:r>
        <w:r w:rsidR="009619D9">
          <w:rPr>
            <w:noProof/>
            <w:webHidden/>
          </w:rPr>
          <w:fldChar w:fldCharType="end"/>
        </w:r>
      </w:hyperlink>
    </w:p>
    <w:p w14:paraId="123801EF" w14:textId="54DE7F77" w:rsidR="009619D9" w:rsidRDefault="00000000">
      <w:pPr>
        <w:pStyle w:val="TOC3"/>
        <w:rPr>
          <w:rFonts w:asciiTheme="minorHAnsi" w:eastAsiaTheme="minorEastAsia" w:hAnsiTheme="minorHAnsi" w:cstheme="minorBidi"/>
          <w:noProof/>
          <w:sz w:val="22"/>
          <w:szCs w:val="22"/>
          <w:lang w:eastAsia="en-AU"/>
        </w:rPr>
      </w:pPr>
      <w:hyperlink w:anchor="_Toc156569670" w:history="1">
        <w:r w:rsidR="009619D9" w:rsidRPr="00840063">
          <w:rPr>
            <w:rStyle w:val="Hyperlink"/>
            <w:noProof/>
          </w:rPr>
          <w:t>1.22.2</w:t>
        </w:r>
        <w:r w:rsidR="009619D9">
          <w:rPr>
            <w:rFonts w:asciiTheme="minorHAnsi" w:eastAsiaTheme="minorEastAsia" w:hAnsiTheme="minorHAnsi" w:cstheme="minorBidi"/>
            <w:noProof/>
            <w:sz w:val="22"/>
            <w:szCs w:val="22"/>
            <w:lang w:eastAsia="en-AU"/>
          </w:rPr>
          <w:tab/>
        </w:r>
        <w:r w:rsidR="009619D9" w:rsidRPr="00840063">
          <w:rPr>
            <w:rStyle w:val="Hyperlink"/>
            <w:noProof/>
          </w:rPr>
          <w:t>Indicators and monitoring</w:t>
        </w:r>
        <w:r w:rsidR="009619D9">
          <w:rPr>
            <w:noProof/>
            <w:webHidden/>
          </w:rPr>
          <w:tab/>
        </w:r>
        <w:r w:rsidR="009619D9">
          <w:rPr>
            <w:noProof/>
            <w:webHidden/>
          </w:rPr>
          <w:fldChar w:fldCharType="begin"/>
        </w:r>
        <w:r w:rsidR="009619D9">
          <w:rPr>
            <w:noProof/>
            <w:webHidden/>
          </w:rPr>
          <w:instrText xml:space="preserve"> PAGEREF _Toc156569670 \h </w:instrText>
        </w:r>
        <w:r w:rsidR="009619D9">
          <w:rPr>
            <w:noProof/>
            <w:webHidden/>
          </w:rPr>
        </w:r>
        <w:r w:rsidR="009619D9">
          <w:rPr>
            <w:noProof/>
            <w:webHidden/>
          </w:rPr>
          <w:fldChar w:fldCharType="separate"/>
        </w:r>
        <w:r w:rsidR="009619D9">
          <w:rPr>
            <w:noProof/>
            <w:webHidden/>
          </w:rPr>
          <w:t>74</w:t>
        </w:r>
        <w:r w:rsidR="009619D9">
          <w:rPr>
            <w:noProof/>
            <w:webHidden/>
          </w:rPr>
          <w:fldChar w:fldCharType="end"/>
        </w:r>
      </w:hyperlink>
    </w:p>
    <w:p w14:paraId="09AEF622" w14:textId="59773237" w:rsidR="009619D9" w:rsidRDefault="00000000">
      <w:pPr>
        <w:pStyle w:val="TOC2"/>
        <w:rPr>
          <w:rFonts w:asciiTheme="minorHAnsi" w:eastAsiaTheme="minorEastAsia" w:hAnsiTheme="minorHAnsi" w:cstheme="minorBidi"/>
          <w:b w:val="0"/>
          <w:bCs w:val="0"/>
          <w:sz w:val="22"/>
          <w:szCs w:val="22"/>
          <w:lang w:eastAsia="en-AU"/>
        </w:rPr>
      </w:pPr>
      <w:hyperlink w:anchor="_Toc156569671" w:history="1">
        <w:r w:rsidR="009619D9" w:rsidRPr="00840063">
          <w:rPr>
            <w:rStyle w:val="Hyperlink"/>
          </w:rPr>
          <w:t>1.23</w:t>
        </w:r>
        <w:r w:rsidR="009619D9">
          <w:rPr>
            <w:rFonts w:asciiTheme="minorHAnsi" w:eastAsiaTheme="minorEastAsia" w:hAnsiTheme="minorHAnsi" w:cstheme="minorBidi"/>
            <w:b w:val="0"/>
            <w:bCs w:val="0"/>
            <w:sz w:val="22"/>
            <w:szCs w:val="22"/>
            <w:lang w:eastAsia="en-AU"/>
          </w:rPr>
          <w:tab/>
        </w:r>
        <w:r w:rsidR="009619D9" w:rsidRPr="00840063">
          <w:rPr>
            <w:rStyle w:val="Hyperlink"/>
          </w:rPr>
          <w:t>Payments and cash flow</w:t>
        </w:r>
        <w:r w:rsidR="009619D9">
          <w:rPr>
            <w:webHidden/>
          </w:rPr>
          <w:tab/>
        </w:r>
        <w:r w:rsidR="009619D9">
          <w:rPr>
            <w:webHidden/>
          </w:rPr>
          <w:fldChar w:fldCharType="begin"/>
        </w:r>
        <w:r w:rsidR="009619D9">
          <w:rPr>
            <w:webHidden/>
          </w:rPr>
          <w:instrText xml:space="preserve"> PAGEREF _Toc156569671 \h </w:instrText>
        </w:r>
        <w:r w:rsidR="009619D9">
          <w:rPr>
            <w:webHidden/>
          </w:rPr>
        </w:r>
        <w:r w:rsidR="009619D9">
          <w:rPr>
            <w:webHidden/>
          </w:rPr>
          <w:fldChar w:fldCharType="separate"/>
        </w:r>
        <w:r w:rsidR="009619D9">
          <w:rPr>
            <w:webHidden/>
          </w:rPr>
          <w:t>75</w:t>
        </w:r>
        <w:r w:rsidR="009619D9">
          <w:rPr>
            <w:webHidden/>
          </w:rPr>
          <w:fldChar w:fldCharType="end"/>
        </w:r>
      </w:hyperlink>
    </w:p>
    <w:p w14:paraId="182534B2" w14:textId="38E4F6B2" w:rsidR="009619D9" w:rsidRDefault="00000000">
      <w:pPr>
        <w:pStyle w:val="TOC3"/>
        <w:rPr>
          <w:rFonts w:asciiTheme="minorHAnsi" w:eastAsiaTheme="minorEastAsia" w:hAnsiTheme="minorHAnsi" w:cstheme="minorBidi"/>
          <w:noProof/>
          <w:sz w:val="22"/>
          <w:szCs w:val="22"/>
          <w:lang w:eastAsia="en-AU"/>
        </w:rPr>
      </w:pPr>
      <w:hyperlink w:anchor="_Toc156569672" w:history="1">
        <w:r w:rsidR="009619D9" w:rsidRPr="00840063">
          <w:rPr>
            <w:rStyle w:val="Hyperlink"/>
            <w:noProof/>
          </w:rPr>
          <w:t>1.23.1</w:t>
        </w:r>
        <w:r w:rsidR="009619D9">
          <w:rPr>
            <w:rFonts w:asciiTheme="minorHAnsi" w:eastAsiaTheme="minorEastAsia" w:hAnsiTheme="minorHAnsi" w:cstheme="minorBidi"/>
            <w:noProof/>
            <w:sz w:val="22"/>
            <w:szCs w:val="22"/>
            <w:lang w:eastAsia="en-AU"/>
          </w:rPr>
          <w:tab/>
        </w:r>
        <w:r w:rsidR="009619D9" w:rsidRPr="00840063">
          <w:rPr>
            <w:rStyle w:val="Hyperlink"/>
            <w:noProof/>
          </w:rPr>
          <w:t>Interim payments for long-stay, high-cost patients</w:t>
        </w:r>
        <w:r w:rsidR="009619D9">
          <w:rPr>
            <w:noProof/>
            <w:webHidden/>
          </w:rPr>
          <w:tab/>
        </w:r>
        <w:r w:rsidR="009619D9">
          <w:rPr>
            <w:noProof/>
            <w:webHidden/>
          </w:rPr>
          <w:fldChar w:fldCharType="begin"/>
        </w:r>
        <w:r w:rsidR="009619D9">
          <w:rPr>
            <w:noProof/>
            <w:webHidden/>
          </w:rPr>
          <w:instrText xml:space="preserve"> PAGEREF _Toc156569672 \h </w:instrText>
        </w:r>
        <w:r w:rsidR="009619D9">
          <w:rPr>
            <w:noProof/>
            <w:webHidden/>
          </w:rPr>
        </w:r>
        <w:r w:rsidR="009619D9">
          <w:rPr>
            <w:noProof/>
            <w:webHidden/>
          </w:rPr>
          <w:fldChar w:fldCharType="separate"/>
        </w:r>
        <w:r w:rsidR="009619D9">
          <w:rPr>
            <w:noProof/>
            <w:webHidden/>
          </w:rPr>
          <w:t>75</w:t>
        </w:r>
        <w:r w:rsidR="009619D9">
          <w:rPr>
            <w:noProof/>
            <w:webHidden/>
          </w:rPr>
          <w:fldChar w:fldCharType="end"/>
        </w:r>
      </w:hyperlink>
    </w:p>
    <w:p w14:paraId="666348EF" w14:textId="785C6FB6" w:rsidR="009619D9" w:rsidRDefault="00000000">
      <w:pPr>
        <w:pStyle w:val="TOC3"/>
        <w:rPr>
          <w:rFonts w:asciiTheme="minorHAnsi" w:eastAsiaTheme="minorEastAsia" w:hAnsiTheme="minorHAnsi" w:cstheme="minorBidi"/>
          <w:noProof/>
          <w:sz w:val="22"/>
          <w:szCs w:val="22"/>
          <w:lang w:eastAsia="en-AU"/>
        </w:rPr>
      </w:pPr>
      <w:hyperlink w:anchor="_Toc156569673" w:history="1">
        <w:r w:rsidR="009619D9" w:rsidRPr="00840063">
          <w:rPr>
            <w:rStyle w:val="Hyperlink"/>
            <w:noProof/>
          </w:rPr>
          <w:t>1.23.2</w:t>
        </w:r>
        <w:r w:rsidR="009619D9">
          <w:rPr>
            <w:rFonts w:asciiTheme="minorHAnsi" w:eastAsiaTheme="minorEastAsia" w:hAnsiTheme="minorHAnsi" w:cstheme="minorBidi"/>
            <w:noProof/>
            <w:sz w:val="22"/>
            <w:szCs w:val="22"/>
            <w:lang w:eastAsia="en-AU"/>
          </w:rPr>
          <w:tab/>
        </w:r>
        <w:r w:rsidR="009619D9" w:rsidRPr="00840063">
          <w:rPr>
            <w:rStyle w:val="Hyperlink"/>
            <w:noProof/>
          </w:rPr>
          <w:t>Use of contracts</w:t>
        </w:r>
        <w:r w:rsidR="009619D9">
          <w:rPr>
            <w:noProof/>
            <w:webHidden/>
          </w:rPr>
          <w:tab/>
        </w:r>
        <w:r w:rsidR="009619D9">
          <w:rPr>
            <w:noProof/>
            <w:webHidden/>
          </w:rPr>
          <w:fldChar w:fldCharType="begin"/>
        </w:r>
        <w:r w:rsidR="009619D9">
          <w:rPr>
            <w:noProof/>
            <w:webHidden/>
          </w:rPr>
          <w:instrText xml:space="preserve"> PAGEREF _Toc156569673 \h </w:instrText>
        </w:r>
        <w:r w:rsidR="009619D9">
          <w:rPr>
            <w:noProof/>
            <w:webHidden/>
          </w:rPr>
        </w:r>
        <w:r w:rsidR="009619D9">
          <w:rPr>
            <w:noProof/>
            <w:webHidden/>
          </w:rPr>
          <w:fldChar w:fldCharType="separate"/>
        </w:r>
        <w:r w:rsidR="009619D9">
          <w:rPr>
            <w:noProof/>
            <w:webHidden/>
          </w:rPr>
          <w:t>75</w:t>
        </w:r>
        <w:r w:rsidR="009619D9">
          <w:rPr>
            <w:noProof/>
            <w:webHidden/>
          </w:rPr>
          <w:fldChar w:fldCharType="end"/>
        </w:r>
      </w:hyperlink>
    </w:p>
    <w:p w14:paraId="09F1E27A" w14:textId="6D8B1A04" w:rsidR="009619D9" w:rsidRDefault="00000000">
      <w:pPr>
        <w:pStyle w:val="TOC3"/>
        <w:rPr>
          <w:rFonts w:asciiTheme="minorHAnsi" w:eastAsiaTheme="minorEastAsia" w:hAnsiTheme="minorHAnsi" w:cstheme="minorBidi"/>
          <w:noProof/>
          <w:sz w:val="22"/>
          <w:szCs w:val="22"/>
          <w:lang w:eastAsia="en-AU"/>
        </w:rPr>
      </w:pPr>
      <w:hyperlink w:anchor="_Toc156569674" w:history="1">
        <w:r w:rsidR="009619D9" w:rsidRPr="00840063">
          <w:rPr>
            <w:rStyle w:val="Hyperlink"/>
            <w:noProof/>
          </w:rPr>
          <w:t>1.23.3</w:t>
        </w:r>
        <w:r w:rsidR="009619D9">
          <w:rPr>
            <w:rFonts w:asciiTheme="minorHAnsi" w:eastAsiaTheme="minorEastAsia" w:hAnsiTheme="minorHAnsi" w:cstheme="minorBidi"/>
            <w:noProof/>
            <w:sz w:val="22"/>
            <w:szCs w:val="22"/>
            <w:lang w:eastAsia="en-AU"/>
          </w:rPr>
          <w:tab/>
        </w:r>
        <w:r w:rsidR="009619D9" w:rsidRPr="00840063">
          <w:rPr>
            <w:rStyle w:val="Hyperlink"/>
            <w:noProof/>
          </w:rPr>
          <w:t>Health service fees and charges</w:t>
        </w:r>
        <w:r w:rsidR="009619D9">
          <w:rPr>
            <w:noProof/>
            <w:webHidden/>
          </w:rPr>
          <w:tab/>
        </w:r>
        <w:r w:rsidR="009619D9">
          <w:rPr>
            <w:noProof/>
            <w:webHidden/>
          </w:rPr>
          <w:fldChar w:fldCharType="begin"/>
        </w:r>
        <w:r w:rsidR="009619D9">
          <w:rPr>
            <w:noProof/>
            <w:webHidden/>
          </w:rPr>
          <w:instrText xml:space="preserve"> PAGEREF _Toc156569674 \h </w:instrText>
        </w:r>
        <w:r w:rsidR="009619D9">
          <w:rPr>
            <w:noProof/>
            <w:webHidden/>
          </w:rPr>
        </w:r>
        <w:r w:rsidR="009619D9">
          <w:rPr>
            <w:noProof/>
            <w:webHidden/>
          </w:rPr>
          <w:fldChar w:fldCharType="separate"/>
        </w:r>
        <w:r w:rsidR="009619D9">
          <w:rPr>
            <w:noProof/>
            <w:webHidden/>
          </w:rPr>
          <w:t>75</w:t>
        </w:r>
        <w:r w:rsidR="009619D9">
          <w:rPr>
            <w:noProof/>
            <w:webHidden/>
          </w:rPr>
          <w:fldChar w:fldCharType="end"/>
        </w:r>
      </w:hyperlink>
    </w:p>
    <w:p w14:paraId="1F8A1A25" w14:textId="285207DC" w:rsidR="009619D9" w:rsidRDefault="00000000">
      <w:pPr>
        <w:pStyle w:val="TOC3"/>
        <w:rPr>
          <w:rFonts w:asciiTheme="minorHAnsi" w:eastAsiaTheme="minorEastAsia" w:hAnsiTheme="minorHAnsi" w:cstheme="minorBidi"/>
          <w:noProof/>
          <w:sz w:val="22"/>
          <w:szCs w:val="22"/>
          <w:lang w:eastAsia="en-AU"/>
        </w:rPr>
      </w:pPr>
      <w:hyperlink w:anchor="_Toc156569675" w:history="1">
        <w:r w:rsidR="009619D9" w:rsidRPr="00840063">
          <w:rPr>
            <w:rStyle w:val="Hyperlink"/>
            <w:noProof/>
          </w:rPr>
          <w:t>1.23.4</w:t>
        </w:r>
        <w:r w:rsidR="009619D9">
          <w:rPr>
            <w:rFonts w:asciiTheme="minorHAnsi" w:eastAsiaTheme="minorEastAsia" w:hAnsiTheme="minorHAnsi" w:cstheme="minorBidi"/>
            <w:noProof/>
            <w:sz w:val="22"/>
            <w:szCs w:val="22"/>
            <w:lang w:eastAsia="en-AU"/>
          </w:rPr>
          <w:tab/>
        </w:r>
        <w:r w:rsidR="009619D9" w:rsidRPr="00840063">
          <w:rPr>
            <w:rStyle w:val="Hyperlink"/>
            <w:noProof/>
          </w:rPr>
          <w:t>Private patient accommodation charges</w:t>
        </w:r>
        <w:r w:rsidR="009619D9">
          <w:rPr>
            <w:noProof/>
            <w:webHidden/>
          </w:rPr>
          <w:tab/>
        </w:r>
        <w:r w:rsidR="009619D9">
          <w:rPr>
            <w:noProof/>
            <w:webHidden/>
          </w:rPr>
          <w:fldChar w:fldCharType="begin"/>
        </w:r>
        <w:r w:rsidR="009619D9">
          <w:rPr>
            <w:noProof/>
            <w:webHidden/>
          </w:rPr>
          <w:instrText xml:space="preserve"> PAGEREF _Toc156569675 \h </w:instrText>
        </w:r>
        <w:r w:rsidR="009619D9">
          <w:rPr>
            <w:noProof/>
            <w:webHidden/>
          </w:rPr>
        </w:r>
        <w:r w:rsidR="009619D9">
          <w:rPr>
            <w:noProof/>
            <w:webHidden/>
          </w:rPr>
          <w:fldChar w:fldCharType="separate"/>
        </w:r>
        <w:r w:rsidR="009619D9">
          <w:rPr>
            <w:noProof/>
            <w:webHidden/>
          </w:rPr>
          <w:t>76</w:t>
        </w:r>
        <w:r w:rsidR="009619D9">
          <w:rPr>
            <w:noProof/>
            <w:webHidden/>
          </w:rPr>
          <w:fldChar w:fldCharType="end"/>
        </w:r>
      </w:hyperlink>
    </w:p>
    <w:p w14:paraId="1019BD49" w14:textId="3B5EEBA2" w:rsidR="009619D9" w:rsidRDefault="00000000">
      <w:pPr>
        <w:pStyle w:val="TOC3"/>
        <w:rPr>
          <w:rFonts w:asciiTheme="minorHAnsi" w:eastAsiaTheme="minorEastAsia" w:hAnsiTheme="minorHAnsi" w:cstheme="minorBidi"/>
          <w:noProof/>
          <w:sz w:val="22"/>
          <w:szCs w:val="22"/>
          <w:lang w:eastAsia="en-AU"/>
        </w:rPr>
      </w:pPr>
      <w:hyperlink w:anchor="_Toc156569676" w:history="1">
        <w:r w:rsidR="009619D9" w:rsidRPr="00840063">
          <w:rPr>
            <w:rStyle w:val="Hyperlink"/>
            <w:noProof/>
          </w:rPr>
          <w:t>1.23.5</w:t>
        </w:r>
        <w:r w:rsidR="009619D9">
          <w:rPr>
            <w:rFonts w:asciiTheme="minorHAnsi" w:eastAsiaTheme="minorEastAsia" w:hAnsiTheme="minorHAnsi" w:cstheme="minorBidi"/>
            <w:noProof/>
            <w:sz w:val="22"/>
            <w:szCs w:val="22"/>
            <w:lang w:eastAsia="en-AU"/>
          </w:rPr>
          <w:tab/>
        </w:r>
        <w:r w:rsidR="009619D9" w:rsidRPr="00840063">
          <w:rPr>
            <w:rStyle w:val="Hyperlink"/>
            <w:noProof/>
          </w:rPr>
          <w:t>Redirection of funds</w:t>
        </w:r>
        <w:r w:rsidR="009619D9">
          <w:rPr>
            <w:noProof/>
            <w:webHidden/>
          </w:rPr>
          <w:tab/>
        </w:r>
        <w:r w:rsidR="009619D9">
          <w:rPr>
            <w:noProof/>
            <w:webHidden/>
          </w:rPr>
          <w:fldChar w:fldCharType="begin"/>
        </w:r>
        <w:r w:rsidR="009619D9">
          <w:rPr>
            <w:noProof/>
            <w:webHidden/>
          </w:rPr>
          <w:instrText xml:space="preserve"> PAGEREF _Toc156569676 \h </w:instrText>
        </w:r>
        <w:r w:rsidR="009619D9">
          <w:rPr>
            <w:noProof/>
            <w:webHidden/>
          </w:rPr>
        </w:r>
        <w:r w:rsidR="009619D9">
          <w:rPr>
            <w:noProof/>
            <w:webHidden/>
          </w:rPr>
          <w:fldChar w:fldCharType="separate"/>
        </w:r>
        <w:r w:rsidR="009619D9">
          <w:rPr>
            <w:noProof/>
            <w:webHidden/>
          </w:rPr>
          <w:t>76</w:t>
        </w:r>
        <w:r w:rsidR="009619D9">
          <w:rPr>
            <w:noProof/>
            <w:webHidden/>
          </w:rPr>
          <w:fldChar w:fldCharType="end"/>
        </w:r>
      </w:hyperlink>
    </w:p>
    <w:p w14:paraId="467F43B4" w14:textId="15880412" w:rsidR="009619D9" w:rsidRDefault="00000000">
      <w:pPr>
        <w:pStyle w:val="TOC3"/>
        <w:rPr>
          <w:rFonts w:asciiTheme="minorHAnsi" w:eastAsiaTheme="minorEastAsia" w:hAnsiTheme="minorHAnsi" w:cstheme="minorBidi"/>
          <w:noProof/>
          <w:sz w:val="22"/>
          <w:szCs w:val="22"/>
          <w:lang w:eastAsia="en-AU"/>
        </w:rPr>
      </w:pPr>
      <w:hyperlink w:anchor="_Toc156569677" w:history="1">
        <w:r w:rsidR="009619D9" w:rsidRPr="00840063">
          <w:rPr>
            <w:rStyle w:val="Hyperlink"/>
            <w:noProof/>
          </w:rPr>
          <w:t>1.23.6</w:t>
        </w:r>
        <w:r w:rsidR="009619D9">
          <w:rPr>
            <w:rFonts w:asciiTheme="minorHAnsi" w:eastAsiaTheme="minorEastAsia" w:hAnsiTheme="minorHAnsi" w:cstheme="minorBidi"/>
            <w:noProof/>
            <w:sz w:val="22"/>
            <w:szCs w:val="22"/>
            <w:lang w:eastAsia="en-AU"/>
          </w:rPr>
          <w:tab/>
        </w:r>
        <w:r w:rsidR="009619D9" w:rsidRPr="00840063">
          <w:rPr>
            <w:rStyle w:val="Hyperlink"/>
            <w:noProof/>
          </w:rPr>
          <w:t>Doctors in training secondment arrangements</w:t>
        </w:r>
        <w:r w:rsidR="009619D9">
          <w:rPr>
            <w:noProof/>
            <w:webHidden/>
          </w:rPr>
          <w:tab/>
        </w:r>
        <w:r w:rsidR="009619D9">
          <w:rPr>
            <w:noProof/>
            <w:webHidden/>
          </w:rPr>
          <w:fldChar w:fldCharType="begin"/>
        </w:r>
        <w:r w:rsidR="009619D9">
          <w:rPr>
            <w:noProof/>
            <w:webHidden/>
          </w:rPr>
          <w:instrText xml:space="preserve"> PAGEREF _Toc156569677 \h </w:instrText>
        </w:r>
        <w:r w:rsidR="009619D9">
          <w:rPr>
            <w:noProof/>
            <w:webHidden/>
          </w:rPr>
        </w:r>
        <w:r w:rsidR="009619D9">
          <w:rPr>
            <w:noProof/>
            <w:webHidden/>
          </w:rPr>
          <w:fldChar w:fldCharType="separate"/>
        </w:r>
        <w:r w:rsidR="009619D9">
          <w:rPr>
            <w:noProof/>
            <w:webHidden/>
          </w:rPr>
          <w:t>77</w:t>
        </w:r>
        <w:r w:rsidR="009619D9">
          <w:rPr>
            <w:noProof/>
            <w:webHidden/>
          </w:rPr>
          <w:fldChar w:fldCharType="end"/>
        </w:r>
      </w:hyperlink>
    </w:p>
    <w:p w14:paraId="1B553459" w14:textId="69385A26" w:rsidR="009619D9" w:rsidRDefault="00000000">
      <w:pPr>
        <w:pStyle w:val="TOC2"/>
        <w:rPr>
          <w:rFonts w:asciiTheme="minorHAnsi" w:eastAsiaTheme="minorEastAsia" w:hAnsiTheme="minorHAnsi" w:cstheme="minorBidi"/>
          <w:b w:val="0"/>
          <w:bCs w:val="0"/>
          <w:sz w:val="22"/>
          <w:szCs w:val="22"/>
          <w:lang w:eastAsia="en-AU"/>
        </w:rPr>
      </w:pPr>
      <w:hyperlink w:anchor="_Toc156569678" w:history="1">
        <w:r w:rsidR="009619D9" w:rsidRPr="00840063">
          <w:rPr>
            <w:rStyle w:val="Hyperlink"/>
          </w:rPr>
          <w:t>1.24</w:t>
        </w:r>
        <w:r w:rsidR="009619D9">
          <w:rPr>
            <w:rFonts w:asciiTheme="minorHAnsi" w:eastAsiaTheme="minorEastAsia" w:hAnsiTheme="minorHAnsi" w:cstheme="minorBidi"/>
            <w:b w:val="0"/>
            <w:bCs w:val="0"/>
            <w:sz w:val="22"/>
            <w:szCs w:val="22"/>
            <w:lang w:eastAsia="en-AU"/>
          </w:rPr>
          <w:tab/>
        </w:r>
        <w:r w:rsidR="009619D9" w:rsidRPr="00840063">
          <w:rPr>
            <w:rStyle w:val="Hyperlink"/>
          </w:rPr>
          <w:t>Price tables</w:t>
        </w:r>
        <w:r w:rsidR="009619D9">
          <w:rPr>
            <w:webHidden/>
          </w:rPr>
          <w:tab/>
        </w:r>
        <w:r w:rsidR="009619D9">
          <w:rPr>
            <w:webHidden/>
          </w:rPr>
          <w:fldChar w:fldCharType="begin"/>
        </w:r>
        <w:r w:rsidR="009619D9">
          <w:rPr>
            <w:webHidden/>
          </w:rPr>
          <w:instrText xml:space="preserve"> PAGEREF _Toc156569678 \h </w:instrText>
        </w:r>
        <w:r w:rsidR="009619D9">
          <w:rPr>
            <w:webHidden/>
          </w:rPr>
        </w:r>
        <w:r w:rsidR="009619D9">
          <w:rPr>
            <w:webHidden/>
          </w:rPr>
          <w:fldChar w:fldCharType="separate"/>
        </w:r>
        <w:r w:rsidR="009619D9">
          <w:rPr>
            <w:webHidden/>
          </w:rPr>
          <w:t>78</w:t>
        </w:r>
        <w:r w:rsidR="009619D9">
          <w:rPr>
            <w:webHidden/>
          </w:rPr>
          <w:fldChar w:fldCharType="end"/>
        </w:r>
      </w:hyperlink>
    </w:p>
    <w:p w14:paraId="2EC5F9A6" w14:textId="08CE7406" w:rsidR="009619D9" w:rsidRDefault="00000000">
      <w:pPr>
        <w:pStyle w:val="TOC3"/>
        <w:rPr>
          <w:rFonts w:asciiTheme="minorHAnsi" w:eastAsiaTheme="minorEastAsia" w:hAnsiTheme="minorHAnsi" w:cstheme="minorBidi"/>
          <w:noProof/>
          <w:sz w:val="22"/>
          <w:szCs w:val="22"/>
          <w:lang w:eastAsia="en-AU"/>
        </w:rPr>
      </w:pPr>
      <w:hyperlink w:anchor="_Toc156569679" w:history="1">
        <w:r w:rsidR="009619D9" w:rsidRPr="00840063">
          <w:rPr>
            <w:rStyle w:val="Hyperlink"/>
            <w:noProof/>
          </w:rPr>
          <w:t>1.24.1</w:t>
        </w:r>
        <w:r w:rsidR="009619D9">
          <w:rPr>
            <w:rFonts w:asciiTheme="minorHAnsi" w:eastAsiaTheme="minorEastAsia" w:hAnsiTheme="minorHAnsi" w:cstheme="minorBidi"/>
            <w:noProof/>
            <w:sz w:val="22"/>
            <w:szCs w:val="22"/>
            <w:lang w:eastAsia="en-AU"/>
          </w:rPr>
          <w:tab/>
        </w:r>
        <w:r w:rsidR="009619D9" w:rsidRPr="00840063">
          <w:rPr>
            <w:rStyle w:val="Hyperlink"/>
            <w:noProof/>
          </w:rPr>
          <w:t>NWAU 2023–24</w:t>
        </w:r>
        <w:r w:rsidR="009619D9">
          <w:rPr>
            <w:noProof/>
            <w:webHidden/>
          </w:rPr>
          <w:tab/>
        </w:r>
        <w:r w:rsidR="009619D9">
          <w:rPr>
            <w:noProof/>
            <w:webHidden/>
          </w:rPr>
          <w:fldChar w:fldCharType="begin"/>
        </w:r>
        <w:r w:rsidR="009619D9">
          <w:rPr>
            <w:noProof/>
            <w:webHidden/>
          </w:rPr>
          <w:instrText xml:space="preserve"> PAGEREF _Toc156569679 \h </w:instrText>
        </w:r>
        <w:r w:rsidR="009619D9">
          <w:rPr>
            <w:noProof/>
            <w:webHidden/>
          </w:rPr>
        </w:r>
        <w:r w:rsidR="009619D9">
          <w:rPr>
            <w:noProof/>
            <w:webHidden/>
          </w:rPr>
          <w:fldChar w:fldCharType="separate"/>
        </w:r>
        <w:r w:rsidR="009619D9">
          <w:rPr>
            <w:noProof/>
            <w:webHidden/>
          </w:rPr>
          <w:t>78</w:t>
        </w:r>
        <w:r w:rsidR="009619D9">
          <w:rPr>
            <w:noProof/>
            <w:webHidden/>
          </w:rPr>
          <w:fldChar w:fldCharType="end"/>
        </w:r>
      </w:hyperlink>
    </w:p>
    <w:p w14:paraId="7C071B6F" w14:textId="0D01AEA2" w:rsidR="009619D9" w:rsidRDefault="00000000">
      <w:pPr>
        <w:pStyle w:val="TOC3"/>
        <w:rPr>
          <w:rFonts w:asciiTheme="minorHAnsi" w:eastAsiaTheme="minorEastAsia" w:hAnsiTheme="minorHAnsi" w:cstheme="minorBidi"/>
          <w:noProof/>
          <w:sz w:val="22"/>
          <w:szCs w:val="22"/>
          <w:lang w:eastAsia="en-AU"/>
        </w:rPr>
      </w:pPr>
      <w:hyperlink w:anchor="_Toc156569680" w:history="1">
        <w:r w:rsidR="009619D9" w:rsidRPr="00840063">
          <w:rPr>
            <w:rStyle w:val="Hyperlink"/>
            <w:noProof/>
          </w:rPr>
          <w:t>1.24.2</w:t>
        </w:r>
        <w:r w:rsidR="009619D9">
          <w:rPr>
            <w:rFonts w:asciiTheme="minorHAnsi" w:eastAsiaTheme="minorEastAsia" w:hAnsiTheme="minorHAnsi" w:cstheme="minorBidi"/>
            <w:noProof/>
            <w:sz w:val="22"/>
            <w:szCs w:val="22"/>
            <w:lang w:eastAsia="en-AU"/>
          </w:rPr>
          <w:tab/>
        </w:r>
        <w:r w:rsidR="009619D9" w:rsidRPr="00840063">
          <w:rPr>
            <w:rStyle w:val="Hyperlink"/>
            <w:noProof/>
          </w:rPr>
          <w:t>Mental health services</w:t>
        </w:r>
        <w:r w:rsidR="009619D9">
          <w:rPr>
            <w:noProof/>
            <w:webHidden/>
          </w:rPr>
          <w:tab/>
        </w:r>
        <w:r w:rsidR="009619D9">
          <w:rPr>
            <w:noProof/>
            <w:webHidden/>
          </w:rPr>
          <w:fldChar w:fldCharType="begin"/>
        </w:r>
        <w:r w:rsidR="009619D9">
          <w:rPr>
            <w:noProof/>
            <w:webHidden/>
          </w:rPr>
          <w:instrText xml:space="preserve"> PAGEREF _Toc156569680 \h </w:instrText>
        </w:r>
        <w:r w:rsidR="009619D9">
          <w:rPr>
            <w:noProof/>
            <w:webHidden/>
          </w:rPr>
        </w:r>
        <w:r w:rsidR="009619D9">
          <w:rPr>
            <w:noProof/>
            <w:webHidden/>
          </w:rPr>
          <w:fldChar w:fldCharType="separate"/>
        </w:r>
        <w:r w:rsidR="009619D9">
          <w:rPr>
            <w:noProof/>
            <w:webHidden/>
          </w:rPr>
          <w:t>79</w:t>
        </w:r>
        <w:r w:rsidR="009619D9">
          <w:rPr>
            <w:noProof/>
            <w:webHidden/>
          </w:rPr>
          <w:fldChar w:fldCharType="end"/>
        </w:r>
      </w:hyperlink>
    </w:p>
    <w:p w14:paraId="37B47220" w14:textId="352291FE" w:rsidR="009619D9" w:rsidRDefault="00000000">
      <w:pPr>
        <w:pStyle w:val="TOC3"/>
        <w:rPr>
          <w:rFonts w:asciiTheme="minorHAnsi" w:eastAsiaTheme="minorEastAsia" w:hAnsiTheme="minorHAnsi" w:cstheme="minorBidi"/>
          <w:noProof/>
          <w:sz w:val="22"/>
          <w:szCs w:val="22"/>
          <w:lang w:eastAsia="en-AU"/>
        </w:rPr>
      </w:pPr>
      <w:hyperlink w:anchor="_Toc156569681" w:history="1">
        <w:r w:rsidR="009619D9" w:rsidRPr="00840063">
          <w:rPr>
            <w:rStyle w:val="Hyperlink"/>
            <w:noProof/>
          </w:rPr>
          <w:t>1.24.3</w:t>
        </w:r>
        <w:r w:rsidR="009619D9">
          <w:rPr>
            <w:rFonts w:asciiTheme="minorHAnsi" w:eastAsiaTheme="minorEastAsia" w:hAnsiTheme="minorHAnsi" w:cstheme="minorBidi"/>
            <w:noProof/>
            <w:sz w:val="22"/>
            <w:szCs w:val="22"/>
            <w:lang w:eastAsia="en-AU"/>
          </w:rPr>
          <w:tab/>
        </w:r>
        <w:r w:rsidR="009619D9" w:rsidRPr="00840063">
          <w:rPr>
            <w:rStyle w:val="Hyperlink"/>
            <w:noProof/>
          </w:rPr>
          <w:t>Ageing, aged and home care</w:t>
        </w:r>
        <w:r w:rsidR="009619D9">
          <w:rPr>
            <w:noProof/>
            <w:webHidden/>
          </w:rPr>
          <w:tab/>
        </w:r>
        <w:r w:rsidR="009619D9">
          <w:rPr>
            <w:noProof/>
            <w:webHidden/>
          </w:rPr>
          <w:fldChar w:fldCharType="begin"/>
        </w:r>
        <w:r w:rsidR="009619D9">
          <w:rPr>
            <w:noProof/>
            <w:webHidden/>
          </w:rPr>
          <w:instrText xml:space="preserve"> PAGEREF _Toc156569681 \h </w:instrText>
        </w:r>
        <w:r w:rsidR="009619D9">
          <w:rPr>
            <w:noProof/>
            <w:webHidden/>
          </w:rPr>
        </w:r>
        <w:r w:rsidR="009619D9">
          <w:rPr>
            <w:noProof/>
            <w:webHidden/>
          </w:rPr>
          <w:fldChar w:fldCharType="separate"/>
        </w:r>
        <w:r w:rsidR="009619D9">
          <w:rPr>
            <w:noProof/>
            <w:webHidden/>
          </w:rPr>
          <w:t>81</w:t>
        </w:r>
        <w:r w:rsidR="009619D9">
          <w:rPr>
            <w:noProof/>
            <w:webHidden/>
          </w:rPr>
          <w:fldChar w:fldCharType="end"/>
        </w:r>
      </w:hyperlink>
    </w:p>
    <w:p w14:paraId="208B18C2" w14:textId="41585A76" w:rsidR="009619D9" w:rsidRDefault="00000000">
      <w:pPr>
        <w:pStyle w:val="TOC3"/>
        <w:rPr>
          <w:rFonts w:asciiTheme="minorHAnsi" w:eastAsiaTheme="minorEastAsia" w:hAnsiTheme="minorHAnsi" w:cstheme="minorBidi"/>
          <w:noProof/>
          <w:sz w:val="22"/>
          <w:szCs w:val="22"/>
          <w:lang w:eastAsia="en-AU"/>
        </w:rPr>
      </w:pPr>
      <w:hyperlink w:anchor="_Toc156569682" w:history="1">
        <w:r w:rsidR="009619D9" w:rsidRPr="00840063">
          <w:rPr>
            <w:rStyle w:val="Hyperlink"/>
            <w:noProof/>
          </w:rPr>
          <w:t>1.24.4</w:t>
        </w:r>
        <w:r w:rsidR="009619D9">
          <w:rPr>
            <w:rFonts w:asciiTheme="minorHAnsi" w:eastAsiaTheme="minorEastAsia" w:hAnsiTheme="minorHAnsi" w:cstheme="minorBidi"/>
            <w:noProof/>
            <w:sz w:val="22"/>
            <w:szCs w:val="22"/>
            <w:lang w:eastAsia="en-AU"/>
          </w:rPr>
          <w:tab/>
        </w:r>
        <w:r w:rsidR="009619D9" w:rsidRPr="00840063">
          <w:rPr>
            <w:rStyle w:val="Hyperlink"/>
            <w:noProof/>
          </w:rPr>
          <w:t>Small rural health services – ageing,  aged and home care</w:t>
        </w:r>
        <w:r w:rsidR="009619D9">
          <w:rPr>
            <w:noProof/>
            <w:webHidden/>
          </w:rPr>
          <w:tab/>
        </w:r>
        <w:r w:rsidR="009619D9">
          <w:rPr>
            <w:noProof/>
            <w:webHidden/>
          </w:rPr>
          <w:fldChar w:fldCharType="begin"/>
        </w:r>
        <w:r w:rsidR="009619D9">
          <w:rPr>
            <w:noProof/>
            <w:webHidden/>
          </w:rPr>
          <w:instrText xml:space="preserve"> PAGEREF _Toc156569682 \h </w:instrText>
        </w:r>
        <w:r w:rsidR="009619D9">
          <w:rPr>
            <w:noProof/>
            <w:webHidden/>
          </w:rPr>
        </w:r>
        <w:r w:rsidR="009619D9">
          <w:rPr>
            <w:noProof/>
            <w:webHidden/>
          </w:rPr>
          <w:fldChar w:fldCharType="separate"/>
        </w:r>
        <w:r w:rsidR="009619D9">
          <w:rPr>
            <w:noProof/>
            <w:webHidden/>
          </w:rPr>
          <w:t>83</w:t>
        </w:r>
        <w:r w:rsidR="009619D9">
          <w:rPr>
            <w:noProof/>
            <w:webHidden/>
          </w:rPr>
          <w:fldChar w:fldCharType="end"/>
        </w:r>
      </w:hyperlink>
    </w:p>
    <w:p w14:paraId="134189DE" w14:textId="372684E3" w:rsidR="009619D9" w:rsidRDefault="00000000">
      <w:pPr>
        <w:pStyle w:val="TOC3"/>
        <w:rPr>
          <w:rFonts w:asciiTheme="minorHAnsi" w:eastAsiaTheme="minorEastAsia" w:hAnsiTheme="minorHAnsi" w:cstheme="minorBidi"/>
          <w:noProof/>
          <w:sz w:val="22"/>
          <w:szCs w:val="22"/>
          <w:lang w:eastAsia="en-AU"/>
        </w:rPr>
      </w:pPr>
      <w:hyperlink w:anchor="_Toc156569683" w:history="1">
        <w:r w:rsidR="009619D9" w:rsidRPr="00840063">
          <w:rPr>
            <w:rStyle w:val="Hyperlink"/>
            <w:noProof/>
          </w:rPr>
          <w:t>1.24.5</w:t>
        </w:r>
        <w:r w:rsidR="009619D9">
          <w:rPr>
            <w:rFonts w:asciiTheme="minorHAnsi" w:eastAsiaTheme="minorEastAsia" w:hAnsiTheme="minorHAnsi" w:cstheme="minorBidi"/>
            <w:noProof/>
            <w:sz w:val="22"/>
            <w:szCs w:val="22"/>
            <w:lang w:eastAsia="en-AU"/>
          </w:rPr>
          <w:tab/>
        </w:r>
        <w:r w:rsidR="009619D9" w:rsidRPr="00840063">
          <w:rPr>
            <w:rStyle w:val="Hyperlink"/>
            <w:noProof/>
          </w:rPr>
          <w:t>Primary, community and dental health output group</w:t>
        </w:r>
        <w:r w:rsidR="009619D9">
          <w:rPr>
            <w:noProof/>
            <w:webHidden/>
          </w:rPr>
          <w:tab/>
        </w:r>
        <w:r w:rsidR="009619D9">
          <w:rPr>
            <w:noProof/>
            <w:webHidden/>
          </w:rPr>
          <w:fldChar w:fldCharType="begin"/>
        </w:r>
        <w:r w:rsidR="009619D9">
          <w:rPr>
            <w:noProof/>
            <w:webHidden/>
          </w:rPr>
          <w:instrText xml:space="preserve"> PAGEREF _Toc156569683 \h </w:instrText>
        </w:r>
        <w:r w:rsidR="009619D9">
          <w:rPr>
            <w:noProof/>
            <w:webHidden/>
          </w:rPr>
        </w:r>
        <w:r w:rsidR="009619D9">
          <w:rPr>
            <w:noProof/>
            <w:webHidden/>
          </w:rPr>
          <w:fldChar w:fldCharType="separate"/>
        </w:r>
        <w:r w:rsidR="009619D9">
          <w:rPr>
            <w:noProof/>
            <w:webHidden/>
          </w:rPr>
          <w:t>84</w:t>
        </w:r>
        <w:r w:rsidR="009619D9">
          <w:rPr>
            <w:noProof/>
            <w:webHidden/>
          </w:rPr>
          <w:fldChar w:fldCharType="end"/>
        </w:r>
      </w:hyperlink>
    </w:p>
    <w:p w14:paraId="5452D6C0" w14:textId="1F87EF97" w:rsidR="009619D9" w:rsidRDefault="00000000">
      <w:pPr>
        <w:pStyle w:val="TOC3"/>
        <w:rPr>
          <w:rFonts w:asciiTheme="minorHAnsi" w:eastAsiaTheme="minorEastAsia" w:hAnsiTheme="minorHAnsi" w:cstheme="minorBidi"/>
          <w:noProof/>
          <w:sz w:val="22"/>
          <w:szCs w:val="22"/>
          <w:lang w:eastAsia="en-AU"/>
        </w:rPr>
      </w:pPr>
      <w:hyperlink w:anchor="_Toc156569684" w:history="1">
        <w:r w:rsidR="009619D9" w:rsidRPr="00840063">
          <w:rPr>
            <w:rStyle w:val="Hyperlink"/>
            <w:noProof/>
          </w:rPr>
          <w:t>1.24.6</w:t>
        </w:r>
        <w:r w:rsidR="009619D9">
          <w:rPr>
            <w:rFonts w:asciiTheme="minorHAnsi" w:eastAsiaTheme="minorEastAsia" w:hAnsiTheme="minorHAnsi" w:cstheme="minorBidi"/>
            <w:noProof/>
            <w:sz w:val="22"/>
            <w:szCs w:val="22"/>
            <w:lang w:eastAsia="en-AU"/>
          </w:rPr>
          <w:tab/>
        </w:r>
        <w:r w:rsidR="009619D9" w:rsidRPr="00840063">
          <w:rPr>
            <w:rStyle w:val="Hyperlink"/>
            <w:noProof/>
          </w:rPr>
          <w:t>Training and development</w:t>
        </w:r>
        <w:r w:rsidR="009619D9">
          <w:rPr>
            <w:noProof/>
            <w:webHidden/>
          </w:rPr>
          <w:tab/>
        </w:r>
        <w:r w:rsidR="009619D9">
          <w:rPr>
            <w:noProof/>
            <w:webHidden/>
          </w:rPr>
          <w:fldChar w:fldCharType="begin"/>
        </w:r>
        <w:r w:rsidR="009619D9">
          <w:rPr>
            <w:noProof/>
            <w:webHidden/>
          </w:rPr>
          <w:instrText xml:space="preserve"> PAGEREF _Toc156569684 \h </w:instrText>
        </w:r>
        <w:r w:rsidR="009619D9">
          <w:rPr>
            <w:noProof/>
            <w:webHidden/>
          </w:rPr>
        </w:r>
        <w:r w:rsidR="009619D9">
          <w:rPr>
            <w:noProof/>
            <w:webHidden/>
          </w:rPr>
          <w:fldChar w:fldCharType="separate"/>
        </w:r>
        <w:r w:rsidR="009619D9">
          <w:rPr>
            <w:noProof/>
            <w:webHidden/>
          </w:rPr>
          <w:t>85</w:t>
        </w:r>
        <w:r w:rsidR="009619D9">
          <w:rPr>
            <w:noProof/>
            <w:webHidden/>
          </w:rPr>
          <w:fldChar w:fldCharType="end"/>
        </w:r>
      </w:hyperlink>
    </w:p>
    <w:p w14:paraId="09055A12" w14:textId="03D395FF" w:rsidR="009619D9" w:rsidRDefault="00000000">
      <w:pPr>
        <w:pStyle w:val="TOC2"/>
        <w:rPr>
          <w:rFonts w:asciiTheme="minorHAnsi" w:eastAsiaTheme="minorEastAsia" w:hAnsiTheme="minorHAnsi" w:cstheme="minorBidi"/>
          <w:b w:val="0"/>
          <w:bCs w:val="0"/>
          <w:sz w:val="22"/>
          <w:szCs w:val="22"/>
          <w:lang w:eastAsia="en-AU"/>
        </w:rPr>
      </w:pPr>
      <w:hyperlink w:anchor="_Toc156569685" w:history="1">
        <w:r w:rsidR="009619D9" w:rsidRPr="00840063">
          <w:rPr>
            <w:rStyle w:val="Hyperlink"/>
          </w:rPr>
          <w:t>1.25</w:t>
        </w:r>
        <w:r w:rsidR="009619D9">
          <w:rPr>
            <w:rFonts w:asciiTheme="minorHAnsi" w:eastAsiaTheme="minorEastAsia" w:hAnsiTheme="minorHAnsi" w:cstheme="minorBidi"/>
            <w:b w:val="0"/>
            <w:bCs w:val="0"/>
            <w:sz w:val="22"/>
            <w:szCs w:val="22"/>
            <w:lang w:eastAsia="en-AU"/>
          </w:rPr>
          <w:tab/>
        </w:r>
        <w:r w:rsidR="009619D9" w:rsidRPr="00840063">
          <w:rPr>
            <w:rStyle w:val="Hyperlink"/>
          </w:rPr>
          <w:t>Price groups for NWAU purposes</w:t>
        </w:r>
        <w:r w:rsidR="009619D9">
          <w:rPr>
            <w:webHidden/>
          </w:rPr>
          <w:tab/>
        </w:r>
        <w:r w:rsidR="009619D9">
          <w:rPr>
            <w:webHidden/>
          </w:rPr>
          <w:fldChar w:fldCharType="begin"/>
        </w:r>
        <w:r w:rsidR="009619D9">
          <w:rPr>
            <w:webHidden/>
          </w:rPr>
          <w:instrText xml:space="preserve"> PAGEREF _Toc156569685 \h </w:instrText>
        </w:r>
        <w:r w:rsidR="009619D9">
          <w:rPr>
            <w:webHidden/>
          </w:rPr>
        </w:r>
        <w:r w:rsidR="009619D9">
          <w:rPr>
            <w:webHidden/>
          </w:rPr>
          <w:fldChar w:fldCharType="separate"/>
        </w:r>
        <w:r w:rsidR="009619D9">
          <w:rPr>
            <w:webHidden/>
          </w:rPr>
          <w:t>86</w:t>
        </w:r>
        <w:r w:rsidR="009619D9">
          <w:rPr>
            <w:webHidden/>
          </w:rPr>
          <w:fldChar w:fldCharType="end"/>
        </w:r>
      </w:hyperlink>
    </w:p>
    <w:p w14:paraId="2D5D219B" w14:textId="6A62CA76" w:rsidR="009619D9" w:rsidRDefault="00000000">
      <w:pPr>
        <w:pStyle w:val="TOC2"/>
        <w:rPr>
          <w:rFonts w:asciiTheme="minorHAnsi" w:eastAsiaTheme="minorEastAsia" w:hAnsiTheme="minorHAnsi" w:cstheme="minorBidi"/>
          <w:b w:val="0"/>
          <w:bCs w:val="0"/>
          <w:sz w:val="22"/>
          <w:szCs w:val="22"/>
          <w:lang w:eastAsia="en-AU"/>
        </w:rPr>
      </w:pPr>
      <w:hyperlink w:anchor="_Toc156569686" w:history="1">
        <w:r w:rsidR="009619D9" w:rsidRPr="00840063">
          <w:rPr>
            <w:rStyle w:val="Hyperlink"/>
          </w:rPr>
          <w:t>1.26</w:t>
        </w:r>
        <w:r w:rsidR="009619D9">
          <w:rPr>
            <w:rFonts w:asciiTheme="minorHAnsi" w:eastAsiaTheme="minorEastAsia" w:hAnsiTheme="minorHAnsi" w:cstheme="minorBidi"/>
            <w:b w:val="0"/>
            <w:bCs w:val="0"/>
            <w:sz w:val="22"/>
            <w:szCs w:val="22"/>
            <w:lang w:eastAsia="en-AU"/>
          </w:rPr>
          <w:tab/>
        </w:r>
        <w:r w:rsidR="009619D9" w:rsidRPr="00840063">
          <w:rPr>
            <w:rStyle w:val="Hyperlink"/>
          </w:rPr>
          <w:t>Output and activity tables</w:t>
        </w:r>
        <w:r w:rsidR="009619D9">
          <w:rPr>
            <w:webHidden/>
          </w:rPr>
          <w:tab/>
        </w:r>
        <w:r w:rsidR="009619D9">
          <w:rPr>
            <w:webHidden/>
          </w:rPr>
          <w:fldChar w:fldCharType="begin"/>
        </w:r>
        <w:r w:rsidR="009619D9">
          <w:rPr>
            <w:webHidden/>
          </w:rPr>
          <w:instrText xml:space="preserve"> PAGEREF _Toc156569686 \h </w:instrText>
        </w:r>
        <w:r w:rsidR="009619D9">
          <w:rPr>
            <w:webHidden/>
          </w:rPr>
        </w:r>
        <w:r w:rsidR="009619D9">
          <w:rPr>
            <w:webHidden/>
          </w:rPr>
          <w:fldChar w:fldCharType="separate"/>
        </w:r>
        <w:r w:rsidR="009619D9">
          <w:rPr>
            <w:webHidden/>
          </w:rPr>
          <w:t>88</w:t>
        </w:r>
        <w:r w:rsidR="009619D9">
          <w:rPr>
            <w:webHidden/>
          </w:rPr>
          <w:fldChar w:fldCharType="end"/>
        </w:r>
      </w:hyperlink>
    </w:p>
    <w:p w14:paraId="68DF1292" w14:textId="6B2E3717" w:rsidR="009619D9" w:rsidRDefault="00000000">
      <w:pPr>
        <w:pStyle w:val="TOC1"/>
        <w:tabs>
          <w:tab w:val="left" w:pos="794"/>
        </w:tabs>
        <w:rPr>
          <w:rFonts w:asciiTheme="minorHAnsi" w:eastAsiaTheme="minorEastAsia" w:hAnsiTheme="minorHAnsi" w:cstheme="minorBidi"/>
          <w:b w:val="0"/>
          <w:sz w:val="22"/>
          <w:szCs w:val="22"/>
          <w:lang w:eastAsia="en-AU"/>
        </w:rPr>
      </w:pPr>
      <w:hyperlink w:anchor="_Toc156569687" w:history="1">
        <w:r w:rsidR="009619D9" w:rsidRPr="00840063">
          <w:rPr>
            <w:rStyle w:val="Hyperlink"/>
          </w:rPr>
          <w:t>2</w:t>
        </w:r>
        <w:r w:rsidR="009619D9">
          <w:rPr>
            <w:rFonts w:asciiTheme="minorHAnsi" w:eastAsiaTheme="minorEastAsia" w:hAnsiTheme="minorHAnsi" w:cstheme="minorBidi"/>
            <w:b w:val="0"/>
            <w:sz w:val="22"/>
            <w:szCs w:val="22"/>
            <w:lang w:eastAsia="en-AU"/>
          </w:rPr>
          <w:tab/>
        </w:r>
        <w:r w:rsidR="009619D9" w:rsidRPr="00840063">
          <w:rPr>
            <w:rStyle w:val="Hyperlink"/>
          </w:rPr>
          <w:t>Funding and activity levels</w:t>
        </w:r>
        <w:r w:rsidR="009619D9">
          <w:rPr>
            <w:webHidden/>
          </w:rPr>
          <w:tab/>
        </w:r>
        <w:r w:rsidR="009619D9">
          <w:rPr>
            <w:webHidden/>
          </w:rPr>
          <w:fldChar w:fldCharType="begin"/>
        </w:r>
        <w:r w:rsidR="009619D9">
          <w:rPr>
            <w:webHidden/>
          </w:rPr>
          <w:instrText xml:space="preserve"> PAGEREF _Toc156569687 \h </w:instrText>
        </w:r>
        <w:r w:rsidR="009619D9">
          <w:rPr>
            <w:webHidden/>
          </w:rPr>
        </w:r>
        <w:r w:rsidR="009619D9">
          <w:rPr>
            <w:webHidden/>
          </w:rPr>
          <w:fldChar w:fldCharType="separate"/>
        </w:r>
        <w:r w:rsidR="009619D9">
          <w:rPr>
            <w:webHidden/>
          </w:rPr>
          <w:t>108</w:t>
        </w:r>
        <w:r w:rsidR="009619D9">
          <w:rPr>
            <w:webHidden/>
          </w:rPr>
          <w:fldChar w:fldCharType="end"/>
        </w:r>
      </w:hyperlink>
    </w:p>
    <w:p w14:paraId="50D84E05" w14:textId="711B354B" w:rsidR="009619D9" w:rsidRDefault="00000000">
      <w:pPr>
        <w:pStyle w:val="TOC2"/>
        <w:rPr>
          <w:rFonts w:asciiTheme="minorHAnsi" w:eastAsiaTheme="minorEastAsia" w:hAnsiTheme="minorHAnsi" w:cstheme="minorBidi"/>
          <w:b w:val="0"/>
          <w:bCs w:val="0"/>
          <w:sz w:val="22"/>
          <w:szCs w:val="22"/>
          <w:lang w:eastAsia="en-AU"/>
        </w:rPr>
      </w:pPr>
      <w:hyperlink w:anchor="_Toc156569688" w:history="1">
        <w:r w:rsidR="009619D9" w:rsidRPr="00840063">
          <w:rPr>
            <w:rStyle w:val="Hyperlink"/>
          </w:rPr>
          <w:t>2.1</w:t>
        </w:r>
        <w:r w:rsidR="009619D9">
          <w:rPr>
            <w:rFonts w:asciiTheme="minorHAnsi" w:eastAsiaTheme="minorEastAsia" w:hAnsiTheme="minorHAnsi" w:cstheme="minorBidi"/>
            <w:b w:val="0"/>
            <w:bCs w:val="0"/>
            <w:sz w:val="22"/>
            <w:szCs w:val="22"/>
            <w:lang w:eastAsia="en-AU"/>
          </w:rPr>
          <w:tab/>
        </w:r>
        <w:r w:rsidR="009619D9" w:rsidRPr="00840063">
          <w:rPr>
            <w:rStyle w:val="Hyperlink"/>
          </w:rPr>
          <w:t>Budget tables</w:t>
        </w:r>
        <w:r w:rsidR="009619D9">
          <w:rPr>
            <w:webHidden/>
          </w:rPr>
          <w:tab/>
        </w:r>
        <w:r w:rsidR="009619D9">
          <w:rPr>
            <w:webHidden/>
          </w:rPr>
          <w:fldChar w:fldCharType="begin"/>
        </w:r>
        <w:r w:rsidR="009619D9">
          <w:rPr>
            <w:webHidden/>
          </w:rPr>
          <w:instrText xml:space="preserve"> PAGEREF _Toc156569688 \h </w:instrText>
        </w:r>
        <w:r w:rsidR="009619D9">
          <w:rPr>
            <w:webHidden/>
          </w:rPr>
        </w:r>
        <w:r w:rsidR="009619D9">
          <w:rPr>
            <w:webHidden/>
          </w:rPr>
          <w:fldChar w:fldCharType="separate"/>
        </w:r>
        <w:r w:rsidR="009619D9">
          <w:rPr>
            <w:webHidden/>
          </w:rPr>
          <w:t>109</w:t>
        </w:r>
        <w:r w:rsidR="009619D9">
          <w:rPr>
            <w:webHidden/>
          </w:rPr>
          <w:fldChar w:fldCharType="end"/>
        </w:r>
      </w:hyperlink>
    </w:p>
    <w:p w14:paraId="1535EDA3" w14:textId="703A7921" w:rsidR="009619D9" w:rsidRDefault="00000000">
      <w:pPr>
        <w:pStyle w:val="TOC3"/>
        <w:rPr>
          <w:rFonts w:asciiTheme="minorHAnsi" w:eastAsiaTheme="minorEastAsia" w:hAnsiTheme="minorHAnsi" w:cstheme="minorBidi"/>
          <w:noProof/>
          <w:sz w:val="22"/>
          <w:szCs w:val="22"/>
          <w:lang w:eastAsia="en-AU"/>
        </w:rPr>
      </w:pPr>
      <w:hyperlink w:anchor="_Toc156569689" w:history="1">
        <w:r w:rsidR="009619D9" w:rsidRPr="00840063">
          <w:rPr>
            <w:rStyle w:val="Hyperlink"/>
            <w:noProof/>
          </w:rPr>
          <w:t>2.1.1</w:t>
        </w:r>
        <w:r w:rsidR="009619D9">
          <w:rPr>
            <w:rFonts w:asciiTheme="minorHAnsi" w:eastAsiaTheme="minorEastAsia" w:hAnsiTheme="minorHAnsi" w:cstheme="minorBidi"/>
            <w:noProof/>
            <w:sz w:val="22"/>
            <w:szCs w:val="22"/>
            <w:lang w:eastAsia="en-AU"/>
          </w:rPr>
          <w:tab/>
        </w:r>
        <w:r w:rsidR="009619D9" w:rsidRPr="00840063">
          <w:rPr>
            <w:rStyle w:val="Hyperlink"/>
            <w:noProof/>
          </w:rPr>
          <w:t>Health service modelled budgets 2022–23 and 2023–24</w:t>
        </w:r>
        <w:r w:rsidR="009619D9">
          <w:rPr>
            <w:noProof/>
            <w:webHidden/>
          </w:rPr>
          <w:tab/>
        </w:r>
        <w:r w:rsidR="009619D9">
          <w:rPr>
            <w:noProof/>
            <w:webHidden/>
          </w:rPr>
          <w:fldChar w:fldCharType="begin"/>
        </w:r>
        <w:r w:rsidR="009619D9">
          <w:rPr>
            <w:noProof/>
            <w:webHidden/>
          </w:rPr>
          <w:instrText xml:space="preserve"> PAGEREF _Toc156569689 \h </w:instrText>
        </w:r>
        <w:r w:rsidR="009619D9">
          <w:rPr>
            <w:noProof/>
            <w:webHidden/>
          </w:rPr>
        </w:r>
        <w:r w:rsidR="009619D9">
          <w:rPr>
            <w:noProof/>
            <w:webHidden/>
          </w:rPr>
          <w:fldChar w:fldCharType="separate"/>
        </w:r>
        <w:r w:rsidR="009619D9">
          <w:rPr>
            <w:noProof/>
            <w:webHidden/>
          </w:rPr>
          <w:t>109</w:t>
        </w:r>
        <w:r w:rsidR="009619D9">
          <w:rPr>
            <w:noProof/>
            <w:webHidden/>
          </w:rPr>
          <w:fldChar w:fldCharType="end"/>
        </w:r>
      </w:hyperlink>
    </w:p>
    <w:p w14:paraId="50EA3532" w14:textId="197493A6" w:rsidR="009619D9" w:rsidRDefault="00000000">
      <w:pPr>
        <w:pStyle w:val="TOC3"/>
        <w:rPr>
          <w:rFonts w:asciiTheme="minorHAnsi" w:eastAsiaTheme="minorEastAsia" w:hAnsiTheme="minorHAnsi" w:cstheme="minorBidi"/>
          <w:noProof/>
          <w:sz w:val="22"/>
          <w:szCs w:val="22"/>
          <w:lang w:eastAsia="en-AU"/>
        </w:rPr>
      </w:pPr>
      <w:hyperlink w:anchor="_Toc156569690" w:history="1">
        <w:r w:rsidR="009619D9" w:rsidRPr="00840063">
          <w:rPr>
            <w:rStyle w:val="Hyperlink"/>
            <w:noProof/>
          </w:rPr>
          <w:t>2.1.2</w:t>
        </w:r>
        <w:r w:rsidR="009619D9">
          <w:rPr>
            <w:rFonts w:asciiTheme="minorHAnsi" w:eastAsiaTheme="minorEastAsia" w:hAnsiTheme="minorHAnsi" w:cstheme="minorBidi"/>
            <w:noProof/>
            <w:sz w:val="22"/>
            <w:szCs w:val="22"/>
            <w:lang w:eastAsia="en-AU"/>
          </w:rPr>
          <w:tab/>
        </w:r>
        <w:r w:rsidR="009619D9" w:rsidRPr="00840063">
          <w:rPr>
            <w:rStyle w:val="Hyperlink"/>
            <w:noProof/>
          </w:rPr>
          <w:t>Small rural health services expenditure budgets 2022–23 and 2023–24</w:t>
        </w:r>
        <w:r w:rsidR="009619D9">
          <w:rPr>
            <w:noProof/>
            <w:webHidden/>
          </w:rPr>
          <w:tab/>
        </w:r>
        <w:r w:rsidR="009619D9">
          <w:rPr>
            <w:noProof/>
            <w:webHidden/>
          </w:rPr>
          <w:fldChar w:fldCharType="begin"/>
        </w:r>
        <w:r w:rsidR="009619D9">
          <w:rPr>
            <w:noProof/>
            <w:webHidden/>
          </w:rPr>
          <w:instrText xml:space="preserve"> PAGEREF _Toc156569690 \h </w:instrText>
        </w:r>
        <w:r w:rsidR="009619D9">
          <w:rPr>
            <w:noProof/>
            <w:webHidden/>
          </w:rPr>
        </w:r>
        <w:r w:rsidR="009619D9">
          <w:rPr>
            <w:noProof/>
            <w:webHidden/>
          </w:rPr>
          <w:fldChar w:fldCharType="separate"/>
        </w:r>
        <w:r w:rsidR="009619D9">
          <w:rPr>
            <w:noProof/>
            <w:webHidden/>
          </w:rPr>
          <w:t>112</w:t>
        </w:r>
        <w:r w:rsidR="009619D9">
          <w:rPr>
            <w:noProof/>
            <w:webHidden/>
          </w:rPr>
          <w:fldChar w:fldCharType="end"/>
        </w:r>
      </w:hyperlink>
    </w:p>
    <w:p w14:paraId="440794BB" w14:textId="7CEDDD0F" w:rsidR="009619D9" w:rsidRDefault="00000000">
      <w:pPr>
        <w:pStyle w:val="TOC3"/>
        <w:rPr>
          <w:rFonts w:asciiTheme="minorHAnsi" w:eastAsiaTheme="minorEastAsia" w:hAnsiTheme="minorHAnsi" w:cstheme="minorBidi"/>
          <w:noProof/>
          <w:sz w:val="22"/>
          <w:szCs w:val="22"/>
          <w:lang w:eastAsia="en-AU"/>
        </w:rPr>
      </w:pPr>
      <w:hyperlink w:anchor="_Toc156569691" w:history="1">
        <w:r w:rsidR="009619D9" w:rsidRPr="00840063">
          <w:rPr>
            <w:rStyle w:val="Hyperlink"/>
            <w:noProof/>
          </w:rPr>
          <w:t>2.1.3</w:t>
        </w:r>
        <w:r w:rsidR="009619D9">
          <w:rPr>
            <w:rFonts w:asciiTheme="minorHAnsi" w:eastAsiaTheme="minorEastAsia" w:hAnsiTheme="minorHAnsi" w:cstheme="minorBidi"/>
            <w:noProof/>
            <w:sz w:val="22"/>
            <w:szCs w:val="22"/>
            <w:lang w:eastAsia="en-AU"/>
          </w:rPr>
          <w:tab/>
        </w:r>
        <w:r w:rsidR="009619D9" w:rsidRPr="00840063">
          <w:rPr>
            <w:rStyle w:val="Hyperlink"/>
            <w:noProof/>
          </w:rPr>
          <w:t>Activity-based funding: health service expenditure budgets 2022–23 and 2023–24 by service category</w:t>
        </w:r>
        <w:r w:rsidR="009619D9">
          <w:rPr>
            <w:noProof/>
            <w:webHidden/>
          </w:rPr>
          <w:tab/>
        </w:r>
        <w:r w:rsidR="009619D9">
          <w:rPr>
            <w:noProof/>
            <w:webHidden/>
          </w:rPr>
          <w:fldChar w:fldCharType="begin"/>
        </w:r>
        <w:r w:rsidR="009619D9">
          <w:rPr>
            <w:noProof/>
            <w:webHidden/>
          </w:rPr>
          <w:instrText xml:space="preserve"> PAGEREF _Toc156569691 \h </w:instrText>
        </w:r>
        <w:r w:rsidR="009619D9">
          <w:rPr>
            <w:noProof/>
            <w:webHidden/>
          </w:rPr>
        </w:r>
        <w:r w:rsidR="009619D9">
          <w:rPr>
            <w:noProof/>
            <w:webHidden/>
          </w:rPr>
          <w:fldChar w:fldCharType="separate"/>
        </w:r>
        <w:r w:rsidR="009619D9">
          <w:rPr>
            <w:noProof/>
            <w:webHidden/>
          </w:rPr>
          <w:t>114</w:t>
        </w:r>
        <w:r w:rsidR="009619D9">
          <w:rPr>
            <w:noProof/>
            <w:webHidden/>
          </w:rPr>
          <w:fldChar w:fldCharType="end"/>
        </w:r>
      </w:hyperlink>
    </w:p>
    <w:p w14:paraId="71E1B467" w14:textId="3ED78B78" w:rsidR="009619D9" w:rsidRDefault="00000000">
      <w:pPr>
        <w:pStyle w:val="TOC3"/>
        <w:rPr>
          <w:rFonts w:asciiTheme="minorHAnsi" w:eastAsiaTheme="minorEastAsia" w:hAnsiTheme="minorHAnsi" w:cstheme="minorBidi"/>
          <w:noProof/>
          <w:sz w:val="22"/>
          <w:szCs w:val="22"/>
          <w:lang w:eastAsia="en-AU"/>
        </w:rPr>
      </w:pPr>
      <w:hyperlink w:anchor="_Toc156569692" w:history="1">
        <w:r w:rsidR="009619D9" w:rsidRPr="00840063">
          <w:rPr>
            <w:rStyle w:val="Hyperlink"/>
            <w:noProof/>
          </w:rPr>
          <w:t>2.1.4</w:t>
        </w:r>
        <w:r w:rsidR="009619D9">
          <w:rPr>
            <w:rFonts w:asciiTheme="minorHAnsi" w:eastAsiaTheme="minorEastAsia" w:hAnsiTheme="minorHAnsi" w:cstheme="minorBidi"/>
            <w:noProof/>
            <w:sz w:val="22"/>
            <w:szCs w:val="22"/>
            <w:lang w:eastAsia="en-AU"/>
          </w:rPr>
          <w:tab/>
        </w:r>
        <w:r w:rsidR="009619D9" w:rsidRPr="00840063">
          <w:rPr>
            <w:rStyle w:val="Hyperlink"/>
            <w:noProof/>
          </w:rPr>
          <w:t>Mental health expenditure budgets 2022–23 and 2023–24 by service type</w:t>
        </w:r>
        <w:r w:rsidR="009619D9">
          <w:rPr>
            <w:noProof/>
            <w:webHidden/>
          </w:rPr>
          <w:tab/>
        </w:r>
        <w:r w:rsidR="009619D9">
          <w:rPr>
            <w:noProof/>
            <w:webHidden/>
          </w:rPr>
          <w:fldChar w:fldCharType="begin"/>
        </w:r>
        <w:r w:rsidR="009619D9">
          <w:rPr>
            <w:noProof/>
            <w:webHidden/>
          </w:rPr>
          <w:instrText xml:space="preserve"> PAGEREF _Toc156569692 \h </w:instrText>
        </w:r>
        <w:r w:rsidR="009619D9">
          <w:rPr>
            <w:noProof/>
            <w:webHidden/>
          </w:rPr>
        </w:r>
        <w:r w:rsidR="009619D9">
          <w:rPr>
            <w:noProof/>
            <w:webHidden/>
          </w:rPr>
          <w:fldChar w:fldCharType="separate"/>
        </w:r>
        <w:r w:rsidR="009619D9">
          <w:rPr>
            <w:noProof/>
            <w:webHidden/>
          </w:rPr>
          <w:t>117</w:t>
        </w:r>
        <w:r w:rsidR="009619D9">
          <w:rPr>
            <w:noProof/>
            <w:webHidden/>
          </w:rPr>
          <w:fldChar w:fldCharType="end"/>
        </w:r>
      </w:hyperlink>
    </w:p>
    <w:p w14:paraId="7AD2D7E3" w14:textId="0ACA41B1" w:rsidR="009619D9" w:rsidRDefault="00000000">
      <w:pPr>
        <w:pStyle w:val="TOC3"/>
        <w:rPr>
          <w:rFonts w:asciiTheme="minorHAnsi" w:eastAsiaTheme="minorEastAsia" w:hAnsiTheme="minorHAnsi" w:cstheme="minorBidi"/>
          <w:noProof/>
          <w:sz w:val="22"/>
          <w:szCs w:val="22"/>
          <w:lang w:eastAsia="en-AU"/>
        </w:rPr>
      </w:pPr>
      <w:hyperlink w:anchor="_Toc156569693" w:history="1">
        <w:r w:rsidR="009619D9" w:rsidRPr="00840063">
          <w:rPr>
            <w:rStyle w:val="Hyperlink"/>
            <w:noProof/>
          </w:rPr>
          <w:t>2.1.5</w:t>
        </w:r>
        <w:r w:rsidR="009619D9">
          <w:rPr>
            <w:rFonts w:asciiTheme="minorHAnsi" w:eastAsiaTheme="minorEastAsia" w:hAnsiTheme="minorHAnsi" w:cstheme="minorBidi"/>
            <w:noProof/>
            <w:sz w:val="22"/>
            <w:szCs w:val="22"/>
            <w:lang w:eastAsia="en-AU"/>
          </w:rPr>
          <w:tab/>
        </w:r>
        <w:r w:rsidR="009619D9" w:rsidRPr="00840063">
          <w:rPr>
            <w:rStyle w:val="Hyperlink"/>
            <w:noProof/>
          </w:rPr>
          <w:t>Registered Community Health Centres Budgets 2022–23 and 2023–24</w:t>
        </w:r>
        <w:r w:rsidR="009619D9">
          <w:rPr>
            <w:noProof/>
            <w:webHidden/>
          </w:rPr>
          <w:tab/>
        </w:r>
        <w:r w:rsidR="009619D9">
          <w:rPr>
            <w:noProof/>
            <w:webHidden/>
          </w:rPr>
          <w:fldChar w:fldCharType="begin"/>
        </w:r>
        <w:r w:rsidR="009619D9">
          <w:rPr>
            <w:noProof/>
            <w:webHidden/>
          </w:rPr>
          <w:instrText xml:space="preserve"> PAGEREF _Toc156569693 \h </w:instrText>
        </w:r>
        <w:r w:rsidR="009619D9">
          <w:rPr>
            <w:noProof/>
            <w:webHidden/>
          </w:rPr>
        </w:r>
        <w:r w:rsidR="009619D9">
          <w:rPr>
            <w:noProof/>
            <w:webHidden/>
          </w:rPr>
          <w:fldChar w:fldCharType="separate"/>
        </w:r>
        <w:r w:rsidR="009619D9">
          <w:rPr>
            <w:noProof/>
            <w:webHidden/>
          </w:rPr>
          <w:t>120</w:t>
        </w:r>
        <w:r w:rsidR="009619D9">
          <w:rPr>
            <w:noProof/>
            <w:webHidden/>
          </w:rPr>
          <w:fldChar w:fldCharType="end"/>
        </w:r>
      </w:hyperlink>
    </w:p>
    <w:p w14:paraId="05B12511" w14:textId="59CF865A" w:rsidR="009619D9" w:rsidRDefault="00000000">
      <w:pPr>
        <w:pStyle w:val="TOC3"/>
        <w:rPr>
          <w:rFonts w:asciiTheme="minorHAnsi" w:eastAsiaTheme="minorEastAsia" w:hAnsiTheme="minorHAnsi" w:cstheme="minorBidi"/>
          <w:noProof/>
          <w:sz w:val="22"/>
          <w:szCs w:val="22"/>
          <w:lang w:eastAsia="en-AU"/>
        </w:rPr>
      </w:pPr>
      <w:hyperlink w:anchor="_Toc156569694" w:history="1">
        <w:r w:rsidR="009619D9" w:rsidRPr="00840063">
          <w:rPr>
            <w:rStyle w:val="Hyperlink"/>
            <w:noProof/>
          </w:rPr>
          <w:t>2.1.6</w:t>
        </w:r>
        <w:r w:rsidR="009619D9">
          <w:rPr>
            <w:rFonts w:asciiTheme="minorHAnsi" w:eastAsiaTheme="minorEastAsia" w:hAnsiTheme="minorHAnsi" w:cstheme="minorBidi"/>
            <w:noProof/>
            <w:sz w:val="22"/>
            <w:szCs w:val="22"/>
            <w:lang w:eastAsia="en-AU"/>
          </w:rPr>
          <w:tab/>
        </w:r>
        <w:r w:rsidR="009619D9" w:rsidRPr="00840063">
          <w:rPr>
            <w:rStyle w:val="Hyperlink"/>
            <w:noProof/>
          </w:rPr>
          <w:t>Local government authorities 2022–23 and 2023–24</w:t>
        </w:r>
        <w:r w:rsidR="009619D9">
          <w:rPr>
            <w:noProof/>
            <w:webHidden/>
          </w:rPr>
          <w:tab/>
        </w:r>
        <w:r w:rsidR="009619D9">
          <w:rPr>
            <w:noProof/>
            <w:webHidden/>
          </w:rPr>
          <w:fldChar w:fldCharType="begin"/>
        </w:r>
        <w:r w:rsidR="009619D9">
          <w:rPr>
            <w:noProof/>
            <w:webHidden/>
          </w:rPr>
          <w:instrText xml:space="preserve"> PAGEREF _Toc156569694 \h </w:instrText>
        </w:r>
        <w:r w:rsidR="009619D9">
          <w:rPr>
            <w:noProof/>
            <w:webHidden/>
          </w:rPr>
        </w:r>
        <w:r w:rsidR="009619D9">
          <w:rPr>
            <w:noProof/>
            <w:webHidden/>
          </w:rPr>
          <w:fldChar w:fldCharType="separate"/>
        </w:r>
        <w:r w:rsidR="009619D9">
          <w:rPr>
            <w:noProof/>
            <w:webHidden/>
          </w:rPr>
          <w:t>122</w:t>
        </w:r>
        <w:r w:rsidR="009619D9">
          <w:rPr>
            <w:noProof/>
            <w:webHidden/>
          </w:rPr>
          <w:fldChar w:fldCharType="end"/>
        </w:r>
      </w:hyperlink>
    </w:p>
    <w:p w14:paraId="77E7AB8E" w14:textId="24280992" w:rsidR="009619D9" w:rsidRDefault="00000000">
      <w:pPr>
        <w:pStyle w:val="TOC3"/>
        <w:rPr>
          <w:rFonts w:asciiTheme="minorHAnsi" w:eastAsiaTheme="minorEastAsia" w:hAnsiTheme="minorHAnsi" w:cstheme="minorBidi"/>
          <w:noProof/>
          <w:sz w:val="22"/>
          <w:szCs w:val="22"/>
          <w:lang w:eastAsia="en-AU"/>
        </w:rPr>
      </w:pPr>
      <w:hyperlink w:anchor="_Toc156569695" w:history="1">
        <w:r w:rsidR="009619D9" w:rsidRPr="00840063">
          <w:rPr>
            <w:rStyle w:val="Hyperlink"/>
            <w:noProof/>
          </w:rPr>
          <w:t>2.1.7</w:t>
        </w:r>
        <w:r w:rsidR="009619D9">
          <w:rPr>
            <w:rFonts w:asciiTheme="minorHAnsi" w:eastAsiaTheme="minorEastAsia" w:hAnsiTheme="minorHAnsi" w:cstheme="minorBidi"/>
            <w:noProof/>
            <w:sz w:val="22"/>
            <w:szCs w:val="22"/>
            <w:lang w:eastAsia="en-AU"/>
          </w:rPr>
          <w:tab/>
        </w:r>
        <w:r w:rsidR="009619D9" w:rsidRPr="00840063">
          <w:rPr>
            <w:rStyle w:val="Hyperlink"/>
            <w:noProof/>
          </w:rPr>
          <w:t>Non-government providers 2022–23 and 2023–24</w:t>
        </w:r>
        <w:r w:rsidR="009619D9">
          <w:rPr>
            <w:noProof/>
            <w:webHidden/>
          </w:rPr>
          <w:tab/>
        </w:r>
        <w:r w:rsidR="009619D9">
          <w:rPr>
            <w:noProof/>
            <w:webHidden/>
          </w:rPr>
          <w:fldChar w:fldCharType="begin"/>
        </w:r>
        <w:r w:rsidR="009619D9">
          <w:rPr>
            <w:noProof/>
            <w:webHidden/>
          </w:rPr>
          <w:instrText xml:space="preserve"> PAGEREF _Toc156569695 \h </w:instrText>
        </w:r>
        <w:r w:rsidR="009619D9">
          <w:rPr>
            <w:noProof/>
            <w:webHidden/>
          </w:rPr>
        </w:r>
        <w:r w:rsidR="009619D9">
          <w:rPr>
            <w:noProof/>
            <w:webHidden/>
          </w:rPr>
          <w:fldChar w:fldCharType="separate"/>
        </w:r>
        <w:r w:rsidR="009619D9">
          <w:rPr>
            <w:noProof/>
            <w:webHidden/>
          </w:rPr>
          <w:t>124</w:t>
        </w:r>
        <w:r w:rsidR="009619D9">
          <w:rPr>
            <w:noProof/>
            <w:webHidden/>
          </w:rPr>
          <w:fldChar w:fldCharType="end"/>
        </w:r>
      </w:hyperlink>
    </w:p>
    <w:p w14:paraId="0DAD5123" w14:textId="434F951A" w:rsidR="009619D9" w:rsidRDefault="00000000">
      <w:pPr>
        <w:pStyle w:val="TOC3"/>
        <w:rPr>
          <w:rFonts w:asciiTheme="minorHAnsi" w:eastAsiaTheme="minorEastAsia" w:hAnsiTheme="minorHAnsi" w:cstheme="minorBidi"/>
          <w:noProof/>
          <w:sz w:val="22"/>
          <w:szCs w:val="22"/>
          <w:lang w:eastAsia="en-AU"/>
        </w:rPr>
      </w:pPr>
      <w:hyperlink w:anchor="_Toc156569696" w:history="1">
        <w:r w:rsidR="009619D9" w:rsidRPr="00840063">
          <w:rPr>
            <w:rStyle w:val="Hyperlink"/>
            <w:noProof/>
          </w:rPr>
          <w:t>2.1.8</w:t>
        </w:r>
        <w:r w:rsidR="009619D9">
          <w:rPr>
            <w:rFonts w:asciiTheme="minorHAnsi" w:eastAsiaTheme="minorEastAsia" w:hAnsiTheme="minorHAnsi" w:cstheme="minorBidi"/>
            <w:noProof/>
            <w:sz w:val="22"/>
            <w:szCs w:val="22"/>
            <w:lang w:eastAsia="en-AU"/>
          </w:rPr>
          <w:tab/>
        </w:r>
        <w:r w:rsidR="009619D9" w:rsidRPr="00840063">
          <w:rPr>
            <w:rStyle w:val="Hyperlink"/>
            <w:noProof/>
          </w:rPr>
          <w:t>Other Funded Organisations 2022–23 and 2023–24</w:t>
        </w:r>
        <w:r w:rsidR="009619D9">
          <w:rPr>
            <w:noProof/>
            <w:webHidden/>
          </w:rPr>
          <w:tab/>
        </w:r>
        <w:r w:rsidR="009619D9">
          <w:rPr>
            <w:noProof/>
            <w:webHidden/>
          </w:rPr>
          <w:fldChar w:fldCharType="begin"/>
        </w:r>
        <w:r w:rsidR="009619D9">
          <w:rPr>
            <w:noProof/>
            <w:webHidden/>
          </w:rPr>
          <w:instrText xml:space="preserve"> PAGEREF _Toc156569696 \h </w:instrText>
        </w:r>
        <w:r w:rsidR="009619D9">
          <w:rPr>
            <w:noProof/>
            <w:webHidden/>
          </w:rPr>
        </w:r>
        <w:r w:rsidR="009619D9">
          <w:rPr>
            <w:noProof/>
            <w:webHidden/>
          </w:rPr>
          <w:fldChar w:fldCharType="separate"/>
        </w:r>
        <w:r w:rsidR="009619D9">
          <w:rPr>
            <w:noProof/>
            <w:webHidden/>
          </w:rPr>
          <w:t>129</w:t>
        </w:r>
        <w:r w:rsidR="009619D9">
          <w:rPr>
            <w:noProof/>
            <w:webHidden/>
          </w:rPr>
          <w:fldChar w:fldCharType="end"/>
        </w:r>
      </w:hyperlink>
    </w:p>
    <w:p w14:paraId="4D0E6A94" w14:textId="0D44D808" w:rsidR="009619D9" w:rsidRDefault="00000000">
      <w:pPr>
        <w:pStyle w:val="TOC3"/>
        <w:rPr>
          <w:rFonts w:asciiTheme="minorHAnsi" w:eastAsiaTheme="minorEastAsia" w:hAnsiTheme="minorHAnsi" w:cstheme="minorBidi"/>
          <w:noProof/>
          <w:sz w:val="22"/>
          <w:szCs w:val="22"/>
          <w:lang w:eastAsia="en-AU"/>
        </w:rPr>
      </w:pPr>
      <w:hyperlink w:anchor="_Toc156569697" w:history="1">
        <w:r w:rsidR="009619D9" w:rsidRPr="00840063">
          <w:rPr>
            <w:rStyle w:val="Hyperlink"/>
            <w:noProof/>
          </w:rPr>
          <w:t>2.1.9</w:t>
        </w:r>
        <w:r w:rsidR="009619D9">
          <w:rPr>
            <w:rFonts w:asciiTheme="minorHAnsi" w:eastAsiaTheme="minorEastAsia" w:hAnsiTheme="minorHAnsi" w:cstheme="minorBidi"/>
            <w:noProof/>
            <w:sz w:val="22"/>
            <w:szCs w:val="22"/>
            <w:lang w:eastAsia="en-AU"/>
          </w:rPr>
          <w:tab/>
        </w:r>
        <w:r w:rsidR="009619D9" w:rsidRPr="00840063">
          <w:rPr>
            <w:rStyle w:val="Hyperlink"/>
            <w:noProof/>
          </w:rPr>
          <w:t>Health operations 2022–23 and 2023–24</w:t>
        </w:r>
        <w:r w:rsidR="009619D9">
          <w:rPr>
            <w:noProof/>
            <w:webHidden/>
          </w:rPr>
          <w:tab/>
        </w:r>
        <w:r w:rsidR="009619D9">
          <w:rPr>
            <w:noProof/>
            <w:webHidden/>
          </w:rPr>
          <w:fldChar w:fldCharType="begin"/>
        </w:r>
        <w:r w:rsidR="009619D9">
          <w:rPr>
            <w:noProof/>
            <w:webHidden/>
          </w:rPr>
          <w:instrText xml:space="preserve"> PAGEREF _Toc156569697 \h </w:instrText>
        </w:r>
        <w:r w:rsidR="009619D9">
          <w:rPr>
            <w:noProof/>
            <w:webHidden/>
          </w:rPr>
        </w:r>
        <w:r w:rsidR="009619D9">
          <w:rPr>
            <w:noProof/>
            <w:webHidden/>
          </w:rPr>
          <w:fldChar w:fldCharType="separate"/>
        </w:r>
        <w:r w:rsidR="009619D9">
          <w:rPr>
            <w:noProof/>
            <w:webHidden/>
          </w:rPr>
          <w:t>132</w:t>
        </w:r>
        <w:r w:rsidR="009619D9">
          <w:rPr>
            <w:noProof/>
            <w:webHidden/>
          </w:rPr>
          <w:fldChar w:fldCharType="end"/>
        </w:r>
      </w:hyperlink>
    </w:p>
    <w:p w14:paraId="3D1B98D1" w14:textId="5C45F4FE" w:rsidR="009619D9" w:rsidRDefault="00000000">
      <w:pPr>
        <w:pStyle w:val="TOC2"/>
        <w:rPr>
          <w:rFonts w:asciiTheme="minorHAnsi" w:eastAsiaTheme="minorEastAsia" w:hAnsiTheme="minorHAnsi" w:cstheme="minorBidi"/>
          <w:b w:val="0"/>
          <w:bCs w:val="0"/>
          <w:sz w:val="22"/>
          <w:szCs w:val="22"/>
          <w:lang w:eastAsia="en-AU"/>
        </w:rPr>
      </w:pPr>
      <w:hyperlink w:anchor="_Toc156569698" w:history="1">
        <w:r w:rsidR="009619D9" w:rsidRPr="00840063">
          <w:rPr>
            <w:rStyle w:val="Hyperlink"/>
          </w:rPr>
          <w:t>2.2</w:t>
        </w:r>
        <w:r w:rsidR="009619D9">
          <w:rPr>
            <w:rFonts w:asciiTheme="minorHAnsi" w:eastAsiaTheme="minorEastAsia" w:hAnsiTheme="minorHAnsi" w:cstheme="minorBidi"/>
            <w:b w:val="0"/>
            <w:bCs w:val="0"/>
            <w:sz w:val="22"/>
            <w:szCs w:val="22"/>
            <w:lang w:eastAsia="en-AU"/>
          </w:rPr>
          <w:tab/>
        </w:r>
        <w:r w:rsidR="009619D9" w:rsidRPr="00840063">
          <w:rPr>
            <w:rStyle w:val="Hyperlink"/>
          </w:rPr>
          <w:t>Activity target tables</w:t>
        </w:r>
        <w:r w:rsidR="009619D9">
          <w:rPr>
            <w:webHidden/>
          </w:rPr>
          <w:tab/>
        </w:r>
        <w:r w:rsidR="009619D9">
          <w:rPr>
            <w:webHidden/>
          </w:rPr>
          <w:fldChar w:fldCharType="begin"/>
        </w:r>
        <w:r w:rsidR="009619D9">
          <w:rPr>
            <w:webHidden/>
          </w:rPr>
          <w:instrText xml:space="preserve"> PAGEREF _Toc156569698 \h </w:instrText>
        </w:r>
        <w:r w:rsidR="009619D9">
          <w:rPr>
            <w:webHidden/>
          </w:rPr>
        </w:r>
        <w:r w:rsidR="009619D9">
          <w:rPr>
            <w:webHidden/>
          </w:rPr>
          <w:fldChar w:fldCharType="separate"/>
        </w:r>
        <w:r w:rsidR="009619D9">
          <w:rPr>
            <w:webHidden/>
          </w:rPr>
          <w:t>133</w:t>
        </w:r>
        <w:r w:rsidR="009619D9">
          <w:rPr>
            <w:webHidden/>
          </w:rPr>
          <w:fldChar w:fldCharType="end"/>
        </w:r>
      </w:hyperlink>
    </w:p>
    <w:p w14:paraId="66C256BA" w14:textId="09CB2D7A" w:rsidR="009619D9" w:rsidRDefault="00000000">
      <w:pPr>
        <w:pStyle w:val="TOC3"/>
        <w:rPr>
          <w:rFonts w:asciiTheme="minorHAnsi" w:eastAsiaTheme="minorEastAsia" w:hAnsiTheme="minorHAnsi" w:cstheme="minorBidi"/>
          <w:noProof/>
          <w:sz w:val="22"/>
          <w:szCs w:val="22"/>
          <w:lang w:eastAsia="en-AU"/>
        </w:rPr>
      </w:pPr>
      <w:hyperlink w:anchor="_Toc156569699" w:history="1">
        <w:r w:rsidR="009619D9" w:rsidRPr="00840063">
          <w:rPr>
            <w:rStyle w:val="Hyperlink"/>
            <w:noProof/>
          </w:rPr>
          <w:t>2.2.1</w:t>
        </w:r>
        <w:r w:rsidR="009619D9">
          <w:rPr>
            <w:rFonts w:asciiTheme="minorHAnsi" w:eastAsiaTheme="minorEastAsia" w:hAnsiTheme="minorHAnsi" w:cstheme="minorBidi"/>
            <w:noProof/>
            <w:sz w:val="22"/>
            <w:szCs w:val="22"/>
            <w:lang w:eastAsia="en-AU"/>
          </w:rPr>
          <w:tab/>
        </w:r>
        <w:r w:rsidR="009619D9" w:rsidRPr="00840063">
          <w:rPr>
            <w:rStyle w:val="Hyperlink"/>
            <w:noProof/>
          </w:rPr>
          <w:t>Victorian activity targets (NWAU) 2023–24</w:t>
        </w:r>
        <w:r w:rsidR="009619D9">
          <w:rPr>
            <w:noProof/>
            <w:webHidden/>
          </w:rPr>
          <w:tab/>
        </w:r>
        <w:r w:rsidR="009619D9">
          <w:rPr>
            <w:noProof/>
            <w:webHidden/>
          </w:rPr>
          <w:fldChar w:fldCharType="begin"/>
        </w:r>
        <w:r w:rsidR="009619D9">
          <w:rPr>
            <w:noProof/>
            <w:webHidden/>
          </w:rPr>
          <w:instrText xml:space="preserve"> PAGEREF _Toc156569699 \h </w:instrText>
        </w:r>
        <w:r w:rsidR="009619D9">
          <w:rPr>
            <w:noProof/>
            <w:webHidden/>
          </w:rPr>
        </w:r>
        <w:r w:rsidR="009619D9">
          <w:rPr>
            <w:noProof/>
            <w:webHidden/>
          </w:rPr>
          <w:fldChar w:fldCharType="separate"/>
        </w:r>
        <w:r w:rsidR="009619D9">
          <w:rPr>
            <w:noProof/>
            <w:webHidden/>
          </w:rPr>
          <w:t>133</w:t>
        </w:r>
        <w:r w:rsidR="009619D9">
          <w:rPr>
            <w:noProof/>
            <w:webHidden/>
          </w:rPr>
          <w:fldChar w:fldCharType="end"/>
        </w:r>
      </w:hyperlink>
    </w:p>
    <w:p w14:paraId="4885FE61" w14:textId="6F78AA79" w:rsidR="009619D9" w:rsidRDefault="00000000">
      <w:pPr>
        <w:pStyle w:val="TOC3"/>
        <w:rPr>
          <w:rFonts w:asciiTheme="minorHAnsi" w:eastAsiaTheme="minorEastAsia" w:hAnsiTheme="minorHAnsi" w:cstheme="minorBidi"/>
          <w:noProof/>
          <w:sz w:val="22"/>
          <w:szCs w:val="22"/>
          <w:lang w:eastAsia="en-AU"/>
        </w:rPr>
      </w:pPr>
      <w:hyperlink w:anchor="_Toc156569700" w:history="1">
        <w:r w:rsidR="009619D9" w:rsidRPr="00840063">
          <w:rPr>
            <w:rStyle w:val="Hyperlink"/>
            <w:noProof/>
          </w:rPr>
          <w:t>2.2.2</w:t>
        </w:r>
        <w:r w:rsidR="009619D9">
          <w:rPr>
            <w:rFonts w:asciiTheme="minorHAnsi" w:eastAsiaTheme="minorEastAsia" w:hAnsiTheme="minorHAnsi" w:cstheme="minorBidi"/>
            <w:noProof/>
            <w:sz w:val="22"/>
            <w:szCs w:val="22"/>
            <w:lang w:eastAsia="en-AU"/>
          </w:rPr>
          <w:tab/>
        </w:r>
        <w:r w:rsidR="009619D9" w:rsidRPr="00840063">
          <w:rPr>
            <w:rStyle w:val="Hyperlink"/>
            <w:noProof/>
          </w:rPr>
          <w:t>Indicative HAC base NWAU adjustment 2022–23 for the purpose of calculating annual growth in 2023–24</w:t>
        </w:r>
        <w:r w:rsidR="009619D9">
          <w:rPr>
            <w:noProof/>
            <w:webHidden/>
          </w:rPr>
          <w:tab/>
        </w:r>
        <w:r w:rsidR="009619D9">
          <w:rPr>
            <w:noProof/>
            <w:webHidden/>
          </w:rPr>
          <w:fldChar w:fldCharType="begin"/>
        </w:r>
        <w:r w:rsidR="009619D9">
          <w:rPr>
            <w:noProof/>
            <w:webHidden/>
          </w:rPr>
          <w:instrText xml:space="preserve"> PAGEREF _Toc156569700 \h </w:instrText>
        </w:r>
        <w:r w:rsidR="009619D9">
          <w:rPr>
            <w:noProof/>
            <w:webHidden/>
          </w:rPr>
        </w:r>
        <w:r w:rsidR="009619D9">
          <w:rPr>
            <w:noProof/>
            <w:webHidden/>
          </w:rPr>
          <w:fldChar w:fldCharType="separate"/>
        </w:r>
        <w:r w:rsidR="009619D9">
          <w:rPr>
            <w:noProof/>
            <w:webHidden/>
          </w:rPr>
          <w:t>134</w:t>
        </w:r>
        <w:r w:rsidR="009619D9">
          <w:rPr>
            <w:noProof/>
            <w:webHidden/>
          </w:rPr>
          <w:fldChar w:fldCharType="end"/>
        </w:r>
      </w:hyperlink>
    </w:p>
    <w:p w14:paraId="577C9CCA" w14:textId="26B90C35" w:rsidR="009619D9" w:rsidRDefault="00000000">
      <w:pPr>
        <w:pStyle w:val="TOC3"/>
        <w:rPr>
          <w:rFonts w:asciiTheme="minorHAnsi" w:eastAsiaTheme="minorEastAsia" w:hAnsiTheme="minorHAnsi" w:cstheme="minorBidi"/>
          <w:noProof/>
          <w:sz w:val="22"/>
          <w:szCs w:val="22"/>
          <w:lang w:eastAsia="en-AU"/>
        </w:rPr>
      </w:pPr>
      <w:hyperlink w:anchor="_Toc156569701" w:history="1">
        <w:r w:rsidR="009619D9" w:rsidRPr="00840063">
          <w:rPr>
            <w:rStyle w:val="Hyperlink"/>
            <w:noProof/>
          </w:rPr>
          <w:t>2.2.3</w:t>
        </w:r>
        <w:r w:rsidR="009619D9">
          <w:rPr>
            <w:rFonts w:asciiTheme="minorHAnsi" w:eastAsiaTheme="minorEastAsia" w:hAnsiTheme="minorHAnsi" w:cstheme="minorBidi"/>
            <w:noProof/>
            <w:sz w:val="22"/>
            <w:szCs w:val="22"/>
            <w:lang w:eastAsia="en-AU"/>
          </w:rPr>
          <w:tab/>
        </w:r>
        <w:r w:rsidR="009619D9" w:rsidRPr="00840063">
          <w:rPr>
            <w:rStyle w:val="Hyperlink"/>
            <w:noProof/>
          </w:rPr>
          <w:t>Victorian small rural health service activity targets 2023–24</w:t>
        </w:r>
        <w:r w:rsidR="009619D9">
          <w:rPr>
            <w:noProof/>
            <w:webHidden/>
          </w:rPr>
          <w:tab/>
        </w:r>
        <w:r w:rsidR="009619D9">
          <w:rPr>
            <w:noProof/>
            <w:webHidden/>
          </w:rPr>
          <w:fldChar w:fldCharType="begin"/>
        </w:r>
        <w:r w:rsidR="009619D9">
          <w:rPr>
            <w:noProof/>
            <w:webHidden/>
          </w:rPr>
          <w:instrText xml:space="preserve"> PAGEREF _Toc156569701 \h </w:instrText>
        </w:r>
        <w:r w:rsidR="009619D9">
          <w:rPr>
            <w:noProof/>
            <w:webHidden/>
          </w:rPr>
        </w:r>
        <w:r w:rsidR="009619D9">
          <w:rPr>
            <w:noProof/>
            <w:webHidden/>
          </w:rPr>
          <w:fldChar w:fldCharType="separate"/>
        </w:r>
        <w:r w:rsidR="009619D9">
          <w:rPr>
            <w:noProof/>
            <w:webHidden/>
          </w:rPr>
          <w:t>135</w:t>
        </w:r>
        <w:r w:rsidR="009619D9">
          <w:rPr>
            <w:noProof/>
            <w:webHidden/>
          </w:rPr>
          <w:fldChar w:fldCharType="end"/>
        </w:r>
      </w:hyperlink>
    </w:p>
    <w:p w14:paraId="6297CB25" w14:textId="025CD388" w:rsidR="009619D9" w:rsidRDefault="00000000">
      <w:pPr>
        <w:pStyle w:val="TOC3"/>
        <w:rPr>
          <w:rFonts w:asciiTheme="minorHAnsi" w:eastAsiaTheme="minorEastAsia" w:hAnsiTheme="minorHAnsi" w:cstheme="minorBidi"/>
          <w:noProof/>
          <w:sz w:val="22"/>
          <w:szCs w:val="22"/>
          <w:lang w:eastAsia="en-AU"/>
        </w:rPr>
      </w:pPr>
      <w:hyperlink w:anchor="_Toc156569702" w:history="1">
        <w:r w:rsidR="009619D9" w:rsidRPr="00840063">
          <w:rPr>
            <w:rStyle w:val="Hyperlink"/>
            <w:noProof/>
          </w:rPr>
          <w:t>2.2.4</w:t>
        </w:r>
        <w:r w:rsidR="009619D9">
          <w:rPr>
            <w:rFonts w:asciiTheme="minorHAnsi" w:eastAsiaTheme="minorEastAsia" w:hAnsiTheme="minorHAnsi" w:cstheme="minorBidi"/>
            <w:noProof/>
            <w:sz w:val="22"/>
            <w:szCs w:val="22"/>
            <w:lang w:eastAsia="en-AU"/>
          </w:rPr>
          <w:tab/>
        </w:r>
        <w:r w:rsidR="009619D9" w:rsidRPr="00840063">
          <w:rPr>
            <w:rStyle w:val="Hyperlink"/>
            <w:noProof/>
          </w:rPr>
          <w:t>Non-admitted radiotherapy activity (WAU) targets 2023–24</w:t>
        </w:r>
        <w:r w:rsidR="009619D9">
          <w:rPr>
            <w:noProof/>
            <w:webHidden/>
          </w:rPr>
          <w:tab/>
        </w:r>
        <w:r w:rsidR="009619D9">
          <w:rPr>
            <w:noProof/>
            <w:webHidden/>
          </w:rPr>
          <w:fldChar w:fldCharType="begin"/>
        </w:r>
        <w:r w:rsidR="009619D9">
          <w:rPr>
            <w:noProof/>
            <w:webHidden/>
          </w:rPr>
          <w:instrText xml:space="preserve"> PAGEREF _Toc156569702 \h </w:instrText>
        </w:r>
        <w:r w:rsidR="009619D9">
          <w:rPr>
            <w:noProof/>
            <w:webHidden/>
          </w:rPr>
        </w:r>
        <w:r w:rsidR="009619D9">
          <w:rPr>
            <w:noProof/>
            <w:webHidden/>
          </w:rPr>
          <w:fldChar w:fldCharType="separate"/>
        </w:r>
        <w:r w:rsidR="009619D9">
          <w:rPr>
            <w:noProof/>
            <w:webHidden/>
          </w:rPr>
          <w:t>137</w:t>
        </w:r>
        <w:r w:rsidR="009619D9">
          <w:rPr>
            <w:noProof/>
            <w:webHidden/>
          </w:rPr>
          <w:fldChar w:fldCharType="end"/>
        </w:r>
      </w:hyperlink>
    </w:p>
    <w:p w14:paraId="74593B81" w14:textId="19197B54" w:rsidR="009619D9" w:rsidRDefault="00000000">
      <w:pPr>
        <w:pStyle w:val="TOC3"/>
        <w:rPr>
          <w:rFonts w:asciiTheme="minorHAnsi" w:eastAsiaTheme="minorEastAsia" w:hAnsiTheme="minorHAnsi" w:cstheme="minorBidi"/>
          <w:noProof/>
          <w:sz w:val="22"/>
          <w:szCs w:val="22"/>
          <w:lang w:eastAsia="en-AU"/>
        </w:rPr>
      </w:pPr>
      <w:hyperlink w:anchor="_Toc156569703" w:history="1">
        <w:r w:rsidR="009619D9" w:rsidRPr="00840063">
          <w:rPr>
            <w:rStyle w:val="Hyperlink"/>
            <w:noProof/>
          </w:rPr>
          <w:t>2.2.5</w:t>
        </w:r>
        <w:r w:rsidR="009619D9">
          <w:rPr>
            <w:rFonts w:asciiTheme="minorHAnsi" w:eastAsiaTheme="minorEastAsia" w:hAnsiTheme="minorHAnsi" w:cstheme="minorBidi"/>
            <w:noProof/>
            <w:sz w:val="22"/>
            <w:szCs w:val="22"/>
            <w:lang w:eastAsia="en-AU"/>
          </w:rPr>
          <w:tab/>
        </w:r>
        <w:r w:rsidR="009619D9" w:rsidRPr="00840063">
          <w:rPr>
            <w:rStyle w:val="Hyperlink"/>
            <w:noProof/>
          </w:rPr>
          <w:t>Transition Care Program targets 2023–24</w:t>
        </w:r>
        <w:r w:rsidR="009619D9">
          <w:rPr>
            <w:noProof/>
            <w:webHidden/>
          </w:rPr>
          <w:tab/>
        </w:r>
        <w:r w:rsidR="009619D9">
          <w:rPr>
            <w:noProof/>
            <w:webHidden/>
          </w:rPr>
          <w:fldChar w:fldCharType="begin"/>
        </w:r>
        <w:r w:rsidR="009619D9">
          <w:rPr>
            <w:noProof/>
            <w:webHidden/>
          </w:rPr>
          <w:instrText xml:space="preserve"> PAGEREF _Toc156569703 \h </w:instrText>
        </w:r>
        <w:r w:rsidR="009619D9">
          <w:rPr>
            <w:noProof/>
            <w:webHidden/>
          </w:rPr>
        </w:r>
        <w:r w:rsidR="009619D9">
          <w:rPr>
            <w:noProof/>
            <w:webHidden/>
          </w:rPr>
          <w:fldChar w:fldCharType="separate"/>
        </w:r>
        <w:r w:rsidR="009619D9">
          <w:rPr>
            <w:noProof/>
            <w:webHidden/>
          </w:rPr>
          <w:t>137</w:t>
        </w:r>
        <w:r w:rsidR="009619D9">
          <w:rPr>
            <w:noProof/>
            <w:webHidden/>
          </w:rPr>
          <w:fldChar w:fldCharType="end"/>
        </w:r>
      </w:hyperlink>
    </w:p>
    <w:p w14:paraId="1E4CC7BD" w14:textId="2D83C57F" w:rsidR="009619D9" w:rsidRDefault="00000000">
      <w:pPr>
        <w:pStyle w:val="TOC3"/>
        <w:rPr>
          <w:rFonts w:asciiTheme="minorHAnsi" w:eastAsiaTheme="minorEastAsia" w:hAnsiTheme="minorHAnsi" w:cstheme="minorBidi"/>
          <w:noProof/>
          <w:sz w:val="22"/>
          <w:szCs w:val="22"/>
          <w:lang w:eastAsia="en-AU"/>
        </w:rPr>
      </w:pPr>
      <w:hyperlink w:anchor="_Toc156569704" w:history="1">
        <w:r w:rsidR="009619D9" w:rsidRPr="00840063">
          <w:rPr>
            <w:rStyle w:val="Hyperlink"/>
            <w:noProof/>
          </w:rPr>
          <w:t>2.2.6</w:t>
        </w:r>
        <w:r w:rsidR="009619D9">
          <w:rPr>
            <w:rFonts w:asciiTheme="minorHAnsi" w:eastAsiaTheme="minorEastAsia" w:hAnsiTheme="minorHAnsi" w:cstheme="minorBidi"/>
            <w:noProof/>
            <w:sz w:val="22"/>
            <w:szCs w:val="22"/>
            <w:lang w:eastAsia="en-AU"/>
          </w:rPr>
          <w:tab/>
        </w:r>
        <w:r w:rsidR="009619D9" w:rsidRPr="00840063">
          <w:rPr>
            <w:rStyle w:val="Hyperlink"/>
            <w:noProof/>
          </w:rPr>
          <w:t>Total parenteral nutrition activity targets (NWAU) 2023–24</w:t>
        </w:r>
        <w:r w:rsidR="009619D9">
          <w:rPr>
            <w:noProof/>
            <w:webHidden/>
          </w:rPr>
          <w:tab/>
        </w:r>
        <w:r w:rsidR="009619D9">
          <w:rPr>
            <w:noProof/>
            <w:webHidden/>
          </w:rPr>
          <w:fldChar w:fldCharType="begin"/>
        </w:r>
        <w:r w:rsidR="009619D9">
          <w:rPr>
            <w:noProof/>
            <w:webHidden/>
          </w:rPr>
          <w:instrText xml:space="preserve"> PAGEREF _Toc156569704 \h </w:instrText>
        </w:r>
        <w:r w:rsidR="009619D9">
          <w:rPr>
            <w:noProof/>
            <w:webHidden/>
          </w:rPr>
        </w:r>
        <w:r w:rsidR="009619D9">
          <w:rPr>
            <w:noProof/>
            <w:webHidden/>
          </w:rPr>
          <w:fldChar w:fldCharType="separate"/>
        </w:r>
        <w:r w:rsidR="009619D9">
          <w:rPr>
            <w:noProof/>
            <w:webHidden/>
          </w:rPr>
          <w:t>138</w:t>
        </w:r>
        <w:r w:rsidR="009619D9">
          <w:rPr>
            <w:noProof/>
            <w:webHidden/>
          </w:rPr>
          <w:fldChar w:fldCharType="end"/>
        </w:r>
      </w:hyperlink>
    </w:p>
    <w:p w14:paraId="02976B84" w14:textId="13629D18" w:rsidR="009619D9" w:rsidRDefault="00000000">
      <w:pPr>
        <w:pStyle w:val="TOC3"/>
        <w:rPr>
          <w:rFonts w:asciiTheme="minorHAnsi" w:eastAsiaTheme="minorEastAsia" w:hAnsiTheme="minorHAnsi" w:cstheme="minorBidi"/>
          <w:noProof/>
          <w:sz w:val="22"/>
          <w:szCs w:val="22"/>
          <w:lang w:eastAsia="en-AU"/>
        </w:rPr>
      </w:pPr>
      <w:hyperlink w:anchor="_Toc156569705" w:history="1">
        <w:r w:rsidR="009619D9" w:rsidRPr="00840063">
          <w:rPr>
            <w:rStyle w:val="Hyperlink"/>
            <w:noProof/>
          </w:rPr>
          <w:t>2.2.7</w:t>
        </w:r>
        <w:r w:rsidR="009619D9">
          <w:rPr>
            <w:rFonts w:asciiTheme="minorHAnsi" w:eastAsiaTheme="minorEastAsia" w:hAnsiTheme="minorHAnsi" w:cstheme="minorBidi"/>
            <w:noProof/>
            <w:sz w:val="22"/>
            <w:szCs w:val="22"/>
            <w:lang w:eastAsia="en-AU"/>
          </w:rPr>
          <w:tab/>
        </w:r>
        <w:r w:rsidR="009619D9" w:rsidRPr="00840063">
          <w:rPr>
            <w:rStyle w:val="Hyperlink"/>
            <w:noProof/>
          </w:rPr>
          <w:t>Home enteral nutrition activity targets (NWAU)  2023–24</w:t>
        </w:r>
        <w:r w:rsidR="009619D9">
          <w:rPr>
            <w:noProof/>
            <w:webHidden/>
          </w:rPr>
          <w:tab/>
        </w:r>
        <w:r w:rsidR="009619D9">
          <w:rPr>
            <w:noProof/>
            <w:webHidden/>
          </w:rPr>
          <w:fldChar w:fldCharType="begin"/>
        </w:r>
        <w:r w:rsidR="009619D9">
          <w:rPr>
            <w:noProof/>
            <w:webHidden/>
          </w:rPr>
          <w:instrText xml:space="preserve"> PAGEREF _Toc156569705 \h </w:instrText>
        </w:r>
        <w:r w:rsidR="009619D9">
          <w:rPr>
            <w:noProof/>
            <w:webHidden/>
          </w:rPr>
        </w:r>
        <w:r w:rsidR="009619D9">
          <w:rPr>
            <w:noProof/>
            <w:webHidden/>
          </w:rPr>
          <w:fldChar w:fldCharType="separate"/>
        </w:r>
        <w:r w:rsidR="009619D9">
          <w:rPr>
            <w:noProof/>
            <w:webHidden/>
          </w:rPr>
          <w:t>138</w:t>
        </w:r>
        <w:r w:rsidR="009619D9">
          <w:rPr>
            <w:noProof/>
            <w:webHidden/>
          </w:rPr>
          <w:fldChar w:fldCharType="end"/>
        </w:r>
      </w:hyperlink>
    </w:p>
    <w:p w14:paraId="06044FDE" w14:textId="3C09ADC5" w:rsidR="009619D9" w:rsidRDefault="00000000">
      <w:pPr>
        <w:pStyle w:val="TOC3"/>
        <w:rPr>
          <w:rFonts w:asciiTheme="minorHAnsi" w:eastAsiaTheme="minorEastAsia" w:hAnsiTheme="minorHAnsi" w:cstheme="minorBidi"/>
          <w:noProof/>
          <w:sz w:val="22"/>
          <w:szCs w:val="22"/>
          <w:lang w:eastAsia="en-AU"/>
        </w:rPr>
      </w:pPr>
      <w:hyperlink w:anchor="_Toc156569706" w:history="1">
        <w:r w:rsidR="009619D9" w:rsidRPr="00840063">
          <w:rPr>
            <w:rStyle w:val="Hyperlink"/>
            <w:noProof/>
          </w:rPr>
          <w:t>2.2.8</w:t>
        </w:r>
        <w:r w:rsidR="009619D9">
          <w:rPr>
            <w:rFonts w:asciiTheme="minorHAnsi" w:eastAsiaTheme="minorEastAsia" w:hAnsiTheme="minorHAnsi" w:cstheme="minorBidi"/>
            <w:noProof/>
            <w:sz w:val="22"/>
            <w:szCs w:val="22"/>
            <w:lang w:eastAsia="en-AU"/>
          </w:rPr>
          <w:tab/>
        </w:r>
        <w:r w:rsidR="009619D9" w:rsidRPr="00840063">
          <w:rPr>
            <w:rStyle w:val="Hyperlink"/>
            <w:noProof/>
          </w:rPr>
          <w:t>Home renal dialysis targets 2023–24</w:t>
        </w:r>
        <w:r w:rsidR="009619D9">
          <w:rPr>
            <w:noProof/>
            <w:webHidden/>
          </w:rPr>
          <w:tab/>
        </w:r>
        <w:r w:rsidR="009619D9">
          <w:rPr>
            <w:noProof/>
            <w:webHidden/>
          </w:rPr>
          <w:fldChar w:fldCharType="begin"/>
        </w:r>
        <w:r w:rsidR="009619D9">
          <w:rPr>
            <w:noProof/>
            <w:webHidden/>
          </w:rPr>
          <w:instrText xml:space="preserve"> PAGEREF _Toc156569706 \h </w:instrText>
        </w:r>
        <w:r w:rsidR="009619D9">
          <w:rPr>
            <w:noProof/>
            <w:webHidden/>
          </w:rPr>
        </w:r>
        <w:r w:rsidR="009619D9">
          <w:rPr>
            <w:noProof/>
            <w:webHidden/>
          </w:rPr>
          <w:fldChar w:fldCharType="separate"/>
        </w:r>
        <w:r w:rsidR="009619D9">
          <w:rPr>
            <w:noProof/>
            <w:webHidden/>
          </w:rPr>
          <w:t>139</w:t>
        </w:r>
        <w:r w:rsidR="009619D9">
          <w:rPr>
            <w:noProof/>
            <w:webHidden/>
          </w:rPr>
          <w:fldChar w:fldCharType="end"/>
        </w:r>
      </w:hyperlink>
    </w:p>
    <w:p w14:paraId="6E78B1DE" w14:textId="1D05E6B0" w:rsidR="009619D9" w:rsidRDefault="00000000">
      <w:pPr>
        <w:pStyle w:val="TOC3"/>
        <w:rPr>
          <w:rFonts w:asciiTheme="minorHAnsi" w:eastAsiaTheme="minorEastAsia" w:hAnsiTheme="minorHAnsi" w:cstheme="minorBidi"/>
          <w:noProof/>
          <w:sz w:val="22"/>
          <w:szCs w:val="22"/>
          <w:lang w:eastAsia="en-AU"/>
        </w:rPr>
      </w:pPr>
      <w:hyperlink w:anchor="_Toc156569707" w:history="1">
        <w:r w:rsidR="009619D9" w:rsidRPr="00840063">
          <w:rPr>
            <w:rStyle w:val="Hyperlink"/>
            <w:noProof/>
          </w:rPr>
          <w:t>2.2.9</w:t>
        </w:r>
        <w:r w:rsidR="009619D9">
          <w:rPr>
            <w:rFonts w:asciiTheme="minorHAnsi" w:eastAsiaTheme="minorEastAsia" w:hAnsiTheme="minorHAnsi" w:cstheme="minorBidi"/>
            <w:noProof/>
            <w:sz w:val="22"/>
            <w:szCs w:val="22"/>
            <w:lang w:eastAsia="en-AU"/>
          </w:rPr>
          <w:tab/>
        </w:r>
        <w:r w:rsidR="009619D9" w:rsidRPr="00840063">
          <w:rPr>
            <w:rStyle w:val="Hyperlink"/>
            <w:noProof/>
          </w:rPr>
          <w:t>Non-admitted episode targets – community palliative care</w:t>
        </w:r>
        <w:r w:rsidR="009619D9">
          <w:rPr>
            <w:noProof/>
            <w:webHidden/>
          </w:rPr>
          <w:tab/>
        </w:r>
        <w:r w:rsidR="009619D9">
          <w:rPr>
            <w:noProof/>
            <w:webHidden/>
          </w:rPr>
          <w:fldChar w:fldCharType="begin"/>
        </w:r>
        <w:r w:rsidR="009619D9">
          <w:rPr>
            <w:noProof/>
            <w:webHidden/>
          </w:rPr>
          <w:instrText xml:space="preserve"> PAGEREF _Toc156569707 \h </w:instrText>
        </w:r>
        <w:r w:rsidR="009619D9">
          <w:rPr>
            <w:noProof/>
            <w:webHidden/>
          </w:rPr>
        </w:r>
        <w:r w:rsidR="009619D9">
          <w:rPr>
            <w:noProof/>
            <w:webHidden/>
          </w:rPr>
          <w:fldChar w:fldCharType="separate"/>
        </w:r>
        <w:r w:rsidR="009619D9">
          <w:rPr>
            <w:noProof/>
            <w:webHidden/>
          </w:rPr>
          <w:t>140</w:t>
        </w:r>
        <w:r w:rsidR="009619D9">
          <w:rPr>
            <w:noProof/>
            <w:webHidden/>
          </w:rPr>
          <w:fldChar w:fldCharType="end"/>
        </w:r>
      </w:hyperlink>
    </w:p>
    <w:p w14:paraId="274C87A7" w14:textId="3DAA9ED7" w:rsidR="009619D9" w:rsidRDefault="00000000">
      <w:pPr>
        <w:pStyle w:val="TOC3"/>
        <w:rPr>
          <w:rFonts w:asciiTheme="minorHAnsi" w:eastAsiaTheme="minorEastAsia" w:hAnsiTheme="minorHAnsi" w:cstheme="minorBidi"/>
          <w:noProof/>
          <w:sz w:val="22"/>
          <w:szCs w:val="22"/>
          <w:lang w:eastAsia="en-AU"/>
        </w:rPr>
      </w:pPr>
      <w:hyperlink w:anchor="_Toc156569708" w:history="1">
        <w:r w:rsidR="009619D9" w:rsidRPr="00840063">
          <w:rPr>
            <w:rStyle w:val="Hyperlink"/>
            <w:noProof/>
          </w:rPr>
          <w:t>2.2.10</w:t>
        </w:r>
        <w:r w:rsidR="009619D9">
          <w:rPr>
            <w:rFonts w:asciiTheme="minorHAnsi" w:eastAsiaTheme="minorEastAsia" w:hAnsiTheme="minorHAnsi" w:cstheme="minorBidi"/>
            <w:noProof/>
            <w:sz w:val="22"/>
            <w:szCs w:val="22"/>
            <w:lang w:eastAsia="en-AU"/>
          </w:rPr>
          <w:tab/>
        </w:r>
        <w:r w:rsidR="009619D9" w:rsidRPr="00840063">
          <w:rPr>
            <w:rStyle w:val="Hyperlink"/>
            <w:noProof/>
          </w:rPr>
          <w:t>Nationally Funded Centres Program 2023–24</w:t>
        </w:r>
        <w:r w:rsidR="009619D9">
          <w:rPr>
            <w:noProof/>
            <w:webHidden/>
          </w:rPr>
          <w:tab/>
        </w:r>
        <w:r w:rsidR="009619D9">
          <w:rPr>
            <w:noProof/>
            <w:webHidden/>
          </w:rPr>
          <w:fldChar w:fldCharType="begin"/>
        </w:r>
        <w:r w:rsidR="009619D9">
          <w:rPr>
            <w:noProof/>
            <w:webHidden/>
          </w:rPr>
          <w:instrText xml:space="preserve"> PAGEREF _Toc156569708 \h </w:instrText>
        </w:r>
        <w:r w:rsidR="009619D9">
          <w:rPr>
            <w:noProof/>
            <w:webHidden/>
          </w:rPr>
        </w:r>
        <w:r w:rsidR="009619D9">
          <w:rPr>
            <w:noProof/>
            <w:webHidden/>
          </w:rPr>
          <w:fldChar w:fldCharType="separate"/>
        </w:r>
        <w:r w:rsidR="009619D9">
          <w:rPr>
            <w:noProof/>
            <w:webHidden/>
          </w:rPr>
          <w:t>141</w:t>
        </w:r>
        <w:r w:rsidR="009619D9">
          <w:rPr>
            <w:noProof/>
            <w:webHidden/>
          </w:rPr>
          <w:fldChar w:fldCharType="end"/>
        </w:r>
      </w:hyperlink>
    </w:p>
    <w:p w14:paraId="3DFCDF85" w14:textId="27FFE184" w:rsidR="009619D9" w:rsidRDefault="00000000">
      <w:pPr>
        <w:pStyle w:val="TOC3"/>
        <w:rPr>
          <w:rFonts w:asciiTheme="minorHAnsi" w:eastAsiaTheme="minorEastAsia" w:hAnsiTheme="minorHAnsi" w:cstheme="minorBidi"/>
          <w:noProof/>
          <w:sz w:val="22"/>
          <w:szCs w:val="22"/>
          <w:lang w:eastAsia="en-AU"/>
        </w:rPr>
      </w:pPr>
      <w:hyperlink w:anchor="_Toc156569709" w:history="1">
        <w:r w:rsidR="009619D9" w:rsidRPr="00840063">
          <w:rPr>
            <w:rStyle w:val="Hyperlink"/>
            <w:noProof/>
          </w:rPr>
          <w:t>2.2.11</w:t>
        </w:r>
        <w:r w:rsidR="009619D9">
          <w:rPr>
            <w:rFonts w:asciiTheme="minorHAnsi" w:eastAsiaTheme="minorEastAsia" w:hAnsiTheme="minorHAnsi" w:cstheme="minorBidi"/>
            <w:noProof/>
            <w:sz w:val="22"/>
            <w:szCs w:val="22"/>
            <w:lang w:eastAsia="en-AU"/>
          </w:rPr>
          <w:tab/>
        </w:r>
        <w:r w:rsidR="009619D9" w:rsidRPr="00840063">
          <w:rPr>
            <w:rStyle w:val="Hyperlink"/>
            <w:noProof/>
          </w:rPr>
          <w:t>Mental health acute, non-acute, subacute, and residential available beds 2023–24</w:t>
        </w:r>
        <w:r w:rsidR="009619D9">
          <w:rPr>
            <w:noProof/>
            <w:webHidden/>
          </w:rPr>
          <w:tab/>
        </w:r>
        <w:r w:rsidR="009619D9">
          <w:rPr>
            <w:noProof/>
            <w:webHidden/>
          </w:rPr>
          <w:fldChar w:fldCharType="begin"/>
        </w:r>
        <w:r w:rsidR="009619D9">
          <w:rPr>
            <w:noProof/>
            <w:webHidden/>
          </w:rPr>
          <w:instrText xml:space="preserve"> PAGEREF _Toc156569709 \h </w:instrText>
        </w:r>
        <w:r w:rsidR="009619D9">
          <w:rPr>
            <w:noProof/>
            <w:webHidden/>
          </w:rPr>
        </w:r>
        <w:r w:rsidR="009619D9">
          <w:rPr>
            <w:noProof/>
            <w:webHidden/>
          </w:rPr>
          <w:fldChar w:fldCharType="separate"/>
        </w:r>
        <w:r w:rsidR="009619D9">
          <w:rPr>
            <w:noProof/>
            <w:webHidden/>
          </w:rPr>
          <w:t>142</w:t>
        </w:r>
        <w:r w:rsidR="009619D9">
          <w:rPr>
            <w:noProof/>
            <w:webHidden/>
          </w:rPr>
          <w:fldChar w:fldCharType="end"/>
        </w:r>
      </w:hyperlink>
    </w:p>
    <w:p w14:paraId="2917C098" w14:textId="712B0A37" w:rsidR="009619D9" w:rsidRDefault="00000000">
      <w:pPr>
        <w:pStyle w:val="TOC3"/>
        <w:rPr>
          <w:rFonts w:asciiTheme="minorHAnsi" w:eastAsiaTheme="minorEastAsia" w:hAnsiTheme="minorHAnsi" w:cstheme="minorBidi"/>
          <w:noProof/>
          <w:sz w:val="22"/>
          <w:szCs w:val="22"/>
          <w:lang w:eastAsia="en-AU"/>
        </w:rPr>
      </w:pPr>
      <w:hyperlink w:anchor="_Toc156569710" w:history="1">
        <w:r w:rsidR="009619D9" w:rsidRPr="00840063">
          <w:rPr>
            <w:rStyle w:val="Hyperlink"/>
            <w:noProof/>
          </w:rPr>
          <w:t>2.2.12</w:t>
        </w:r>
        <w:r w:rsidR="009619D9">
          <w:rPr>
            <w:rFonts w:asciiTheme="minorHAnsi" w:eastAsiaTheme="minorEastAsia" w:hAnsiTheme="minorHAnsi" w:cstheme="minorBidi"/>
            <w:noProof/>
            <w:sz w:val="22"/>
            <w:szCs w:val="22"/>
            <w:lang w:eastAsia="en-AU"/>
          </w:rPr>
          <w:tab/>
        </w:r>
        <w:r w:rsidR="009619D9" w:rsidRPr="00840063">
          <w:rPr>
            <w:rStyle w:val="Hyperlink"/>
            <w:noProof/>
          </w:rPr>
          <w:t>Mental health ambulatory targets 2023–24</w:t>
        </w:r>
        <w:r w:rsidR="009619D9">
          <w:rPr>
            <w:noProof/>
            <w:webHidden/>
          </w:rPr>
          <w:tab/>
        </w:r>
        <w:r w:rsidR="009619D9">
          <w:rPr>
            <w:noProof/>
            <w:webHidden/>
          </w:rPr>
          <w:fldChar w:fldCharType="begin"/>
        </w:r>
        <w:r w:rsidR="009619D9">
          <w:rPr>
            <w:noProof/>
            <w:webHidden/>
          </w:rPr>
          <w:instrText xml:space="preserve"> PAGEREF _Toc156569710 \h </w:instrText>
        </w:r>
        <w:r w:rsidR="009619D9">
          <w:rPr>
            <w:noProof/>
            <w:webHidden/>
          </w:rPr>
        </w:r>
        <w:r w:rsidR="009619D9">
          <w:rPr>
            <w:noProof/>
            <w:webHidden/>
          </w:rPr>
          <w:fldChar w:fldCharType="separate"/>
        </w:r>
        <w:r w:rsidR="009619D9">
          <w:rPr>
            <w:noProof/>
            <w:webHidden/>
          </w:rPr>
          <w:t>147</w:t>
        </w:r>
        <w:r w:rsidR="009619D9">
          <w:rPr>
            <w:noProof/>
            <w:webHidden/>
          </w:rPr>
          <w:fldChar w:fldCharType="end"/>
        </w:r>
      </w:hyperlink>
    </w:p>
    <w:p w14:paraId="0F444171" w14:textId="7F6EBE52" w:rsidR="009619D9" w:rsidRDefault="00000000">
      <w:pPr>
        <w:pStyle w:val="TOC3"/>
        <w:rPr>
          <w:rFonts w:asciiTheme="minorHAnsi" w:eastAsiaTheme="minorEastAsia" w:hAnsiTheme="minorHAnsi" w:cstheme="minorBidi"/>
          <w:noProof/>
          <w:sz w:val="22"/>
          <w:szCs w:val="22"/>
          <w:lang w:eastAsia="en-AU"/>
        </w:rPr>
      </w:pPr>
      <w:hyperlink w:anchor="_Toc156569711" w:history="1">
        <w:r w:rsidR="009619D9" w:rsidRPr="00840063">
          <w:rPr>
            <w:rStyle w:val="Hyperlink"/>
            <w:noProof/>
          </w:rPr>
          <w:t>2.2.13</w:t>
        </w:r>
        <w:r w:rsidR="009619D9">
          <w:rPr>
            <w:rFonts w:asciiTheme="minorHAnsi" w:eastAsiaTheme="minorEastAsia" w:hAnsiTheme="minorHAnsi" w:cstheme="minorBidi"/>
            <w:noProof/>
            <w:sz w:val="22"/>
            <w:szCs w:val="22"/>
            <w:lang w:eastAsia="en-AU"/>
          </w:rPr>
          <w:tab/>
        </w:r>
        <w:r w:rsidR="009619D9" w:rsidRPr="00840063">
          <w:rPr>
            <w:rStyle w:val="Hyperlink"/>
            <w:noProof/>
          </w:rPr>
          <w:t>Alcohol and Other Drugs Output Targets 2023–24</w:t>
        </w:r>
        <w:r w:rsidR="009619D9">
          <w:rPr>
            <w:noProof/>
            <w:webHidden/>
          </w:rPr>
          <w:tab/>
        </w:r>
        <w:r w:rsidR="009619D9">
          <w:rPr>
            <w:noProof/>
            <w:webHidden/>
          </w:rPr>
          <w:fldChar w:fldCharType="begin"/>
        </w:r>
        <w:r w:rsidR="009619D9">
          <w:rPr>
            <w:noProof/>
            <w:webHidden/>
          </w:rPr>
          <w:instrText xml:space="preserve"> PAGEREF _Toc156569711 \h </w:instrText>
        </w:r>
        <w:r w:rsidR="009619D9">
          <w:rPr>
            <w:noProof/>
            <w:webHidden/>
          </w:rPr>
        </w:r>
        <w:r w:rsidR="009619D9">
          <w:rPr>
            <w:noProof/>
            <w:webHidden/>
          </w:rPr>
          <w:fldChar w:fldCharType="separate"/>
        </w:r>
        <w:r w:rsidR="009619D9">
          <w:rPr>
            <w:noProof/>
            <w:webHidden/>
          </w:rPr>
          <w:t>148</w:t>
        </w:r>
        <w:r w:rsidR="009619D9">
          <w:rPr>
            <w:noProof/>
            <w:webHidden/>
          </w:rPr>
          <w:fldChar w:fldCharType="end"/>
        </w:r>
      </w:hyperlink>
    </w:p>
    <w:p w14:paraId="488F44B2" w14:textId="5F923C92" w:rsidR="009619D9" w:rsidRDefault="00000000">
      <w:pPr>
        <w:pStyle w:val="TOC1"/>
        <w:rPr>
          <w:rFonts w:asciiTheme="minorHAnsi" w:eastAsiaTheme="minorEastAsia" w:hAnsiTheme="minorHAnsi" w:cstheme="minorBidi"/>
          <w:b w:val="0"/>
          <w:sz w:val="22"/>
          <w:szCs w:val="22"/>
          <w:lang w:eastAsia="en-AU"/>
        </w:rPr>
      </w:pPr>
      <w:hyperlink w:anchor="_Toc156569712" w:history="1">
        <w:r w:rsidR="009619D9" w:rsidRPr="00840063">
          <w:rPr>
            <w:rStyle w:val="Hyperlink"/>
          </w:rPr>
          <w:t>List of tables</w:t>
        </w:r>
        <w:r w:rsidR="009619D9">
          <w:rPr>
            <w:webHidden/>
          </w:rPr>
          <w:tab/>
        </w:r>
        <w:r w:rsidR="009619D9">
          <w:rPr>
            <w:webHidden/>
          </w:rPr>
          <w:fldChar w:fldCharType="begin"/>
        </w:r>
        <w:r w:rsidR="009619D9">
          <w:rPr>
            <w:webHidden/>
          </w:rPr>
          <w:instrText xml:space="preserve"> PAGEREF _Toc156569712 \h </w:instrText>
        </w:r>
        <w:r w:rsidR="009619D9">
          <w:rPr>
            <w:webHidden/>
          </w:rPr>
        </w:r>
        <w:r w:rsidR="009619D9">
          <w:rPr>
            <w:webHidden/>
          </w:rPr>
          <w:fldChar w:fldCharType="separate"/>
        </w:r>
        <w:r w:rsidR="009619D9">
          <w:rPr>
            <w:webHidden/>
          </w:rPr>
          <w:t>150</w:t>
        </w:r>
        <w:r w:rsidR="009619D9">
          <w:rPr>
            <w:webHidden/>
          </w:rPr>
          <w:fldChar w:fldCharType="end"/>
        </w:r>
      </w:hyperlink>
    </w:p>
    <w:p w14:paraId="3B4B46CB" w14:textId="7215748B" w:rsidR="009619D9" w:rsidRDefault="00000000">
      <w:pPr>
        <w:pStyle w:val="TOC1"/>
        <w:rPr>
          <w:rFonts w:asciiTheme="minorHAnsi" w:eastAsiaTheme="minorEastAsia" w:hAnsiTheme="minorHAnsi" w:cstheme="minorBidi"/>
          <w:b w:val="0"/>
          <w:sz w:val="22"/>
          <w:szCs w:val="22"/>
          <w:lang w:eastAsia="en-AU"/>
        </w:rPr>
      </w:pPr>
      <w:hyperlink w:anchor="_Toc156569713" w:history="1">
        <w:r w:rsidR="009619D9" w:rsidRPr="00840063">
          <w:rPr>
            <w:rStyle w:val="Hyperlink"/>
          </w:rPr>
          <w:t>Acronyms and abbreviations</w:t>
        </w:r>
        <w:r w:rsidR="009619D9">
          <w:rPr>
            <w:webHidden/>
          </w:rPr>
          <w:tab/>
        </w:r>
        <w:r w:rsidR="009619D9">
          <w:rPr>
            <w:webHidden/>
          </w:rPr>
          <w:fldChar w:fldCharType="begin"/>
        </w:r>
        <w:r w:rsidR="009619D9">
          <w:rPr>
            <w:webHidden/>
          </w:rPr>
          <w:instrText xml:space="preserve"> PAGEREF _Toc156569713 \h </w:instrText>
        </w:r>
        <w:r w:rsidR="009619D9">
          <w:rPr>
            <w:webHidden/>
          </w:rPr>
        </w:r>
        <w:r w:rsidR="009619D9">
          <w:rPr>
            <w:webHidden/>
          </w:rPr>
          <w:fldChar w:fldCharType="separate"/>
        </w:r>
        <w:r w:rsidR="009619D9">
          <w:rPr>
            <w:webHidden/>
          </w:rPr>
          <w:t>152</w:t>
        </w:r>
        <w:r w:rsidR="009619D9">
          <w:rPr>
            <w:webHidden/>
          </w:rPr>
          <w:fldChar w:fldCharType="end"/>
        </w:r>
      </w:hyperlink>
    </w:p>
    <w:p w14:paraId="10F8287E" w14:textId="51E7A353" w:rsidR="00A44FA1" w:rsidRDefault="000B27B9" w:rsidP="00422D5E">
      <w:pPr>
        <w:pStyle w:val="TOC2"/>
        <w:sectPr w:rsidR="00A44FA1" w:rsidSect="00903B70">
          <w:pgSz w:w="11906" w:h="16838" w:code="9"/>
          <w:pgMar w:top="1135" w:right="1304" w:bottom="993" w:left="1304" w:header="680" w:footer="567" w:gutter="0"/>
          <w:pgNumType w:fmt="lowerRoman"/>
          <w:cols w:space="340"/>
          <w:titlePg/>
          <w:docGrid w:linePitch="360"/>
        </w:sectPr>
      </w:pPr>
      <w:r>
        <w:fldChar w:fldCharType="end"/>
      </w:r>
      <w:bookmarkStart w:id="3" w:name="_Toc100263256"/>
      <w:bookmarkStart w:id="4" w:name="_Toc48586378"/>
    </w:p>
    <w:p w14:paraId="7710BBB5" w14:textId="15304286" w:rsidR="000B27B9" w:rsidRPr="00674286" w:rsidRDefault="000B27B9" w:rsidP="00E02B46">
      <w:pPr>
        <w:pStyle w:val="Heading1"/>
        <w:numPr>
          <w:ilvl w:val="0"/>
          <w:numId w:val="0"/>
        </w:numPr>
        <w:rPr>
          <w:i/>
        </w:rPr>
      </w:pPr>
      <w:bookmarkStart w:id="5" w:name="_Toc100263257"/>
      <w:bookmarkStart w:id="6" w:name="_Toc156569569"/>
      <w:bookmarkEnd w:id="3"/>
      <w:r>
        <w:lastRenderedPageBreak/>
        <w:t xml:space="preserve">Overview of the </w:t>
      </w:r>
      <w:r w:rsidRPr="00B069A5">
        <w:rPr>
          <w:i/>
        </w:rPr>
        <w:t xml:space="preserve">Policy and </w:t>
      </w:r>
      <w:r w:rsidR="00CF6C79">
        <w:rPr>
          <w:i/>
          <w:iCs/>
        </w:rPr>
        <w:t>f</w:t>
      </w:r>
      <w:r w:rsidR="00CF6C79" w:rsidRPr="00B069A5">
        <w:rPr>
          <w:i/>
          <w:iCs/>
        </w:rPr>
        <w:t xml:space="preserve">unding </w:t>
      </w:r>
      <w:bookmarkEnd w:id="4"/>
      <w:r w:rsidR="00CF6C79">
        <w:rPr>
          <w:i/>
          <w:iCs/>
        </w:rPr>
        <w:t>g</w:t>
      </w:r>
      <w:r w:rsidR="00CF6C79" w:rsidRPr="00B069A5">
        <w:rPr>
          <w:i/>
          <w:iCs/>
        </w:rPr>
        <w:t>uidelines</w:t>
      </w:r>
      <w:r w:rsidR="00CF6C79" w:rsidRPr="00B069A5">
        <w:t xml:space="preserve"> </w:t>
      </w:r>
      <w:r w:rsidR="000071C6" w:rsidRPr="00B069A5">
        <w:rPr>
          <w:i/>
        </w:rPr>
        <w:t>202</w:t>
      </w:r>
      <w:bookmarkEnd w:id="5"/>
      <w:r w:rsidR="2E883368" w:rsidRPr="2209FB09">
        <w:rPr>
          <w:i/>
          <w:iCs/>
        </w:rPr>
        <w:t>3</w:t>
      </w:r>
      <w:r w:rsidR="00DE520F" w:rsidRPr="2209FB09">
        <w:rPr>
          <w:i/>
          <w:iCs/>
        </w:rPr>
        <w:t>–</w:t>
      </w:r>
      <w:r w:rsidR="000071C6" w:rsidRPr="2209FB09">
        <w:rPr>
          <w:i/>
          <w:iCs/>
        </w:rPr>
        <w:t>2</w:t>
      </w:r>
      <w:r w:rsidR="4246F5D5" w:rsidRPr="2209FB09">
        <w:rPr>
          <w:i/>
          <w:iCs/>
        </w:rPr>
        <w:t>4</w:t>
      </w:r>
      <w:bookmarkEnd w:id="6"/>
    </w:p>
    <w:p w14:paraId="09126C4E" w14:textId="59EAB184" w:rsidR="009C06B0" w:rsidRDefault="009C06B0" w:rsidP="00685B35">
      <w:pPr>
        <w:pStyle w:val="Body"/>
      </w:pPr>
      <w:bookmarkStart w:id="7" w:name="_Toc48586379"/>
      <w:r>
        <w:t xml:space="preserve">The </w:t>
      </w:r>
      <w:r>
        <w:rPr>
          <w:i/>
          <w:iCs/>
        </w:rPr>
        <w:t xml:space="preserve">Policy and </w:t>
      </w:r>
      <w:r w:rsidR="00CF6C79">
        <w:rPr>
          <w:i/>
          <w:iCs/>
        </w:rPr>
        <w:t>f</w:t>
      </w:r>
      <w:r>
        <w:rPr>
          <w:i/>
          <w:iCs/>
        </w:rPr>
        <w:t xml:space="preserve">unding </w:t>
      </w:r>
      <w:r w:rsidR="00CF6C79">
        <w:rPr>
          <w:i/>
          <w:iCs/>
        </w:rPr>
        <w:t>g</w:t>
      </w:r>
      <w:r w:rsidR="00CF6C79" w:rsidRPr="00FC790B">
        <w:rPr>
          <w:i/>
          <w:iCs/>
        </w:rPr>
        <w:t xml:space="preserve">uidelines </w:t>
      </w:r>
      <w:r w:rsidRPr="00FC790B">
        <w:rPr>
          <w:i/>
          <w:iCs/>
        </w:rPr>
        <w:t>202</w:t>
      </w:r>
      <w:r>
        <w:rPr>
          <w:i/>
          <w:iCs/>
        </w:rPr>
        <w:t>3</w:t>
      </w:r>
      <w:r w:rsidRPr="00FC790B">
        <w:rPr>
          <w:i/>
          <w:iCs/>
        </w:rPr>
        <w:t>–2</w:t>
      </w:r>
      <w:r>
        <w:rPr>
          <w:i/>
          <w:iCs/>
        </w:rPr>
        <w:t>4</w:t>
      </w:r>
      <w:r w:rsidRPr="00FC790B">
        <w:rPr>
          <w:i/>
          <w:iCs/>
        </w:rPr>
        <w:t xml:space="preserve"> </w:t>
      </w:r>
      <w:r w:rsidRPr="00FC790B">
        <w:t>(the</w:t>
      </w:r>
      <w:r>
        <w:t xml:space="preserve"> </w:t>
      </w:r>
      <w:r w:rsidR="00CF6C79">
        <w:t>guidelines</w:t>
      </w:r>
      <w:r>
        <w:t xml:space="preserve">) </w:t>
      </w:r>
      <w:r w:rsidR="00CF6C79">
        <w:t>set out</w:t>
      </w:r>
      <w:r w:rsidR="00CF6C79" w:rsidRPr="00A94B78">
        <w:t xml:space="preserve"> </w:t>
      </w:r>
      <w:r w:rsidRPr="00A94B78">
        <w:t xml:space="preserve">the system-wide terms and conditions </w:t>
      </w:r>
      <w:r>
        <w:t>for government-funded healthcare organisations (funded organisations)</w:t>
      </w:r>
      <w:r w:rsidR="00CF6C79">
        <w:t>. This</w:t>
      </w:r>
      <w:r>
        <w:t xml:space="preserve"> include</w:t>
      </w:r>
      <w:r w:rsidR="00CF6C79">
        <w:t>s</w:t>
      </w:r>
      <w:r>
        <w:t xml:space="preserve"> health </w:t>
      </w:r>
      <w:r w:rsidRPr="00CF6C79">
        <w:t>services</w:t>
      </w:r>
      <w:r>
        <w:t xml:space="preserve"> and hospitals, community service organisations and other organisations, such as Ambulance Victoria.</w:t>
      </w:r>
    </w:p>
    <w:p w14:paraId="22D1A7D5" w14:textId="1BA8FDEE" w:rsidR="009C06B0" w:rsidRDefault="009C06B0" w:rsidP="00685B35">
      <w:pPr>
        <w:pStyle w:val="Body"/>
      </w:pPr>
      <w:r>
        <w:t>The guidelines:</w:t>
      </w:r>
    </w:p>
    <w:p w14:paraId="60205265" w14:textId="77777777" w:rsidR="009C06B0" w:rsidRPr="00CF6C79" w:rsidRDefault="009C06B0" w:rsidP="00685B35">
      <w:pPr>
        <w:pStyle w:val="Bullet1"/>
      </w:pPr>
      <w:r w:rsidRPr="00CF6C79">
        <w:t>reflect the role of the Department of Health (the department) as the system steward</w:t>
      </w:r>
    </w:p>
    <w:p w14:paraId="5305D97D" w14:textId="77777777" w:rsidR="009C06B0" w:rsidRPr="00CF6C79" w:rsidRDefault="009C06B0" w:rsidP="00685B35">
      <w:pPr>
        <w:pStyle w:val="Bullet1"/>
      </w:pPr>
      <w:r w:rsidRPr="00CF6C79">
        <w:t>provide operational and service delivery policy changes, and outline contractual, statutory, and other duties and requirements</w:t>
      </w:r>
    </w:p>
    <w:p w14:paraId="2275605C" w14:textId="77777777" w:rsidR="009C06B0" w:rsidRPr="00CF6C79" w:rsidRDefault="009C06B0" w:rsidP="00685B35">
      <w:pPr>
        <w:pStyle w:val="Bullet1"/>
      </w:pPr>
      <w:r w:rsidRPr="00CF6C79">
        <w:t>detail the budgetary landscape, including funding and pricing arrangements, as well as funded activity and targets</w:t>
      </w:r>
    </w:p>
    <w:p w14:paraId="0BFE7BFF" w14:textId="77777777" w:rsidR="009C06B0" w:rsidRPr="00CF6C79" w:rsidRDefault="009C06B0" w:rsidP="00685B35">
      <w:pPr>
        <w:pStyle w:val="Bullet1"/>
      </w:pPr>
      <w:r w:rsidRPr="00CF6C79">
        <w:t>consist of two separate, although interconnected, publications: the Policy Guide and the Funding Rules.</w:t>
      </w:r>
    </w:p>
    <w:p w14:paraId="70B2401D" w14:textId="4A90C686" w:rsidR="000B27B9" w:rsidRPr="00C71497" w:rsidRDefault="000B27B9" w:rsidP="00A65A37">
      <w:pPr>
        <w:pStyle w:val="Heading2nonumber"/>
        <w:rPr>
          <w:rFonts w:eastAsia="MS Gothic"/>
        </w:rPr>
      </w:pPr>
      <w:bookmarkStart w:id="8" w:name="_Toc156569570"/>
      <w:r w:rsidRPr="3D00DAF1">
        <w:rPr>
          <w:rFonts w:eastAsia="MS Gothic"/>
        </w:rPr>
        <w:t xml:space="preserve">Policy </w:t>
      </w:r>
      <w:bookmarkEnd w:id="7"/>
      <w:r w:rsidR="00CF6C79" w:rsidRPr="00A65A37">
        <w:rPr>
          <w:rFonts w:eastAsia="MS Gothic"/>
        </w:rPr>
        <w:t>guide</w:t>
      </w:r>
      <w:bookmarkEnd w:id="8"/>
      <w:r w:rsidR="00CF6C79" w:rsidRPr="3D00DAF1">
        <w:rPr>
          <w:rFonts w:eastAsia="MS Gothic"/>
        </w:rPr>
        <w:t xml:space="preserve"> </w:t>
      </w:r>
    </w:p>
    <w:p w14:paraId="01528A81" w14:textId="10BCF3C4" w:rsidR="000B27B9" w:rsidRPr="00F64A0A" w:rsidRDefault="000B27B9" w:rsidP="00B92CD4">
      <w:pPr>
        <w:pStyle w:val="Body"/>
      </w:pPr>
      <w:r>
        <w:t xml:space="preserve">The </w:t>
      </w:r>
      <w:r w:rsidRPr="00685B35">
        <w:rPr>
          <w:i/>
          <w:iCs/>
        </w:rPr>
        <w:t xml:space="preserve">Policy </w:t>
      </w:r>
      <w:r w:rsidR="00CF6C79">
        <w:rPr>
          <w:i/>
          <w:iCs/>
        </w:rPr>
        <w:t>g</w:t>
      </w:r>
      <w:r w:rsidRPr="00685B35">
        <w:rPr>
          <w:i/>
          <w:iCs/>
        </w:rPr>
        <w:t>uide</w:t>
      </w:r>
      <w:r w:rsidR="00DE520F" w:rsidDel="000B27B9">
        <w:t xml:space="preserve"> </w:t>
      </w:r>
      <w:r>
        <w:t>provides detailed information on various operational and service delivery policy items</w:t>
      </w:r>
      <w:r w:rsidR="00CF6C79">
        <w:t>. This</w:t>
      </w:r>
      <w:r>
        <w:t xml:space="preserve"> includ</w:t>
      </w:r>
      <w:r w:rsidR="00CF6C79">
        <w:t>es</w:t>
      </w:r>
      <w:r>
        <w:t xml:space="preserve"> the conditions within which funded organisations operate, as well as the obligations, standards and requirements funded organisations are expected to adhere to.</w:t>
      </w:r>
    </w:p>
    <w:p w14:paraId="569834FA" w14:textId="77777777" w:rsidR="000B27B9" w:rsidRPr="00AA2842" w:rsidRDefault="000B27B9" w:rsidP="00AA2842">
      <w:pPr>
        <w:pStyle w:val="Heading3nonumber"/>
      </w:pPr>
      <w:bookmarkStart w:id="9" w:name="_Toc156569571"/>
      <w:r w:rsidRPr="00AA2842">
        <w:t>Part 1: Operational and service delivery policy</w:t>
      </w:r>
      <w:bookmarkEnd w:id="9"/>
    </w:p>
    <w:p w14:paraId="28354AEA" w14:textId="6AC284D6" w:rsidR="000B27B9" w:rsidRDefault="000B27B9" w:rsidP="00C04ECB">
      <w:pPr>
        <w:pStyle w:val="Body"/>
      </w:pPr>
      <w:r>
        <w:t>Part 1 is not a complete, holistic guide to operational and service delivery policy in Victoria</w:t>
      </w:r>
      <w:r w:rsidR="00CF6C79">
        <w:t>. I</w:t>
      </w:r>
      <w:r>
        <w:t>nstead</w:t>
      </w:r>
      <w:r w:rsidR="00CF6C79">
        <w:t>,</w:t>
      </w:r>
      <w:r>
        <w:t xml:space="preserve"> </w:t>
      </w:r>
      <w:r w:rsidR="00CF6C79">
        <w:t xml:space="preserve">it </w:t>
      </w:r>
      <w:r>
        <w:t>provides an annual publication to health services that identifies and highlights policy changes for delivered services.</w:t>
      </w:r>
    </w:p>
    <w:p w14:paraId="1F87CE1F" w14:textId="77777777" w:rsidR="000B27B9" w:rsidRPr="00AA2842" w:rsidRDefault="000B27B9" w:rsidP="00AA2842">
      <w:pPr>
        <w:pStyle w:val="Heading3nonumber"/>
      </w:pPr>
      <w:bookmarkStart w:id="10" w:name="_Toc156569572"/>
      <w:r w:rsidRPr="00AA2842">
        <w:t>Part 2: Obligations, standards and requirements</w:t>
      </w:r>
      <w:bookmarkEnd w:id="10"/>
    </w:p>
    <w:p w14:paraId="37FB504E" w14:textId="5F52EEAF" w:rsidR="000B27B9" w:rsidRDefault="00CF6C79" w:rsidP="00B92CD4">
      <w:pPr>
        <w:pStyle w:val="Body"/>
      </w:pPr>
      <w:r>
        <w:t xml:space="preserve">Part 2 set out the </w:t>
      </w:r>
      <w:r w:rsidR="000B27B9">
        <w:t>standards and obligations that funded organisations must adhere to</w:t>
      </w:r>
      <w:r>
        <w:t>. It aims to ensure</w:t>
      </w:r>
      <w:r w:rsidR="000B27B9">
        <w:t xml:space="preserve"> safe, high-quality service</w:t>
      </w:r>
      <w:r>
        <w:t xml:space="preserve"> delivery</w:t>
      </w:r>
      <w:r w:rsidR="000B27B9">
        <w:t xml:space="preserve"> and responsible financial management.</w:t>
      </w:r>
    </w:p>
    <w:p w14:paraId="3F44A065" w14:textId="5B32768B" w:rsidR="000B27B9" w:rsidRPr="00685B35" w:rsidRDefault="000B27B9" w:rsidP="00A65A37">
      <w:pPr>
        <w:pStyle w:val="Heading2nonumber"/>
        <w:rPr>
          <w:rFonts w:eastAsia="MS Gothic"/>
        </w:rPr>
      </w:pPr>
      <w:bookmarkStart w:id="11" w:name="_Toc48586380"/>
      <w:bookmarkStart w:id="12" w:name="_Toc156569573"/>
      <w:r w:rsidRPr="00B705F0">
        <w:rPr>
          <w:rFonts w:eastAsia="MS Gothic"/>
        </w:rPr>
        <w:t xml:space="preserve">Funding </w:t>
      </w:r>
      <w:bookmarkEnd w:id="11"/>
      <w:r w:rsidR="00CF6C79">
        <w:rPr>
          <w:rFonts w:eastAsia="MS Gothic"/>
        </w:rPr>
        <w:t>r</w:t>
      </w:r>
      <w:r w:rsidR="00CF6C79" w:rsidRPr="00B705F0">
        <w:rPr>
          <w:rFonts w:eastAsia="MS Gothic"/>
        </w:rPr>
        <w:t>ules</w:t>
      </w:r>
      <w:bookmarkEnd w:id="12"/>
    </w:p>
    <w:p w14:paraId="46CA1749" w14:textId="15A5DB52" w:rsidR="000B27B9" w:rsidRDefault="000B27B9" w:rsidP="00B92CD4">
      <w:pPr>
        <w:pStyle w:val="Body"/>
      </w:pPr>
      <w:r>
        <w:t xml:space="preserve">The </w:t>
      </w:r>
      <w:r w:rsidRPr="00AA2842">
        <w:rPr>
          <w:i/>
        </w:rPr>
        <w:t xml:space="preserve">Funding </w:t>
      </w:r>
      <w:r w:rsidR="00CF6C79">
        <w:rPr>
          <w:i/>
          <w:iCs/>
        </w:rPr>
        <w:t>r</w:t>
      </w:r>
      <w:r w:rsidRPr="00685B35">
        <w:rPr>
          <w:i/>
          <w:iCs/>
        </w:rPr>
        <w:t>ules</w:t>
      </w:r>
      <w:r w:rsidR="00BF4EDD" w:rsidRPr="00B61A4E">
        <w:t xml:space="preserve"> </w:t>
      </w:r>
      <w:r w:rsidR="00CF6C79">
        <w:t>(this document) provide</w:t>
      </w:r>
      <w:r>
        <w:t xml:space="preserve"> </w:t>
      </w:r>
      <w:r w:rsidRPr="00B61A4E">
        <w:t xml:space="preserve">the </w:t>
      </w:r>
      <w:r>
        <w:t xml:space="preserve">budgetary and funding parameters </w:t>
      </w:r>
      <w:r w:rsidR="2C01D5C0">
        <w:t xml:space="preserve">within which </w:t>
      </w:r>
      <w:r w:rsidRPr="00B61A4E">
        <w:t>funded organisations are expected to work</w:t>
      </w:r>
      <w:r>
        <w:t>.</w:t>
      </w:r>
    </w:p>
    <w:p w14:paraId="51EC2821" w14:textId="77777777" w:rsidR="000B27B9" w:rsidRPr="00AA2842" w:rsidRDefault="000B27B9" w:rsidP="00AA2842">
      <w:pPr>
        <w:pStyle w:val="Heading3nonumber"/>
      </w:pPr>
      <w:bookmarkStart w:id="13" w:name="_Toc156569574"/>
      <w:r w:rsidRPr="00AA2842">
        <w:t>Part 1: Budgetary landscape and pricing arrangements</w:t>
      </w:r>
      <w:bookmarkEnd w:id="13"/>
    </w:p>
    <w:p w14:paraId="6BCC674E" w14:textId="020802B4" w:rsidR="000B27B9" w:rsidRPr="005A38DA" w:rsidRDefault="2C01D5C0" w:rsidP="00B92CD4">
      <w:pPr>
        <w:pStyle w:val="Body"/>
      </w:pPr>
      <w:r>
        <w:t xml:space="preserve">Part 1 </w:t>
      </w:r>
      <w:r w:rsidR="00CF6C79">
        <w:t>sets out</w:t>
      </w:r>
      <w:r w:rsidR="00CF6C79" w:rsidRPr="005A38DA">
        <w:t xml:space="preserve"> </w:t>
      </w:r>
      <w:r w:rsidR="000B27B9" w:rsidRPr="005A38DA">
        <w:t>the budget</w:t>
      </w:r>
      <w:r w:rsidR="000B27B9">
        <w:t xml:space="preserve"> highlights and outputs</w:t>
      </w:r>
      <w:r w:rsidR="000B27B9" w:rsidRPr="005A38DA">
        <w:t>, and funding and pricing arrangements.</w:t>
      </w:r>
    </w:p>
    <w:p w14:paraId="1BA41C11" w14:textId="77777777" w:rsidR="000B27B9" w:rsidRPr="00AA2842" w:rsidRDefault="000B27B9" w:rsidP="00AA2842">
      <w:pPr>
        <w:pStyle w:val="Heading3nonumber"/>
      </w:pPr>
      <w:bookmarkStart w:id="14" w:name="_Toc156569575"/>
      <w:r w:rsidRPr="00AA2842">
        <w:t>Part 2: Funding and activity levels</w:t>
      </w:r>
      <w:bookmarkEnd w:id="14"/>
    </w:p>
    <w:p w14:paraId="31FBC133" w14:textId="09C0AE3F" w:rsidR="00910505" w:rsidRDefault="2C01D5C0" w:rsidP="00B92CD4">
      <w:pPr>
        <w:pStyle w:val="Body"/>
      </w:pPr>
      <w:r>
        <w:t xml:space="preserve">Part 2 </w:t>
      </w:r>
      <w:r w:rsidR="00CF6C79">
        <w:t>sets out</w:t>
      </w:r>
      <w:r w:rsidR="00CF6C79" w:rsidRPr="005A38DA">
        <w:t xml:space="preserve"> </w:t>
      </w:r>
      <w:r w:rsidR="000B27B9" w:rsidRPr="005A38DA">
        <w:t xml:space="preserve">funding and activity tables </w:t>
      </w:r>
      <w:r w:rsidR="00CF6C79">
        <w:t>that show</w:t>
      </w:r>
      <w:r w:rsidR="00CF6C79" w:rsidRPr="005A38DA">
        <w:t xml:space="preserve"> </w:t>
      </w:r>
      <w:r w:rsidR="000B27B9" w:rsidRPr="005A38DA">
        <w:t>the modelled budgets</w:t>
      </w:r>
      <w:r w:rsidR="00CF6C79">
        <w:t xml:space="preserve"> and program</w:t>
      </w:r>
      <w:r w:rsidR="000B27B9" w:rsidRPr="005A38DA">
        <w:t xml:space="preserve"> targets.</w:t>
      </w:r>
    </w:p>
    <w:p w14:paraId="449E50A6" w14:textId="00E1F638" w:rsidR="00977199" w:rsidRPr="00F3725E" w:rsidRDefault="00977199" w:rsidP="00CF6C79">
      <w:pPr>
        <w:pStyle w:val="Body"/>
      </w:pPr>
      <w:r w:rsidRPr="00F3725E">
        <w:lastRenderedPageBreak/>
        <w:t xml:space="preserve">Funded organisations should always refer to the </w:t>
      </w:r>
      <w:hyperlink r:id="rId20" w:history="1">
        <w:r w:rsidRPr="00685B35">
          <w:rPr>
            <w:rStyle w:val="Hyperlink"/>
            <w:i/>
            <w:iCs/>
            <w:lang w:val="en-US"/>
          </w:rPr>
          <w:t xml:space="preserve">Policy and </w:t>
        </w:r>
        <w:r w:rsidR="00CF6C79" w:rsidRPr="00685B35">
          <w:rPr>
            <w:rStyle w:val="Hyperlink"/>
            <w:i/>
            <w:iCs/>
            <w:lang w:val="en-US"/>
          </w:rPr>
          <w:t>funding guidelines</w:t>
        </w:r>
        <w:r w:rsidR="00CF6C79" w:rsidRPr="00F3725E">
          <w:rPr>
            <w:rStyle w:val="Hyperlink"/>
            <w:lang w:val="en-US"/>
          </w:rPr>
          <w:t xml:space="preserve"> </w:t>
        </w:r>
        <w:r w:rsidRPr="00F3725E">
          <w:rPr>
            <w:rStyle w:val="Hyperlink"/>
            <w:lang w:val="en-US"/>
          </w:rPr>
          <w:t>webpage</w:t>
        </w:r>
      </w:hyperlink>
      <w:r w:rsidRPr="00F3725E">
        <w:rPr>
          <w:lang w:val="en-US"/>
        </w:rPr>
        <w:t xml:space="preserve"> &lt;https://www.health.vic.gov.au/policy-and-funding-guidelines-for-health-services&gt;</w:t>
      </w:r>
      <w:r w:rsidR="00703812">
        <w:rPr>
          <w:lang w:val="en-US"/>
        </w:rPr>
        <w:t xml:space="preserve"> </w:t>
      </w:r>
      <w:r w:rsidRPr="00F3725E">
        <w:t>for the most recent version of the guidelines, as items may be updated throughout the year.</w:t>
      </w:r>
    </w:p>
    <w:p w14:paraId="0888BB03" w14:textId="77777777" w:rsidR="00977199" w:rsidRPr="00F3725E" w:rsidRDefault="00977199" w:rsidP="00CF6C79">
      <w:pPr>
        <w:pStyle w:val="Body"/>
      </w:pPr>
      <w:r w:rsidRPr="00F3725E">
        <w:t>Where these guidelines refer to a statute, regulation or contract, the reference and information provided is descriptive only.</w:t>
      </w:r>
    </w:p>
    <w:p w14:paraId="007B193E" w14:textId="4F809EAE" w:rsidR="00977199" w:rsidRPr="00F3725E" w:rsidRDefault="00977199" w:rsidP="00CF6C79">
      <w:pPr>
        <w:pStyle w:val="Body"/>
      </w:pPr>
      <w:r w:rsidRPr="00F3725E">
        <w:t>In the case of any inconsistencies or ambiguities</w:t>
      </w:r>
      <w:r w:rsidR="00CF6C79">
        <w:t>,</w:t>
      </w:r>
      <w:r w:rsidRPr="00F3725E">
        <w:t xml:space="preserve"> between these guidelines and any legislation, regulations and contractual obligations with the State of Victoria</w:t>
      </w:r>
      <w:r w:rsidR="00CF6C79">
        <w:t xml:space="preserve"> (</w:t>
      </w:r>
      <w:r w:rsidRPr="00F3725E">
        <w:t xml:space="preserve">acting through the </w:t>
      </w:r>
      <w:r w:rsidR="006D65DE">
        <w:t>d</w:t>
      </w:r>
      <w:r w:rsidRPr="00F3725E">
        <w:t>epartment or the Secretary of the department</w:t>
      </w:r>
      <w:r w:rsidR="00CF6C79">
        <w:t>)</w:t>
      </w:r>
      <w:r w:rsidRPr="00F3725E">
        <w:t xml:space="preserve">, the legislative, regulatory and contractual obligations take precedence. </w:t>
      </w:r>
    </w:p>
    <w:p w14:paraId="0D840704" w14:textId="5578A1AE" w:rsidR="00977199" w:rsidRPr="00F3725E" w:rsidRDefault="00977199" w:rsidP="00CF6C79">
      <w:pPr>
        <w:pStyle w:val="Body"/>
      </w:pPr>
      <w:r w:rsidRPr="00F3725E">
        <w:t xml:space="preserve">Each funded organisation should refer to the relevant statute, regulation or contract </w:t>
      </w:r>
      <w:r w:rsidR="00CF6C79">
        <w:t xml:space="preserve">to find out </w:t>
      </w:r>
      <w:r w:rsidRPr="00F3725E">
        <w:t xml:space="preserve">its legal obligations. If </w:t>
      </w:r>
      <w:r w:rsidR="00A65A37">
        <w:t>you have</w:t>
      </w:r>
      <w:r w:rsidRPr="00F3725E">
        <w:t xml:space="preserve"> </w:t>
      </w:r>
      <w:r w:rsidR="00A65A37">
        <w:t>questions about your funded organisation’s</w:t>
      </w:r>
      <w:r w:rsidRPr="00F3725E">
        <w:t xml:space="preserve"> legal obligations, seek independent legal advice.</w:t>
      </w:r>
    </w:p>
    <w:p w14:paraId="1D0DCD5E" w14:textId="07D6154C" w:rsidR="00977199" w:rsidRPr="00F3725E" w:rsidRDefault="00977199" w:rsidP="00CF6C79">
      <w:pPr>
        <w:pStyle w:val="Body"/>
        <w:rPr>
          <w:b/>
          <w:bCs/>
        </w:rPr>
      </w:pPr>
      <w:r w:rsidRPr="00F3725E">
        <w:t xml:space="preserve">Service agreements are contractual arrangements between entities funded to deliver services in the community and the department, which provides funding for this. For entities funded through a service agreement, visit the </w:t>
      </w:r>
      <w:hyperlink r:id="rId21">
        <w:r w:rsidRPr="00F3725E">
          <w:rPr>
            <w:rStyle w:val="Hyperlink"/>
            <w:lang w:val="en-US"/>
          </w:rPr>
          <w:t>service agreement website</w:t>
        </w:r>
      </w:hyperlink>
      <w:r w:rsidRPr="00F3725E">
        <w:t xml:space="preserve"> </w:t>
      </w:r>
      <w:r w:rsidR="00A65A37">
        <w:t>&lt;</w:t>
      </w:r>
      <w:r w:rsidR="00A65A37" w:rsidRPr="00685B35">
        <w:t>https://fac.dffh.vic.gov.au/service-agreement</w:t>
      </w:r>
      <w:r w:rsidR="00A65A37">
        <w:t xml:space="preserve">&gt; </w:t>
      </w:r>
      <w:r w:rsidRPr="00F3725E">
        <w:t>for funding information and activity tables that underpin service agreements.</w:t>
      </w:r>
    </w:p>
    <w:p w14:paraId="358C54DF" w14:textId="3AFBC14D" w:rsidR="00977199" w:rsidRDefault="00A65A37" w:rsidP="00CF6C79">
      <w:pPr>
        <w:pStyle w:val="Body"/>
        <w:rPr>
          <w:lang w:val="en-US"/>
        </w:rPr>
      </w:pPr>
      <w:r>
        <w:t>E</w:t>
      </w:r>
      <w:r w:rsidR="00977199" w:rsidRPr="00F3725E">
        <w:t xml:space="preserve">ntities funded by a service agreement can search for activity descriptions by visiting the </w:t>
      </w:r>
      <w:hyperlink r:id="rId22" w:history="1">
        <w:r w:rsidR="00977199" w:rsidRPr="00F3725E">
          <w:rPr>
            <w:rStyle w:val="Hyperlink"/>
          </w:rPr>
          <w:t>Department of Families, Fairness and Housing and Department of Health activity search</w:t>
        </w:r>
      </w:hyperlink>
      <w:r w:rsidR="00977199" w:rsidRPr="00F3725E">
        <w:t xml:space="preserve"> &lt;https://providers.dffh.vic.gov.au/families-fairness-housing-health-activity-search&gt;.</w:t>
      </w:r>
    </w:p>
    <w:p w14:paraId="6542F366" w14:textId="77777777" w:rsidR="00FB3366" w:rsidRPr="00A65A37" w:rsidRDefault="00FB3366" w:rsidP="00685B35">
      <w:pPr>
        <w:pStyle w:val="Heading2nonumber"/>
      </w:pPr>
      <w:bookmarkStart w:id="15" w:name="_Toc48586381"/>
      <w:bookmarkStart w:id="16" w:name="_Toc100263258"/>
      <w:bookmarkStart w:id="17" w:name="_Toc156569576"/>
      <w:bookmarkStart w:id="18" w:name="_Toc487742003"/>
      <w:bookmarkStart w:id="19" w:name="_Toc14172232"/>
      <w:r>
        <w:t>Terminology</w:t>
      </w:r>
      <w:bookmarkEnd w:id="15"/>
      <w:bookmarkEnd w:id="16"/>
      <w:bookmarkEnd w:id="17"/>
    </w:p>
    <w:p w14:paraId="54806A7E" w14:textId="77777777" w:rsidR="00FB3366" w:rsidRPr="005658F4" w:rsidRDefault="00FB3366" w:rsidP="00A65A37">
      <w:pPr>
        <w:pStyle w:val="Body"/>
      </w:pPr>
      <w:r w:rsidRPr="005658F4">
        <w:t xml:space="preserve">The term ‘funded organisations’ relates to all entities that receive </w:t>
      </w:r>
      <w:r w:rsidRPr="00685B35">
        <w:t>departmental</w:t>
      </w:r>
      <w:r w:rsidRPr="005658F4">
        <w:t xml:space="preserve"> funding to deliver services, unless specified otherwise.</w:t>
      </w:r>
    </w:p>
    <w:p w14:paraId="5D8246D4" w14:textId="673385C1" w:rsidR="00FB3366" w:rsidRPr="005658F4" w:rsidRDefault="00FB3366" w:rsidP="00A65A37">
      <w:pPr>
        <w:pStyle w:val="Body"/>
      </w:pPr>
      <w:r w:rsidRPr="005658F4">
        <w:t xml:space="preserve">For the purposes of the </w:t>
      </w:r>
      <w:r w:rsidRPr="00685B35">
        <w:rPr>
          <w:i/>
          <w:iCs/>
        </w:rPr>
        <w:t xml:space="preserve">Funding </w:t>
      </w:r>
      <w:r w:rsidR="00290680">
        <w:rPr>
          <w:i/>
          <w:iCs/>
        </w:rPr>
        <w:t>r</w:t>
      </w:r>
      <w:r w:rsidRPr="00685B35">
        <w:rPr>
          <w:i/>
          <w:iCs/>
        </w:rPr>
        <w:t>ules</w:t>
      </w:r>
      <w:r w:rsidRPr="005658F4">
        <w:t>, the term ‘</w:t>
      </w:r>
      <w:r w:rsidRPr="00685B35">
        <w:t>health</w:t>
      </w:r>
      <w:r w:rsidRPr="005658F4">
        <w:t xml:space="preserve"> services’ relates to public health services, denominational hospitals, public hospitals, and multipurpose services, as defined by the</w:t>
      </w:r>
      <w:r w:rsidRPr="005658F4">
        <w:rPr>
          <w:i/>
        </w:rPr>
        <w:t xml:space="preserve"> Health Services Act 1988</w:t>
      </w:r>
      <w:r w:rsidRPr="005658F4">
        <w:t>, regarding services provided within a hospital or a hospital-equivalent setting, unless otherwise specified.</w:t>
      </w:r>
    </w:p>
    <w:p w14:paraId="69E411CC" w14:textId="77777777" w:rsidR="00FB3366" w:rsidRPr="005658F4" w:rsidRDefault="00FB3366" w:rsidP="00A65A37">
      <w:pPr>
        <w:pStyle w:val="Body"/>
      </w:pPr>
      <w:r w:rsidRPr="005658F4">
        <w:t xml:space="preserve">The term ‘community service organisations’ refers to registered </w:t>
      </w:r>
      <w:r w:rsidRPr="00685B35">
        <w:t>community</w:t>
      </w:r>
      <w:r w:rsidRPr="005658F4">
        <w:t xml:space="preserve"> health centres, local government authorities and non-government organisations that are not health services.</w:t>
      </w:r>
    </w:p>
    <w:p w14:paraId="6D8BB6B1" w14:textId="22D670CB" w:rsidR="00FB3366" w:rsidRPr="005658F4" w:rsidRDefault="00FB3366" w:rsidP="00A65A37">
      <w:pPr>
        <w:pStyle w:val="Body"/>
      </w:pPr>
      <w:r w:rsidRPr="005658F4">
        <w:t xml:space="preserve">The </w:t>
      </w:r>
      <w:r w:rsidRPr="005658F4">
        <w:rPr>
          <w:i/>
        </w:rPr>
        <w:t xml:space="preserve">Funding </w:t>
      </w:r>
      <w:r w:rsidR="00290680">
        <w:rPr>
          <w:i/>
          <w:iCs/>
        </w:rPr>
        <w:t>r</w:t>
      </w:r>
      <w:r w:rsidR="00290680" w:rsidRPr="00685B35">
        <w:rPr>
          <w:i/>
          <w:iCs/>
        </w:rPr>
        <w:t>ules</w:t>
      </w:r>
      <w:r w:rsidR="00290680" w:rsidRPr="005658F4">
        <w:t xml:space="preserve"> </w:t>
      </w:r>
      <w:r w:rsidR="00290680">
        <w:t>are</w:t>
      </w:r>
      <w:r w:rsidR="00290680" w:rsidRPr="005658F4">
        <w:t xml:space="preserve"> </w:t>
      </w:r>
      <w:r w:rsidRPr="005658F4">
        <w:t xml:space="preserve">also relevant for Ambulance Victoria, Health Purchasing Victoria trading as HealthShare (HealthShare), the Victorian Institute of Forensic Mental </w:t>
      </w:r>
      <w:r w:rsidRPr="00F36CD8">
        <w:t>Health (known as Forensicare)</w:t>
      </w:r>
      <w:r w:rsidR="00F36CD8" w:rsidRPr="00F36CD8">
        <w:t xml:space="preserve"> and Youth Mental Health and Wellbeing Victoria</w:t>
      </w:r>
      <w:r w:rsidR="00F36CD8" w:rsidRPr="00F36CD8">
        <w:rPr>
          <w:rStyle w:val="FootnoteReference"/>
          <w:sz w:val="20"/>
        </w:rPr>
        <w:footnoteReference w:id="2"/>
      </w:r>
      <w:r w:rsidR="00F36CD8" w:rsidRPr="00F36CD8">
        <w:t xml:space="preserve"> (when it is operational)</w:t>
      </w:r>
      <w:r w:rsidRPr="00F36CD8">
        <w:t>.</w:t>
      </w:r>
      <w:r w:rsidRPr="005658F4">
        <w:t xml:space="preserve"> The </w:t>
      </w:r>
      <w:r w:rsidRPr="005658F4">
        <w:rPr>
          <w:i/>
        </w:rPr>
        <w:t xml:space="preserve">Funding </w:t>
      </w:r>
      <w:r w:rsidR="00290680">
        <w:rPr>
          <w:i/>
          <w:iCs/>
        </w:rPr>
        <w:t>r</w:t>
      </w:r>
      <w:r w:rsidR="00290680" w:rsidRPr="00685B35">
        <w:rPr>
          <w:i/>
          <w:iCs/>
        </w:rPr>
        <w:t>ules</w:t>
      </w:r>
      <w:r w:rsidR="00290680" w:rsidRPr="005658F4">
        <w:t xml:space="preserve"> </w:t>
      </w:r>
      <w:r w:rsidR="00290680">
        <w:t>specify</w:t>
      </w:r>
      <w:r w:rsidR="00290680" w:rsidRPr="005658F4">
        <w:t xml:space="preserve"> </w:t>
      </w:r>
      <w:r w:rsidRPr="005658F4">
        <w:t>where aspects are relevant for these organisations.</w:t>
      </w:r>
    </w:p>
    <w:p w14:paraId="7ECC23B7" w14:textId="04D0FA45" w:rsidR="00FB3366" w:rsidRPr="000F292C" w:rsidRDefault="000F292C" w:rsidP="00A65A37">
      <w:pPr>
        <w:pStyle w:val="Body"/>
      </w:pPr>
      <w:r>
        <w:t xml:space="preserve">Where the term ‘department’ is used, it refers to the Department of Health, </w:t>
      </w:r>
      <w:r w:rsidRPr="00A65A37">
        <w:t>unless</w:t>
      </w:r>
      <w:r>
        <w:t xml:space="preserve"> otherwise specified.</w:t>
      </w:r>
    </w:p>
    <w:p w14:paraId="4AA26F16" w14:textId="77777777" w:rsidR="00FB3366" w:rsidRDefault="00FB3366" w:rsidP="008A74EC">
      <w:pPr>
        <w:pStyle w:val="Body"/>
      </w:pPr>
    </w:p>
    <w:p w14:paraId="6BE08CC9" w14:textId="3A11742B" w:rsidR="00FB3366" w:rsidRDefault="00FB3366" w:rsidP="008A74EC">
      <w:pPr>
        <w:pStyle w:val="Body"/>
        <w:sectPr w:rsidR="00FB3366" w:rsidSect="00903B70">
          <w:pgSz w:w="11906" w:h="16838" w:code="9"/>
          <w:pgMar w:top="1135" w:right="1304" w:bottom="993" w:left="1304" w:header="680" w:footer="567" w:gutter="0"/>
          <w:pgNumType w:start="1"/>
          <w:cols w:space="340"/>
          <w:titlePg/>
          <w:docGrid w:linePitch="360"/>
        </w:sectPr>
      </w:pPr>
    </w:p>
    <w:p w14:paraId="7218F105" w14:textId="7C14CEDD" w:rsidR="000B27B9" w:rsidRPr="0026034E" w:rsidRDefault="000B27B9" w:rsidP="00826463">
      <w:pPr>
        <w:pStyle w:val="Heading1"/>
      </w:pPr>
      <w:bookmarkStart w:id="20" w:name="_Toc100263259"/>
      <w:bookmarkStart w:id="21" w:name="_Toc156569577"/>
      <w:bookmarkEnd w:id="18"/>
      <w:bookmarkEnd w:id="19"/>
      <w:r>
        <w:lastRenderedPageBreak/>
        <w:t xml:space="preserve">Budgetary </w:t>
      </w:r>
      <w:r w:rsidR="00D36551">
        <w:t>l</w:t>
      </w:r>
      <w:r>
        <w:t xml:space="preserve">andscape and </w:t>
      </w:r>
      <w:bookmarkEnd w:id="20"/>
      <w:r w:rsidR="00D36551">
        <w:t>p</w:t>
      </w:r>
      <w:r w:rsidRPr="0026034E">
        <w:t xml:space="preserve">ricing </w:t>
      </w:r>
      <w:r w:rsidR="00D36551">
        <w:t>a</w:t>
      </w:r>
      <w:r>
        <w:t>rrangements</w:t>
      </w:r>
      <w:bookmarkEnd w:id="21"/>
    </w:p>
    <w:p w14:paraId="46EE886B" w14:textId="77777777" w:rsidR="00484EDE" w:rsidRDefault="00484EDE" w:rsidP="00296999">
      <w:pPr>
        <w:pStyle w:val="Body"/>
      </w:pPr>
      <w:bookmarkStart w:id="22" w:name="_Toc52892548"/>
      <w:bookmarkStart w:id="23" w:name="_Ref54258664"/>
      <w:bookmarkStart w:id="24" w:name="_Ref54258668"/>
      <w:bookmarkStart w:id="25" w:name="_Ref54258679"/>
      <w:bookmarkStart w:id="26" w:name="_Toc418694901"/>
      <w:bookmarkStart w:id="27" w:name="_Toc6215538"/>
      <w:bookmarkStart w:id="28" w:name="_Toc10199614"/>
      <w:bookmarkStart w:id="29" w:name="_Toc418694900"/>
      <w:bookmarkStart w:id="30" w:name="_Toc487742004"/>
      <w:bookmarkStart w:id="31" w:name="_Toc14172233"/>
    </w:p>
    <w:p w14:paraId="4CC77C0F" w14:textId="77777777" w:rsidR="00F963FD" w:rsidRDefault="00F963FD" w:rsidP="00296999">
      <w:pPr>
        <w:pStyle w:val="Body"/>
        <w:sectPr w:rsidR="00F963FD" w:rsidSect="00903B70">
          <w:pgSz w:w="11906" w:h="16838" w:code="9"/>
          <w:pgMar w:top="4253" w:right="1304" w:bottom="993" w:left="1304" w:header="680" w:footer="567" w:gutter="0"/>
          <w:cols w:space="340"/>
          <w:titlePg/>
          <w:docGrid w:linePitch="360"/>
        </w:sectPr>
      </w:pPr>
    </w:p>
    <w:p w14:paraId="462020CF" w14:textId="30BC9EC0" w:rsidR="000B27B9" w:rsidRPr="00FE19AD" w:rsidRDefault="000B27B9" w:rsidP="009522D1">
      <w:pPr>
        <w:pStyle w:val="Heading2"/>
      </w:pPr>
      <w:bookmarkStart w:id="32" w:name="_Toc100263260"/>
      <w:bookmarkStart w:id="33" w:name="_Toc156569578"/>
      <w:bookmarkEnd w:id="22"/>
      <w:bookmarkEnd w:id="23"/>
      <w:bookmarkEnd w:id="24"/>
      <w:bookmarkEnd w:id="25"/>
      <w:r>
        <w:lastRenderedPageBreak/>
        <w:t xml:space="preserve">Budget </w:t>
      </w:r>
      <w:bookmarkEnd w:id="32"/>
      <w:r w:rsidR="00D36551">
        <w:t>h</w:t>
      </w:r>
      <w:r>
        <w:t>ighlights</w:t>
      </w:r>
      <w:bookmarkEnd w:id="33"/>
    </w:p>
    <w:p w14:paraId="598CA584" w14:textId="3A55D2D0" w:rsidR="00290680" w:rsidRDefault="00C65CE0" w:rsidP="003650CF">
      <w:pPr>
        <w:pStyle w:val="Body"/>
        <w:rPr>
          <w:rFonts w:eastAsia="Times New Roman" w:cs="Arial"/>
          <w:color w:val="000000" w:themeColor="text1"/>
          <w:szCs w:val="21"/>
          <w:lang w:eastAsia="en-GB"/>
        </w:rPr>
      </w:pPr>
      <w:r w:rsidRPr="00E911C2">
        <w:rPr>
          <w:rFonts w:eastAsia="Times New Roman" w:cs="Arial"/>
          <w:color w:val="000000" w:themeColor="text1"/>
          <w:szCs w:val="21"/>
          <w:lang w:eastAsia="en-GB"/>
        </w:rPr>
        <w:t>The </w:t>
      </w:r>
      <w:r w:rsidRPr="00685B35">
        <w:rPr>
          <w:rFonts w:eastAsia="Times New Roman" w:cs="Arial"/>
          <w:i/>
          <w:iCs/>
          <w:color w:val="000000" w:themeColor="text1"/>
          <w:szCs w:val="21"/>
          <w:lang w:eastAsia="en-GB"/>
        </w:rPr>
        <w:t>Victorian</w:t>
      </w:r>
      <w:r w:rsidRPr="00E911C2">
        <w:rPr>
          <w:rFonts w:eastAsia="Times New Roman" w:cs="Arial"/>
          <w:color w:val="000000" w:themeColor="text1"/>
          <w:szCs w:val="21"/>
          <w:lang w:eastAsia="en-GB"/>
        </w:rPr>
        <w:t xml:space="preserve"> </w:t>
      </w:r>
      <w:r w:rsidR="00290680" w:rsidRPr="00685B35">
        <w:rPr>
          <w:rFonts w:eastAsia="Times New Roman" w:cs="Arial"/>
          <w:i/>
          <w:iCs/>
          <w:color w:val="000000" w:themeColor="text1"/>
          <w:szCs w:val="21"/>
          <w:lang w:eastAsia="en-GB"/>
        </w:rPr>
        <w:t xml:space="preserve">State </w:t>
      </w:r>
      <w:r w:rsidRPr="00685B35">
        <w:rPr>
          <w:rFonts w:eastAsia="Times New Roman" w:cs="Arial"/>
          <w:i/>
          <w:iCs/>
          <w:color w:val="000000" w:themeColor="text1"/>
          <w:szCs w:val="21"/>
          <w:lang w:eastAsia="en-GB"/>
        </w:rPr>
        <w:t>Budget 2023–24</w:t>
      </w:r>
      <w:r w:rsidRPr="00E911C2">
        <w:rPr>
          <w:rFonts w:eastAsia="Times New Roman" w:cs="Arial"/>
          <w:color w:val="000000" w:themeColor="text1"/>
          <w:szCs w:val="21"/>
          <w:lang w:eastAsia="en-GB"/>
        </w:rPr>
        <w:t> (the budget) continues to invest in building hospitals, supporting our health system to meet growing demand and support</w:t>
      </w:r>
      <w:r w:rsidR="00DD0F06">
        <w:rPr>
          <w:rFonts w:eastAsia="Times New Roman" w:cs="Arial"/>
          <w:color w:val="000000" w:themeColor="text1"/>
          <w:szCs w:val="21"/>
          <w:lang w:eastAsia="en-GB"/>
        </w:rPr>
        <w:t>ing</w:t>
      </w:r>
      <w:r w:rsidRPr="00E911C2">
        <w:rPr>
          <w:rFonts w:eastAsia="Times New Roman" w:cs="Arial"/>
          <w:color w:val="000000" w:themeColor="text1"/>
          <w:szCs w:val="21"/>
          <w:lang w:eastAsia="en-GB"/>
        </w:rPr>
        <w:t xml:space="preserve"> our hardworking healthcare workers to ensure Victorians get the care they need, close to home. </w:t>
      </w:r>
    </w:p>
    <w:p w14:paraId="2D401578" w14:textId="547FDCB0" w:rsidR="00C65CE0" w:rsidRPr="00E911C2" w:rsidRDefault="00C65CE0" w:rsidP="003650CF">
      <w:pPr>
        <w:pStyle w:val="Body"/>
        <w:rPr>
          <w:rFonts w:cs="Arial"/>
          <w:color w:val="000000" w:themeColor="text1"/>
          <w:szCs w:val="21"/>
          <w:lang w:eastAsia="en-GB"/>
        </w:rPr>
      </w:pPr>
      <w:r w:rsidRPr="00E911C2">
        <w:rPr>
          <w:rFonts w:eastAsia="Times New Roman" w:cs="Arial"/>
          <w:color w:val="000000" w:themeColor="text1"/>
          <w:szCs w:val="21"/>
          <w:lang w:eastAsia="en-GB"/>
        </w:rPr>
        <w:t>Th</w:t>
      </w:r>
      <w:r w:rsidR="001561B0">
        <w:rPr>
          <w:rFonts w:eastAsia="Times New Roman" w:cs="Arial"/>
          <w:color w:val="000000" w:themeColor="text1"/>
          <w:szCs w:val="21"/>
          <w:lang w:eastAsia="en-GB"/>
        </w:rPr>
        <w:t>e</w:t>
      </w:r>
      <w:r w:rsidRPr="00E911C2">
        <w:rPr>
          <w:rFonts w:eastAsia="Times New Roman" w:cs="Arial"/>
          <w:color w:val="000000" w:themeColor="text1"/>
          <w:szCs w:val="21"/>
          <w:lang w:eastAsia="en-GB"/>
        </w:rPr>
        <w:t xml:space="preserve"> budget provides investment in essential services including:</w:t>
      </w:r>
    </w:p>
    <w:p w14:paraId="0E847550" w14:textId="61D0CB0A" w:rsidR="00C65CE0" w:rsidRPr="00685B35" w:rsidRDefault="00C65CE0" w:rsidP="00970080">
      <w:pPr>
        <w:pStyle w:val="Bullet1"/>
        <w:rPr>
          <w:rFonts w:cs="Arial"/>
          <w:iCs/>
          <w:color w:val="000000" w:themeColor="text1"/>
          <w:szCs w:val="21"/>
          <w:lang w:eastAsia="en-GB"/>
        </w:rPr>
      </w:pPr>
      <w:r w:rsidRPr="00E911C2">
        <w:rPr>
          <w:lang w:eastAsia="en-GB"/>
        </w:rPr>
        <w:t xml:space="preserve">$1.5 billion </w:t>
      </w:r>
      <w:r w:rsidRPr="00685B35">
        <w:rPr>
          <w:iCs/>
          <w:lang w:eastAsia="en-GB"/>
        </w:rPr>
        <w:t>to</w:t>
      </w:r>
      <w:r w:rsidRPr="00685B35">
        <w:rPr>
          <w:rFonts w:cs="Arial"/>
          <w:iCs/>
          <w:color w:val="000000" w:themeColor="text1"/>
          <w:szCs w:val="21"/>
          <w:lang w:eastAsia="en-GB"/>
        </w:rPr>
        <w:t xml:space="preserve"> boost deferred </w:t>
      </w:r>
      <w:r w:rsidR="00E613DE">
        <w:rPr>
          <w:rFonts w:cs="Arial"/>
          <w:iCs/>
          <w:color w:val="000000" w:themeColor="text1"/>
          <w:szCs w:val="21"/>
          <w:lang w:eastAsia="en-GB"/>
        </w:rPr>
        <w:t>planned</w:t>
      </w:r>
      <w:r w:rsidRPr="00685B35">
        <w:rPr>
          <w:rFonts w:cs="Arial"/>
          <w:iCs/>
          <w:color w:val="000000" w:themeColor="text1"/>
          <w:szCs w:val="21"/>
          <w:lang w:eastAsia="en-GB"/>
        </w:rPr>
        <w:t xml:space="preserve"> surgery and ease the pressure on our hospitals</w:t>
      </w:r>
    </w:p>
    <w:p w14:paraId="0A9533F1" w14:textId="6D95E708" w:rsidR="00C65CE0" w:rsidRDefault="00C65CE0" w:rsidP="00970080">
      <w:pPr>
        <w:pStyle w:val="Bullet1"/>
        <w:rPr>
          <w:rFonts w:cs="Arial"/>
          <w:i/>
          <w:color w:val="000000" w:themeColor="text1"/>
          <w:szCs w:val="21"/>
          <w:lang w:eastAsia="en-GB"/>
        </w:rPr>
      </w:pPr>
      <w:r w:rsidRPr="00E911C2">
        <w:rPr>
          <w:lang w:eastAsia="en-GB"/>
        </w:rPr>
        <w:t>$776 million</w:t>
      </w:r>
      <w:r>
        <w:rPr>
          <w:rFonts w:cs="Arial"/>
          <w:i/>
          <w:color w:val="000000" w:themeColor="text1"/>
          <w:szCs w:val="21"/>
          <w:lang w:eastAsia="en-GB"/>
        </w:rPr>
        <w:t xml:space="preserve"> </w:t>
      </w:r>
      <w:r w:rsidRPr="00685B35">
        <w:rPr>
          <w:rFonts w:cs="Arial"/>
          <w:iCs/>
          <w:color w:val="000000" w:themeColor="text1"/>
          <w:szCs w:val="21"/>
          <w:lang w:eastAsia="en-GB"/>
        </w:rPr>
        <w:t xml:space="preserve">for critical bed-based services, </w:t>
      </w:r>
      <w:r w:rsidR="00290D27" w:rsidRPr="00685B35">
        <w:rPr>
          <w:rFonts w:cs="Arial"/>
          <w:iCs/>
          <w:color w:val="000000" w:themeColor="text1"/>
          <w:szCs w:val="21"/>
          <w:lang w:eastAsia="en-GB"/>
        </w:rPr>
        <w:t>alcohol and other drug</w:t>
      </w:r>
      <w:r w:rsidRPr="00685B35">
        <w:rPr>
          <w:rFonts w:cs="Arial"/>
          <w:iCs/>
          <w:color w:val="000000" w:themeColor="text1"/>
          <w:szCs w:val="21"/>
          <w:lang w:eastAsia="en-GB"/>
        </w:rPr>
        <w:t xml:space="preserve"> services, infrastructure, earlier support in community mental health services and the roll-out of the new </w:t>
      </w:r>
      <w:r w:rsidRPr="0062171C">
        <w:rPr>
          <w:rFonts w:cs="Arial"/>
          <w:i/>
          <w:color w:val="000000" w:themeColor="text1"/>
          <w:szCs w:val="21"/>
          <w:lang w:eastAsia="en-GB"/>
        </w:rPr>
        <w:t>Mental Health and Wellbeing Act</w:t>
      </w:r>
      <w:r w:rsidR="00CE7F52">
        <w:rPr>
          <w:rFonts w:cs="Arial"/>
          <w:i/>
          <w:color w:val="000000" w:themeColor="text1"/>
          <w:szCs w:val="21"/>
          <w:lang w:eastAsia="en-GB"/>
        </w:rPr>
        <w:t xml:space="preserve"> 2022</w:t>
      </w:r>
    </w:p>
    <w:p w14:paraId="18F648AB" w14:textId="77777777" w:rsidR="00C65CE0" w:rsidRDefault="00C65CE0" w:rsidP="00970080">
      <w:pPr>
        <w:pStyle w:val="Bullet1"/>
        <w:rPr>
          <w:rFonts w:cs="Arial"/>
          <w:i/>
          <w:color w:val="000000" w:themeColor="text1"/>
          <w:szCs w:val="21"/>
          <w:lang w:eastAsia="en-GB"/>
        </w:rPr>
      </w:pPr>
      <w:r w:rsidRPr="00E911C2">
        <w:rPr>
          <w:lang w:eastAsia="en-GB"/>
        </w:rPr>
        <w:t>$3</w:t>
      </w:r>
      <w:r w:rsidRPr="0062171C">
        <w:rPr>
          <w:rFonts w:cs="Arial"/>
          <w:iCs/>
          <w:color w:val="000000" w:themeColor="text1"/>
          <w:szCs w:val="21"/>
          <w:lang w:eastAsia="en-GB"/>
        </w:rPr>
        <w:t>20</w:t>
      </w:r>
      <w:r w:rsidRPr="003D54D7">
        <w:rPr>
          <w:rFonts w:cs="Arial"/>
          <w:i/>
          <w:color w:val="000000" w:themeColor="text1"/>
          <w:szCs w:val="21"/>
          <w:lang w:eastAsia="en-GB"/>
        </w:rPr>
        <w:t xml:space="preserve"> </w:t>
      </w:r>
      <w:r w:rsidRPr="00F612ED">
        <w:rPr>
          <w:rFonts w:cs="Arial"/>
          <w:color w:val="000000" w:themeColor="text1"/>
          <w:szCs w:val="21"/>
          <w:lang w:eastAsia="en-GB"/>
        </w:rPr>
        <w:t>million</w:t>
      </w:r>
      <w:r w:rsidRPr="003D54D7">
        <w:rPr>
          <w:rFonts w:cs="Arial"/>
          <w:i/>
          <w:color w:val="000000" w:themeColor="text1"/>
          <w:szCs w:val="21"/>
          <w:lang w:eastAsia="en-GB"/>
        </w:rPr>
        <w:t xml:space="preserve"> </w:t>
      </w:r>
      <w:r w:rsidRPr="00685B35">
        <w:rPr>
          <w:rFonts w:cs="Arial"/>
          <w:iCs/>
          <w:color w:val="000000" w:themeColor="text1"/>
          <w:szCs w:val="21"/>
          <w:lang w:eastAsia="en-GB"/>
        </w:rPr>
        <w:t>to plan the delivery of major investments at seven hospitals across the state to ensure Victorians receive the highest quality healthcare</w:t>
      </w:r>
    </w:p>
    <w:p w14:paraId="6BAEC29A" w14:textId="3A786D57" w:rsidR="00C65CE0" w:rsidRPr="00C65CE0" w:rsidRDefault="00D17634" w:rsidP="00970080">
      <w:pPr>
        <w:pStyle w:val="Bullet1"/>
        <w:rPr>
          <w:rFonts w:cs="Arial"/>
          <w:i/>
          <w:color w:val="000000" w:themeColor="text1"/>
          <w:szCs w:val="21"/>
          <w:lang w:eastAsia="en-GB"/>
        </w:rPr>
      </w:pPr>
      <w:r>
        <w:rPr>
          <w:lang w:eastAsia="en-GB"/>
        </w:rPr>
        <w:t>a</w:t>
      </w:r>
      <w:r w:rsidR="00C65CE0" w:rsidRPr="00E911C2">
        <w:rPr>
          <w:lang w:eastAsia="en-GB"/>
        </w:rPr>
        <w:t xml:space="preserve"> $270 million </w:t>
      </w:r>
      <w:r w:rsidR="00C65CE0" w:rsidRPr="00685B35">
        <w:rPr>
          <w:rFonts w:cs="Arial"/>
          <w:iCs/>
          <w:color w:val="000000" w:themeColor="text1"/>
          <w:szCs w:val="21"/>
          <w:lang w:eastAsia="en-GB"/>
        </w:rPr>
        <w:t>investment in our health workforce to make it free to study nursing and midwifery for nurses that join the public health system</w:t>
      </w:r>
    </w:p>
    <w:p w14:paraId="3B4E90BA" w14:textId="31094045" w:rsidR="00C65CE0" w:rsidRDefault="00335242" w:rsidP="00970080">
      <w:pPr>
        <w:pStyle w:val="Bullet1"/>
        <w:rPr>
          <w:rFonts w:cs="Arial"/>
          <w:i/>
          <w:color w:val="000000" w:themeColor="text1"/>
          <w:szCs w:val="21"/>
          <w:lang w:eastAsia="en-GB"/>
        </w:rPr>
      </w:pPr>
      <w:r>
        <w:rPr>
          <w:lang w:eastAsia="en-GB"/>
        </w:rPr>
        <w:t>a</w:t>
      </w:r>
      <w:r w:rsidR="00CE0C42">
        <w:rPr>
          <w:lang w:eastAsia="en-GB"/>
        </w:rPr>
        <w:t xml:space="preserve"> </w:t>
      </w:r>
      <w:r w:rsidR="00C65CE0" w:rsidRPr="00E911C2">
        <w:rPr>
          <w:lang w:eastAsia="en-GB"/>
        </w:rPr>
        <w:t xml:space="preserve">$201 million </w:t>
      </w:r>
      <w:r w:rsidR="00C65CE0" w:rsidRPr="00685B35">
        <w:rPr>
          <w:iCs/>
          <w:lang w:eastAsia="en-GB"/>
        </w:rPr>
        <w:t>system</w:t>
      </w:r>
      <w:r w:rsidR="00290680">
        <w:rPr>
          <w:iCs/>
          <w:lang w:eastAsia="en-GB"/>
        </w:rPr>
        <w:t>-</w:t>
      </w:r>
      <w:r w:rsidR="00C65CE0" w:rsidRPr="00685B35">
        <w:rPr>
          <w:iCs/>
          <w:lang w:eastAsia="en-GB"/>
        </w:rPr>
        <w:t xml:space="preserve">wide boost to </w:t>
      </w:r>
      <w:r w:rsidR="00C65CE0" w:rsidRPr="00685B35">
        <w:rPr>
          <w:rFonts w:cs="Arial"/>
          <w:iCs/>
          <w:color w:val="000000" w:themeColor="text1"/>
          <w:szCs w:val="21"/>
          <w:lang w:eastAsia="en-GB"/>
        </w:rPr>
        <w:t>support timely emergency care, including more ambulance services and</w:t>
      </w:r>
      <w:r w:rsidR="00C65CE0" w:rsidRPr="003D54D7">
        <w:rPr>
          <w:rFonts w:cs="Arial"/>
          <w:i/>
          <w:color w:val="000000" w:themeColor="text1"/>
          <w:szCs w:val="21"/>
          <w:lang w:eastAsia="en-GB"/>
        </w:rPr>
        <w:t xml:space="preserve"> </w:t>
      </w:r>
      <w:r w:rsidR="00C65CE0" w:rsidRPr="00685B35">
        <w:rPr>
          <w:rFonts w:cs="Arial"/>
          <w:iCs/>
          <w:color w:val="000000" w:themeColor="text1"/>
          <w:szCs w:val="21"/>
          <w:lang w:eastAsia="en-GB"/>
        </w:rPr>
        <w:t>improvements to emergency department programs, to get patients the care they need as quickly as possible</w:t>
      </w:r>
    </w:p>
    <w:p w14:paraId="501309C9" w14:textId="77777777" w:rsidR="00C65CE0" w:rsidRDefault="00C65CE0" w:rsidP="00970080">
      <w:pPr>
        <w:pStyle w:val="Bullet1"/>
        <w:rPr>
          <w:rFonts w:cs="Arial"/>
          <w:i/>
          <w:color w:val="000000" w:themeColor="text1"/>
          <w:szCs w:val="21"/>
          <w:lang w:eastAsia="en-GB"/>
        </w:rPr>
      </w:pPr>
      <w:r w:rsidRPr="00E911C2">
        <w:rPr>
          <w:lang w:eastAsia="en-GB"/>
        </w:rPr>
        <w:t>$162</w:t>
      </w:r>
      <w:r w:rsidRPr="003D54D7">
        <w:rPr>
          <w:rFonts w:cs="Arial"/>
          <w:i/>
          <w:color w:val="000000" w:themeColor="text1"/>
          <w:szCs w:val="21"/>
          <w:lang w:eastAsia="en-GB"/>
        </w:rPr>
        <w:t xml:space="preserve"> </w:t>
      </w:r>
      <w:r w:rsidRPr="00F612ED">
        <w:rPr>
          <w:rFonts w:cs="Arial"/>
          <w:color w:val="000000" w:themeColor="text1"/>
          <w:szCs w:val="21"/>
          <w:lang w:eastAsia="en-GB"/>
        </w:rPr>
        <w:t>million</w:t>
      </w:r>
      <w:r w:rsidRPr="003D54D7">
        <w:rPr>
          <w:rFonts w:cs="Arial"/>
          <w:i/>
          <w:color w:val="000000" w:themeColor="text1"/>
          <w:szCs w:val="21"/>
          <w:lang w:eastAsia="en-GB"/>
        </w:rPr>
        <w:t xml:space="preserve"> </w:t>
      </w:r>
      <w:r w:rsidRPr="00685B35">
        <w:rPr>
          <w:rFonts w:cs="Arial"/>
          <w:iCs/>
          <w:color w:val="000000" w:themeColor="text1"/>
          <w:szCs w:val="21"/>
          <w:lang w:eastAsia="en-GB"/>
        </w:rPr>
        <w:t>for better aged care services across regional Victoria, to build new public aged care services in Cohuna, Maffra and Numurkah</w:t>
      </w:r>
    </w:p>
    <w:p w14:paraId="056B322C" w14:textId="0F13B6E3" w:rsidR="00C65CE0" w:rsidRDefault="00C65CE0" w:rsidP="00970080">
      <w:pPr>
        <w:pStyle w:val="Bullet1"/>
        <w:rPr>
          <w:rFonts w:cs="Arial"/>
          <w:i/>
          <w:color w:val="000000" w:themeColor="text1"/>
          <w:szCs w:val="21"/>
          <w:lang w:eastAsia="en-GB"/>
        </w:rPr>
      </w:pPr>
      <w:r w:rsidRPr="00E911C2">
        <w:rPr>
          <w:lang w:eastAsia="en-GB"/>
        </w:rPr>
        <w:t>$157 million</w:t>
      </w:r>
      <w:r w:rsidRPr="00F612ED">
        <w:rPr>
          <w:i/>
          <w:lang w:eastAsia="en-GB"/>
        </w:rPr>
        <w:t xml:space="preserve"> </w:t>
      </w:r>
      <w:r w:rsidRPr="00685B35">
        <w:rPr>
          <w:iCs/>
          <w:lang w:eastAsia="en-GB"/>
        </w:rPr>
        <w:t>for critical bed</w:t>
      </w:r>
      <w:r w:rsidRPr="00685B35">
        <w:rPr>
          <w:rFonts w:ascii="Cambria Math" w:hAnsi="Cambria Math" w:cs="Cambria Math"/>
          <w:iCs/>
          <w:color w:val="000000" w:themeColor="text1"/>
          <w:szCs w:val="21"/>
          <w:lang w:eastAsia="en-GB"/>
        </w:rPr>
        <w:t>‑</w:t>
      </w:r>
      <w:r w:rsidRPr="00685B35">
        <w:rPr>
          <w:rFonts w:cs="Arial"/>
          <w:iCs/>
          <w:color w:val="000000" w:themeColor="text1"/>
          <w:szCs w:val="21"/>
          <w:lang w:eastAsia="en-GB"/>
        </w:rPr>
        <w:t>based mental health services across our state including more Hospital in the Home beds for Barwon Health</w:t>
      </w:r>
      <w:r w:rsidR="00F7424E">
        <w:rPr>
          <w:rFonts w:cs="Arial"/>
          <w:iCs/>
          <w:color w:val="000000" w:themeColor="text1"/>
          <w:szCs w:val="21"/>
          <w:lang w:eastAsia="en-GB"/>
        </w:rPr>
        <w:t xml:space="preserve"> and</w:t>
      </w:r>
      <w:r w:rsidRPr="00685B35">
        <w:rPr>
          <w:rFonts w:cs="Arial"/>
          <w:iCs/>
          <w:color w:val="000000" w:themeColor="text1"/>
          <w:szCs w:val="21"/>
          <w:lang w:eastAsia="en-GB"/>
        </w:rPr>
        <w:t xml:space="preserve"> improving in</w:t>
      </w:r>
      <w:r w:rsidRPr="00685B35">
        <w:rPr>
          <w:rFonts w:ascii="Cambria Math" w:hAnsi="Cambria Math" w:cs="Cambria Math"/>
          <w:iCs/>
          <w:color w:val="000000" w:themeColor="text1"/>
          <w:szCs w:val="21"/>
          <w:lang w:eastAsia="en-GB"/>
        </w:rPr>
        <w:t>‑</w:t>
      </w:r>
      <w:r w:rsidRPr="00685B35">
        <w:rPr>
          <w:rFonts w:cs="Arial"/>
          <w:iCs/>
          <w:color w:val="000000" w:themeColor="text1"/>
          <w:szCs w:val="21"/>
          <w:lang w:eastAsia="en-GB"/>
        </w:rPr>
        <w:t>home mental health care for acutely unwell residents across the Geelong region</w:t>
      </w:r>
    </w:p>
    <w:p w14:paraId="5EFFBBEB" w14:textId="6F67C4AC" w:rsidR="00187BEB" w:rsidRPr="00E911C2" w:rsidRDefault="00187BEB" w:rsidP="00970080">
      <w:pPr>
        <w:pStyle w:val="Bullet1"/>
        <w:rPr>
          <w:lang w:eastAsia="en-GB"/>
        </w:rPr>
      </w:pPr>
      <w:r w:rsidRPr="00187BEB">
        <w:rPr>
          <w:lang w:eastAsia="en-GB"/>
        </w:rPr>
        <w:t xml:space="preserve">$154 million </w:t>
      </w:r>
      <w:r w:rsidRPr="00685B35">
        <w:rPr>
          <w:iCs/>
          <w:lang w:eastAsia="en-GB"/>
        </w:rPr>
        <w:t>to give women’s health the focus and funding it deserves, including 20 new comprehensive women’s health clinics at public hospitals.</w:t>
      </w:r>
    </w:p>
    <w:p w14:paraId="12FB5AD7" w14:textId="3755AC13" w:rsidR="00315766" w:rsidRDefault="00315766" w:rsidP="00685B35">
      <w:pPr>
        <w:pStyle w:val="Bodyafterbullets"/>
      </w:pPr>
      <w:r>
        <w:rPr>
          <w:lang w:eastAsia="en-GB"/>
        </w:rPr>
        <w:fldChar w:fldCharType="begin"/>
      </w:r>
      <w:r>
        <w:rPr>
          <w:lang w:eastAsia="en-GB"/>
        </w:rPr>
        <w:instrText xml:space="preserve"> REF _Ref144876855 \h </w:instrText>
      </w:r>
      <w:r>
        <w:rPr>
          <w:lang w:eastAsia="en-GB"/>
        </w:rPr>
      </w:r>
      <w:r>
        <w:rPr>
          <w:lang w:eastAsia="en-GB"/>
        </w:rPr>
        <w:fldChar w:fldCharType="separate"/>
      </w:r>
      <w:r w:rsidR="00892F13">
        <w:t xml:space="preserve">Table </w:t>
      </w:r>
      <w:r w:rsidR="00892F13">
        <w:rPr>
          <w:noProof/>
        </w:rPr>
        <w:t>1</w:t>
      </w:r>
      <w:r w:rsidR="00892F13">
        <w:t>.</w:t>
      </w:r>
      <w:r w:rsidR="00892F13">
        <w:rPr>
          <w:noProof/>
        </w:rPr>
        <w:t>1</w:t>
      </w:r>
      <w:r>
        <w:rPr>
          <w:lang w:eastAsia="en-GB"/>
        </w:rPr>
        <w:fldChar w:fldCharType="end"/>
      </w:r>
      <w:r w:rsidR="00720C51">
        <w:fldChar w:fldCharType="begin"/>
      </w:r>
      <w:r w:rsidR="00720C51">
        <w:instrText xml:space="preserve"> REF _Ref142493568 \h </w:instrText>
      </w:r>
      <w:r w:rsidR="00720C51">
        <w:fldChar w:fldCharType="end"/>
      </w:r>
      <w:r w:rsidR="00720C51">
        <w:t xml:space="preserve"> </w:t>
      </w:r>
      <w:r w:rsidR="009F261E">
        <w:t>shows</w:t>
      </w:r>
      <w:r w:rsidR="009F261E" w:rsidRPr="005B3494">
        <w:t xml:space="preserve"> </w:t>
      </w:r>
      <w:r w:rsidR="000B27B9" w:rsidRPr="00290680">
        <w:t>departmental</w:t>
      </w:r>
      <w:r w:rsidR="000B27B9" w:rsidRPr="005B3494">
        <w:t xml:space="preserve"> health operations funding by the </w:t>
      </w:r>
      <w:r w:rsidR="000B27B9" w:rsidRPr="008317F7">
        <w:t>output</w:t>
      </w:r>
      <w:r w:rsidR="000B27B9" w:rsidRPr="005B3494">
        <w:t xml:space="preserve"> categories provided in the </w:t>
      </w:r>
      <w:r w:rsidR="001A1D74">
        <w:rPr>
          <w:rStyle w:val="Emphasis"/>
          <w:i w:val="0"/>
          <w:iCs w:val="0"/>
        </w:rPr>
        <w:t>Budget</w:t>
      </w:r>
      <w:r w:rsidR="000B27B9" w:rsidRPr="005B3494">
        <w:t>.</w:t>
      </w:r>
      <w:r w:rsidR="00C86F0C">
        <w:t xml:space="preserve"> </w:t>
      </w:r>
      <w:r w:rsidR="009F261E">
        <w:t xml:space="preserve">Section </w:t>
      </w:r>
      <w:r w:rsidR="009F261E">
        <w:fldChar w:fldCharType="begin"/>
      </w:r>
      <w:r w:rsidR="009F261E">
        <w:instrText xml:space="preserve"> REF _Ref74211078 \w \h </w:instrText>
      </w:r>
      <w:r w:rsidR="009F261E">
        <w:fldChar w:fldCharType="separate"/>
      </w:r>
      <w:r w:rsidR="00892F13">
        <w:t>2.1</w:t>
      </w:r>
      <w:r w:rsidR="009F261E">
        <w:fldChar w:fldCharType="end"/>
      </w:r>
      <w:r w:rsidR="009F261E">
        <w:t xml:space="preserve"> ‘</w:t>
      </w:r>
      <w:r w:rsidR="009F261E">
        <w:fldChar w:fldCharType="begin"/>
      </w:r>
      <w:r w:rsidR="009F261E">
        <w:instrText xml:space="preserve"> REF _Ref74211087 \h </w:instrText>
      </w:r>
      <w:r w:rsidR="009F261E">
        <w:fldChar w:fldCharType="separate"/>
      </w:r>
      <w:r w:rsidR="00892F13" w:rsidRPr="004903A7">
        <w:t xml:space="preserve">Budget </w:t>
      </w:r>
      <w:r w:rsidR="009F261E">
        <w:fldChar w:fldCharType="end"/>
      </w:r>
      <w:r w:rsidR="009F261E">
        <w:t>’ provides a</w:t>
      </w:r>
      <w:r w:rsidR="000B27B9" w:rsidRPr="005B3494">
        <w:t xml:space="preserve"> summary of health service modelled budgets for </w:t>
      </w:r>
      <w:r w:rsidR="00BE1ADB">
        <w:t>2023</w:t>
      </w:r>
      <w:r w:rsidR="009F261E">
        <w:t>–</w:t>
      </w:r>
      <w:r w:rsidR="00BE1ADB">
        <w:t>24</w:t>
      </w:r>
      <w:r>
        <w:t>.</w:t>
      </w:r>
    </w:p>
    <w:p w14:paraId="43536B70" w14:textId="56A0EE0F" w:rsidR="00315766" w:rsidRDefault="00315766" w:rsidP="00685B35">
      <w:pPr>
        <w:pStyle w:val="Tablecaption"/>
      </w:pPr>
      <w:bookmarkStart w:id="34" w:name="_Ref144876855"/>
      <w:bookmarkStart w:id="35" w:name="_Ref144876846"/>
      <w:bookmarkStart w:id="36" w:name="_Toc156568644"/>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1</w:t>
      </w:r>
      <w:r>
        <w:fldChar w:fldCharType="end"/>
      </w:r>
      <w:bookmarkEnd w:id="34"/>
      <w:r>
        <w:t xml:space="preserve">: </w:t>
      </w:r>
      <w:r w:rsidRPr="00CD37D5">
        <w:t>Victorian State Budget 2023–24 by output group</w:t>
      </w:r>
      <w:bookmarkEnd w:id="35"/>
      <w:bookmarkEnd w:id="36"/>
    </w:p>
    <w:tbl>
      <w:tblP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1576"/>
        <w:gridCol w:w="1992"/>
        <w:gridCol w:w="2121"/>
      </w:tblGrid>
      <w:tr w:rsidR="009F261E" w:rsidRPr="00411C89" w14:paraId="311FBB40" w14:textId="77777777" w:rsidTr="00685B35">
        <w:trPr>
          <w:trHeight w:val="499"/>
          <w:tblHeader/>
        </w:trPr>
        <w:tc>
          <w:tcPr>
            <w:tcW w:w="3090" w:type="dxa"/>
            <w:shd w:val="clear" w:color="auto" w:fill="auto"/>
            <w:vAlign w:val="center"/>
          </w:tcPr>
          <w:p w14:paraId="4A3E431B" w14:textId="38903623" w:rsidR="009F261E" w:rsidRPr="00411C89" w:rsidRDefault="009F261E" w:rsidP="009F261E">
            <w:pPr>
              <w:pStyle w:val="Tablecolhead"/>
              <w:rPr>
                <w:lang w:eastAsia="en-AU"/>
              </w:rPr>
            </w:pPr>
            <w:r w:rsidRPr="00411C89">
              <w:rPr>
                <w:lang w:eastAsia="en-AU"/>
              </w:rPr>
              <w:t>Output group </w:t>
            </w:r>
          </w:p>
        </w:tc>
        <w:tc>
          <w:tcPr>
            <w:tcW w:w="1576" w:type="dxa"/>
            <w:shd w:val="clear" w:color="auto" w:fill="auto"/>
            <w:vAlign w:val="center"/>
          </w:tcPr>
          <w:p w14:paraId="51A13CCC" w14:textId="0F79BB6D" w:rsidR="009F261E" w:rsidRPr="00411C89" w:rsidRDefault="009F261E" w:rsidP="00F02FEF">
            <w:pPr>
              <w:pStyle w:val="Tablecolhead"/>
              <w:jc w:val="right"/>
              <w:rPr>
                <w:lang w:eastAsia="en-AU"/>
              </w:rPr>
            </w:pPr>
            <w:r w:rsidRPr="00411C89">
              <w:rPr>
                <w:lang w:eastAsia="en-AU"/>
              </w:rPr>
              <w:t>2022–23 budget ($ m) </w:t>
            </w:r>
          </w:p>
        </w:tc>
        <w:tc>
          <w:tcPr>
            <w:tcW w:w="1992" w:type="dxa"/>
            <w:shd w:val="clear" w:color="auto" w:fill="auto"/>
            <w:vAlign w:val="center"/>
          </w:tcPr>
          <w:p w14:paraId="31A63DB8" w14:textId="55188477" w:rsidR="009F261E" w:rsidRPr="00411C89" w:rsidRDefault="009F261E" w:rsidP="00F02FEF">
            <w:pPr>
              <w:pStyle w:val="Tablecolhead"/>
              <w:jc w:val="right"/>
              <w:rPr>
                <w:lang w:eastAsia="en-AU"/>
              </w:rPr>
            </w:pPr>
            <w:r w:rsidRPr="00411C89">
              <w:rPr>
                <w:lang w:eastAsia="en-AU"/>
              </w:rPr>
              <w:t>2023</w:t>
            </w:r>
            <w:r>
              <w:rPr>
                <w:lang w:eastAsia="en-AU"/>
              </w:rPr>
              <w:t>–</w:t>
            </w:r>
            <w:r w:rsidRPr="00411C89">
              <w:rPr>
                <w:lang w:eastAsia="en-AU"/>
              </w:rPr>
              <w:t>24 budget ($ m) </w:t>
            </w:r>
          </w:p>
        </w:tc>
        <w:tc>
          <w:tcPr>
            <w:tcW w:w="2121" w:type="dxa"/>
            <w:shd w:val="clear" w:color="auto" w:fill="auto"/>
            <w:vAlign w:val="center"/>
          </w:tcPr>
          <w:p w14:paraId="519A8CFE" w14:textId="22DBEE22" w:rsidR="009F261E" w:rsidRPr="00411C89" w:rsidRDefault="009F261E" w:rsidP="00F02FEF">
            <w:pPr>
              <w:pStyle w:val="Tablecolhead"/>
              <w:jc w:val="right"/>
              <w:rPr>
                <w:lang w:eastAsia="en-AU"/>
              </w:rPr>
            </w:pPr>
            <w:r w:rsidRPr="00411C89">
              <w:rPr>
                <w:lang w:eastAsia="en-AU"/>
              </w:rPr>
              <w:t>% variation from </w:t>
            </w:r>
            <w:r>
              <w:rPr>
                <w:lang w:eastAsia="en-AU"/>
              </w:rPr>
              <w:br/>
            </w:r>
            <w:r w:rsidRPr="008F2802">
              <w:t>2022–23 to 2023</w:t>
            </w:r>
            <w:r w:rsidR="00E3088D">
              <w:t>-</w:t>
            </w:r>
            <w:r w:rsidR="002669A9">
              <w:t>24</w:t>
            </w:r>
          </w:p>
        </w:tc>
      </w:tr>
      <w:tr w:rsidR="009F261E" w:rsidRPr="00411C89" w14:paraId="410714E1" w14:textId="77777777" w:rsidTr="00685B35">
        <w:trPr>
          <w:trHeight w:val="499"/>
        </w:trPr>
        <w:tc>
          <w:tcPr>
            <w:tcW w:w="3090" w:type="dxa"/>
            <w:shd w:val="clear" w:color="auto" w:fill="auto"/>
            <w:vAlign w:val="center"/>
            <w:hideMark/>
          </w:tcPr>
          <w:p w14:paraId="07CB9373" w14:textId="77777777" w:rsidR="009F261E" w:rsidRPr="00411C89" w:rsidRDefault="009F261E" w:rsidP="00685B35">
            <w:pPr>
              <w:pStyle w:val="Tabletext"/>
              <w:rPr>
                <w:lang w:eastAsia="en-AU"/>
              </w:rPr>
            </w:pPr>
            <w:r w:rsidRPr="00411C89">
              <w:rPr>
                <w:lang w:eastAsia="en-AU"/>
              </w:rPr>
              <w:t>Admitted Services  </w:t>
            </w:r>
          </w:p>
        </w:tc>
        <w:tc>
          <w:tcPr>
            <w:tcW w:w="1576" w:type="dxa"/>
            <w:shd w:val="clear" w:color="auto" w:fill="auto"/>
            <w:vAlign w:val="center"/>
            <w:hideMark/>
          </w:tcPr>
          <w:p w14:paraId="27E45116" w14:textId="77777777" w:rsidR="009F261E" w:rsidRPr="00411C89" w:rsidRDefault="009F261E" w:rsidP="00685B35">
            <w:pPr>
              <w:pStyle w:val="Tabletext"/>
              <w:jc w:val="right"/>
              <w:rPr>
                <w:lang w:eastAsia="en-AU"/>
              </w:rPr>
            </w:pPr>
            <w:r w:rsidRPr="00411C89">
              <w:rPr>
                <w:color w:val="000000" w:themeColor="text1"/>
                <w:lang w:eastAsia="en-AU"/>
              </w:rPr>
              <w:t>13802.6</w:t>
            </w:r>
          </w:p>
        </w:tc>
        <w:tc>
          <w:tcPr>
            <w:tcW w:w="1992" w:type="dxa"/>
            <w:shd w:val="clear" w:color="auto" w:fill="auto"/>
            <w:vAlign w:val="center"/>
            <w:hideMark/>
          </w:tcPr>
          <w:p w14:paraId="7D077635" w14:textId="77777777" w:rsidR="009F261E" w:rsidRPr="00411C89" w:rsidRDefault="009F261E" w:rsidP="00685B35">
            <w:pPr>
              <w:pStyle w:val="Tabletext"/>
              <w:jc w:val="right"/>
              <w:rPr>
                <w:lang w:eastAsia="en-AU"/>
              </w:rPr>
            </w:pPr>
            <w:r w:rsidRPr="00411C89">
              <w:rPr>
                <w:lang w:eastAsia="en-AU"/>
              </w:rPr>
              <w:t>14438.8</w:t>
            </w:r>
          </w:p>
        </w:tc>
        <w:tc>
          <w:tcPr>
            <w:tcW w:w="2121" w:type="dxa"/>
            <w:shd w:val="clear" w:color="auto" w:fill="auto"/>
            <w:vAlign w:val="center"/>
            <w:hideMark/>
          </w:tcPr>
          <w:p w14:paraId="224EB875" w14:textId="77777777" w:rsidR="009F261E" w:rsidRPr="00411C89" w:rsidRDefault="009F261E" w:rsidP="00685B35">
            <w:pPr>
              <w:pStyle w:val="Tabletext"/>
              <w:jc w:val="right"/>
              <w:rPr>
                <w:lang w:eastAsia="en-AU"/>
              </w:rPr>
            </w:pPr>
            <w:r w:rsidRPr="00411C89">
              <w:rPr>
                <w:lang w:eastAsia="en-AU"/>
              </w:rPr>
              <w:t>4.6</w:t>
            </w:r>
          </w:p>
        </w:tc>
      </w:tr>
      <w:tr w:rsidR="009F261E" w:rsidRPr="00411C89" w14:paraId="77FAEB40" w14:textId="77777777" w:rsidTr="00685B35">
        <w:trPr>
          <w:trHeight w:val="499"/>
        </w:trPr>
        <w:tc>
          <w:tcPr>
            <w:tcW w:w="3090" w:type="dxa"/>
            <w:shd w:val="clear" w:color="auto" w:fill="auto"/>
            <w:vAlign w:val="center"/>
            <w:hideMark/>
          </w:tcPr>
          <w:p w14:paraId="47B8D44E" w14:textId="77777777" w:rsidR="009F261E" w:rsidRPr="00411C89" w:rsidRDefault="009F261E" w:rsidP="00685B35">
            <w:pPr>
              <w:pStyle w:val="Tabletext"/>
              <w:rPr>
                <w:lang w:eastAsia="en-AU"/>
              </w:rPr>
            </w:pPr>
            <w:r w:rsidRPr="00411C89">
              <w:rPr>
                <w:lang w:eastAsia="en-AU"/>
              </w:rPr>
              <w:t>Non-Admitted Services  </w:t>
            </w:r>
          </w:p>
        </w:tc>
        <w:tc>
          <w:tcPr>
            <w:tcW w:w="1576" w:type="dxa"/>
            <w:shd w:val="clear" w:color="auto" w:fill="auto"/>
            <w:vAlign w:val="center"/>
            <w:hideMark/>
          </w:tcPr>
          <w:p w14:paraId="18B582A4" w14:textId="77777777" w:rsidR="009F261E" w:rsidRPr="00411C89" w:rsidRDefault="009F261E" w:rsidP="00685B35">
            <w:pPr>
              <w:pStyle w:val="Tabletext"/>
              <w:jc w:val="right"/>
              <w:rPr>
                <w:lang w:eastAsia="en-AU"/>
              </w:rPr>
            </w:pPr>
            <w:r w:rsidRPr="00411C89">
              <w:rPr>
                <w:lang w:eastAsia="en-AU"/>
              </w:rPr>
              <w:t>2189.7</w:t>
            </w:r>
          </w:p>
        </w:tc>
        <w:tc>
          <w:tcPr>
            <w:tcW w:w="1992" w:type="dxa"/>
            <w:shd w:val="clear" w:color="auto" w:fill="auto"/>
            <w:vAlign w:val="center"/>
            <w:hideMark/>
          </w:tcPr>
          <w:p w14:paraId="066179F1" w14:textId="77777777" w:rsidR="009F261E" w:rsidRPr="00411C89" w:rsidRDefault="009F261E" w:rsidP="00685B35">
            <w:pPr>
              <w:pStyle w:val="Tabletext"/>
              <w:jc w:val="right"/>
              <w:rPr>
                <w:lang w:eastAsia="en-AU"/>
              </w:rPr>
            </w:pPr>
            <w:r w:rsidRPr="00411C89">
              <w:rPr>
                <w:lang w:eastAsia="en-AU"/>
              </w:rPr>
              <w:t>2223.0</w:t>
            </w:r>
          </w:p>
        </w:tc>
        <w:tc>
          <w:tcPr>
            <w:tcW w:w="2121" w:type="dxa"/>
            <w:shd w:val="clear" w:color="auto" w:fill="auto"/>
            <w:vAlign w:val="center"/>
            <w:hideMark/>
          </w:tcPr>
          <w:p w14:paraId="648FB40B" w14:textId="77777777" w:rsidR="009F261E" w:rsidRPr="00411C89" w:rsidRDefault="009F261E" w:rsidP="00685B35">
            <w:pPr>
              <w:pStyle w:val="Tabletext"/>
              <w:jc w:val="right"/>
              <w:rPr>
                <w:lang w:eastAsia="en-AU"/>
              </w:rPr>
            </w:pPr>
            <w:r w:rsidRPr="00411C89">
              <w:rPr>
                <w:lang w:eastAsia="en-AU"/>
              </w:rPr>
              <w:t>1.5</w:t>
            </w:r>
          </w:p>
        </w:tc>
      </w:tr>
      <w:tr w:rsidR="009F261E" w:rsidRPr="00411C89" w14:paraId="5284A3F4" w14:textId="77777777" w:rsidTr="00685B35">
        <w:trPr>
          <w:trHeight w:val="499"/>
        </w:trPr>
        <w:tc>
          <w:tcPr>
            <w:tcW w:w="3090" w:type="dxa"/>
            <w:shd w:val="clear" w:color="auto" w:fill="auto"/>
            <w:vAlign w:val="center"/>
            <w:hideMark/>
          </w:tcPr>
          <w:p w14:paraId="701FED9C" w14:textId="77777777" w:rsidR="009F261E" w:rsidRPr="00411C89" w:rsidRDefault="009F261E" w:rsidP="00685B35">
            <w:pPr>
              <w:pStyle w:val="Tabletext"/>
              <w:rPr>
                <w:lang w:eastAsia="en-AU"/>
              </w:rPr>
            </w:pPr>
            <w:r w:rsidRPr="00411C89">
              <w:rPr>
                <w:lang w:eastAsia="en-AU"/>
              </w:rPr>
              <w:t>Emergency Services  </w:t>
            </w:r>
          </w:p>
        </w:tc>
        <w:tc>
          <w:tcPr>
            <w:tcW w:w="1576" w:type="dxa"/>
            <w:shd w:val="clear" w:color="auto" w:fill="auto"/>
            <w:vAlign w:val="center"/>
            <w:hideMark/>
          </w:tcPr>
          <w:p w14:paraId="13EB6127" w14:textId="77777777" w:rsidR="009F261E" w:rsidRPr="00411C89" w:rsidRDefault="009F261E" w:rsidP="00685B35">
            <w:pPr>
              <w:pStyle w:val="Tabletext"/>
              <w:jc w:val="right"/>
              <w:rPr>
                <w:lang w:eastAsia="en-AU"/>
              </w:rPr>
            </w:pPr>
            <w:r w:rsidRPr="00411C89">
              <w:rPr>
                <w:lang w:eastAsia="en-AU"/>
              </w:rPr>
              <w:t>882.0</w:t>
            </w:r>
          </w:p>
        </w:tc>
        <w:tc>
          <w:tcPr>
            <w:tcW w:w="1992" w:type="dxa"/>
            <w:shd w:val="clear" w:color="auto" w:fill="auto"/>
            <w:vAlign w:val="center"/>
            <w:hideMark/>
          </w:tcPr>
          <w:p w14:paraId="47FAC2CD" w14:textId="77777777" w:rsidR="009F261E" w:rsidRPr="00411C89" w:rsidRDefault="009F261E" w:rsidP="00685B35">
            <w:pPr>
              <w:pStyle w:val="Tabletext"/>
              <w:jc w:val="right"/>
              <w:rPr>
                <w:lang w:eastAsia="en-AU"/>
              </w:rPr>
            </w:pPr>
            <w:r w:rsidRPr="00411C89">
              <w:rPr>
                <w:lang w:eastAsia="en-AU"/>
              </w:rPr>
              <w:t>965.7</w:t>
            </w:r>
          </w:p>
        </w:tc>
        <w:tc>
          <w:tcPr>
            <w:tcW w:w="2121" w:type="dxa"/>
            <w:shd w:val="clear" w:color="auto" w:fill="auto"/>
            <w:vAlign w:val="center"/>
            <w:hideMark/>
          </w:tcPr>
          <w:p w14:paraId="7A0FFDB3" w14:textId="77777777" w:rsidR="009F261E" w:rsidRPr="00411C89" w:rsidRDefault="009F261E" w:rsidP="00685B35">
            <w:pPr>
              <w:pStyle w:val="Tabletext"/>
              <w:jc w:val="right"/>
              <w:rPr>
                <w:lang w:eastAsia="en-AU"/>
              </w:rPr>
            </w:pPr>
            <w:r w:rsidRPr="00411C89">
              <w:rPr>
                <w:lang w:eastAsia="en-AU"/>
              </w:rPr>
              <w:t>9.5</w:t>
            </w:r>
          </w:p>
        </w:tc>
      </w:tr>
      <w:tr w:rsidR="009F261E" w:rsidRPr="00411C89" w14:paraId="0CC7B550" w14:textId="77777777" w:rsidTr="00685B35">
        <w:trPr>
          <w:trHeight w:val="499"/>
        </w:trPr>
        <w:tc>
          <w:tcPr>
            <w:tcW w:w="3090" w:type="dxa"/>
            <w:shd w:val="clear" w:color="auto" w:fill="auto"/>
            <w:vAlign w:val="center"/>
            <w:hideMark/>
          </w:tcPr>
          <w:p w14:paraId="45929F15" w14:textId="77777777" w:rsidR="009F261E" w:rsidRPr="00411C89" w:rsidRDefault="009F261E" w:rsidP="00685B35">
            <w:pPr>
              <w:pStyle w:val="Tabletext"/>
              <w:rPr>
                <w:lang w:eastAsia="en-AU"/>
              </w:rPr>
            </w:pPr>
            <w:r w:rsidRPr="00411C89">
              <w:rPr>
                <w:lang w:eastAsia="en-AU"/>
              </w:rPr>
              <w:t>Health Workforce Training and Development</w:t>
            </w:r>
          </w:p>
        </w:tc>
        <w:tc>
          <w:tcPr>
            <w:tcW w:w="1576" w:type="dxa"/>
            <w:shd w:val="clear" w:color="auto" w:fill="auto"/>
            <w:vAlign w:val="center"/>
            <w:hideMark/>
          </w:tcPr>
          <w:p w14:paraId="24EDC17F" w14:textId="77777777" w:rsidR="009F261E" w:rsidRPr="00411C89" w:rsidRDefault="009F261E" w:rsidP="00685B35">
            <w:pPr>
              <w:pStyle w:val="Tabletext"/>
              <w:jc w:val="right"/>
              <w:rPr>
                <w:lang w:eastAsia="en-AU"/>
              </w:rPr>
            </w:pPr>
            <w:r w:rsidRPr="00411C89">
              <w:rPr>
                <w:lang w:eastAsia="en-AU"/>
              </w:rPr>
              <w:t>439.9</w:t>
            </w:r>
          </w:p>
        </w:tc>
        <w:tc>
          <w:tcPr>
            <w:tcW w:w="1992" w:type="dxa"/>
            <w:shd w:val="clear" w:color="auto" w:fill="auto"/>
            <w:vAlign w:val="center"/>
            <w:hideMark/>
          </w:tcPr>
          <w:p w14:paraId="5024E8F2" w14:textId="77777777" w:rsidR="009F261E" w:rsidRPr="00411C89" w:rsidRDefault="009F261E" w:rsidP="00685B35">
            <w:pPr>
              <w:pStyle w:val="Tabletext"/>
              <w:jc w:val="right"/>
              <w:rPr>
                <w:lang w:eastAsia="en-AU"/>
              </w:rPr>
            </w:pPr>
            <w:r w:rsidRPr="00411C89">
              <w:rPr>
                <w:lang w:eastAsia="en-AU"/>
              </w:rPr>
              <w:t>440.3</w:t>
            </w:r>
          </w:p>
        </w:tc>
        <w:tc>
          <w:tcPr>
            <w:tcW w:w="2121" w:type="dxa"/>
            <w:shd w:val="clear" w:color="auto" w:fill="auto"/>
            <w:vAlign w:val="center"/>
            <w:hideMark/>
          </w:tcPr>
          <w:p w14:paraId="33097484" w14:textId="77777777" w:rsidR="009F261E" w:rsidRPr="00411C89" w:rsidRDefault="009F261E" w:rsidP="00685B35">
            <w:pPr>
              <w:pStyle w:val="Tabletext"/>
              <w:jc w:val="right"/>
              <w:rPr>
                <w:lang w:eastAsia="en-AU"/>
              </w:rPr>
            </w:pPr>
            <w:r w:rsidRPr="00411C89">
              <w:rPr>
                <w:lang w:eastAsia="en-AU"/>
              </w:rPr>
              <w:t>0.1</w:t>
            </w:r>
          </w:p>
        </w:tc>
      </w:tr>
      <w:tr w:rsidR="009F261E" w:rsidRPr="00411C89" w14:paraId="2AA7A686" w14:textId="77777777" w:rsidTr="00685B35">
        <w:trPr>
          <w:trHeight w:val="499"/>
        </w:trPr>
        <w:tc>
          <w:tcPr>
            <w:tcW w:w="3090" w:type="dxa"/>
            <w:shd w:val="clear" w:color="auto" w:fill="auto"/>
            <w:vAlign w:val="center"/>
            <w:hideMark/>
          </w:tcPr>
          <w:p w14:paraId="64836ADE" w14:textId="77777777" w:rsidR="009F261E" w:rsidRPr="00411C89" w:rsidRDefault="009F261E" w:rsidP="00685B35">
            <w:pPr>
              <w:pStyle w:val="Tabletext"/>
              <w:rPr>
                <w:lang w:eastAsia="en-AU"/>
              </w:rPr>
            </w:pPr>
            <w:r w:rsidRPr="00411C89">
              <w:rPr>
                <w:lang w:eastAsia="en-AU"/>
              </w:rPr>
              <w:t>Residential Aged Care  </w:t>
            </w:r>
          </w:p>
        </w:tc>
        <w:tc>
          <w:tcPr>
            <w:tcW w:w="1576" w:type="dxa"/>
            <w:shd w:val="clear" w:color="auto" w:fill="auto"/>
            <w:vAlign w:val="center"/>
            <w:hideMark/>
          </w:tcPr>
          <w:p w14:paraId="20A7B851" w14:textId="77777777" w:rsidR="009F261E" w:rsidRPr="00411C89" w:rsidRDefault="009F261E" w:rsidP="00685B35">
            <w:pPr>
              <w:pStyle w:val="Tabletext"/>
              <w:jc w:val="right"/>
              <w:rPr>
                <w:lang w:eastAsia="en-AU"/>
              </w:rPr>
            </w:pPr>
            <w:r w:rsidRPr="00411C89">
              <w:rPr>
                <w:lang w:eastAsia="en-AU"/>
              </w:rPr>
              <w:t>439.5</w:t>
            </w:r>
          </w:p>
        </w:tc>
        <w:tc>
          <w:tcPr>
            <w:tcW w:w="1992" w:type="dxa"/>
            <w:shd w:val="clear" w:color="auto" w:fill="auto"/>
            <w:vAlign w:val="center"/>
            <w:hideMark/>
          </w:tcPr>
          <w:p w14:paraId="5D56C3F4" w14:textId="77777777" w:rsidR="009F261E" w:rsidRPr="00411C89" w:rsidRDefault="009F261E" w:rsidP="00685B35">
            <w:pPr>
              <w:pStyle w:val="Tabletext"/>
              <w:jc w:val="right"/>
              <w:rPr>
                <w:lang w:eastAsia="en-AU"/>
              </w:rPr>
            </w:pPr>
            <w:r w:rsidRPr="00411C89">
              <w:rPr>
                <w:lang w:eastAsia="en-AU"/>
              </w:rPr>
              <w:t>454.3</w:t>
            </w:r>
          </w:p>
        </w:tc>
        <w:tc>
          <w:tcPr>
            <w:tcW w:w="2121" w:type="dxa"/>
            <w:shd w:val="clear" w:color="auto" w:fill="auto"/>
            <w:vAlign w:val="center"/>
            <w:hideMark/>
          </w:tcPr>
          <w:p w14:paraId="64A8613F" w14:textId="77777777" w:rsidR="009F261E" w:rsidRPr="00411C89" w:rsidRDefault="009F261E" w:rsidP="00685B35">
            <w:pPr>
              <w:pStyle w:val="Tabletext"/>
              <w:jc w:val="right"/>
              <w:rPr>
                <w:lang w:eastAsia="en-AU"/>
              </w:rPr>
            </w:pPr>
            <w:r w:rsidRPr="00411C89">
              <w:rPr>
                <w:lang w:eastAsia="en-AU"/>
              </w:rPr>
              <w:t>3.4</w:t>
            </w:r>
          </w:p>
        </w:tc>
      </w:tr>
      <w:tr w:rsidR="009F261E" w:rsidRPr="00411C89" w14:paraId="18BD7EB2" w14:textId="77777777" w:rsidTr="00685B35">
        <w:trPr>
          <w:trHeight w:val="499"/>
        </w:trPr>
        <w:tc>
          <w:tcPr>
            <w:tcW w:w="3090" w:type="dxa"/>
            <w:shd w:val="clear" w:color="auto" w:fill="auto"/>
            <w:vAlign w:val="center"/>
            <w:hideMark/>
          </w:tcPr>
          <w:p w14:paraId="7CAC2716" w14:textId="77777777" w:rsidR="009F261E" w:rsidRPr="00411C89" w:rsidRDefault="009F261E" w:rsidP="00685B35">
            <w:pPr>
              <w:pStyle w:val="Tabletext"/>
              <w:rPr>
                <w:lang w:eastAsia="en-AU"/>
              </w:rPr>
            </w:pPr>
            <w:r w:rsidRPr="00411C89">
              <w:rPr>
                <w:lang w:eastAsia="en-AU"/>
              </w:rPr>
              <w:t>Aged Care Assessment  </w:t>
            </w:r>
          </w:p>
        </w:tc>
        <w:tc>
          <w:tcPr>
            <w:tcW w:w="1576" w:type="dxa"/>
            <w:shd w:val="clear" w:color="auto" w:fill="auto"/>
            <w:vAlign w:val="center"/>
            <w:hideMark/>
          </w:tcPr>
          <w:p w14:paraId="736470F9" w14:textId="77777777" w:rsidR="009F261E" w:rsidRPr="00411C89" w:rsidRDefault="009F261E" w:rsidP="00685B35">
            <w:pPr>
              <w:pStyle w:val="Tabletext"/>
              <w:jc w:val="right"/>
              <w:rPr>
                <w:lang w:eastAsia="en-AU"/>
              </w:rPr>
            </w:pPr>
            <w:r w:rsidRPr="00411C89">
              <w:rPr>
                <w:lang w:eastAsia="en-AU"/>
              </w:rPr>
              <w:t>59.7</w:t>
            </w:r>
          </w:p>
        </w:tc>
        <w:tc>
          <w:tcPr>
            <w:tcW w:w="1992" w:type="dxa"/>
            <w:shd w:val="clear" w:color="auto" w:fill="auto"/>
            <w:vAlign w:val="center"/>
            <w:hideMark/>
          </w:tcPr>
          <w:p w14:paraId="6F4EF591" w14:textId="77777777" w:rsidR="009F261E" w:rsidRPr="00411C89" w:rsidRDefault="009F261E" w:rsidP="00685B35">
            <w:pPr>
              <w:pStyle w:val="Tabletext"/>
              <w:jc w:val="right"/>
              <w:rPr>
                <w:lang w:eastAsia="en-AU"/>
              </w:rPr>
            </w:pPr>
            <w:r w:rsidRPr="00411C89">
              <w:rPr>
                <w:lang w:eastAsia="en-AU"/>
              </w:rPr>
              <w:t>60.4</w:t>
            </w:r>
          </w:p>
        </w:tc>
        <w:tc>
          <w:tcPr>
            <w:tcW w:w="2121" w:type="dxa"/>
            <w:shd w:val="clear" w:color="auto" w:fill="auto"/>
            <w:vAlign w:val="center"/>
            <w:hideMark/>
          </w:tcPr>
          <w:p w14:paraId="432FB848" w14:textId="77777777" w:rsidR="009F261E" w:rsidRPr="00411C89" w:rsidRDefault="009F261E" w:rsidP="00685B35">
            <w:pPr>
              <w:pStyle w:val="Tabletext"/>
              <w:jc w:val="right"/>
              <w:rPr>
                <w:lang w:eastAsia="en-AU"/>
              </w:rPr>
            </w:pPr>
            <w:r w:rsidRPr="00411C89">
              <w:rPr>
                <w:lang w:eastAsia="en-AU"/>
              </w:rPr>
              <w:t>1.1</w:t>
            </w:r>
          </w:p>
        </w:tc>
      </w:tr>
      <w:tr w:rsidR="009F261E" w:rsidRPr="00411C89" w14:paraId="208A6CCA" w14:textId="77777777" w:rsidTr="00685B35">
        <w:trPr>
          <w:trHeight w:val="499"/>
        </w:trPr>
        <w:tc>
          <w:tcPr>
            <w:tcW w:w="3090" w:type="dxa"/>
            <w:shd w:val="clear" w:color="auto" w:fill="auto"/>
            <w:vAlign w:val="center"/>
            <w:hideMark/>
          </w:tcPr>
          <w:p w14:paraId="38B232A7" w14:textId="77777777" w:rsidR="009F261E" w:rsidRPr="00411C89" w:rsidRDefault="009F261E" w:rsidP="00685B35">
            <w:pPr>
              <w:pStyle w:val="Tabletext"/>
              <w:rPr>
                <w:lang w:eastAsia="en-AU"/>
              </w:rPr>
            </w:pPr>
            <w:r w:rsidRPr="00411C89">
              <w:rPr>
                <w:lang w:eastAsia="en-AU"/>
              </w:rPr>
              <w:t>Aged Support Services  </w:t>
            </w:r>
          </w:p>
        </w:tc>
        <w:tc>
          <w:tcPr>
            <w:tcW w:w="1576" w:type="dxa"/>
            <w:shd w:val="clear" w:color="auto" w:fill="auto"/>
            <w:vAlign w:val="center"/>
            <w:hideMark/>
          </w:tcPr>
          <w:p w14:paraId="274E0F28" w14:textId="77777777" w:rsidR="009F261E" w:rsidRPr="00411C89" w:rsidRDefault="009F261E" w:rsidP="00685B35">
            <w:pPr>
              <w:pStyle w:val="Tabletext"/>
              <w:jc w:val="right"/>
              <w:rPr>
                <w:lang w:eastAsia="en-AU"/>
              </w:rPr>
            </w:pPr>
            <w:r w:rsidRPr="00411C89">
              <w:rPr>
                <w:lang w:eastAsia="en-AU"/>
              </w:rPr>
              <w:t>67.6</w:t>
            </w:r>
          </w:p>
        </w:tc>
        <w:tc>
          <w:tcPr>
            <w:tcW w:w="1992" w:type="dxa"/>
            <w:shd w:val="clear" w:color="auto" w:fill="auto"/>
            <w:vAlign w:val="center"/>
            <w:hideMark/>
          </w:tcPr>
          <w:p w14:paraId="78A826E1" w14:textId="77777777" w:rsidR="009F261E" w:rsidRPr="00411C89" w:rsidRDefault="009F261E" w:rsidP="00685B35">
            <w:pPr>
              <w:pStyle w:val="Tabletext"/>
              <w:jc w:val="right"/>
              <w:rPr>
                <w:lang w:eastAsia="en-AU"/>
              </w:rPr>
            </w:pPr>
            <w:r w:rsidRPr="00411C89">
              <w:rPr>
                <w:lang w:eastAsia="en-AU"/>
              </w:rPr>
              <w:t>67.7</w:t>
            </w:r>
          </w:p>
        </w:tc>
        <w:tc>
          <w:tcPr>
            <w:tcW w:w="2121" w:type="dxa"/>
            <w:shd w:val="clear" w:color="auto" w:fill="auto"/>
            <w:vAlign w:val="center"/>
            <w:hideMark/>
          </w:tcPr>
          <w:p w14:paraId="65E86C2A" w14:textId="77777777" w:rsidR="009F261E" w:rsidRPr="00411C89" w:rsidRDefault="009F261E" w:rsidP="00685B35">
            <w:pPr>
              <w:pStyle w:val="Tabletext"/>
              <w:jc w:val="right"/>
              <w:rPr>
                <w:lang w:eastAsia="en-AU"/>
              </w:rPr>
            </w:pPr>
            <w:r w:rsidRPr="00411C89">
              <w:rPr>
                <w:lang w:eastAsia="en-AU"/>
              </w:rPr>
              <w:t>0.1</w:t>
            </w:r>
          </w:p>
        </w:tc>
      </w:tr>
      <w:tr w:rsidR="009F261E" w:rsidRPr="00411C89" w14:paraId="015B6473" w14:textId="77777777" w:rsidTr="00685B35">
        <w:trPr>
          <w:trHeight w:val="499"/>
        </w:trPr>
        <w:tc>
          <w:tcPr>
            <w:tcW w:w="3090" w:type="dxa"/>
            <w:shd w:val="clear" w:color="auto" w:fill="auto"/>
            <w:vAlign w:val="center"/>
            <w:hideMark/>
          </w:tcPr>
          <w:p w14:paraId="797C3993" w14:textId="77777777" w:rsidR="009F261E" w:rsidRPr="00411C89" w:rsidRDefault="009F261E" w:rsidP="00685B35">
            <w:pPr>
              <w:pStyle w:val="Tabletext"/>
              <w:rPr>
                <w:lang w:eastAsia="en-AU"/>
              </w:rPr>
            </w:pPr>
            <w:r w:rsidRPr="00411C89">
              <w:rPr>
                <w:lang w:eastAsia="en-AU"/>
              </w:rPr>
              <w:t>Home and Community Care Program for Younger People  </w:t>
            </w:r>
          </w:p>
        </w:tc>
        <w:tc>
          <w:tcPr>
            <w:tcW w:w="1576" w:type="dxa"/>
            <w:shd w:val="clear" w:color="auto" w:fill="auto"/>
            <w:vAlign w:val="center"/>
            <w:hideMark/>
          </w:tcPr>
          <w:p w14:paraId="2DB9C573" w14:textId="77777777" w:rsidR="009F261E" w:rsidRPr="00411C89" w:rsidRDefault="009F261E" w:rsidP="00685B35">
            <w:pPr>
              <w:pStyle w:val="Tabletext"/>
              <w:jc w:val="right"/>
              <w:rPr>
                <w:lang w:eastAsia="en-AU"/>
              </w:rPr>
            </w:pPr>
            <w:r w:rsidRPr="00411C89">
              <w:rPr>
                <w:lang w:eastAsia="en-AU"/>
              </w:rPr>
              <w:t>189.7</w:t>
            </w:r>
          </w:p>
        </w:tc>
        <w:tc>
          <w:tcPr>
            <w:tcW w:w="1992" w:type="dxa"/>
            <w:shd w:val="clear" w:color="auto" w:fill="auto"/>
            <w:vAlign w:val="center"/>
            <w:hideMark/>
          </w:tcPr>
          <w:p w14:paraId="4AD888CB" w14:textId="77777777" w:rsidR="009F261E" w:rsidRPr="00411C89" w:rsidRDefault="009F261E" w:rsidP="00685B35">
            <w:pPr>
              <w:pStyle w:val="Tabletext"/>
              <w:jc w:val="right"/>
              <w:rPr>
                <w:lang w:eastAsia="en-AU"/>
              </w:rPr>
            </w:pPr>
            <w:r w:rsidRPr="00411C89">
              <w:rPr>
                <w:lang w:eastAsia="en-AU"/>
              </w:rPr>
              <w:t>192.9</w:t>
            </w:r>
          </w:p>
        </w:tc>
        <w:tc>
          <w:tcPr>
            <w:tcW w:w="2121" w:type="dxa"/>
            <w:shd w:val="clear" w:color="auto" w:fill="auto"/>
            <w:vAlign w:val="center"/>
            <w:hideMark/>
          </w:tcPr>
          <w:p w14:paraId="7004C08A" w14:textId="77777777" w:rsidR="009F261E" w:rsidRPr="00411C89" w:rsidRDefault="009F261E" w:rsidP="00685B35">
            <w:pPr>
              <w:pStyle w:val="Tabletext"/>
              <w:jc w:val="right"/>
              <w:rPr>
                <w:lang w:eastAsia="en-AU"/>
              </w:rPr>
            </w:pPr>
            <w:r w:rsidRPr="00411C89">
              <w:rPr>
                <w:lang w:eastAsia="en-AU"/>
              </w:rPr>
              <w:t>1.7</w:t>
            </w:r>
          </w:p>
        </w:tc>
      </w:tr>
      <w:tr w:rsidR="009F261E" w:rsidRPr="00411C89" w14:paraId="699B1898" w14:textId="77777777" w:rsidTr="00685B35">
        <w:trPr>
          <w:trHeight w:val="499"/>
        </w:trPr>
        <w:tc>
          <w:tcPr>
            <w:tcW w:w="3090" w:type="dxa"/>
            <w:shd w:val="clear" w:color="auto" w:fill="auto"/>
            <w:vAlign w:val="center"/>
            <w:hideMark/>
          </w:tcPr>
          <w:p w14:paraId="2A293C10" w14:textId="77777777" w:rsidR="009F261E" w:rsidRPr="00411C89" w:rsidRDefault="009F261E" w:rsidP="00685B35">
            <w:pPr>
              <w:pStyle w:val="Tabletext"/>
              <w:rPr>
                <w:lang w:eastAsia="en-AU"/>
              </w:rPr>
            </w:pPr>
            <w:r w:rsidRPr="00411C89">
              <w:rPr>
                <w:lang w:eastAsia="en-AU"/>
              </w:rPr>
              <w:t>Ambulance Emergency Services  </w:t>
            </w:r>
          </w:p>
        </w:tc>
        <w:tc>
          <w:tcPr>
            <w:tcW w:w="1576" w:type="dxa"/>
            <w:shd w:val="clear" w:color="auto" w:fill="auto"/>
            <w:vAlign w:val="center"/>
            <w:hideMark/>
          </w:tcPr>
          <w:p w14:paraId="0AF1F2B5" w14:textId="77777777" w:rsidR="009F261E" w:rsidRPr="00411C89" w:rsidRDefault="009F261E" w:rsidP="00685B35">
            <w:pPr>
              <w:pStyle w:val="Tabletext"/>
              <w:jc w:val="right"/>
              <w:rPr>
                <w:lang w:eastAsia="en-AU"/>
              </w:rPr>
            </w:pPr>
            <w:r w:rsidRPr="00411C89">
              <w:rPr>
                <w:color w:val="000000" w:themeColor="text1"/>
                <w:lang w:eastAsia="en-AU"/>
              </w:rPr>
              <w:t>1212.8</w:t>
            </w:r>
          </w:p>
        </w:tc>
        <w:tc>
          <w:tcPr>
            <w:tcW w:w="1992" w:type="dxa"/>
            <w:shd w:val="clear" w:color="auto" w:fill="auto"/>
            <w:vAlign w:val="center"/>
            <w:hideMark/>
          </w:tcPr>
          <w:p w14:paraId="7EF8ADE7" w14:textId="77777777" w:rsidR="009F261E" w:rsidRPr="00411C89" w:rsidRDefault="009F261E" w:rsidP="00685B35">
            <w:pPr>
              <w:pStyle w:val="Tabletext"/>
              <w:jc w:val="right"/>
              <w:rPr>
                <w:lang w:eastAsia="en-AU"/>
              </w:rPr>
            </w:pPr>
            <w:r w:rsidRPr="00411C89">
              <w:rPr>
                <w:lang w:eastAsia="en-AU"/>
              </w:rPr>
              <w:t>1263.9</w:t>
            </w:r>
          </w:p>
        </w:tc>
        <w:tc>
          <w:tcPr>
            <w:tcW w:w="2121" w:type="dxa"/>
            <w:shd w:val="clear" w:color="auto" w:fill="auto"/>
            <w:vAlign w:val="center"/>
            <w:hideMark/>
          </w:tcPr>
          <w:p w14:paraId="25347C8E" w14:textId="77777777" w:rsidR="009F261E" w:rsidRPr="00411C89" w:rsidRDefault="009F261E" w:rsidP="00685B35">
            <w:pPr>
              <w:pStyle w:val="Tabletext"/>
              <w:jc w:val="right"/>
              <w:rPr>
                <w:lang w:eastAsia="en-AU"/>
              </w:rPr>
            </w:pPr>
            <w:r w:rsidRPr="00411C89">
              <w:rPr>
                <w:lang w:eastAsia="en-AU"/>
              </w:rPr>
              <w:t>4.2</w:t>
            </w:r>
          </w:p>
        </w:tc>
      </w:tr>
      <w:tr w:rsidR="009F261E" w:rsidRPr="00411C89" w14:paraId="73B0D0D0" w14:textId="77777777" w:rsidTr="00685B35">
        <w:trPr>
          <w:trHeight w:val="499"/>
        </w:trPr>
        <w:tc>
          <w:tcPr>
            <w:tcW w:w="3090" w:type="dxa"/>
            <w:shd w:val="clear" w:color="auto" w:fill="auto"/>
            <w:vAlign w:val="center"/>
            <w:hideMark/>
          </w:tcPr>
          <w:p w14:paraId="7E0B6438" w14:textId="77777777" w:rsidR="009F261E" w:rsidRPr="00411C89" w:rsidRDefault="009F261E" w:rsidP="00685B35">
            <w:pPr>
              <w:pStyle w:val="Tabletext"/>
              <w:rPr>
                <w:lang w:eastAsia="en-AU"/>
              </w:rPr>
            </w:pPr>
            <w:r w:rsidRPr="00411C89">
              <w:rPr>
                <w:lang w:eastAsia="en-AU"/>
              </w:rPr>
              <w:lastRenderedPageBreak/>
              <w:t>Ambulance Non-Emergency Services  </w:t>
            </w:r>
          </w:p>
        </w:tc>
        <w:tc>
          <w:tcPr>
            <w:tcW w:w="1576" w:type="dxa"/>
            <w:shd w:val="clear" w:color="auto" w:fill="auto"/>
            <w:vAlign w:val="center"/>
            <w:hideMark/>
          </w:tcPr>
          <w:p w14:paraId="1610B2DB" w14:textId="77777777" w:rsidR="009F261E" w:rsidRPr="00411C89" w:rsidRDefault="009F261E" w:rsidP="00685B35">
            <w:pPr>
              <w:pStyle w:val="Tabletext"/>
              <w:jc w:val="right"/>
              <w:rPr>
                <w:lang w:eastAsia="en-AU"/>
              </w:rPr>
            </w:pPr>
            <w:r w:rsidRPr="00411C89">
              <w:rPr>
                <w:color w:val="000000" w:themeColor="text1"/>
                <w:lang w:eastAsia="en-AU"/>
              </w:rPr>
              <w:t>180.0</w:t>
            </w:r>
          </w:p>
        </w:tc>
        <w:tc>
          <w:tcPr>
            <w:tcW w:w="1992" w:type="dxa"/>
            <w:shd w:val="clear" w:color="auto" w:fill="auto"/>
            <w:vAlign w:val="center"/>
            <w:hideMark/>
          </w:tcPr>
          <w:p w14:paraId="19AA2E70" w14:textId="77777777" w:rsidR="009F261E" w:rsidRPr="00411C89" w:rsidRDefault="009F261E" w:rsidP="00685B35">
            <w:pPr>
              <w:pStyle w:val="Tabletext"/>
              <w:jc w:val="right"/>
              <w:rPr>
                <w:lang w:eastAsia="en-AU"/>
              </w:rPr>
            </w:pPr>
            <w:r w:rsidRPr="00411C89">
              <w:rPr>
                <w:lang w:eastAsia="en-AU"/>
              </w:rPr>
              <w:t>183.7</w:t>
            </w:r>
          </w:p>
        </w:tc>
        <w:tc>
          <w:tcPr>
            <w:tcW w:w="2121" w:type="dxa"/>
            <w:shd w:val="clear" w:color="auto" w:fill="auto"/>
            <w:vAlign w:val="center"/>
            <w:hideMark/>
          </w:tcPr>
          <w:p w14:paraId="30C43EFA" w14:textId="77777777" w:rsidR="009F261E" w:rsidRPr="00411C89" w:rsidRDefault="009F261E" w:rsidP="00685B35">
            <w:pPr>
              <w:pStyle w:val="Tabletext"/>
              <w:jc w:val="right"/>
              <w:rPr>
                <w:lang w:eastAsia="en-AU"/>
              </w:rPr>
            </w:pPr>
            <w:r w:rsidRPr="00411C89">
              <w:rPr>
                <w:lang w:eastAsia="en-AU"/>
              </w:rPr>
              <w:t>2.0</w:t>
            </w:r>
          </w:p>
        </w:tc>
      </w:tr>
      <w:tr w:rsidR="009F261E" w:rsidRPr="00411C89" w14:paraId="166C68C3" w14:textId="77777777" w:rsidTr="00685B35">
        <w:trPr>
          <w:trHeight w:val="499"/>
        </w:trPr>
        <w:tc>
          <w:tcPr>
            <w:tcW w:w="3090" w:type="dxa"/>
            <w:shd w:val="clear" w:color="auto" w:fill="auto"/>
            <w:vAlign w:val="center"/>
            <w:hideMark/>
          </w:tcPr>
          <w:p w14:paraId="6147AD27" w14:textId="77777777" w:rsidR="009F261E" w:rsidRPr="00411C89" w:rsidRDefault="009F261E" w:rsidP="00685B35">
            <w:pPr>
              <w:pStyle w:val="Tabletext"/>
              <w:rPr>
                <w:lang w:eastAsia="en-AU"/>
              </w:rPr>
            </w:pPr>
            <w:r w:rsidRPr="00411C89">
              <w:rPr>
                <w:lang w:eastAsia="en-AU"/>
              </w:rPr>
              <w:t>Drug Prevention and Control  </w:t>
            </w:r>
          </w:p>
        </w:tc>
        <w:tc>
          <w:tcPr>
            <w:tcW w:w="1576" w:type="dxa"/>
            <w:shd w:val="clear" w:color="auto" w:fill="auto"/>
            <w:vAlign w:val="center"/>
            <w:hideMark/>
          </w:tcPr>
          <w:p w14:paraId="15CA9919" w14:textId="77777777" w:rsidR="009F261E" w:rsidRPr="00411C89" w:rsidRDefault="009F261E" w:rsidP="00685B35">
            <w:pPr>
              <w:pStyle w:val="Tabletext"/>
              <w:jc w:val="right"/>
              <w:rPr>
                <w:lang w:eastAsia="en-AU"/>
              </w:rPr>
            </w:pPr>
            <w:r w:rsidRPr="00411C89">
              <w:rPr>
                <w:lang w:eastAsia="en-AU"/>
              </w:rPr>
              <w:t>40.8</w:t>
            </w:r>
          </w:p>
        </w:tc>
        <w:tc>
          <w:tcPr>
            <w:tcW w:w="1992" w:type="dxa"/>
            <w:shd w:val="clear" w:color="auto" w:fill="auto"/>
            <w:vAlign w:val="center"/>
            <w:hideMark/>
          </w:tcPr>
          <w:p w14:paraId="18600516" w14:textId="77777777" w:rsidR="009F261E" w:rsidRPr="00411C89" w:rsidRDefault="009F261E" w:rsidP="00685B35">
            <w:pPr>
              <w:pStyle w:val="Tabletext"/>
              <w:jc w:val="right"/>
              <w:rPr>
                <w:lang w:eastAsia="en-AU"/>
              </w:rPr>
            </w:pPr>
            <w:r w:rsidRPr="00411C89">
              <w:rPr>
                <w:lang w:eastAsia="en-AU"/>
              </w:rPr>
              <w:t>41.3</w:t>
            </w:r>
          </w:p>
        </w:tc>
        <w:tc>
          <w:tcPr>
            <w:tcW w:w="2121" w:type="dxa"/>
            <w:shd w:val="clear" w:color="auto" w:fill="auto"/>
            <w:vAlign w:val="center"/>
            <w:hideMark/>
          </w:tcPr>
          <w:p w14:paraId="36AFEEE4" w14:textId="77777777" w:rsidR="009F261E" w:rsidRPr="00411C89" w:rsidRDefault="009F261E" w:rsidP="00685B35">
            <w:pPr>
              <w:pStyle w:val="Tabletext"/>
              <w:jc w:val="right"/>
              <w:rPr>
                <w:lang w:eastAsia="en-AU"/>
              </w:rPr>
            </w:pPr>
            <w:r w:rsidRPr="00411C89">
              <w:rPr>
                <w:lang w:eastAsia="en-AU"/>
              </w:rPr>
              <w:t>1.3</w:t>
            </w:r>
          </w:p>
        </w:tc>
      </w:tr>
      <w:tr w:rsidR="009F261E" w:rsidRPr="00411C89" w14:paraId="7DA3828B" w14:textId="77777777" w:rsidTr="00685B35">
        <w:trPr>
          <w:trHeight w:val="499"/>
        </w:trPr>
        <w:tc>
          <w:tcPr>
            <w:tcW w:w="3090" w:type="dxa"/>
            <w:shd w:val="clear" w:color="auto" w:fill="auto"/>
            <w:vAlign w:val="center"/>
            <w:hideMark/>
          </w:tcPr>
          <w:p w14:paraId="57FBC2B3" w14:textId="77777777" w:rsidR="009F261E" w:rsidRPr="00411C89" w:rsidRDefault="009F261E" w:rsidP="00685B35">
            <w:pPr>
              <w:pStyle w:val="Tabletext"/>
              <w:rPr>
                <w:lang w:eastAsia="en-AU"/>
              </w:rPr>
            </w:pPr>
            <w:r w:rsidRPr="00411C89">
              <w:rPr>
                <w:lang w:eastAsia="en-AU"/>
              </w:rPr>
              <w:t>Drug Treatment and Rehabilitation  </w:t>
            </w:r>
          </w:p>
        </w:tc>
        <w:tc>
          <w:tcPr>
            <w:tcW w:w="1576" w:type="dxa"/>
            <w:shd w:val="clear" w:color="auto" w:fill="auto"/>
            <w:vAlign w:val="center"/>
            <w:hideMark/>
          </w:tcPr>
          <w:p w14:paraId="70694044" w14:textId="77777777" w:rsidR="009F261E" w:rsidRPr="00411C89" w:rsidRDefault="009F261E" w:rsidP="00685B35">
            <w:pPr>
              <w:pStyle w:val="Tabletext"/>
              <w:jc w:val="right"/>
              <w:rPr>
                <w:lang w:eastAsia="en-AU"/>
              </w:rPr>
            </w:pPr>
            <w:r w:rsidRPr="00411C89">
              <w:rPr>
                <w:lang w:eastAsia="en-AU"/>
              </w:rPr>
              <w:t>272.5</w:t>
            </w:r>
          </w:p>
        </w:tc>
        <w:tc>
          <w:tcPr>
            <w:tcW w:w="1992" w:type="dxa"/>
            <w:shd w:val="clear" w:color="auto" w:fill="auto"/>
            <w:vAlign w:val="center"/>
            <w:hideMark/>
          </w:tcPr>
          <w:p w14:paraId="10D3587B" w14:textId="77777777" w:rsidR="009F261E" w:rsidRPr="00411C89" w:rsidRDefault="009F261E" w:rsidP="00685B35">
            <w:pPr>
              <w:pStyle w:val="Tabletext"/>
              <w:jc w:val="right"/>
              <w:rPr>
                <w:lang w:eastAsia="en-AU"/>
              </w:rPr>
            </w:pPr>
            <w:r w:rsidRPr="00411C89">
              <w:rPr>
                <w:lang w:eastAsia="en-AU"/>
              </w:rPr>
              <w:t>331.1</w:t>
            </w:r>
          </w:p>
        </w:tc>
        <w:tc>
          <w:tcPr>
            <w:tcW w:w="2121" w:type="dxa"/>
            <w:shd w:val="clear" w:color="auto" w:fill="auto"/>
            <w:vAlign w:val="center"/>
            <w:hideMark/>
          </w:tcPr>
          <w:p w14:paraId="16F63031" w14:textId="77777777" w:rsidR="009F261E" w:rsidRPr="00411C89" w:rsidRDefault="009F261E" w:rsidP="00685B35">
            <w:pPr>
              <w:pStyle w:val="Tabletext"/>
              <w:jc w:val="right"/>
              <w:rPr>
                <w:lang w:eastAsia="en-AU"/>
              </w:rPr>
            </w:pPr>
            <w:r w:rsidRPr="00411C89">
              <w:rPr>
                <w:lang w:eastAsia="en-AU"/>
              </w:rPr>
              <w:t>21.5</w:t>
            </w:r>
          </w:p>
        </w:tc>
      </w:tr>
      <w:tr w:rsidR="009F261E" w:rsidRPr="00411C89" w14:paraId="7F8AE3DC" w14:textId="77777777" w:rsidTr="00685B35">
        <w:trPr>
          <w:trHeight w:val="499"/>
        </w:trPr>
        <w:tc>
          <w:tcPr>
            <w:tcW w:w="3090" w:type="dxa"/>
            <w:shd w:val="clear" w:color="auto" w:fill="auto"/>
            <w:vAlign w:val="center"/>
            <w:hideMark/>
          </w:tcPr>
          <w:p w14:paraId="04D3F7ED" w14:textId="77777777" w:rsidR="009F261E" w:rsidRPr="00411C89" w:rsidRDefault="009F261E" w:rsidP="00685B35">
            <w:pPr>
              <w:pStyle w:val="Tabletext"/>
              <w:rPr>
                <w:lang w:eastAsia="en-AU"/>
              </w:rPr>
            </w:pPr>
            <w:r w:rsidRPr="00411C89">
              <w:rPr>
                <w:lang w:eastAsia="en-AU"/>
              </w:rPr>
              <w:t>Mental Health Clinical Care  </w:t>
            </w:r>
          </w:p>
        </w:tc>
        <w:tc>
          <w:tcPr>
            <w:tcW w:w="1576" w:type="dxa"/>
            <w:shd w:val="clear" w:color="auto" w:fill="auto"/>
            <w:vAlign w:val="center"/>
            <w:hideMark/>
          </w:tcPr>
          <w:p w14:paraId="52DAE217" w14:textId="77777777" w:rsidR="009F261E" w:rsidRPr="00411C89" w:rsidRDefault="009F261E" w:rsidP="00685B35">
            <w:pPr>
              <w:pStyle w:val="Tabletext"/>
              <w:jc w:val="right"/>
              <w:rPr>
                <w:lang w:eastAsia="en-AU"/>
              </w:rPr>
            </w:pPr>
            <w:r w:rsidRPr="00411C89">
              <w:rPr>
                <w:lang w:eastAsia="en-AU"/>
              </w:rPr>
              <w:t>2594.7</w:t>
            </w:r>
          </w:p>
        </w:tc>
        <w:tc>
          <w:tcPr>
            <w:tcW w:w="1992" w:type="dxa"/>
            <w:shd w:val="clear" w:color="auto" w:fill="auto"/>
            <w:vAlign w:val="center"/>
            <w:hideMark/>
          </w:tcPr>
          <w:p w14:paraId="32205F87" w14:textId="77777777" w:rsidR="009F261E" w:rsidRPr="00411C89" w:rsidRDefault="009F261E" w:rsidP="00685B35">
            <w:pPr>
              <w:pStyle w:val="Tabletext"/>
              <w:jc w:val="right"/>
              <w:rPr>
                <w:lang w:eastAsia="en-AU"/>
              </w:rPr>
            </w:pPr>
            <w:r w:rsidRPr="00411C89">
              <w:rPr>
                <w:lang w:eastAsia="en-AU"/>
              </w:rPr>
              <w:t>2736.2</w:t>
            </w:r>
          </w:p>
        </w:tc>
        <w:tc>
          <w:tcPr>
            <w:tcW w:w="2121" w:type="dxa"/>
            <w:shd w:val="clear" w:color="auto" w:fill="auto"/>
            <w:vAlign w:val="center"/>
            <w:hideMark/>
          </w:tcPr>
          <w:p w14:paraId="1EFD8959" w14:textId="77777777" w:rsidR="009F261E" w:rsidRPr="00411C89" w:rsidRDefault="009F261E" w:rsidP="00685B35">
            <w:pPr>
              <w:pStyle w:val="Tabletext"/>
              <w:jc w:val="right"/>
              <w:rPr>
                <w:lang w:eastAsia="en-AU"/>
              </w:rPr>
            </w:pPr>
            <w:r w:rsidRPr="00411C89">
              <w:rPr>
                <w:lang w:eastAsia="en-AU"/>
              </w:rPr>
              <w:t>5.5</w:t>
            </w:r>
          </w:p>
        </w:tc>
      </w:tr>
      <w:tr w:rsidR="009F261E" w:rsidRPr="00411C89" w14:paraId="7BFB2F8D" w14:textId="77777777" w:rsidTr="00685B35">
        <w:trPr>
          <w:trHeight w:val="499"/>
        </w:trPr>
        <w:tc>
          <w:tcPr>
            <w:tcW w:w="3090" w:type="dxa"/>
            <w:shd w:val="clear" w:color="auto" w:fill="auto"/>
            <w:vAlign w:val="center"/>
            <w:hideMark/>
          </w:tcPr>
          <w:p w14:paraId="0E546889" w14:textId="77777777" w:rsidR="009F261E" w:rsidRPr="00411C89" w:rsidRDefault="009F261E" w:rsidP="00685B35">
            <w:pPr>
              <w:pStyle w:val="Tabletext"/>
              <w:rPr>
                <w:lang w:eastAsia="en-AU"/>
              </w:rPr>
            </w:pPr>
            <w:r w:rsidRPr="00411C89">
              <w:rPr>
                <w:lang w:eastAsia="en-AU"/>
              </w:rPr>
              <w:t>Mental Health Community Support Services  </w:t>
            </w:r>
          </w:p>
        </w:tc>
        <w:tc>
          <w:tcPr>
            <w:tcW w:w="1576" w:type="dxa"/>
            <w:shd w:val="clear" w:color="auto" w:fill="auto"/>
            <w:vAlign w:val="center"/>
            <w:hideMark/>
          </w:tcPr>
          <w:p w14:paraId="573AFBC0" w14:textId="77777777" w:rsidR="009F261E" w:rsidRPr="00411C89" w:rsidRDefault="009F261E" w:rsidP="00685B35">
            <w:pPr>
              <w:pStyle w:val="Tabletext"/>
              <w:jc w:val="right"/>
              <w:rPr>
                <w:lang w:eastAsia="en-AU"/>
              </w:rPr>
            </w:pPr>
            <w:r w:rsidRPr="00411C89">
              <w:rPr>
                <w:lang w:eastAsia="en-AU"/>
              </w:rPr>
              <w:t>155.2</w:t>
            </w:r>
          </w:p>
        </w:tc>
        <w:tc>
          <w:tcPr>
            <w:tcW w:w="1992" w:type="dxa"/>
            <w:shd w:val="clear" w:color="auto" w:fill="auto"/>
            <w:vAlign w:val="center"/>
            <w:hideMark/>
          </w:tcPr>
          <w:p w14:paraId="0CD8E67F" w14:textId="77777777" w:rsidR="009F261E" w:rsidRPr="00411C89" w:rsidRDefault="009F261E" w:rsidP="00685B35">
            <w:pPr>
              <w:pStyle w:val="Tabletext"/>
              <w:jc w:val="right"/>
              <w:rPr>
                <w:lang w:eastAsia="en-AU"/>
              </w:rPr>
            </w:pPr>
            <w:r w:rsidRPr="00411C89">
              <w:rPr>
                <w:lang w:eastAsia="en-AU"/>
              </w:rPr>
              <w:t>188.4</w:t>
            </w:r>
          </w:p>
        </w:tc>
        <w:tc>
          <w:tcPr>
            <w:tcW w:w="2121" w:type="dxa"/>
            <w:shd w:val="clear" w:color="auto" w:fill="auto"/>
            <w:vAlign w:val="center"/>
            <w:hideMark/>
          </w:tcPr>
          <w:p w14:paraId="780F3F45" w14:textId="77777777" w:rsidR="009F261E" w:rsidRPr="00411C89" w:rsidRDefault="009F261E" w:rsidP="00685B35">
            <w:pPr>
              <w:pStyle w:val="Tabletext"/>
              <w:jc w:val="right"/>
              <w:rPr>
                <w:lang w:eastAsia="en-AU"/>
              </w:rPr>
            </w:pPr>
            <w:r w:rsidRPr="00411C89">
              <w:rPr>
                <w:lang w:eastAsia="en-AU"/>
              </w:rPr>
              <w:t>21.4</w:t>
            </w:r>
          </w:p>
        </w:tc>
      </w:tr>
      <w:tr w:rsidR="009F261E" w:rsidRPr="00411C89" w14:paraId="4414ED82" w14:textId="77777777" w:rsidTr="00685B35">
        <w:trPr>
          <w:trHeight w:val="499"/>
        </w:trPr>
        <w:tc>
          <w:tcPr>
            <w:tcW w:w="3090" w:type="dxa"/>
            <w:shd w:val="clear" w:color="auto" w:fill="auto"/>
            <w:vAlign w:val="center"/>
            <w:hideMark/>
          </w:tcPr>
          <w:p w14:paraId="6E5C2D3B" w14:textId="77777777" w:rsidR="009F261E" w:rsidRPr="00411C89" w:rsidRDefault="009F261E" w:rsidP="00685B35">
            <w:pPr>
              <w:pStyle w:val="Tabletext"/>
              <w:rPr>
                <w:lang w:eastAsia="en-AU"/>
              </w:rPr>
            </w:pPr>
            <w:r w:rsidRPr="00411C89">
              <w:rPr>
                <w:lang w:eastAsia="en-AU"/>
              </w:rPr>
              <w:t>Community Health Care  </w:t>
            </w:r>
          </w:p>
        </w:tc>
        <w:tc>
          <w:tcPr>
            <w:tcW w:w="1576" w:type="dxa"/>
            <w:shd w:val="clear" w:color="auto" w:fill="auto"/>
            <w:vAlign w:val="center"/>
            <w:hideMark/>
          </w:tcPr>
          <w:p w14:paraId="614017C2" w14:textId="418E85DC" w:rsidR="009F261E" w:rsidRPr="00411C89" w:rsidRDefault="009F261E" w:rsidP="00685B35">
            <w:pPr>
              <w:pStyle w:val="Tabletext"/>
              <w:jc w:val="right"/>
              <w:rPr>
                <w:lang w:eastAsia="en-AU"/>
              </w:rPr>
            </w:pPr>
            <w:r>
              <w:rPr>
                <w:lang w:eastAsia="en-AU"/>
              </w:rPr>
              <w:t>301.0</w:t>
            </w:r>
          </w:p>
        </w:tc>
        <w:tc>
          <w:tcPr>
            <w:tcW w:w="1992" w:type="dxa"/>
            <w:shd w:val="clear" w:color="auto" w:fill="auto"/>
            <w:vAlign w:val="center"/>
            <w:hideMark/>
          </w:tcPr>
          <w:p w14:paraId="72DC59E5" w14:textId="77777777" w:rsidR="009F261E" w:rsidRPr="00411C89" w:rsidRDefault="009F261E" w:rsidP="00685B35">
            <w:pPr>
              <w:pStyle w:val="Tabletext"/>
              <w:jc w:val="right"/>
              <w:rPr>
                <w:lang w:eastAsia="en-AU"/>
              </w:rPr>
            </w:pPr>
            <w:r w:rsidRPr="00411C89">
              <w:rPr>
                <w:lang w:eastAsia="en-AU"/>
              </w:rPr>
              <w:t>315.4</w:t>
            </w:r>
          </w:p>
        </w:tc>
        <w:tc>
          <w:tcPr>
            <w:tcW w:w="2121" w:type="dxa"/>
            <w:shd w:val="clear" w:color="auto" w:fill="auto"/>
            <w:vAlign w:val="center"/>
            <w:hideMark/>
          </w:tcPr>
          <w:p w14:paraId="0A71A007" w14:textId="77777777" w:rsidR="009F261E" w:rsidRPr="00411C89" w:rsidRDefault="009F261E" w:rsidP="00685B35">
            <w:pPr>
              <w:pStyle w:val="Tabletext"/>
              <w:jc w:val="right"/>
              <w:rPr>
                <w:lang w:eastAsia="en-AU"/>
              </w:rPr>
            </w:pPr>
            <w:r w:rsidRPr="00411C89">
              <w:rPr>
                <w:lang w:eastAsia="en-AU"/>
              </w:rPr>
              <w:t>4.8</w:t>
            </w:r>
          </w:p>
        </w:tc>
      </w:tr>
      <w:tr w:rsidR="009F261E" w:rsidRPr="00411C89" w14:paraId="17C95A8F" w14:textId="77777777" w:rsidTr="00685B35">
        <w:trPr>
          <w:trHeight w:val="499"/>
        </w:trPr>
        <w:tc>
          <w:tcPr>
            <w:tcW w:w="3090" w:type="dxa"/>
            <w:shd w:val="clear" w:color="auto" w:fill="auto"/>
            <w:vAlign w:val="center"/>
            <w:hideMark/>
          </w:tcPr>
          <w:p w14:paraId="71E85A35" w14:textId="77777777" w:rsidR="009F261E" w:rsidRPr="00411C89" w:rsidRDefault="009F261E" w:rsidP="00685B35">
            <w:pPr>
              <w:pStyle w:val="Tabletext"/>
              <w:rPr>
                <w:lang w:eastAsia="en-AU"/>
              </w:rPr>
            </w:pPr>
            <w:r w:rsidRPr="00411C89">
              <w:rPr>
                <w:lang w:eastAsia="en-AU"/>
              </w:rPr>
              <w:t>Dental Services  </w:t>
            </w:r>
          </w:p>
        </w:tc>
        <w:tc>
          <w:tcPr>
            <w:tcW w:w="1576" w:type="dxa"/>
            <w:shd w:val="clear" w:color="auto" w:fill="auto"/>
            <w:vAlign w:val="center"/>
            <w:hideMark/>
          </w:tcPr>
          <w:p w14:paraId="79D9961E" w14:textId="6AA469C9" w:rsidR="009F261E" w:rsidRPr="00411C89" w:rsidRDefault="009F261E" w:rsidP="00685B35">
            <w:pPr>
              <w:pStyle w:val="Tabletext"/>
              <w:jc w:val="right"/>
              <w:rPr>
                <w:lang w:eastAsia="en-AU"/>
              </w:rPr>
            </w:pPr>
            <w:r>
              <w:rPr>
                <w:color w:val="000000" w:themeColor="text1"/>
                <w:lang w:eastAsia="en-AU"/>
              </w:rPr>
              <w:t>204.7</w:t>
            </w:r>
          </w:p>
        </w:tc>
        <w:tc>
          <w:tcPr>
            <w:tcW w:w="1992" w:type="dxa"/>
            <w:shd w:val="clear" w:color="auto" w:fill="auto"/>
            <w:vAlign w:val="center"/>
            <w:hideMark/>
          </w:tcPr>
          <w:p w14:paraId="2B60E846" w14:textId="77777777" w:rsidR="009F261E" w:rsidRPr="00411C89" w:rsidRDefault="009F261E" w:rsidP="00685B35">
            <w:pPr>
              <w:pStyle w:val="Tabletext"/>
              <w:jc w:val="right"/>
              <w:rPr>
                <w:lang w:eastAsia="en-AU"/>
              </w:rPr>
            </w:pPr>
            <w:r w:rsidRPr="00411C89">
              <w:rPr>
                <w:lang w:eastAsia="en-AU"/>
              </w:rPr>
              <w:t>250.7</w:t>
            </w:r>
          </w:p>
        </w:tc>
        <w:tc>
          <w:tcPr>
            <w:tcW w:w="2121" w:type="dxa"/>
            <w:shd w:val="clear" w:color="auto" w:fill="auto"/>
            <w:vAlign w:val="center"/>
            <w:hideMark/>
          </w:tcPr>
          <w:p w14:paraId="3FBB8425" w14:textId="77777777" w:rsidR="009F261E" w:rsidRPr="00411C89" w:rsidRDefault="009F261E" w:rsidP="00685B35">
            <w:pPr>
              <w:pStyle w:val="Tabletext"/>
              <w:jc w:val="right"/>
              <w:rPr>
                <w:lang w:eastAsia="en-AU"/>
              </w:rPr>
            </w:pPr>
            <w:r w:rsidRPr="00411C89">
              <w:rPr>
                <w:lang w:eastAsia="en-AU"/>
              </w:rPr>
              <w:t>22.5</w:t>
            </w:r>
          </w:p>
        </w:tc>
      </w:tr>
      <w:tr w:rsidR="009F261E" w:rsidRPr="00411C89" w14:paraId="060EF98A" w14:textId="77777777" w:rsidTr="00685B35">
        <w:trPr>
          <w:trHeight w:val="499"/>
        </w:trPr>
        <w:tc>
          <w:tcPr>
            <w:tcW w:w="3090" w:type="dxa"/>
            <w:shd w:val="clear" w:color="auto" w:fill="auto"/>
            <w:vAlign w:val="center"/>
            <w:hideMark/>
          </w:tcPr>
          <w:p w14:paraId="22A3CEA2" w14:textId="77777777" w:rsidR="009F261E" w:rsidRPr="00411C89" w:rsidRDefault="009F261E" w:rsidP="00685B35">
            <w:pPr>
              <w:pStyle w:val="Tabletext"/>
              <w:rPr>
                <w:lang w:eastAsia="en-AU"/>
              </w:rPr>
            </w:pPr>
            <w:r w:rsidRPr="00411C89">
              <w:rPr>
                <w:lang w:eastAsia="en-AU"/>
              </w:rPr>
              <w:t>Maternal and Child Health and Early Parenting Services  </w:t>
            </w:r>
          </w:p>
        </w:tc>
        <w:tc>
          <w:tcPr>
            <w:tcW w:w="1576" w:type="dxa"/>
            <w:shd w:val="clear" w:color="auto" w:fill="auto"/>
            <w:vAlign w:val="center"/>
            <w:hideMark/>
          </w:tcPr>
          <w:p w14:paraId="013AD68D" w14:textId="77777777" w:rsidR="009F261E" w:rsidRPr="00411C89" w:rsidRDefault="009F261E" w:rsidP="00685B35">
            <w:pPr>
              <w:pStyle w:val="Tabletext"/>
              <w:jc w:val="right"/>
              <w:rPr>
                <w:lang w:eastAsia="en-AU"/>
              </w:rPr>
            </w:pPr>
            <w:r w:rsidRPr="00411C89">
              <w:rPr>
                <w:color w:val="000000" w:themeColor="text1"/>
                <w:lang w:eastAsia="en-AU"/>
              </w:rPr>
              <w:t>155.0</w:t>
            </w:r>
          </w:p>
        </w:tc>
        <w:tc>
          <w:tcPr>
            <w:tcW w:w="1992" w:type="dxa"/>
            <w:shd w:val="clear" w:color="auto" w:fill="auto"/>
            <w:vAlign w:val="center"/>
            <w:hideMark/>
          </w:tcPr>
          <w:p w14:paraId="49458D74" w14:textId="77777777" w:rsidR="009F261E" w:rsidRPr="00411C89" w:rsidRDefault="009F261E" w:rsidP="00685B35">
            <w:pPr>
              <w:pStyle w:val="Tabletext"/>
              <w:jc w:val="right"/>
              <w:rPr>
                <w:lang w:eastAsia="en-AU"/>
              </w:rPr>
            </w:pPr>
            <w:r w:rsidRPr="00411C89">
              <w:rPr>
                <w:lang w:eastAsia="en-AU"/>
              </w:rPr>
              <w:t>179.7</w:t>
            </w:r>
          </w:p>
        </w:tc>
        <w:tc>
          <w:tcPr>
            <w:tcW w:w="2121" w:type="dxa"/>
            <w:shd w:val="clear" w:color="auto" w:fill="auto"/>
            <w:vAlign w:val="center"/>
            <w:hideMark/>
          </w:tcPr>
          <w:p w14:paraId="0C5077C2" w14:textId="77777777" w:rsidR="009F261E" w:rsidRPr="00411C89" w:rsidRDefault="009F261E" w:rsidP="00685B35">
            <w:pPr>
              <w:pStyle w:val="Tabletext"/>
              <w:jc w:val="right"/>
              <w:rPr>
                <w:lang w:eastAsia="en-AU"/>
              </w:rPr>
            </w:pPr>
            <w:r w:rsidRPr="00411C89">
              <w:rPr>
                <w:lang w:eastAsia="en-AU"/>
              </w:rPr>
              <w:t>15.9</w:t>
            </w:r>
          </w:p>
        </w:tc>
      </w:tr>
      <w:tr w:rsidR="009F261E" w:rsidRPr="00411C89" w14:paraId="183F358C" w14:textId="77777777" w:rsidTr="00685B35">
        <w:trPr>
          <w:trHeight w:val="499"/>
        </w:trPr>
        <w:tc>
          <w:tcPr>
            <w:tcW w:w="3090" w:type="dxa"/>
            <w:shd w:val="clear" w:color="auto" w:fill="auto"/>
            <w:vAlign w:val="center"/>
            <w:hideMark/>
          </w:tcPr>
          <w:p w14:paraId="0787CF1F" w14:textId="77777777" w:rsidR="009F261E" w:rsidRPr="0017788F" w:rsidRDefault="009F261E" w:rsidP="00685B35">
            <w:pPr>
              <w:pStyle w:val="Tabletext"/>
              <w:rPr>
                <w:lang w:eastAsia="en-AU"/>
              </w:rPr>
            </w:pPr>
            <w:r w:rsidRPr="0017788F">
              <w:rPr>
                <w:lang w:eastAsia="en-AU"/>
              </w:rPr>
              <w:t>Medical Research</w:t>
            </w:r>
          </w:p>
        </w:tc>
        <w:tc>
          <w:tcPr>
            <w:tcW w:w="1576" w:type="dxa"/>
            <w:shd w:val="clear" w:color="auto" w:fill="auto"/>
            <w:vAlign w:val="center"/>
            <w:hideMark/>
          </w:tcPr>
          <w:p w14:paraId="00217D48" w14:textId="16DFAA3C" w:rsidR="009F261E" w:rsidRPr="0017788F" w:rsidRDefault="007E793B" w:rsidP="00685B35">
            <w:pPr>
              <w:pStyle w:val="Tabletext"/>
              <w:jc w:val="right"/>
              <w:rPr>
                <w:lang w:eastAsia="en-AU"/>
              </w:rPr>
            </w:pPr>
            <w:r>
              <w:rPr>
                <w:color w:val="000000" w:themeColor="text1"/>
                <w:lang w:eastAsia="en-AU"/>
              </w:rPr>
              <w:t>61.7</w:t>
            </w:r>
          </w:p>
        </w:tc>
        <w:tc>
          <w:tcPr>
            <w:tcW w:w="1992" w:type="dxa"/>
            <w:shd w:val="clear" w:color="auto" w:fill="auto"/>
            <w:vAlign w:val="center"/>
            <w:hideMark/>
          </w:tcPr>
          <w:p w14:paraId="1FCFDC4B" w14:textId="77777777" w:rsidR="009F261E" w:rsidRPr="0017788F" w:rsidRDefault="009F261E" w:rsidP="00685B35">
            <w:pPr>
              <w:pStyle w:val="Tabletext"/>
              <w:jc w:val="right"/>
              <w:rPr>
                <w:lang w:eastAsia="en-AU"/>
              </w:rPr>
            </w:pPr>
            <w:r w:rsidRPr="0017788F">
              <w:rPr>
                <w:lang w:eastAsia="en-AU"/>
              </w:rPr>
              <w:t>62.8</w:t>
            </w:r>
          </w:p>
        </w:tc>
        <w:tc>
          <w:tcPr>
            <w:tcW w:w="2121" w:type="dxa"/>
            <w:shd w:val="clear" w:color="auto" w:fill="auto"/>
            <w:vAlign w:val="center"/>
            <w:hideMark/>
          </w:tcPr>
          <w:p w14:paraId="0442F860" w14:textId="77777777" w:rsidR="009F261E" w:rsidRPr="0017788F" w:rsidRDefault="009F261E" w:rsidP="00685B35">
            <w:pPr>
              <w:pStyle w:val="Tabletext"/>
              <w:jc w:val="right"/>
              <w:rPr>
                <w:lang w:eastAsia="en-AU"/>
              </w:rPr>
            </w:pPr>
            <w:r w:rsidRPr="0017788F">
              <w:rPr>
                <w:lang w:eastAsia="en-AU"/>
              </w:rPr>
              <w:t>1.8</w:t>
            </w:r>
          </w:p>
        </w:tc>
      </w:tr>
      <w:tr w:rsidR="009F261E" w:rsidRPr="00411C89" w14:paraId="37690D58" w14:textId="77777777" w:rsidTr="00685B35">
        <w:trPr>
          <w:trHeight w:val="499"/>
        </w:trPr>
        <w:tc>
          <w:tcPr>
            <w:tcW w:w="3090" w:type="dxa"/>
            <w:shd w:val="clear" w:color="auto" w:fill="auto"/>
            <w:vAlign w:val="center"/>
            <w:hideMark/>
          </w:tcPr>
          <w:p w14:paraId="4BF5F7F4" w14:textId="77777777" w:rsidR="009F261E" w:rsidRPr="0017788F" w:rsidRDefault="009F261E" w:rsidP="00685B35">
            <w:pPr>
              <w:pStyle w:val="Tabletext"/>
              <w:rPr>
                <w:lang w:eastAsia="en-AU"/>
              </w:rPr>
            </w:pPr>
            <w:r w:rsidRPr="0017788F">
              <w:rPr>
                <w:lang w:eastAsia="en-AU"/>
              </w:rPr>
              <w:t>Health Protection  </w:t>
            </w:r>
          </w:p>
        </w:tc>
        <w:tc>
          <w:tcPr>
            <w:tcW w:w="1576" w:type="dxa"/>
            <w:shd w:val="clear" w:color="auto" w:fill="auto"/>
            <w:vAlign w:val="center"/>
            <w:hideMark/>
          </w:tcPr>
          <w:p w14:paraId="3636190B" w14:textId="039263C0" w:rsidR="009F261E" w:rsidRPr="0017788F" w:rsidRDefault="007A7AA8" w:rsidP="00685B35">
            <w:pPr>
              <w:pStyle w:val="Tabletext"/>
              <w:jc w:val="right"/>
              <w:rPr>
                <w:lang w:eastAsia="en-AU"/>
              </w:rPr>
            </w:pPr>
            <w:r>
              <w:rPr>
                <w:lang w:eastAsia="en-AU"/>
              </w:rPr>
              <w:t>189.7</w:t>
            </w:r>
          </w:p>
        </w:tc>
        <w:tc>
          <w:tcPr>
            <w:tcW w:w="1992" w:type="dxa"/>
            <w:shd w:val="clear" w:color="auto" w:fill="auto"/>
            <w:vAlign w:val="center"/>
            <w:hideMark/>
          </w:tcPr>
          <w:p w14:paraId="546B86D3" w14:textId="77777777" w:rsidR="009F261E" w:rsidRPr="0017788F" w:rsidRDefault="009F261E" w:rsidP="00685B35">
            <w:pPr>
              <w:pStyle w:val="Tabletext"/>
              <w:jc w:val="right"/>
              <w:rPr>
                <w:lang w:eastAsia="en-AU"/>
              </w:rPr>
            </w:pPr>
            <w:r w:rsidRPr="0017788F">
              <w:rPr>
                <w:lang w:eastAsia="en-AU"/>
              </w:rPr>
              <w:t>289.9</w:t>
            </w:r>
          </w:p>
        </w:tc>
        <w:tc>
          <w:tcPr>
            <w:tcW w:w="2121" w:type="dxa"/>
            <w:shd w:val="clear" w:color="auto" w:fill="auto"/>
            <w:vAlign w:val="center"/>
            <w:hideMark/>
          </w:tcPr>
          <w:p w14:paraId="3C201F99" w14:textId="77777777" w:rsidR="009F261E" w:rsidRPr="0017788F" w:rsidRDefault="009F261E" w:rsidP="00685B35">
            <w:pPr>
              <w:pStyle w:val="Tabletext"/>
              <w:jc w:val="right"/>
              <w:rPr>
                <w:lang w:eastAsia="en-AU"/>
              </w:rPr>
            </w:pPr>
            <w:r w:rsidRPr="0017788F">
              <w:rPr>
                <w:lang w:eastAsia="en-AU"/>
              </w:rPr>
              <w:t>52.8</w:t>
            </w:r>
          </w:p>
        </w:tc>
      </w:tr>
      <w:tr w:rsidR="009F261E" w:rsidRPr="00411C89" w14:paraId="563E1C57" w14:textId="77777777" w:rsidTr="00685B35">
        <w:trPr>
          <w:trHeight w:val="499"/>
        </w:trPr>
        <w:tc>
          <w:tcPr>
            <w:tcW w:w="3090" w:type="dxa"/>
            <w:shd w:val="clear" w:color="auto" w:fill="auto"/>
            <w:vAlign w:val="center"/>
            <w:hideMark/>
          </w:tcPr>
          <w:p w14:paraId="5431BDDD" w14:textId="77777777" w:rsidR="009F261E" w:rsidRPr="00411C89" w:rsidRDefault="009F261E" w:rsidP="00685B35">
            <w:pPr>
              <w:pStyle w:val="Tabletext"/>
              <w:rPr>
                <w:lang w:eastAsia="en-AU"/>
              </w:rPr>
            </w:pPr>
            <w:r w:rsidRPr="00411C89">
              <w:rPr>
                <w:lang w:eastAsia="en-AU"/>
              </w:rPr>
              <w:t>Health Advancement  </w:t>
            </w:r>
          </w:p>
        </w:tc>
        <w:tc>
          <w:tcPr>
            <w:tcW w:w="1576" w:type="dxa"/>
            <w:shd w:val="clear" w:color="auto" w:fill="auto"/>
            <w:vAlign w:val="center"/>
            <w:hideMark/>
          </w:tcPr>
          <w:p w14:paraId="134D9969" w14:textId="77777777" w:rsidR="009F261E" w:rsidRPr="00411C89" w:rsidRDefault="009F261E" w:rsidP="00685B35">
            <w:pPr>
              <w:pStyle w:val="Tabletext"/>
              <w:jc w:val="right"/>
              <w:rPr>
                <w:lang w:eastAsia="en-AU"/>
              </w:rPr>
            </w:pPr>
            <w:r w:rsidRPr="00411C89">
              <w:rPr>
                <w:lang w:eastAsia="en-AU"/>
              </w:rPr>
              <w:t>103.1</w:t>
            </w:r>
          </w:p>
        </w:tc>
        <w:tc>
          <w:tcPr>
            <w:tcW w:w="1992" w:type="dxa"/>
            <w:shd w:val="clear" w:color="auto" w:fill="auto"/>
            <w:vAlign w:val="center"/>
            <w:hideMark/>
          </w:tcPr>
          <w:p w14:paraId="2303079F" w14:textId="77777777" w:rsidR="009F261E" w:rsidRPr="00411C89" w:rsidRDefault="009F261E" w:rsidP="00685B35">
            <w:pPr>
              <w:pStyle w:val="Tabletext"/>
              <w:jc w:val="right"/>
              <w:rPr>
                <w:lang w:eastAsia="en-AU"/>
              </w:rPr>
            </w:pPr>
            <w:r w:rsidRPr="00411C89">
              <w:rPr>
                <w:lang w:eastAsia="en-AU"/>
              </w:rPr>
              <w:t>109.3</w:t>
            </w:r>
          </w:p>
        </w:tc>
        <w:tc>
          <w:tcPr>
            <w:tcW w:w="2121" w:type="dxa"/>
            <w:shd w:val="clear" w:color="auto" w:fill="auto"/>
            <w:vAlign w:val="center"/>
            <w:hideMark/>
          </w:tcPr>
          <w:p w14:paraId="46481443" w14:textId="77777777" w:rsidR="009F261E" w:rsidRPr="00411C89" w:rsidRDefault="009F261E" w:rsidP="00685B35">
            <w:pPr>
              <w:pStyle w:val="Tabletext"/>
              <w:jc w:val="right"/>
              <w:rPr>
                <w:lang w:eastAsia="en-AU"/>
              </w:rPr>
            </w:pPr>
            <w:r w:rsidRPr="00411C89">
              <w:rPr>
                <w:lang w:eastAsia="en-AU"/>
              </w:rPr>
              <w:t>6.1</w:t>
            </w:r>
          </w:p>
        </w:tc>
      </w:tr>
      <w:tr w:rsidR="009F261E" w:rsidRPr="00411C89" w14:paraId="288FA460" w14:textId="77777777" w:rsidTr="00685B35">
        <w:trPr>
          <w:trHeight w:val="499"/>
        </w:trPr>
        <w:tc>
          <w:tcPr>
            <w:tcW w:w="3090" w:type="dxa"/>
            <w:shd w:val="clear" w:color="auto" w:fill="auto"/>
            <w:vAlign w:val="center"/>
            <w:hideMark/>
          </w:tcPr>
          <w:p w14:paraId="27D212D1" w14:textId="77777777" w:rsidR="009F261E" w:rsidRPr="00411C89" w:rsidRDefault="009F261E" w:rsidP="00685B35">
            <w:pPr>
              <w:pStyle w:val="Tabletext"/>
              <w:rPr>
                <w:lang w:eastAsia="en-AU"/>
              </w:rPr>
            </w:pPr>
            <w:r w:rsidRPr="00411C89">
              <w:rPr>
                <w:lang w:eastAsia="en-AU"/>
              </w:rPr>
              <w:t>Emergency Management  </w:t>
            </w:r>
          </w:p>
        </w:tc>
        <w:tc>
          <w:tcPr>
            <w:tcW w:w="1576" w:type="dxa"/>
            <w:shd w:val="clear" w:color="auto" w:fill="auto"/>
            <w:vAlign w:val="center"/>
            <w:hideMark/>
          </w:tcPr>
          <w:p w14:paraId="4128B444" w14:textId="77777777" w:rsidR="009F261E" w:rsidRPr="00411C89" w:rsidRDefault="009F261E" w:rsidP="00685B35">
            <w:pPr>
              <w:pStyle w:val="Tabletext"/>
              <w:jc w:val="right"/>
              <w:rPr>
                <w:lang w:eastAsia="en-AU"/>
              </w:rPr>
            </w:pPr>
            <w:r w:rsidRPr="00411C89">
              <w:rPr>
                <w:lang w:eastAsia="en-AU"/>
              </w:rPr>
              <w:t>12.9</w:t>
            </w:r>
          </w:p>
        </w:tc>
        <w:tc>
          <w:tcPr>
            <w:tcW w:w="1992" w:type="dxa"/>
            <w:shd w:val="clear" w:color="auto" w:fill="auto"/>
            <w:vAlign w:val="center"/>
            <w:hideMark/>
          </w:tcPr>
          <w:p w14:paraId="51987476" w14:textId="77777777" w:rsidR="009F261E" w:rsidRPr="00411C89" w:rsidRDefault="009F261E" w:rsidP="00685B35">
            <w:pPr>
              <w:pStyle w:val="Tabletext"/>
              <w:jc w:val="right"/>
              <w:rPr>
                <w:lang w:eastAsia="en-AU"/>
              </w:rPr>
            </w:pPr>
            <w:r w:rsidRPr="00411C89">
              <w:rPr>
                <w:lang w:eastAsia="en-AU"/>
              </w:rPr>
              <w:t>15.5</w:t>
            </w:r>
          </w:p>
        </w:tc>
        <w:tc>
          <w:tcPr>
            <w:tcW w:w="2121" w:type="dxa"/>
            <w:shd w:val="clear" w:color="auto" w:fill="auto"/>
            <w:vAlign w:val="center"/>
            <w:hideMark/>
          </w:tcPr>
          <w:p w14:paraId="60B8B1F3" w14:textId="77777777" w:rsidR="009F261E" w:rsidRPr="00411C89" w:rsidRDefault="009F261E" w:rsidP="00685B35">
            <w:pPr>
              <w:pStyle w:val="Tabletext"/>
              <w:jc w:val="right"/>
              <w:rPr>
                <w:lang w:eastAsia="en-AU"/>
              </w:rPr>
            </w:pPr>
            <w:r w:rsidRPr="00411C89">
              <w:rPr>
                <w:lang w:eastAsia="en-AU"/>
              </w:rPr>
              <w:t>20.0</w:t>
            </w:r>
          </w:p>
        </w:tc>
      </w:tr>
      <w:tr w:rsidR="009F261E" w:rsidRPr="00411C89" w14:paraId="47E480BC" w14:textId="77777777" w:rsidTr="00685B35">
        <w:trPr>
          <w:trHeight w:val="499"/>
        </w:trPr>
        <w:tc>
          <w:tcPr>
            <w:tcW w:w="3090" w:type="dxa"/>
            <w:shd w:val="clear" w:color="auto" w:fill="auto"/>
            <w:vAlign w:val="center"/>
            <w:hideMark/>
          </w:tcPr>
          <w:p w14:paraId="29A1BC56" w14:textId="77777777" w:rsidR="009F261E" w:rsidRPr="00411C89" w:rsidRDefault="009F261E" w:rsidP="00685B35">
            <w:pPr>
              <w:pStyle w:val="Tabletext"/>
              <w:rPr>
                <w:lang w:eastAsia="en-AU"/>
              </w:rPr>
            </w:pPr>
            <w:r w:rsidRPr="00411C89">
              <w:rPr>
                <w:lang w:eastAsia="en-AU"/>
              </w:rPr>
              <w:t>Small Rural Services – Acute Health  </w:t>
            </w:r>
          </w:p>
        </w:tc>
        <w:tc>
          <w:tcPr>
            <w:tcW w:w="1576" w:type="dxa"/>
            <w:shd w:val="clear" w:color="auto" w:fill="auto"/>
            <w:vAlign w:val="center"/>
            <w:hideMark/>
          </w:tcPr>
          <w:p w14:paraId="3CC2F154" w14:textId="77777777" w:rsidR="009F261E" w:rsidRPr="00411C89" w:rsidRDefault="009F261E" w:rsidP="00685B35">
            <w:pPr>
              <w:pStyle w:val="Tabletext"/>
              <w:jc w:val="right"/>
              <w:rPr>
                <w:lang w:eastAsia="en-AU"/>
              </w:rPr>
            </w:pPr>
            <w:r w:rsidRPr="00411C89">
              <w:rPr>
                <w:lang w:eastAsia="en-AU"/>
              </w:rPr>
              <w:t>429.5</w:t>
            </w:r>
          </w:p>
        </w:tc>
        <w:tc>
          <w:tcPr>
            <w:tcW w:w="1992" w:type="dxa"/>
            <w:shd w:val="clear" w:color="auto" w:fill="auto"/>
            <w:vAlign w:val="center"/>
            <w:hideMark/>
          </w:tcPr>
          <w:p w14:paraId="1DB1054D" w14:textId="77777777" w:rsidR="009F261E" w:rsidRPr="00411C89" w:rsidRDefault="009F261E" w:rsidP="00685B35">
            <w:pPr>
              <w:pStyle w:val="Tabletext"/>
              <w:jc w:val="right"/>
              <w:rPr>
                <w:lang w:eastAsia="en-AU"/>
              </w:rPr>
            </w:pPr>
            <w:r w:rsidRPr="00411C89">
              <w:rPr>
                <w:lang w:eastAsia="en-AU"/>
              </w:rPr>
              <w:t>442.5</w:t>
            </w:r>
          </w:p>
        </w:tc>
        <w:tc>
          <w:tcPr>
            <w:tcW w:w="2121" w:type="dxa"/>
            <w:shd w:val="clear" w:color="auto" w:fill="auto"/>
            <w:vAlign w:val="center"/>
            <w:hideMark/>
          </w:tcPr>
          <w:p w14:paraId="2B251006" w14:textId="77777777" w:rsidR="009F261E" w:rsidRPr="00411C89" w:rsidRDefault="009F261E" w:rsidP="00685B35">
            <w:pPr>
              <w:pStyle w:val="Tabletext"/>
              <w:jc w:val="right"/>
              <w:rPr>
                <w:lang w:eastAsia="en-AU"/>
              </w:rPr>
            </w:pPr>
            <w:r w:rsidRPr="00411C89">
              <w:rPr>
                <w:lang w:eastAsia="en-AU"/>
              </w:rPr>
              <w:t>3.0</w:t>
            </w:r>
          </w:p>
        </w:tc>
      </w:tr>
      <w:tr w:rsidR="009F261E" w:rsidRPr="00411C89" w14:paraId="3CA1A4B8" w14:textId="77777777" w:rsidTr="00685B35">
        <w:trPr>
          <w:trHeight w:val="499"/>
        </w:trPr>
        <w:tc>
          <w:tcPr>
            <w:tcW w:w="3090" w:type="dxa"/>
            <w:shd w:val="clear" w:color="auto" w:fill="auto"/>
            <w:vAlign w:val="center"/>
            <w:hideMark/>
          </w:tcPr>
          <w:p w14:paraId="242B7BDF" w14:textId="77777777" w:rsidR="009F261E" w:rsidRPr="00411C89" w:rsidRDefault="009F261E" w:rsidP="00685B35">
            <w:pPr>
              <w:pStyle w:val="Tabletext"/>
              <w:rPr>
                <w:lang w:eastAsia="en-AU"/>
              </w:rPr>
            </w:pPr>
            <w:r w:rsidRPr="00411C89">
              <w:rPr>
                <w:lang w:eastAsia="en-AU"/>
              </w:rPr>
              <w:t>Small Rural Services – Aged Care  </w:t>
            </w:r>
          </w:p>
        </w:tc>
        <w:tc>
          <w:tcPr>
            <w:tcW w:w="1576" w:type="dxa"/>
            <w:shd w:val="clear" w:color="auto" w:fill="auto"/>
            <w:vAlign w:val="center"/>
            <w:hideMark/>
          </w:tcPr>
          <w:p w14:paraId="333BF01B" w14:textId="77777777" w:rsidR="009F261E" w:rsidRPr="00411C89" w:rsidRDefault="009F261E" w:rsidP="00685B35">
            <w:pPr>
              <w:pStyle w:val="Tabletext"/>
              <w:jc w:val="right"/>
              <w:rPr>
                <w:lang w:eastAsia="en-AU"/>
              </w:rPr>
            </w:pPr>
            <w:r w:rsidRPr="00411C89">
              <w:rPr>
                <w:lang w:eastAsia="en-AU"/>
              </w:rPr>
              <w:t>250.3</w:t>
            </w:r>
          </w:p>
        </w:tc>
        <w:tc>
          <w:tcPr>
            <w:tcW w:w="1992" w:type="dxa"/>
            <w:shd w:val="clear" w:color="auto" w:fill="auto"/>
            <w:vAlign w:val="center"/>
            <w:hideMark/>
          </w:tcPr>
          <w:p w14:paraId="1D770A56" w14:textId="77777777" w:rsidR="009F261E" w:rsidRPr="00411C89" w:rsidRDefault="009F261E" w:rsidP="00685B35">
            <w:pPr>
              <w:pStyle w:val="Tabletext"/>
              <w:jc w:val="right"/>
              <w:rPr>
                <w:lang w:eastAsia="en-AU"/>
              </w:rPr>
            </w:pPr>
            <w:r w:rsidRPr="00411C89">
              <w:rPr>
                <w:lang w:eastAsia="en-AU"/>
              </w:rPr>
              <w:t>256.4</w:t>
            </w:r>
          </w:p>
        </w:tc>
        <w:tc>
          <w:tcPr>
            <w:tcW w:w="2121" w:type="dxa"/>
            <w:shd w:val="clear" w:color="auto" w:fill="auto"/>
            <w:vAlign w:val="center"/>
            <w:hideMark/>
          </w:tcPr>
          <w:p w14:paraId="7AD44680" w14:textId="691B7CFF" w:rsidR="009F261E" w:rsidRPr="00411C89" w:rsidRDefault="009F261E" w:rsidP="00685B35">
            <w:pPr>
              <w:pStyle w:val="Tabletext"/>
              <w:jc w:val="right"/>
              <w:rPr>
                <w:lang w:eastAsia="en-AU"/>
              </w:rPr>
            </w:pPr>
            <w:r>
              <w:rPr>
                <w:lang w:eastAsia="en-AU"/>
              </w:rPr>
              <w:t>2.5</w:t>
            </w:r>
          </w:p>
        </w:tc>
      </w:tr>
      <w:tr w:rsidR="009F261E" w:rsidRPr="00411C89" w14:paraId="3465DD60" w14:textId="77777777" w:rsidTr="00685B35">
        <w:trPr>
          <w:trHeight w:val="499"/>
        </w:trPr>
        <w:tc>
          <w:tcPr>
            <w:tcW w:w="3090" w:type="dxa"/>
            <w:shd w:val="clear" w:color="auto" w:fill="auto"/>
            <w:vAlign w:val="center"/>
            <w:hideMark/>
          </w:tcPr>
          <w:p w14:paraId="20390960" w14:textId="77777777" w:rsidR="009F261E" w:rsidRPr="00411C89" w:rsidRDefault="009F261E" w:rsidP="00685B35">
            <w:pPr>
              <w:pStyle w:val="Tabletext"/>
              <w:rPr>
                <w:lang w:eastAsia="en-AU"/>
              </w:rPr>
            </w:pPr>
            <w:r w:rsidRPr="00411C89">
              <w:rPr>
                <w:lang w:eastAsia="en-AU"/>
              </w:rPr>
              <w:t>Small Rural Services – Home and Community Care Services  </w:t>
            </w:r>
          </w:p>
        </w:tc>
        <w:tc>
          <w:tcPr>
            <w:tcW w:w="1576" w:type="dxa"/>
            <w:shd w:val="clear" w:color="auto" w:fill="auto"/>
            <w:vAlign w:val="center"/>
            <w:hideMark/>
          </w:tcPr>
          <w:p w14:paraId="47297C3F" w14:textId="3EB1E2FA" w:rsidR="009F261E" w:rsidRPr="00411C89" w:rsidRDefault="009F261E" w:rsidP="00685B35">
            <w:pPr>
              <w:pStyle w:val="Tabletext"/>
              <w:jc w:val="right"/>
              <w:rPr>
                <w:lang w:eastAsia="en-AU"/>
              </w:rPr>
            </w:pPr>
            <w:r>
              <w:rPr>
                <w:lang w:eastAsia="en-AU"/>
              </w:rPr>
              <w:t>11.5</w:t>
            </w:r>
          </w:p>
        </w:tc>
        <w:tc>
          <w:tcPr>
            <w:tcW w:w="1992" w:type="dxa"/>
            <w:shd w:val="clear" w:color="auto" w:fill="auto"/>
            <w:vAlign w:val="center"/>
            <w:hideMark/>
          </w:tcPr>
          <w:p w14:paraId="1D904498" w14:textId="470F5004" w:rsidR="009F261E" w:rsidRPr="00411C89" w:rsidRDefault="009F261E" w:rsidP="00685B35">
            <w:pPr>
              <w:pStyle w:val="Tabletext"/>
              <w:jc w:val="right"/>
              <w:rPr>
                <w:lang w:eastAsia="en-AU"/>
              </w:rPr>
            </w:pPr>
            <w:r>
              <w:rPr>
                <w:color w:val="000000" w:themeColor="text1"/>
                <w:lang w:eastAsia="en-AU"/>
              </w:rPr>
              <w:t>11.7</w:t>
            </w:r>
          </w:p>
        </w:tc>
        <w:tc>
          <w:tcPr>
            <w:tcW w:w="2121" w:type="dxa"/>
            <w:shd w:val="clear" w:color="auto" w:fill="auto"/>
            <w:vAlign w:val="center"/>
            <w:hideMark/>
          </w:tcPr>
          <w:p w14:paraId="42A44E8A" w14:textId="0D9912AA" w:rsidR="009F261E" w:rsidRPr="00411C89" w:rsidRDefault="009F261E" w:rsidP="00685B35">
            <w:pPr>
              <w:pStyle w:val="Tabletext"/>
              <w:jc w:val="right"/>
              <w:rPr>
                <w:lang w:eastAsia="en-AU"/>
              </w:rPr>
            </w:pPr>
            <w:r>
              <w:rPr>
                <w:lang w:eastAsia="en-AU"/>
              </w:rPr>
              <w:t>1.4</w:t>
            </w:r>
          </w:p>
        </w:tc>
      </w:tr>
      <w:tr w:rsidR="009F261E" w:rsidRPr="00411C89" w14:paraId="03B9395A" w14:textId="77777777" w:rsidTr="00685B35">
        <w:trPr>
          <w:trHeight w:val="499"/>
        </w:trPr>
        <w:tc>
          <w:tcPr>
            <w:tcW w:w="3090" w:type="dxa"/>
            <w:shd w:val="clear" w:color="auto" w:fill="auto"/>
            <w:vAlign w:val="center"/>
            <w:hideMark/>
          </w:tcPr>
          <w:p w14:paraId="42EA6C2A" w14:textId="77777777" w:rsidR="009F261E" w:rsidRPr="00411C89" w:rsidRDefault="009F261E" w:rsidP="00685B35">
            <w:pPr>
              <w:pStyle w:val="Tabletext"/>
              <w:rPr>
                <w:lang w:eastAsia="en-AU"/>
              </w:rPr>
            </w:pPr>
            <w:r w:rsidRPr="00411C89">
              <w:rPr>
                <w:lang w:eastAsia="en-AU"/>
              </w:rPr>
              <w:t>Small Rural Services – Primary Health  </w:t>
            </w:r>
          </w:p>
        </w:tc>
        <w:tc>
          <w:tcPr>
            <w:tcW w:w="1576" w:type="dxa"/>
            <w:shd w:val="clear" w:color="auto" w:fill="auto"/>
            <w:vAlign w:val="center"/>
            <w:hideMark/>
          </w:tcPr>
          <w:p w14:paraId="36445B41" w14:textId="77777777" w:rsidR="009F261E" w:rsidRPr="00411C89" w:rsidRDefault="009F261E" w:rsidP="00685B35">
            <w:pPr>
              <w:pStyle w:val="Tabletext"/>
              <w:jc w:val="right"/>
              <w:rPr>
                <w:lang w:eastAsia="en-AU"/>
              </w:rPr>
            </w:pPr>
            <w:r w:rsidRPr="00411C89">
              <w:rPr>
                <w:lang w:eastAsia="en-AU"/>
              </w:rPr>
              <w:t>24.7</w:t>
            </w:r>
          </w:p>
        </w:tc>
        <w:tc>
          <w:tcPr>
            <w:tcW w:w="1992" w:type="dxa"/>
            <w:shd w:val="clear" w:color="auto" w:fill="auto"/>
            <w:vAlign w:val="center"/>
            <w:hideMark/>
          </w:tcPr>
          <w:p w14:paraId="776D97D7" w14:textId="77777777" w:rsidR="009F261E" w:rsidRPr="00411C89" w:rsidRDefault="009F261E" w:rsidP="00685B35">
            <w:pPr>
              <w:pStyle w:val="Tabletext"/>
              <w:jc w:val="right"/>
              <w:rPr>
                <w:lang w:eastAsia="en-AU"/>
              </w:rPr>
            </w:pPr>
            <w:r w:rsidRPr="00411C89">
              <w:rPr>
                <w:lang w:eastAsia="en-AU"/>
              </w:rPr>
              <w:t>25.1</w:t>
            </w:r>
          </w:p>
        </w:tc>
        <w:tc>
          <w:tcPr>
            <w:tcW w:w="2121" w:type="dxa"/>
            <w:shd w:val="clear" w:color="auto" w:fill="auto"/>
            <w:vAlign w:val="center"/>
            <w:hideMark/>
          </w:tcPr>
          <w:p w14:paraId="4266FB08" w14:textId="77777777" w:rsidR="009F261E" w:rsidRPr="00411C89" w:rsidRDefault="009F261E" w:rsidP="00685B35">
            <w:pPr>
              <w:pStyle w:val="Tabletext"/>
              <w:jc w:val="right"/>
              <w:rPr>
                <w:lang w:eastAsia="en-AU"/>
              </w:rPr>
            </w:pPr>
            <w:r w:rsidRPr="00411C89">
              <w:rPr>
                <w:lang w:eastAsia="en-AU"/>
              </w:rPr>
              <w:t>1.6</w:t>
            </w:r>
          </w:p>
        </w:tc>
      </w:tr>
      <w:tr w:rsidR="009F261E" w:rsidRPr="00411C89" w14:paraId="540895B6" w14:textId="77777777" w:rsidTr="00685B35">
        <w:trPr>
          <w:trHeight w:val="499"/>
        </w:trPr>
        <w:tc>
          <w:tcPr>
            <w:tcW w:w="3090" w:type="dxa"/>
            <w:shd w:val="clear" w:color="auto" w:fill="auto"/>
            <w:vAlign w:val="center"/>
            <w:hideMark/>
          </w:tcPr>
          <w:p w14:paraId="73D9E432" w14:textId="77777777" w:rsidR="009F261E" w:rsidRPr="00685B35" w:rsidRDefault="009F261E" w:rsidP="00685B35">
            <w:pPr>
              <w:pStyle w:val="Tabletext"/>
              <w:rPr>
                <w:b/>
                <w:bCs/>
              </w:rPr>
            </w:pPr>
            <w:r w:rsidRPr="00685B35">
              <w:rPr>
                <w:b/>
                <w:bCs/>
              </w:rPr>
              <w:t>Total (excluding COVID-19 expenditure)</w:t>
            </w:r>
          </w:p>
        </w:tc>
        <w:tc>
          <w:tcPr>
            <w:tcW w:w="1576" w:type="dxa"/>
            <w:shd w:val="clear" w:color="auto" w:fill="auto"/>
            <w:vAlign w:val="center"/>
            <w:hideMark/>
          </w:tcPr>
          <w:p w14:paraId="09143C57" w14:textId="77777777" w:rsidR="009F261E" w:rsidRPr="00685B35" w:rsidRDefault="009F261E" w:rsidP="00685B35">
            <w:pPr>
              <w:pStyle w:val="Tabletext"/>
              <w:jc w:val="right"/>
              <w:rPr>
                <w:b/>
                <w:bCs/>
              </w:rPr>
            </w:pPr>
            <w:r w:rsidRPr="00685B35">
              <w:rPr>
                <w:b/>
                <w:bCs/>
              </w:rPr>
              <w:t>24270.8</w:t>
            </w:r>
          </w:p>
        </w:tc>
        <w:tc>
          <w:tcPr>
            <w:tcW w:w="1992" w:type="dxa"/>
            <w:shd w:val="clear" w:color="auto" w:fill="auto"/>
            <w:vAlign w:val="center"/>
            <w:hideMark/>
          </w:tcPr>
          <w:p w14:paraId="685B97EA" w14:textId="77777777" w:rsidR="009F261E" w:rsidRPr="00685B35" w:rsidRDefault="009F261E" w:rsidP="00685B35">
            <w:pPr>
              <w:pStyle w:val="Tabletext"/>
              <w:jc w:val="right"/>
              <w:rPr>
                <w:b/>
                <w:bCs/>
              </w:rPr>
            </w:pPr>
            <w:r w:rsidRPr="00685B35">
              <w:rPr>
                <w:b/>
                <w:bCs/>
              </w:rPr>
              <w:t>25546.7</w:t>
            </w:r>
          </w:p>
        </w:tc>
        <w:tc>
          <w:tcPr>
            <w:tcW w:w="2121" w:type="dxa"/>
            <w:shd w:val="clear" w:color="auto" w:fill="auto"/>
            <w:vAlign w:val="center"/>
            <w:hideMark/>
          </w:tcPr>
          <w:p w14:paraId="1CDFE2B2" w14:textId="77777777" w:rsidR="009F261E" w:rsidRPr="00685B35" w:rsidRDefault="009F261E" w:rsidP="00685B35">
            <w:pPr>
              <w:pStyle w:val="Tabletext"/>
              <w:jc w:val="right"/>
              <w:rPr>
                <w:b/>
                <w:bCs/>
              </w:rPr>
            </w:pPr>
            <w:r w:rsidRPr="00685B35">
              <w:rPr>
                <w:b/>
                <w:bCs/>
              </w:rPr>
              <w:t>5.3</w:t>
            </w:r>
          </w:p>
        </w:tc>
      </w:tr>
    </w:tbl>
    <w:p w14:paraId="51C0B6F4" w14:textId="2B5CE2A2" w:rsidR="000B27B9" w:rsidRPr="006E2B0E" w:rsidRDefault="000B27B9" w:rsidP="009F261E">
      <w:pPr>
        <w:pStyle w:val="Tablefigurenote9pt"/>
      </w:pPr>
      <w:r w:rsidRPr="009F261E">
        <w:t>Source</w:t>
      </w:r>
      <w:r w:rsidRPr="006E2B0E">
        <w:t xml:space="preserve">: </w:t>
      </w:r>
      <w:r w:rsidRPr="00685B35">
        <w:rPr>
          <w:i/>
          <w:iCs/>
        </w:rPr>
        <w:t xml:space="preserve">Victorian </w:t>
      </w:r>
      <w:r w:rsidR="009F261E" w:rsidRPr="00685B35">
        <w:rPr>
          <w:i/>
          <w:iCs/>
        </w:rPr>
        <w:t>State Budget 2023–24</w:t>
      </w:r>
      <w:r w:rsidR="009F261E">
        <w:t>,</w:t>
      </w:r>
      <w:r w:rsidR="009F261E" w:rsidRPr="00AE6427">
        <w:t xml:space="preserve"> </w:t>
      </w:r>
      <w:r w:rsidRPr="00AE6427">
        <w:t>Budget Paper No. 3</w:t>
      </w:r>
      <w:r w:rsidR="00822A54">
        <w:t>,</w:t>
      </w:r>
      <w:r w:rsidR="0010432E" w:rsidRPr="00427CA4">
        <w:t xml:space="preserve"> </w:t>
      </w:r>
      <w:r w:rsidR="00822A54">
        <w:t>p.</w:t>
      </w:r>
      <w:r w:rsidR="00822A54" w:rsidRPr="006E2B0E">
        <w:t xml:space="preserve"> </w:t>
      </w:r>
      <w:r w:rsidR="00A22440" w:rsidRPr="006E2B0E">
        <w:t>2</w:t>
      </w:r>
      <w:r w:rsidR="00DB0D1B">
        <w:t>08</w:t>
      </w:r>
      <w:r w:rsidR="00822A54">
        <w:t>.</w:t>
      </w:r>
    </w:p>
    <w:p w14:paraId="69378F98" w14:textId="061ED4B9" w:rsidR="000B27B9" w:rsidRPr="00FE19AD" w:rsidRDefault="000B27B9" w:rsidP="00DD008A">
      <w:pPr>
        <w:pStyle w:val="Heading2"/>
      </w:pPr>
      <w:bookmarkStart w:id="37" w:name="_Toc7123532"/>
      <w:bookmarkStart w:id="38" w:name="_Toc8310419"/>
      <w:bookmarkStart w:id="39" w:name="_Toc12884102"/>
      <w:bookmarkStart w:id="40" w:name="_Toc52892549"/>
      <w:bookmarkStart w:id="41" w:name="_Toc100263261"/>
      <w:bookmarkStart w:id="42" w:name="_Toc156569579"/>
      <w:r>
        <w:lastRenderedPageBreak/>
        <w:t xml:space="preserve">Output </w:t>
      </w:r>
      <w:bookmarkEnd w:id="37"/>
      <w:bookmarkEnd w:id="38"/>
      <w:bookmarkEnd w:id="39"/>
      <w:bookmarkEnd w:id="40"/>
      <w:bookmarkEnd w:id="41"/>
      <w:r w:rsidR="007E0555">
        <w:t>i</w:t>
      </w:r>
      <w:r>
        <w:t>nitiatives</w:t>
      </w:r>
      <w:bookmarkEnd w:id="42"/>
    </w:p>
    <w:p w14:paraId="138CBC13" w14:textId="4ED858DB" w:rsidR="000B27B9" w:rsidRPr="00FE19AD" w:rsidRDefault="009F261E" w:rsidP="00B92CD4">
      <w:pPr>
        <w:pStyle w:val="Body"/>
      </w:pPr>
      <w:r>
        <w:t>The</w:t>
      </w:r>
      <w:r w:rsidR="001A666A">
        <w:t xml:space="preserve"> </w:t>
      </w:r>
      <w:r w:rsidR="00822A54" w:rsidRPr="673BC71C">
        <w:rPr>
          <w:i/>
          <w:iCs/>
        </w:rPr>
        <w:t xml:space="preserve">Victorian </w:t>
      </w:r>
      <w:r>
        <w:rPr>
          <w:i/>
          <w:iCs/>
        </w:rPr>
        <w:t xml:space="preserve">State </w:t>
      </w:r>
      <w:r w:rsidR="00822A54" w:rsidRPr="673BC71C">
        <w:rPr>
          <w:i/>
          <w:iCs/>
        </w:rPr>
        <w:t xml:space="preserve">Budget </w:t>
      </w:r>
      <w:r w:rsidR="00A11810" w:rsidRPr="00685B35">
        <w:rPr>
          <w:i/>
          <w:iCs/>
        </w:rPr>
        <w:t>202</w:t>
      </w:r>
      <w:r w:rsidR="00A5022A" w:rsidRPr="00685B35">
        <w:rPr>
          <w:i/>
          <w:iCs/>
        </w:rPr>
        <w:t>3</w:t>
      </w:r>
      <w:r w:rsidR="00822A54" w:rsidRPr="00685B35">
        <w:rPr>
          <w:i/>
          <w:iCs/>
        </w:rPr>
        <w:t>–</w:t>
      </w:r>
      <w:r w:rsidR="00A11810" w:rsidRPr="00685B35">
        <w:rPr>
          <w:i/>
          <w:iCs/>
        </w:rPr>
        <w:t>2</w:t>
      </w:r>
      <w:r w:rsidR="00A5022A" w:rsidRPr="00685B35">
        <w:rPr>
          <w:i/>
          <w:iCs/>
        </w:rPr>
        <w:t>4</w:t>
      </w:r>
      <w:r>
        <w:t xml:space="preserve"> allocates </w:t>
      </w:r>
      <w:r w:rsidR="001A666A">
        <w:t>$</w:t>
      </w:r>
      <w:r w:rsidR="00C34C03">
        <w:t>1.3</w:t>
      </w:r>
      <w:r w:rsidR="001A666A">
        <w:t xml:space="preserve"> billion </w:t>
      </w:r>
      <w:r>
        <w:t xml:space="preserve">to the department </w:t>
      </w:r>
      <w:r w:rsidR="001A666A">
        <w:t xml:space="preserve">in </w:t>
      </w:r>
      <w:r w:rsidR="00C34C03">
        <w:t>2023</w:t>
      </w:r>
      <w:r>
        <w:t>–</w:t>
      </w:r>
      <w:r w:rsidR="00C34C03">
        <w:t>24</w:t>
      </w:r>
      <w:r>
        <w:t>,</w:t>
      </w:r>
      <w:r w:rsidR="00A11810">
        <w:t xml:space="preserve"> </w:t>
      </w:r>
      <w:r w:rsidR="001A666A">
        <w:t>and $</w:t>
      </w:r>
      <w:r w:rsidR="00B75593">
        <w:t>4.</w:t>
      </w:r>
      <w:r>
        <w:t>37 </w:t>
      </w:r>
      <w:r w:rsidR="001A666A">
        <w:t>billion over five years for new output initiatives that will grow and strengthen the health, ambulance, mental health and aged care sectors</w:t>
      </w:r>
      <w:r w:rsidR="00E86C5D">
        <w:t>.</w:t>
      </w:r>
    </w:p>
    <w:p w14:paraId="1917D010" w14:textId="7A9066F2" w:rsidR="000B27B9" w:rsidRPr="00FE19AD" w:rsidRDefault="007C1155" w:rsidP="00081936">
      <w:pPr>
        <w:pStyle w:val="Heading3"/>
        <w:numPr>
          <w:ilvl w:val="2"/>
          <w:numId w:val="33"/>
        </w:numPr>
        <w:ind w:left="1134"/>
      </w:pPr>
      <w:bookmarkStart w:id="43" w:name="_Toc156569580"/>
      <w:bookmarkStart w:id="44" w:name="_Toc100263262"/>
      <w:r w:rsidRPr="00936002">
        <w:t>Admitted</w:t>
      </w:r>
      <w:r>
        <w:t xml:space="preserve"> </w:t>
      </w:r>
      <w:r w:rsidR="00D96AED">
        <w:t>S</w:t>
      </w:r>
      <w:r>
        <w:t>ervices</w:t>
      </w:r>
      <w:bookmarkEnd w:id="43"/>
      <w:r w:rsidR="000B27B9" w:rsidRPr="00FE19AD">
        <w:t xml:space="preserve"> </w:t>
      </w:r>
      <w:bookmarkEnd w:id="44"/>
    </w:p>
    <w:p w14:paraId="7C08EAA4" w14:textId="27B01876" w:rsidR="005842FA" w:rsidRPr="00E911C2" w:rsidRDefault="005842FA" w:rsidP="00E911C2">
      <w:pPr>
        <w:pStyle w:val="Body"/>
      </w:pPr>
      <w:r w:rsidRPr="00E911C2">
        <w:t xml:space="preserve">The </w:t>
      </w:r>
      <w:r w:rsidR="009F261E" w:rsidRPr="00E911C2">
        <w:t>department</w:t>
      </w:r>
      <w:r w:rsidR="009F261E">
        <w:t xml:space="preserve"> </w:t>
      </w:r>
      <w:r w:rsidRPr="00E911C2">
        <w:t xml:space="preserve">is investing $695 million </w:t>
      </w:r>
      <w:r w:rsidR="009F261E" w:rsidRPr="00E911C2">
        <w:t>in</w:t>
      </w:r>
      <w:r w:rsidR="009F261E">
        <w:t xml:space="preserve"> </w:t>
      </w:r>
      <w:r w:rsidRPr="00E911C2">
        <w:t>2023</w:t>
      </w:r>
      <w:r w:rsidR="009F261E">
        <w:t>–</w:t>
      </w:r>
      <w:r w:rsidR="009F261E" w:rsidRPr="00E911C2">
        <w:t>24</w:t>
      </w:r>
      <w:r w:rsidR="009F261E">
        <w:t xml:space="preserve"> </w:t>
      </w:r>
      <w:r w:rsidRPr="00E911C2">
        <w:t>($2.87 billion over five years) in output funding for acute health services and programs across metropolitan Melbourne and regional Victori</w:t>
      </w:r>
      <w:r w:rsidR="009F261E">
        <w:t>a. This includes</w:t>
      </w:r>
      <w:r w:rsidRPr="00E911C2">
        <w:t>:</w:t>
      </w:r>
    </w:p>
    <w:p w14:paraId="7D1E8AB0" w14:textId="5C150C6A" w:rsidR="005842FA" w:rsidRPr="00D11B30" w:rsidRDefault="005842FA" w:rsidP="00623A21">
      <w:pPr>
        <w:pStyle w:val="Bullet1"/>
        <w:rPr>
          <w:rFonts w:cs="Arial"/>
          <w:color w:val="000000" w:themeColor="text1"/>
          <w:szCs w:val="21"/>
          <w:lang w:eastAsia="en-GB"/>
        </w:rPr>
      </w:pPr>
      <w:r w:rsidRPr="00304E77">
        <w:t xml:space="preserve">$560.7 </w:t>
      </w:r>
      <w:r w:rsidRPr="5BAC3BE7">
        <w:rPr>
          <w:rFonts w:cs="Arial"/>
          <w:color w:val="000000" w:themeColor="text1"/>
          <w:lang w:eastAsia="en-GB"/>
        </w:rPr>
        <w:t>million in 2023</w:t>
      </w:r>
      <w:r w:rsidR="009F261E">
        <w:rPr>
          <w:rFonts w:cs="Arial"/>
          <w:color w:val="000000" w:themeColor="text1"/>
          <w:lang w:eastAsia="en-GB"/>
        </w:rPr>
        <w:t>–</w:t>
      </w:r>
      <w:r w:rsidRPr="5BAC3BE7">
        <w:rPr>
          <w:rFonts w:cs="Arial"/>
          <w:color w:val="000000" w:themeColor="text1"/>
          <w:lang w:eastAsia="en-GB"/>
        </w:rPr>
        <w:t>24 ($2.34 billion over five years) to support the delivery of quality patient outcomes in Victoria’s public hospital services</w:t>
      </w:r>
      <w:r w:rsidR="009F261E">
        <w:rPr>
          <w:rFonts w:cs="Arial"/>
          <w:color w:val="000000" w:themeColor="text1"/>
          <w:lang w:eastAsia="en-GB"/>
        </w:rPr>
        <w:t xml:space="preserve">. Funding will also </w:t>
      </w:r>
      <w:r w:rsidRPr="5BAC3BE7">
        <w:rPr>
          <w:rFonts w:cs="Arial"/>
          <w:color w:val="000000" w:themeColor="text1"/>
          <w:lang w:eastAsia="en-GB"/>
        </w:rPr>
        <w:t>operationalis</w:t>
      </w:r>
      <w:r w:rsidR="009F261E">
        <w:rPr>
          <w:rFonts w:cs="Arial"/>
          <w:color w:val="000000" w:themeColor="text1"/>
          <w:lang w:eastAsia="en-GB"/>
        </w:rPr>
        <w:t>e</w:t>
      </w:r>
      <w:r w:rsidRPr="5BAC3BE7">
        <w:rPr>
          <w:rFonts w:cs="Arial"/>
          <w:color w:val="000000" w:themeColor="text1"/>
          <w:lang w:eastAsia="en-GB"/>
        </w:rPr>
        <w:t xml:space="preserve"> new and expanded facilities and deliver on commitments </w:t>
      </w:r>
      <w:r w:rsidR="005A5B6C" w:rsidRPr="5BAC3BE7">
        <w:rPr>
          <w:rFonts w:cs="Arial"/>
          <w:color w:val="000000" w:themeColor="text1"/>
          <w:lang w:eastAsia="en-GB"/>
        </w:rPr>
        <w:t>to invest</w:t>
      </w:r>
      <w:r w:rsidRPr="5BAC3BE7">
        <w:rPr>
          <w:rFonts w:cs="Arial"/>
          <w:color w:val="000000" w:themeColor="text1"/>
          <w:lang w:eastAsia="en-GB"/>
        </w:rPr>
        <w:t xml:space="preserve"> in life-saving blood products. This initiative also addresses the impacts of </w:t>
      </w:r>
      <w:r w:rsidR="009F261E">
        <w:rPr>
          <w:rFonts w:cs="Arial"/>
          <w:color w:val="000000" w:themeColor="text1"/>
          <w:lang w:eastAsia="en-GB"/>
        </w:rPr>
        <w:t xml:space="preserve">the </w:t>
      </w:r>
      <w:r w:rsidRPr="5BAC3BE7">
        <w:rPr>
          <w:rFonts w:cs="Arial"/>
          <w:color w:val="000000" w:themeColor="text1"/>
          <w:lang w:eastAsia="en-GB"/>
        </w:rPr>
        <w:t xml:space="preserve">COVID-19 </w:t>
      </w:r>
      <w:r w:rsidR="009F261E">
        <w:rPr>
          <w:rFonts w:cs="Arial"/>
          <w:color w:val="000000" w:themeColor="text1"/>
          <w:lang w:eastAsia="en-GB"/>
        </w:rPr>
        <w:t xml:space="preserve">pandemic </w:t>
      </w:r>
      <w:r w:rsidRPr="5BAC3BE7">
        <w:rPr>
          <w:rFonts w:cs="Arial"/>
          <w:color w:val="000000" w:themeColor="text1"/>
          <w:lang w:eastAsia="en-GB"/>
        </w:rPr>
        <w:t>on public hospitals and the increasing costs of delivering health</w:t>
      </w:r>
      <w:r w:rsidR="00CD620B">
        <w:rPr>
          <w:rFonts w:cs="Arial"/>
          <w:color w:val="000000" w:themeColor="text1"/>
          <w:lang w:eastAsia="en-GB"/>
        </w:rPr>
        <w:t xml:space="preserve"> </w:t>
      </w:r>
      <w:r w:rsidRPr="5BAC3BE7">
        <w:rPr>
          <w:rFonts w:cs="Arial"/>
          <w:color w:val="000000" w:themeColor="text1"/>
          <w:lang w:eastAsia="en-GB"/>
        </w:rPr>
        <w:t>care</w:t>
      </w:r>
    </w:p>
    <w:p w14:paraId="17BB7E8C" w14:textId="573BF474" w:rsidR="005842FA" w:rsidRDefault="005842FA" w:rsidP="00623A21">
      <w:pPr>
        <w:pStyle w:val="Bullet1"/>
        <w:rPr>
          <w:rFonts w:cs="Arial"/>
          <w:color w:val="000000" w:themeColor="text1"/>
          <w:szCs w:val="21"/>
          <w:lang w:eastAsia="en-GB"/>
        </w:rPr>
      </w:pPr>
      <w:r w:rsidRPr="00304E77">
        <w:t>$8.3 million in 2023</w:t>
      </w:r>
      <w:r w:rsidR="00CD620B">
        <w:t>–</w:t>
      </w:r>
      <w:r w:rsidRPr="00304E77">
        <w:t xml:space="preserve">24 ($154.2 million over five years) in output funding to support more nurses and midwives in resuscitation bays, maternity night shifts, intensive care units, </w:t>
      </w:r>
      <w:r w:rsidR="00CD620B" w:rsidRPr="00304E77">
        <w:t>high</w:t>
      </w:r>
      <w:r w:rsidR="00CD620B">
        <w:t>-</w:t>
      </w:r>
      <w:r w:rsidRPr="00304E77">
        <w:t>dependency units, coronary care units and aged care residential in-reac</w:t>
      </w:r>
      <w:r w:rsidRPr="5BAC3BE7">
        <w:rPr>
          <w:rFonts w:cs="Arial"/>
          <w:color w:val="000000" w:themeColor="text1"/>
          <w:lang w:eastAsia="en-GB"/>
        </w:rPr>
        <w:t>h facilities. New graduates will be encouraged to enter the public system through sign-on bonuses, and a trial of neonatal support nurses will provide additional care on maternity wards</w:t>
      </w:r>
    </w:p>
    <w:p w14:paraId="0EF27709" w14:textId="401DA6BC" w:rsidR="005842FA" w:rsidRDefault="005842FA" w:rsidP="00623A21">
      <w:pPr>
        <w:pStyle w:val="Bullet1"/>
        <w:rPr>
          <w:rFonts w:cs="Arial"/>
          <w:color w:val="000000" w:themeColor="text1"/>
          <w:szCs w:val="21"/>
          <w:lang w:eastAsia="en-GB"/>
        </w:rPr>
      </w:pPr>
      <w:r w:rsidRPr="00304E77">
        <w:t>$23.8 million in 2023</w:t>
      </w:r>
      <w:r w:rsidR="00CD620B">
        <w:t>–</w:t>
      </w:r>
      <w:r w:rsidRPr="00304E77">
        <w:t xml:space="preserve">24 ($153.9 million over </w:t>
      </w:r>
      <w:r w:rsidRPr="5BAC3BE7">
        <w:rPr>
          <w:rFonts w:cs="Arial"/>
          <w:color w:val="000000" w:themeColor="text1"/>
          <w:lang w:eastAsia="en-GB"/>
        </w:rPr>
        <w:t>four years) in output funding to support the health of Victorian women and girls by improving access to services and promoting best practice management of women’s health issues. This includes establishing 20 new women’s health clinics, a dedicated Aboriginal-led clinic, and sexual and reproductive hubs</w:t>
      </w:r>
      <w:r w:rsidR="000A0969" w:rsidRPr="5BAC3BE7">
        <w:rPr>
          <w:rFonts w:cs="Arial"/>
          <w:color w:val="000000" w:themeColor="text1"/>
          <w:lang w:eastAsia="en-GB"/>
        </w:rPr>
        <w:t xml:space="preserve"> and delivering an additional 10 800 laparoscopies</w:t>
      </w:r>
      <w:r w:rsidRPr="5BAC3BE7">
        <w:rPr>
          <w:rFonts w:cs="Arial"/>
          <w:color w:val="000000" w:themeColor="text1"/>
          <w:lang w:eastAsia="en-GB"/>
        </w:rPr>
        <w:t>. Funding will also deliver an inquiry into women’s pain management and provide scholarships to increase availability of women’s health specialists</w:t>
      </w:r>
    </w:p>
    <w:p w14:paraId="06CD5443" w14:textId="2342A4F1" w:rsidR="005842FA" w:rsidRDefault="005842FA" w:rsidP="00623A21">
      <w:pPr>
        <w:pStyle w:val="Bullet1"/>
        <w:rPr>
          <w:rFonts w:cs="Arial"/>
          <w:color w:val="000000" w:themeColor="text1"/>
          <w:szCs w:val="21"/>
          <w:lang w:eastAsia="en-GB"/>
        </w:rPr>
      </w:pPr>
      <w:r w:rsidRPr="00304E77">
        <w:t xml:space="preserve">$24.9 million in </w:t>
      </w:r>
      <w:r w:rsidRPr="5BAC3BE7">
        <w:rPr>
          <w:rFonts w:cs="Arial"/>
          <w:color w:val="000000" w:themeColor="text1"/>
          <w:lang w:eastAsia="en-GB"/>
        </w:rPr>
        <w:t>2023</w:t>
      </w:r>
      <w:r w:rsidR="00CD620B">
        <w:rPr>
          <w:rFonts w:cs="Arial"/>
          <w:color w:val="000000" w:themeColor="text1"/>
          <w:lang w:eastAsia="en-GB"/>
        </w:rPr>
        <w:t>–</w:t>
      </w:r>
      <w:r w:rsidRPr="5BAC3BE7">
        <w:rPr>
          <w:rFonts w:cs="Arial"/>
          <w:color w:val="000000" w:themeColor="text1"/>
          <w:lang w:eastAsia="en-GB"/>
        </w:rPr>
        <w:t>24 ($103.3 million over four years) in output funding to increase access to highly specialised therapies and genetic tests for people with rare diseases and cancer</w:t>
      </w:r>
    </w:p>
    <w:p w14:paraId="0E264677" w14:textId="7D751E54" w:rsidR="005842FA" w:rsidRDefault="005842FA" w:rsidP="00623A21">
      <w:pPr>
        <w:pStyle w:val="Bullet1"/>
        <w:rPr>
          <w:rFonts w:cs="Arial"/>
          <w:color w:val="000000" w:themeColor="text1"/>
          <w:szCs w:val="21"/>
          <w:lang w:eastAsia="en-GB"/>
        </w:rPr>
      </w:pPr>
      <w:r w:rsidRPr="00304E77">
        <w:t>$4.5 million in 2023</w:t>
      </w:r>
      <w:r w:rsidR="00CD620B">
        <w:t>–</w:t>
      </w:r>
      <w:r w:rsidRPr="00304E77">
        <w:t xml:space="preserve">24 ($49.9 million over </w:t>
      </w:r>
      <w:r w:rsidRPr="5BAC3BE7">
        <w:rPr>
          <w:rFonts w:cs="Arial"/>
          <w:color w:val="000000" w:themeColor="text1"/>
          <w:lang w:eastAsia="en-GB"/>
        </w:rPr>
        <w:t>three years) in output funding to extend and expand public fertility care services to deliver more treatment cycles every year, enabling more Victorians to access services including those living in regional areas</w:t>
      </w:r>
    </w:p>
    <w:p w14:paraId="6D69F894" w14:textId="1A4B7BC4" w:rsidR="005842FA" w:rsidRDefault="005842FA" w:rsidP="00623A21">
      <w:pPr>
        <w:pStyle w:val="Bullet1"/>
        <w:rPr>
          <w:rFonts w:cs="Arial"/>
          <w:color w:val="000000" w:themeColor="text1"/>
          <w:szCs w:val="21"/>
          <w:lang w:eastAsia="en-GB"/>
        </w:rPr>
      </w:pPr>
      <w:r w:rsidRPr="00304E77">
        <w:t>$45.3 million in 2023</w:t>
      </w:r>
      <w:r w:rsidR="00CA1CD1">
        <w:t>–</w:t>
      </w:r>
      <w:r w:rsidRPr="00304E77">
        <w:t xml:space="preserve">24 in output funding to continue the purchase and warehousing </w:t>
      </w:r>
      <w:r w:rsidRPr="5BAC3BE7">
        <w:rPr>
          <w:rFonts w:cs="Arial"/>
          <w:color w:val="000000" w:themeColor="text1"/>
          <w:lang w:eastAsia="en-GB"/>
        </w:rPr>
        <w:t>of personal protective equipment to ensure healthcare workers and patients are protected from infection</w:t>
      </w:r>
    </w:p>
    <w:p w14:paraId="15722C32" w14:textId="6D02AFE8" w:rsidR="005842FA" w:rsidRDefault="005842FA" w:rsidP="00623A21">
      <w:pPr>
        <w:pStyle w:val="Bullet1"/>
        <w:rPr>
          <w:rFonts w:cs="Arial"/>
          <w:color w:val="000000" w:themeColor="text1"/>
          <w:szCs w:val="21"/>
          <w:lang w:eastAsia="en-GB"/>
        </w:rPr>
      </w:pPr>
      <w:r w:rsidRPr="00304E77">
        <w:t>$19.3 million in 2023</w:t>
      </w:r>
      <w:r w:rsidR="00CA1CD1">
        <w:t>–</w:t>
      </w:r>
      <w:r w:rsidRPr="00304E77">
        <w:t xml:space="preserve">24 in output funding </w:t>
      </w:r>
      <w:r w:rsidRPr="5BAC3BE7">
        <w:rPr>
          <w:rFonts w:cs="Arial"/>
          <w:color w:val="000000" w:themeColor="text1"/>
          <w:lang w:eastAsia="en-GB"/>
        </w:rPr>
        <w:t>with $15</w:t>
      </w:r>
      <w:r w:rsidR="00407A39">
        <w:rPr>
          <w:rFonts w:cs="Arial"/>
          <w:color w:val="000000" w:themeColor="text1"/>
          <w:lang w:eastAsia="en-GB"/>
        </w:rPr>
        <w:t>.0</w:t>
      </w:r>
      <w:r w:rsidRPr="5BAC3BE7">
        <w:rPr>
          <w:rFonts w:cs="Arial"/>
          <w:color w:val="000000" w:themeColor="text1"/>
          <w:lang w:eastAsia="en-GB"/>
        </w:rPr>
        <w:t xml:space="preserve"> million TEI in asset funding to maintain strong cybersecurity measures for Victorian public health services and Ambulance Victoria. This includes support for next generation antivirus protections, a security operations centre, and a recovery service in the event of a successful cyberattack. Funding is also provided to upgrade the network infrastructure needed to support and deliver patient-related services such as pathology, diagnostic imaging, and patient management systems</w:t>
      </w:r>
    </w:p>
    <w:p w14:paraId="7CB874D0" w14:textId="49D5070E" w:rsidR="005842FA" w:rsidRDefault="005842FA" w:rsidP="00685B35">
      <w:pPr>
        <w:pStyle w:val="Bullet1"/>
      </w:pPr>
      <w:r w:rsidRPr="00304E77">
        <w:t>$9.1 million in</w:t>
      </w:r>
      <w:r w:rsidR="00104730">
        <w:t xml:space="preserve"> output funding</w:t>
      </w:r>
      <w:r w:rsidRPr="00304E77">
        <w:t xml:space="preserve"> </w:t>
      </w:r>
      <w:r w:rsidR="00092BA4">
        <w:t xml:space="preserve">in </w:t>
      </w:r>
      <w:r w:rsidRPr="00304E77">
        <w:t>2023</w:t>
      </w:r>
      <w:r w:rsidR="00CA1CD1">
        <w:t>–</w:t>
      </w:r>
      <w:r w:rsidRPr="00304E77">
        <w:t xml:space="preserve">24 </w:t>
      </w:r>
      <w:r w:rsidRPr="00CA1CD1">
        <w:rPr>
          <w:lang w:eastAsia="en-GB"/>
        </w:rPr>
        <w:t>to transition those who are well enough for discharge from hospital, including people with a disability, into home-like settings that are equipped to meet their needs, making more hospital beds available to treat additional patients.</w:t>
      </w:r>
    </w:p>
    <w:p w14:paraId="683B6840" w14:textId="18D1CBBC" w:rsidR="00307E72" w:rsidRPr="00110B89" w:rsidRDefault="00BE5079" w:rsidP="00081936">
      <w:pPr>
        <w:pStyle w:val="Heading3"/>
        <w:numPr>
          <w:ilvl w:val="2"/>
          <w:numId w:val="33"/>
        </w:numPr>
        <w:ind w:left="1134"/>
      </w:pPr>
      <w:bookmarkStart w:id="45" w:name="_Toc156569581"/>
      <w:r>
        <w:t>Ambulance Emergency Services</w:t>
      </w:r>
      <w:bookmarkEnd w:id="45"/>
    </w:p>
    <w:p w14:paraId="6C08DB4D" w14:textId="4158FD1E" w:rsidR="00402B22" w:rsidRPr="000E53C6" w:rsidRDefault="00402B22" w:rsidP="00187BEB">
      <w:pPr>
        <w:pStyle w:val="Body"/>
        <w:rPr>
          <w:lang w:eastAsia="en-GB"/>
        </w:rPr>
      </w:pPr>
      <w:r w:rsidRPr="007237CA">
        <w:rPr>
          <w:lang w:val="en-US" w:eastAsia="en-GB"/>
        </w:rPr>
        <w:t xml:space="preserve">The </w:t>
      </w:r>
      <w:r w:rsidR="00CA1CD1" w:rsidRPr="00CA1CD1">
        <w:rPr>
          <w:lang w:val="en-US" w:eastAsia="en-GB"/>
        </w:rPr>
        <w:t>department</w:t>
      </w:r>
      <w:r w:rsidR="00CA1CD1" w:rsidRPr="00685B35">
        <w:rPr>
          <w:lang w:val="en-US" w:eastAsia="en-GB"/>
        </w:rPr>
        <w:t xml:space="preserve"> </w:t>
      </w:r>
      <w:r w:rsidRPr="00CA1CD1">
        <w:rPr>
          <w:lang w:val="en-US" w:eastAsia="en-GB"/>
        </w:rPr>
        <w:t>i</w:t>
      </w:r>
      <w:r w:rsidRPr="007237CA">
        <w:rPr>
          <w:lang w:val="en-US" w:eastAsia="en-GB"/>
        </w:rPr>
        <w:t>s investing $</w:t>
      </w:r>
      <w:r w:rsidRPr="00A567C2">
        <w:rPr>
          <w:lang w:val="en-US" w:eastAsia="en-GB"/>
        </w:rPr>
        <w:t>119.8 million in </w:t>
      </w:r>
      <w:r w:rsidRPr="00A567C2">
        <w:rPr>
          <w:lang w:eastAsia="en-GB"/>
        </w:rPr>
        <w:t>2023</w:t>
      </w:r>
      <w:r w:rsidR="00CA1CD1">
        <w:rPr>
          <w:lang w:eastAsia="en-GB"/>
        </w:rPr>
        <w:t>–</w:t>
      </w:r>
      <w:r w:rsidRPr="00A567C2">
        <w:rPr>
          <w:lang w:eastAsia="en-GB"/>
        </w:rPr>
        <w:t>24</w:t>
      </w:r>
      <w:r w:rsidRPr="007237CA">
        <w:rPr>
          <w:lang w:val="en-US" w:eastAsia="en-GB"/>
        </w:rPr>
        <w:t> ($</w:t>
      </w:r>
      <w:r>
        <w:rPr>
          <w:lang w:val="en-US" w:eastAsia="en-GB"/>
        </w:rPr>
        <w:t>244</w:t>
      </w:r>
      <w:r w:rsidR="00047F83">
        <w:rPr>
          <w:lang w:val="en-US" w:eastAsia="en-GB"/>
        </w:rPr>
        <w:t>.0</w:t>
      </w:r>
      <w:r w:rsidRPr="007237CA">
        <w:rPr>
          <w:lang w:val="en-US" w:eastAsia="en-GB"/>
        </w:rPr>
        <w:t xml:space="preserve"> </w:t>
      </w:r>
      <w:r>
        <w:rPr>
          <w:lang w:val="en-US" w:eastAsia="en-GB"/>
        </w:rPr>
        <w:t>million</w:t>
      </w:r>
      <w:r w:rsidRPr="007237CA">
        <w:rPr>
          <w:lang w:val="en-US" w:eastAsia="en-GB"/>
        </w:rPr>
        <w:t xml:space="preserve"> over f</w:t>
      </w:r>
      <w:r>
        <w:rPr>
          <w:lang w:val="en-US" w:eastAsia="en-GB"/>
        </w:rPr>
        <w:t>our</w:t>
      </w:r>
      <w:r w:rsidRPr="007237CA">
        <w:rPr>
          <w:lang w:val="en-US" w:eastAsia="en-GB"/>
        </w:rPr>
        <w:t xml:space="preserve"> years) in output funding</w:t>
      </w:r>
      <w:r>
        <w:rPr>
          <w:lang w:val="en-US" w:eastAsia="en-GB"/>
        </w:rPr>
        <w:t xml:space="preserve"> </w:t>
      </w:r>
      <w:r w:rsidRPr="007237CA">
        <w:rPr>
          <w:lang w:eastAsia="en-GB"/>
        </w:rPr>
        <w:t>with $</w:t>
      </w:r>
      <w:r>
        <w:rPr>
          <w:lang w:eastAsia="en-GB"/>
        </w:rPr>
        <w:t>3.2</w:t>
      </w:r>
      <w:r w:rsidRPr="007237CA">
        <w:rPr>
          <w:lang w:eastAsia="en-GB"/>
        </w:rPr>
        <w:t xml:space="preserve"> million TEI</w:t>
      </w:r>
      <w:r w:rsidRPr="007237CA">
        <w:rPr>
          <w:lang w:val="en-US" w:eastAsia="en-GB"/>
        </w:rPr>
        <w:t xml:space="preserve"> </w:t>
      </w:r>
      <w:r>
        <w:rPr>
          <w:lang w:val="en-US" w:eastAsia="en-GB"/>
        </w:rPr>
        <w:t>to back paramedics, invest in Ambulance Services infrastructure and support more timely emergency care</w:t>
      </w:r>
      <w:r w:rsidR="00CA1CD1">
        <w:rPr>
          <w:lang w:val="en-US" w:eastAsia="en-GB"/>
        </w:rPr>
        <w:t>.</w:t>
      </w:r>
      <w:r w:rsidR="00CA1CD1" w:rsidRPr="007237CA">
        <w:rPr>
          <w:lang w:val="en-US" w:eastAsia="en-GB"/>
        </w:rPr>
        <w:t xml:space="preserve"> </w:t>
      </w:r>
      <w:r w:rsidR="00CA1CD1">
        <w:rPr>
          <w:lang w:val="en-US" w:eastAsia="en-GB"/>
        </w:rPr>
        <w:t>This includes</w:t>
      </w:r>
      <w:r w:rsidRPr="007237CA">
        <w:rPr>
          <w:lang w:val="en-US" w:eastAsia="en-GB"/>
        </w:rPr>
        <w:t>:</w:t>
      </w:r>
    </w:p>
    <w:p w14:paraId="2AD2010D" w14:textId="56D7BEA1" w:rsidR="00402B22" w:rsidRPr="000E53C6" w:rsidRDefault="00402B22" w:rsidP="00623A21">
      <w:pPr>
        <w:pStyle w:val="Bullet1"/>
        <w:rPr>
          <w:rFonts w:cs="Arial"/>
          <w:color w:val="000000" w:themeColor="text1"/>
          <w:szCs w:val="21"/>
          <w:lang w:eastAsia="en-GB"/>
        </w:rPr>
      </w:pPr>
      <w:r w:rsidRPr="00304E77">
        <w:lastRenderedPageBreak/>
        <w:t>$</w:t>
      </w:r>
      <w:r w:rsidRPr="5BAC3BE7">
        <w:rPr>
          <w:rFonts w:cs="Arial"/>
          <w:color w:val="000000" w:themeColor="text1"/>
          <w:lang w:eastAsia="en-GB"/>
        </w:rPr>
        <w:t>117.4 million in 2023</w:t>
      </w:r>
      <w:r w:rsidR="00CA1CD1">
        <w:rPr>
          <w:rFonts w:cs="Arial"/>
          <w:color w:val="000000" w:themeColor="text1"/>
          <w:lang w:eastAsia="en-GB"/>
        </w:rPr>
        <w:t>–</w:t>
      </w:r>
      <w:r w:rsidRPr="5BAC3BE7">
        <w:rPr>
          <w:rFonts w:cs="Arial"/>
          <w:color w:val="000000" w:themeColor="text1"/>
          <w:lang w:eastAsia="en-GB"/>
        </w:rPr>
        <w:t>24 ($201.5 million over four years) in output funding to increase Ambulance Victoria’s capacity to respond to growing demand for ambulance services across Victoria. Funding also continues a range of initiatives to connect people to the right care, including the Victorian Virtual Emergency Department. Secondary triage services will continue to direct more patients to alternative</w:t>
      </w:r>
      <w:r w:rsidR="00CA1CD1">
        <w:rPr>
          <w:rFonts w:cs="Arial"/>
          <w:color w:val="000000" w:themeColor="text1"/>
          <w:lang w:eastAsia="en-GB"/>
        </w:rPr>
        <w:t>,</w:t>
      </w:r>
      <w:r w:rsidRPr="5BAC3BE7">
        <w:rPr>
          <w:rFonts w:cs="Arial"/>
          <w:color w:val="000000" w:themeColor="text1"/>
          <w:lang w:eastAsia="en-GB"/>
        </w:rPr>
        <w:t xml:space="preserve"> lower</w:t>
      </w:r>
      <w:r w:rsidR="00CA1CD1">
        <w:rPr>
          <w:rFonts w:cs="Arial"/>
          <w:color w:val="000000" w:themeColor="text1"/>
          <w:lang w:eastAsia="en-GB"/>
        </w:rPr>
        <w:t>-</w:t>
      </w:r>
      <w:r w:rsidRPr="5BAC3BE7">
        <w:rPr>
          <w:rFonts w:cs="Arial"/>
          <w:color w:val="000000" w:themeColor="text1"/>
          <w:lang w:eastAsia="en-GB"/>
        </w:rPr>
        <w:t>acuity care pathways</w:t>
      </w:r>
      <w:r w:rsidR="00CA1CD1">
        <w:rPr>
          <w:rFonts w:cs="Arial"/>
          <w:color w:val="000000" w:themeColor="text1"/>
          <w:lang w:eastAsia="en-GB"/>
        </w:rPr>
        <w:t>.</w:t>
      </w:r>
      <w:r w:rsidRPr="5BAC3BE7">
        <w:rPr>
          <w:rFonts w:cs="Arial"/>
          <w:color w:val="000000" w:themeColor="text1"/>
          <w:lang w:eastAsia="en-GB"/>
        </w:rPr>
        <w:t xml:space="preserve"> </w:t>
      </w:r>
      <w:r w:rsidR="00CA1CD1">
        <w:rPr>
          <w:rFonts w:cs="Arial"/>
          <w:color w:val="000000" w:themeColor="text1"/>
          <w:lang w:eastAsia="en-GB"/>
        </w:rPr>
        <w:t>M</w:t>
      </w:r>
      <w:r w:rsidR="00CA1CD1" w:rsidRPr="5BAC3BE7">
        <w:rPr>
          <w:rFonts w:cs="Arial"/>
          <w:color w:val="000000" w:themeColor="text1"/>
          <w:lang w:eastAsia="en-GB"/>
        </w:rPr>
        <w:t>edium</w:t>
      </w:r>
      <w:r w:rsidR="00CA1CD1">
        <w:rPr>
          <w:rFonts w:cs="Arial"/>
          <w:color w:val="000000" w:themeColor="text1"/>
          <w:lang w:eastAsia="en-GB"/>
        </w:rPr>
        <w:t>-</w:t>
      </w:r>
      <w:r w:rsidRPr="5BAC3BE7">
        <w:rPr>
          <w:rFonts w:cs="Arial"/>
          <w:color w:val="000000" w:themeColor="text1"/>
          <w:lang w:eastAsia="en-GB"/>
        </w:rPr>
        <w:t>acuity transport services will be extended – freeing up ambulances to respond to the most time critical emergency cases</w:t>
      </w:r>
    </w:p>
    <w:p w14:paraId="557F0EBD" w14:textId="1DD81282" w:rsidR="00402B22" w:rsidRPr="000E53C6" w:rsidRDefault="00402B22" w:rsidP="00623A21">
      <w:pPr>
        <w:pStyle w:val="Bullet1"/>
        <w:rPr>
          <w:rFonts w:cs="Arial"/>
          <w:color w:val="000000" w:themeColor="text1"/>
          <w:szCs w:val="21"/>
          <w:lang w:eastAsia="en-GB"/>
        </w:rPr>
      </w:pPr>
      <w:r w:rsidRPr="00304E77">
        <w:t>$2.4 million in 2023</w:t>
      </w:r>
      <w:r w:rsidR="00CA1CD1">
        <w:t>–</w:t>
      </w:r>
      <w:r w:rsidRPr="00304E77">
        <w:t>24 ($42.7 million over four years)</w:t>
      </w:r>
      <w:r w:rsidRPr="5BAC3BE7">
        <w:rPr>
          <w:rFonts w:cs="Arial"/>
          <w:color w:val="000000" w:themeColor="text1"/>
          <w:lang w:eastAsia="en-GB"/>
        </w:rPr>
        <w:t xml:space="preserve"> in output funding with $3.2 million TEI to train and deploy 25 paramedic practitioners to respond to and provide urgent care in the community, as well as train an additional 40 Mobile Intensive Care Ambulance paramedics. This initiative will also contribute funding to Australia’s first Centre for Paramedicine to support education and training.</w:t>
      </w:r>
    </w:p>
    <w:p w14:paraId="56F533AF" w14:textId="559F5B63" w:rsidR="00B57F91" w:rsidRDefault="00B57F91" w:rsidP="00081936">
      <w:pPr>
        <w:pStyle w:val="Heading3"/>
        <w:numPr>
          <w:ilvl w:val="2"/>
          <w:numId w:val="33"/>
        </w:numPr>
        <w:ind w:left="1134"/>
      </w:pPr>
      <w:bookmarkStart w:id="46" w:name="_Toc156569582"/>
      <w:bookmarkStart w:id="47" w:name="_Toc100263265"/>
      <w:r>
        <w:t>Community Health Care</w:t>
      </w:r>
      <w:bookmarkEnd w:id="46"/>
    </w:p>
    <w:p w14:paraId="1C592F3F" w14:textId="2E021E2F" w:rsidR="002225DC" w:rsidRPr="007237CA" w:rsidRDefault="002225DC" w:rsidP="00187BEB">
      <w:pPr>
        <w:pStyle w:val="Body"/>
        <w:rPr>
          <w:lang w:eastAsia="en-GB"/>
        </w:rPr>
      </w:pPr>
      <w:r w:rsidRPr="007237CA">
        <w:rPr>
          <w:lang w:val="en-US" w:eastAsia="en-GB"/>
        </w:rPr>
        <w:t>The department is investing $</w:t>
      </w:r>
      <w:r>
        <w:rPr>
          <w:lang w:val="en-US" w:eastAsia="en-GB"/>
        </w:rPr>
        <w:t>87.8</w:t>
      </w:r>
      <w:r w:rsidRPr="007237CA">
        <w:rPr>
          <w:lang w:val="en-US" w:eastAsia="en-GB"/>
        </w:rPr>
        <w:t xml:space="preserve"> million in </w:t>
      </w:r>
      <w:r w:rsidR="00AF2F12">
        <w:rPr>
          <w:lang w:val="en-US" w:eastAsia="en-GB"/>
        </w:rPr>
        <w:t xml:space="preserve">output funding </w:t>
      </w:r>
      <w:r w:rsidR="00A820E2">
        <w:rPr>
          <w:lang w:val="en-US" w:eastAsia="en-GB"/>
        </w:rPr>
        <w:t xml:space="preserve">in </w:t>
      </w:r>
      <w:r w:rsidRPr="007237CA">
        <w:rPr>
          <w:lang w:eastAsia="en-GB"/>
        </w:rPr>
        <w:t>20</w:t>
      </w:r>
      <w:r>
        <w:rPr>
          <w:lang w:eastAsia="en-GB"/>
        </w:rPr>
        <w:t>23</w:t>
      </w:r>
      <w:r w:rsidR="00CA1CD1">
        <w:rPr>
          <w:lang w:eastAsia="en-GB"/>
        </w:rPr>
        <w:t>–</w:t>
      </w:r>
      <w:r>
        <w:rPr>
          <w:lang w:eastAsia="en-GB"/>
        </w:rPr>
        <w:t>24</w:t>
      </w:r>
      <w:r w:rsidRPr="007237CA">
        <w:rPr>
          <w:lang w:val="en-US" w:eastAsia="en-GB"/>
        </w:rPr>
        <w:t> (</w:t>
      </w:r>
      <w:r>
        <w:rPr>
          <w:lang w:val="en-US" w:eastAsia="en-GB"/>
        </w:rPr>
        <w:t>$157.5</w:t>
      </w:r>
      <w:r w:rsidRPr="007237CA">
        <w:rPr>
          <w:lang w:val="en-US" w:eastAsia="en-GB"/>
        </w:rPr>
        <w:t xml:space="preserve"> million over f</w:t>
      </w:r>
      <w:r>
        <w:rPr>
          <w:lang w:val="en-US" w:eastAsia="en-GB"/>
        </w:rPr>
        <w:t>ive</w:t>
      </w:r>
      <w:r w:rsidRPr="007237CA">
        <w:rPr>
          <w:lang w:val="en-US" w:eastAsia="en-GB"/>
        </w:rPr>
        <w:t xml:space="preserve"> years) </w:t>
      </w:r>
      <w:r w:rsidRPr="007237CA">
        <w:rPr>
          <w:lang w:eastAsia="en-GB"/>
        </w:rPr>
        <w:t>to support new initiatives that will improve access to health services for vulnerable Victorians in the community</w:t>
      </w:r>
      <w:r w:rsidR="00CA1CD1">
        <w:rPr>
          <w:lang w:eastAsia="en-GB"/>
        </w:rPr>
        <w:t>. This includes</w:t>
      </w:r>
      <w:r w:rsidRPr="007237CA">
        <w:rPr>
          <w:lang w:eastAsia="en-GB"/>
        </w:rPr>
        <w:t>:</w:t>
      </w:r>
    </w:p>
    <w:p w14:paraId="24765569" w14:textId="078073F0" w:rsidR="002225DC" w:rsidRPr="008A7AED" w:rsidRDefault="002225DC" w:rsidP="00623A21">
      <w:pPr>
        <w:pStyle w:val="Bullet1"/>
        <w:rPr>
          <w:rFonts w:ascii="Calibri" w:hAnsi="Calibri" w:cs="Calibri"/>
          <w:color w:val="000000" w:themeColor="text1"/>
          <w:szCs w:val="21"/>
          <w:lang w:eastAsia="en-GB"/>
        </w:rPr>
      </w:pPr>
      <w:r w:rsidRPr="00304E77">
        <w:t>$41</w:t>
      </w:r>
      <w:r w:rsidRPr="5BAC3BE7">
        <w:rPr>
          <w:rFonts w:cs="Arial"/>
          <w:color w:val="000000" w:themeColor="text1"/>
          <w:lang w:eastAsia="en-GB"/>
        </w:rPr>
        <w:t xml:space="preserve">.9 million in </w:t>
      </w:r>
      <w:r w:rsidR="004342F8">
        <w:rPr>
          <w:rFonts w:cs="Arial"/>
          <w:color w:val="000000" w:themeColor="text1"/>
          <w:lang w:eastAsia="en-GB"/>
        </w:rPr>
        <w:t xml:space="preserve">output funding in </w:t>
      </w:r>
      <w:r w:rsidRPr="5BAC3BE7">
        <w:rPr>
          <w:rFonts w:cs="Arial"/>
          <w:color w:val="000000" w:themeColor="text1"/>
          <w:lang w:eastAsia="en-GB"/>
        </w:rPr>
        <w:t>2023</w:t>
      </w:r>
      <w:r w:rsidR="00CA1CD1">
        <w:rPr>
          <w:rFonts w:cs="Arial"/>
          <w:color w:val="000000" w:themeColor="text1"/>
          <w:lang w:eastAsia="en-GB"/>
        </w:rPr>
        <w:t>–</w:t>
      </w:r>
      <w:r w:rsidRPr="5BAC3BE7">
        <w:rPr>
          <w:rFonts w:cs="Arial"/>
          <w:color w:val="000000" w:themeColor="text1"/>
          <w:lang w:eastAsia="en-GB"/>
        </w:rPr>
        <w:t xml:space="preserve">24 to continue operating </w:t>
      </w:r>
      <w:r w:rsidR="00CA1CD1" w:rsidRPr="5BAC3BE7">
        <w:rPr>
          <w:rFonts w:cs="Arial"/>
          <w:color w:val="000000" w:themeColor="text1"/>
          <w:lang w:eastAsia="en-GB"/>
        </w:rPr>
        <w:t xml:space="preserve">priority primary care centres </w:t>
      </w:r>
      <w:r w:rsidRPr="5BAC3BE7">
        <w:rPr>
          <w:rFonts w:cs="Arial"/>
          <w:color w:val="000000" w:themeColor="text1"/>
          <w:lang w:eastAsia="en-GB"/>
        </w:rPr>
        <w:t xml:space="preserve">and </w:t>
      </w:r>
      <w:r w:rsidR="00CA1CD1">
        <w:rPr>
          <w:rFonts w:cs="Arial"/>
          <w:color w:val="000000" w:themeColor="text1"/>
          <w:lang w:eastAsia="en-GB"/>
        </w:rPr>
        <w:t>general practitioner (</w:t>
      </w:r>
      <w:r w:rsidRPr="5BAC3BE7">
        <w:rPr>
          <w:rFonts w:cs="Arial"/>
          <w:color w:val="000000" w:themeColor="text1"/>
          <w:lang w:eastAsia="en-GB"/>
        </w:rPr>
        <w:t>GP</w:t>
      </w:r>
      <w:r w:rsidR="00CA1CD1">
        <w:rPr>
          <w:rFonts w:cs="Arial"/>
          <w:color w:val="000000" w:themeColor="text1"/>
          <w:lang w:eastAsia="en-GB"/>
        </w:rPr>
        <w:t>)</w:t>
      </w:r>
      <w:r w:rsidRPr="5BAC3BE7">
        <w:rPr>
          <w:rFonts w:cs="Arial"/>
          <w:color w:val="000000" w:themeColor="text1"/>
          <w:lang w:eastAsia="en-GB"/>
        </w:rPr>
        <w:t xml:space="preserve"> </w:t>
      </w:r>
      <w:r w:rsidR="00CA1CD1">
        <w:rPr>
          <w:rFonts w:cs="Arial"/>
          <w:color w:val="000000" w:themeColor="text1"/>
          <w:lang w:eastAsia="en-GB"/>
        </w:rPr>
        <w:t>r</w:t>
      </w:r>
      <w:r w:rsidR="00CA1CD1" w:rsidRPr="5BAC3BE7">
        <w:rPr>
          <w:rFonts w:cs="Arial"/>
          <w:color w:val="000000" w:themeColor="text1"/>
          <w:lang w:eastAsia="en-GB"/>
        </w:rPr>
        <w:t xml:space="preserve">espiratory </w:t>
      </w:r>
      <w:r w:rsidR="00CA1CD1">
        <w:rPr>
          <w:rFonts w:cs="Arial"/>
          <w:color w:val="000000" w:themeColor="text1"/>
          <w:lang w:eastAsia="en-GB"/>
        </w:rPr>
        <w:t>c</w:t>
      </w:r>
      <w:r w:rsidR="00CA1CD1" w:rsidRPr="5BAC3BE7">
        <w:rPr>
          <w:rFonts w:cs="Arial"/>
          <w:color w:val="000000" w:themeColor="text1"/>
          <w:lang w:eastAsia="en-GB"/>
        </w:rPr>
        <w:t xml:space="preserve">linics </w:t>
      </w:r>
      <w:r w:rsidRPr="5BAC3BE7">
        <w:rPr>
          <w:rFonts w:cs="Arial"/>
          <w:color w:val="000000" w:themeColor="text1"/>
          <w:lang w:eastAsia="en-GB"/>
        </w:rPr>
        <w:t>to treat patients who require urgent care, but not an emergency response. Additional funding will maintain access to community-based health care and continue other services</w:t>
      </w:r>
    </w:p>
    <w:p w14:paraId="6AB76898" w14:textId="6E0BEFCC" w:rsidR="002225DC" w:rsidRDefault="002225DC" w:rsidP="00623A21">
      <w:pPr>
        <w:pStyle w:val="Bullet1"/>
        <w:rPr>
          <w:rFonts w:cs="Arial"/>
          <w:color w:val="000000" w:themeColor="text1"/>
          <w:szCs w:val="21"/>
          <w:lang w:eastAsia="en-GB"/>
        </w:rPr>
      </w:pPr>
      <w:r w:rsidRPr="00304E77">
        <w:t>$</w:t>
      </w:r>
      <w:r w:rsidRPr="5BAC3BE7">
        <w:rPr>
          <w:rFonts w:cs="Arial"/>
          <w:color w:val="000000" w:themeColor="text1"/>
          <w:lang w:eastAsia="en-GB"/>
        </w:rPr>
        <w:t>4.6 million in 2023</w:t>
      </w:r>
      <w:r w:rsidR="00CA1CD1">
        <w:rPr>
          <w:rFonts w:cs="Arial"/>
          <w:color w:val="000000" w:themeColor="text1"/>
          <w:lang w:eastAsia="en-GB"/>
        </w:rPr>
        <w:t>–</w:t>
      </w:r>
      <w:r w:rsidRPr="5BAC3BE7">
        <w:rPr>
          <w:rFonts w:cs="Arial"/>
          <w:color w:val="000000" w:themeColor="text1"/>
          <w:lang w:eastAsia="en-GB"/>
        </w:rPr>
        <w:t xml:space="preserve">24 ($37.8 million over four years) in output funding to deliver multidisciplinary health assessments, access to in-reach nursing, and health management plans to improve health outcomes for up to 5,000 vulnerable children and young people in </w:t>
      </w:r>
      <w:r w:rsidR="00CA1CD1">
        <w:rPr>
          <w:rFonts w:cs="Arial"/>
          <w:color w:val="000000" w:themeColor="text1"/>
          <w:lang w:eastAsia="en-GB"/>
        </w:rPr>
        <w:t>s</w:t>
      </w:r>
      <w:r w:rsidRPr="5BAC3BE7">
        <w:rPr>
          <w:rFonts w:cs="Arial"/>
          <w:color w:val="000000" w:themeColor="text1"/>
          <w:lang w:eastAsia="en-GB"/>
        </w:rPr>
        <w:t>tate care due to child abuse and neglect</w:t>
      </w:r>
      <w:r w:rsidR="00CA1CD1">
        <w:rPr>
          <w:rFonts w:cs="Arial"/>
          <w:color w:val="000000" w:themeColor="text1"/>
          <w:lang w:eastAsia="en-GB"/>
        </w:rPr>
        <w:t xml:space="preserve">. This funding aims to </w:t>
      </w:r>
      <w:r w:rsidRPr="5BAC3BE7">
        <w:rPr>
          <w:rFonts w:cs="Arial"/>
          <w:color w:val="000000" w:themeColor="text1"/>
          <w:lang w:eastAsia="en-GB"/>
        </w:rPr>
        <w:t xml:space="preserve">reduce </w:t>
      </w:r>
      <w:r w:rsidR="00CA1CD1">
        <w:rPr>
          <w:rFonts w:cs="Arial"/>
          <w:color w:val="000000" w:themeColor="text1"/>
          <w:lang w:eastAsia="en-GB"/>
        </w:rPr>
        <w:t xml:space="preserve">use of </w:t>
      </w:r>
      <w:r w:rsidRPr="5BAC3BE7">
        <w:rPr>
          <w:rFonts w:cs="Arial"/>
          <w:color w:val="000000" w:themeColor="text1"/>
          <w:lang w:eastAsia="en-GB"/>
        </w:rPr>
        <w:t>acute health service</w:t>
      </w:r>
      <w:r w:rsidR="00CA1CD1">
        <w:rPr>
          <w:rFonts w:cs="Arial"/>
          <w:color w:val="000000" w:themeColor="text1"/>
          <w:lang w:eastAsia="en-GB"/>
        </w:rPr>
        <w:t>s</w:t>
      </w:r>
    </w:p>
    <w:p w14:paraId="19348C0D" w14:textId="014562AB" w:rsidR="002225DC" w:rsidRDefault="002225DC" w:rsidP="00623A21">
      <w:pPr>
        <w:pStyle w:val="Bullet1"/>
        <w:rPr>
          <w:rFonts w:cs="Arial"/>
          <w:color w:val="000000" w:themeColor="text1"/>
          <w:szCs w:val="21"/>
          <w:lang w:eastAsia="en-GB"/>
        </w:rPr>
      </w:pPr>
      <w:r w:rsidRPr="00304E77">
        <w:t>$16</w:t>
      </w:r>
      <w:r w:rsidR="00473732">
        <w:t>.0</w:t>
      </w:r>
      <w:r w:rsidRPr="00304E77">
        <w:t xml:space="preserve"> million in 2023</w:t>
      </w:r>
      <w:r w:rsidR="00CA1CD1">
        <w:t>–</w:t>
      </w:r>
      <w:r w:rsidRPr="00304E77">
        <w:t>24 ($32</w:t>
      </w:r>
      <w:r w:rsidR="00473732">
        <w:t>.0</w:t>
      </w:r>
      <w:r w:rsidRPr="00304E77">
        <w:t xml:space="preserve"> million over two years) in output funding to incentivise doctors to undertake GP training to improve primary health care and the availability of GP</w:t>
      </w:r>
      <w:r w:rsidRPr="5BAC3BE7">
        <w:rPr>
          <w:rFonts w:cs="Arial"/>
          <w:color w:val="000000" w:themeColor="text1"/>
          <w:lang w:eastAsia="en-GB"/>
        </w:rPr>
        <w:t>s working in metropolitan and regional Victoria</w:t>
      </w:r>
    </w:p>
    <w:p w14:paraId="0FED99BB" w14:textId="7CC3068A" w:rsidR="002225DC" w:rsidRDefault="002225DC" w:rsidP="00623A21">
      <w:pPr>
        <w:pStyle w:val="Bullet1"/>
        <w:rPr>
          <w:rFonts w:cs="Arial"/>
          <w:color w:val="000000" w:themeColor="text1"/>
          <w:szCs w:val="21"/>
          <w:lang w:eastAsia="en-GB"/>
        </w:rPr>
      </w:pPr>
      <w:r w:rsidRPr="00304E77">
        <w:t>$6</w:t>
      </w:r>
      <w:r w:rsidR="0025042F">
        <w:t>.0</w:t>
      </w:r>
      <w:r w:rsidRPr="00304E77">
        <w:t xml:space="preserve"> million in 2023</w:t>
      </w:r>
      <w:r w:rsidR="00CA1CD1">
        <w:t>–</w:t>
      </w:r>
      <w:r w:rsidRPr="00304E77">
        <w:t xml:space="preserve">24 ($25.4 million over four years) in output funding to </w:t>
      </w:r>
      <w:r w:rsidR="00D066F6" w:rsidRPr="00304E77">
        <w:t xml:space="preserve">assist with cost pressures for </w:t>
      </w:r>
      <w:r w:rsidRPr="00304E77">
        <w:t xml:space="preserve">community service organisations that deliver social services on behalf of the </w:t>
      </w:r>
      <w:r w:rsidR="00CA1CD1">
        <w:t>g</w:t>
      </w:r>
      <w:r w:rsidR="00CA1CD1" w:rsidRPr="00304E77">
        <w:t>overnment</w:t>
      </w:r>
      <w:r w:rsidRPr="00304E77">
        <w:t xml:space="preserve">. </w:t>
      </w:r>
      <w:r w:rsidR="00CA1CD1">
        <w:t>T</w:t>
      </w:r>
      <w:r w:rsidRPr="00304E77">
        <w:t>his initiative is delivered principally through the Department of Families, Fairness and Housing</w:t>
      </w:r>
    </w:p>
    <w:p w14:paraId="292F4798" w14:textId="0DFB4F4A" w:rsidR="002225DC" w:rsidRDefault="002225DC" w:rsidP="00623A21">
      <w:pPr>
        <w:pStyle w:val="Bullet1"/>
        <w:rPr>
          <w:rFonts w:cs="Arial"/>
          <w:color w:val="000000" w:themeColor="text1"/>
          <w:szCs w:val="21"/>
          <w:lang w:eastAsia="en-GB"/>
        </w:rPr>
      </w:pPr>
      <w:r w:rsidRPr="00304E77">
        <w:t>$18.9 million in 2023</w:t>
      </w:r>
      <w:r w:rsidR="003D4DF0">
        <w:t>–</w:t>
      </w:r>
      <w:r w:rsidRPr="00304E77">
        <w:t>24 (</w:t>
      </w:r>
      <w:r w:rsidR="00187704">
        <w:t>in addition</w:t>
      </w:r>
      <w:r w:rsidR="007F4DAB">
        <w:t xml:space="preserve"> to </w:t>
      </w:r>
      <w:r w:rsidRPr="00304E77">
        <w:t>$1</w:t>
      </w:r>
      <w:r w:rsidR="00187704">
        <w:t>.0</w:t>
      </w:r>
      <w:r w:rsidRPr="00304E77">
        <w:t xml:space="preserve"> million in 2022</w:t>
      </w:r>
      <w:r w:rsidR="003D4DF0">
        <w:t>–</w:t>
      </w:r>
      <w:r w:rsidRPr="00304E77">
        <w:t>23) to support a pilot for community pharmacists to treat s</w:t>
      </w:r>
      <w:r w:rsidRPr="5BAC3BE7">
        <w:rPr>
          <w:rFonts w:cs="Arial"/>
          <w:color w:val="000000" w:themeColor="text1"/>
          <w:lang w:eastAsia="en-GB"/>
        </w:rPr>
        <w:t>traightforward urinary tract infections, common skin conditions and reissue contraceptive prescriptions</w:t>
      </w:r>
      <w:r w:rsidR="00E535AF">
        <w:rPr>
          <w:rFonts w:cs="Arial"/>
          <w:color w:val="000000" w:themeColor="text1"/>
          <w:lang w:eastAsia="en-GB"/>
        </w:rPr>
        <w:t>,</w:t>
      </w:r>
      <w:r w:rsidRPr="5BAC3BE7">
        <w:rPr>
          <w:rFonts w:cs="Arial"/>
          <w:color w:val="000000" w:themeColor="text1"/>
          <w:lang w:eastAsia="en-GB"/>
        </w:rPr>
        <w:t xml:space="preserve"> as well as administer travel vaccinations and more public health vaccinations</w:t>
      </w:r>
    </w:p>
    <w:p w14:paraId="15DA4F97" w14:textId="1FBB4801" w:rsidR="002225DC" w:rsidRPr="00C34754" w:rsidRDefault="002225DC" w:rsidP="00623A21">
      <w:pPr>
        <w:pStyle w:val="Bullet1"/>
        <w:rPr>
          <w:rFonts w:cs="Arial"/>
          <w:color w:val="000000" w:themeColor="text1"/>
          <w:szCs w:val="21"/>
          <w:lang w:eastAsia="en-GB"/>
        </w:rPr>
      </w:pPr>
      <w:r w:rsidRPr="00304E77">
        <w:t>$200,000 in 2023</w:t>
      </w:r>
      <w:r w:rsidR="00E535AF">
        <w:t>–</w:t>
      </w:r>
      <w:r w:rsidRPr="00304E77">
        <w:t>24 (</w:t>
      </w:r>
      <w:r w:rsidR="007F4DAB">
        <w:t xml:space="preserve">in addition to </w:t>
      </w:r>
      <w:r w:rsidRPr="00304E77">
        <w:t>$100,000 in 2022</w:t>
      </w:r>
      <w:r w:rsidR="00E535AF">
        <w:t>–</w:t>
      </w:r>
      <w:r w:rsidRPr="00304E77">
        <w:t xml:space="preserve">23) to MHA Care, </w:t>
      </w:r>
      <w:r w:rsidRPr="5BAC3BE7">
        <w:rPr>
          <w:rFonts w:cs="Arial"/>
          <w:color w:val="000000" w:themeColor="text1"/>
          <w:lang w:eastAsia="en-GB"/>
        </w:rPr>
        <w:t>Extended Families Australian, healthAbility, Peninsula Home Hospice</w:t>
      </w:r>
      <w:r w:rsidR="00E535AF">
        <w:rPr>
          <w:rFonts w:cs="Arial"/>
          <w:color w:val="000000" w:themeColor="text1"/>
          <w:lang w:eastAsia="en-GB"/>
        </w:rPr>
        <w:t>,</w:t>
      </w:r>
      <w:r w:rsidRPr="5BAC3BE7">
        <w:rPr>
          <w:rFonts w:cs="Arial"/>
          <w:color w:val="000000" w:themeColor="text1"/>
          <w:lang w:eastAsia="en-GB"/>
        </w:rPr>
        <w:t xml:space="preserve"> and Warrnambool District and Community Hospice to provide community-based services</w:t>
      </w:r>
      <w:r w:rsidR="00E535AF">
        <w:rPr>
          <w:rFonts w:cs="Arial"/>
          <w:color w:val="000000" w:themeColor="text1"/>
          <w:lang w:eastAsia="en-GB"/>
        </w:rPr>
        <w:t>. This includes</w:t>
      </w:r>
      <w:r w:rsidRPr="5BAC3BE7">
        <w:rPr>
          <w:rFonts w:cs="Arial"/>
          <w:color w:val="000000" w:themeColor="text1"/>
          <w:lang w:eastAsia="en-GB"/>
        </w:rPr>
        <w:t xml:space="preserve"> the Home and Community Care Program for Younger People, health services for vulnerable and disadvantaged Victorians and palliative care</w:t>
      </w:r>
    </w:p>
    <w:p w14:paraId="732BFE43" w14:textId="7FCB6310" w:rsidR="002225DC" w:rsidRPr="00C34754" w:rsidRDefault="002225DC" w:rsidP="00623A21">
      <w:pPr>
        <w:pStyle w:val="Bullet1"/>
        <w:rPr>
          <w:rFonts w:cs="Arial"/>
          <w:color w:val="000000" w:themeColor="text1"/>
          <w:szCs w:val="21"/>
          <w:lang w:eastAsia="en-GB"/>
        </w:rPr>
      </w:pPr>
      <w:r w:rsidRPr="00304E77">
        <w:t>$200,000 in 2023</w:t>
      </w:r>
      <w:r w:rsidR="00E535AF">
        <w:t>–</w:t>
      </w:r>
      <w:r w:rsidRPr="00304E77">
        <w:t xml:space="preserve">24 to the Water Well Project to deliver education sessions to newly arrived refugees and at-risk migrants to help them navigate the health system, and to Radio </w:t>
      </w:r>
      <w:r w:rsidRPr="5BAC3BE7">
        <w:rPr>
          <w:rFonts w:cs="Arial"/>
          <w:color w:val="000000" w:themeColor="text1"/>
          <w:lang w:eastAsia="en-GB"/>
        </w:rPr>
        <w:t>Lollipop to continue providing care, comfort, play and entertainment to sick children at Monash Children’s Hospital</w:t>
      </w:r>
    </w:p>
    <w:p w14:paraId="363D29A2" w14:textId="3AF46D75" w:rsidR="00D261C6" w:rsidRDefault="00D261C6" w:rsidP="00081936">
      <w:pPr>
        <w:pStyle w:val="Heading3"/>
        <w:numPr>
          <w:ilvl w:val="2"/>
          <w:numId w:val="33"/>
        </w:numPr>
        <w:ind w:left="1134"/>
      </w:pPr>
      <w:bookmarkStart w:id="48" w:name="_Toc156569583"/>
      <w:r>
        <w:t>Dental Services</w:t>
      </w:r>
      <w:bookmarkEnd w:id="48"/>
    </w:p>
    <w:p w14:paraId="19248D30" w14:textId="11A5D5D4" w:rsidR="00470F46" w:rsidRPr="00AB4E19" w:rsidRDefault="00470F46" w:rsidP="003650CF">
      <w:pPr>
        <w:pStyle w:val="Body"/>
        <w:rPr>
          <w:rFonts w:cs="Arial"/>
          <w:color w:val="000000" w:themeColor="text1"/>
          <w:szCs w:val="21"/>
          <w:lang w:eastAsia="en-GB"/>
        </w:rPr>
      </w:pPr>
      <w:r w:rsidRPr="00C34754">
        <w:rPr>
          <w:rFonts w:eastAsia="Times New Roman" w:cs="Arial"/>
          <w:color w:val="000000" w:themeColor="text1"/>
          <w:szCs w:val="21"/>
          <w:lang w:eastAsia="en-GB"/>
        </w:rPr>
        <w:t>The department is investing $16.9 million from 2025</w:t>
      </w:r>
      <w:r w:rsidR="00E535AF">
        <w:rPr>
          <w:rFonts w:eastAsia="Times New Roman" w:cs="Arial"/>
          <w:color w:val="000000" w:themeColor="text1"/>
          <w:szCs w:val="21"/>
          <w:lang w:eastAsia="en-GB"/>
        </w:rPr>
        <w:t>–</w:t>
      </w:r>
      <w:r w:rsidRPr="00C34754">
        <w:rPr>
          <w:rFonts w:eastAsia="Times New Roman" w:cs="Arial"/>
          <w:color w:val="000000" w:themeColor="text1"/>
          <w:szCs w:val="21"/>
          <w:lang w:eastAsia="en-GB"/>
        </w:rPr>
        <w:t>26 to 2026</w:t>
      </w:r>
      <w:r w:rsidR="00E535AF">
        <w:rPr>
          <w:rFonts w:eastAsia="Times New Roman" w:cs="Arial"/>
          <w:color w:val="000000" w:themeColor="text1"/>
          <w:szCs w:val="21"/>
          <w:lang w:eastAsia="en-GB"/>
        </w:rPr>
        <w:t>–</w:t>
      </w:r>
      <w:r w:rsidRPr="00C34754">
        <w:rPr>
          <w:rFonts w:eastAsia="Times New Roman" w:cs="Arial"/>
          <w:color w:val="000000" w:themeColor="text1"/>
          <w:szCs w:val="21"/>
          <w:lang w:eastAsia="en-GB"/>
        </w:rPr>
        <w:t xml:space="preserve">27 to expand the school dental program (Smile Squad) to low-fee non-government primary and secondary schools commencing in </w:t>
      </w:r>
      <w:r w:rsidRPr="00C34754">
        <w:rPr>
          <w:rFonts w:eastAsia="Times New Roman" w:cs="Arial"/>
          <w:color w:val="000000" w:themeColor="text1"/>
          <w:szCs w:val="21"/>
          <w:lang w:eastAsia="en-GB"/>
        </w:rPr>
        <w:lastRenderedPageBreak/>
        <w:t>the 2026 calendar year. Under Smile Squad, oral health teams visit schools annually to provide dental check-ups and oral health education, with follow-up treatment offered to students free of charge</w:t>
      </w:r>
      <w:r w:rsidR="00AB4E19">
        <w:rPr>
          <w:rFonts w:eastAsia="Times New Roman" w:cs="Arial"/>
          <w:color w:val="000000" w:themeColor="text1"/>
          <w:szCs w:val="21"/>
          <w:lang w:eastAsia="en-GB"/>
        </w:rPr>
        <w:t>.</w:t>
      </w:r>
    </w:p>
    <w:p w14:paraId="312DEB38" w14:textId="65C6237A" w:rsidR="00E71726" w:rsidRDefault="00E71726" w:rsidP="00081936">
      <w:pPr>
        <w:pStyle w:val="Heading3"/>
        <w:numPr>
          <w:ilvl w:val="2"/>
          <w:numId w:val="33"/>
        </w:numPr>
        <w:ind w:left="1134"/>
      </w:pPr>
      <w:bookmarkStart w:id="49" w:name="_Toc156569584"/>
      <w:r>
        <w:t>Drug Treatment and Rehabilitation</w:t>
      </w:r>
      <w:bookmarkEnd w:id="49"/>
      <w:r>
        <w:t xml:space="preserve"> </w:t>
      </w:r>
    </w:p>
    <w:bookmarkEnd w:id="47"/>
    <w:p w14:paraId="6E6D0E3C" w14:textId="4A626F3A" w:rsidR="00BB6182" w:rsidRPr="003650CF" w:rsidRDefault="00BB6182" w:rsidP="003650CF">
      <w:pPr>
        <w:pStyle w:val="Body"/>
      </w:pPr>
      <w:r w:rsidRPr="007237CA">
        <w:rPr>
          <w:rFonts w:eastAsia="Times New Roman" w:cs="Arial"/>
          <w:color w:val="000000" w:themeColor="text1"/>
          <w:szCs w:val="21"/>
          <w:lang w:val="en-US" w:eastAsia="en-GB"/>
        </w:rPr>
        <w:t>The department is investing $</w:t>
      </w:r>
      <w:r>
        <w:rPr>
          <w:rFonts w:eastAsia="Times New Roman" w:cs="Arial"/>
          <w:color w:val="000000" w:themeColor="text1"/>
          <w:szCs w:val="21"/>
          <w:lang w:val="en-US" w:eastAsia="en-GB"/>
        </w:rPr>
        <w:t>78.6</w:t>
      </w:r>
      <w:r w:rsidRPr="007237CA">
        <w:rPr>
          <w:rFonts w:eastAsia="Times New Roman" w:cs="Arial"/>
          <w:color w:val="000000" w:themeColor="text1"/>
          <w:szCs w:val="21"/>
          <w:lang w:val="en-US" w:eastAsia="en-GB"/>
        </w:rPr>
        <w:t xml:space="preserve"> million in </w:t>
      </w:r>
      <w:r w:rsidRPr="007237CA">
        <w:rPr>
          <w:rFonts w:eastAsia="Times New Roman" w:cs="Arial"/>
          <w:color w:val="000000" w:themeColor="text1"/>
          <w:szCs w:val="21"/>
          <w:lang w:eastAsia="en-GB"/>
        </w:rPr>
        <w:t>202</w:t>
      </w:r>
      <w:r>
        <w:rPr>
          <w:rFonts w:eastAsia="Times New Roman" w:cs="Arial"/>
          <w:color w:val="000000" w:themeColor="text1"/>
          <w:szCs w:val="21"/>
          <w:lang w:eastAsia="en-GB"/>
        </w:rPr>
        <w:t>3</w:t>
      </w:r>
      <w:r w:rsidR="00310887">
        <w:rPr>
          <w:rFonts w:eastAsia="Times New Roman" w:cs="Arial"/>
          <w:color w:val="000000" w:themeColor="text1"/>
          <w:szCs w:val="21"/>
          <w:lang w:eastAsia="en-GB"/>
        </w:rPr>
        <w:t>–</w:t>
      </w:r>
      <w:r>
        <w:rPr>
          <w:rFonts w:eastAsia="Times New Roman" w:cs="Arial"/>
          <w:color w:val="000000" w:themeColor="text1"/>
          <w:szCs w:val="21"/>
          <w:lang w:eastAsia="en-GB"/>
        </w:rPr>
        <w:t>24</w:t>
      </w:r>
      <w:r w:rsidRPr="007237CA">
        <w:rPr>
          <w:rFonts w:eastAsia="Times New Roman" w:cs="Arial"/>
          <w:color w:val="000000" w:themeColor="text1"/>
          <w:szCs w:val="21"/>
          <w:lang w:val="en-US" w:eastAsia="en-GB"/>
        </w:rPr>
        <w:t xml:space="preserve"> ($</w:t>
      </w:r>
      <w:r>
        <w:rPr>
          <w:rFonts w:eastAsia="Times New Roman" w:cs="Arial"/>
          <w:color w:val="000000" w:themeColor="text1"/>
          <w:szCs w:val="21"/>
          <w:lang w:val="en-US" w:eastAsia="en-GB"/>
        </w:rPr>
        <w:t>250.9</w:t>
      </w:r>
      <w:r w:rsidRPr="007237CA">
        <w:rPr>
          <w:rFonts w:eastAsia="Times New Roman" w:cs="Arial"/>
          <w:color w:val="000000" w:themeColor="text1"/>
          <w:szCs w:val="21"/>
          <w:lang w:val="en-US" w:eastAsia="en-GB"/>
        </w:rPr>
        <w:t xml:space="preserve"> million over four years) in drug treatment and rehabilitation services</w:t>
      </w:r>
      <w:r w:rsidR="001C5B57">
        <w:rPr>
          <w:rFonts w:eastAsia="Times New Roman" w:cs="Arial"/>
          <w:color w:val="000000" w:themeColor="text1"/>
          <w:szCs w:val="21"/>
          <w:lang w:eastAsia="en-GB"/>
        </w:rPr>
        <w:t>. This includes:</w:t>
      </w:r>
    </w:p>
    <w:p w14:paraId="68C80F80" w14:textId="09DA7863" w:rsidR="00BB6182" w:rsidRDefault="00BB6182" w:rsidP="00623A21">
      <w:pPr>
        <w:pStyle w:val="Bullet1"/>
        <w:rPr>
          <w:rFonts w:cs="Arial"/>
          <w:color w:val="000000" w:themeColor="text1"/>
          <w:szCs w:val="21"/>
          <w:lang w:eastAsia="en-GB"/>
        </w:rPr>
      </w:pPr>
      <w:r w:rsidRPr="00304E77">
        <w:t>$</w:t>
      </w:r>
      <w:r w:rsidRPr="5BAC3BE7">
        <w:rPr>
          <w:rFonts w:cs="Arial"/>
          <w:color w:val="000000" w:themeColor="text1"/>
          <w:lang w:eastAsia="en-GB"/>
        </w:rPr>
        <w:t>51.2 million in 2023</w:t>
      </w:r>
      <w:r w:rsidR="00012FE6">
        <w:rPr>
          <w:rFonts w:cs="Arial"/>
          <w:color w:val="000000" w:themeColor="text1"/>
          <w:lang w:eastAsia="en-GB"/>
        </w:rPr>
        <w:t>–</w:t>
      </w:r>
      <w:r w:rsidRPr="5BAC3BE7">
        <w:rPr>
          <w:rFonts w:cs="Arial"/>
          <w:color w:val="000000" w:themeColor="text1"/>
          <w:lang w:eastAsia="en-GB"/>
        </w:rPr>
        <w:t>24 ($160.1 million over four years) to continue delivery of alcohol and other drug (AOD) services, including the Medically Supervised Injecting Room in North Richmond, outreach services, treatment and withdrawal beds across nine locations, navigation and advocacy services, and surveillance of emerging drugs. Funding will also increase access to pharmacotherapy, support 84 new AOD trainee positions, expand Victoria’s naloxone supply program, and expand the U-Turn program into the Hume region</w:t>
      </w:r>
    </w:p>
    <w:p w14:paraId="5E079D81" w14:textId="1AFEED6E" w:rsidR="00BB6182" w:rsidRDefault="00BB6182" w:rsidP="00623A21">
      <w:pPr>
        <w:pStyle w:val="Bullet1"/>
        <w:rPr>
          <w:rFonts w:cs="Arial"/>
          <w:color w:val="000000" w:themeColor="text1"/>
          <w:szCs w:val="21"/>
          <w:lang w:eastAsia="en-GB"/>
        </w:rPr>
      </w:pPr>
      <w:r w:rsidRPr="00304E77">
        <w:t xml:space="preserve">$25.4 </w:t>
      </w:r>
      <w:r w:rsidRPr="5BAC3BE7">
        <w:rPr>
          <w:rFonts w:cs="Arial"/>
          <w:color w:val="000000" w:themeColor="text1"/>
          <w:lang w:eastAsia="en-GB"/>
        </w:rPr>
        <w:t>million in 2023</w:t>
      </w:r>
      <w:r w:rsidR="00012FE6">
        <w:rPr>
          <w:rFonts w:cs="Arial"/>
          <w:color w:val="000000" w:themeColor="text1"/>
          <w:lang w:eastAsia="en-GB"/>
        </w:rPr>
        <w:t>–</w:t>
      </w:r>
      <w:r w:rsidRPr="5BAC3BE7">
        <w:rPr>
          <w:rFonts w:cs="Arial"/>
          <w:color w:val="000000" w:themeColor="text1"/>
          <w:lang w:eastAsia="en-GB"/>
        </w:rPr>
        <w:t>24 ($78.8 million over three years) for the statewide roll</w:t>
      </w:r>
      <w:r w:rsidR="00F97822">
        <w:rPr>
          <w:rFonts w:cs="Arial"/>
          <w:color w:val="000000" w:themeColor="text1"/>
          <w:lang w:eastAsia="en-GB"/>
        </w:rPr>
        <w:t>-</w:t>
      </w:r>
      <w:r w:rsidRPr="5BAC3BE7">
        <w:rPr>
          <w:rFonts w:cs="Arial"/>
          <w:color w:val="000000" w:themeColor="text1"/>
          <w:lang w:eastAsia="en-GB"/>
        </w:rPr>
        <w:t>out of the health-based response to public intoxication, including dedicated services for Aboriginal Victorians and central clinical and referral support services</w:t>
      </w:r>
    </w:p>
    <w:p w14:paraId="65324F4E" w14:textId="6A3D640A" w:rsidR="00BB6182" w:rsidRPr="00CF73B8" w:rsidRDefault="00BB6182" w:rsidP="00623A21">
      <w:pPr>
        <w:pStyle w:val="Bullet1"/>
        <w:rPr>
          <w:rFonts w:cs="Arial"/>
          <w:color w:val="000000" w:themeColor="text1"/>
          <w:szCs w:val="21"/>
          <w:lang w:eastAsia="en-GB"/>
        </w:rPr>
      </w:pPr>
      <w:r w:rsidRPr="00304E77">
        <w:t>$2</w:t>
      </w:r>
      <w:r w:rsidR="00AC5E79">
        <w:t>.0</w:t>
      </w:r>
      <w:r w:rsidRPr="00304E77">
        <w:t xml:space="preserve"> million in</w:t>
      </w:r>
      <w:r w:rsidRPr="5BAC3BE7">
        <w:rPr>
          <w:rFonts w:cs="Arial"/>
          <w:color w:val="000000" w:themeColor="text1"/>
          <w:lang w:eastAsia="en-GB"/>
        </w:rPr>
        <w:t xml:space="preserve"> 2023</w:t>
      </w:r>
      <w:r w:rsidR="00012FE6">
        <w:rPr>
          <w:rFonts w:cs="Arial"/>
          <w:color w:val="000000" w:themeColor="text1"/>
          <w:lang w:eastAsia="en-GB"/>
        </w:rPr>
        <w:t>–</w:t>
      </w:r>
      <w:r w:rsidRPr="5BAC3BE7">
        <w:rPr>
          <w:rFonts w:cs="Arial"/>
          <w:color w:val="000000" w:themeColor="text1"/>
          <w:lang w:eastAsia="en-GB"/>
        </w:rPr>
        <w:t>24 ($12</w:t>
      </w:r>
      <w:r w:rsidR="00AC5E79">
        <w:rPr>
          <w:rFonts w:cs="Arial"/>
          <w:color w:val="000000" w:themeColor="text1"/>
          <w:lang w:eastAsia="en-GB"/>
        </w:rPr>
        <w:t>.0</w:t>
      </w:r>
      <w:r w:rsidRPr="5BAC3BE7">
        <w:rPr>
          <w:rFonts w:cs="Arial"/>
          <w:color w:val="000000" w:themeColor="text1"/>
          <w:lang w:eastAsia="en-GB"/>
        </w:rPr>
        <w:t xml:space="preserve"> million over three years) to establish an AOD rehabilitation, outpatient support and outreach centre for Victorian workers.</w:t>
      </w:r>
    </w:p>
    <w:p w14:paraId="09D99E9E" w14:textId="74F6DF63" w:rsidR="00351A8C" w:rsidRDefault="000F471E" w:rsidP="00081936">
      <w:pPr>
        <w:pStyle w:val="Heading3"/>
        <w:numPr>
          <w:ilvl w:val="2"/>
          <w:numId w:val="33"/>
        </w:numPr>
        <w:ind w:left="1134"/>
      </w:pPr>
      <w:bookmarkStart w:id="50" w:name="_Toc156569585"/>
      <w:bookmarkStart w:id="51" w:name="_Toc100263266"/>
      <w:r>
        <w:t>Health Protection</w:t>
      </w:r>
      <w:bookmarkEnd w:id="50"/>
    </w:p>
    <w:p w14:paraId="45D543E0" w14:textId="360F5872" w:rsidR="00761461" w:rsidRPr="007237CA" w:rsidRDefault="00761461" w:rsidP="003650CF">
      <w:pPr>
        <w:pStyle w:val="Body"/>
        <w:rPr>
          <w:rFonts w:cs="Arial"/>
          <w:color w:val="000000" w:themeColor="text1"/>
          <w:szCs w:val="21"/>
          <w:lang w:eastAsia="en-GB"/>
        </w:rPr>
      </w:pPr>
      <w:r w:rsidRPr="007237CA">
        <w:rPr>
          <w:rFonts w:eastAsia="Times New Roman" w:cs="Arial"/>
          <w:color w:val="000000" w:themeColor="text1"/>
          <w:szCs w:val="21"/>
          <w:lang w:val="en-US" w:eastAsia="en-GB"/>
        </w:rPr>
        <w:t>The department is investing $</w:t>
      </w:r>
      <w:r>
        <w:rPr>
          <w:rFonts w:eastAsia="Times New Roman" w:cs="Arial"/>
          <w:color w:val="000000" w:themeColor="text1"/>
          <w:szCs w:val="21"/>
          <w:lang w:val="en-US" w:eastAsia="en-GB"/>
        </w:rPr>
        <w:t>117.9</w:t>
      </w:r>
      <w:r w:rsidRPr="007237CA">
        <w:rPr>
          <w:rFonts w:eastAsia="Times New Roman" w:cs="Arial"/>
          <w:color w:val="000000" w:themeColor="text1"/>
          <w:szCs w:val="21"/>
          <w:lang w:val="en-US" w:eastAsia="en-GB"/>
        </w:rPr>
        <w:t xml:space="preserve"> million in </w:t>
      </w:r>
      <w:r w:rsidRPr="007237CA">
        <w:rPr>
          <w:rFonts w:eastAsia="Times New Roman" w:cs="Arial"/>
          <w:color w:val="000000" w:themeColor="text1"/>
          <w:szCs w:val="21"/>
          <w:lang w:eastAsia="en-GB"/>
        </w:rPr>
        <w:t>20</w:t>
      </w:r>
      <w:r>
        <w:rPr>
          <w:rFonts w:eastAsia="Times New Roman" w:cs="Arial"/>
          <w:color w:val="000000" w:themeColor="text1"/>
          <w:szCs w:val="21"/>
          <w:lang w:eastAsia="en-GB"/>
        </w:rPr>
        <w:t>23</w:t>
      </w:r>
      <w:r w:rsidR="00012FE6">
        <w:rPr>
          <w:rFonts w:eastAsia="Times New Roman" w:cs="Arial"/>
          <w:color w:val="000000" w:themeColor="text1"/>
          <w:szCs w:val="21"/>
          <w:lang w:eastAsia="en-GB"/>
        </w:rPr>
        <w:t>–</w:t>
      </w:r>
      <w:r>
        <w:rPr>
          <w:rFonts w:eastAsia="Times New Roman" w:cs="Arial"/>
          <w:color w:val="000000" w:themeColor="text1"/>
          <w:szCs w:val="21"/>
          <w:lang w:eastAsia="en-GB"/>
        </w:rPr>
        <w:t>24</w:t>
      </w:r>
      <w:r w:rsidRPr="007237CA">
        <w:rPr>
          <w:rFonts w:eastAsia="Times New Roman" w:cs="Arial"/>
          <w:color w:val="000000" w:themeColor="text1"/>
          <w:szCs w:val="21"/>
          <w:lang w:val="en-US" w:eastAsia="en-GB"/>
        </w:rPr>
        <w:t> ($</w:t>
      </w:r>
      <w:r>
        <w:rPr>
          <w:rFonts w:eastAsia="Times New Roman" w:cs="Arial"/>
          <w:color w:val="000000" w:themeColor="text1"/>
          <w:szCs w:val="21"/>
          <w:lang w:val="en-US" w:eastAsia="en-GB"/>
        </w:rPr>
        <w:t>189</w:t>
      </w:r>
      <w:r w:rsidR="00010D39">
        <w:rPr>
          <w:rFonts w:eastAsia="Times New Roman" w:cs="Arial"/>
          <w:color w:val="000000" w:themeColor="text1"/>
          <w:szCs w:val="21"/>
          <w:lang w:val="en-US" w:eastAsia="en-GB"/>
        </w:rPr>
        <w:t>.0</w:t>
      </w:r>
      <w:r w:rsidRPr="007237CA">
        <w:rPr>
          <w:rFonts w:eastAsia="Times New Roman" w:cs="Arial"/>
          <w:color w:val="000000" w:themeColor="text1"/>
          <w:szCs w:val="21"/>
          <w:lang w:val="en-US" w:eastAsia="en-GB"/>
        </w:rPr>
        <w:t xml:space="preserve"> </w:t>
      </w:r>
      <w:r>
        <w:rPr>
          <w:rFonts w:eastAsia="Times New Roman" w:cs="Arial"/>
          <w:color w:val="000000" w:themeColor="text1"/>
          <w:szCs w:val="21"/>
          <w:lang w:val="en-US" w:eastAsia="en-GB"/>
        </w:rPr>
        <w:t>m</w:t>
      </w:r>
      <w:r w:rsidRPr="007237CA">
        <w:rPr>
          <w:rFonts w:eastAsia="Times New Roman" w:cs="Arial"/>
          <w:color w:val="000000" w:themeColor="text1"/>
          <w:szCs w:val="21"/>
          <w:lang w:val="en-US" w:eastAsia="en-GB"/>
        </w:rPr>
        <w:t xml:space="preserve">illion over </w:t>
      </w:r>
      <w:r>
        <w:rPr>
          <w:rFonts w:eastAsia="Times New Roman" w:cs="Arial"/>
          <w:color w:val="000000" w:themeColor="text1"/>
          <w:szCs w:val="21"/>
          <w:lang w:val="en-US" w:eastAsia="en-GB"/>
        </w:rPr>
        <w:t>two</w:t>
      </w:r>
      <w:r w:rsidRPr="007237CA">
        <w:rPr>
          <w:rFonts w:eastAsia="Times New Roman" w:cs="Arial"/>
          <w:color w:val="000000" w:themeColor="text1"/>
          <w:szCs w:val="21"/>
          <w:lang w:val="en-US" w:eastAsia="en-GB"/>
        </w:rPr>
        <w:t xml:space="preserve"> years) in health protection services</w:t>
      </w:r>
      <w:r w:rsidR="00012FE6">
        <w:rPr>
          <w:rFonts w:eastAsia="Times New Roman" w:cs="Arial"/>
          <w:color w:val="000000" w:themeColor="text1"/>
          <w:szCs w:val="21"/>
          <w:lang w:val="en-US" w:eastAsia="en-GB"/>
        </w:rPr>
        <w:t>. This includes</w:t>
      </w:r>
      <w:r w:rsidRPr="007237CA">
        <w:rPr>
          <w:rFonts w:eastAsia="Times New Roman" w:cs="Arial"/>
          <w:color w:val="000000" w:themeColor="text1"/>
          <w:szCs w:val="21"/>
          <w:lang w:eastAsia="en-GB"/>
        </w:rPr>
        <w:t>:</w:t>
      </w:r>
    </w:p>
    <w:p w14:paraId="2199D147" w14:textId="1578E6FD" w:rsidR="00761461" w:rsidRPr="00322C67" w:rsidRDefault="00761461" w:rsidP="00623A21">
      <w:pPr>
        <w:pStyle w:val="Bullet1"/>
        <w:rPr>
          <w:rFonts w:ascii="Calibri" w:hAnsi="Calibri" w:cs="Calibri"/>
          <w:color w:val="000000" w:themeColor="text1"/>
          <w:szCs w:val="21"/>
          <w:lang w:val="en-US" w:eastAsia="en-GB"/>
        </w:rPr>
      </w:pPr>
      <w:r w:rsidRPr="00304E77">
        <w:t>$73.9 million in 2023</w:t>
      </w:r>
      <w:r w:rsidR="00012FE6">
        <w:t>–</w:t>
      </w:r>
      <w:r w:rsidRPr="00304E77">
        <w:t xml:space="preserve">24 ($125.2 million over two years) </w:t>
      </w:r>
      <w:r w:rsidRPr="5BAC3BE7">
        <w:rPr>
          <w:rFonts w:cs="Arial"/>
          <w:color w:val="000000" w:themeColor="text1"/>
          <w:lang w:eastAsia="en-GB"/>
        </w:rPr>
        <w:t>for the continued operation of local public health units and additional</w:t>
      </w:r>
      <w:r w:rsidRPr="5BAC3BE7">
        <w:rPr>
          <w:rFonts w:ascii="Calibri" w:hAnsi="Calibri" w:cs="Calibri"/>
          <w:color w:val="000000" w:themeColor="text1"/>
          <w:lang w:val="en-US" w:eastAsia="en-GB"/>
        </w:rPr>
        <w:t xml:space="preserve"> </w:t>
      </w:r>
      <w:r w:rsidRPr="5BAC3BE7">
        <w:rPr>
          <w:rFonts w:cs="Arial"/>
          <w:color w:val="000000" w:themeColor="text1"/>
          <w:lang w:eastAsia="en-GB"/>
        </w:rPr>
        <w:t>functions, including intelligence and surveillance systems that inform public health</w:t>
      </w:r>
      <w:r w:rsidRPr="5BAC3BE7">
        <w:rPr>
          <w:rFonts w:ascii="Calibri" w:hAnsi="Calibri" w:cs="Calibri"/>
          <w:color w:val="000000" w:themeColor="text1"/>
          <w:lang w:val="en-US" w:eastAsia="en-GB"/>
        </w:rPr>
        <w:t xml:space="preserve"> </w:t>
      </w:r>
      <w:r w:rsidRPr="5BAC3BE7">
        <w:rPr>
          <w:rFonts w:cs="Arial"/>
          <w:color w:val="000000" w:themeColor="text1"/>
          <w:lang w:eastAsia="en-GB"/>
        </w:rPr>
        <w:t>prevention, protection, regulation and emergency response activities. This investment contributes to a greater effort directed towards the public health system compared to pre-COVID-19. Funding will also support public health prevention, regulation and response programs, while also supporting the Central Immunisation Register Victoria, a digital vaccination data platform</w:t>
      </w:r>
    </w:p>
    <w:p w14:paraId="24FE4FA9" w14:textId="7E8573A3" w:rsidR="00761461" w:rsidRPr="00322C67" w:rsidRDefault="00761461" w:rsidP="00623A21">
      <w:pPr>
        <w:pStyle w:val="Bullet1"/>
        <w:rPr>
          <w:rFonts w:ascii="Calibri" w:hAnsi="Calibri" w:cs="Calibri"/>
          <w:color w:val="000000" w:themeColor="text1"/>
          <w:szCs w:val="21"/>
          <w:lang w:val="en-US" w:eastAsia="en-GB"/>
        </w:rPr>
      </w:pPr>
      <w:r w:rsidRPr="00304E77">
        <w:t>$</w:t>
      </w:r>
      <w:r w:rsidRPr="5BAC3BE7">
        <w:rPr>
          <w:rFonts w:cs="Arial"/>
          <w:color w:val="000000" w:themeColor="text1"/>
          <w:lang w:eastAsia="en-GB"/>
        </w:rPr>
        <w:t>44</w:t>
      </w:r>
      <w:r w:rsidR="00926C00">
        <w:rPr>
          <w:rFonts w:cs="Arial"/>
          <w:color w:val="000000" w:themeColor="text1"/>
          <w:lang w:eastAsia="en-GB"/>
        </w:rPr>
        <w:t>.0</w:t>
      </w:r>
      <w:r w:rsidRPr="5BAC3BE7">
        <w:rPr>
          <w:rFonts w:cs="Arial"/>
          <w:color w:val="000000" w:themeColor="text1"/>
          <w:lang w:eastAsia="en-GB"/>
        </w:rPr>
        <w:t xml:space="preserve"> million in 2023</w:t>
      </w:r>
      <w:r w:rsidR="00012FE6">
        <w:rPr>
          <w:rFonts w:cs="Arial"/>
          <w:color w:val="000000" w:themeColor="text1"/>
          <w:lang w:eastAsia="en-GB"/>
        </w:rPr>
        <w:t>–</w:t>
      </w:r>
      <w:r w:rsidRPr="5BAC3BE7">
        <w:rPr>
          <w:rFonts w:cs="Arial"/>
          <w:color w:val="000000" w:themeColor="text1"/>
          <w:lang w:eastAsia="en-GB"/>
        </w:rPr>
        <w:t xml:space="preserve">24 to continue the public health response to COVID-19 in Victoria. This includes targeted engagement with at-risk cohorts to ensure they are well informed in relation to COVID-19 risk, protective behaviours, vaccination and treatments. </w:t>
      </w:r>
    </w:p>
    <w:p w14:paraId="4B42C915" w14:textId="60B23504" w:rsidR="00761461" w:rsidRPr="00322C67" w:rsidRDefault="00761461" w:rsidP="00623A21">
      <w:pPr>
        <w:pStyle w:val="Bullet1"/>
        <w:rPr>
          <w:rFonts w:ascii="Calibri" w:hAnsi="Calibri" w:cs="Calibri"/>
          <w:color w:val="000000" w:themeColor="text1"/>
          <w:szCs w:val="21"/>
          <w:lang w:val="en-US" w:eastAsia="en-GB"/>
        </w:rPr>
      </w:pPr>
      <w:r w:rsidRPr="00304E77">
        <w:t>$19.8 million in 2023</w:t>
      </w:r>
      <w:r w:rsidR="00012FE6">
        <w:t>–</w:t>
      </w:r>
      <w:r w:rsidRPr="00304E77">
        <w:t>24 is provided to continue the Mpox vaccination program, including the purcha</w:t>
      </w:r>
      <w:r w:rsidRPr="5BAC3BE7">
        <w:rPr>
          <w:rFonts w:cs="Arial"/>
          <w:color w:val="000000" w:themeColor="text1"/>
          <w:lang w:eastAsia="en-GB"/>
        </w:rPr>
        <w:t>sing, storage and distribution of vaccines</w:t>
      </w:r>
      <w:r w:rsidR="00BC6103">
        <w:rPr>
          <w:rFonts w:cs="Arial"/>
          <w:color w:val="000000" w:themeColor="text1"/>
          <w:lang w:eastAsia="en-GB"/>
        </w:rPr>
        <w:t>.</w:t>
      </w:r>
    </w:p>
    <w:p w14:paraId="74CB41FC" w14:textId="26494404" w:rsidR="007D3F1B" w:rsidRDefault="007D3F1B" w:rsidP="00081936">
      <w:pPr>
        <w:pStyle w:val="Heading3"/>
        <w:numPr>
          <w:ilvl w:val="2"/>
          <w:numId w:val="33"/>
        </w:numPr>
        <w:ind w:left="1134"/>
      </w:pPr>
      <w:bookmarkStart w:id="52" w:name="_Toc156569586"/>
      <w:r>
        <w:t>Health Workforce Training and Development</w:t>
      </w:r>
      <w:bookmarkEnd w:id="52"/>
    </w:p>
    <w:p w14:paraId="2DA621B3" w14:textId="1B5EDDB1" w:rsidR="005433DC" w:rsidRDefault="00E741BB" w:rsidP="003650CF">
      <w:pPr>
        <w:pStyle w:val="Body"/>
      </w:pPr>
      <w:r w:rsidRPr="007237CA">
        <w:rPr>
          <w:rFonts w:eastAsia="Times New Roman" w:cs="Arial"/>
          <w:color w:val="000000" w:themeColor="text1"/>
          <w:szCs w:val="21"/>
          <w:lang w:val="en-US" w:eastAsia="en-GB"/>
        </w:rPr>
        <w:t>The department is investing $</w:t>
      </w:r>
      <w:r>
        <w:rPr>
          <w:rFonts w:eastAsia="Times New Roman" w:cs="Arial"/>
          <w:color w:val="000000" w:themeColor="text1"/>
          <w:szCs w:val="21"/>
          <w:lang w:val="en-US" w:eastAsia="en-GB"/>
        </w:rPr>
        <w:t>15.3</w:t>
      </w:r>
      <w:r w:rsidRPr="007237CA">
        <w:rPr>
          <w:rFonts w:eastAsia="Times New Roman" w:cs="Arial"/>
          <w:color w:val="000000" w:themeColor="text1"/>
          <w:szCs w:val="21"/>
          <w:lang w:val="en-US" w:eastAsia="en-GB"/>
        </w:rPr>
        <w:t xml:space="preserve"> million in </w:t>
      </w:r>
      <w:r w:rsidRPr="007237CA">
        <w:rPr>
          <w:rFonts w:eastAsia="Times New Roman" w:cs="Arial"/>
          <w:color w:val="000000" w:themeColor="text1"/>
          <w:szCs w:val="21"/>
          <w:lang w:eastAsia="en-GB"/>
        </w:rPr>
        <w:t>202</w:t>
      </w:r>
      <w:r>
        <w:rPr>
          <w:rFonts w:eastAsia="Times New Roman" w:cs="Arial"/>
          <w:color w:val="000000" w:themeColor="text1"/>
          <w:szCs w:val="21"/>
          <w:lang w:eastAsia="en-GB"/>
        </w:rPr>
        <w:t>3</w:t>
      </w:r>
      <w:r w:rsidR="00012FE6">
        <w:rPr>
          <w:rFonts w:eastAsia="Times New Roman" w:cs="Arial"/>
          <w:color w:val="000000" w:themeColor="text1"/>
          <w:szCs w:val="21"/>
          <w:lang w:eastAsia="en-GB"/>
        </w:rPr>
        <w:t>–</w:t>
      </w:r>
      <w:r>
        <w:rPr>
          <w:rFonts w:eastAsia="Times New Roman" w:cs="Arial"/>
          <w:color w:val="000000" w:themeColor="text1"/>
          <w:szCs w:val="21"/>
          <w:lang w:eastAsia="en-GB"/>
        </w:rPr>
        <w:t>24</w:t>
      </w:r>
      <w:r w:rsidRPr="007237CA">
        <w:rPr>
          <w:rFonts w:eastAsia="Times New Roman" w:cs="Arial"/>
          <w:color w:val="000000" w:themeColor="text1"/>
          <w:szCs w:val="21"/>
          <w:lang w:val="en-US" w:eastAsia="en-GB"/>
        </w:rPr>
        <w:t> in workforce training and development</w:t>
      </w:r>
      <w:r>
        <w:rPr>
          <w:rFonts w:eastAsia="Times New Roman" w:cs="Arial"/>
          <w:color w:val="000000" w:themeColor="text1"/>
          <w:szCs w:val="21"/>
          <w:lang w:val="en-US" w:eastAsia="en-GB"/>
        </w:rPr>
        <w:t xml:space="preserve"> </w:t>
      </w:r>
      <w:r w:rsidRPr="00730D12">
        <w:rPr>
          <w:rFonts w:eastAsia="Times New Roman" w:cs="Arial"/>
          <w:color w:val="000000" w:themeColor="text1"/>
          <w:szCs w:val="21"/>
          <w:lang w:val="en-US" w:eastAsia="en-GB"/>
        </w:rPr>
        <w:t>to build Victoria’s healthcare workforce through international</w:t>
      </w:r>
      <w:r>
        <w:rPr>
          <w:rFonts w:eastAsia="Times New Roman" w:cs="Arial"/>
          <w:color w:val="000000" w:themeColor="text1"/>
          <w:szCs w:val="21"/>
          <w:lang w:val="en-US" w:eastAsia="en-GB"/>
        </w:rPr>
        <w:t xml:space="preserve"> </w:t>
      </w:r>
      <w:r w:rsidRPr="00730D12">
        <w:rPr>
          <w:rFonts w:eastAsia="Times New Roman" w:cs="Arial"/>
          <w:color w:val="000000" w:themeColor="text1"/>
          <w:szCs w:val="21"/>
          <w:lang w:val="en-US" w:eastAsia="en-GB"/>
        </w:rPr>
        <w:t>recruitment, develop a systemic program to support graduate enrolled nurses in their first</w:t>
      </w:r>
      <w:r>
        <w:rPr>
          <w:rFonts w:eastAsia="Times New Roman" w:cs="Arial"/>
          <w:color w:val="000000" w:themeColor="text1"/>
          <w:szCs w:val="21"/>
          <w:lang w:val="en-US" w:eastAsia="en-GB"/>
        </w:rPr>
        <w:t xml:space="preserve"> </w:t>
      </w:r>
      <w:r w:rsidRPr="00730D12">
        <w:rPr>
          <w:rFonts w:eastAsia="Times New Roman" w:cs="Arial"/>
          <w:color w:val="000000" w:themeColor="text1"/>
          <w:szCs w:val="21"/>
          <w:lang w:val="en-US" w:eastAsia="en-GB"/>
        </w:rPr>
        <w:t>year of practice, and continue enhancing rural maternity service capability and professional</w:t>
      </w:r>
      <w:r>
        <w:rPr>
          <w:rFonts w:eastAsia="Times New Roman" w:cs="Arial"/>
          <w:color w:val="000000" w:themeColor="text1"/>
          <w:szCs w:val="21"/>
          <w:lang w:val="en-US" w:eastAsia="en-GB"/>
        </w:rPr>
        <w:t xml:space="preserve"> </w:t>
      </w:r>
      <w:r w:rsidRPr="00730D12">
        <w:rPr>
          <w:rFonts w:eastAsia="Times New Roman" w:cs="Arial"/>
          <w:color w:val="000000" w:themeColor="text1"/>
          <w:szCs w:val="21"/>
          <w:lang w:val="en-US" w:eastAsia="en-GB"/>
        </w:rPr>
        <w:t>development of prevention and health promotion practitioners.</w:t>
      </w:r>
    </w:p>
    <w:p w14:paraId="45742106" w14:textId="5898F186" w:rsidR="00E86E1E" w:rsidRDefault="00E86E1E" w:rsidP="00081936">
      <w:pPr>
        <w:pStyle w:val="Heading3"/>
        <w:numPr>
          <w:ilvl w:val="2"/>
          <w:numId w:val="33"/>
        </w:numPr>
        <w:ind w:left="1134"/>
      </w:pPr>
      <w:bookmarkStart w:id="53" w:name="_Toc156569587"/>
      <w:r>
        <w:t>Maternal and Child Health and Early Parenting Services</w:t>
      </w:r>
      <w:bookmarkEnd w:id="53"/>
    </w:p>
    <w:p w14:paraId="6148BC9F" w14:textId="57E8AD1E" w:rsidR="00B67EB9" w:rsidRDefault="00B67EB9" w:rsidP="003650CF">
      <w:pPr>
        <w:pStyle w:val="Body"/>
        <w:rPr>
          <w:rFonts w:cs="Arial"/>
          <w:color w:val="000000" w:themeColor="text1"/>
          <w:szCs w:val="21"/>
          <w:lang w:val="en-US" w:eastAsia="en-GB"/>
        </w:rPr>
      </w:pPr>
      <w:r w:rsidRPr="007237CA">
        <w:rPr>
          <w:rFonts w:eastAsia="Times New Roman" w:cs="Arial"/>
          <w:color w:val="000000" w:themeColor="text1"/>
          <w:szCs w:val="21"/>
          <w:lang w:val="en-US" w:eastAsia="en-GB"/>
        </w:rPr>
        <w:t>The department is investing $</w:t>
      </w:r>
      <w:r>
        <w:rPr>
          <w:rFonts w:eastAsia="Times New Roman" w:cs="Arial"/>
          <w:color w:val="000000" w:themeColor="text1"/>
          <w:szCs w:val="21"/>
          <w:lang w:val="en-US" w:eastAsia="en-GB"/>
        </w:rPr>
        <w:t>15.5</w:t>
      </w:r>
      <w:r w:rsidRPr="007237CA">
        <w:rPr>
          <w:rFonts w:eastAsia="Times New Roman" w:cs="Arial"/>
          <w:color w:val="000000" w:themeColor="text1"/>
          <w:szCs w:val="21"/>
          <w:lang w:val="en-US" w:eastAsia="en-GB"/>
        </w:rPr>
        <w:t xml:space="preserve"> million in </w:t>
      </w:r>
      <w:r w:rsidRPr="007237CA">
        <w:rPr>
          <w:rFonts w:eastAsia="Times New Roman" w:cs="Arial"/>
          <w:color w:val="000000" w:themeColor="text1"/>
          <w:szCs w:val="21"/>
          <w:lang w:eastAsia="en-GB"/>
        </w:rPr>
        <w:t>202</w:t>
      </w:r>
      <w:r>
        <w:rPr>
          <w:rFonts w:eastAsia="Times New Roman" w:cs="Arial"/>
          <w:color w:val="000000" w:themeColor="text1"/>
          <w:szCs w:val="21"/>
          <w:lang w:eastAsia="en-GB"/>
        </w:rPr>
        <w:t>3</w:t>
      </w:r>
      <w:r w:rsidR="00012FE6">
        <w:rPr>
          <w:rFonts w:eastAsia="Times New Roman" w:cs="Arial"/>
          <w:color w:val="000000" w:themeColor="text1"/>
          <w:szCs w:val="21"/>
          <w:lang w:eastAsia="en-GB"/>
        </w:rPr>
        <w:t>–</w:t>
      </w:r>
      <w:r>
        <w:rPr>
          <w:rFonts w:eastAsia="Times New Roman" w:cs="Arial"/>
          <w:color w:val="000000" w:themeColor="text1"/>
          <w:szCs w:val="21"/>
          <w:lang w:eastAsia="en-GB"/>
        </w:rPr>
        <w:t>24</w:t>
      </w:r>
      <w:r w:rsidRPr="007237CA">
        <w:rPr>
          <w:rFonts w:eastAsia="Times New Roman" w:cs="Arial"/>
          <w:color w:val="000000" w:themeColor="text1"/>
          <w:szCs w:val="21"/>
          <w:lang w:val="en-US" w:eastAsia="en-GB"/>
        </w:rPr>
        <w:t xml:space="preserve"> ($</w:t>
      </w:r>
      <w:r>
        <w:rPr>
          <w:rFonts w:eastAsia="Times New Roman" w:cs="Arial"/>
          <w:color w:val="000000" w:themeColor="text1"/>
          <w:szCs w:val="21"/>
          <w:lang w:val="en-US" w:eastAsia="en-GB"/>
        </w:rPr>
        <w:t xml:space="preserve">71.2 </w:t>
      </w:r>
      <w:r w:rsidRPr="007237CA">
        <w:rPr>
          <w:rFonts w:eastAsia="Times New Roman" w:cs="Arial"/>
          <w:color w:val="000000" w:themeColor="text1"/>
          <w:szCs w:val="21"/>
          <w:lang w:val="en-US" w:eastAsia="en-GB"/>
        </w:rPr>
        <w:t>million over four years)</w:t>
      </w:r>
      <w:r w:rsidRPr="002B7DE0">
        <w:rPr>
          <w:rFonts w:eastAsia="Times New Roman" w:cs="Arial"/>
          <w:color w:val="000000" w:themeColor="text1"/>
          <w:szCs w:val="21"/>
          <w:lang w:val="en-US" w:eastAsia="en-GB"/>
        </w:rPr>
        <w:t xml:space="preserve"> to deliver responsive health care for mums, dads, babies and children</w:t>
      </w:r>
      <w:r>
        <w:rPr>
          <w:rFonts w:eastAsia="Times New Roman" w:cs="Arial"/>
          <w:color w:val="000000" w:themeColor="text1"/>
          <w:szCs w:val="21"/>
          <w:lang w:val="en-US" w:eastAsia="en-GB"/>
        </w:rPr>
        <w:t xml:space="preserve"> </w:t>
      </w:r>
      <w:r w:rsidRPr="002B7DE0">
        <w:rPr>
          <w:rFonts w:eastAsia="Times New Roman" w:cs="Arial"/>
          <w:color w:val="000000" w:themeColor="text1"/>
          <w:szCs w:val="21"/>
          <w:lang w:val="en-US" w:eastAsia="en-GB"/>
        </w:rPr>
        <w:t xml:space="preserve">and boost the capacity of universal </w:t>
      </w:r>
      <w:r w:rsidR="00012FE6">
        <w:rPr>
          <w:rFonts w:eastAsia="Times New Roman" w:cs="Arial"/>
          <w:color w:val="000000" w:themeColor="text1"/>
          <w:szCs w:val="21"/>
          <w:lang w:val="en-US" w:eastAsia="en-GB"/>
        </w:rPr>
        <w:lastRenderedPageBreak/>
        <w:t>m</w:t>
      </w:r>
      <w:r w:rsidR="00012FE6" w:rsidRPr="002B7DE0">
        <w:rPr>
          <w:rFonts w:eastAsia="Times New Roman" w:cs="Arial"/>
          <w:color w:val="000000" w:themeColor="text1"/>
          <w:szCs w:val="21"/>
          <w:lang w:val="en-US" w:eastAsia="en-GB"/>
        </w:rPr>
        <w:t xml:space="preserve">aternal </w:t>
      </w:r>
      <w:r w:rsidRPr="002B7DE0">
        <w:rPr>
          <w:rFonts w:eastAsia="Times New Roman" w:cs="Arial"/>
          <w:color w:val="000000" w:themeColor="text1"/>
          <w:szCs w:val="21"/>
          <w:lang w:val="en-US" w:eastAsia="en-GB"/>
        </w:rPr>
        <w:t xml:space="preserve">and </w:t>
      </w:r>
      <w:r w:rsidR="00012FE6">
        <w:rPr>
          <w:rFonts w:eastAsia="Times New Roman" w:cs="Arial"/>
          <w:color w:val="000000" w:themeColor="text1"/>
          <w:szCs w:val="21"/>
          <w:lang w:val="en-US" w:eastAsia="en-GB"/>
        </w:rPr>
        <w:t>c</w:t>
      </w:r>
      <w:r w:rsidR="00012FE6" w:rsidRPr="002B7DE0">
        <w:rPr>
          <w:rFonts w:eastAsia="Times New Roman" w:cs="Arial"/>
          <w:color w:val="000000" w:themeColor="text1"/>
          <w:szCs w:val="21"/>
          <w:lang w:val="en-US" w:eastAsia="en-GB"/>
        </w:rPr>
        <w:t xml:space="preserve">hild </w:t>
      </w:r>
      <w:r w:rsidR="00012FE6">
        <w:rPr>
          <w:rFonts w:eastAsia="Times New Roman" w:cs="Arial"/>
          <w:color w:val="000000" w:themeColor="text1"/>
          <w:szCs w:val="21"/>
          <w:lang w:val="en-US" w:eastAsia="en-GB"/>
        </w:rPr>
        <w:t>h</w:t>
      </w:r>
      <w:r w:rsidR="00012FE6" w:rsidRPr="002B7DE0">
        <w:rPr>
          <w:rFonts w:eastAsia="Times New Roman" w:cs="Arial"/>
          <w:color w:val="000000" w:themeColor="text1"/>
          <w:szCs w:val="21"/>
          <w:lang w:val="en-US" w:eastAsia="en-GB"/>
        </w:rPr>
        <w:t xml:space="preserve">ealth </w:t>
      </w:r>
      <w:r w:rsidRPr="002B7DE0">
        <w:rPr>
          <w:rFonts w:eastAsia="Times New Roman" w:cs="Arial"/>
          <w:color w:val="000000" w:themeColor="text1"/>
          <w:szCs w:val="21"/>
          <w:lang w:val="en-US" w:eastAsia="en-GB"/>
        </w:rPr>
        <w:t>services to respond</w:t>
      </w:r>
      <w:r>
        <w:rPr>
          <w:rFonts w:eastAsia="Times New Roman" w:cs="Arial"/>
          <w:color w:val="000000" w:themeColor="text1"/>
          <w:szCs w:val="21"/>
          <w:lang w:val="en-US" w:eastAsia="en-GB"/>
        </w:rPr>
        <w:t xml:space="preserve"> </w:t>
      </w:r>
      <w:r w:rsidRPr="002B7DE0">
        <w:rPr>
          <w:rFonts w:eastAsia="Times New Roman" w:cs="Arial"/>
          <w:color w:val="000000" w:themeColor="text1"/>
          <w:szCs w:val="21"/>
          <w:lang w:val="en-US" w:eastAsia="en-GB"/>
        </w:rPr>
        <w:t xml:space="preserve">to the growing needs and complexities of families, further expand the </w:t>
      </w:r>
      <w:r w:rsidR="00335CF6">
        <w:rPr>
          <w:rFonts w:eastAsia="Times New Roman" w:cs="Arial"/>
          <w:color w:val="000000" w:themeColor="text1"/>
          <w:szCs w:val="21"/>
          <w:lang w:val="en-US" w:eastAsia="en-GB"/>
        </w:rPr>
        <w:t>E</w:t>
      </w:r>
      <w:r w:rsidR="00012FE6" w:rsidRPr="002B7DE0">
        <w:rPr>
          <w:rFonts w:eastAsia="Times New Roman" w:cs="Arial"/>
          <w:color w:val="000000" w:themeColor="text1"/>
          <w:szCs w:val="21"/>
          <w:lang w:val="en-US" w:eastAsia="en-GB"/>
        </w:rPr>
        <w:t xml:space="preserve">arly </w:t>
      </w:r>
      <w:r w:rsidR="00335CF6">
        <w:rPr>
          <w:rFonts w:eastAsia="Times New Roman" w:cs="Arial"/>
          <w:color w:val="000000" w:themeColor="text1"/>
          <w:szCs w:val="21"/>
          <w:lang w:val="en-US" w:eastAsia="en-GB"/>
        </w:rPr>
        <w:t>P</w:t>
      </w:r>
      <w:r w:rsidR="00012FE6" w:rsidRPr="002B7DE0">
        <w:rPr>
          <w:rFonts w:eastAsia="Times New Roman" w:cs="Arial"/>
          <w:color w:val="000000" w:themeColor="text1"/>
          <w:szCs w:val="21"/>
          <w:lang w:val="en-US" w:eastAsia="en-GB"/>
        </w:rPr>
        <w:t>arenting</w:t>
      </w:r>
      <w:r w:rsidR="00012FE6">
        <w:rPr>
          <w:rFonts w:eastAsia="Times New Roman" w:cs="Arial"/>
          <w:color w:val="000000" w:themeColor="text1"/>
          <w:szCs w:val="21"/>
          <w:lang w:val="en-US" w:eastAsia="en-GB"/>
        </w:rPr>
        <w:t xml:space="preserve"> </w:t>
      </w:r>
      <w:r w:rsidR="00335CF6">
        <w:rPr>
          <w:rFonts w:eastAsia="Times New Roman" w:cs="Arial"/>
          <w:color w:val="000000" w:themeColor="text1"/>
          <w:szCs w:val="21"/>
          <w:lang w:val="en-US" w:eastAsia="en-GB"/>
        </w:rPr>
        <w:t>C</w:t>
      </w:r>
      <w:r w:rsidR="00012FE6" w:rsidRPr="002B7DE0">
        <w:rPr>
          <w:rFonts w:eastAsia="Times New Roman" w:cs="Arial"/>
          <w:color w:val="000000" w:themeColor="text1"/>
          <w:szCs w:val="21"/>
          <w:lang w:val="en-US" w:eastAsia="en-GB"/>
        </w:rPr>
        <w:t xml:space="preserve">entre </w:t>
      </w:r>
      <w:r w:rsidRPr="002B7DE0">
        <w:rPr>
          <w:rFonts w:eastAsia="Times New Roman" w:cs="Arial"/>
          <w:color w:val="000000" w:themeColor="text1"/>
          <w:szCs w:val="21"/>
          <w:lang w:val="en-US" w:eastAsia="en-GB"/>
        </w:rPr>
        <w:t>network and deliver targeted and flexible support for mothers, fathers,</w:t>
      </w:r>
      <w:r>
        <w:rPr>
          <w:rFonts w:eastAsia="Times New Roman" w:cs="Arial"/>
          <w:color w:val="000000" w:themeColor="text1"/>
          <w:szCs w:val="21"/>
          <w:lang w:val="en-US" w:eastAsia="en-GB"/>
        </w:rPr>
        <w:t xml:space="preserve"> </w:t>
      </w:r>
      <w:r w:rsidRPr="002B7DE0">
        <w:rPr>
          <w:rFonts w:eastAsia="Times New Roman" w:cs="Arial"/>
          <w:color w:val="000000" w:themeColor="text1"/>
          <w:szCs w:val="21"/>
          <w:lang w:val="en-US" w:eastAsia="en-GB"/>
        </w:rPr>
        <w:t>multicultural communities and Aboriginal families.</w:t>
      </w:r>
      <w:r>
        <w:rPr>
          <w:rFonts w:eastAsia="Times New Roman" w:cs="Arial"/>
          <w:color w:val="000000" w:themeColor="text1"/>
          <w:szCs w:val="21"/>
          <w:lang w:val="en-US" w:eastAsia="en-GB"/>
        </w:rPr>
        <w:t xml:space="preserve"> </w:t>
      </w:r>
      <w:r w:rsidRPr="002B7DE0">
        <w:rPr>
          <w:rFonts w:eastAsia="Times New Roman" w:cs="Arial"/>
          <w:color w:val="000000" w:themeColor="text1"/>
          <w:szCs w:val="21"/>
          <w:lang w:val="en-US" w:eastAsia="en-GB"/>
        </w:rPr>
        <w:t>Funding will also continue the Victorian Baby Bundle program and support Olivia’s Place</w:t>
      </w:r>
      <w:r>
        <w:rPr>
          <w:rFonts w:eastAsia="Times New Roman" w:cs="Arial"/>
          <w:color w:val="000000" w:themeColor="text1"/>
          <w:szCs w:val="21"/>
          <w:lang w:val="en-US" w:eastAsia="en-GB"/>
        </w:rPr>
        <w:t xml:space="preserve"> </w:t>
      </w:r>
      <w:r w:rsidRPr="002B7DE0">
        <w:rPr>
          <w:rFonts w:eastAsia="Times New Roman" w:cs="Arial"/>
          <w:color w:val="000000" w:themeColor="text1"/>
          <w:szCs w:val="21"/>
          <w:lang w:val="en-US" w:eastAsia="en-GB"/>
        </w:rPr>
        <w:t>in Narracan and The Nappy Collective.</w:t>
      </w:r>
    </w:p>
    <w:p w14:paraId="64C0A662" w14:textId="366EAF70" w:rsidR="006A1AAC" w:rsidRPr="00110B89" w:rsidRDefault="006A1AAC" w:rsidP="00081936">
      <w:pPr>
        <w:pStyle w:val="Heading3"/>
        <w:numPr>
          <w:ilvl w:val="2"/>
          <w:numId w:val="33"/>
        </w:numPr>
        <w:ind w:left="1134"/>
      </w:pPr>
      <w:bookmarkStart w:id="54" w:name="_Toc156569588"/>
      <w:r w:rsidRPr="00110B89">
        <w:t>Me</w:t>
      </w:r>
      <w:r w:rsidR="008F2B03">
        <w:t>dical Research</w:t>
      </w:r>
      <w:bookmarkEnd w:id="51"/>
      <w:bookmarkEnd w:id="54"/>
    </w:p>
    <w:p w14:paraId="2F8A33A5" w14:textId="4E8A11E9" w:rsidR="00C637A7" w:rsidRPr="0084423E" w:rsidRDefault="00C637A7" w:rsidP="0084423E">
      <w:pPr>
        <w:pStyle w:val="Body"/>
      </w:pPr>
      <w:r w:rsidRPr="0084423E">
        <w:t>The department is investing $21.1 million from 2024</w:t>
      </w:r>
      <w:r w:rsidR="00012FE6">
        <w:t>–</w:t>
      </w:r>
      <w:r w:rsidRPr="0084423E">
        <w:t>25 to 2026</w:t>
      </w:r>
      <w:r w:rsidR="00012FE6">
        <w:t>–</w:t>
      </w:r>
      <w:r w:rsidRPr="0084423E">
        <w:t xml:space="preserve">27 </w:t>
      </w:r>
      <w:r w:rsidR="00012FE6">
        <w:t>in</w:t>
      </w:r>
      <w:r w:rsidR="00012FE6" w:rsidRPr="0084423E">
        <w:t xml:space="preserve"> </w:t>
      </w:r>
      <w:r w:rsidRPr="0084423E">
        <w:t>the Victorian Paediatric Cancer Consortium to support improvements in paediatric cancer research and clinical care. This includes research programs in paediatric cancer therapies, pharmacogenomics and radiogenomics</w:t>
      </w:r>
      <w:r w:rsidR="00012FE6">
        <w:t>.</w:t>
      </w:r>
      <w:r w:rsidR="00012FE6" w:rsidRPr="0084423E">
        <w:t xml:space="preserve"> </w:t>
      </w:r>
      <w:r w:rsidR="00012FE6">
        <w:t>It</w:t>
      </w:r>
      <w:r w:rsidR="00012FE6" w:rsidRPr="0084423E">
        <w:t xml:space="preserve"> </w:t>
      </w:r>
      <w:r w:rsidRPr="0084423E">
        <w:t>includes a childhood cancer survivorship program, bioresource research platform, paediatric cancer physician researcher training, and innovation grants for junior and mid-career paediatric cancer researchers.</w:t>
      </w:r>
    </w:p>
    <w:p w14:paraId="007A6FD5" w14:textId="508C0662" w:rsidR="000B27B9" w:rsidRPr="00AA4546" w:rsidRDefault="00AA3B67" w:rsidP="00081936">
      <w:pPr>
        <w:pStyle w:val="Heading3"/>
        <w:numPr>
          <w:ilvl w:val="2"/>
          <w:numId w:val="33"/>
        </w:numPr>
        <w:ind w:left="1134"/>
      </w:pPr>
      <w:bookmarkStart w:id="55" w:name="_Toc139545470"/>
      <w:bookmarkStart w:id="56" w:name="_Toc141342367"/>
      <w:bookmarkStart w:id="57" w:name="_Toc141450347"/>
      <w:bookmarkStart w:id="58" w:name="_Toc141708396"/>
      <w:bookmarkStart w:id="59" w:name="_Toc156569589"/>
      <w:bookmarkEnd w:id="55"/>
      <w:bookmarkEnd w:id="56"/>
      <w:bookmarkEnd w:id="57"/>
      <w:bookmarkEnd w:id="58"/>
      <w:r>
        <w:t>Mental Health Clinical Care</w:t>
      </w:r>
      <w:bookmarkEnd w:id="59"/>
    </w:p>
    <w:p w14:paraId="187B1AA1" w14:textId="58F385D3" w:rsidR="00EA720D" w:rsidRPr="003650CF" w:rsidRDefault="00EA720D" w:rsidP="003650CF">
      <w:pPr>
        <w:pStyle w:val="Body"/>
        <w:rPr>
          <w:lang w:val="en-US"/>
        </w:rPr>
      </w:pPr>
      <w:r w:rsidRPr="007237CA">
        <w:rPr>
          <w:rFonts w:eastAsia="Times New Roman" w:cs="Arial"/>
          <w:color w:val="000000" w:themeColor="text1"/>
          <w:szCs w:val="21"/>
          <w:lang w:val="en-US" w:eastAsia="en-GB"/>
        </w:rPr>
        <w:t>The department</w:t>
      </w:r>
      <w:r w:rsidRPr="007237CA">
        <w:rPr>
          <w:rFonts w:eastAsia="Times New Roman" w:cs="Arial"/>
          <w:i/>
          <w:iCs/>
          <w:color w:val="000000" w:themeColor="text1"/>
          <w:szCs w:val="21"/>
          <w:lang w:val="en-US" w:eastAsia="en-GB"/>
        </w:rPr>
        <w:t> </w:t>
      </w:r>
      <w:r w:rsidRPr="007237CA">
        <w:rPr>
          <w:rFonts w:eastAsia="Times New Roman" w:cs="Arial"/>
          <w:color w:val="000000" w:themeColor="text1"/>
          <w:szCs w:val="21"/>
          <w:lang w:val="en-US" w:eastAsia="en-GB"/>
        </w:rPr>
        <w:t>is investing $</w:t>
      </w:r>
      <w:r>
        <w:rPr>
          <w:rFonts w:eastAsia="Times New Roman" w:cs="Arial"/>
          <w:color w:val="000000" w:themeColor="text1"/>
          <w:szCs w:val="21"/>
          <w:lang w:val="en-US" w:eastAsia="en-GB"/>
        </w:rPr>
        <w:t>133.8</w:t>
      </w:r>
      <w:r w:rsidRPr="007237CA">
        <w:rPr>
          <w:rFonts w:eastAsia="Times New Roman" w:cs="Arial"/>
          <w:color w:val="000000" w:themeColor="text1"/>
          <w:szCs w:val="21"/>
          <w:lang w:val="en-US" w:eastAsia="en-GB"/>
        </w:rPr>
        <w:t xml:space="preserve"> million in </w:t>
      </w:r>
      <w:r w:rsidRPr="007237CA">
        <w:rPr>
          <w:rFonts w:eastAsia="Times New Roman" w:cs="Arial"/>
          <w:color w:val="000000" w:themeColor="text1"/>
          <w:szCs w:val="21"/>
          <w:lang w:eastAsia="en-GB"/>
        </w:rPr>
        <w:t>202</w:t>
      </w:r>
      <w:r>
        <w:rPr>
          <w:rFonts w:eastAsia="Times New Roman" w:cs="Arial"/>
          <w:color w:val="000000" w:themeColor="text1"/>
          <w:szCs w:val="21"/>
          <w:lang w:eastAsia="en-GB"/>
        </w:rPr>
        <w:t>3</w:t>
      </w:r>
      <w:r w:rsidRPr="007237CA">
        <w:rPr>
          <w:rFonts w:eastAsia="Times New Roman" w:cs="Arial"/>
          <w:color w:val="000000" w:themeColor="text1"/>
          <w:szCs w:val="21"/>
          <w:lang w:eastAsia="en-GB"/>
        </w:rPr>
        <w:t>–2</w:t>
      </w:r>
      <w:r>
        <w:rPr>
          <w:rFonts w:eastAsia="Times New Roman" w:cs="Arial"/>
          <w:color w:val="000000" w:themeColor="text1"/>
          <w:szCs w:val="21"/>
          <w:lang w:eastAsia="en-GB"/>
        </w:rPr>
        <w:t>4</w:t>
      </w:r>
      <w:r w:rsidRPr="007237CA">
        <w:rPr>
          <w:rFonts w:eastAsia="Times New Roman" w:cs="Arial"/>
          <w:color w:val="000000" w:themeColor="text1"/>
          <w:szCs w:val="21"/>
          <w:lang w:val="en-US" w:eastAsia="en-GB"/>
        </w:rPr>
        <w:t> ($</w:t>
      </w:r>
      <w:r>
        <w:rPr>
          <w:rFonts w:eastAsia="Times New Roman" w:cs="Arial"/>
          <w:color w:val="000000" w:themeColor="text1"/>
          <w:szCs w:val="21"/>
          <w:lang w:val="en-US" w:eastAsia="en-GB"/>
        </w:rPr>
        <w:t>368.3</w:t>
      </w:r>
      <w:r w:rsidRPr="007237CA">
        <w:rPr>
          <w:rFonts w:eastAsia="Times New Roman" w:cs="Arial"/>
          <w:color w:val="000000" w:themeColor="text1"/>
          <w:szCs w:val="21"/>
          <w:lang w:val="en-US" w:eastAsia="en-GB"/>
        </w:rPr>
        <w:t xml:space="preserve"> million over </w:t>
      </w:r>
      <w:r>
        <w:rPr>
          <w:rFonts w:eastAsia="Times New Roman" w:cs="Arial"/>
          <w:color w:val="000000" w:themeColor="text1"/>
          <w:szCs w:val="21"/>
          <w:lang w:val="en-US" w:eastAsia="en-GB"/>
        </w:rPr>
        <w:t>four</w:t>
      </w:r>
      <w:r w:rsidRPr="007237CA">
        <w:rPr>
          <w:rFonts w:eastAsia="Times New Roman" w:cs="Arial"/>
          <w:color w:val="000000" w:themeColor="text1"/>
          <w:szCs w:val="21"/>
          <w:lang w:val="en-US" w:eastAsia="en-GB"/>
        </w:rPr>
        <w:t xml:space="preserve"> years) in </w:t>
      </w:r>
      <w:r w:rsidRPr="007237CA">
        <w:rPr>
          <w:rFonts w:eastAsia="Times New Roman" w:cs="Arial"/>
          <w:color w:val="000000" w:themeColor="text1"/>
          <w:szCs w:val="21"/>
          <w:lang w:eastAsia="en-GB"/>
        </w:rPr>
        <w:t>mental health services</w:t>
      </w:r>
      <w:r w:rsidR="00012FE6">
        <w:rPr>
          <w:rFonts w:eastAsia="Times New Roman" w:cs="Arial"/>
          <w:color w:val="000000" w:themeColor="text1"/>
          <w:szCs w:val="21"/>
          <w:lang w:eastAsia="en-GB"/>
        </w:rPr>
        <w:t>. This</w:t>
      </w:r>
      <w:r w:rsidRPr="007237CA">
        <w:rPr>
          <w:rFonts w:eastAsia="Times New Roman" w:cs="Arial"/>
          <w:color w:val="000000" w:themeColor="text1"/>
          <w:szCs w:val="21"/>
          <w:lang w:eastAsia="en-GB"/>
        </w:rPr>
        <w:t xml:space="preserve"> includ</w:t>
      </w:r>
      <w:r w:rsidR="00012FE6">
        <w:rPr>
          <w:rFonts w:eastAsia="Times New Roman" w:cs="Arial"/>
          <w:color w:val="000000" w:themeColor="text1"/>
          <w:szCs w:val="21"/>
          <w:lang w:eastAsia="en-GB"/>
        </w:rPr>
        <w:t>es</w:t>
      </w:r>
      <w:r w:rsidRPr="007237CA">
        <w:rPr>
          <w:rFonts w:eastAsia="Times New Roman" w:cs="Arial"/>
          <w:color w:val="000000" w:themeColor="text1"/>
          <w:szCs w:val="21"/>
          <w:lang w:eastAsia="en-GB"/>
        </w:rPr>
        <w:t>:</w:t>
      </w:r>
    </w:p>
    <w:p w14:paraId="45B948A9" w14:textId="00399147" w:rsidR="00EA720D" w:rsidRDefault="00EA720D" w:rsidP="00623A21">
      <w:pPr>
        <w:pStyle w:val="Bullet1"/>
        <w:rPr>
          <w:rFonts w:cs="Arial"/>
          <w:color w:val="000000" w:themeColor="text1"/>
          <w:szCs w:val="21"/>
          <w:lang w:eastAsia="en-GB"/>
        </w:rPr>
      </w:pPr>
      <w:r w:rsidRPr="0061694E">
        <w:t>$45.2 million in 2023</w:t>
      </w:r>
      <w:r w:rsidR="00012FE6">
        <w:t>–</w:t>
      </w:r>
      <w:r w:rsidRPr="0061694E">
        <w:t xml:space="preserve">24 ($156.6 million over four years) </w:t>
      </w:r>
      <w:r w:rsidRPr="5BAC3BE7">
        <w:rPr>
          <w:rFonts w:cs="Arial"/>
          <w:color w:val="000000" w:themeColor="text1"/>
          <w:lang w:eastAsia="en-GB"/>
        </w:rPr>
        <w:t>to operationalise 72 beds in Victoria’s mental health system to improve access to acute care for those experiencing mental illness. This includes funding to increase the availability of supports for people with an eating disorder, through the opening of a new statewide residential eating disorder treatment centre. Funding will also support the continuation of Consultation Liaison Psychiatry Services, 24 Hospital in the Home beds and support Orygen to undertake a strategic business case at the Parkville Youth Mental Health precinct</w:t>
      </w:r>
    </w:p>
    <w:p w14:paraId="702561BE" w14:textId="44CA279A" w:rsidR="00EA720D" w:rsidRPr="00F556FA" w:rsidRDefault="00EA720D" w:rsidP="00623A21">
      <w:pPr>
        <w:pStyle w:val="Bullet1"/>
        <w:rPr>
          <w:rFonts w:cs="Arial"/>
          <w:color w:val="000000" w:themeColor="text1"/>
          <w:szCs w:val="21"/>
          <w:lang w:eastAsia="en-GB"/>
        </w:rPr>
      </w:pPr>
      <w:r w:rsidRPr="0061694E">
        <w:t>$22.5 million in 2023</w:t>
      </w:r>
      <w:r w:rsidR="007C2FB0">
        <w:t>–</w:t>
      </w:r>
      <w:r w:rsidRPr="0061694E">
        <w:t xml:space="preserve">24 ($90.5 million over four years) to establish three new Mental Health and Wellbeing Locals in Northcote, Leongatha and </w:t>
      </w:r>
      <w:r w:rsidRPr="5BAC3BE7">
        <w:rPr>
          <w:rFonts w:cs="Arial"/>
          <w:color w:val="000000" w:themeColor="text1"/>
          <w:lang w:eastAsia="en-GB"/>
        </w:rPr>
        <w:t>Narre Warren, and to plan for a further 20 Mental Health and Wellbeing Locals. The services will be accessible and locally based and will provide integrated mental health treatment and wellbeing supports delivered by a multidisciplinary team. Funding also continues delivery of mental health and wellbeing supports through the Mental Health and Wellbeing Hubs, and the Partners in Wellbeing program</w:t>
      </w:r>
    </w:p>
    <w:p w14:paraId="6523BADF" w14:textId="376F4E0B" w:rsidR="00EA720D" w:rsidRPr="00F556FA" w:rsidRDefault="00EA720D" w:rsidP="00623A21">
      <w:pPr>
        <w:pStyle w:val="Bullet1"/>
        <w:rPr>
          <w:rFonts w:cs="Arial"/>
          <w:color w:val="000000" w:themeColor="text1"/>
          <w:szCs w:val="21"/>
          <w:lang w:eastAsia="en-GB"/>
        </w:rPr>
      </w:pPr>
      <w:r w:rsidRPr="0061694E">
        <w:t>$</w:t>
      </w:r>
      <w:r w:rsidRPr="5BAC3BE7">
        <w:rPr>
          <w:rFonts w:cs="Arial"/>
          <w:color w:val="000000" w:themeColor="text1"/>
          <w:lang w:eastAsia="en-GB"/>
        </w:rPr>
        <w:t>23.6 million in 2023</w:t>
      </w:r>
      <w:r w:rsidR="007C2FB0">
        <w:rPr>
          <w:rFonts w:cs="Arial"/>
          <w:color w:val="000000" w:themeColor="text1"/>
          <w:lang w:eastAsia="en-GB"/>
        </w:rPr>
        <w:t>–</w:t>
      </w:r>
      <w:r w:rsidRPr="5BAC3BE7">
        <w:rPr>
          <w:rFonts w:cs="Arial"/>
          <w:color w:val="000000" w:themeColor="text1"/>
          <w:lang w:eastAsia="en-GB"/>
        </w:rPr>
        <w:t xml:space="preserve">24 ($47.8 million over four years) is provided to support the establishment and operations of new and existing entities under the new </w:t>
      </w:r>
      <w:r w:rsidRPr="00F612ED">
        <w:rPr>
          <w:rFonts w:cs="Arial"/>
          <w:i/>
          <w:color w:val="000000" w:themeColor="text1"/>
          <w:lang w:eastAsia="en-GB"/>
        </w:rPr>
        <w:t>Mental Health and Wellbeing Act 2022</w:t>
      </w:r>
      <w:r w:rsidRPr="5BAC3BE7">
        <w:rPr>
          <w:rFonts w:cs="Arial"/>
          <w:color w:val="000000" w:themeColor="text1"/>
          <w:lang w:eastAsia="en-GB"/>
        </w:rPr>
        <w:t>. This includes the Mental Health and Wellbeing Commission, the Victorian Collaborative Centre for Mental Health and Wellbeing, the Office of the Chief Psychiatrist, and the Mental Health Tribunal. Funding is provided for continued operations of the eight interim Regional Bodies</w:t>
      </w:r>
      <w:r w:rsidR="007C2FB0">
        <w:rPr>
          <w:rFonts w:cs="Arial"/>
          <w:color w:val="000000" w:themeColor="text1"/>
          <w:lang w:eastAsia="en-GB"/>
        </w:rPr>
        <w:t xml:space="preserve"> that</w:t>
      </w:r>
      <w:r w:rsidR="007C2FB0" w:rsidRPr="5BAC3BE7">
        <w:rPr>
          <w:rFonts w:cs="Arial"/>
          <w:color w:val="000000" w:themeColor="text1"/>
          <w:lang w:eastAsia="en-GB"/>
        </w:rPr>
        <w:t xml:space="preserve"> </w:t>
      </w:r>
      <w:r w:rsidRPr="5BAC3BE7">
        <w:rPr>
          <w:rFonts w:cs="Arial"/>
          <w:color w:val="000000" w:themeColor="text1"/>
          <w:lang w:eastAsia="en-GB"/>
        </w:rPr>
        <w:t>coordinate and plan mental health and wellbeing services across Victoria supporting better responses to local needs</w:t>
      </w:r>
    </w:p>
    <w:p w14:paraId="26C4D8CD" w14:textId="7925FCDA" w:rsidR="00EA720D" w:rsidRDefault="00EA720D" w:rsidP="00623A21">
      <w:pPr>
        <w:pStyle w:val="Bullet1"/>
        <w:rPr>
          <w:rFonts w:cs="Arial"/>
          <w:color w:val="000000" w:themeColor="text1"/>
          <w:szCs w:val="21"/>
          <w:lang w:eastAsia="en-GB"/>
        </w:rPr>
      </w:pPr>
      <w:r w:rsidRPr="0061694E">
        <w:t>$28 million in 2023</w:t>
      </w:r>
      <w:r w:rsidR="007C2FB0">
        <w:t>–</w:t>
      </w:r>
      <w:r w:rsidRPr="0061694E">
        <w:t>24 ($41 million over two years) to continue the reform of m</w:t>
      </w:r>
      <w:r w:rsidRPr="5BAC3BE7">
        <w:rPr>
          <w:rFonts w:cs="Arial"/>
          <w:color w:val="000000" w:themeColor="text1"/>
          <w:lang w:eastAsia="en-GB"/>
        </w:rPr>
        <w:t>ental health community-based and statewide services, including the Perinatal Emotional Health Program, the Mental Health Statewide Trauma Service and targeted services delivered by Eating Disorders Victoria, ARCVic, Perinatal Anxiety and Depression Australia (PANDA) and The Compassionate Friends Victoria</w:t>
      </w:r>
    </w:p>
    <w:p w14:paraId="68BDF781" w14:textId="71A06274" w:rsidR="00EA720D" w:rsidRDefault="00EA720D" w:rsidP="00623A21">
      <w:pPr>
        <w:pStyle w:val="Bullet1"/>
        <w:rPr>
          <w:rFonts w:cs="Arial"/>
          <w:color w:val="000000" w:themeColor="text1"/>
          <w:szCs w:val="21"/>
          <w:lang w:eastAsia="en-GB"/>
        </w:rPr>
      </w:pPr>
      <w:r w:rsidRPr="0061694E">
        <w:t>$7.5 million in 2023</w:t>
      </w:r>
      <w:r w:rsidR="007C2FB0">
        <w:t>–</w:t>
      </w:r>
      <w:r w:rsidRPr="0061694E">
        <w:t>24 ($17.7 million over three years) to continue universal aftercare services as part of the Bilateral agreement between the Commonwealth and the Victorian Government, and t</w:t>
      </w:r>
      <w:r w:rsidRPr="5BAC3BE7">
        <w:rPr>
          <w:rFonts w:cs="Arial"/>
          <w:color w:val="000000" w:themeColor="text1"/>
          <w:lang w:eastAsia="en-GB"/>
        </w:rPr>
        <w:t>he expansion of LGBTIQ+ suicide prevention and mental health services. Funding also continues delivery of social and emotional wellbeing supports and suicide prevention services through the Strong Brother Strong Sister program for Aboriginal young people in the Geelong region and continue the Youth Live4Life program for young people living in rural and regional Victoria</w:t>
      </w:r>
    </w:p>
    <w:p w14:paraId="5ACCF132" w14:textId="135DEB47" w:rsidR="00EA720D" w:rsidRDefault="00EA720D" w:rsidP="00623A21">
      <w:pPr>
        <w:pStyle w:val="Bullet1"/>
        <w:rPr>
          <w:rFonts w:cs="Arial"/>
          <w:color w:val="000000" w:themeColor="text1"/>
          <w:szCs w:val="21"/>
          <w:lang w:eastAsia="en-GB"/>
        </w:rPr>
      </w:pPr>
      <w:r w:rsidRPr="0061694E">
        <w:lastRenderedPageBreak/>
        <w:t>$4.1 million in 2023</w:t>
      </w:r>
      <w:r w:rsidR="007C2FB0">
        <w:t>–</w:t>
      </w:r>
      <w:r w:rsidRPr="0061694E">
        <w:t>24 ($11.8 million over four years) to continue the Earn and Learn and Aboriginal Traineeship programs, at</w:t>
      </w:r>
      <w:r w:rsidRPr="5BAC3BE7">
        <w:rPr>
          <w:rFonts w:cs="Arial"/>
          <w:color w:val="000000" w:themeColor="text1"/>
          <w:lang w:eastAsia="en-GB"/>
        </w:rPr>
        <w:t>tracting new workforce by providing concurrent opportunities for education and on</w:t>
      </w:r>
      <w:r w:rsidR="00700C1A">
        <w:rPr>
          <w:rFonts w:cs="Arial"/>
          <w:color w:val="000000" w:themeColor="text1"/>
          <w:lang w:eastAsia="en-GB"/>
        </w:rPr>
        <w:t>-</w:t>
      </w:r>
      <w:r w:rsidRPr="5BAC3BE7">
        <w:rPr>
          <w:rFonts w:cs="Arial"/>
          <w:color w:val="000000" w:themeColor="text1"/>
          <w:lang w:eastAsia="en-GB"/>
        </w:rPr>
        <w:t>the</w:t>
      </w:r>
      <w:r w:rsidR="00700C1A">
        <w:rPr>
          <w:rFonts w:cs="Arial"/>
          <w:color w:val="000000" w:themeColor="text1"/>
          <w:lang w:eastAsia="en-GB"/>
        </w:rPr>
        <w:t>-</w:t>
      </w:r>
      <w:r w:rsidRPr="5BAC3BE7">
        <w:rPr>
          <w:rFonts w:cs="Arial"/>
          <w:color w:val="000000" w:themeColor="text1"/>
          <w:lang w:eastAsia="en-GB"/>
        </w:rPr>
        <w:t>job learning</w:t>
      </w:r>
    </w:p>
    <w:p w14:paraId="148190B1" w14:textId="1517C8A1" w:rsidR="005E656B" w:rsidRPr="005E656B" w:rsidRDefault="00EA720D" w:rsidP="005E656B">
      <w:pPr>
        <w:pStyle w:val="Bullet1"/>
      </w:pPr>
      <w:r w:rsidRPr="005E656B">
        <w:t>$</w:t>
      </w:r>
      <w:r w:rsidR="00A5022A" w:rsidRPr="005E656B">
        <w:t>2.9</w:t>
      </w:r>
      <w:r w:rsidRPr="005E656B">
        <w:t xml:space="preserve"> million in 2023</w:t>
      </w:r>
      <w:r w:rsidR="007C2FB0">
        <w:t>–</w:t>
      </w:r>
      <w:r w:rsidRPr="005E656B">
        <w:t xml:space="preserve">24 to continue </w:t>
      </w:r>
      <w:r w:rsidR="005E656B" w:rsidRPr="005E656B">
        <w:t>delivery of tailored mental health support for emergency workers through the Responder Assist program.</w:t>
      </w:r>
    </w:p>
    <w:p w14:paraId="36E06C2A" w14:textId="61C2ADFB" w:rsidR="00716876" w:rsidRPr="00AA4546" w:rsidDel="00742E19" w:rsidRDefault="005B6F0C" w:rsidP="00081936">
      <w:pPr>
        <w:pStyle w:val="Heading3"/>
        <w:numPr>
          <w:ilvl w:val="2"/>
          <w:numId w:val="33"/>
        </w:numPr>
        <w:ind w:left="1134"/>
      </w:pPr>
      <w:bookmarkStart w:id="60" w:name="_Toc156569590"/>
      <w:r w:rsidDel="00742E19">
        <w:t>Mental Health</w:t>
      </w:r>
      <w:r w:rsidR="05545602" w:rsidDel="00742E19">
        <w:t xml:space="preserve"> Community Support</w:t>
      </w:r>
      <w:bookmarkEnd w:id="60"/>
    </w:p>
    <w:p w14:paraId="1B5845A3" w14:textId="46E1F143" w:rsidR="00EA2348" w:rsidRPr="007237CA" w:rsidDel="00742E19" w:rsidRDefault="00716876" w:rsidP="005F67D1">
      <w:pPr>
        <w:pStyle w:val="Body"/>
        <w:rPr>
          <w:rFonts w:cs="Arial"/>
          <w:color w:val="000000" w:themeColor="text1"/>
          <w:lang w:eastAsia="en-GB"/>
        </w:rPr>
      </w:pPr>
      <w:r w:rsidDel="00742E19">
        <w:rPr>
          <w:lang w:val="en-US"/>
        </w:rPr>
        <w:t>T</w:t>
      </w:r>
      <w:r w:rsidRPr="00110B89" w:rsidDel="00742E19">
        <w:rPr>
          <w:lang w:val="en-US"/>
        </w:rPr>
        <w:t xml:space="preserve">he </w:t>
      </w:r>
      <w:r w:rsidR="00EA2348" w:rsidDel="00742E19">
        <w:rPr>
          <w:lang w:val="en-US"/>
        </w:rPr>
        <w:t>de</w:t>
      </w:r>
      <w:r w:rsidR="00EA2348" w:rsidRPr="63A1DF48" w:rsidDel="00742E19">
        <w:rPr>
          <w:rFonts w:eastAsia="Times New Roman" w:cs="Arial"/>
          <w:color w:val="000000" w:themeColor="text1"/>
          <w:lang w:val="en-US" w:eastAsia="en-GB"/>
        </w:rPr>
        <w:t>partment</w:t>
      </w:r>
      <w:r w:rsidR="00EA2348" w:rsidRPr="63A1DF48" w:rsidDel="00742E19">
        <w:rPr>
          <w:rFonts w:eastAsia="Times New Roman" w:cs="Arial"/>
          <w:i/>
          <w:color w:val="000000" w:themeColor="text1"/>
          <w:lang w:val="en-US" w:eastAsia="en-GB"/>
        </w:rPr>
        <w:t> </w:t>
      </w:r>
      <w:r w:rsidR="00EA2348" w:rsidRPr="63A1DF48" w:rsidDel="00742E19">
        <w:rPr>
          <w:rFonts w:eastAsia="Times New Roman" w:cs="Arial"/>
          <w:color w:val="000000" w:themeColor="text1"/>
          <w:lang w:val="en-US" w:eastAsia="en-GB"/>
        </w:rPr>
        <w:t>is investing $19.3 million in </w:t>
      </w:r>
      <w:r w:rsidR="00EA2348" w:rsidRPr="63A1DF48" w:rsidDel="00742E19">
        <w:rPr>
          <w:rFonts w:eastAsia="Times New Roman" w:cs="Arial"/>
          <w:color w:val="000000" w:themeColor="text1"/>
          <w:lang w:eastAsia="en-GB"/>
        </w:rPr>
        <w:t>2023–24</w:t>
      </w:r>
      <w:r w:rsidR="00EA2348" w:rsidRPr="63A1DF48" w:rsidDel="00742E19">
        <w:rPr>
          <w:rFonts w:eastAsia="Times New Roman" w:cs="Arial"/>
          <w:color w:val="000000" w:themeColor="text1"/>
          <w:lang w:val="en-US" w:eastAsia="en-GB"/>
        </w:rPr>
        <w:t> ($89.1 million over four years) in </w:t>
      </w:r>
      <w:r w:rsidR="00EA2348" w:rsidRPr="63A1DF48" w:rsidDel="00742E19">
        <w:rPr>
          <w:rFonts w:eastAsia="Times New Roman" w:cs="Arial"/>
          <w:color w:val="000000" w:themeColor="text1"/>
          <w:lang w:eastAsia="en-GB"/>
        </w:rPr>
        <w:t>mental health community support services</w:t>
      </w:r>
      <w:r w:rsidR="007C2FB0">
        <w:rPr>
          <w:rFonts w:eastAsia="Times New Roman" w:cs="Arial"/>
          <w:color w:val="000000" w:themeColor="text1"/>
          <w:lang w:eastAsia="en-GB"/>
        </w:rPr>
        <w:t>.</w:t>
      </w:r>
      <w:r w:rsidR="007C2FB0" w:rsidRPr="63A1DF48" w:rsidDel="00742E19">
        <w:rPr>
          <w:rFonts w:eastAsia="Times New Roman" w:cs="Arial"/>
          <w:color w:val="000000" w:themeColor="text1"/>
          <w:lang w:eastAsia="en-GB"/>
        </w:rPr>
        <w:t xml:space="preserve"> </w:t>
      </w:r>
      <w:r w:rsidR="007C2FB0">
        <w:rPr>
          <w:rFonts w:eastAsia="Times New Roman" w:cs="Arial"/>
          <w:color w:val="000000" w:themeColor="text1"/>
          <w:lang w:eastAsia="en-GB"/>
        </w:rPr>
        <w:t>This includes</w:t>
      </w:r>
      <w:r w:rsidR="00EA2348" w:rsidRPr="63A1DF48" w:rsidDel="00742E19">
        <w:rPr>
          <w:rFonts w:eastAsia="Times New Roman" w:cs="Arial"/>
          <w:color w:val="000000" w:themeColor="text1"/>
          <w:lang w:eastAsia="en-GB"/>
        </w:rPr>
        <w:t>:</w:t>
      </w:r>
    </w:p>
    <w:p w14:paraId="24744EC4" w14:textId="1E13FD70" w:rsidR="00EA2348" w:rsidRPr="006536A1" w:rsidDel="00742E19" w:rsidRDefault="00EA2348" w:rsidP="00623A21">
      <w:pPr>
        <w:pStyle w:val="Bullet1"/>
        <w:rPr>
          <w:rFonts w:cs="Arial"/>
          <w:color w:val="000000" w:themeColor="text1"/>
          <w:szCs w:val="21"/>
          <w:lang w:val="en-US" w:eastAsia="en-GB"/>
        </w:rPr>
      </w:pPr>
      <w:r w:rsidRPr="0061694E" w:rsidDel="00742E19">
        <w:t>$13.5 million in 2023</w:t>
      </w:r>
      <w:r w:rsidR="007C2FB0">
        <w:t>–</w:t>
      </w:r>
      <w:r w:rsidRPr="0061694E" w:rsidDel="00742E19">
        <w:t xml:space="preserve">24 ($81.3 million over four years) to </w:t>
      </w:r>
      <w:r w:rsidRPr="5BAC3BE7" w:rsidDel="00742E19">
        <w:rPr>
          <w:rFonts w:cs="Arial"/>
          <w:color w:val="000000" w:themeColor="text1"/>
          <w:lang w:eastAsia="en-GB"/>
        </w:rPr>
        <w:t>expand the forensic community mental health workforce, supporting adults with serious mental health needs who are in contact, or at risk of coming into contact, with the justice system. Funding will also address urgent service demand and build the forensic youth mental health workforce, particularly in regional areas. Funding is also provided to Forensicare for the continuation of the Community Forensic Disability Mental Health Service and for the employment of two Koori Mental Health Liaison Officers</w:t>
      </w:r>
    </w:p>
    <w:p w14:paraId="1CFE72CC" w14:textId="77F0CAD3" w:rsidR="00EA2348" w:rsidRPr="006536A1" w:rsidDel="00742E19" w:rsidRDefault="00EA2348" w:rsidP="00623A21">
      <w:pPr>
        <w:pStyle w:val="Bullet1"/>
        <w:rPr>
          <w:rFonts w:cs="Arial"/>
          <w:color w:val="000000" w:themeColor="text1"/>
          <w:szCs w:val="21"/>
          <w:lang w:val="en-US" w:eastAsia="en-GB"/>
        </w:rPr>
      </w:pPr>
      <w:r w:rsidRPr="0061694E" w:rsidDel="00742E19">
        <w:t>$</w:t>
      </w:r>
      <w:r w:rsidRPr="5BAC3BE7" w:rsidDel="00742E19">
        <w:rPr>
          <w:rFonts w:cs="Arial"/>
          <w:color w:val="000000" w:themeColor="text1"/>
          <w:lang w:eastAsia="en-GB"/>
        </w:rPr>
        <w:t>5.8 million in 2023</w:t>
      </w:r>
      <w:r w:rsidR="007C2FB0">
        <w:rPr>
          <w:rFonts w:cs="Arial"/>
          <w:color w:val="000000" w:themeColor="text1"/>
          <w:lang w:eastAsia="en-GB"/>
        </w:rPr>
        <w:t>–</w:t>
      </w:r>
      <w:r w:rsidRPr="5BAC3BE7" w:rsidDel="00742E19">
        <w:rPr>
          <w:rFonts w:cs="Arial"/>
          <w:color w:val="000000" w:themeColor="text1"/>
          <w:lang w:eastAsia="en-GB"/>
        </w:rPr>
        <w:t>24 ($7.8 million over two years) is provided for planning and design activities to improve services for people experiencing mental health crisis or psychological distress. The reforms will reorient the system from a primarily police-led response to one that is health</w:t>
      </w:r>
      <w:r w:rsidR="007C2FB0">
        <w:rPr>
          <w:rFonts w:cs="Arial"/>
          <w:color w:val="000000" w:themeColor="text1"/>
          <w:lang w:eastAsia="en-GB"/>
        </w:rPr>
        <w:t xml:space="preserve"> </w:t>
      </w:r>
      <w:r w:rsidRPr="5BAC3BE7" w:rsidDel="00742E19">
        <w:rPr>
          <w:rFonts w:cs="Arial"/>
          <w:color w:val="000000" w:themeColor="text1"/>
          <w:lang w:eastAsia="en-GB"/>
        </w:rPr>
        <w:t>led.</w:t>
      </w:r>
    </w:p>
    <w:p w14:paraId="354E52FD" w14:textId="77777777" w:rsidR="00716876" w:rsidRPr="00AA4546" w:rsidRDefault="00716876" w:rsidP="00081936">
      <w:pPr>
        <w:pStyle w:val="Heading3"/>
        <w:numPr>
          <w:ilvl w:val="2"/>
          <w:numId w:val="33"/>
        </w:numPr>
        <w:ind w:left="1134"/>
      </w:pPr>
      <w:bookmarkStart w:id="61" w:name="_Toc156569591"/>
      <w:r>
        <w:t>Non-Admitted Services</w:t>
      </w:r>
      <w:bookmarkEnd w:id="61"/>
    </w:p>
    <w:p w14:paraId="5E067894" w14:textId="228CB092" w:rsidR="00716876" w:rsidRDefault="00C0021B" w:rsidP="00C0021B">
      <w:pPr>
        <w:pStyle w:val="Body"/>
        <w:rPr>
          <w:lang w:val="en-US"/>
        </w:rPr>
      </w:pPr>
      <w:r w:rsidRPr="007237CA">
        <w:rPr>
          <w:rFonts w:eastAsia="Times New Roman" w:cs="Arial"/>
          <w:color w:val="000000" w:themeColor="text1"/>
          <w:szCs w:val="21"/>
          <w:lang w:val="en-US" w:eastAsia="en-GB"/>
        </w:rPr>
        <w:t>The department is investing $</w:t>
      </w:r>
      <w:r>
        <w:rPr>
          <w:rFonts w:eastAsia="Times New Roman" w:cs="Arial"/>
          <w:color w:val="000000" w:themeColor="text1"/>
          <w:szCs w:val="21"/>
          <w:lang w:val="en-US" w:eastAsia="en-GB"/>
        </w:rPr>
        <w:t>4.7</w:t>
      </w:r>
      <w:r w:rsidRPr="007237CA">
        <w:rPr>
          <w:rFonts w:eastAsia="Times New Roman" w:cs="Arial"/>
          <w:color w:val="000000" w:themeColor="text1"/>
          <w:szCs w:val="21"/>
          <w:lang w:val="en-US" w:eastAsia="en-GB"/>
        </w:rPr>
        <w:t xml:space="preserve"> million in </w:t>
      </w:r>
      <w:r w:rsidRPr="007237CA">
        <w:rPr>
          <w:rFonts w:eastAsia="Times New Roman" w:cs="Arial"/>
          <w:color w:val="000000" w:themeColor="text1"/>
          <w:szCs w:val="21"/>
          <w:lang w:eastAsia="en-GB"/>
        </w:rPr>
        <w:t>2023</w:t>
      </w:r>
      <w:r w:rsidR="007C2FB0">
        <w:rPr>
          <w:rFonts w:eastAsia="Times New Roman" w:cs="Arial"/>
          <w:color w:val="000000" w:themeColor="text1"/>
          <w:szCs w:val="21"/>
          <w:lang w:eastAsia="en-GB"/>
        </w:rPr>
        <w:t>–</w:t>
      </w:r>
      <w:r>
        <w:rPr>
          <w:rFonts w:eastAsia="Times New Roman" w:cs="Arial"/>
          <w:color w:val="000000" w:themeColor="text1"/>
          <w:szCs w:val="21"/>
          <w:lang w:eastAsia="en-GB"/>
        </w:rPr>
        <w:t>24</w:t>
      </w:r>
      <w:r w:rsidRPr="007237CA">
        <w:rPr>
          <w:rFonts w:eastAsia="Times New Roman" w:cs="Arial"/>
          <w:color w:val="000000" w:themeColor="text1"/>
          <w:szCs w:val="21"/>
          <w:lang w:eastAsia="en-GB"/>
        </w:rPr>
        <w:t> </w:t>
      </w:r>
      <w:r w:rsidRPr="007237CA">
        <w:rPr>
          <w:rFonts w:eastAsia="Times New Roman" w:cs="Arial"/>
          <w:color w:val="000000" w:themeColor="text1"/>
          <w:szCs w:val="21"/>
          <w:lang w:val="en-US" w:eastAsia="en-GB"/>
        </w:rPr>
        <w:t>($3</w:t>
      </w:r>
      <w:r>
        <w:rPr>
          <w:rFonts w:eastAsia="Times New Roman" w:cs="Arial"/>
          <w:color w:val="000000" w:themeColor="text1"/>
          <w:szCs w:val="21"/>
          <w:lang w:val="en-US" w:eastAsia="en-GB"/>
        </w:rPr>
        <w:t>4.2</w:t>
      </w:r>
      <w:r w:rsidRPr="007237CA">
        <w:rPr>
          <w:rFonts w:eastAsia="Times New Roman" w:cs="Arial"/>
          <w:color w:val="000000" w:themeColor="text1"/>
          <w:szCs w:val="21"/>
          <w:lang w:val="en-US" w:eastAsia="en-GB"/>
        </w:rPr>
        <w:t xml:space="preserve"> million over four years) </w:t>
      </w:r>
      <w:r w:rsidRPr="006536A1">
        <w:rPr>
          <w:rFonts w:eastAsia="Times New Roman" w:cs="Arial"/>
          <w:color w:val="000000" w:themeColor="text1"/>
          <w:szCs w:val="21"/>
          <w:lang w:val="en-US" w:eastAsia="en-GB"/>
        </w:rPr>
        <w:t>to begin planning for the operation of community hospitals as well as</w:t>
      </w:r>
      <w:r>
        <w:rPr>
          <w:rFonts w:eastAsia="Times New Roman" w:cs="Arial"/>
          <w:color w:val="000000" w:themeColor="text1"/>
          <w:szCs w:val="21"/>
          <w:lang w:val="en-US" w:eastAsia="en-GB"/>
        </w:rPr>
        <w:t xml:space="preserve"> </w:t>
      </w:r>
      <w:r w:rsidRPr="006536A1">
        <w:rPr>
          <w:rFonts w:eastAsia="Times New Roman" w:cs="Arial"/>
          <w:color w:val="000000" w:themeColor="text1"/>
          <w:szCs w:val="21"/>
          <w:lang w:val="en-US" w:eastAsia="en-GB"/>
        </w:rPr>
        <w:t>commission the Sunbury Community Hospital</w:t>
      </w:r>
      <w:r w:rsidR="007C2FB0">
        <w:rPr>
          <w:rFonts w:eastAsia="Times New Roman" w:cs="Arial"/>
          <w:color w:val="000000" w:themeColor="text1"/>
          <w:szCs w:val="21"/>
          <w:lang w:val="en-US" w:eastAsia="en-GB"/>
        </w:rPr>
        <w:t xml:space="preserve">. This will </w:t>
      </w:r>
      <w:r w:rsidRPr="006536A1">
        <w:rPr>
          <w:rFonts w:eastAsia="Times New Roman" w:cs="Arial"/>
          <w:color w:val="000000" w:themeColor="text1"/>
          <w:szCs w:val="21"/>
          <w:lang w:val="en-US" w:eastAsia="en-GB"/>
        </w:rPr>
        <w:t>improve access to healthcare for low</w:t>
      </w:r>
      <w:r>
        <w:rPr>
          <w:rFonts w:eastAsia="Times New Roman" w:cs="Arial"/>
          <w:color w:val="000000" w:themeColor="text1"/>
          <w:szCs w:val="21"/>
          <w:lang w:val="en-US" w:eastAsia="en-GB"/>
        </w:rPr>
        <w:t xml:space="preserve"> </w:t>
      </w:r>
      <w:r w:rsidRPr="006536A1">
        <w:rPr>
          <w:rFonts w:eastAsia="Times New Roman" w:cs="Arial"/>
          <w:color w:val="000000" w:themeColor="text1"/>
          <w:szCs w:val="21"/>
          <w:lang w:val="en-US" w:eastAsia="en-GB"/>
        </w:rPr>
        <w:t>complexity cases, reducing the need to present to acute hospitals and emergency</w:t>
      </w:r>
      <w:r>
        <w:rPr>
          <w:rFonts w:eastAsia="Times New Roman" w:cs="Arial"/>
          <w:color w:val="000000" w:themeColor="text1"/>
          <w:szCs w:val="21"/>
          <w:lang w:val="en-US" w:eastAsia="en-GB"/>
        </w:rPr>
        <w:t xml:space="preserve"> </w:t>
      </w:r>
      <w:r w:rsidRPr="006536A1">
        <w:rPr>
          <w:rFonts w:eastAsia="Times New Roman" w:cs="Arial"/>
          <w:color w:val="000000" w:themeColor="text1"/>
          <w:szCs w:val="21"/>
          <w:lang w:val="en-US" w:eastAsia="en-GB"/>
        </w:rPr>
        <w:t>departments.</w:t>
      </w:r>
    </w:p>
    <w:p w14:paraId="4DC90942" w14:textId="1B61E847" w:rsidR="004E579B" w:rsidRPr="00110B89" w:rsidRDefault="00C0021B" w:rsidP="00081936">
      <w:pPr>
        <w:pStyle w:val="Heading3"/>
        <w:numPr>
          <w:ilvl w:val="2"/>
          <w:numId w:val="33"/>
        </w:numPr>
        <w:ind w:left="1134"/>
      </w:pPr>
      <w:bookmarkStart w:id="62" w:name="_Toc100263268"/>
      <w:bookmarkStart w:id="63" w:name="_Toc156569592"/>
      <w:r>
        <w:t>Residential Aged Care</w:t>
      </w:r>
      <w:bookmarkEnd w:id="62"/>
      <w:bookmarkEnd w:id="63"/>
    </w:p>
    <w:p w14:paraId="40ACDE46" w14:textId="6BE575E2" w:rsidR="00C90142" w:rsidRPr="003650CF" w:rsidRDefault="00C90142" w:rsidP="003650CF">
      <w:pPr>
        <w:pStyle w:val="Body"/>
        <w:rPr>
          <w:lang w:val="en-US"/>
        </w:rPr>
      </w:pPr>
      <w:r w:rsidRPr="007237CA">
        <w:rPr>
          <w:rFonts w:eastAsia="Times New Roman" w:cs="Arial"/>
          <w:color w:val="000000" w:themeColor="text1"/>
          <w:szCs w:val="21"/>
          <w:lang w:val="en-US" w:eastAsia="en-GB"/>
        </w:rPr>
        <w:t>The department is investing $</w:t>
      </w:r>
      <w:r>
        <w:rPr>
          <w:rFonts w:eastAsia="Times New Roman" w:cs="Arial"/>
          <w:color w:val="000000" w:themeColor="text1"/>
          <w:szCs w:val="21"/>
          <w:lang w:val="en-US" w:eastAsia="en-GB"/>
        </w:rPr>
        <w:t>34.3</w:t>
      </w:r>
      <w:r w:rsidRPr="007237CA">
        <w:rPr>
          <w:rFonts w:eastAsia="Times New Roman" w:cs="Arial"/>
          <w:color w:val="000000" w:themeColor="text1"/>
          <w:szCs w:val="21"/>
          <w:lang w:val="en-US" w:eastAsia="en-GB"/>
        </w:rPr>
        <w:t xml:space="preserve"> million in </w:t>
      </w:r>
      <w:r w:rsidRPr="007237CA">
        <w:rPr>
          <w:rFonts w:eastAsia="Times New Roman" w:cs="Arial"/>
          <w:color w:val="000000" w:themeColor="text1"/>
          <w:szCs w:val="21"/>
          <w:lang w:eastAsia="en-GB"/>
        </w:rPr>
        <w:t>202</w:t>
      </w:r>
      <w:r>
        <w:rPr>
          <w:rFonts w:eastAsia="Times New Roman" w:cs="Arial"/>
          <w:color w:val="000000" w:themeColor="text1"/>
          <w:szCs w:val="21"/>
          <w:lang w:eastAsia="en-GB"/>
        </w:rPr>
        <w:t>3</w:t>
      </w:r>
      <w:r w:rsidR="007C2FB0">
        <w:rPr>
          <w:rFonts w:eastAsia="Times New Roman" w:cs="Arial"/>
          <w:color w:val="000000" w:themeColor="text1"/>
          <w:szCs w:val="21"/>
          <w:lang w:eastAsia="en-GB"/>
        </w:rPr>
        <w:t>–</w:t>
      </w:r>
      <w:r>
        <w:rPr>
          <w:rFonts w:eastAsia="Times New Roman" w:cs="Arial"/>
          <w:color w:val="000000" w:themeColor="text1"/>
          <w:szCs w:val="21"/>
          <w:lang w:eastAsia="en-GB"/>
        </w:rPr>
        <w:t>24 ($42.2 million over three years)</w:t>
      </w:r>
      <w:r w:rsidRPr="007237CA">
        <w:rPr>
          <w:rFonts w:eastAsia="Times New Roman" w:cs="Arial"/>
          <w:color w:val="000000" w:themeColor="text1"/>
          <w:szCs w:val="21"/>
          <w:lang w:val="en-US" w:eastAsia="en-GB"/>
        </w:rPr>
        <w:t> i</w:t>
      </w:r>
      <w:r>
        <w:rPr>
          <w:rFonts w:eastAsia="Times New Roman" w:cs="Arial"/>
          <w:color w:val="000000" w:themeColor="text1"/>
          <w:szCs w:val="21"/>
          <w:lang w:val="en-US" w:eastAsia="en-GB"/>
        </w:rPr>
        <w:t>n</w:t>
      </w:r>
      <w:r w:rsidRPr="006536A1">
        <w:rPr>
          <w:rFonts w:eastAsia="Times New Roman" w:cs="Arial"/>
          <w:color w:val="000000" w:themeColor="text1"/>
          <w:szCs w:val="21"/>
          <w:lang w:val="en-US" w:eastAsia="en-GB"/>
        </w:rPr>
        <w:t>to public sector residential aged care services to continue to provide</w:t>
      </w:r>
      <w:r>
        <w:rPr>
          <w:rFonts w:eastAsia="Times New Roman" w:cs="Arial"/>
          <w:color w:val="000000" w:themeColor="text1"/>
          <w:szCs w:val="21"/>
          <w:lang w:val="en-US" w:eastAsia="en-GB"/>
        </w:rPr>
        <w:t xml:space="preserve"> </w:t>
      </w:r>
      <w:r w:rsidRPr="006536A1">
        <w:rPr>
          <w:rFonts w:eastAsia="Times New Roman" w:cs="Arial"/>
          <w:color w:val="000000" w:themeColor="text1"/>
          <w:szCs w:val="21"/>
          <w:lang w:val="en-US" w:eastAsia="en-GB"/>
        </w:rPr>
        <w:t>high-quality care and assist in meeting nurse-to-patient ratios in public sector residential</w:t>
      </w:r>
      <w:r>
        <w:rPr>
          <w:rFonts w:eastAsia="Times New Roman" w:cs="Arial"/>
          <w:color w:val="000000" w:themeColor="text1"/>
          <w:szCs w:val="21"/>
          <w:lang w:val="en-US" w:eastAsia="en-GB"/>
        </w:rPr>
        <w:t xml:space="preserve"> </w:t>
      </w:r>
      <w:r w:rsidRPr="006536A1">
        <w:rPr>
          <w:rFonts w:eastAsia="Times New Roman" w:cs="Arial"/>
          <w:color w:val="000000" w:themeColor="text1"/>
          <w:szCs w:val="21"/>
          <w:lang w:val="en-US" w:eastAsia="en-GB"/>
        </w:rPr>
        <w:t xml:space="preserve">aged care. Funding also maintains an uplift to the Residential </w:t>
      </w:r>
      <w:r w:rsidR="00556817">
        <w:rPr>
          <w:rFonts w:eastAsia="Times New Roman" w:cs="Arial"/>
          <w:color w:val="000000" w:themeColor="text1"/>
          <w:szCs w:val="21"/>
          <w:lang w:val="en-US" w:eastAsia="en-GB"/>
        </w:rPr>
        <w:t>I</w:t>
      </w:r>
      <w:r w:rsidR="00556817" w:rsidRPr="006536A1">
        <w:rPr>
          <w:rFonts w:eastAsia="Times New Roman" w:cs="Arial"/>
          <w:color w:val="000000" w:themeColor="text1"/>
          <w:szCs w:val="21"/>
          <w:lang w:val="en-US" w:eastAsia="en-GB"/>
        </w:rPr>
        <w:t>n</w:t>
      </w:r>
      <w:r w:rsidR="00556817">
        <w:rPr>
          <w:rFonts w:eastAsia="Times New Roman" w:cs="Arial"/>
          <w:color w:val="000000" w:themeColor="text1"/>
          <w:szCs w:val="21"/>
          <w:lang w:val="en-US" w:eastAsia="en-GB"/>
        </w:rPr>
        <w:t>-</w:t>
      </w:r>
      <w:r w:rsidRPr="006536A1">
        <w:rPr>
          <w:rFonts w:eastAsia="Times New Roman" w:cs="Arial"/>
          <w:color w:val="000000" w:themeColor="text1"/>
          <w:szCs w:val="21"/>
          <w:lang w:val="en-US" w:eastAsia="en-GB"/>
        </w:rPr>
        <w:t>Reach program, which</w:t>
      </w:r>
      <w:r>
        <w:rPr>
          <w:rFonts w:eastAsia="Times New Roman" w:cs="Arial"/>
          <w:color w:val="000000" w:themeColor="text1"/>
          <w:szCs w:val="21"/>
          <w:lang w:val="en-US" w:eastAsia="en-GB"/>
        </w:rPr>
        <w:t xml:space="preserve"> </w:t>
      </w:r>
      <w:r w:rsidRPr="006536A1">
        <w:rPr>
          <w:rFonts w:eastAsia="Times New Roman" w:cs="Arial"/>
          <w:color w:val="000000" w:themeColor="text1"/>
          <w:szCs w:val="21"/>
          <w:lang w:val="en-US" w:eastAsia="en-GB"/>
        </w:rPr>
        <w:t>helps reduce avoidable emergency department presentations and demand on ambulance</w:t>
      </w:r>
      <w:r>
        <w:rPr>
          <w:rFonts w:eastAsia="Times New Roman" w:cs="Arial"/>
          <w:color w:val="000000" w:themeColor="text1"/>
          <w:szCs w:val="21"/>
          <w:lang w:val="en-US" w:eastAsia="en-GB"/>
        </w:rPr>
        <w:t xml:space="preserve"> </w:t>
      </w:r>
      <w:r w:rsidRPr="006536A1">
        <w:rPr>
          <w:rFonts w:eastAsia="Times New Roman" w:cs="Arial"/>
          <w:color w:val="000000" w:themeColor="text1"/>
          <w:szCs w:val="21"/>
          <w:lang w:val="en-US" w:eastAsia="en-GB"/>
        </w:rPr>
        <w:t>services, by providing clinical care and support to aged care residents and care providers.</w:t>
      </w:r>
    </w:p>
    <w:p w14:paraId="1AC306E2" w14:textId="5CE85364" w:rsidR="000B27B9" w:rsidRPr="00FE19AD" w:rsidRDefault="000B27B9" w:rsidP="00DD008A">
      <w:pPr>
        <w:pStyle w:val="Heading2"/>
        <w:ind w:left="576" w:hanging="576"/>
      </w:pPr>
      <w:bookmarkStart w:id="64" w:name="_Toc7123533"/>
      <w:bookmarkStart w:id="65" w:name="_Toc8310420"/>
      <w:bookmarkStart w:id="66" w:name="_Toc12884103"/>
      <w:bookmarkStart w:id="67" w:name="_Toc52892550"/>
      <w:bookmarkStart w:id="68" w:name="_Toc100263269"/>
      <w:bookmarkStart w:id="69" w:name="_Toc156569593"/>
      <w:r>
        <w:lastRenderedPageBreak/>
        <w:t xml:space="preserve">Asset </w:t>
      </w:r>
      <w:r w:rsidR="00F3414C" w:rsidRPr="00E737C1">
        <w:t>i</w:t>
      </w:r>
      <w:r w:rsidRPr="00E737C1">
        <w:t>nitiatives</w:t>
      </w:r>
      <w:bookmarkEnd w:id="64"/>
      <w:bookmarkEnd w:id="65"/>
      <w:bookmarkEnd w:id="66"/>
      <w:bookmarkEnd w:id="67"/>
      <w:bookmarkEnd w:id="68"/>
      <w:bookmarkEnd w:id="69"/>
    </w:p>
    <w:p w14:paraId="46EBB95C" w14:textId="7A1A327F" w:rsidR="000B27B9" w:rsidRDefault="00F22D0D" w:rsidP="00B92CD4">
      <w:pPr>
        <w:pStyle w:val="Body"/>
      </w:pPr>
      <w:bookmarkStart w:id="70" w:name="_Toc454132449"/>
      <w:r w:rsidRPr="00FE19AD">
        <w:t xml:space="preserve">The </w:t>
      </w:r>
      <w:r>
        <w:t>Budget</w:t>
      </w:r>
      <w:r w:rsidRPr="5D20441A">
        <w:rPr>
          <w:i/>
          <w:iCs/>
        </w:rPr>
        <w:t xml:space="preserve"> </w:t>
      </w:r>
      <w:r w:rsidRPr="00FE19AD">
        <w:t>includes</w:t>
      </w:r>
      <w:r>
        <w:t xml:space="preserve"> funding of </w:t>
      </w:r>
      <w:r w:rsidR="0071740D">
        <w:t xml:space="preserve">more than </w:t>
      </w:r>
      <w:r>
        <w:t>$</w:t>
      </w:r>
      <w:r w:rsidR="004926E3">
        <w:t>659 million for health infrastructure across health, mental health, aged care and ambulance services.</w:t>
      </w:r>
    </w:p>
    <w:p w14:paraId="64570578" w14:textId="758EE5C6" w:rsidR="00315766" w:rsidRPr="00D33A03" w:rsidRDefault="00315766" w:rsidP="00892F13">
      <w:pPr>
        <w:pStyle w:val="Tablecaption"/>
      </w:pPr>
      <w:bookmarkStart w:id="71" w:name="_Toc156568645"/>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2</w:t>
      </w:r>
      <w:r>
        <w:fldChar w:fldCharType="end"/>
      </w:r>
      <w:r>
        <w:t xml:space="preserve">: </w:t>
      </w:r>
      <w:r w:rsidRPr="00CC1A31">
        <w:t>Funding for asset initiatives – acute health</w:t>
      </w:r>
      <w:bookmarkEnd w:id="71"/>
    </w:p>
    <w:tbl>
      <w:tblPr>
        <w:tblStyle w:val="TableGrid1"/>
        <w:tblW w:w="9299" w:type="dxa"/>
        <w:tblLayout w:type="fixed"/>
        <w:tblCellMar>
          <w:left w:w="108" w:type="dxa"/>
          <w:right w:w="108" w:type="dxa"/>
        </w:tblCellMar>
        <w:tblLook w:val="06A0" w:firstRow="1" w:lastRow="0" w:firstColumn="1" w:lastColumn="0" w:noHBand="1" w:noVBand="1"/>
      </w:tblPr>
      <w:tblGrid>
        <w:gridCol w:w="2263"/>
        <w:gridCol w:w="5529"/>
        <w:gridCol w:w="1507"/>
      </w:tblGrid>
      <w:tr w:rsidR="00AE6427" w:rsidRPr="00920EB6" w14:paraId="77BD4FC8" w14:textId="77777777" w:rsidTr="00DE595C">
        <w:trPr>
          <w:cnfStyle w:val="100000000000" w:firstRow="1" w:lastRow="0" w:firstColumn="0" w:lastColumn="0" w:oddVBand="0" w:evenVBand="0" w:oddHBand="0" w:evenHBand="0" w:firstRowFirstColumn="0" w:firstRowLastColumn="0" w:lastRowFirstColumn="0" w:lastRowLastColumn="0"/>
          <w:tblHeader/>
        </w:trPr>
        <w:tc>
          <w:tcPr>
            <w:tcW w:w="2263" w:type="dxa"/>
            <w:shd w:val="clear" w:color="auto" w:fill="auto"/>
          </w:tcPr>
          <w:p w14:paraId="23F5E727" w14:textId="77777777" w:rsidR="000B27B9" w:rsidRPr="00685B35" w:rsidRDefault="000B27B9" w:rsidP="00335CF6">
            <w:pPr>
              <w:pStyle w:val="Tablecolhead"/>
            </w:pPr>
            <w:r w:rsidRPr="00685B35">
              <w:t>Initiative</w:t>
            </w:r>
          </w:p>
        </w:tc>
        <w:tc>
          <w:tcPr>
            <w:tcW w:w="5529" w:type="dxa"/>
            <w:shd w:val="clear" w:color="auto" w:fill="auto"/>
          </w:tcPr>
          <w:p w14:paraId="2BB198AA" w14:textId="77777777" w:rsidR="000B27B9" w:rsidRPr="00685B35" w:rsidRDefault="000B27B9" w:rsidP="00335CF6">
            <w:pPr>
              <w:pStyle w:val="Tablecolhead"/>
            </w:pPr>
            <w:r w:rsidRPr="00685B35">
              <w:t>Description</w:t>
            </w:r>
          </w:p>
        </w:tc>
        <w:tc>
          <w:tcPr>
            <w:tcW w:w="1507" w:type="dxa"/>
            <w:shd w:val="clear" w:color="auto" w:fill="auto"/>
          </w:tcPr>
          <w:p w14:paraId="573A6EE6" w14:textId="77777777" w:rsidR="000B27B9" w:rsidRPr="00685B35" w:rsidRDefault="000B27B9" w:rsidP="00685B35">
            <w:pPr>
              <w:pStyle w:val="Tablecolhead"/>
            </w:pPr>
            <w:r w:rsidRPr="00685B35">
              <w:t>TEI ($ million)</w:t>
            </w:r>
          </w:p>
        </w:tc>
      </w:tr>
      <w:tr w:rsidR="00AE6427" w:rsidRPr="00B03CA8" w14:paraId="0670C557" w14:textId="77777777" w:rsidTr="00DE595C">
        <w:tc>
          <w:tcPr>
            <w:tcW w:w="2263" w:type="dxa"/>
          </w:tcPr>
          <w:p w14:paraId="24AAAB6D" w14:textId="041C9DF3" w:rsidR="005A700B" w:rsidRPr="00AE6427" w:rsidRDefault="00DA78F7" w:rsidP="00335CF6">
            <w:pPr>
              <w:pStyle w:val="Tabletext"/>
            </w:pPr>
            <w:r>
              <w:t xml:space="preserve">Hospital Infrastructure Delivery Fund </w:t>
            </w:r>
          </w:p>
        </w:tc>
        <w:tc>
          <w:tcPr>
            <w:tcW w:w="5529" w:type="dxa"/>
          </w:tcPr>
          <w:p w14:paraId="54E41A27" w14:textId="6D0A7508" w:rsidR="00905D22" w:rsidRDefault="00905D22" w:rsidP="00335CF6">
            <w:pPr>
              <w:pStyle w:val="Tabletext"/>
            </w:pPr>
            <w:r>
              <w:t xml:space="preserve">Funding is provided to plan the delivery of major investments at seven hospitals across the </w:t>
            </w:r>
            <w:r w:rsidR="00335CF6">
              <w:t xml:space="preserve">state </w:t>
            </w:r>
            <w:r>
              <w:t xml:space="preserve">to boost capacity, improve infrastructure and ensure Victorians receive the highest quality healthcare. </w:t>
            </w:r>
          </w:p>
          <w:p w14:paraId="3E82270A" w14:textId="77777777" w:rsidR="00905D22" w:rsidRDefault="00905D22" w:rsidP="00335CF6">
            <w:pPr>
              <w:pStyle w:val="Tabletext"/>
            </w:pPr>
            <w:r>
              <w:t xml:space="preserve">This investment will be informed by service and capital planning to ensure the new and upgraded facilities meet the needs of the community. Funding is also provided for important enabling activities such as land acquisition, decanting and early works including upgrading engineering infrastructure. The investment will help deliver a new hospital in West Gippsland and significant redevelopments at Queen Elizabeth II Hospital, Northern Hospital, Austin Hospital, Monash Medical Centre, Dandenong Hospital and Wonthaggi Hospital. </w:t>
            </w:r>
          </w:p>
          <w:p w14:paraId="1EF75DE0" w14:textId="0DC3C3EC" w:rsidR="00905D22" w:rsidRDefault="00905D22" w:rsidP="00335CF6">
            <w:pPr>
              <w:pStyle w:val="Tabletext"/>
            </w:pPr>
            <w:r>
              <w:t xml:space="preserve">Following detailed due diligence and design the </w:t>
            </w:r>
            <w:r w:rsidR="00335CF6">
              <w:t xml:space="preserve">government </w:t>
            </w:r>
            <w:r>
              <w:t xml:space="preserve">will confirm TEIs and cashflows in future budgets and associated details including procurement, market engagement and timelines for each hospital. This initiative contributes to the delivery of the </w:t>
            </w:r>
            <w:r w:rsidR="00335CF6">
              <w:t xml:space="preserve">government’s </w:t>
            </w:r>
            <w:r>
              <w:t>hospital election commitments as published in Labor’s Financial Statement 2022:</w:t>
            </w:r>
          </w:p>
          <w:p w14:paraId="4C47FACC" w14:textId="2453EA8B" w:rsidR="00905D22" w:rsidRDefault="00CF2B8B" w:rsidP="00685B35">
            <w:pPr>
              <w:pStyle w:val="Tablebullet1"/>
            </w:pPr>
            <w:r>
              <w:t>a</w:t>
            </w:r>
            <w:r w:rsidR="00905D22">
              <w:t xml:space="preserve"> new hospital for West Gippsland to put patients first</w:t>
            </w:r>
          </w:p>
          <w:p w14:paraId="05FEE2EB" w14:textId="4259980F" w:rsidR="00905D22" w:rsidRDefault="00CF2B8B" w:rsidP="00685B35">
            <w:pPr>
              <w:pStyle w:val="Tablebullet1"/>
            </w:pPr>
            <w:r>
              <w:t>a</w:t>
            </w:r>
            <w:r w:rsidR="00905D22">
              <w:t xml:space="preserve"> new Queen Elizabeth II Hospital in Melbourne’s East </w:t>
            </w:r>
          </w:p>
          <w:p w14:paraId="3FDED4E7" w14:textId="70CFEF4A" w:rsidR="00905D22" w:rsidRDefault="00CF2B8B" w:rsidP="00685B35">
            <w:pPr>
              <w:pStyle w:val="Tablebullet1"/>
            </w:pPr>
            <w:r>
              <w:t>a</w:t>
            </w:r>
            <w:r w:rsidR="00905D22">
              <w:t xml:space="preserve"> </w:t>
            </w:r>
            <w:r w:rsidR="00335CF6">
              <w:t xml:space="preserve">hospital plan </w:t>
            </w:r>
            <w:r w:rsidR="00905D22">
              <w:t xml:space="preserve">for our growing </w:t>
            </w:r>
            <w:r w:rsidR="00335CF6">
              <w:t xml:space="preserve">northern </w:t>
            </w:r>
            <w:r w:rsidR="00905D22">
              <w:t>suburbs</w:t>
            </w:r>
          </w:p>
          <w:p w14:paraId="49314989" w14:textId="527B79D2" w:rsidR="00905D22" w:rsidRDefault="00CF2B8B" w:rsidP="00685B35">
            <w:pPr>
              <w:pStyle w:val="Tablebullet1"/>
            </w:pPr>
            <w:r>
              <w:t>a</w:t>
            </w:r>
            <w:r w:rsidR="00905D22">
              <w:t xml:space="preserve"> bigger and better Monash Medical Centre</w:t>
            </w:r>
          </w:p>
          <w:p w14:paraId="01820964" w14:textId="72974AF5" w:rsidR="00905D22" w:rsidRDefault="00CF2B8B" w:rsidP="00685B35">
            <w:pPr>
              <w:pStyle w:val="Tablebullet1"/>
            </w:pPr>
            <w:r>
              <w:t>a</w:t>
            </w:r>
            <w:r w:rsidR="00905D22">
              <w:t xml:space="preserve"> </w:t>
            </w:r>
            <w:r w:rsidR="00335CF6">
              <w:t xml:space="preserve">hospital plan </w:t>
            </w:r>
            <w:r w:rsidR="00905D22">
              <w:t xml:space="preserve">for the </w:t>
            </w:r>
            <w:r w:rsidR="00335CF6">
              <w:t>south</w:t>
            </w:r>
            <w:r w:rsidR="00905D22">
              <w:t>-</w:t>
            </w:r>
            <w:r w:rsidR="00335CF6">
              <w:t xml:space="preserve">east </w:t>
            </w:r>
            <w:r w:rsidR="00905D22">
              <w:t>– Dandenong Hospital</w:t>
            </w:r>
          </w:p>
          <w:p w14:paraId="378CD084" w14:textId="77777777" w:rsidR="00905D22" w:rsidRDefault="00905D22" w:rsidP="00685B35">
            <w:pPr>
              <w:pStyle w:val="Tablebullet1"/>
            </w:pPr>
            <w:r>
              <w:t xml:space="preserve">Wonthaggi Hospital redevelopment. </w:t>
            </w:r>
          </w:p>
          <w:p w14:paraId="257B9832" w14:textId="2E9D35FA" w:rsidR="005A700B" w:rsidRPr="00AE6427" w:rsidRDefault="00905D22" w:rsidP="00335CF6">
            <w:pPr>
              <w:pStyle w:val="Tabletext"/>
            </w:pPr>
            <w:r>
              <w:t>This initiative contributes to the Department of Health’s Admitted Services output.</w:t>
            </w:r>
          </w:p>
        </w:tc>
        <w:tc>
          <w:tcPr>
            <w:tcW w:w="1507" w:type="dxa"/>
          </w:tcPr>
          <w:p w14:paraId="118A6C7E" w14:textId="7FD01500" w:rsidR="005A700B" w:rsidRPr="00335CF6" w:rsidRDefault="00905D22" w:rsidP="00685B35">
            <w:pPr>
              <w:pStyle w:val="Tabletext"/>
            </w:pPr>
            <w:r w:rsidRPr="00335CF6">
              <w:t>320.000</w:t>
            </w:r>
          </w:p>
        </w:tc>
      </w:tr>
      <w:tr w:rsidR="000F5AB6" w:rsidRPr="00B03CA8" w14:paraId="6133D4D0" w14:textId="77777777" w:rsidTr="00DE595C">
        <w:tc>
          <w:tcPr>
            <w:tcW w:w="2263" w:type="dxa"/>
          </w:tcPr>
          <w:p w14:paraId="5F04A07F" w14:textId="621DBA97" w:rsidR="000F5AB6" w:rsidRPr="0071740D" w:rsidRDefault="00BD4A94" w:rsidP="00233E9A">
            <w:pPr>
              <w:pStyle w:val="Tabletext"/>
            </w:pPr>
            <w:r>
              <w:t>Early Parenting Centre – Northcote</w:t>
            </w:r>
          </w:p>
        </w:tc>
        <w:tc>
          <w:tcPr>
            <w:tcW w:w="5529" w:type="dxa"/>
          </w:tcPr>
          <w:p w14:paraId="79BBDF52" w14:textId="31239C34" w:rsidR="000F5AB6" w:rsidRDefault="00BD4A94" w:rsidP="00233E9A">
            <w:pPr>
              <w:pStyle w:val="Tabletext"/>
            </w:pPr>
            <w:r>
              <w:t>Funding</w:t>
            </w:r>
            <w:r w:rsidR="001C0363">
              <w:t xml:space="preserve"> is provided to establish an Early Parenting Centre in Northcote to provide specialist support and deliver flexible, targeted services for families with children up to four years of age</w:t>
            </w:r>
            <w:r w:rsidR="006036E3">
              <w:t>,</w:t>
            </w:r>
            <w:r w:rsidR="001C0363">
              <w:t xml:space="preserve"> to enhance the parent</w:t>
            </w:r>
            <w:r w:rsidR="00335CF6">
              <w:t>–</w:t>
            </w:r>
            <w:r w:rsidR="001C0363">
              <w:t>child relationship and support parents with strategies to achieve their parenting goals.</w:t>
            </w:r>
          </w:p>
          <w:p w14:paraId="4F8E18D4" w14:textId="2D231690" w:rsidR="001C0363" w:rsidRPr="00233E9A" w:rsidRDefault="001C0363" w:rsidP="00233E9A">
            <w:pPr>
              <w:pStyle w:val="Tabletext"/>
            </w:pPr>
            <w:r>
              <w:t xml:space="preserve">This </w:t>
            </w:r>
            <w:r w:rsidR="00B068F4">
              <w:t>initiative</w:t>
            </w:r>
            <w:r>
              <w:t xml:space="preserve"> contributes to the Department of Health’s Maternal and Child Health</w:t>
            </w:r>
            <w:r w:rsidR="00B068F4">
              <w:t xml:space="preserve"> and</w:t>
            </w:r>
            <w:r>
              <w:t xml:space="preserve"> Early Parenting </w:t>
            </w:r>
            <w:r w:rsidR="00914601">
              <w:t xml:space="preserve">Services </w:t>
            </w:r>
            <w:r>
              <w:t>output.</w:t>
            </w:r>
          </w:p>
        </w:tc>
        <w:tc>
          <w:tcPr>
            <w:tcW w:w="1507" w:type="dxa"/>
          </w:tcPr>
          <w:p w14:paraId="195B5E0D" w14:textId="6A2E25B3" w:rsidR="000F5AB6" w:rsidRPr="0071740D" w:rsidRDefault="001C0363" w:rsidP="00233E9A">
            <w:pPr>
              <w:pStyle w:val="Tabletext"/>
              <w:jc w:val="right"/>
            </w:pPr>
            <w:r>
              <w:t>15</w:t>
            </w:r>
            <w:r w:rsidR="00B068F4">
              <w:t>.000</w:t>
            </w:r>
          </w:p>
        </w:tc>
      </w:tr>
      <w:tr w:rsidR="006214A1" w:rsidRPr="00B03CA8" w14:paraId="6318B45D" w14:textId="77777777" w:rsidTr="00DE595C">
        <w:tc>
          <w:tcPr>
            <w:tcW w:w="2263" w:type="dxa"/>
          </w:tcPr>
          <w:p w14:paraId="6F8A8A61" w14:textId="3E2C52D4" w:rsidR="005A700B" w:rsidRPr="0071740D" w:rsidDel="00B24750" w:rsidRDefault="00905D22" w:rsidP="00233E9A">
            <w:pPr>
              <w:pStyle w:val="Tabletext"/>
            </w:pPr>
            <w:r>
              <w:t>Metropolitan Health Infrastructure Fund 2023</w:t>
            </w:r>
            <w:r w:rsidR="00335CF6">
              <w:t>–</w:t>
            </w:r>
            <w:r>
              <w:t>24</w:t>
            </w:r>
          </w:p>
        </w:tc>
        <w:tc>
          <w:tcPr>
            <w:tcW w:w="5529" w:type="dxa"/>
          </w:tcPr>
          <w:p w14:paraId="2286FE08" w14:textId="77777777" w:rsidR="001328EA" w:rsidRDefault="001328EA" w:rsidP="00233E9A">
            <w:pPr>
              <w:pStyle w:val="Tabletext"/>
            </w:pPr>
            <w:r>
              <w:t xml:space="preserve">Additional funding is provided to the Metropolitan Health Infrastructure Fund to improve the quality and amenity of infrastructure across a range of metropolitan health services. </w:t>
            </w:r>
          </w:p>
          <w:p w14:paraId="2FE92911" w14:textId="77777777" w:rsidR="001328EA" w:rsidRDefault="001328EA" w:rsidP="00233E9A">
            <w:pPr>
              <w:pStyle w:val="Tabletext"/>
            </w:pPr>
            <w:r>
              <w:lastRenderedPageBreak/>
              <w:t xml:space="preserve">This funding will allow health services to respond to local priorities and maintain and enhance their service delivery capacity. </w:t>
            </w:r>
          </w:p>
          <w:p w14:paraId="30EB9902" w14:textId="7A107D43" w:rsidR="005A700B" w:rsidRPr="00AE6427" w:rsidDel="00B24750" w:rsidRDefault="001328EA" w:rsidP="00233E9A">
            <w:pPr>
              <w:pStyle w:val="Tabletext"/>
            </w:pPr>
            <w:r>
              <w:t>This initiative contributes to the Department of Health’s Admitted Services output.</w:t>
            </w:r>
          </w:p>
        </w:tc>
        <w:tc>
          <w:tcPr>
            <w:tcW w:w="1507" w:type="dxa"/>
          </w:tcPr>
          <w:p w14:paraId="5959BF9C" w14:textId="7CAA65F4" w:rsidR="005A700B" w:rsidRPr="00AE6427" w:rsidDel="00B24750" w:rsidRDefault="001328EA" w:rsidP="00233E9A">
            <w:pPr>
              <w:pStyle w:val="Tabletext"/>
              <w:jc w:val="right"/>
            </w:pPr>
            <w:r>
              <w:lastRenderedPageBreak/>
              <w:t>40.000</w:t>
            </w:r>
          </w:p>
        </w:tc>
      </w:tr>
      <w:tr w:rsidR="006214A1" w:rsidRPr="00B03CA8" w14:paraId="3DBD8BB3" w14:textId="77777777" w:rsidTr="00DE595C">
        <w:tc>
          <w:tcPr>
            <w:tcW w:w="2263" w:type="dxa"/>
          </w:tcPr>
          <w:p w14:paraId="4A37C2B0" w14:textId="457263FC" w:rsidR="001328EA" w:rsidRDefault="001328EA" w:rsidP="00233E9A">
            <w:pPr>
              <w:pStyle w:val="Tabletext"/>
            </w:pPr>
            <w:r>
              <w:t xml:space="preserve">More PET </w:t>
            </w:r>
            <w:r w:rsidR="00335CF6">
              <w:t>s</w:t>
            </w:r>
            <w:r>
              <w:t xml:space="preserve">canners for Victorian Hospitals </w:t>
            </w:r>
          </w:p>
          <w:p w14:paraId="0E4D3332" w14:textId="3E89DEDE" w:rsidR="005A700B" w:rsidRPr="0071740D" w:rsidDel="00B24750" w:rsidRDefault="005A700B" w:rsidP="00233E9A">
            <w:pPr>
              <w:pStyle w:val="Tabletext"/>
            </w:pPr>
          </w:p>
        </w:tc>
        <w:tc>
          <w:tcPr>
            <w:tcW w:w="5529" w:type="dxa"/>
          </w:tcPr>
          <w:p w14:paraId="6AF709E2" w14:textId="1A7C423D" w:rsidR="001328EA" w:rsidRDefault="001328EA" w:rsidP="00233E9A">
            <w:pPr>
              <w:pStyle w:val="Tabletext"/>
            </w:pPr>
            <w:r>
              <w:t xml:space="preserve">Funding is provided to deliver eight new PET scanners at Ballarat Base Hospital, Goulburn Valley Health in Shepparton, Sunshine Hospital, the Northern Hospital in Epping, Werribee Mercy Hospital, Warrnambool Base Hospital, Frankston Hospital, and Northeast Health in Wangaratta. </w:t>
            </w:r>
          </w:p>
          <w:p w14:paraId="46A3E3FD" w14:textId="77777777" w:rsidR="001328EA" w:rsidRDefault="001328EA" w:rsidP="00233E9A">
            <w:pPr>
              <w:pStyle w:val="Tabletext"/>
            </w:pPr>
            <w:r>
              <w:t xml:space="preserve">This investment will improve Victoria’s clinical capacity to assess cancers, neurological diseases and cardiovascular diseases of the community. This initiative delivers on the Government’s election commitment, ‘More PET scanners for Victorian hospitals’ as published in Labor’s Financial Statement 2022. </w:t>
            </w:r>
          </w:p>
          <w:p w14:paraId="42B1B1BF" w14:textId="738EC18B" w:rsidR="005A700B" w:rsidRPr="00AE6427" w:rsidDel="00B24750" w:rsidRDefault="001328EA" w:rsidP="00233E9A">
            <w:pPr>
              <w:pStyle w:val="Tabletext"/>
            </w:pPr>
            <w:r>
              <w:t>This initiative contributes to the Department of Health’s Admitted Services output.</w:t>
            </w:r>
          </w:p>
        </w:tc>
        <w:tc>
          <w:tcPr>
            <w:tcW w:w="1507" w:type="dxa"/>
          </w:tcPr>
          <w:p w14:paraId="35FCC926" w14:textId="523080ED" w:rsidR="005A700B" w:rsidRPr="00AE6427" w:rsidDel="00B24750" w:rsidRDefault="001A29ED" w:rsidP="00233E9A">
            <w:pPr>
              <w:pStyle w:val="Tabletext"/>
              <w:jc w:val="right"/>
            </w:pPr>
            <w:r>
              <w:t>44.000</w:t>
            </w:r>
          </w:p>
        </w:tc>
      </w:tr>
      <w:tr w:rsidR="006214A1" w:rsidRPr="00B03CA8" w14:paraId="5633C129" w14:textId="77777777" w:rsidTr="00DE595C">
        <w:tc>
          <w:tcPr>
            <w:tcW w:w="2263" w:type="dxa"/>
          </w:tcPr>
          <w:p w14:paraId="76F24233" w14:textId="7EDA9619" w:rsidR="005A700B" w:rsidRPr="0071740D" w:rsidDel="00B24750" w:rsidRDefault="001A29ED" w:rsidP="00233E9A">
            <w:pPr>
              <w:pStyle w:val="Tabletext"/>
            </w:pPr>
            <w:r>
              <w:t xml:space="preserve">A new ambulance station for Armstrong Creek </w:t>
            </w:r>
          </w:p>
        </w:tc>
        <w:tc>
          <w:tcPr>
            <w:tcW w:w="5529" w:type="dxa"/>
          </w:tcPr>
          <w:p w14:paraId="1D9DD9C6" w14:textId="507293A3" w:rsidR="00335CF6" w:rsidRDefault="006216C9" w:rsidP="00233E9A">
            <w:pPr>
              <w:pStyle w:val="Tabletext"/>
            </w:pPr>
            <w:r>
              <w:t xml:space="preserve">Funding is provided for a new ambulance station, including land acquisition, in Armstrong Creek to improve ambulance response times and better support paramedics in the City of Greater Geelong and surrounding regions. </w:t>
            </w:r>
          </w:p>
          <w:p w14:paraId="3F0CFA99" w14:textId="6D7502B2" w:rsidR="00335CF6" w:rsidRDefault="006216C9" w:rsidP="00233E9A">
            <w:pPr>
              <w:pStyle w:val="Tabletext"/>
            </w:pPr>
            <w:r>
              <w:t xml:space="preserve">This initiative delivers on the </w:t>
            </w:r>
            <w:r w:rsidR="00335CF6">
              <w:t xml:space="preserve">government’s </w:t>
            </w:r>
            <w:r>
              <w:t>election commitment, ‘A new ambulance station for Armstrong Creek’ as published in Labor’s Financial Statement 2022.</w:t>
            </w:r>
          </w:p>
          <w:p w14:paraId="126F3F5F" w14:textId="3CF55782" w:rsidR="006216C9" w:rsidRDefault="006216C9" w:rsidP="00233E9A">
            <w:pPr>
              <w:pStyle w:val="Tabletext"/>
            </w:pPr>
            <w:r>
              <w:t>This initiative contributes to the Department of Health’s:</w:t>
            </w:r>
          </w:p>
          <w:p w14:paraId="3B53F05E" w14:textId="77777777" w:rsidR="006216C9" w:rsidRDefault="006216C9" w:rsidP="00685B35">
            <w:pPr>
              <w:pStyle w:val="Tablebullet1"/>
            </w:pPr>
            <w:r>
              <w:t>Ambulance Emergency Services output</w:t>
            </w:r>
          </w:p>
          <w:p w14:paraId="46E289AD" w14:textId="584A7413" w:rsidR="005A700B" w:rsidRPr="00AE6427" w:rsidDel="00B24750" w:rsidRDefault="5C001F12" w:rsidP="00685B35">
            <w:pPr>
              <w:pStyle w:val="Tablebullet1"/>
            </w:pPr>
            <w:r>
              <w:t>Ambulance Non-Emergency Services output.</w:t>
            </w:r>
          </w:p>
        </w:tc>
        <w:tc>
          <w:tcPr>
            <w:tcW w:w="1507" w:type="dxa"/>
          </w:tcPr>
          <w:p w14:paraId="7BC88218" w14:textId="42613B91" w:rsidR="005A700B" w:rsidRPr="00AE6427" w:rsidDel="00B24750" w:rsidRDefault="0079192B" w:rsidP="00D43B2D">
            <w:pPr>
              <w:pStyle w:val="Tabletext"/>
              <w:jc w:val="right"/>
            </w:pPr>
            <w:r>
              <w:t>30.400</w:t>
            </w:r>
          </w:p>
        </w:tc>
      </w:tr>
    </w:tbl>
    <w:p w14:paraId="122B2A68" w14:textId="3CF29A3A" w:rsidR="00425B49" w:rsidRDefault="00425B49" w:rsidP="00685B35">
      <w:pPr>
        <w:pStyle w:val="Tablecaption"/>
      </w:pPr>
      <w:bookmarkStart w:id="72" w:name="_Toc156568646"/>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3</w:t>
      </w:r>
      <w:r>
        <w:fldChar w:fldCharType="end"/>
      </w:r>
      <w:r>
        <w:t xml:space="preserve">: </w:t>
      </w:r>
      <w:r w:rsidRPr="0090787B">
        <w:t>Funding for asset initiatives – ageing, aged and home care</w:t>
      </w:r>
      <w:bookmarkEnd w:id="72"/>
    </w:p>
    <w:tbl>
      <w:tblPr>
        <w:tblStyle w:val="TableGrid1"/>
        <w:tblW w:w="9402" w:type="dxa"/>
        <w:tblInd w:w="-51" w:type="dxa"/>
        <w:tblLayout w:type="fixed"/>
        <w:tblCellMar>
          <w:left w:w="108" w:type="dxa"/>
          <w:right w:w="108" w:type="dxa"/>
        </w:tblCellMar>
        <w:tblLook w:val="02A0" w:firstRow="1" w:lastRow="0" w:firstColumn="1" w:lastColumn="0" w:noHBand="1" w:noVBand="0"/>
      </w:tblPr>
      <w:tblGrid>
        <w:gridCol w:w="2314"/>
        <w:gridCol w:w="5812"/>
        <w:gridCol w:w="1276"/>
      </w:tblGrid>
      <w:tr w:rsidR="00A3198C" w:rsidRPr="00D04132" w14:paraId="79613698" w14:textId="77777777" w:rsidTr="00283F49">
        <w:trPr>
          <w:cnfStyle w:val="100000000000" w:firstRow="1" w:lastRow="0" w:firstColumn="0" w:lastColumn="0" w:oddVBand="0" w:evenVBand="0" w:oddHBand="0" w:evenHBand="0" w:firstRowFirstColumn="0" w:firstRowLastColumn="0" w:lastRowFirstColumn="0" w:lastRowLastColumn="0"/>
          <w:tblHeader/>
        </w:trPr>
        <w:tc>
          <w:tcPr>
            <w:tcW w:w="2314" w:type="dxa"/>
            <w:shd w:val="clear" w:color="auto" w:fill="auto"/>
          </w:tcPr>
          <w:p w14:paraId="1F83F3D9" w14:textId="77777777" w:rsidR="000B27B9" w:rsidRPr="00685B35" w:rsidRDefault="000B27B9" w:rsidP="00341407">
            <w:pPr>
              <w:pStyle w:val="Tablecolhead"/>
            </w:pPr>
            <w:bookmarkStart w:id="73" w:name="_Hlk12607910"/>
            <w:r w:rsidRPr="00685B35">
              <w:t>Initiative</w:t>
            </w:r>
          </w:p>
        </w:tc>
        <w:tc>
          <w:tcPr>
            <w:tcW w:w="5812" w:type="dxa"/>
            <w:shd w:val="clear" w:color="auto" w:fill="auto"/>
          </w:tcPr>
          <w:p w14:paraId="242E8E98" w14:textId="77777777" w:rsidR="000B27B9" w:rsidRPr="00685B35" w:rsidRDefault="000B27B9" w:rsidP="00341407">
            <w:pPr>
              <w:pStyle w:val="Tablecolhead"/>
            </w:pPr>
            <w:r w:rsidRPr="00685B35">
              <w:t>Description</w:t>
            </w:r>
          </w:p>
        </w:tc>
        <w:tc>
          <w:tcPr>
            <w:tcW w:w="1276" w:type="dxa"/>
            <w:shd w:val="clear" w:color="auto" w:fill="auto"/>
          </w:tcPr>
          <w:p w14:paraId="292130FE" w14:textId="77777777" w:rsidR="000B27B9" w:rsidRPr="00685B35" w:rsidRDefault="000B27B9" w:rsidP="00341407">
            <w:pPr>
              <w:pStyle w:val="Tablecolhead"/>
            </w:pPr>
            <w:r w:rsidRPr="00685B35">
              <w:t>TEI ($ million)</w:t>
            </w:r>
          </w:p>
        </w:tc>
      </w:tr>
      <w:tr w:rsidR="009C3C2C" w:rsidRPr="00D04132" w14:paraId="6B5A33D2" w14:textId="77777777" w:rsidTr="00283F49">
        <w:tblPrEx>
          <w:tblLook w:val="04A0" w:firstRow="1" w:lastRow="0" w:firstColumn="1" w:lastColumn="0" w:noHBand="0" w:noVBand="1"/>
        </w:tblPrEx>
        <w:tc>
          <w:tcPr>
            <w:tcW w:w="2314" w:type="dxa"/>
          </w:tcPr>
          <w:p w14:paraId="5B2E0E10" w14:textId="26A3C6B8" w:rsidR="00BE25D6" w:rsidRPr="00AE6427" w:rsidRDefault="006352FE" w:rsidP="00233E9A">
            <w:pPr>
              <w:pStyle w:val="Tabletext"/>
            </w:pPr>
            <w:r>
              <w:t>Better aged care services for regional Victorians</w:t>
            </w:r>
          </w:p>
        </w:tc>
        <w:tc>
          <w:tcPr>
            <w:tcW w:w="5812" w:type="dxa"/>
          </w:tcPr>
          <w:p w14:paraId="2748D63F" w14:textId="16A320F4" w:rsidR="006352FE" w:rsidRDefault="006352FE" w:rsidP="006352FE">
            <w:pPr>
              <w:pStyle w:val="Tabletext"/>
            </w:pPr>
            <w:r>
              <w:t>Funding is provided to continue the</w:t>
            </w:r>
            <w:r w:rsidR="00913A1A">
              <w:t xml:space="preserve"> rural and regional public sector residential aged care services </w:t>
            </w:r>
            <w:r>
              <w:t xml:space="preserve">(PSRACS) </w:t>
            </w:r>
            <w:r w:rsidR="00913A1A">
              <w:t xml:space="preserve">revitalisation strategy </w:t>
            </w:r>
            <w:r>
              <w:t xml:space="preserve">to build three new PSRACS in the following locations to deliver better aged care services for regional Victorians: </w:t>
            </w:r>
          </w:p>
          <w:p w14:paraId="304FF133" w14:textId="77777777" w:rsidR="006352FE" w:rsidRPr="00335CF6" w:rsidRDefault="006352FE" w:rsidP="00685B35">
            <w:pPr>
              <w:pStyle w:val="Tablebullet1"/>
            </w:pPr>
            <w:r w:rsidRPr="00335CF6">
              <w:t xml:space="preserve">Cohuna District Hospital campus (24 beds), to replace the Cohuna District Nursing Home and refurbish the current medical ward </w:t>
            </w:r>
          </w:p>
          <w:p w14:paraId="05E501DB" w14:textId="77777777" w:rsidR="006352FE" w:rsidRPr="00335CF6" w:rsidRDefault="006352FE" w:rsidP="00685B35">
            <w:pPr>
              <w:pStyle w:val="Tablebullet1"/>
            </w:pPr>
            <w:r w:rsidRPr="00335CF6">
              <w:t>Maffra District Hospital campus (30 beds), to replace the JHF McDonald Wing and the hospital’s Residential Aged Care Wing to create a 30-bed facility. Funding includes refurbishment of the existing aged care facility for hospital use</w:t>
            </w:r>
          </w:p>
          <w:p w14:paraId="3D84D73F" w14:textId="77777777" w:rsidR="006352FE" w:rsidRPr="00335CF6" w:rsidRDefault="006352FE" w:rsidP="00685B35">
            <w:pPr>
              <w:pStyle w:val="Tablebullet1"/>
            </w:pPr>
            <w:r w:rsidRPr="00335CF6">
              <w:t xml:space="preserve">Numurkah Hospital campus (36 beds), to replace the Numurkah Pioneers Memorial Lodge and fund land acquisition. </w:t>
            </w:r>
          </w:p>
          <w:p w14:paraId="2C425791" w14:textId="77777777" w:rsidR="006352FE" w:rsidRDefault="006352FE" w:rsidP="006352FE">
            <w:pPr>
              <w:pStyle w:val="Tabletext"/>
            </w:pPr>
            <w:r>
              <w:lastRenderedPageBreak/>
              <w:t xml:space="preserve">The developments will provide communities with access to modern purpose designed facilities that can support residents with complex care needs and deliver necessary privacy and independence. </w:t>
            </w:r>
          </w:p>
          <w:p w14:paraId="08261AB0" w14:textId="740B574F" w:rsidR="006352FE" w:rsidRDefault="006352FE" w:rsidP="006352FE">
            <w:pPr>
              <w:pStyle w:val="Tabletext"/>
            </w:pPr>
            <w:r>
              <w:t xml:space="preserve">This initiative delivers on the </w:t>
            </w:r>
            <w:r w:rsidR="00341407">
              <w:t xml:space="preserve">government’s </w:t>
            </w:r>
            <w:r>
              <w:t xml:space="preserve">election commitment, ‘Better aged care services for regional Victorians’ as published in Labor’s Financial Statement 2022. </w:t>
            </w:r>
          </w:p>
          <w:p w14:paraId="38DA9094" w14:textId="72216310" w:rsidR="006352FE" w:rsidRDefault="006352FE" w:rsidP="006352FE">
            <w:pPr>
              <w:pStyle w:val="Tabletext"/>
            </w:pPr>
            <w:r>
              <w:t xml:space="preserve">This follows planning funding in the </w:t>
            </w:r>
            <w:r w:rsidR="00335CF6" w:rsidRPr="00685B35">
              <w:rPr>
                <w:i/>
                <w:iCs/>
              </w:rPr>
              <w:t>State</w:t>
            </w:r>
            <w:r w:rsidRPr="00685B35">
              <w:rPr>
                <w:i/>
                <w:iCs/>
              </w:rPr>
              <w:t xml:space="preserve"> Budget </w:t>
            </w:r>
            <w:r w:rsidR="00335CF6" w:rsidRPr="00685B35">
              <w:rPr>
                <w:i/>
                <w:iCs/>
              </w:rPr>
              <w:t>2021–22</w:t>
            </w:r>
            <w:r w:rsidR="00335CF6">
              <w:t xml:space="preserve"> </w:t>
            </w:r>
            <w:r>
              <w:t xml:space="preserve">for the Cohuna site. </w:t>
            </w:r>
          </w:p>
          <w:p w14:paraId="10DE73ED" w14:textId="0E539A3E" w:rsidR="00927D01" w:rsidRPr="00233E9A" w:rsidRDefault="006352FE" w:rsidP="00233E9A">
            <w:pPr>
              <w:pStyle w:val="Tabletext"/>
            </w:pPr>
            <w:r>
              <w:t>This initiative contributes to the Department of Health’s Residential Aged Care output.</w:t>
            </w:r>
          </w:p>
        </w:tc>
        <w:tc>
          <w:tcPr>
            <w:tcW w:w="0" w:type="dxa"/>
          </w:tcPr>
          <w:p w14:paraId="41120518" w14:textId="5E8E0261" w:rsidR="005E7BE6" w:rsidRPr="00AE6427" w:rsidRDefault="006352FE" w:rsidP="00D43B2D">
            <w:pPr>
              <w:pStyle w:val="Tabletext"/>
              <w:jc w:val="right"/>
            </w:pPr>
            <w:r>
              <w:lastRenderedPageBreak/>
              <w:t>162.246</w:t>
            </w:r>
          </w:p>
        </w:tc>
      </w:tr>
    </w:tbl>
    <w:p w14:paraId="28FCA382" w14:textId="4264C079" w:rsidR="00425B49" w:rsidRDefault="00425B49" w:rsidP="00685B35">
      <w:pPr>
        <w:pStyle w:val="Tablecaption"/>
      </w:pPr>
      <w:bookmarkStart w:id="74" w:name="_Toc156568647"/>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4</w:t>
      </w:r>
      <w:r>
        <w:fldChar w:fldCharType="end"/>
      </w:r>
      <w:r>
        <w:t xml:space="preserve">: </w:t>
      </w:r>
      <w:r w:rsidRPr="007A665D">
        <w:t>Funding for asset initiatives – mental health</w:t>
      </w:r>
      <w:bookmarkEnd w:id="74"/>
    </w:p>
    <w:tbl>
      <w:tblPr>
        <w:tblStyle w:val="TableGrid1"/>
        <w:tblpPr w:leftFromText="180" w:rightFromText="180" w:vertAnchor="text" w:tblpY="1"/>
        <w:tblOverlap w:val="never"/>
        <w:tblW w:w="9351" w:type="dxa"/>
        <w:tblLayout w:type="fixed"/>
        <w:tblLook w:val="06A0" w:firstRow="1" w:lastRow="0" w:firstColumn="1" w:lastColumn="0" w:noHBand="1" w:noVBand="1"/>
      </w:tblPr>
      <w:tblGrid>
        <w:gridCol w:w="2263"/>
        <w:gridCol w:w="5529"/>
        <w:gridCol w:w="1559"/>
      </w:tblGrid>
      <w:tr w:rsidR="00AE6427" w:rsidRPr="00D04132" w14:paraId="452EF37E" w14:textId="77777777" w:rsidTr="0065789F">
        <w:trPr>
          <w:cnfStyle w:val="100000000000" w:firstRow="1" w:lastRow="0" w:firstColumn="0" w:lastColumn="0" w:oddVBand="0" w:evenVBand="0" w:oddHBand="0" w:evenHBand="0" w:firstRowFirstColumn="0" w:firstRowLastColumn="0" w:lastRowFirstColumn="0" w:lastRowLastColumn="0"/>
        </w:trPr>
        <w:tc>
          <w:tcPr>
            <w:tcW w:w="2263" w:type="dxa"/>
            <w:shd w:val="clear" w:color="auto" w:fill="auto"/>
          </w:tcPr>
          <w:p w14:paraId="28319BDE" w14:textId="77777777" w:rsidR="000B27B9" w:rsidRPr="00685B35" w:rsidRDefault="000B27B9" w:rsidP="00425B49">
            <w:pPr>
              <w:pStyle w:val="Tablecolhead"/>
              <w:rPr>
                <w:highlight w:val="yellow"/>
              </w:rPr>
            </w:pPr>
            <w:r w:rsidRPr="00685B35">
              <w:t>Initiative</w:t>
            </w:r>
          </w:p>
        </w:tc>
        <w:tc>
          <w:tcPr>
            <w:tcW w:w="5529" w:type="dxa"/>
            <w:shd w:val="clear" w:color="auto" w:fill="auto"/>
          </w:tcPr>
          <w:p w14:paraId="1235573D" w14:textId="77777777" w:rsidR="000B27B9" w:rsidRPr="00685B35" w:rsidRDefault="000B27B9" w:rsidP="00425B49">
            <w:pPr>
              <w:pStyle w:val="Tablecolhead"/>
              <w:rPr>
                <w:highlight w:val="yellow"/>
              </w:rPr>
            </w:pPr>
            <w:r w:rsidRPr="00685B35">
              <w:t>Description</w:t>
            </w:r>
          </w:p>
        </w:tc>
        <w:tc>
          <w:tcPr>
            <w:tcW w:w="1559" w:type="dxa"/>
            <w:shd w:val="clear" w:color="auto" w:fill="auto"/>
          </w:tcPr>
          <w:p w14:paraId="23606C7E" w14:textId="77777777" w:rsidR="000B27B9" w:rsidRPr="00685B35" w:rsidRDefault="000B27B9" w:rsidP="00425B49">
            <w:pPr>
              <w:pStyle w:val="Tablecolhead"/>
              <w:rPr>
                <w:highlight w:val="yellow"/>
              </w:rPr>
            </w:pPr>
            <w:r w:rsidRPr="00685B35">
              <w:t>TEI ($ million)</w:t>
            </w:r>
          </w:p>
        </w:tc>
      </w:tr>
      <w:tr w:rsidR="006214A1" w:rsidRPr="00B03CA8" w14:paraId="79B689B9" w14:textId="77777777" w:rsidTr="0065789F">
        <w:tc>
          <w:tcPr>
            <w:tcW w:w="2263" w:type="dxa"/>
          </w:tcPr>
          <w:p w14:paraId="01C6D6C2" w14:textId="7CBF883E" w:rsidR="00683A61" w:rsidRPr="00AE6427" w:rsidRDefault="006352FE" w:rsidP="00714E16">
            <w:pPr>
              <w:pStyle w:val="Tabletext"/>
            </w:pPr>
            <w:r>
              <w:t xml:space="preserve">Mental Health Capital Renewal Fund </w:t>
            </w:r>
          </w:p>
        </w:tc>
        <w:tc>
          <w:tcPr>
            <w:tcW w:w="5529" w:type="dxa"/>
          </w:tcPr>
          <w:p w14:paraId="7950ACC3" w14:textId="69C5D573" w:rsidR="006352FE" w:rsidRDefault="006352FE" w:rsidP="006352FE">
            <w:pPr>
              <w:pStyle w:val="Tabletext"/>
            </w:pPr>
            <w:r>
              <w:t xml:space="preserve">Funding is provided to the Mental Health Capital Renewal Fund to improve the quality and amenity of mental health and alcohol and other drugs facilities across Victoria. </w:t>
            </w:r>
          </w:p>
          <w:p w14:paraId="2700B040" w14:textId="77777777" w:rsidR="006352FE" w:rsidRDefault="006352FE" w:rsidP="006352FE">
            <w:pPr>
              <w:pStyle w:val="Tabletext"/>
            </w:pPr>
            <w:r>
              <w:t xml:space="preserve">This initiative is reported through the Mental Health Capital Fund. </w:t>
            </w:r>
          </w:p>
          <w:p w14:paraId="099AE397" w14:textId="60ADADB1" w:rsidR="00683A61" w:rsidRPr="00B92F1E" w:rsidRDefault="006352FE" w:rsidP="00714E16">
            <w:pPr>
              <w:pStyle w:val="Tabletext"/>
            </w:pPr>
            <w:r>
              <w:t xml:space="preserve">This initiative contributes to the </w:t>
            </w:r>
            <w:r w:rsidR="00341407">
              <w:t xml:space="preserve">government’s </w:t>
            </w:r>
            <w:r>
              <w:t>response to the Royal Commission into Victoria’s Mental Health System final report and the Department of Health’s Mental Health Community Support Services output.</w:t>
            </w:r>
          </w:p>
        </w:tc>
        <w:tc>
          <w:tcPr>
            <w:tcW w:w="1559" w:type="dxa"/>
          </w:tcPr>
          <w:p w14:paraId="1619E017" w14:textId="73A4A82F" w:rsidR="00683A61" w:rsidRPr="00AE6427" w:rsidRDefault="006352FE" w:rsidP="00D43B2D">
            <w:pPr>
              <w:pStyle w:val="Tabletext"/>
              <w:jc w:val="right"/>
            </w:pPr>
            <w:r>
              <w:t>10.000</w:t>
            </w:r>
          </w:p>
        </w:tc>
      </w:tr>
      <w:tr w:rsidR="006214A1" w:rsidRPr="00B03CA8" w14:paraId="4B08E8A0" w14:textId="77777777" w:rsidTr="0065789F">
        <w:tc>
          <w:tcPr>
            <w:tcW w:w="2263" w:type="dxa"/>
          </w:tcPr>
          <w:p w14:paraId="6ACE8753" w14:textId="3037A101" w:rsidR="00683A61" w:rsidRPr="00AE6427" w:rsidRDefault="006352FE" w:rsidP="00714E16">
            <w:pPr>
              <w:pStyle w:val="Tabletext"/>
            </w:pPr>
            <w:r>
              <w:t xml:space="preserve">Redevelopment of Thomas Embling Hospital – Stage 3 </w:t>
            </w:r>
          </w:p>
        </w:tc>
        <w:tc>
          <w:tcPr>
            <w:tcW w:w="5529" w:type="dxa"/>
          </w:tcPr>
          <w:p w14:paraId="2BF06BE0" w14:textId="77777777" w:rsidR="006352FE" w:rsidRDefault="006352FE" w:rsidP="006352FE">
            <w:pPr>
              <w:pStyle w:val="Tabletext"/>
            </w:pPr>
            <w:r>
              <w:t xml:space="preserve">Funding is provided for planning and development, including detailed design, for Stage 3 of the redevelopment of Thomas Embling Hospital. </w:t>
            </w:r>
          </w:p>
          <w:p w14:paraId="4167317D" w14:textId="77777777" w:rsidR="006352FE" w:rsidRDefault="006352FE" w:rsidP="006352FE">
            <w:pPr>
              <w:pStyle w:val="Tabletext"/>
            </w:pPr>
            <w:r>
              <w:t xml:space="preserve">This initiative is reported through the Mental Health Capital Fund. </w:t>
            </w:r>
          </w:p>
          <w:p w14:paraId="45614B1F" w14:textId="0725AFB1" w:rsidR="00683A61" w:rsidRPr="00B92F1E" w:rsidRDefault="006352FE" w:rsidP="00714E16">
            <w:pPr>
              <w:pStyle w:val="Tabletext"/>
            </w:pPr>
            <w:r>
              <w:t xml:space="preserve">This initiative contributes to the </w:t>
            </w:r>
            <w:r w:rsidR="00341407">
              <w:t xml:space="preserve">government’s </w:t>
            </w:r>
            <w:r>
              <w:t>response to the Royal Commission into Victoria’s Mental Health System final report and the Department of Health’s Mental Health Clinical Care output.</w:t>
            </w:r>
          </w:p>
        </w:tc>
        <w:tc>
          <w:tcPr>
            <w:tcW w:w="1559" w:type="dxa"/>
          </w:tcPr>
          <w:p w14:paraId="408BB76F" w14:textId="6EF6754B" w:rsidR="00683A61" w:rsidRPr="00AE6427" w:rsidRDefault="006352FE" w:rsidP="00283F49">
            <w:pPr>
              <w:pStyle w:val="Tabletext"/>
              <w:jc w:val="right"/>
            </w:pPr>
            <w:r>
              <w:t>53.196</w:t>
            </w:r>
          </w:p>
        </w:tc>
      </w:tr>
    </w:tbl>
    <w:p w14:paraId="2135820D" w14:textId="02BFAE08" w:rsidR="000B27B9" w:rsidRDefault="000B27B9" w:rsidP="00685B35">
      <w:pPr>
        <w:pStyle w:val="Heading2"/>
      </w:pPr>
      <w:bookmarkStart w:id="75" w:name="_Toc418694930"/>
      <w:bookmarkStart w:id="76" w:name="_Toc6215578"/>
      <w:bookmarkStart w:id="77" w:name="_Toc10199651"/>
      <w:bookmarkStart w:id="78" w:name="_Toc52892551"/>
      <w:bookmarkStart w:id="79" w:name="_Toc100263270"/>
      <w:bookmarkStart w:id="80" w:name="_Toc156569594"/>
      <w:bookmarkEnd w:id="70"/>
      <w:bookmarkEnd w:id="73"/>
      <w:r>
        <w:lastRenderedPageBreak/>
        <w:t>National programs</w:t>
      </w:r>
      <w:bookmarkEnd w:id="75"/>
      <w:bookmarkEnd w:id="76"/>
      <w:bookmarkEnd w:id="77"/>
      <w:bookmarkEnd w:id="78"/>
      <w:bookmarkEnd w:id="79"/>
      <w:bookmarkEnd w:id="80"/>
    </w:p>
    <w:p w14:paraId="1CCAE885" w14:textId="549E7B63" w:rsidR="000B27B9" w:rsidRDefault="000B27B9" w:rsidP="00081936">
      <w:pPr>
        <w:pStyle w:val="Heading3"/>
        <w:numPr>
          <w:ilvl w:val="2"/>
          <w:numId w:val="33"/>
        </w:numPr>
        <w:spacing w:before="240"/>
        <w:ind w:left="1134"/>
      </w:pPr>
      <w:bookmarkStart w:id="81" w:name="_Toc418694932"/>
      <w:bookmarkStart w:id="82" w:name="_Toc6215580"/>
      <w:bookmarkStart w:id="83" w:name="_Toc10199653"/>
      <w:bookmarkStart w:id="84" w:name="_Toc52892552"/>
      <w:bookmarkStart w:id="85" w:name="_Toc100263271"/>
      <w:bookmarkStart w:id="86" w:name="_Toc156569595"/>
      <w:r>
        <w:t>Transition Care Program</w:t>
      </w:r>
      <w:bookmarkEnd w:id="81"/>
      <w:bookmarkEnd w:id="82"/>
      <w:bookmarkEnd w:id="83"/>
      <w:bookmarkEnd w:id="84"/>
      <w:bookmarkEnd w:id="85"/>
      <w:bookmarkEnd w:id="86"/>
    </w:p>
    <w:p w14:paraId="2F46E7D8" w14:textId="34D4A432" w:rsidR="000B27B9" w:rsidRDefault="000B27B9" w:rsidP="00B92CD4">
      <w:pPr>
        <w:pStyle w:val="Body"/>
      </w:pPr>
      <w:r>
        <w:t xml:space="preserve">The Transition Care Program is jointly funded by the Commonwealth, </w:t>
      </w:r>
      <w:r w:rsidR="18DB1CAC">
        <w:t>s</w:t>
      </w:r>
      <w:r w:rsidR="00FE36AA">
        <w:t>tate</w:t>
      </w:r>
      <w:r>
        <w:t xml:space="preserve"> and </w:t>
      </w:r>
      <w:r w:rsidR="648D78E3">
        <w:t>t</w:t>
      </w:r>
      <w:r w:rsidR="18DB1CAC">
        <w:t>erritory</w:t>
      </w:r>
      <w:r>
        <w:t xml:space="preserve"> governments through joint per diem contributions. The flexible care places used in the program are legislated by the </w:t>
      </w:r>
      <w:r w:rsidRPr="003A6919">
        <w:rPr>
          <w:i/>
        </w:rPr>
        <w:t>Aged Care Act 1997</w:t>
      </w:r>
      <w:r>
        <w:t xml:space="preserve"> and the Aged Care Principles made under th</w:t>
      </w:r>
      <w:r w:rsidR="00B70458">
        <w:t>at</w:t>
      </w:r>
      <w:r>
        <w:t xml:space="preserve"> Act. The </w:t>
      </w:r>
      <w:r w:rsidRPr="003A6919">
        <w:rPr>
          <w:i/>
        </w:rPr>
        <w:t xml:space="preserve">Transition Care Program </w:t>
      </w:r>
      <w:r w:rsidR="00250720">
        <w:rPr>
          <w:i/>
        </w:rPr>
        <w:t>g</w:t>
      </w:r>
      <w:r w:rsidRPr="003A6919">
        <w:rPr>
          <w:i/>
        </w:rPr>
        <w:t>uidelines</w:t>
      </w:r>
      <w:r>
        <w:t xml:space="preserve"> </w:t>
      </w:r>
      <w:r w:rsidRPr="614CCFA5">
        <w:rPr>
          <w:i/>
          <w:iCs/>
        </w:rPr>
        <w:t>20</w:t>
      </w:r>
      <w:r w:rsidR="00670A79" w:rsidRPr="614CCFA5">
        <w:rPr>
          <w:i/>
          <w:iCs/>
        </w:rPr>
        <w:t>22</w:t>
      </w:r>
      <w:r>
        <w:t xml:space="preserve"> govern the program.</w:t>
      </w:r>
    </w:p>
    <w:p w14:paraId="4E3925C8" w14:textId="3F7E824D" w:rsidR="000B27B9" w:rsidRDefault="000B27B9" w:rsidP="00B92CD4">
      <w:pPr>
        <w:pStyle w:val="Body"/>
      </w:pPr>
      <w:r>
        <w:t xml:space="preserve">Commonwealth Government subsidies are provided directly to health services by Services </w:t>
      </w:r>
      <w:r w:rsidR="000C1AC8">
        <w:t>Australia</w:t>
      </w:r>
      <w:r>
        <w:t xml:space="preserve"> (Medicare)</w:t>
      </w:r>
      <w:r w:rsidR="00250720">
        <w:t>.</w:t>
      </w:r>
      <w:r>
        <w:t xml:space="preserve"> </w:t>
      </w:r>
      <w:r w:rsidR="00250720">
        <w:t xml:space="preserve">These </w:t>
      </w:r>
      <w:r>
        <w:t>are paid on a monthly advance and acquittal basis for occupied places. Health services are required to submit a monthly claim form directly to Medicare for payment.</w:t>
      </w:r>
    </w:p>
    <w:p w14:paraId="016B3B1C" w14:textId="48CF8C4C" w:rsidR="000B27B9" w:rsidRDefault="000B27B9" w:rsidP="00B92CD4">
      <w:pPr>
        <w:pStyle w:val="Body"/>
      </w:pPr>
      <w:r>
        <w:t>Commonwealth Government subsidies are paid for up to 12 weeks (with an option for a single extension of up to six</w:t>
      </w:r>
      <w:r w:rsidR="00BD0DB0">
        <w:t xml:space="preserve"> </w:t>
      </w:r>
      <w:r>
        <w:t xml:space="preserve">weeks where appropriate and with prior approval from the Aged Care Assessment Service </w:t>
      </w:r>
      <w:r w:rsidR="00341407">
        <w:t>[</w:t>
      </w:r>
      <w:r>
        <w:t>ACAS</w:t>
      </w:r>
      <w:r w:rsidR="00341407">
        <w:t xml:space="preserve">]) </w:t>
      </w:r>
      <w:r>
        <w:t>for each client, up to the maximum number of approved Transition Care Program places at each health service.</w:t>
      </w:r>
    </w:p>
    <w:p w14:paraId="09C73F4C" w14:textId="5E42A6F5" w:rsidR="000B27B9" w:rsidRDefault="000B27B9" w:rsidP="00B92CD4">
      <w:pPr>
        <w:pStyle w:val="Body"/>
      </w:pPr>
      <w:r>
        <w:t xml:space="preserve">The department no longer provides financial support to health services that support clients beyond their maximum permitted stay on the program (that is, 18 weeks where a </w:t>
      </w:r>
      <w:r w:rsidR="007F4B26">
        <w:t>six-week</w:t>
      </w:r>
      <w:r>
        <w:t xml:space="preserve"> extension has been approved by ACAS). </w:t>
      </w:r>
      <w:r w:rsidR="00250720">
        <w:t>A</w:t>
      </w:r>
      <w:r>
        <w:t xml:space="preserve">ny potential discharge challenges </w:t>
      </w:r>
      <w:r w:rsidR="00250720">
        <w:t xml:space="preserve">should be </w:t>
      </w:r>
      <w:r>
        <w:t>made known prior to this time</w:t>
      </w:r>
      <w:r w:rsidR="00250720">
        <w:t>.</w:t>
      </w:r>
      <w:r>
        <w:t xml:space="preserve"> </w:t>
      </w:r>
      <w:r w:rsidR="00250720">
        <w:t xml:space="preserve">These should be </w:t>
      </w:r>
      <w:r>
        <w:t>worked through to achieve a safe discharge for the client.</w:t>
      </w:r>
    </w:p>
    <w:p w14:paraId="3BD3FAD6" w14:textId="4E231AF5" w:rsidR="000B27B9" w:rsidRDefault="000B27B9" w:rsidP="00B92CD4">
      <w:pPr>
        <w:pStyle w:val="Body"/>
      </w:pPr>
      <w:r>
        <w:t xml:space="preserve">Daily care fees for Transition Care Program recipients are determined by the Commonwealth under the </w:t>
      </w:r>
      <w:r w:rsidRPr="00F91AB2">
        <w:rPr>
          <w:i/>
        </w:rPr>
        <w:t>Aged Care Act</w:t>
      </w:r>
      <w:r w:rsidR="295652F3" w:rsidRPr="00D6527A">
        <w:rPr>
          <w:i/>
        </w:rPr>
        <w:t xml:space="preserve"> 1997</w:t>
      </w:r>
      <w:r>
        <w:t>. Maximum care fee charges must not exceed 85</w:t>
      </w:r>
      <w:r w:rsidR="00341407">
        <w:t xml:space="preserve"> per cent </w:t>
      </w:r>
      <w:r>
        <w:t>of the basic single age pension for care delivered in a bed-based setting and 17.5</w:t>
      </w:r>
      <w:r w:rsidR="00341407">
        <w:t xml:space="preserve"> per cent </w:t>
      </w:r>
      <w:r>
        <w:t>of the basic single age pension for care delivered in a home-based setting. Such fees are adjusted twice yearly (March and September) in line with the consumer price index, which also affects the age pension payment.</w:t>
      </w:r>
    </w:p>
    <w:p w14:paraId="4E4AB9DF" w14:textId="6B1C093C" w:rsidR="000B27B9" w:rsidRDefault="000B27B9" w:rsidP="00B92CD4">
      <w:pPr>
        <w:pStyle w:val="Body"/>
      </w:pPr>
      <w:r>
        <w:t xml:space="preserve">The </w:t>
      </w:r>
      <w:r w:rsidR="00250720">
        <w:t>state</w:t>
      </w:r>
      <w:r>
        <w:t>-funded component of the Transition Care Program is subject to recall for under</w:t>
      </w:r>
      <w:r w:rsidR="00250720">
        <w:t>-</w:t>
      </w:r>
      <w:r>
        <w:t>performance</w:t>
      </w:r>
      <w:r w:rsidR="00250720">
        <w:t>,</w:t>
      </w:r>
      <w:r>
        <w:t xml:space="preserve"> as outlined in the recall policy detailed in these guidelines.</w:t>
      </w:r>
    </w:p>
    <w:p w14:paraId="23C9852B" w14:textId="37B3F0C4" w:rsidR="000B27B9" w:rsidRDefault="000B27B9" w:rsidP="00B92CD4">
      <w:pPr>
        <w:pStyle w:val="Body"/>
      </w:pPr>
      <w:r>
        <w:t xml:space="preserve">The Commonwealth Government continues to implement its aged care reforms. All Transition Care Program referrals are received via the My Aged Care provider portal. </w:t>
      </w:r>
      <w:r w:rsidR="00250720">
        <w:t>P</w:t>
      </w:r>
      <w:r>
        <w:t xml:space="preserve">rogram staff </w:t>
      </w:r>
      <w:r w:rsidR="00250720">
        <w:t xml:space="preserve">must </w:t>
      </w:r>
      <w:r>
        <w:t>ensure that clients have current approvals to avoid loss of the Commonwealth subsidy component for episodes of care. Approvals can be verified with ACAS or online with Medicare.</w:t>
      </w:r>
    </w:p>
    <w:p w14:paraId="16DAE81C" w14:textId="59FCF6B5" w:rsidR="005C5A23" w:rsidRDefault="00591CE8" w:rsidP="00081936">
      <w:pPr>
        <w:pStyle w:val="Heading3"/>
        <w:numPr>
          <w:ilvl w:val="2"/>
          <w:numId w:val="33"/>
        </w:numPr>
        <w:spacing w:before="240"/>
        <w:ind w:left="1134"/>
      </w:pPr>
      <w:bookmarkStart w:id="87" w:name="_Toc100263272"/>
      <w:bookmarkStart w:id="88" w:name="_Toc156569596"/>
      <w:r w:rsidRPr="00591CE8">
        <w:t>National Bowel Cancer Screening Program</w:t>
      </w:r>
      <w:bookmarkEnd w:id="87"/>
      <w:bookmarkEnd w:id="88"/>
    </w:p>
    <w:p w14:paraId="4C4AC6F3" w14:textId="5D311F27" w:rsidR="00C91099" w:rsidRDefault="00C91099" w:rsidP="00C91099">
      <w:pPr>
        <w:pStyle w:val="Body"/>
      </w:pPr>
      <w:r w:rsidRPr="00AE6427">
        <w:t xml:space="preserve">Victorian public hospitals providing colonoscopy are allocated a separate </w:t>
      </w:r>
      <w:r w:rsidRPr="00A83A84">
        <w:t>National Bowel Cancer Screeni</w:t>
      </w:r>
      <w:r w:rsidRPr="00AA2842">
        <w:t xml:space="preserve">ng Program (NBCSP) </w:t>
      </w:r>
      <w:r w:rsidR="00341407">
        <w:t>national weighted activity unit (</w:t>
      </w:r>
      <w:r w:rsidRPr="00AA2842">
        <w:t>NWAU</w:t>
      </w:r>
      <w:r w:rsidR="00341407">
        <w:t>)</w:t>
      </w:r>
      <w:r w:rsidRPr="00AA2842">
        <w:t xml:space="preserve"> target. This funding is provided in addition to the funding provide</w:t>
      </w:r>
      <w:r w:rsidRPr="006214A1">
        <w:t xml:space="preserve">d for other activity and is paid according to actual activity. </w:t>
      </w:r>
    </w:p>
    <w:p w14:paraId="6BBF3AE1" w14:textId="017DC5C5" w:rsidR="00C91099" w:rsidRPr="00AA2842" w:rsidRDefault="00C91099" w:rsidP="00C91099">
      <w:pPr>
        <w:pStyle w:val="Body"/>
      </w:pPr>
      <w:r w:rsidRPr="006214A1">
        <w:t>An NWAU target is aligned with prior</w:t>
      </w:r>
      <w:r>
        <w:rPr>
          <w:rFonts w:cs="Arial"/>
          <w:szCs w:val="21"/>
        </w:rPr>
        <w:t>-</w:t>
      </w:r>
      <w:r w:rsidRPr="00AE6427">
        <w:t>year activity and growth resulting from the NBCSP.</w:t>
      </w:r>
      <w:r>
        <w:t xml:space="preserve"> </w:t>
      </w:r>
      <w:r w:rsidRPr="00520A1E">
        <w:t xml:space="preserve">These targets are available </w:t>
      </w:r>
      <w:r>
        <w:t>in</w:t>
      </w:r>
      <w:r w:rsidR="00A030E3">
        <w:t xml:space="preserve"> </w:t>
      </w:r>
      <w:r w:rsidR="00A030E3">
        <w:fldChar w:fldCharType="begin"/>
      </w:r>
      <w:r w:rsidR="00A030E3">
        <w:instrText xml:space="preserve"> REF _Ref144903552 \h </w:instrText>
      </w:r>
      <w:r w:rsidR="00A030E3">
        <w:fldChar w:fldCharType="separate"/>
      </w:r>
      <w:r w:rsidR="00892F13" w:rsidRPr="00620874">
        <w:t xml:space="preserve">Table </w:t>
      </w:r>
      <w:r w:rsidR="00892F13">
        <w:rPr>
          <w:noProof/>
        </w:rPr>
        <w:t>2</w:t>
      </w:r>
      <w:r w:rsidR="00892F13">
        <w:t>.</w:t>
      </w:r>
      <w:r w:rsidR="00892F13">
        <w:rPr>
          <w:noProof/>
        </w:rPr>
        <w:t>10</w:t>
      </w:r>
      <w:r w:rsidR="00892F13" w:rsidRPr="00620874">
        <w:t xml:space="preserve">: </w:t>
      </w:r>
      <w:r w:rsidR="00892F13" w:rsidRPr="00FD0484">
        <w:t>Victorian acute admitted</w:t>
      </w:r>
      <w:r w:rsidR="00892F13" w:rsidRPr="00620874">
        <w:t xml:space="preserve"> activity targets (NWAU) 202</w:t>
      </w:r>
      <w:r w:rsidR="00892F13">
        <w:t>3</w:t>
      </w:r>
      <w:r w:rsidR="00892F13" w:rsidRPr="00620874">
        <w:t>–2</w:t>
      </w:r>
      <w:r w:rsidR="00892F13">
        <w:t>4</w:t>
      </w:r>
      <w:r w:rsidR="00A030E3">
        <w:fldChar w:fldCharType="end"/>
      </w:r>
      <w:r w:rsidRPr="00520A1E">
        <w:t>.</w:t>
      </w:r>
      <w:r>
        <w:t xml:space="preserve"> </w:t>
      </w:r>
      <w:r w:rsidRPr="00520A1E">
        <w:t>NBCSP activity will be paid against the health service’s NBCSP NWAU target based on actual throughput. Reconciliation for under, or over, activity will be adjusted at the end of the financial year.</w:t>
      </w:r>
    </w:p>
    <w:p w14:paraId="2242CB71" w14:textId="77777777" w:rsidR="00C91099" w:rsidRPr="00F91AB2" w:rsidRDefault="00C91099" w:rsidP="00C91099">
      <w:pPr>
        <w:pStyle w:val="Body"/>
      </w:pPr>
      <w:r w:rsidRPr="00AA2842">
        <w:t xml:space="preserve">To be admitted for a colonoscopy under the NBCSP, with or without gastroscopy, a patient must have been referred for the procedure due to a positive </w:t>
      </w:r>
      <w:r w:rsidRPr="00796F32">
        <w:t>immunochemical faecal occult blood test</w:t>
      </w:r>
      <w:r w:rsidRPr="00796F32" w:rsidDel="00796F32">
        <w:t xml:space="preserve"> </w:t>
      </w:r>
      <w:r>
        <w:t xml:space="preserve">(iFOBT) </w:t>
      </w:r>
      <w:r w:rsidRPr="00AA2842">
        <w:t>as a res</w:t>
      </w:r>
      <w:r w:rsidRPr="006214A1">
        <w:t xml:space="preserve">ult of participating in the NBCSP. Other patients admitted for a procedure to investigate a positive </w:t>
      </w:r>
      <w:r>
        <w:t>iFOBT</w:t>
      </w:r>
      <w:r w:rsidRPr="006214A1">
        <w:t>, for surveillance or for follow-up colonoscopies, are not eligible for admission under the NBCSP funding arrangement. Patients adm</w:t>
      </w:r>
      <w:r w:rsidRPr="00F91AB2">
        <w:t>itted for an NBCSP colonoscopy may elect to be public or private according to the usual election procedure. NWAU for the episode will be calculated accordingly.</w:t>
      </w:r>
    </w:p>
    <w:p w14:paraId="778371B5" w14:textId="77777777" w:rsidR="00C91099" w:rsidRDefault="00C91099" w:rsidP="00C91099">
      <w:pPr>
        <w:pStyle w:val="Body"/>
      </w:pPr>
      <w:r>
        <w:t>To ensure access to NBCSP funding</w:t>
      </w:r>
      <w:r w:rsidRPr="00796F32">
        <w:t xml:space="preserve"> </w:t>
      </w:r>
      <w:r w:rsidRPr="00F91AB2">
        <w:t>under the NWAU funding model</w:t>
      </w:r>
      <w:r>
        <w:t xml:space="preserve"> s</w:t>
      </w:r>
      <w:r w:rsidRPr="00796F32">
        <w:t>ervices must be</w:t>
      </w:r>
      <w:r>
        <w:t>:</w:t>
      </w:r>
    </w:p>
    <w:p w14:paraId="08AE2DC9" w14:textId="5118C120" w:rsidR="00C91099" w:rsidRDefault="00C91099" w:rsidP="00685B35">
      <w:pPr>
        <w:pStyle w:val="Bullet1"/>
      </w:pPr>
      <w:r w:rsidRPr="00796F32">
        <w:lastRenderedPageBreak/>
        <w:t xml:space="preserve">provided in accordance with the </w:t>
      </w:r>
      <w:hyperlink r:id="rId23" w:history="1">
        <w:r w:rsidRPr="00796F32">
          <w:rPr>
            <w:rStyle w:val="Hyperlink"/>
          </w:rPr>
          <w:t>Victorian colonoscopy categorisation guidelines</w:t>
        </w:r>
      </w:hyperlink>
      <w:r w:rsidRPr="00796F32">
        <w:t xml:space="preserve"> </w:t>
      </w:r>
      <w:r w:rsidR="002415F6">
        <w:t>&lt;</w:t>
      </w:r>
      <w:r w:rsidR="002415F6" w:rsidRPr="002415F6">
        <w:t>https://content.health.vic.gov.au/sites/default/files/migrated/files/collections/policies-and-guidelines/c/colonoscopy-categorisation-guidelines-2017.pdf</w:t>
      </w:r>
      <w:r w:rsidR="002415F6">
        <w:t xml:space="preserve">&gt;, </w:t>
      </w:r>
      <w:r w:rsidRPr="00796F32">
        <w:t xml:space="preserve">which indicate a </w:t>
      </w:r>
      <w:r w:rsidRPr="002415F6">
        <w:t>timeframe</w:t>
      </w:r>
      <w:r w:rsidRPr="00796F32">
        <w:t xml:space="preserve"> of 30 days for colonoscopy following a positive screening test</w:t>
      </w:r>
      <w:r>
        <w:t xml:space="preserve"> </w:t>
      </w:r>
    </w:p>
    <w:p w14:paraId="1D1F2368" w14:textId="3DB5C90F" w:rsidR="00C91099" w:rsidRDefault="00C91099" w:rsidP="00685B35">
      <w:pPr>
        <w:pStyle w:val="Bullet1"/>
      </w:pPr>
      <w:r w:rsidRPr="00F57D73">
        <w:t>report</w:t>
      </w:r>
      <w:r>
        <w:t xml:space="preserve">ed </w:t>
      </w:r>
      <w:r w:rsidRPr="00F57D73">
        <w:t xml:space="preserve">to the Victorian Admitted Episodes Dataset (VAED) under NBCSP Funding Arrangement code 8 </w:t>
      </w:r>
      <w:r w:rsidR="002415F6">
        <w:t xml:space="preserve">– </w:t>
      </w:r>
      <w:r w:rsidRPr="002976DC">
        <w:rPr>
          <w:i/>
          <w:iCs/>
        </w:rPr>
        <w:t>National Bowel Cancer Screening Program</w:t>
      </w:r>
    </w:p>
    <w:p w14:paraId="4E9E06C6" w14:textId="01EF20FD" w:rsidR="00C91099" w:rsidRDefault="00C91099" w:rsidP="00685B35">
      <w:pPr>
        <w:pStyle w:val="Bullet1"/>
      </w:pPr>
      <w:r w:rsidRPr="00877DF1">
        <w:t xml:space="preserve">reported to </w:t>
      </w:r>
      <w:r>
        <w:t xml:space="preserve">the </w:t>
      </w:r>
      <w:hyperlink r:id="rId24" w:anchor="hcpportal">
        <w:r w:rsidRPr="0F3BD57A">
          <w:rPr>
            <w:rStyle w:val="Hyperlink"/>
          </w:rPr>
          <w:t>National Cancer Screening Register</w:t>
        </w:r>
      </w:hyperlink>
      <w:r w:rsidR="002415F6" w:rsidRPr="00685B35">
        <w:t xml:space="preserve"> &lt;https://www.ncsr.gov.au/information-for-healthcare-providers/accessing-the-ncsr/#hcpportal&gt;</w:t>
      </w:r>
      <w:r w:rsidR="002415F6">
        <w:t>.</w:t>
      </w:r>
    </w:p>
    <w:p w14:paraId="1F76CA66" w14:textId="0AF0BB2D" w:rsidR="00C91099" w:rsidRPr="00AA2842" w:rsidRDefault="002415F6" w:rsidP="00685B35">
      <w:pPr>
        <w:pStyle w:val="Bodyafterbullets"/>
      </w:pPr>
      <w:r>
        <w:t>We expect</w:t>
      </w:r>
      <w:r w:rsidR="00C91099" w:rsidRPr="00F91AB2">
        <w:t xml:space="preserve"> most episodes will be grouped to Australian </w:t>
      </w:r>
      <w:r>
        <w:t>r</w:t>
      </w:r>
      <w:r w:rsidRPr="00F91AB2">
        <w:t xml:space="preserve">efined </w:t>
      </w:r>
      <w:r>
        <w:t>d</w:t>
      </w:r>
      <w:r w:rsidRPr="00F91AB2">
        <w:t>iagnosis</w:t>
      </w:r>
      <w:r w:rsidR="00C91099">
        <w:t>-</w:t>
      </w:r>
      <w:r>
        <w:t>r</w:t>
      </w:r>
      <w:r w:rsidRPr="00AE6427">
        <w:t xml:space="preserve">elated </w:t>
      </w:r>
      <w:r>
        <w:t>g</w:t>
      </w:r>
      <w:r w:rsidRPr="00AE6427">
        <w:t>roups</w:t>
      </w:r>
      <w:r w:rsidRPr="00A83A84" w:rsidDel="00587D16">
        <w:t xml:space="preserve"> </w:t>
      </w:r>
      <w:r w:rsidR="00C91099" w:rsidRPr="00A83A84">
        <w:t xml:space="preserve">G48B colonoscopy, same-day or </w:t>
      </w:r>
      <w:r w:rsidR="00C91099" w:rsidRPr="002415F6">
        <w:t>G46B</w:t>
      </w:r>
      <w:r w:rsidR="00C91099" w:rsidRPr="00A83A84">
        <w:t xml:space="preserve"> complex endoscopy, same-day. A small number of episodes may group to other diagnosis-related groups whe</w:t>
      </w:r>
      <w:r w:rsidR="00C91099" w:rsidRPr="00AA2842">
        <w:t>re the patient has required an overnight stay or other circumstances have arisen.</w:t>
      </w:r>
    </w:p>
    <w:p w14:paraId="2B3F772F" w14:textId="77777777" w:rsidR="00C91099" w:rsidRPr="00F91AB2" w:rsidRDefault="00C91099" w:rsidP="00C91099">
      <w:pPr>
        <w:pStyle w:val="Body"/>
      </w:pPr>
      <w:r w:rsidRPr="00F91AB2">
        <w:t>The department may ask hospitals to confirm episodes with unusual diagnosis-related groups to ensure correct coding or that the patient was a participant in the NBCSP.</w:t>
      </w:r>
    </w:p>
    <w:p w14:paraId="05067E58" w14:textId="50496731" w:rsidR="000B27B9" w:rsidRDefault="000B27B9" w:rsidP="00685B35">
      <w:pPr>
        <w:pStyle w:val="Heading2"/>
      </w:pPr>
      <w:bookmarkStart w:id="89" w:name="_Toc52892553"/>
      <w:bookmarkStart w:id="90" w:name="_Toc100263273"/>
      <w:bookmarkStart w:id="91" w:name="_Toc156569597"/>
      <w:r>
        <w:lastRenderedPageBreak/>
        <w:t xml:space="preserve">Pricing and </w:t>
      </w:r>
      <w:r w:rsidR="002415F6">
        <w:t>f</w:t>
      </w:r>
      <w:r>
        <w:t>unding</w:t>
      </w:r>
      <w:bookmarkEnd w:id="89"/>
      <w:bookmarkEnd w:id="90"/>
      <w:bookmarkEnd w:id="91"/>
    </w:p>
    <w:p w14:paraId="6529A087" w14:textId="3178C253" w:rsidR="000B27B9" w:rsidRDefault="000B27B9" w:rsidP="00081936">
      <w:pPr>
        <w:pStyle w:val="Heading3"/>
        <w:numPr>
          <w:ilvl w:val="2"/>
          <w:numId w:val="33"/>
        </w:numPr>
        <w:spacing w:before="240"/>
        <w:ind w:left="1134"/>
      </w:pPr>
      <w:bookmarkStart w:id="92" w:name="_Ref14203904"/>
      <w:bookmarkStart w:id="93" w:name="_Ref14203909"/>
      <w:bookmarkStart w:id="94" w:name="_Ref14203940"/>
      <w:bookmarkStart w:id="95" w:name="_Toc52892554"/>
      <w:bookmarkStart w:id="96" w:name="_Toc100263274"/>
      <w:bookmarkStart w:id="97" w:name="_Toc156569598"/>
      <w:r>
        <w:t xml:space="preserve">Pricing and </w:t>
      </w:r>
      <w:r w:rsidR="002415F6">
        <w:t xml:space="preserve">funding </w:t>
      </w:r>
      <w:bookmarkEnd w:id="92"/>
      <w:bookmarkEnd w:id="93"/>
      <w:bookmarkEnd w:id="94"/>
      <w:bookmarkEnd w:id="95"/>
      <w:bookmarkEnd w:id="96"/>
      <w:r w:rsidR="002415F6">
        <w:t>framework</w:t>
      </w:r>
      <w:bookmarkEnd w:id="97"/>
    </w:p>
    <w:p w14:paraId="656C67A7" w14:textId="18BCD875" w:rsidR="00C04ECB" w:rsidRDefault="00C04ECB" w:rsidP="00B92CD4">
      <w:pPr>
        <w:pStyle w:val="Body"/>
      </w:pPr>
      <w:r w:rsidRPr="00DD1707">
        <w:t xml:space="preserve">Refer to the </w:t>
      </w:r>
      <w:hyperlink r:id="rId25" w:history="1">
        <w:r>
          <w:rPr>
            <w:rStyle w:val="Hyperlink"/>
          </w:rPr>
          <w:t>P</w:t>
        </w:r>
        <w:r w:rsidRPr="00E55A62">
          <w:rPr>
            <w:rStyle w:val="Hyperlink"/>
          </w:rPr>
          <w:t xml:space="preserve">ricing </w:t>
        </w:r>
        <w:r>
          <w:rPr>
            <w:rStyle w:val="Hyperlink"/>
          </w:rPr>
          <w:t xml:space="preserve">and funding </w:t>
        </w:r>
        <w:r w:rsidRPr="00E55A62">
          <w:rPr>
            <w:rStyle w:val="Hyperlink"/>
          </w:rPr>
          <w:t>framework</w:t>
        </w:r>
      </w:hyperlink>
      <w:r w:rsidRPr="00B21B31">
        <w:t xml:space="preserve"> &lt;</w:t>
      </w:r>
      <w:r w:rsidR="000A1BBC" w:rsidRPr="000A1BBC">
        <w:t>https://www.health.vic.gov.au/funding-performance-accountability/pricing-and-funding-framework</w:t>
      </w:r>
      <w:r w:rsidRPr="00DD1707">
        <w:t>&gt;.</w:t>
      </w:r>
    </w:p>
    <w:p w14:paraId="68F68864" w14:textId="00C3C365" w:rsidR="000B27B9" w:rsidRDefault="000B27B9" w:rsidP="00081936">
      <w:pPr>
        <w:pStyle w:val="Heading3"/>
        <w:numPr>
          <w:ilvl w:val="2"/>
          <w:numId w:val="33"/>
        </w:numPr>
        <w:spacing w:before="240"/>
        <w:ind w:left="1134"/>
      </w:pPr>
      <w:bookmarkStart w:id="98" w:name="_Toc52892555"/>
      <w:bookmarkStart w:id="99" w:name="_Toc100263275"/>
      <w:bookmarkStart w:id="100" w:name="_Toc156569599"/>
      <w:r>
        <w:t xml:space="preserve">Commonwealth </w:t>
      </w:r>
      <w:r w:rsidR="002415F6">
        <w:t>f</w:t>
      </w:r>
      <w:r>
        <w:t>unding</w:t>
      </w:r>
      <w:bookmarkEnd w:id="98"/>
      <w:bookmarkEnd w:id="99"/>
      <w:bookmarkEnd w:id="100"/>
    </w:p>
    <w:p w14:paraId="54DB52B2" w14:textId="04B0A4AE" w:rsidR="000B27B9" w:rsidRDefault="000B27B9" w:rsidP="00081936">
      <w:pPr>
        <w:pStyle w:val="Heading4"/>
        <w:numPr>
          <w:ilvl w:val="3"/>
          <w:numId w:val="33"/>
        </w:numPr>
      </w:pPr>
      <w:r>
        <w:t>National Health Reform Agreement</w:t>
      </w:r>
    </w:p>
    <w:p w14:paraId="286BAF44" w14:textId="712BB9FA" w:rsidR="00467FA5" w:rsidRPr="00C016CA" w:rsidRDefault="00467FA5" w:rsidP="00685B35">
      <w:pPr>
        <w:pStyle w:val="Body"/>
      </w:pPr>
      <w:r w:rsidRPr="00C016CA">
        <w:t xml:space="preserve">The National Health Reform Agreement (NHRA) was signed by all first ministers in 2011. The NHRA sets out the shared intention of the Commonwealth, </w:t>
      </w:r>
      <w:r w:rsidR="00250720" w:rsidRPr="00C016CA">
        <w:t xml:space="preserve">state and territory </w:t>
      </w:r>
      <w:r w:rsidRPr="002415F6">
        <w:t>governments</w:t>
      </w:r>
      <w:r w:rsidRPr="00C016CA">
        <w:t xml:space="preserve"> to improve health outcomes for all Australians, and the sustainability of the Australian health system in particular, through sustainable funding arrangements for public hospitals.</w:t>
      </w:r>
    </w:p>
    <w:p w14:paraId="462F98D2" w14:textId="358AA62E" w:rsidR="00467FA5" w:rsidRPr="00C016CA" w:rsidRDefault="00467FA5" w:rsidP="00685B35">
      <w:pPr>
        <w:pStyle w:val="Body"/>
      </w:pPr>
      <w:r w:rsidRPr="00C016CA">
        <w:t xml:space="preserve">Since 2013–14, the Commonwealth </w:t>
      </w:r>
      <w:r w:rsidRPr="002415F6">
        <w:t>Government</w:t>
      </w:r>
      <w:r w:rsidRPr="00C016CA">
        <w:t xml:space="preserve"> has determined growth as calculated by the national funding model and provided funding contributions to Victorian hospitals through the terms of the NHRA.</w:t>
      </w:r>
    </w:p>
    <w:p w14:paraId="5433B4E7" w14:textId="2CD76C00" w:rsidR="00250720" w:rsidRDefault="00467FA5" w:rsidP="00685B35">
      <w:pPr>
        <w:pStyle w:val="Body"/>
      </w:pPr>
      <w:r w:rsidRPr="00C016CA">
        <w:t xml:space="preserve">The NHRA outlines system-wide objectives and roles and </w:t>
      </w:r>
      <w:r w:rsidRPr="002415F6">
        <w:t>responsibilities</w:t>
      </w:r>
      <w:r w:rsidRPr="00C016CA">
        <w:t xml:space="preserve"> for</w:t>
      </w:r>
      <w:r w:rsidR="00250720">
        <w:t>:</w:t>
      </w:r>
    </w:p>
    <w:p w14:paraId="4947EE40" w14:textId="5F5703EE" w:rsidR="00250720" w:rsidRPr="00250720" w:rsidRDefault="00467FA5" w:rsidP="00AE6427">
      <w:pPr>
        <w:pStyle w:val="Bullet1"/>
      </w:pPr>
      <w:r w:rsidRPr="00250720">
        <w:t>sustainability of funding for public hospital services</w:t>
      </w:r>
    </w:p>
    <w:p w14:paraId="75EDC0A9" w14:textId="283EA9B0" w:rsidR="00250720" w:rsidRPr="00250720" w:rsidRDefault="00467FA5" w:rsidP="00AE6427">
      <w:pPr>
        <w:pStyle w:val="Bullet1"/>
      </w:pPr>
      <w:r w:rsidRPr="00250720">
        <w:t>transparency and performance</w:t>
      </w:r>
    </w:p>
    <w:p w14:paraId="44E1FC30" w14:textId="1D2B7EC9" w:rsidR="00250720" w:rsidRPr="00250720" w:rsidRDefault="00467FA5" w:rsidP="00AE6427">
      <w:pPr>
        <w:pStyle w:val="Bullet1"/>
      </w:pPr>
      <w:r w:rsidRPr="00250720">
        <w:t>local governance of Local Hospital Networks and Primary Health Networks</w:t>
      </w:r>
      <w:r w:rsidR="00CF67C4">
        <w:t xml:space="preserve"> and</w:t>
      </w:r>
    </w:p>
    <w:p w14:paraId="0B1392B4" w14:textId="77777777" w:rsidR="00250720" w:rsidRPr="00250720" w:rsidRDefault="00467FA5" w:rsidP="00AE6427">
      <w:pPr>
        <w:pStyle w:val="Bullet1"/>
      </w:pPr>
      <w:r w:rsidRPr="00250720">
        <w:t xml:space="preserve">the interfaces between the health, disability, and aged care systems. </w:t>
      </w:r>
    </w:p>
    <w:p w14:paraId="2B069751" w14:textId="2316098E" w:rsidR="00467FA5" w:rsidRPr="00C016CA" w:rsidRDefault="00467FA5" w:rsidP="00F91AB2">
      <w:pPr>
        <w:pStyle w:val="Bodyafterbullets"/>
      </w:pPr>
      <w:r w:rsidRPr="00C016CA">
        <w:t xml:space="preserve">Health services are required to ensure </w:t>
      </w:r>
      <w:r w:rsidRPr="00250720">
        <w:t>their</w:t>
      </w:r>
      <w:r w:rsidRPr="00C016CA">
        <w:t xml:space="preserve"> operations comply with the business rules and requirements within the NHRA.</w:t>
      </w:r>
    </w:p>
    <w:p w14:paraId="36E7CEE6" w14:textId="25CD3A82" w:rsidR="00467FA5" w:rsidRPr="00C016CA" w:rsidRDefault="00467FA5" w:rsidP="00F91AB2">
      <w:pPr>
        <w:pStyle w:val="Body"/>
      </w:pPr>
      <w:r w:rsidRPr="00C016CA">
        <w:t>The Addendum to the NHRA (2017 Addendum) was in effect from 1 July 2017 to 30 June 2020. The 2017 Addendum maintained the Commonwealth contribution rate to funding growth at 45</w:t>
      </w:r>
      <w:r w:rsidR="002415F6">
        <w:t xml:space="preserve"> per cent</w:t>
      </w:r>
      <w:r w:rsidR="002415F6" w:rsidRPr="00C016CA">
        <w:t xml:space="preserve"> </w:t>
      </w:r>
      <w:r w:rsidRPr="00C016CA">
        <w:t>and introduced a 6.5</w:t>
      </w:r>
      <w:r w:rsidR="002415F6">
        <w:t xml:space="preserve"> per cent</w:t>
      </w:r>
      <w:r w:rsidR="002415F6" w:rsidRPr="00C016CA">
        <w:t xml:space="preserve"> </w:t>
      </w:r>
      <w:r w:rsidRPr="00C016CA">
        <w:t>funding cap on Commonwealth funding. The 2017 Addendum also introduced reforms to decrease avoidable demand for public hospital services, including:</w:t>
      </w:r>
    </w:p>
    <w:p w14:paraId="75F92A8A" w14:textId="4410C676" w:rsidR="00467FA5" w:rsidRPr="00250720" w:rsidRDefault="00467FA5" w:rsidP="002B10A2">
      <w:pPr>
        <w:pStyle w:val="Bullet1"/>
      </w:pPr>
      <w:r w:rsidRPr="00250720">
        <w:t>incorporating quality and safety into hospital pricing and funding for sentinel events, hospital</w:t>
      </w:r>
      <w:r w:rsidR="00B34795">
        <w:t>-</w:t>
      </w:r>
      <w:r w:rsidRPr="00250720">
        <w:t>acquired complications and avoidable readmissions </w:t>
      </w:r>
    </w:p>
    <w:p w14:paraId="72E1D9EE" w14:textId="4D4A5F6C" w:rsidR="00467FA5" w:rsidRPr="00250720" w:rsidRDefault="00467FA5" w:rsidP="002B10A2">
      <w:pPr>
        <w:pStyle w:val="Bullet1"/>
      </w:pPr>
      <w:r w:rsidRPr="00250720">
        <w:t xml:space="preserve">bilateral agreements on coordinated care for patients with chronic and complex disease </w:t>
      </w:r>
    </w:p>
    <w:p w14:paraId="5D726B95" w14:textId="77777777" w:rsidR="00467FA5" w:rsidRPr="00250720" w:rsidRDefault="00467FA5" w:rsidP="002B10A2">
      <w:pPr>
        <w:pStyle w:val="Bullet1"/>
      </w:pPr>
      <w:r w:rsidRPr="00250720">
        <w:t>Health Care Homes and reforms to primary care to reduce potentially avoidable hospital admissions. </w:t>
      </w:r>
    </w:p>
    <w:p w14:paraId="0996112B" w14:textId="0019FAA6" w:rsidR="00467FA5" w:rsidRPr="00C016CA" w:rsidRDefault="00467FA5" w:rsidP="002B10A2">
      <w:pPr>
        <w:pStyle w:val="Bodyafterbullets"/>
      </w:pPr>
      <w:r w:rsidRPr="00C016CA">
        <w:t>The most recent Addendum to the NHRA 2020–2025 is in effect from 1 July 2020 to 30 June 2025. This addendum updates and revises the 2011 NHRA and maintains the reforms and changes introduced in the 2017 Addendum. The addendum continues the 45</w:t>
      </w:r>
      <w:r w:rsidR="004D70E8">
        <w:t xml:space="preserve"> per cent</w:t>
      </w:r>
      <w:r w:rsidRPr="00C016CA">
        <w:t xml:space="preserve"> Commonwealth contribution rate to hospital services funding growth and the 6.5</w:t>
      </w:r>
      <w:r w:rsidR="004D70E8">
        <w:t xml:space="preserve"> per cent</w:t>
      </w:r>
      <w:r w:rsidR="004D70E8" w:rsidRPr="00C016CA">
        <w:t xml:space="preserve"> </w:t>
      </w:r>
      <w:r w:rsidRPr="00C016CA">
        <w:t>funding cap. </w:t>
      </w:r>
    </w:p>
    <w:p w14:paraId="5D1D5086" w14:textId="528C477C" w:rsidR="00467FA5" w:rsidRPr="00C016CA" w:rsidRDefault="00467FA5" w:rsidP="002B10A2">
      <w:pPr>
        <w:pStyle w:val="Body"/>
      </w:pPr>
      <w:r w:rsidRPr="00C016CA">
        <w:t xml:space="preserve">To guide further reform of the health system the addendum outlines shared action between the Commonwealth, </w:t>
      </w:r>
      <w:r w:rsidR="00F40C76">
        <w:t>s</w:t>
      </w:r>
      <w:r w:rsidRPr="00C016CA">
        <w:t xml:space="preserve">tate and </w:t>
      </w:r>
      <w:r w:rsidR="00F40C76">
        <w:t>t</w:t>
      </w:r>
      <w:r w:rsidRPr="00C016CA">
        <w:t xml:space="preserve">erritory </w:t>
      </w:r>
      <w:r w:rsidRPr="00250720">
        <w:t>governments</w:t>
      </w:r>
      <w:r w:rsidRPr="00C016CA">
        <w:t xml:space="preserve"> on four strategic priorities:</w:t>
      </w:r>
    </w:p>
    <w:p w14:paraId="48A6FD78" w14:textId="0C16406D" w:rsidR="00467FA5" w:rsidRPr="00250720" w:rsidRDefault="004245C1" w:rsidP="002B10A2">
      <w:pPr>
        <w:pStyle w:val="Bullet1"/>
      </w:pPr>
      <w:r>
        <w:t>i</w:t>
      </w:r>
      <w:r w:rsidRPr="00250720">
        <w:t xml:space="preserve">mproving </w:t>
      </w:r>
      <w:r w:rsidR="00467FA5" w:rsidRPr="00250720">
        <w:t>efficiency and ensuring financial sustainability</w:t>
      </w:r>
    </w:p>
    <w:p w14:paraId="4956C7CC" w14:textId="71B24CA7" w:rsidR="00467FA5" w:rsidRPr="00250720" w:rsidRDefault="004245C1" w:rsidP="002B10A2">
      <w:pPr>
        <w:pStyle w:val="Bullet1"/>
      </w:pPr>
      <w:r>
        <w:t>d</w:t>
      </w:r>
      <w:r w:rsidRPr="00250720">
        <w:t xml:space="preserve">elivering </w:t>
      </w:r>
      <w:r w:rsidR="00467FA5" w:rsidRPr="00250720">
        <w:t>safe, high-quality care in the right place at the right time, including long-term reforms in nationally cohesive health technology assessment, paying for value and outcomes, and joint planning and funding at a local level</w:t>
      </w:r>
    </w:p>
    <w:p w14:paraId="213BC9D5" w14:textId="6336AA0A" w:rsidR="00467FA5" w:rsidRPr="00250720" w:rsidRDefault="004245C1" w:rsidP="002B10A2">
      <w:pPr>
        <w:pStyle w:val="Bullet1"/>
      </w:pPr>
      <w:r>
        <w:lastRenderedPageBreak/>
        <w:t>p</w:t>
      </w:r>
      <w:r w:rsidRPr="00250720">
        <w:t xml:space="preserve">rioritising </w:t>
      </w:r>
      <w:r w:rsidR="00467FA5" w:rsidRPr="00250720">
        <w:t>prevention and helping people manage their health across their lifetime, including long-term reforms in empowering people through health literacy, and prevention and wellbeing</w:t>
      </w:r>
      <w:r w:rsidR="00513162">
        <w:t xml:space="preserve"> and</w:t>
      </w:r>
    </w:p>
    <w:p w14:paraId="0DBAB95D" w14:textId="141E8A3A" w:rsidR="00467FA5" w:rsidRPr="00250720" w:rsidRDefault="004245C1" w:rsidP="002B10A2">
      <w:pPr>
        <w:pStyle w:val="Bullet1"/>
      </w:pPr>
      <w:r>
        <w:t>d</w:t>
      </w:r>
      <w:r w:rsidRPr="00250720">
        <w:t xml:space="preserve">riving </w:t>
      </w:r>
      <w:r w:rsidR="00467FA5" w:rsidRPr="00250720">
        <w:t>best practice and performance using data and research, including long-term reform in enhanced health data. </w:t>
      </w:r>
    </w:p>
    <w:p w14:paraId="4F65D51D" w14:textId="7C0BEDA6" w:rsidR="00467FA5" w:rsidRDefault="00467FA5" w:rsidP="002B10A2">
      <w:pPr>
        <w:pStyle w:val="Bodyafterbullets"/>
      </w:pPr>
      <w:r w:rsidRPr="00C016CA">
        <w:t xml:space="preserve">The NHRA and the </w:t>
      </w:r>
      <w:r w:rsidRPr="00C016CA">
        <w:rPr>
          <w:i/>
          <w:iCs/>
        </w:rPr>
        <w:t xml:space="preserve">National Health Reform Act 2011 </w:t>
      </w:r>
      <w:r w:rsidRPr="002B10A2">
        <w:t>(Cth)</w:t>
      </w:r>
      <w:r w:rsidRPr="00C016CA">
        <w:t xml:space="preserve"> also </w:t>
      </w:r>
      <w:r w:rsidRPr="00250720">
        <w:t>details</w:t>
      </w:r>
      <w:r w:rsidRPr="00C016CA">
        <w:t xml:space="preserve"> the functions, roles and responsibilities of the national bodies who support the operation of the agreement. The national bodies are the: Independent </w:t>
      </w:r>
      <w:r w:rsidR="0013611D" w:rsidRPr="00C016CA">
        <w:t>H</w:t>
      </w:r>
      <w:r w:rsidR="0013611D">
        <w:t xml:space="preserve">ealth </w:t>
      </w:r>
      <w:r w:rsidR="006604E8">
        <w:t xml:space="preserve">and Aged Care </w:t>
      </w:r>
      <w:r w:rsidRPr="00C016CA">
        <w:t>Pricing Authority (IH</w:t>
      </w:r>
      <w:r w:rsidR="006604E8">
        <w:t>AC</w:t>
      </w:r>
      <w:r w:rsidRPr="00C016CA">
        <w:t>PA), Administrator of the National Health Funding Pool, Australian Commission on Safety and Quality in Health Care and Australian Institute of Health and Welfare (AIHW).</w:t>
      </w:r>
    </w:p>
    <w:p w14:paraId="385BB3D5" w14:textId="3831533B" w:rsidR="000B27B9" w:rsidRPr="006925D5" w:rsidRDefault="000B27B9" w:rsidP="00081936">
      <w:pPr>
        <w:pStyle w:val="Heading4"/>
        <w:numPr>
          <w:ilvl w:val="3"/>
          <w:numId w:val="33"/>
        </w:numPr>
      </w:pPr>
      <w:r w:rsidRPr="006925D5">
        <w:t xml:space="preserve">Commonwealth </w:t>
      </w:r>
      <w:r w:rsidR="004D70E8">
        <w:t>i</w:t>
      </w:r>
      <w:r w:rsidR="004D70E8" w:rsidRPr="006925D5">
        <w:t xml:space="preserve">nvestment in </w:t>
      </w:r>
      <w:r w:rsidR="004D70E8">
        <w:t>p</w:t>
      </w:r>
      <w:r w:rsidR="004D70E8" w:rsidRPr="006925D5">
        <w:t xml:space="preserve">ublic </w:t>
      </w:r>
      <w:r w:rsidR="004D70E8">
        <w:t>d</w:t>
      </w:r>
      <w:r w:rsidR="004D70E8" w:rsidRPr="006925D5">
        <w:t xml:space="preserve">ental </w:t>
      </w:r>
      <w:r w:rsidR="004D70E8">
        <w:t>s</w:t>
      </w:r>
      <w:r w:rsidR="004D70E8" w:rsidRPr="006925D5">
        <w:t>ervices</w:t>
      </w:r>
    </w:p>
    <w:p w14:paraId="7849B6D0" w14:textId="1B794119" w:rsidR="00231BB6" w:rsidRDefault="00231BB6" w:rsidP="00B92CD4">
      <w:pPr>
        <w:pStyle w:val="Body"/>
      </w:pPr>
      <w:r w:rsidRPr="002F2A64">
        <w:t>The 2023</w:t>
      </w:r>
      <w:r w:rsidR="004D70E8">
        <w:t>–</w:t>
      </w:r>
      <w:r w:rsidRPr="002F2A64">
        <w:t>24 Commonwealth Budget announced $219.4 million over four years to progress work on longer-term adult public dental reform, extend the existing Public Dental Services for Adults funding agreement to 30 June 2025, and fund</w:t>
      </w:r>
      <w:r w:rsidR="00172BBB">
        <w:t>ing</w:t>
      </w:r>
      <w:r w:rsidRPr="002F2A64">
        <w:t xml:space="preserve"> the 2023</w:t>
      </w:r>
      <w:r w:rsidR="004D70E8">
        <w:t>–</w:t>
      </w:r>
      <w:r w:rsidRPr="002F2A64">
        <w:t>2026 National Dental Care Survey.</w:t>
      </w:r>
    </w:p>
    <w:p w14:paraId="310EBE6F" w14:textId="6C402410" w:rsidR="000B27B9" w:rsidRDefault="0055246C" w:rsidP="00B92CD4">
      <w:pPr>
        <w:pStyle w:val="Body"/>
      </w:pPr>
      <w:r>
        <w:t>A</w:t>
      </w:r>
      <w:r w:rsidR="10705FEE">
        <w:t xml:space="preserve"> </w:t>
      </w:r>
      <w:r w:rsidR="003F7E2F">
        <w:t>two-</w:t>
      </w:r>
      <w:r w:rsidR="009E31BD">
        <w:t>year</w:t>
      </w:r>
      <w:r w:rsidR="10705FEE" w:rsidDel="00507C96">
        <w:t xml:space="preserve"> </w:t>
      </w:r>
      <w:r w:rsidR="00507C96">
        <w:t xml:space="preserve">extension of the </w:t>
      </w:r>
      <w:r w:rsidR="10705FEE" w:rsidRPr="00C34638">
        <w:rPr>
          <w:i/>
          <w:iCs/>
        </w:rPr>
        <w:t>Federation Funding Agreement</w:t>
      </w:r>
      <w:r w:rsidR="004D70E8">
        <w:rPr>
          <w:i/>
          <w:iCs/>
        </w:rPr>
        <w:t xml:space="preserve">: </w:t>
      </w:r>
      <w:r w:rsidR="10705FEE" w:rsidRPr="00C34638">
        <w:rPr>
          <w:i/>
          <w:iCs/>
        </w:rPr>
        <w:t>Schedule on Public Dental Services for Adults</w:t>
      </w:r>
      <w:r w:rsidR="10705FEE">
        <w:t xml:space="preserve"> to June </w:t>
      </w:r>
      <w:r w:rsidR="00EE1479">
        <w:t xml:space="preserve">2025 </w:t>
      </w:r>
      <w:r w:rsidR="0054011D">
        <w:t xml:space="preserve">was announced </w:t>
      </w:r>
      <w:r w:rsidR="001E663D">
        <w:t xml:space="preserve">in the </w:t>
      </w:r>
      <w:r w:rsidR="00B4659F">
        <w:t>2023</w:t>
      </w:r>
      <w:r w:rsidR="004245C1">
        <w:t>–</w:t>
      </w:r>
      <w:r w:rsidR="00B4659F">
        <w:t xml:space="preserve">24 </w:t>
      </w:r>
      <w:r w:rsidR="001E663D">
        <w:t>Commonwealth Budget</w:t>
      </w:r>
      <w:r w:rsidR="00F451EE">
        <w:t>,</w:t>
      </w:r>
      <w:r w:rsidR="10705FEE">
        <w:t xml:space="preserve"> </w:t>
      </w:r>
      <w:r w:rsidR="0093576C" w:rsidRPr="0093576C">
        <w:t xml:space="preserve">indicating funding of up to $26.9 million </w:t>
      </w:r>
      <w:r w:rsidR="004D70E8">
        <w:t>a year</w:t>
      </w:r>
      <w:r w:rsidR="00C300F7">
        <w:t xml:space="preserve"> </w:t>
      </w:r>
      <w:r w:rsidR="0093576C" w:rsidRPr="0093576C">
        <w:t xml:space="preserve">for Victoria in </w:t>
      </w:r>
      <w:r w:rsidR="002606B6" w:rsidRPr="002F2A64">
        <w:t>2023</w:t>
      </w:r>
      <w:r w:rsidR="004D70E8">
        <w:t>–</w:t>
      </w:r>
      <w:r w:rsidR="002606B6" w:rsidRPr="002F2A64">
        <w:t>24 and 2024</w:t>
      </w:r>
      <w:r w:rsidR="004D70E8">
        <w:t>–</w:t>
      </w:r>
      <w:r w:rsidR="002606B6" w:rsidRPr="002F2A64">
        <w:t>25</w:t>
      </w:r>
      <w:r w:rsidR="0093576C" w:rsidRPr="0093576C">
        <w:t xml:space="preserve">. A formal offer </w:t>
      </w:r>
      <w:r w:rsidR="00DF1945">
        <w:t xml:space="preserve">from the Commonwealth </w:t>
      </w:r>
      <w:r w:rsidR="0093576C" w:rsidRPr="0093576C">
        <w:t xml:space="preserve">to extend the Agreement is </w:t>
      </w:r>
      <w:r w:rsidR="0025790D" w:rsidRPr="0025790D">
        <w:t>expected in the coming months</w:t>
      </w:r>
      <w:r w:rsidR="0054011D">
        <w:t xml:space="preserve">. </w:t>
      </w:r>
    </w:p>
    <w:p w14:paraId="1FC7BC01" w14:textId="6C1BE825" w:rsidR="006A7B86" w:rsidRPr="002C4AB5" w:rsidRDefault="000B27B9" w:rsidP="000A51EB">
      <w:pPr>
        <w:pStyle w:val="Body"/>
      </w:pPr>
      <w:r>
        <w:t>Public dental providers have access to the Commonwealth’s Child Dental Benefits Schedule</w:t>
      </w:r>
      <w:r w:rsidR="004D70E8">
        <w:t xml:space="preserve"> (CDBS)</w:t>
      </w:r>
      <w:r>
        <w:t xml:space="preserve">, a means-tested scheme (Family Tax Benefit A) </w:t>
      </w:r>
      <w:r w:rsidR="00C6762F">
        <w:t xml:space="preserve">for children </w:t>
      </w:r>
      <w:r w:rsidR="00192EBF">
        <w:t>up to 17 years</w:t>
      </w:r>
      <w:r w:rsidR="004855D4">
        <w:t>,</w:t>
      </w:r>
      <w:r w:rsidR="00192EBF">
        <w:t xml:space="preserve"> </w:t>
      </w:r>
      <w:r w:rsidR="004855D4" w:rsidRPr="004855D4">
        <w:t>covering preventive and basic dental treatment</w:t>
      </w:r>
      <w:r w:rsidR="004855D4">
        <w:t>.</w:t>
      </w:r>
      <w:r w:rsidR="000D276B" w:rsidRPr="000D276B">
        <w:t xml:space="preserve"> </w:t>
      </w:r>
      <w:r w:rsidR="007A673C" w:rsidRPr="007A673C">
        <w:t>Eligible children have access to a benefit cap of $1,</w:t>
      </w:r>
      <w:r w:rsidR="00213C3F" w:rsidRPr="007A673C">
        <w:t>0</w:t>
      </w:r>
      <w:r w:rsidR="00213C3F">
        <w:t>52</w:t>
      </w:r>
      <w:r w:rsidR="00213C3F" w:rsidRPr="007A673C">
        <w:t xml:space="preserve"> </w:t>
      </w:r>
      <w:r w:rsidR="007A673C" w:rsidRPr="007A673C">
        <w:t>over two</w:t>
      </w:r>
      <w:r w:rsidR="00E00BD6">
        <w:t xml:space="preserve"> </w:t>
      </w:r>
      <w:r w:rsidR="007A673C" w:rsidRPr="007A673C">
        <w:t>calendar</w:t>
      </w:r>
      <w:r w:rsidR="00E00BD6">
        <w:t xml:space="preserve"> </w:t>
      </w:r>
      <w:r w:rsidR="007A673C" w:rsidRPr="007A673C">
        <w:t>year</w:t>
      </w:r>
      <w:r w:rsidR="004D70E8">
        <w:t>s</w:t>
      </w:r>
      <w:r w:rsidR="007A673C" w:rsidRPr="007A673C">
        <w:t>.</w:t>
      </w:r>
      <w:r w:rsidR="007E7FFE">
        <w:t xml:space="preserve"> </w:t>
      </w:r>
      <w:r w:rsidR="00E6482C" w:rsidRPr="00E6482C">
        <w:t>The Commonwealth announced on 11 December 2022 that public sector access to the CDBS ha</w:t>
      </w:r>
      <w:r w:rsidR="00AF2E29">
        <w:t>d</w:t>
      </w:r>
      <w:r w:rsidR="00E6482C" w:rsidRPr="00E6482C">
        <w:t xml:space="preserve"> been extended for four years until 31 December 2026.</w:t>
      </w:r>
    </w:p>
    <w:p w14:paraId="7A6420F5" w14:textId="47FD11E9" w:rsidR="000B27B9" w:rsidRPr="00602A01" w:rsidRDefault="000B27B9" w:rsidP="00081936">
      <w:pPr>
        <w:pStyle w:val="Heading3"/>
        <w:numPr>
          <w:ilvl w:val="2"/>
          <w:numId w:val="33"/>
        </w:numPr>
        <w:spacing w:before="240"/>
        <w:ind w:left="1134"/>
        <w:rPr>
          <w:rFonts w:eastAsia="Arial" w:cs="Arial"/>
        </w:rPr>
      </w:pPr>
      <w:bookmarkStart w:id="101" w:name="_Toc52892556"/>
      <w:bookmarkStart w:id="102" w:name="_Toc100263276"/>
      <w:bookmarkStart w:id="103" w:name="_Toc156569600"/>
      <w:r>
        <w:t xml:space="preserve">Funding </w:t>
      </w:r>
      <w:bookmarkEnd w:id="101"/>
      <w:r w:rsidR="004D70E8">
        <w:t xml:space="preserve">reforms </w:t>
      </w:r>
      <w:r w:rsidR="002E7EEF">
        <w:t>202</w:t>
      </w:r>
      <w:r w:rsidR="009610B2">
        <w:t>3</w:t>
      </w:r>
      <w:r w:rsidR="004D70E8">
        <w:t>–</w:t>
      </w:r>
      <w:r w:rsidR="009610B2">
        <w:t>24</w:t>
      </w:r>
      <w:bookmarkEnd w:id="102"/>
      <w:bookmarkEnd w:id="103"/>
    </w:p>
    <w:p w14:paraId="6E515362" w14:textId="1F9413E8" w:rsidR="000B27B9" w:rsidRPr="00602A01" w:rsidRDefault="000B27B9" w:rsidP="00B92CD4">
      <w:pPr>
        <w:pStyle w:val="Body"/>
      </w:pPr>
      <w:r w:rsidRPr="00602A01">
        <w:t xml:space="preserve">The department continues to refine and develop hospital funding models to ensure the investment made </w:t>
      </w:r>
      <w:r w:rsidR="004D70E8">
        <w:t>delivers</w:t>
      </w:r>
      <w:r w:rsidRPr="00602A01">
        <w:t xml:space="preserve"> the best value </w:t>
      </w:r>
      <w:r w:rsidR="004D70E8">
        <w:t>for</w:t>
      </w:r>
      <w:r w:rsidR="004D70E8" w:rsidRPr="00602A01">
        <w:t xml:space="preserve"> </w:t>
      </w:r>
      <w:r w:rsidRPr="00602A01">
        <w:t>all Victorians. Funding models must remain contemporary if Victoria is to continue to deliver better value through high-quality care, delivered in the most effective settings using the most efficient model of care.</w:t>
      </w:r>
    </w:p>
    <w:p w14:paraId="2B41585F" w14:textId="0ECC7457" w:rsidR="00632342" w:rsidRPr="00602A01" w:rsidRDefault="368059AD" w:rsidP="00632342">
      <w:pPr>
        <w:pStyle w:val="Body"/>
      </w:pPr>
      <w:r w:rsidRPr="007F03EF">
        <w:t xml:space="preserve">In </w:t>
      </w:r>
      <w:r w:rsidR="002E7EEF" w:rsidRPr="007F03EF">
        <w:t>202</w:t>
      </w:r>
      <w:r w:rsidR="000963E5" w:rsidRPr="007F03EF">
        <w:t>1</w:t>
      </w:r>
      <w:r w:rsidR="004245C1">
        <w:t>–</w:t>
      </w:r>
      <w:r w:rsidR="000963E5" w:rsidRPr="007F03EF">
        <w:t>22</w:t>
      </w:r>
      <w:r w:rsidR="6806AB5B" w:rsidRPr="007F03EF">
        <w:t>,</w:t>
      </w:r>
      <w:r w:rsidRPr="007F03EF">
        <w:t xml:space="preserve"> the department </w:t>
      </w:r>
      <w:r w:rsidR="7E71BF0A" w:rsidRPr="007F03EF">
        <w:t>commenced alignment with the National Funding Model</w:t>
      </w:r>
      <w:r>
        <w:t>.</w:t>
      </w:r>
      <w:r w:rsidR="203602CB">
        <w:t xml:space="preserve"> </w:t>
      </w:r>
      <w:r w:rsidR="00013450">
        <w:t>In 2023</w:t>
      </w:r>
      <w:r w:rsidR="004D70E8">
        <w:t>–</w:t>
      </w:r>
      <w:r w:rsidR="00013450">
        <w:t>24</w:t>
      </w:r>
      <w:r w:rsidR="0039156E">
        <w:t xml:space="preserve"> this transition </w:t>
      </w:r>
      <w:r w:rsidR="007B626D">
        <w:t xml:space="preserve">will </w:t>
      </w:r>
      <w:r w:rsidR="0039156E">
        <w:t>continue with</w:t>
      </w:r>
      <w:r w:rsidR="00013450">
        <w:t xml:space="preserve"> a funding adjustment for </w:t>
      </w:r>
      <w:r w:rsidR="009B704B">
        <w:t xml:space="preserve">a change </w:t>
      </w:r>
      <w:r w:rsidR="00013450">
        <w:t xml:space="preserve">in </w:t>
      </w:r>
      <w:r w:rsidR="0039156E">
        <w:t xml:space="preserve">health services </w:t>
      </w:r>
      <w:r w:rsidR="00013450">
        <w:t>hospital acquired complications</w:t>
      </w:r>
      <w:r w:rsidR="0039156E">
        <w:t xml:space="preserve"> </w:t>
      </w:r>
      <w:r w:rsidR="007B626D">
        <w:t>introduced</w:t>
      </w:r>
      <w:r w:rsidR="00716BD9">
        <w:t xml:space="preserve">. </w:t>
      </w:r>
      <w:r w:rsidR="00C220DD">
        <w:t>Future</w:t>
      </w:r>
      <w:r w:rsidR="1EEE24BF">
        <w:t xml:space="preserve"> funding reforms will improve system outcomes by:</w:t>
      </w:r>
    </w:p>
    <w:p w14:paraId="04E80510" w14:textId="77777777" w:rsidR="00632342" w:rsidRPr="00602A01" w:rsidRDefault="00632342" w:rsidP="00E05C4E">
      <w:pPr>
        <w:pStyle w:val="Bullet1"/>
      </w:pPr>
      <w:r>
        <w:t>encouraging accountability for both health service providers and government</w:t>
      </w:r>
    </w:p>
    <w:p w14:paraId="5416F467" w14:textId="34000CE0" w:rsidR="00632342" w:rsidRPr="00602A01" w:rsidRDefault="00632342" w:rsidP="00E05C4E">
      <w:pPr>
        <w:pStyle w:val="Bullet1"/>
      </w:pPr>
      <w:r>
        <w:t>remaining simple and transparent</w:t>
      </w:r>
      <w:r w:rsidR="00701356">
        <w:t xml:space="preserve"> and</w:t>
      </w:r>
    </w:p>
    <w:p w14:paraId="0FAAF919" w14:textId="77777777" w:rsidR="00632342" w:rsidRPr="00602A01" w:rsidRDefault="00632342" w:rsidP="00E05C4E">
      <w:pPr>
        <w:pStyle w:val="Bullet1"/>
      </w:pPr>
      <w:r>
        <w:t>supporting efficient and sustainable health service operations.</w:t>
      </w:r>
    </w:p>
    <w:p w14:paraId="40F8C486" w14:textId="3983E585" w:rsidR="000B27B9" w:rsidRPr="00602A01" w:rsidRDefault="00632342" w:rsidP="00B52718">
      <w:pPr>
        <w:pStyle w:val="Bodyafterbullets"/>
      </w:pPr>
      <w:r w:rsidRPr="00602A01">
        <w:t xml:space="preserve">These reforms will not </w:t>
      </w:r>
      <w:r w:rsidR="00EB2259">
        <w:t xml:space="preserve">negatively </w:t>
      </w:r>
      <w:r w:rsidRPr="00602A01">
        <w:t>affect patient access or care and</w:t>
      </w:r>
      <w:r w:rsidR="002209C1">
        <w:t xml:space="preserve"> are</w:t>
      </w:r>
      <w:r w:rsidRPr="00602A01">
        <w:t xml:space="preserve"> </w:t>
      </w:r>
      <w:r w:rsidR="00EB2259">
        <w:t>intended to</w:t>
      </w:r>
      <w:r w:rsidRPr="00602A01">
        <w:t xml:space="preserve"> ensure patients receive appropriate care in a timely way, in the most appropriate setting, </w:t>
      </w:r>
      <w:r>
        <w:t xml:space="preserve">and </w:t>
      </w:r>
      <w:r w:rsidRPr="00602A01">
        <w:t>by the right providers</w:t>
      </w:r>
      <w:r w:rsidR="00B52718">
        <w:t>.</w:t>
      </w:r>
    </w:p>
    <w:p w14:paraId="22980E24" w14:textId="64B38A28" w:rsidR="000B27B9" w:rsidRPr="00602A01" w:rsidRDefault="000B27B9" w:rsidP="00B92CD4">
      <w:pPr>
        <w:pStyle w:val="Body"/>
      </w:pPr>
      <w:r>
        <w:t>In line with the Victorian</w:t>
      </w:r>
      <w:r w:rsidRPr="00602A01">
        <w:rPr>
          <w:i/>
          <w:iCs/>
        </w:rPr>
        <w:t xml:space="preserve"> </w:t>
      </w:r>
      <w:r w:rsidRPr="464658B4">
        <w:rPr>
          <w:i/>
        </w:rPr>
        <w:t xml:space="preserve">Pricing and funding </w:t>
      </w:r>
      <w:r w:rsidR="0171864E" w:rsidRPr="00391AFC">
        <w:rPr>
          <w:i/>
          <w:iCs/>
        </w:rPr>
        <w:t>pol</w:t>
      </w:r>
      <w:r w:rsidR="0171864E" w:rsidRPr="464658B4">
        <w:rPr>
          <w:i/>
          <w:iCs/>
        </w:rPr>
        <w:t xml:space="preserve">icy </w:t>
      </w:r>
      <w:r w:rsidRPr="464658B4">
        <w:rPr>
          <w:i/>
        </w:rPr>
        <w:t>framework</w:t>
      </w:r>
      <w:r w:rsidRPr="00602A01">
        <w:t xml:space="preserve">, Victoria will maintain a </w:t>
      </w:r>
      <w:r w:rsidR="002209C1">
        <w:t>s</w:t>
      </w:r>
      <w:r w:rsidR="002209C1" w:rsidRPr="00602A01">
        <w:t>tate</w:t>
      </w:r>
      <w:r w:rsidRPr="00602A01">
        <w:t>-based funding system that adopts and adapts elements of the national approach where it is suitable in the Victorian context.</w:t>
      </w:r>
    </w:p>
    <w:p w14:paraId="701B8F80" w14:textId="70FEE49D" w:rsidR="000B27B9" w:rsidRDefault="000B27B9" w:rsidP="00081936">
      <w:pPr>
        <w:pStyle w:val="Heading4"/>
        <w:numPr>
          <w:ilvl w:val="3"/>
          <w:numId w:val="33"/>
        </w:numPr>
      </w:pPr>
      <w:r>
        <w:t xml:space="preserve">Mental </w:t>
      </w:r>
      <w:r w:rsidR="004D70E8">
        <w:t>health and wellbeing</w:t>
      </w:r>
    </w:p>
    <w:p w14:paraId="6C5D199C" w14:textId="4BD1C69F" w:rsidR="000B27B9" w:rsidRPr="007F03EF" w:rsidRDefault="000B27B9" w:rsidP="00382CFB">
      <w:pPr>
        <w:pStyle w:val="Body"/>
      </w:pPr>
      <w:r w:rsidRPr="00B800B2">
        <w:rPr>
          <w:rFonts w:eastAsia="Calibri" w:cs="Arial"/>
        </w:rPr>
        <w:t xml:space="preserve">The department will </w:t>
      </w:r>
      <w:r>
        <w:rPr>
          <w:rFonts w:eastAsia="Calibri" w:cs="Arial"/>
        </w:rPr>
        <w:t xml:space="preserve">continue to </w:t>
      </w:r>
      <w:r w:rsidRPr="00B800B2">
        <w:rPr>
          <w:rFonts w:eastAsia="Calibri" w:cs="Arial"/>
        </w:rPr>
        <w:t xml:space="preserve">fund acute admitted mental health care on an input basis in </w:t>
      </w:r>
      <w:r w:rsidR="002E7EEF" w:rsidRPr="007F03EF">
        <w:t>202</w:t>
      </w:r>
      <w:r w:rsidR="00C00C7B">
        <w:t>3</w:t>
      </w:r>
      <w:r w:rsidR="002209C1">
        <w:t>–</w:t>
      </w:r>
      <w:r w:rsidR="002E7EEF" w:rsidRPr="007F03EF">
        <w:t>2</w:t>
      </w:r>
      <w:r w:rsidR="00C00C7B">
        <w:t>4</w:t>
      </w:r>
      <w:r w:rsidRPr="007F03EF">
        <w:rPr>
          <w:rFonts w:eastAsia="Calibri" w:cs="Arial"/>
        </w:rPr>
        <w:t xml:space="preserve">. Health services will be funded based on their capacity to provide inpatient mental health care, according to the number of bed days available. </w:t>
      </w:r>
    </w:p>
    <w:p w14:paraId="50701AF5" w14:textId="430D6BA9" w:rsidR="000B27B9" w:rsidRPr="007F03EF" w:rsidRDefault="000B27B9" w:rsidP="00382CFB">
      <w:pPr>
        <w:pStyle w:val="Body"/>
      </w:pPr>
      <w:r w:rsidRPr="007F03EF">
        <w:rPr>
          <w:rFonts w:eastAsia="Calibri" w:cs="Arial"/>
        </w:rPr>
        <w:lastRenderedPageBreak/>
        <w:t xml:space="preserve">Further review of the funding model for acute mental health admitted care across all patient types will be considered in the future. As the Victorian Cost Data Collection is essential to further understanding of the costs of mental healthcare and the funding models </w:t>
      </w:r>
      <w:r w:rsidR="004D70E8">
        <w:rPr>
          <w:rFonts w:eastAsia="Calibri" w:cs="Arial"/>
        </w:rPr>
        <w:t>that</w:t>
      </w:r>
      <w:r w:rsidR="004D70E8" w:rsidRPr="007F03EF">
        <w:rPr>
          <w:rFonts w:eastAsia="Calibri" w:cs="Arial"/>
        </w:rPr>
        <w:t xml:space="preserve"> </w:t>
      </w:r>
      <w:r w:rsidRPr="007F03EF">
        <w:rPr>
          <w:rFonts w:eastAsia="Calibri" w:cs="Arial"/>
        </w:rPr>
        <w:t>are most sensitive to those costs, health services should continue to contribute to mental health costing processes within the collection.</w:t>
      </w:r>
    </w:p>
    <w:p w14:paraId="77C6F7FA" w14:textId="087D6657" w:rsidR="000B27B9" w:rsidRPr="007F03EF" w:rsidRDefault="000B27B9" w:rsidP="00382CFB">
      <w:pPr>
        <w:pStyle w:val="Body"/>
      </w:pPr>
      <w:r w:rsidRPr="007F03EF">
        <w:rPr>
          <w:rFonts w:eastAsia="Calibri" w:cs="Arial"/>
        </w:rPr>
        <w:t xml:space="preserve">Admitted extended care and non-admitted acute mental healthcare (such as ambulatory, </w:t>
      </w:r>
      <w:r w:rsidR="002D4932" w:rsidRPr="007F03EF">
        <w:rPr>
          <w:rFonts w:eastAsia="Calibri" w:cs="Arial"/>
        </w:rPr>
        <w:t>subacute,</w:t>
      </w:r>
      <w:r w:rsidRPr="007F03EF">
        <w:rPr>
          <w:rFonts w:eastAsia="Calibri" w:cs="Arial"/>
        </w:rPr>
        <w:t xml:space="preserve"> and residential aged mental health services) will also continue to be funded in </w:t>
      </w:r>
      <w:r w:rsidR="002E7EEF" w:rsidRPr="007F03EF">
        <w:t>202</w:t>
      </w:r>
      <w:r w:rsidR="00BF6B2A">
        <w:t>3</w:t>
      </w:r>
      <w:r w:rsidR="00E82BCE">
        <w:t>–</w:t>
      </w:r>
      <w:r w:rsidR="002E7EEF" w:rsidRPr="007F03EF">
        <w:t>2</w:t>
      </w:r>
      <w:r w:rsidR="00BF6B2A">
        <w:t>4</w:t>
      </w:r>
      <w:r w:rsidRPr="007F03EF">
        <w:rPr>
          <w:rFonts w:eastAsia="Calibri" w:cs="Arial"/>
        </w:rPr>
        <w:t xml:space="preserve"> via a mixture of input (per day or service hour) and block grants.</w:t>
      </w:r>
    </w:p>
    <w:p w14:paraId="5122F140" w14:textId="7B3426C6" w:rsidR="00210B38" w:rsidRPr="007F03EF" w:rsidRDefault="000F7A15" w:rsidP="00553F96">
      <w:pPr>
        <w:pStyle w:val="Body"/>
      </w:pPr>
      <w:r w:rsidRPr="007F03EF">
        <w:rPr>
          <w:rFonts w:eastAsia="Calibri" w:cs="Arial"/>
        </w:rPr>
        <w:t>F</w:t>
      </w:r>
      <w:r w:rsidR="00001319" w:rsidRPr="007F03EF">
        <w:t xml:space="preserve">unding will be provided to support health services to improve their mental health information management capability and processes, ahead of the future implementation of activity-based funding. Funding services on the basis of the activity they deliver, and the characteristics of the consumers they support, will require a greater level of capability in mental health data management and quality control. </w:t>
      </w:r>
    </w:p>
    <w:p w14:paraId="36862793" w14:textId="4F740B23" w:rsidR="00001319" w:rsidRPr="00AA2842" w:rsidRDefault="3DF4BF09" w:rsidP="00166B85">
      <w:pPr>
        <w:pStyle w:val="Body"/>
      </w:pPr>
      <w:r w:rsidRPr="00AA2842">
        <w:t>The Royal Commission into Victoria’s Mental Health System</w:t>
      </w:r>
      <w:r w:rsidR="00830AE6" w:rsidRPr="006214A1">
        <w:t xml:space="preserve"> has recommended </w:t>
      </w:r>
      <w:r w:rsidR="00ED41FF" w:rsidRPr="006214A1">
        <w:t>trialling</w:t>
      </w:r>
      <w:r w:rsidRPr="00F91AB2">
        <w:t xml:space="preserve"> and</w:t>
      </w:r>
      <w:r w:rsidR="00830AE6" w:rsidRPr="00F91AB2">
        <w:t xml:space="preserve"> then implementing an activity-based funding </w:t>
      </w:r>
      <w:r w:rsidR="00543D79" w:rsidRPr="00F91AB2">
        <w:t>model</w:t>
      </w:r>
      <w:r w:rsidR="00830AE6" w:rsidRPr="00F91AB2">
        <w:t xml:space="preserve"> </w:t>
      </w:r>
      <w:r w:rsidRPr="00F91AB2">
        <w:t>for</w:t>
      </w:r>
      <w:r w:rsidR="00830AE6" w:rsidRPr="00F91AB2">
        <w:t xml:space="preserve"> both bed-based and community-based mental health and </w:t>
      </w:r>
      <w:r w:rsidR="00543D79" w:rsidRPr="00166B85">
        <w:t>wellbeing</w:t>
      </w:r>
      <w:r w:rsidR="00830AE6" w:rsidRPr="00166B85">
        <w:t xml:space="preserve"> services</w:t>
      </w:r>
      <w:r w:rsidR="00543D79" w:rsidRPr="00166B85">
        <w:t xml:space="preserve">. </w:t>
      </w:r>
      <w:r w:rsidR="00001319" w:rsidRPr="00AE6427">
        <w:t>The future activity-based funding model will be linked to developments in performance monitoring and clinical guidelines outlining e</w:t>
      </w:r>
      <w:r w:rsidR="00001319" w:rsidRPr="00A83A84">
        <w:t>xpected levels and types of service responses for consumers of varying levels of need for treatment and care.</w:t>
      </w:r>
    </w:p>
    <w:p w14:paraId="53A8FD1B" w14:textId="0FD46B1B" w:rsidR="00001319" w:rsidRPr="00F91AB2" w:rsidRDefault="00001319" w:rsidP="00166B85">
      <w:pPr>
        <w:pStyle w:val="Body"/>
      </w:pPr>
      <w:r w:rsidRPr="00AA2842">
        <w:t>An initial care classification for ambulatory mental health consumers, based on a modified version of the Australian Mental Health Care Classifica</w:t>
      </w:r>
      <w:r w:rsidRPr="006214A1">
        <w:t xml:space="preserve">tion, has been developed. This classification will be used to shadow fund community mental health services according to an activity-based funding model in </w:t>
      </w:r>
      <w:r w:rsidR="00807A10">
        <w:t>2023</w:t>
      </w:r>
      <w:r w:rsidR="008D5948">
        <w:t>–</w:t>
      </w:r>
      <w:r w:rsidR="00807A10">
        <w:t>24</w:t>
      </w:r>
      <w:r w:rsidRPr="006214A1">
        <w:t>.</w:t>
      </w:r>
    </w:p>
    <w:p w14:paraId="303D2F9E" w14:textId="5CCD5AFA" w:rsidR="007E4F36" w:rsidRPr="00DC5AB5" w:rsidRDefault="007E4F36" w:rsidP="00DC5AB5">
      <w:pPr>
        <w:rPr>
          <w:rFonts w:ascii="Calibri" w:hAnsi="Calibri"/>
          <w:color w:val="000000"/>
          <w:sz w:val="22"/>
        </w:rPr>
      </w:pPr>
      <w:r w:rsidRPr="00F91AB2">
        <w:t xml:space="preserve">Funding for </w:t>
      </w:r>
      <w:r w:rsidR="0008053C" w:rsidRPr="002E3429">
        <w:t>mental health community support services</w:t>
      </w:r>
      <w:r w:rsidR="0008053C" w:rsidRPr="00F91AB2">
        <w:t xml:space="preserve"> </w:t>
      </w:r>
      <w:r w:rsidR="0008053C">
        <w:t>(M</w:t>
      </w:r>
      <w:r w:rsidRPr="00F91AB2">
        <w:t>HCSS</w:t>
      </w:r>
      <w:r w:rsidR="0008053C">
        <w:t>)</w:t>
      </w:r>
      <w:r w:rsidRPr="00F91AB2">
        <w:t xml:space="preserve"> activities is outpu</w:t>
      </w:r>
      <w:r w:rsidR="008D5948">
        <w:t xml:space="preserve">t </w:t>
      </w:r>
      <w:r w:rsidRPr="00F91AB2">
        <w:t xml:space="preserve">based. </w:t>
      </w:r>
      <w:r w:rsidR="00A01B28">
        <w:rPr>
          <w:rStyle w:val="ui-provider"/>
          <w:rFonts w:eastAsia="MS Gothic"/>
          <w:color w:val="000000"/>
        </w:rPr>
        <w:t xml:space="preserve">Statewide targets are set out in </w:t>
      </w:r>
      <w:r w:rsidR="00A01B28">
        <w:rPr>
          <w:rStyle w:val="ui-provider"/>
          <w:rFonts w:eastAsia="MS Gothic"/>
          <w:i/>
          <w:iCs/>
          <w:color w:val="000000"/>
        </w:rPr>
        <w:t>Victorian State Budget Paper No. 3</w:t>
      </w:r>
      <w:r w:rsidR="00A01B28">
        <w:rPr>
          <w:rStyle w:val="ui-provider"/>
          <w:rFonts w:eastAsia="MS Gothic"/>
          <w:color w:val="000000"/>
        </w:rPr>
        <w:t>, for MHCSS activities these are listed in the Funding and Service Agreement, and these represent the minimum deliverables expected for the funding provided. </w:t>
      </w:r>
      <w:r w:rsidR="00F25180" w:rsidRPr="00A83A84">
        <w:t xml:space="preserve">Refer to </w:t>
      </w:r>
      <w:r w:rsidR="00F25180" w:rsidRPr="00166B85">
        <w:rPr>
          <w:i/>
        </w:rPr>
        <w:t xml:space="preserve">Policy </w:t>
      </w:r>
      <w:r w:rsidR="00B329C3">
        <w:rPr>
          <w:i/>
          <w:iCs/>
          <w:szCs w:val="21"/>
        </w:rPr>
        <w:t>g</w:t>
      </w:r>
      <w:r w:rsidR="00B329C3" w:rsidRPr="00685B35">
        <w:rPr>
          <w:i/>
          <w:iCs/>
          <w:szCs w:val="21"/>
        </w:rPr>
        <w:t>uide</w:t>
      </w:r>
      <w:r w:rsidR="00B329C3" w:rsidRPr="00166B85">
        <w:rPr>
          <w:i/>
        </w:rPr>
        <w:t xml:space="preserve"> </w:t>
      </w:r>
      <w:r w:rsidR="002E7EEF" w:rsidRPr="00166B85">
        <w:rPr>
          <w:i/>
        </w:rPr>
        <w:t>2022</w:t>
      </w:r>
      <w:r w:rsidR="00E82BCE" w:rsidRPr="00AE6427">
        <w:rPr>
          <w:i/>
          <w:iCs/>
        </w:rPr>
        <w:t>–</w:t>
      </w:r>
      <w:r w:rsidR="002E7EEF" w:rsidRPr="00166B85">
        <w:rPr>
          <w:i/>
        </w:rPr>
        <w:t>23</w:t>
      </w:r>
      <w:r w:rsidR="002E7EEF" w:rsidRPr="00AE6427">
        <w:rPr>
          <w:lang w:val="en-US"/>
        </w:rPr>
        <w:t xml:space="preserve"> </w:t>
      </w:r>
      <w:r w:rsidR="00F25180" w:rsidRPr="00A83A84">
        <w:t xml:space="preserve">section 17.9 </w:t>
      </w:r>
      <w:r w:rsidR="00E82BCE">
        <w:t>‘</w:t>
      </w:r>
      <w:r w:rsidR="00F25180" w:rsidRPr="00AE6427">
        <w:t xml:space="preserve">Mental health and </w:t>
      </w:r>
      <w:r w:rsidR="00F25180" w:rsidRPr="00A83A84">
        <w:t xml:space="preserve">wellbeing </w:t>
      </w:r>
      <w:r w:rsidR="00F25180" w:rsidRPr="0084620A">
        <w:t>services</w:t>
      </w:r>
      <w:r w:rsidR="00E82BCE">
        <w:t>’</w:t>
      </w:r>
      <w:r w:rsidR="00F25180" w:rsidRPr="00AE6427">
        <w:t xml:space="preserve"> </w:t>
      </w:r>
      <w:r w:rsidRPr="00A83A84">
        <w:t>for more information.</w:t>
      </w:r>
    </w:p>
    <w:p w14:paraId="7E1C7F1B" w14:textId="7464D063" w:rsidR="007E4F36" w:rsidRPr="00AA2842" w:rsidRDefault="007E4F36" w:rsidP="00D11252">
      <w:pPr>
        <w:pStyle w:val="Body"/>
      </w:pPr>
      <w:bookmarkStart w:id="104" w:name="_Toc37934626"/>
      <w:bookmarkEnd w:id="104"/>
      <w:r w:rsidRPr="00AA2842">
        <w:t>It is expected that health services maintain and report mental health non-admitted patient-level costing data (or aggregate where patient-level cannot be obtained) to the V</w:t>
      </w:r>
      <w:r w:rsidR="00CC2D9D">
        <w:t xml:space="preserve">ictorian </w:t>
      </w:r>
      <w:r w:rsidRPr="00AA2842">
        <w:t>C</w:t>
      </w:r>
      <w:r w:rsidR="00CC2D9D">
        <w:t xml:space="preserve">ost </w:t>
      </w:r>
      <w:r w:rsidRPr="00AA2842">
        <w:t>D</w:t>
      </w:r>
      <w:r w:rsidR="00CC2D9D">
        <w:t xml:space="preserve">ata </w:t>
      </w:r>
      <w:r w:rsidRPr="00AA2842">
        <w:t>C</w:t>
      </w:r>
      <w:r w:rsidR="00CC2D9D">
        <w:t>ollection (VCDC)</w:t>
      </w:r>
      <w:r w:rsidRPr="00AA2842">
        <w:t>.</w:t>
      </w:r>
    </w:p>
    <w:p w14:paraId="647EF3E0" w14:textId="4F52AF2C" w:rsidR="00BD76FF" w:rsidRPr="00AE6427" w:rsidRDefault="00BD76FF" w:rsidP="00D11252">
      <w:pPr>
        <w:pStyle w:val="Body"/>
      </w:pPr>
      <w:r w:rsidRPr="00AA2842">
        <w:t xml:space="preserve">All existing community service hour grants will be retained in </w:t>
      </w:r>
      <w:r w:rsidR="002E7EEF" w:rsidRPr="00AA2842">
        <w:t>202</w:t>
      </w:r>
      <w:r w:rsidR="00BF517D">
        <w:t>3</w:t>
      </w:r>
      <w:r w:rsidR="00E82BCE">
        <w:t>–</w:t>
      </w:r>
      <w:r w:rsidR="002E7EEF" w:rsidRPr="00AE6427">
        <w:t>2</w:t>
      </w:r>
      <w:r w:rsidR="00BF517D">
        <w:t>4</w:t>
      </w:r>
      <w:r w:rsidRPr="00A83A84">
        <w:t xml:space="preserve"> and rationalised </w:t>
      </w:r>
      <w:r w:rsidR="00BF517D">
        <w:t>in</w:t>
      </w:r>
      <w:r w:rsidR="00E82BCE" w:rsidRPr="000F3F7F">
        <w:t xml:space="preserve"> </w:t>
      </w:r>
      <w:r w:rsidRPr="00AA2842">
        <w:t>202</w:t>
      </w:r>
      <w:r w:rsidR="0098435A">
        <w:t>4</w:t>
      </w:r>
      <w:r w:rsidR="00E82BCE">
        <w:t>–</w:t>
      </w:r>
      <w:r w:rsidRPr="00AE6427">
        <w:t>2</w:t>
      </w:r>
      <w:r w:rsidR="0098435A">
        <w:t>5</w:t>
      </w:r>
      <w:r w:rsidRPr="0084620A">
        <w:t>.</w:t>
      </w:r>
    </w:p>
    <w:p w14:paraId="414C1DA8" w14:textId="5AC1EFED" w:rsidR="00923989" w:rsidRPr="00AA2842" w:rsidRDefault="00923989" w:rsidP="00D11252">
      <w:pPr>
        <w:pStyle w:val="Body"/>
      </w:pPr>
      <w:r w:rsidRPr="00A83A84">
        <w:t xml:space="preserve">Targets for the number of service hours to be provided are set per health service. </w:t>
      </w:r>
      <w:r w:rsidRPr="00AA2842">
        <w:t>The funding rate per service hour has been used in setting ambulatory targets.</w:t>
      </w:r>
    </w:p>
    <w:p w14:paraId="411A7C4A" w14:textId="3274EAC8" w:rsidR="000B27B9" w:rsidRPr="00200E05" w:rsidRDefault="000B27B9" w:rsidP="00382CFB">
      <w:pPr>
        <w:pStyle w:val="Body"/>
      </w:pPr>
      <w:r w:rsidRPr="00B800B2">
        <w:rPr>
          <w:rFonts w:eastAsia="Calibri" w:cs="Arial"/>
        </w:rPr>
        <w:t xml:space="preserve">Further information on the </w:t>
      </w:r>
      <w:r w:rsidRPr="004D1C8A">
        <w:rPr>
          <w:rFonts w:eastAsia="Calibri" w:cs="Arial"/>
          <w:color w:val="000000" w:themeColor="text1"/>
        </w:rPr>
        <w:t>202</w:t>
      </w:r>
      <w:r w:rsidR="0098435A">
        <w:rPr>
          <w:rFonts w:eastAsia="Calibri" w:cs="Arial"/>
          <w:color w:val="000000" w:themeColor="text1"/>
        </w:rPr>
        <w:t>3</w:t>
      </w:r>
      <w:r w:rsidR="00E82BCE">
        <w:rPr>
          <w:rFonts w:eastAsia="Calibri" w:cs="Arial"/>
          <w:color w:val="000000" w:themeColor="text1"/>
        </w:rPr>
        <w:t>–</w:t>
      </w:r>
      <w:r w:rsidR="00EC3711" w:rsidRPr="004D1C8A">
        <w:rPr>
          <w:rFonts w:eastAsia="Calibri" w:cs="Arial"/>
          <w:color w:val="000000" w:themeColor="text1"/>
        </w:rPr>
        <w:t>2</w:t>
      </w:r>
      <w:r w:rsidR="0098435A">
        <w:rPr>
          <w:rFonts w:eastAsia="Calibri" w:cs="Arial"/>
          <w:color w:val="000000" w:themeColor="text1"/>
        </w:rPr>
        <w:t>4</w:t>
      </w:r>
      <w:r w:rsidRPr="004D1C8A">
        <w:rPr>
          <w:rFonts w:eastAsia="Calibri" w:cs="Arial"/>
          <w:color w:val="000000" w:themeColor="text1"/>
        </w:rPr>
        <w:t xml:space="preserve"> prices </w:t>
      </w:r>
      <w:r w:rsidRPr="00B800B2">
        <w:rPr>
          <w:rFonts w:eastAsia="Calibri" w:cs="Arial"/>
        </w:rPr>
        <w:t xml:space="preserve">is available in section </w:t>
      </w:r>
      <w:r w:rsidR="00734320">
        <w:rPr>
          <w:rFonts w:eastAsia="Calibri" w:cs="Arial"/>
        </w:rPr>
        <w:fldChar w:fldCharType="begin"/>
      </w:r>
      <w:r w:rsidR="00734320">
        <w:rPr>
          <w:rFonts w:eastAsia="Calibri" w:cs="Arial"/>
        </w:rPr>
        <w:instrText xml:space="preserve"> REF _Ref88483663 \r \h </w:instrText>
      </w:r>
      <w:r w:rsidR="00734320">
        <w:rPr>
          <w:rFonts w:eastAsia="Calibri" w:cs="Arial"/>
        </w:rPr>
      </w:r>
      <w:r w:rsidR="00734320">
        <w:rPr>
          <w:rFonts w:eastAsia="Calibri" w:cs="Arial"/>
        </w:rPr>
        <w:fldChar w:fldCharType="separate"/>
      </w:r>
      <w:r w:rsidR="00892F13">
        <w:rPr>
          <w:rFonts w:eastAsia="Calibri" w:cs="Arial"/>
        </w:rPr>
        <w:t>1.23</w:t>
      </w:r>
      <w:r w:rsidR="00734320">
        <w:rPr>
          <w:rFonts w:eastAsia="Calibri" w:cs="Arial"/>
        </w:rPr>
        <w:fldChar w:fldCharType="end"/>
      </w:r>
      <w:r w:rsidRPr="00B800B2">
        <w:rPr>
          <w:rFonts w:eastAsia="Calibri" w:cs="Arial"/>
        </w:rPr>
        <w:t xml:space="preserve"> ‘</w:t>
      </w:r>
      <w:r w:rsidR="00DA113D">
        <w:rPr>
          <w:rFonts w:eastAsia="Calibri" w:cs="Arial"/>
        </w:rPr>
        <w:fldChar w:fldCharType="begin"/>
      </w:r>
      <w:r w:rsidR="00DA113D">
        <w:rPr>
          <w:rFonts w:eastAsia="Calibri" w:cs="Arial"/>
        </w:rPr>
        <w:instrText xml:space="preserve"> REF _Ref70960640 \h </w:instrText>
      </w:r>
      <w:r w:rsidR="00DA113D">
        <w:rPr>
          <w:rFonts w:eastAsia="Calibri" w:cs="Arial"/>
        </w:rPr>
      </w:r>
      <w:r w:rsidR="00DA113D">
        <w:rPr>
          <w:rFonts w:eastAsia="Calibri" w:cs="Arial"/>
        </w:rPr>
        <w:fldChar w:fldCharType="separate"/>
      </w:r>
      <w:r w:rsidR="00892F13">
        <w:t xml:space="preserve">Price </w:t>
      </w:r>
      <w:r w:rsidR="00DA113D">
        <w:rPr>
          <w:rFonts w:eastAsia="Calibri" w:cs="Arial"/>
        </w:rPr>
        <w:fldChar w:fldCharType="end"/>
      </w:r>
      <w:r w:rsidRPr="00B800B2">
        <w:rPr>
          <w:rFonts w:eastAsia="Calibri" w:cs="Arial"/>
        </w:rPr>
        <w:t>’.</w:t>
      </w:r>
    </w:p>
    <w:p w14:paraId="3F7B5D49" w14:textId="1A1F80E2" w:rsidR="000B27B9" w:rsidRDefault="000B27B9" w:rsidP="00081936">
      <w:pPr>
        <w:pStyle w:val="Heading4"/>
        <w:numPr>
          <w:ilvl w:val="3"/>
          <w:numId w:val="33"/>
        </w:numPr>
      </w:pPr>
      <w:r>
        <w:t xml:space="preserve">Subcutaneous </w:t>
      </w:r>
      <w:r w:rsidR="00AF5B7C">
        <w:t>immunoglobulin therapy</w:t>
      </w:r>
    </w:p>
    <w:p w14:paraId="7AB6978D" w14:textId="43D46AC8" w:rsidR="000B27B9" w:rsidRPr="006E6900" w:rsidRDefault="00ED70B3" w:rsidP="00B92CD4">
      <w:pPr>
        <w:pStyle w:val="Body"/>
        <w:rPr>
          <w:lang w:eastAsia="en-AU"/>
        </w:rPr>
      </w:pPr>
      <w:r>
        <w:rPr>
          <w:rFonts w:cs="Calibri"/>
          <w:lang w:eastAsia="en-AU"/>
        </w:rPr>
        <w:t>Since 2013, t</w:t>
      </w:r>
      <w:r w:rsidRPr="140AE1A0">
        <w:rPr>
          <w:rFonts w:cs="Calibri"/>
          <w:lang w:eastAsia="en-AU"/>
        </w:rPr>
        <w:t xml:space="preserve">he </w:t>
      </w:r>
      <w:r w:rsidR="000B27B9" w:rsidRPr="140AE1A0">
        <w:rPr>
          <w:rFonts w:cs="Calibri"/>
          <w:lang w:eastAsia="en-AU"/>
        </w:rPr>
        <w:t xml:space="preserve">National Blood Authority has made </w:t>
      </w:r>
      <w:r>
        <w:rPr>
          <w:rFonts w:cs="Calibri"/>
          <w:lang w:eastAsia="en-AU"/>
        </w:rPr>
        <w:t xml:space="preserve">available </w:t>
      </w:r>
      <w:r w:rsidR="000B27B9" w:rsidRPr="140AE1A0">
        <w:rPr>
          <w:rFonts w:cs="Calibri"/>
          <w:lang w:eastAsia="en-AU"/>
        </w:rPr>
        <w:t xml:space="preserve">immunoglobulin products </w:t>
      </w:r>
      <w:r>
        <w:rPr>
          <w:rFonts w:cs="Calibri"/>
          <w:lang w:eastAsia="en-AU"/>
        </w:rPr>
        <w:t xml:space="preserve">that </w:t>
      </w:r>
      <w:r w:rsidR="000B27B9" w:rsidRPr="140AE1A0">
        <w:rPr>
          <w:rFonts w:cs="Calibri"/>
          <w:lang w:eastAsia="en-AU"/>
        </w:rPr>
        <w:t>can be administered by the patient at home to treat:</w:t>
      </w:r>
    </w:p>
    <w:p w14:paraId="49E0FADA" w14:textId="77777777" w:rsidR="000B27B9" w:rsidRPr="001F0C2A" w:rsidRDefault="000B27B9" w:rsidP="00E05C4E">
      <w:pPr>
        <w:pStyle w:val="Bullet1"/>
      </w:pPr>
      <w:r>
        <w:t>primary immunodeficiency with antibody deficiency</w:t>
      </w:r>
    </w:p>
    <w:p w14:paraId="57045622" w14:textId="77777777" w:rsidR="000B27B9" w:rsidRPr="001F0C2A" w:rsidRDefault="000B27B9" w:rsidP="00E05C4E">
      <w:pPr>
        <w:pStyle w:val="Bullet1"/>
      </w:pPr>
      <w:r>
        <w:t>specific antibody deficiency</w:t>
      </w:r>
    </w:p>
    <w:p w14:paraId="5C69477E" w14:textId="77777777" w:rsidR="000B27B9" w:rsidRPr="001F0C2A" w:rsidRDefault="000B27B9" w:rsidP="00E05C4E">
      <w:pPr>
        <w:pStyle w:val="Bullet1"/>
      </w:pPr>
      <w:r>
        <w:t>acquired hypogammaglobulinaemia secondary to haematological malignancy</w:t>
      </w:r>
    </w:p>
    <w:p w14:paraId="4DE89140" w14:textId="471143C9" w:rsidR="000B27B9" w:rsidRPr="001F0C2A" w:rsidRDefault="000B27B9" w:rsidP="00E05C4E">
      <w:pPr>
        <w:pStyle w:val="Bullet1"/>
      </w:pPr>
      <w:r>
        <w:t>secondary hypogammaglobulinaemia (including iatrogenic immunodeficiency)</w:t>
      </w:r>
      <w:r w:rsidR="000462CF">
        <w:t xml:space="preserve"> </w:t>
      </w:r>
    </w:p>
    <w:p w14:paraId="6E193457" w14:textId="77777777" w:rsidR="000B27B9" w:rsidRPr="001F0C2A" w:rsidRDefault="000B27B9" w:rsidP="00E05C4E">
      <w:pPr>
        <w:pStyle w:val="Bullet1"/>
      </w:pPr>
      <w:r>
        <w:t>chronic inflammatory demyelinating polyneuropathy.</w:t>
      </w:r>
    </w:p>
    <w:p w14:paraId="57F9E39E" w14:textId="643C69F8" w:rsidR="000B27B9" w:rsidRDefault="000B27B9" w:rsidP="00A54B51">
      <w:pPr>
        <w:pStyle w:val="Bodyafterbullets"/>
      </w:pPr>
      <w:r w:rsidRPr="00191234">
        <w:t>There are about 2,200 patients who are currently treated with intravenous immunoglobulin</w:t>
      </w:r>
      <w:r w:rsidRPr="6E17F018">
        <w:t>.</w:t>
      </w:r>
      <w:r>
        <w:t xml:space="preserve"> </w:t>
      </w:r>
      <w:r w:rsidRPr="00191234">
        <w:t>Approximately 30</w:t>
      </w:r>
      <w:r w:rsidR="00ED70B3">
        <w:t xml:space="preserve"> per cent</w:t>
      </w:r>
      <w:r w:rsidR="00ED70B3" w:rsidRPr="00191234">
        <w:t xml:space="preserve"> </w:t>
      </w:r>
      <w:r w:rsidRPr="00191234">
        <w:t>of these patients could be treated with subcutaneous immunoglobulin therapy.</w:t>
      </w:r>
    </w:p>
    <w:p w14:paraId="289E0189" w14:textId="063E997A" w:rsidR="000B27B9" w:rsidRPr="00A54E8E" w:rsidRDefault="000B27B9" w:rsidP="00F027FB">
      <w:pPr>
        <w:pStyle w:val="Body"/>
      </w:pPr>
      <w:r w:rsidRPr="007F03EF">
        <w:lastRenderedPageBreak/>
        <w:t xml:space="preserve">The department will provide hospitals with </w:t>
      </w:r>
      <w:r w:rsidRPr="00E82BCE">
        <w:t>quarterly</w:t>
      </w:r>
      <w:r w:rsidRPr="007F03EF">
        <w:t xml:space="preserve"> funding for each patient being treated with subcutaneous immunoglobulin at home in </w:t>
      </w:r>
      <w:r w:rsidR="002E7EEF" w:rsidRPr="007F03EF">
        <w:t>202</w:t>
      </w:r>
      <w:r w:rsidR="002A25D5">
        <w:t>3</w:t>
      </w:r>
      <w:r w:rsidR="00E82BCE">
        <w:t>–</w:t>
      </w:r>
      <w:r w:rsidR="002E7EEF" w:rsidRPr="007F03EF">
        <w:t>2</w:t>
      </w:r>
      <w:r w:rsidR="002A25D5">
        <w:t>4</w:t>
      </w:r>
      <w:r w:rsidRPr="007F03EF">
        <w:t xml:space="preserve">. More information can be found on the </w:t>
      </w:r>
      <w:hyperlink r:id="rId26">
        <w:r w:rsidRPr="007F03EF">
          <w:rPr>
            <w:rStyle w:val="Hyperlink"/>
          </w:rPr>
          <w:t>Subcutaneous Immunoglobulin (SCIg) access program webpage</w:t>
        </w:r>
      </w:hyperlink>
      <w:r w:rsidRPr="0225801C">
        <w:t xml:space="preserve"> &lt;</w:t>
      </w:r>
      <w:r w:rsidR="00FF3797" w:rsidRPr="00FF3797">
        <w:t>https://www.health.vic.gov.au/patient-care/subcutaneous-immunoglobulin-scig-access-program</w:t>
      </w:r>
      <w:r w:rsidR="00362928">
        <w:t>&gt;</w:t>
      </w:r>
      <w:r w:rsidRPr="0225801C">
        <w:t>.</w:t>
      </w:r>
    </w:p>
    <w:p w14:paraId="50ADB624" w14:textId="0FC387D7" w:rsidR="000B27B9" w:rsidRPr="00B2525E" w:rsidRDefault="000B27B9" w:rsidP="00081936">
      <w:pPr>
        <w:pStyle w:val="Heading4"/>
        <w:numPr>
          <w:ilvl w:val="3"/>
          <w:numId w:val="33"/>
        </w:numPr>
      </w:pPr>
      <w:r w:rsidRPr="00B2525E">
        <w:t xml:space="preserve">Dental </w:t>
      </w:r>
      <w:r w:rsidR="00ED70B3">
        <w:t>p</w:t>
      </w:r>
      <w:r w:rsidR="00ED70B3" w:rsidRPr="00B2525E">
        <w:t>ricing</w:t>
      </w:r>
    </w:p>
    <w:p w14:paraId="63648F2B" w14:textId="5B3EFE5F" w:rsidR="00B264B3" w:rsidRDefault="00C35EBD" w:rsidP="00B92CD4">
      <w:pPr>
        <w:pStyle w:val="Body"/>
      </w:pPr>
      <w:r>
        <w:t xml:space="preserve">The department commenced </w:t>
      </w:r>
      <w:r w:rsidR="004D28FC">
        <w:t xml:space="preserve">a staged </w:t>
      </w:r>
      <w:r>
        <w:t xml:space="preserve">implementation of new pricing and funding arrangements for public dental services </w:t>
      </w:r>
      <w:r w:rsidR="007D409B">
        <w:t>from 1 July 2021</w:t>
      </w:r>
      <w:r w:rsidR="00ED70B3">
        <w:t>. This was</w:t>
      </w:r>
      <w:r w:rsidR="00B264B3">
        <w:t xml:space="preserve"> in response to the recommendations from the Victorian Auditor</w:t>
      </w:r>
      <w:r w:rsidR="00556817">
        <w:t>-</w:t>
      </w:r>
      <w:r w:rsidR="00B264B3">
        <w:t xml:space="preserve">General’s report </w:t>
      </w:r>
      <w:r w:rsidR="00B264B3" w:rsidRPr="00E90F36">
        <w:rPr>
          <w:i/>
          <w:iCs/>
        </w:rPr>
        <w:t xml:space="preserve">Access to </w:t>
      </w:r>
      <w:r w:rsidR="00ED70B3" w:rsidRPr="00E90F36">
        <w:rPr>
          <w:i/>
          <w:iCs/>
        </w:rPr>
        <w:t xml:space="preserve">public dental services </w:t>
      </w:r>
      <w:r w:rsidR="00B264B3" w:rsidRPr="00E90F36">
        <w:rPr>
          <w:i/>
          <w:iCs/>
        </w:rPr>
        <w:t>in Victoria</w:t>
      </w:r>
      <w:r w:rsidR="00B03780">
        <w:t>.</w:t>
      </w:r>
      <w:r w:rsidR="00ED5604">
        <w:t xml:space="preserve"> </w:t>
      </w:r>
    </w:p>
    <w:p w14:paraId="22FCEE7F" w14:textId="6B8CD737" w:rsidR="00024079" w:rsidRDefault="00C767BD" w:rsidP="00B92CD4">
      <w:pPr>
        <w:pStyle w:val="Body"/>
      </w:pPr>
      <w:r>
        <w:t xml:space="preserve">The </w:t>
      </w:r>
      <w:r w:rsidR="007204D2">
        <w:t>key component of</w:t>
      </w:r>
      <w:r w:rsidR="001B2C30">
        <w:t xml:space="preserve"> </w:t>
      </w:r>
      <w:r w:rsidR="00ED70B3">
        <w:t xml:space="preserve">stage </w:t>
      </w:r>
      <w:r w:rsidR="004B53D1">
        <w:t xml:space="preserve">1 of </w:t>
      </w:r>
      <w:r w:rsidR="007204D2">
        <w:t xml:space="preserve">the new funding model </w:t>
      </w:r>
      <w:r w:rsidR="00ED70B3">
        <w:t xml:space="preserve">is </w:t>
      </w:r>
      <w:r w:rsidR="00465FEE">
        <w:t xml:space="preserve">a </w:t>
      </w:r>
      <w:r w:rsidR="00185DAF">
        <w:t>consistent</w:t>
      </w:r>
      <w:r w:rsidR="005F622E">
        <w:t xml:space="preserve"> </w:t>
      </w:r>
      <w:r w:rsidR="00ED70B3">
        <w:t>dental weighted activity uni</w:t>
      </w:r>
      <w:r w:rsidR="005F622E">
        <w:t>t</w:t>
      </w:r>
      <w:r w:rsidR="008F1386">
        <w:t xml:space="preserve"> </w:t>
      </w:r>
      <w:r w:rsidR="005F622E">
        <w:t>(DWAU) price</w:t>
      </w:r>
      <w:r w:rsidR="60C84B8E">
        <w:t xml:space="preserve"> </w:t>
      </w:r>
      <w:r w:rsidR="00E62286">
        <w:t xml:space="preserve">for all public dental services </w:t>
      </w:r>
      <w:r w:rsidR="318BF7AF">
        <w:t>from 1 July 2021</w:t>
      </w:r>
      <w:r w:rsidR="00024079">
        <w:t xml:space="preserve"> and transitional support to enable public dental providers to adjust to the new dental pricing and funding arrangements</w:t>
      </w:r>
      <w:r w:rsidR="419C5FF3">
        <w:t>.</w:t>
      </w:r>
      <w:r w:rsidR="000B27B9">
        <w:t xml:space="preserve"> </w:t>
      </w:r>
      <w:r w:rsidR="00210B7D">
        <w:t>These transitional arrangements will be extended to 30 June 2025.</w:t>
      </w:r>
    </w:p>
    <w:p w14:paraId="58B3403C" w14:textId="1B3ECAFB" w:rsidR="00B9549C" w:rsidRDefault="00225AB4" w:rsidP="00B92CD4">
      <w:pPr>
        <w:pStyle w:val="Body"/>
      </w:pPr>
      <w:r>
        <w:t xml:space="preserve">Stage 1 </w:t>
      </w:r>
      <w:r w:rsidR="00A50E9C">
        <w:t>implementation</w:t>
      </w:r>
      <w:r>
        <w:t xml:space="preserve"> </w:t>
      </w:r>
      <w:r w:rsidR="004460FC">
        <w:t>also include</w:t>
      </w:r>
      <w:r w:rsidR="00A50E9C">
        <w:t>s</w:t>
      </w:r>
      <w:r w:rsidR="004460FC">
        <w:t xml:space="preserve"> </w:t>
      </w:r>
      <w:r w:rsidR="00A50E9C">
        <w:t xml:space="preserve">the </w:t>
      </w:r>
      <w:r w:rsidR="00EC110A">
        <w:t>work to align</w:t>
      </w:r>
      <w:r w:rsidR="008A129D">
        <w:t xml:space="preserve"> clinical placement </w:t>
      </w:r>
      <w:r w:rsidR="001D76E8">
        <w:t>grants</w:t>
      </w:r>
      <w:r w:rsidR="008A129D">
        <w:t xml:space="preserve"> with </w:t>
      </w:r>
      <w:r w:rsidR="00CF2F47">
        <w:t xml:space="preserve">the </w:t>
      </w:r>
      <w:r w:rsidR="009152EB">
        <w:t xml:space="preserve">principles of the department’s </w:t>
      </w:r>
      <w:r w:rsidR="00CF2F47">
        <w:t xml:space="preserve">broader </w:t>
      </w:r>
      <w:r w:rsidR="001D76E8">
        <w:t>approach to clinical placements funding</w:t>
      </w:r>
      <w:r w:rsidR="00ED70B3">
        <w:t>.</w:t>
      </w:r>
      <w:r w:rsidR="00C31BA3">
        <w:t xml:space="preserve"> </w:t>
      </w:r>
      <w:r w:rsidR="00ED70B3">
        <w:t>T</w:t>
      </w:r>
      <w:r w:rsidR="009152EB">
        <w:t>his work will continue in 2023</w:t>
      </w:r>
      <w:r w:rsidR="00ED70B3">
        <w:t>–</w:t>
      </w:r>
      <w:r w:rsidR="009152EB">
        <w:t>24.</w:t>
      </w:r>
    </w:p>
    <w:p w14:paraId="6D6B5DD2" w14:textId="7EB6163F" w:rsidR="00B9549C" w:rsidRDefault="00B9549C" w:rsidP="00081936">
      <w:pPr>
        <w:pStyle w:val="Heading4"/>
        <w:numPr>
          <w:ilvl w:val="3"/>
          <w:numId w:val="33"/>
        </w:numPr>
      </w:pPr>
      <w:r>
        <w:t xml:space="preserve">Community </w:t>
      </w:r>
      <w:r w:rsidR="00430D8C">
        <w:t>health pricing</w:t>
      </w:r>
    </w:p>
    <w:p w14:paraId="1DDE0111" w14:textId="77777777" w:rsidR="00430D8C" w:rsidRDefault="008F144E" w:rsidP="008A7D13">
      <w:pPr>
        <w:pStyle w:val="Body"/>
      </w:pPr>
      <w:r>
        <w:t xml:space="preserve">The Victorian Auditor-General's report </w:t>
      </w:r>
      <w:r w:rsidRPr="0BAEFD6B">
        <w:rPr>
          <w:rStyle w:val="Emphasis"/>
        </w:rPr>
        <w:t>Community Health Program</w:t>
      </w:r>
      <w:r>
        <w:t xml:space="preserve"> recommended the development of a more sophisticated funding model </w:t>
      </w:r>
      <w:r w:rsidR="00FD2F5E">
        <w:t>to allow flexibility for services to adapt to changing community and client needs</w:t>
      </w:r>
      <w:r w:rsidR="00F16667">
        <w:t>.</w:t>
      </w:r>
      <w:r w:rsidR="6488CB6B">
        <w:t xml:space="preserve"> </w:t>
      </w:r>
      <w:r w:rsidR="00F16667">
        <w:t>T</w:t>
      </w:r>
      <w:r w:rsidR="008540D5">
        <w:t xml:space="preserve">he department </w:t>
      </w:r>
      <w:r w:rsidR="4EBEE2BA">
        <w:t xml:space="preserve">is </w:t>
      </w:r>
      <w:r w:rsidR="008540D5">
        <w:t>work</w:t>
      </w:r>
      <w:r w:rsidR="00F16667">
        <w:t>i</w:t>
      </w:r>
      <w:r w:rsidR="106EDE5C">
        <w:t>ng</w:t>
      </w:r>
      <w:r w:rsidR="008540D5">
        <w:t xml:space="preserve"> </w:t>
      </w:r>
      <w:r w:rsidR="008F1386">
        <w:t xml:space="preserve">with community health services </w:t>
      </w:r>
      <w:r w:rsidR="00D12DD1">
        <w:t xml:space="preserve">to </w:t>
      </w:r>
      <w:r w:rsidR="005D62C4">
        <w:t>implement the recommendations</w:t>
      </w:r>
      <w:r w:rsidR="00430D8C">
        <w:t xml:space="preserve">. </w:t>
      </w:r>
    </w:p>
    <w:p w14:paraId="03AB4A36" w14:textId="2290FF10" w:rsidR="00430D8C" w:rsidRDefault="00430D8C" w:rsidP="008A7D13">
      <w:pPr>
        <w:pStyle w:val="Body"/>
        <w:rPr>
          <w:rFonts w:eastAsia="Arial" w:cs="Arial"/>
          <w:color w:val="000000" w:themeColor="text1"/>
          <w:lang w:val="en-US"/>
        </w:rPr>
      </w:pPr>
      <w:r>
        <w:t xml:space="preserve">These include </w:t>
      </w:r>
      <w:r w:rsidR="0EEB5529" w:rsidRPr="0BAEFD6B">
        <w:rPr>
          <w:rFonts w:eastAsia="Arial" w:cs="Arial"/>
          <w:color w:val="000000" w:themeColor="text1"/>
        </w:rPr>
        <w:t>a single unit price for three community health activities</w:t>
      </w:r>
      <w:r>
        <w:rPr>
          <w:rFonts w:eastAsia="Arial" w:cs="Arial"/>
          <w:color w:val="000000" w:themeColor="text1"/>
        </w:rPr>
        <w:t>:</w:t>
      </w:r>
      <w:r w:rsidR="0EEB5529" w:rsidRPr="0BAEFD6B">
        <w:rPr>
          <w:rFonts w:eastAsia="Arial" w:cs="Arial"/>
          <w:color w:val="000000" w:themeColor="text1"/>
        </w:rPr>
        <w:t xml:space="preserve"> </w:t>
      </w:r>
      <w:r>
        <w:rPr>
          <w:rFonts w:eastAsia="Arial" w:cs="Arial"/>
          <w:color w:val="000000" w:themeColor="text1"/>
          <w:lang w:val="en-US"/>
        </w:rPr>
        <w:t>c</w:t>
      </w:r>
      <w:r w:rsidRPr="0BAEFD6B">
        <w:rPr>
          <w:rFonts w:eastAsia="Arial" w:cs="Arial"/>
          <w:color w:val="000000" w:themeColor="text1"/>
          <w:lang w:val="en-US"/>
        </w:rPr>
        <w:t xml:space="preserve">ommunity </w:t>
      </w:r>
      <w:r>
        <w:rPr>
          <w:rFonts w:eastAsia="Arial" w:cs="Arial"/>
          <w:color w:val="000000" w:themeColor="text1"/>
          <w:lang w:val="en-US"/>
        </w:rPr>
        <w:t>h</w:t>
      </w:r>
      <w:r w:rsidRPr="0BAEFD6B">
        <w:rPr>
          <w:rFonts w:eastAsia="Arial" w:cs="Arial"/>
          <w:color w:val="000000" w:themeColor="text1"/>
          <w:lang w:val="en-US"/>
        </w:rPr>
        <w:t>ealth</w:t>
      </w:r>
      <w:r w:rsidR="738DF171" w:rsidRPr="0BAEFD6B">
        <w:rPr>
          <w:rFonts w:eastAsia="Arial" w:cs="Arial"/>
          <w:color w:val="000000" w:themeColor="text1"/>
          <w:lang w:val="en-US"/>
        </w:rPr>
        <w:t>,</w:t>
      </w:r>
      <w:r w:rsidR="0EEB5529" w:rsidRPr="0BAEFD6B">
        <w:rPr>
          <w:rFonts w:eastAsia="Arial" w:cs="Arial"/>
          <w:color w:val="000000" w:themeColor="text1"/>
          <w:lang w:val="en-US"/>
        </w:rPr>
        <w:t xml:space="preserve"> </w:t>
      </w:r>
      <w:r>
        <w:rPr>
          <w:rFonts w:eastAsia="Arial" w:cs="Arial"/>
          <w:color w:val="000000" w:themeColor="text1"/>
          <w:lang w:val="en-US"/>
        </w:rPr>
        <w:t>s</w:t>
      </w:r>
      <w:r w:rsidRPr="0BAEFD6B">
        <w:rPr>
          <w:rFonts w:eastAsia="Arial" w:cs="Arial"/>
          <w:color w:val="000000" w:themeColor="text1"/>
          <w:lang w:val="en-US"/>
        </w:rPr>
        <w:t xml:space="preserve">mall </w:t>
      </w:r>
      <w:r>
        <w:rPr>
          <w:rFonts w:eastAsia="Arial" w:cs="Arial"/>
          <w:color w:val="000000" w:themeColor="text1"/>
          <w:lang w:val="en-US"/>
        </w:rPr>
        <w:t>r</w:t>
      </w:r>
      <w:r w:rsidRPr="0BAEFD6B">
        <w:rPr>
          <w:rFonts w:eastAsia="Arial" w:cs="Arial"/>
          <w:color w:val="000000" w:themeColor="text1"/>
          <w:lang w:val="en-US"/>
        </w:rPr>
        <w:t xml:space="preserve">ural </w:t>
      </w:r>
      <w:r>
        <w:rPr>
          <w:rFonts w:eastAsia="Arial" w:cs="Arial"/>
          <w:color w:val="000000" w:themeColor="text1"/>
          <w:lang w:val="en-US"/>
        </w:rPr>
        <w:t>p</w:t>
      </w:r>
      <w:r w:rsidRPr="0BAEFD6B">
        <w:rPr>
          <w:rFonts w:eastAsia="Arial" w:cs="Arial"/>
          <w:color w:val="000000" w:themeColor="text1"/>
          <w:lang w:val="en-US"/>
        </w:rPr>
        <w:t xml:space="preserve">rimary </w:t>
      </w:r>
      <w:r>
        <w:rPr>
          <w:rFonts w:eastAsia="Arial" w:cs="Arial"/>
          <w:color w:val="000000" w:themeColor="text1"/>
          <w:lang w:val="en-US"/>
        </w:rPr>
        <w:t>h</w:t>
      </w:r>
      <w:r w:rsidRPr="0BAEFD6B">
        <w:rPr>
          <w:rFonts w:eastAsia="Arial" w:cs="Arial"/>
          <w:color w:val="000000" w:themeColor="text1"/>
          <w:lang w:val="en-US"/>
        </w:rPr>
        <w:t xml:space="preserve">ealth </w:t>
      </w:r>
      <w:r w:rsidR="0EEB5529" w:rsidRPr="0BAEFD6B">
        <w:rPr>
          <w:rFonts w:eastAsia="Arial" w:cs="Arial"/>
          <w:color w:val="000000" w:themeColor="text1"/>
          <w:lang w:val="en-US"/>
        </w:rPr>
        <w:t xml:space="preserve">– </w:t>
      </w:r>
      <w:r>
        <w:rPr>
          <w:rFonts w:eastAsia="Arial" w:cs="Arial"/>
          <w:color w:val="000000" w:themeColor="text1"/>
          <w:lang w:val="en-US"/>
        </w:rPr>
        <w:t>f</w:t>
      </w:r>
      <w:r w:rsidRPr="0BAEFD6B">
        <w:rPr>
          <w:rFonts w:eastAsia="Arial" w:cs="Arial"/>
          <w:color w:val="000000" w:themeColor="text1"/>
          <w:lang w:val="en-US"/>
        </w:rPr>
        <w:t xml:space="preserve">lexible </w:t>
      </w:r>
      <w:r>
        <w:rPr>
          <w:rFonts w:eastAsia="Arial" w:cs="Arial"/>
          <w:color w:val="000000" w:themeColor="text1"/>
          <w:lang w:val="en-US"/>
        </w:rPr>
        <w:t>s</w:t>
      </w:r>
      <w:r w:rsidRPr="0BAEFD6B">
        <w:rPr>
          <w:rFonts w:eastAsia="Arial" w:cs="Arial"/>
          <w:color w:val="000000" w:themeColor="text1"/>
          <w:lang w:val="en-US"/>
        </w:rPr>
        <w:t>ervices</w:t>
      </w:r>
      <w:r>
        <w:rPr>
          <w:rFonts w:eastAsia="Arial" w:cs="Arial"/>
          <w:color w:val="000000" w:themeColor="text1"/>
          <w:lang w:val="en-US"/>
        </w:rPr>
        <w:t>,</w:t>
      </w:r>
      <w:r w:rsidRPr="0BAEFD6B">
        <w:rPr>
          <w:rFonts w:eastAsia="Arial" w:cs="Arial"/>
          <w:color w:val="000000" w:themeColor="text1"/>
          <w:lang w:val="en-US"/>
        </w:rPr>
        <w:t xml:space="preserve"> </w:t>
      </w:r>
      <w:r w:rsidR="0EEB5529" w:rsidRPr="0BAEFD6B">
        <w:rPr>
          <w:rFonts w:eastAsia="Arial" w:cs="Arial"/>
          <w:color w:val="000000" w:themeColor="text1"/>
          <w:lang w:val="en-US"/>
        </w:rPr>
        <w:t xml:space="preserve">and </w:t>
      </w:r>
      <w:r>
        <w:rPr>
          <w:rFonts w:eastAsia="Arial" w:cs="Arial"/>
          <w:color w:val="000000" w:themeColor="text1"/>
          <w:lang w:val="en-US"/>
        </w:rPr>
        <w:t>i</w:t>
      </w:r>
      <w:r w:rsidRPr="0BAEFD6B">
        <w:rPr>
          <w:rFonts w:eastAsia="Arial" w:cs="Arial"/>
          <w:color w:val="000000" w:themeColor="text1"/>
          <w:lang w:val="en-US"/>
        </w:rPr>
        <w:t xml:space="preserve">ntegrated </w:t>
      </w:r>
      <w:r>
        <w:rPr>
          <w:rFonts w:eastAsia="Arial" w:cs="Arial"/>
          <w:color w:val="000000" w:themeColor="text1"/>
          <w:lang w:val="en-US"/>
        </w:rPr>
        <w:t>c</w:t>
      </w:r>
      <w:r w:rsidRPr="0BAEFD6B">
        <w:rPr>
          <w:rFonts w:eastAsia="Arial" w:cs="Arial"/>
          <w:color w:val="000000" w:themeColor="text1"/>
          <w:lang w:val="en-US"/>
        </w:rPr>
        <w:t xml:space="preserve">hronic </w:t>
      </w:r>
      <w:r>
        <w:rPr>
          <w:rFonts w:eastAsia="Arial" w:cs="Arial"/>
          <w:color w:val="000000" w:themeColor="text1"/>
          <w:lang w:val="en-US"/>
        </w:rPr>
        <w:t>d</w:t>
      </w:r>
      <w:r w:rsidRPr="0BAEFD6B">
        <w:rPr>
          <w:rFonts w:eastAsia="Arial" w:cs="Arial"/>
          <w:color w:val="000000" w:themeColor="text1"/>
          <w:lang w:val="en-US"/>
        </w:rPr>
        <w:t xml:space="preserve">isease </w:t>
      </w:r>
      <w:r>
        <w:rPr>
          <w:rFonts w:eastAsia="Arial" w:cs="Arial"/>
          <w:color w:val="000000" w:themeColor="text1"/>
          <w:lang w:val="en-US"/>
        </w:rPr>
        <w:t>m</w:t>
      </w:r>
      <w:r w:rsidRPr="0BAEFD6B">
        <w:rPr>
          <w:rFonts w:eastAsia="Arial" w:cs="Arial"/>
          <w:color w:val="000000" w:themeColor="text1"/>
          <w:lang w:val="en-US"/>
        </w:rPr>
        <w:t>anagement</w:t>
      </w:r>
      <w:r w:rsidR="0EEB5529" w:rsidRPr="0BAEFD6B">
        <w:rPr>
          <w:rFonts w:eastAsia="Arial" w:cs="Arial"/>
          <w:color w:val="000000" w:themeColor="text1"/>
          <w:lang w:val="en-US"/>
        </w:rPr>
        <w:t xml:space="preserve">. </w:t>
      </w:r>
    </w:p>
    <w:p w14:paraId="5C18D822" w14:textId="31250941" w:rsidR="00775157" w:rsidRPr="0062066F" w:rsidRDefault="0EEB5529" w:rsidP="00685B35">
      <w:pPr>
        <w:pStyle w:val="Body"/>
      </w:pPr>
      <w:r w:rsidRPr="0BAEFD6B">
        <w:rPr>
          <w:rFonts w:eastAsia="Arial" w:cs="Arial"/>
          <w:color w:val="000000" w:themeColor="text1"/>
        </w:rPr>
        <w:t>Each community health service will continue to receive the same total funding under a single unit price and will be able to use the funding flexibly. The introduction of a single unit price will raise the costed nursing unit price to be equivalent with the allied health unit price, with hours adjusted.</w:t>
      </w:r>
    </w:p>
    <w:p w14:paraId="1C606DBD" w14:textId="2FB2EC27" w:rsidR="000B27B9" w:rsidRPr="00B2525E" w:rsidRDefault="00BF1110" w:rsidP="00081936">
      <w:pPr>
        <w:pStyle w:val="Heading4"/>
        <w:numPr>
          <w:ilvl w:val="3"/>
          <w:numId w:val="33"/>
        </w:numPr>
      </w:pPr>
      <w:r>
        <w:t>C</w:t>
      </w:r>
      <w:r w:rsidR="004274BC">
        <w:t>ross</w:t>
      </w:r>
      <w:r w:rsidR="368059AD">
        <w:t>-</w:t>
      </w:r>
      <w:r w:rsidR="004274BC">
        <w:t>border patients</w:t>
      </w:r>
    </w:p>
    <w:p w14:paraId="3A5E9F5D" w14:textId="08FAD14D" w:rsidR="000B27B9" w:rsidRDefault="000B27B9" w:rsidP="00B92CD4">
      <w:pPr>
        <w:pStyle w:val="Body"/>
      </w:pPr>
      <w:r>
        <w:t xml:space="preserve">The </w:t>
      </w:r>
      <w:r w:rsidR="00DF2799">
        <w:t>d</w:t>
      </w:r>
      <w:r>
        <w:t xml:space="preserve">epartment allocates funding according to the expected activity levels. Normally, the </w:t>
      </w:r>
      <w:r w:rsidR="00DF2799">
        <w:t>d</w:t>
      </w:r>
      <w:r>
        <w:t xml:space="preserve">epartment estimates its expected revenue for a relevant financial year (Commonwealth, </w:t>
      </w:r>
      <w:r w:rsidR="00E82BCE">
        <w:t>state</w:t>
      </w:r>
      <w:r>
        <w:t>, net cross-border funding) and also sets aside funding for known commitments to be incurred during the financial year.</w:t>
      </w:r>
    </w:p>
    <w:p w14:paraId="5B1472FF" w14:textId="77777777" w:rsidR="000B27B9" w:rsidRDefault="000B27B9" w:rsidP="00B92CD4">
      <w:pPr>
        <w:pStyle w:val="Body"/>
      </w:pPr>
      <w:r w:rsidRPr="00112A8E">
        <w:t xml:space="preserve">In general, funded organisations are cash-flowed during the financial year according to their funding allocations. </w:t>
      </w:r>
      <w:r>
        <w:t>Funded organisations are expected to manage their resident and non-resident demand based on the funding provided.</w:t>
      </w:r>
    </w:p>
    <w:p w14:paraId="3A8C9407" w14:textId="6DBE0362" w:rsidR="000B27B9" w:rsidRDefault="000B27B9" w:rsidP="00B92CD4">
      <w:pPr>
        <w:pStyle w:val="Body"/>
      </w:pPr>
      <w:r w:rsidRPr="00112A8E">
        <w:t>Where required, adjustments to this funding for over- and under-activity are made in the following financial year accordin</w:t>
      </w:r>
      <w:r>
        <w:t>g to the policies set out in the prior</w:t>
      </w:r>
      <w:r w:rsidR="006B4DBF">
        <w:t>-</w:t>
      </w:r>
      <w:r>
        <w:t>year adjustment section of the</w:t>
      </w:r>
      <w:r w:rsidR="00973F55">
        <w:t>se</w:t>
      </w:r>
      <w:r>
        <w:t xml:space="preserve"> </w:t>
      </w:r>
      <w:r w:rsidRPr="001974FE">
        <w:t>guidelines</w:t>
      </w:r>
      <w:r>
        <w:t>. The prior</w:t>
      </w:r>
      <w:r w:rsidR="006B4DBF">
        <w:t>-</w:t>
      </w:r>
      <w:r>
        <w:t xml:space="preserve">year adjustment policy does not make adjustments for changes </w:t>
      </w:r>
      <w:r w:rsidRPr="001C45DE">
        <w:t>for annual variations in this cohort</w:t>
      </w:r>
      <w:r>
        <w:t>.</w:t>
      </w:r>
    </w:p>
    <w:p w14:paraId="3E179FE4" w14:textId="048CCC8D" w:rsidR="000B27B9" w:rsidRDefault="000B27B9" w:rsidP="00B92CD4">
      <w:pPr>
        <w:pStyle w:val="Body"/>
      </w:pPr>
      <w:r>
        <w:t xml:space="preserve">In accordance with Clause A91 of the NHRA, cross-border agreements are developed between jurisdictions that experience significant cross-border flows. The </w:t>
      </w:r>
      <w:r w:rsidR="00DF2799">
        <w:t>d</w:t>
      </w:r>
      <w:r>
        <w:t xml:space="preserve">epartment negotiates agreements with all other states and territories (jurisdictions), based on a standard agreement. These agreements form the basis of the flow of funds between Victoria and other jurisdictions for residents treated from those respective </w:t>
      </w:r>
      <w:r w:rsidR="008F1386">
        <w:t>states and territories</w:t>
      </w:r>
      <w:r>
        <w:t xml:space="preserve">. Annual reconciliations of cross-border flows </w:t>
      </w:r>
      <w:r>
        <w:lastRenderedPageBreak/>
        <w:t>occur to determine the liability of each jurisdiction. This revenue/liability is then factored into the available revenue available for redistribution as part of the modelled budget each year.</w:t>
      </w:r>
    </w:p>
    <w:p w14:paraId="2B5DD561" w14:textId="4E7A4169" w:rsidR="000B27B9" w:rsidRDefault="000B27B9" w:rsidP="00B92CD4">
      <w:pPr>
        <w:pStyle w:val="Body"/>
      </w:pPr>
      <w:r>
        <w:t>Under these agreements, a</w:t>
      </w:r>
      <w:r w:rsidRPr="001C45DE">
        <w:t xml:space="preserve">ll financial transactions </w:t>
      </w:r>
      <w:r>
        <w:t xml:space="preserve">are to be transacted by the relevant health departments and not through interagency transfers (for example, hospital to hospital or </w:t>
      </w:r>
      <w:r w:rsidR="0055462A">
        <w:t xml:space="preserve">state </w:t>
      </w:r>
      <w:r>
        <w:t>health department to hospital).</w:t>
      </w:r>
    </w:p>
    <w:p w14:paraId="49CFC520" w14:textId="632326B7" w:rsidR="000B27B9" w:rsidRPr="00A420BD" w:rsidRDefault="000B27B9" w:rsidP="00B92CD4">
      <w:pPr>
        <w:pStyle w:val="Body"/>
      </w:pPr>
      <w:r>
        <w:t>Under the cross-border agreements, there is an exemption for high</w:t>
      </w:r>
      <w:r w:rsidR="00EB743C">
        <w:t>-</w:t>
      </w:r>
      <w:r>
        <w:t xml:space="preserve">cost procedures. </w:t>
      </w:r>
      <w:r w:rsidRPr="00A420BD">
        <w:t>A high</w:t>
      </w:r>
      <w:r w:rsidR="00EB743C">
        <w:t>-</w:t>
      </w:r>
      <w:r w:rsidRPr="00A420BD">
        <w:t xml:space="preserve">cost procedure is </w:t>
      </w:r>
      <w:r>
        <w:t xml:space="preserve">defined as </w:t>
      </w:r>
      <w:r w:rsidRPr="00A420BD">
        <w:t>a procedure that is not reasonably funded by the existing classification system and cost weights and are agreed to at a jurisdictional level prospectively on a case</w:t>
      </w:r>
      <w:r>
        <w:t>-</w:t>
      </w:r>
      <w:r w:rsidRPr="00A420BD">
        <w:t>by</w:t>
      </w:r>
      <w:r>
        <w:t>-</w:t>
      </w:r>
      <w:r w:rsidRPr="00A420BD">
        <w:t>case basis. For the avoidance of doubt, this definition excludes experimental procedures.</w:t>
      </w:r>
    </w:p>
    <w:p w14:paraId="42CA4321" w14:textId="169FBA1B" w:rsidR="000B27B9" w:rsidRPr="00A420BD" w:rsidRDefault="000B27B9" w:rsidP="00B92CD4">
      <w:pPr>
        <w:pStyle w:val="Body"/>
      </w:pPr>
      <w:r w:rsidRPr="00A420BD">
        <w:t>Admitted acute high</w:t>
      </w:r>
      <w:r w:rsidR="00EB743C">
        <w:t>-</w:t>
      </w:r>
      <w:r w:rsidRPr="00A420BD">
        <w:t>cost procedures (</w:t>
      </w:r>
      <w:r>
        <w:t>for example,</w:t>
      </w:r>
      <w:r w:rsidRPr="00A420BD">
        <w:t xml:space="preserve"> those funded by </w:t>
      </w:r>
      <w:r w:rsidR="00081A9E">
        <w:t>NWAU</w:t>
      </w:r>
      <w:r w:rsidRPr="00A420BD">
        <w:t>) are defined by procedures that:</w:t>
      </w:r>
    </w:p>
    <w:p w14:paraId="647E0F0B" w14:textId="77777777" w:rsidR="000B27B9" w:rsidRPr="00A420BD" w:rsidRDefault="000B27B9" w:rsidP="00E05C4E">
      <w:pPr>
        <w:pStyle w:val="Bullet1"/>
      </w:pPr>
      <w:r>
        <w:t>are provided at limited sites nationally</w:t>
      </w:r>
    </w:p>
    <w:p w14:paraId="531412D4" w14:textId="77777777" w:rsidR="000B27B9" w:rsidRPr="00A420BD" w:rsidRDefault="000B27B9" w:rsidP="00E05C4E">
      <w:pPr>
        <w:pStyle w:val="Bullet1"/>
      </w:pPr>
      <w:r>
        <w:t>have low volume (&lt; 200 separations nationally)</w:t>
      </w:r>
    </w:p>
    <w:p w14:paraId="44233631" w14:textId="555661EF" w:rsidR="000B27B9" w:rsidRPr="00A420BD" w:rsidRDefault="000B27B9" w:rsidP="00E05C4E">
      <w:pPr>
        <w:pStyle w:val="Bullet1"/>
      </w:pPr>
      <w:r>
        <w:t xml:space="preserve">cost significantly more (&gt; $20,000) than the funding provided based on the relevant year’s </w:t>
      </w:r>
      <w:hyperlink r:id="rId27">
        <w:r w:rsidRPr="4DDFA079">
          <w:rPr>
            <w:rStyle w:val="Hyperlink"/>
          </w:rPr>
          <w:t>National Efficient Price Determination</w:t>
        </w:r>
      </w:hyperlink>
      <w:r>
        <w:t xml:space="preserve"> &lt;</w:t>
      </w:r>
      <w:r w:rsidR="005F7369" w:rsidRPr="005F7369">
        <w:t>https://www.ihacpa.gov.au/pricing/national-efficient-price-determination</w:t>
      </w:r>
      <w:r>
        <w:t>&gt;.</w:t>
      </w:r>
    </w:p>
    <w:p w14:paraId="15E2D437" w14:textId="5E918747" w:rsidR="000B27B9" w:rsidRDefault="000B27B9" w:rsidP="00B92CD4">
      <w:pPr>
        <w:pStyle w:val="Bodyafterbullets"/>
      </w:pPr>
      <w:r>
        <w:t xml:space="preserve">Prior to the procedure, hospitals </w:t>
      </w:r>
      <w:r w:rsidRPr="006F35AF">
        <w:t xml:space="preserve">may seek </w:t>
      </w:r>
      <w:r>
        <w:t xml:space="preserve">this exemption (in limited circumstances) </w:t>
      </w:r>
      <w:r w:rsidRPr="006F35AF">
        <w:t>from the department for those services classified as high</w:t>
      </w:r>
      <w:r w:rsidR="00EB743C">
        <w:t>-</w:t>
      </w:r>
      <w:r w:rsidRPr="006F35AF">
        <w:t>cost procedures and</w:t>
      </w:r>
      <w:r>
        <w:t xml:space="preserve"> that will be</w:t>
      </w:r>
      <w:r w:rsidRPr="006F35AF">
        <w:t xml:space="preserve"> provided to patients who reside in </w:t>
      </w:r>
      <w:r w:rsidR="0055462A" w:rsidRPr="006F35AF">
        <w:t xml:space="preserve">another </w:t>
      </w:r>
      <w:r w:rsidR="0055462A">
        <w:t>s</w:t>
      </w:r>
      <w:r w:rsidR="0055462A" w:rsidRPr="006F35AF">
        <w:t xml:space="preserve">tate or </w:t>
      </w:r>
      <w:r w:rsidR="0055462A">
        <w:t>t</w:t>
      </w:r>
      <w:r w:rsidR="0055462A" w:rsidRPr="006F35AF">
        <w:t>erritory</w:t>
      </w:r>
      <w:r w:rsidRPr="006F35AF">
        <w:t>. Subject to meeting the definition of a high</w:t>
      </w:r>
      <w:r w:rsidR="00EB743C">
        <w:t>-</w:t>
      </w:r>
      <w:r w:rsidRPr="006F35AF">
        <w:t>cost procedure and complying with the agre</w:t>
      </w:r>
      <w:r>
        <w:t xml:space="preserve">ed criteria and process, </w:t>
      </w:r>
      <w:r w:rsidRPr="006F35AF">
        <w:t xml:space="preserve">hospitals may be paid a supplementary payment by the </w:t>
      </w:r>
      <w:r w:rsidR="00DF2799">
        <w:t>d</w:t>
      </w:r>
      <w:r w:rsidRPr="006F35AF">
        <w:t>epartment through the prior</w:t>
      </w:r>
      <w:r w:rsidR="006B4DBF">
        <w:t>-</w:t>
      </w:r>
      <w:r w:rsidRPr="006F35AF">
        <w:t xml:space="preserve">year adjustment process to meet the difference between the </w:t>
      </w:r>
      <w:r w:rsidR="00DF2799">
        <w:t>d</w:t>
      </w:r>
      <w:r w:rsidRPr="006F35AF">
        <w:t>epartment’s funding allocation and the actual cost of the procedure paid by the resident’s jurisdiction.</w:t>
      </w:r>
    </w:p>
    <w:p w14:paraId="39F3F05D" w14:textId="6D46141B" w:rsidR="000B27B9" w:rsidRDefault="000B27B9" w:rsidP="00B92CD4">
      <w:pPr>
        <w:pStyle w:val="Body"/>
      </w:pPr>
      <w:r>
        <w:t xml:space="preserve">Hospitals should advise the </w:t>
      </w:r>
      <w:r w:rsidR="00DF2799">
        <w:t>d</w:t>
      </w:r>
      <w:r>
        <w:t>epartment in advance (wherever possible) and care to non-resident patients should not be subject to or impacted by financial arrangements and should be based on standard clinical protocols.</w:t>
      </w:r>
    </w:p>
    <w:p w14:paraId="5E58E3F8" w14:textId="4EE0EBBF" w:rsidR="000B27B9" w:rsidRDefault="000B27B9" w:rsidP="00B92CD4">
      <w:pPr>
        <w:pStyle w:val="Body"/>
      </w:pPr>
      <w:r>
        <w:t>H</w:t>
      </w:r>
      <w:r w:rsidRPr="006F35AF">
        <w:t xml:space="preserve">ospitals may not seek an exemption for </w:t>
      </w:r>
      <w:r w:rsidR="00A57221">
        <w:t>n</w:t>
      </w:r>
      <w:r w:rsidR="00A57221" w:rsidRPr="006F35AF">
        <w:t xml:space="preserve">ationally </w:t>
      </w:r>
      <w:r w:rsidR="00A57221">
        <w:t>f</w:t>
      </w:r>
      <w:r w:rsidR="00A57221" w:rsidRPr="006F35AF">
        <w:t xml:space="preserve">unded </w:t>
      </w:r>
      <w:r w:rsidR="00A57221">
        <w:t>c</w:t>
      </w:r>
      <w:r w:rsidR="00A57221" w:rsidRPr="006F35AF">
        <w:t xml:space="preserve">entre </w:t>
      </w:r>
      <w:r w:rsidRPr="006F35AF">
        <w:t>(NFC) procedures</w:t>
      </w:r>
      <w:r w:rsidR="00A57221">
        <w:t>,</w:t>
      </w:r>
      <w:r w:rsidRPr="006F35AF">
        <w:t xml:space="preserve"> as the funding for these procedures are already shared by jurisdictions and set annually by the </w:t>
      </w:r>
      <w:r w:rsidR="007C1B44">
        <w:t>Health Chief Executives Forum</w:t>
      </w:r>
      <w:r w:rsidRPr="006F35AF">
        <w:t>.</w:t>
      </w:r>
    </w:p>
    <w:p w14:paraId="296C6852" w14:textId="1A63C33A" w:rsidR="007D64B5" w:rsidRDefault="007D64B5" w:rsidP="00685B35">
      <w:pPr>
        <w:pStyle w:val="Heading2"/>
      </w:pPr>
      <w:bookmarkStart w:id="105" w:name="_Toc100263277"/>
      <w:bookmarkStart w:id="106" w:name="_Toc156569601"/>
      <w:bookmarkStart w:id="107" w:name="_Hlk77685410"/>
      <w:bookmarkStart w:id="108" w:name="_Toc52892559"/>
      <w:r>
        <w:lastRenderedPageBreak/>
        <w:t xml:space="preserve">National </w:t>
      </w:r>
      <w:r w:rsidR="004274BC">
        <w:t xml:space="preserve">funding </w:t>
      </w:r>
      <w:bookmarkEnd w:id="105"/>
      <w:r w:rsidR="004274BC">
        <w:t>arrangements</w:t>
      </w:r>
      <w:bookmarkEnd w:id="106"/>
    </w:p>
    <w:p w14:paraId="3EEACABC" w14:textId="619858A9" w:rsidR="007D64B5" w:rsidRPr="0025494B" w:rsidRDefault="007D64B5" w:rsidP="007D64B5">
      <w:pPr>
        <w:pStyle w:val="Body"/>
      </w:pPr>
      <w:r w:rsidRPr="0025494B">
        <w:t xml:space="preserve">The </w:t>
      </w:r>
      <w:r>
        <w:t>NHRA</w:t>
      </w:r>
      <w:r w:rsidRPr="0025494B">
        <w:t xml:space="preserve"> establish</w:t>
      </w:r>
      <w:r>
        <w:t xml:space="preserve">es </w:t>
      </w:r>
      <w:r w:rsidRPr="0025494B">
        <w:t xml:space="preserve">a framework for funding public hospital services under a national approach to </w:t>
      </w:r>
      <w:r>
        <w:t>activity-based funding</w:t>
      </w:r>
      <w:r w:rsidR="00557E4B">
        <w:t xml:space="preserve"> (ABF)</w:t>
      </w:r>
      <w:r w:rsidRPr="0025494B">
        <w:t>.</w:t>
      </w:r>
    </w:p>
    <w:p w14:paraId="7F2CCAC8" w14:textId="77777777" w:rsidR="00F41B07" w:rsidRDefault="007D64B5" w:rsidP="007D64B5">
      <w:pPr>
        <w:pStyle w:val="Body"/>
      </w:pPr>
      <w:r w:rsidRPr="0025494B">
        <w:t xml:space="preserve">The goal of the national approach is to provide a national platform for accurately and visibly allocating funding to Australian hospitals based on activity performed. </w:t>
      </w:r>
    </w:p>
    <w:p w14:paraId="760412A5" w14:textId="094D53A4" w:rsidR="00BF78E4" w:rsidRDefault="00BF78E4" w:rsidP="00BF78E4">
      <w:pPr>
        <w:pStyle w:val="Body"/>
      </w:pPr>
      <w:r>
        <w:t xml:space="preserve">In </w:t>
      </w:r>
      <w:r w:rsidR="002E7EEF" w:rsidRPr="001725DF">
        <w:t>202</w:t>
      </w:r>
      <w:r w:rsidR="005E327A">
        <w:t>3</w:t>
      </w:r>
      <w:r w:rsidR="004274BC">
        <w:t>–</w:t>
      </w:r>
      <w:r w:rsidR="005E327A">
        <w:t>24</w:t>
      </w:r>
      <w:r w:rsidR="0055462A">
        <w:t>,</w:t>
      </w:r>
      <w:r w:rsidR="002E7EEF" w:rsidRPr="00110B89">
        <w:rPr>
          <w:lang w:val="en-US"/>
        </w:rPr>
        <w:t xml:space="preserve"> </w:t>
      </w:r>
      <w:r>
        <w:t xml:space="preserve">the in-scope public hospital services that will be funded </w:t>
      </w:r>
      <w:r w:rsidR="00AB0998">
        <w:t xml:space="preserve">by the Commonwealth </w:t>
      </w:r>
      <w:r>
        <w:t xml:space="preserve">through </w:t>
      </w:r>
      <w:r w:rsidR="007622F0">
        <w:t>activity</w:t>
      </w:r>
      <w:r w:rsidR="00D9542F">
        <w:t>-</w:t>
      </w:r>
      <w:r w:rsidR="007622F0">
        <w:t xml:space="preserve">based funding under </w:t>
      </w:r>
      <w:r>
        <w:t xml:space="preserve">the </w:t>
      </w:r>
      <w:r w:rsidRPr="00BF78E4">
        <w:rPr>
          <w:iCs/>
        </w:rPr>
        <w:t>NHRA</w:t>
      </w:r>
      <w:r>
        <w:t xml:space="preserve"> are:</w:t>
      </w:r>
    </w:p>
    <w:p w14:paraId="154C3995" w14:textId="380BA6EC" w:rsidR="00BF78E4" w:rsidRPr="00715B2B" w:rsidRDefault="00BF78E4" w:rsidP="00E05C4E">
      <w:pPr>
        <w:pStyle w:val="Bullet1"/>
      </w:pPr>
      <w:r>
        <w:t>all acute admitted patient services, including H</w:t>
      </w:r>
      <w:r w:rsidR="00CC2D9D">
        <w:t>ospital in the Home (H</w:t>
      </w:r>
      <w:r>
        <w:t>ITH</w:t>
      </w:r>
      <w:r w:rsidR="00CC2D9D">
        <w:t>)</w:t>
      </w:r>
    </w:p>
    <w:p w14:paraId="2849C380" w14:textId="77777777" w:rsidR="00BF78E4" w:rsidRPr="00715B2B" w:rsidRDefault="00BF78E4" w:rsidP="00E05C4E">
      <w:pPr>
        <w:pStyle w:val="Bullet1"/>
      </w:pPr>
      <w:r>
        <w:t>all emergency department services</w:t>
      </w:r>
    </w:p>
    <w:p w14:paraId="30DDCC15" w14:textId="77777777" w:rsidR="00BF78E4" w:rsidRPr="00715B2B" w:rsidRDefault="00BF78E4" w:rsidP="00E05C4E">
      <w:pPr>
        <w:pStyle w:val="Bullet1"/>
      </w:pPr>
      <w:r>
        <w:t>all admitted subacute services</w:t>
      </w:r>
    </w:p>
    <w:p w14:paraId="47EB1F84" w14:textId="77777777" w:rsidR="00BF78E4" w:rsidRPr="00715B2B" w:rsidRDefault="00BF78E4" w:rsidP="00E05C4E">
      <w:pPr>
        <w:pStyle w:val="Bullet1"/>
      </w:pPr>
      <w:r>
        <w:t>all admitted mental health services</w:t>
      </w:r>
    </w:p>
    <w:p w14:paraId="638ABE5E" w14:textId="2224D549" w:rsidR="007D64B5" w:rsidRPr="0060001F" w:rsidRDefault="00BF78E4" w:rsidP="00E05C4E">
      <w:pPr>
        <w:pStyle w:val="Bullet1"/>
      </w:pPr>
      <w:r>
        <w:t>non-admitted acute and non-admitted subacute patient services</w:t>
      </w:r>
      <w:r w:rsidR="007D64B5">
        <w:t>.</w:t>
      </w:r>
    </w:p>
    <w:p w14:paraId="705F9315" w14:textId="77777777" w:rsidR="00BF78E4" w:rsidRDefault="00BF78E4" w:rsidP="00BF78E4">
      <w:pPr>
        <w:pStyle w:val="Bodyafterbullets"/>
      </w:pPr>
      <w:r>
        <w:t>The national model recognises that activity-based funding may not always be practicable and that some services will need to be funded on a block-grant basis. Under current arrangements, small rural health services and teaching, non-admitted mental health training and research outputs will continue to be funded nationally through block grants.</w:t>
      </w:r>
    </w:p>
    <w:p w14:paraId="4BF824CA" w14:textId="74551A09" w:rsidR="007D64B5" w:rsidRDefault="03ACD1AD" w:rsidP="00081936">
      <w:pPr>
        <w:pStyle w:val="Heading3"/>
        <w:numPr>
          <w:ilvl w:val="2"/>
          <w:numId w:val="33"/>
        </w:numPr>
        <w:spacing w:before="240"/>
        <w:ind w:left="1134"/>
      </w:pPr>
      <w:bookmarkStart w:id="109" w:name="_Toc100263278"/>
      <w:bookmarkStart w:id="110" w:name="_Toc156569602"/>
      <w:r>
        <w:t>P</w:t>
      </w:r>
      <w:r w:rsidR="528E3CFC">
        <w:t xml:space="preserve">ricing </w:t>
      </w:r>
      <w:r w:rsidR="004274BC">
        <w:t xml:space="preserve">framework </w:t>
      </w:r>
      <w:r w:rsidR="528E3CFC">
        <w:t xml:space="preserve">for Australian </w:t>
      </w:r>
      <w:bookmarkEnd w:id="109"/>
      <w:r w:rsidR="004274BC">
        <w:t>public hospitals</w:t>
      </w:r>
      <w:bookmarkEnd w:id="110"/>
    </w:p>
    <w:p w14:paraId="5CDB8015" w14:textId="0A3962B9" w:rsidR="00557E4B" w:rsidRDefault="4C7A8A74" w:rsidP="001748BC">
      <w:pPr>
        <w:pStyle w:val="Body"/>
      </w:pPr>
      <w:r>
        <w:t xml:space="preserve">The </w:t>
      </w:r>
      <w:r w:rsidRPr="00287747">
        <w:rPr>
          <w:i/>
        </w:rPr>
        <w:t xml:space="preserve">Pricing </w:t>
      </w:r>
      <w:r w:rsidR="0055462A">
        <w:rPr>
          <w:i/>
          <w:iCs/>
        </w:rPr>
        <w:t>f</w:t>
      </w:r>
      <w:r w:rsidR="0055462A" w:rsidRPr="00AE6427">
        <w:rPr>
          <w:i/>
          <w:iCs/>
        </w:rPr>
        <w:t>ramework</w:t>
      </w:r>
      <w:r w:rsidR="0055462A" w:rsidRPr="00287747">
        <w:rPr>
          <w:i/>
        </w:rPr>
        <w:t xml:space="preserve"> </w:t>
      </w:r>
      <w:r w:rsidRPr="00287747">
        <w:rPr>
          <w:i/>
        </w:rPr>
        <w:t xml:space="preserve">for Australian </w:t>
      </w:r>
      <w:r w:rsidR="0055462A">
        <w:rPr>
          <w:i/>
          <w:iCs/>
        </w:rPr>
        <w:t>p</w:t>
      </w:r>
      <w:r w:rsidR="0055462A" w:rsidRPr="00AE6427">
        <w:rPr>
          <w:i/>
          <w:iCs/>
        </w:rPr>
        <w:t xml:space="preserve">ublic </w:t>
      </w:r>
      <w:r w:rsidR="0055462A">
        <w:rPr>
          <w:i/>
          <w:iCs/>
        </w:rPr>
        <w:t>h</w:t>
      </w:r>
      <w:r w:rsidR="0055462A" w:rsidRPr="00AE6427">
        <w:rPr>
          <w:i/>
          <w:iCs/>
        </w:rPr>
        <w:t xml:space="preserve">ospital </w:t>
      </w:r>
      <w:r w:rsidR="0055462A">
        <w:rPr>
          <w:i/>
          <w:iCs/>
        </w:rPr>
        <w:t>s</w:t>
      </w:r>
      <w:r w:rsidR="0055462A" w:rsidRPr="00AE6427">
        <w:rPr>
          <w:i/>
          <w:iCs/>
        </w:rPr>
        <w:t>ervices</w:t>
      </w:r>
      <w:r w:rsidR="0055462A">
        <w:t xml:space="preserve"> </w:t>
      </w:r>
      <w:r>
        <w:t>(updated annually) outlines the principles, scope and methodology adopted by the I</w:t>
      </w:r>
      <w:r w:rsidR="0013611D">
        <w:t>H</w:t>
      </w:r>
      <w:r w:rsidR="005F7369">
        <w:t>AC</w:t>
      </w:r>
      <w:r>
        <w:t xml:space="preserve">PA to determine funding of in-scope public hospital services under the NHRA. The Framework articulates both </w:t>
      </w:r>
      <w:r w:rsidR="00977FCB">
        <w:t>A</w:t>
      </w:r>
      <w:r w:rsidR="00557E4B">
        <w:t xml:space="preserve">BF </w:t>
      </w:r>
      <w:r w:rsidR="7F397520">
        <w:t xml:space="preserve">and block funding approaches. The key difference between the two approaches is that the </w:t>
      </w:r>
      <w:r w:rsidR="00557E4B">
        <w:t>ABF</w:t>
      </w:r>
      <w:r w:rsidR="008F1386">
        <w:t xml:space="preserve"> </w:t>
      </w:r>
      <w:r w:rsidR="7F397520">
        <w:t>model calculates an efficient price per episode of care, while the block</w:t>
      </w:r>
      <w:r w:rsidR="00556817">
        <w:t>-</w:t>
      </w:r>
      <w:r w:rsidR="7F397520">
        <w:t xml:space="preserve">funded model calculates an efficient cost for the hospital (see sections </w:t>
      </w:r>
      <w:r w:rsidR="003119E1">
        <w:fldChar w:fldCharType="begin"/>
      </w:r>
      <w:r w:rsidR="003119E1">
        <w:instrText xml:space="preserve"> REF _Ref111436568 \r \h </w:instrText>
      </w:r>
      <w:r w:rsidR="003119E1">
        <w:fldChar w:fldCharType="separate"/>
      </w:r>
      <w:r w:rsidR="00892F13">
        <w:t>1.5.1.3</w:t>
      </w:r>
      <w:r w:rsidR="003119E1">
        <w:fldChar w:fldCharType="end"/>
      </w:r>
      <w:r w:rsidR="003119E1">
        <w:t xml:space="preserve"> </w:t>
      </w:r>
      <w:r w:rsidR="0025567C">
        <w:t>‘</w:t>
      </w:r>
      <w:r w:rsidR="003119E1">
        <w:fldChar w:fldCharType="begin"/>
      </w:r>
      <w:r w:rsidR="003119E1">
        <w:instrText xml:space="preserve"> REF _Ref111436568 \h </w:instrText>
      </w:r>
      <w:r w:rsidR="003119E1">
        <w:fldChar w:fldCharType="separate"/>
      </w:r>
      <w:r w:rsidR="00892F13">
        <w:t>Activity-based funding</w:t>
      </w:r>
      <w:r w:rsidR="003119E1">
        <w:fldChar w:fldCharType="end"/>
      </w:r>
      <w:r w:rsidR="0025567C">
        <w:t>’</w:t>
      </w:r>
      <w:r w:rsidR="00870A91">
        <w:t xml:space="preserve"> </w:t>
      </w:r>
      <w:r w:rsidR="7F397520">
        <w:t>and</w:t>
      </w:r>
      <w:r w:rsidR="00E205DE">
        <w:t xml:space="preserve"> </w:t>
      </w:r>
      <w:r w:rsidR="00E205DE">
        <w:fldChar w:fldCharType="begin"/>
      </w:r>
      <w:r w:rsidR="00E205DE">
        <w:instrText xml:space="preserve"> REF _Ref111436628 \r \h </w:instrText>
      </w:r>
      <w:r w:rsidR="00E205DE">
        <w:fldChar w:fldCharType="separate"/>
      </w:r>
      <w:r w:rsidR="00892F13">
        <w:t>1.5.1.4</w:t>
      </w:r>
      <w:r w:rsidR="00E205DE">
        <w:fldChar w:fldCharType="end"/>
      </w:r>
      <w:r w:rsidR="00E205DE">
        <w:t xml:space="preserve"> </w:t>
      </w:r>
      <w:r w:rsidR="0025567C">
        <w:t>‘</w:t>
      </w:r>
      <w:r w:rsidR="00E205DE">
        <w:fldChar w:fldCharType="begin"/>
      </w:r>
      <w:r w:rsidR="00E205DE">
        <w:instrText xml:space="preserve"> REF _Ref111436628 \h </w:instrText>
      </w:r>
      <w:r w:rsidR="00E205DE">
        <w:fldChar w:fldCharType="separate"/>
      </w:r>
      <w:r w:rsidR="00892F13">
        <w:t>National efficient cost (block funding)</w:t>
      </w:r>
      <w:r w:rsidR="00E205DE">
        <w:fldChar w:fldCharType="end"/>
      </w:r>
      <w:r w:rsidR="0025567C">
        <w:t>’</w:t>
      </w:r>
      <w:r w:rsidR="7F397520">
        <w:t>).</w:t>
      </w:r>
    </w:p>
    <w:p w14:paraId="79F6BF6A" w14:textId="619B978C" w:rsidR="009B5A5D" w:rsidRDefault="009B5A5D" w:rsidP="00081936">
      <w:pPr>
        <w:pStyle w:val="Heading4"/>
        <w:numPr>
          <w:ilvl w:val="3"/>
          <w:numId w:val="33"/>
        </w:numPr>
      </w:pPr>
      <w:r>
        <w:t xml:space="preserve">National </w:t>
      </w:r>
      <w:r w:rsidR="00173ECB">
        <w:t>efficient price and national efficient cost</w:t>
      </w:r>
    </w:p>
    <w:p w14:paraId="0A1A3BF9" w14:textId="6EF51DB8" w:rsidR="009B5A5D" w:rsidRDefault="009B5A5D" w:rsidP="009B5A5D">
      <w:pPr>
        <w:pStyle w:val="Body"/>
      </w:pPr>
      <w:r>
        <w:t xml:space="preserve">The </w:t>
      </w:r>
      <w:r w:rsidR="004274BC">
        <w:t xml:space="preserve">national efficient price </w:t>
      </w:r>
      <w:r>
        <w:t xml:space="preserve">(NEP) is used to calculate Commonwealth payments for public hospital services that are funded on an activity basis. The NEP has two key purposes: </w:t>
      </w:r>
    </w:p>
    <w:p w14:paraId="2B7B79AE" w14:textId="06B4A92D" w:rsidR="009B5A5D" w:rsidRDefault="00010F57" w:rsidP="00E05C4E">
      <w:pPr>
        <w:pStyle w:val="Bullet1"/>
      </w:pPr>
      <w:r>
        <w:t>i</w:t>
      </w:r>
      <w:r w:rsidR="00AD763B">
        <w:t xml:space="preserve">t </w:t>
      </w:r>
      <w:r w:rsidR="009B5A5D">
        <w:t xml:space="preserve">comprises a major determinant of the level of Commonwealth government funding </w:t>
      </w:r>
      <w:r w:rsidR="6B340502">
        <w:t>for</w:t>
      </w:r>
      <w:r w:rsidR="009B5A5D">
        <w:t xml:space="preserve"> public hospital services</w:t>
      </w:r>
      <w:r w:rsidR="00AD763B">
        <w:t>.</w:t>
      </w:r>
    </w:p>
    <w:p w14:paraId="3AF7C0DB" w14:textId="0DDFC281" w:rsidR="009B5A5D" w:rsidRDefault="00010F57" w:rsidP="00E05C4E">
      <w:pPr>
        <w:pStyle w:val="Bullet1"/>
      </w:pPr>
      <w:r>
        <w:t>i</w:t>
      </w:r>
      <w:r w:rsidR="00AD763B">
        <w:t xml:space="preserve">t </w:t>
      </w:r>
      <w:r w:rsidR="009B5A5D">
        <w:t xml:space="preserve">provides a benchmark for the efficient cost of providing public hospital services. </w:t>
      </w:r>
    </w:p>
    <w:p w14:paraId="632C86E6" w14:textId="6B47AA05" w:rsidR="009B5A5D" w:rsidRDefault="004274BC" w:rsidP="009B5A5D">
      <w:pPr>
        <w:pStyle w:val="Bodyafterbullets"/>
      </w:pPr>
      <w:r>
        <w:t>IHACPA</w:t>
      </w:r>
      <w:r w:rsidR="009B5A5D">
        <w:t xml:space="preserve"> determines the NEP for </w:t>
      </w:r>
      <w:r w:rsidR="00AD763B">
        <w:t xml:space="preserve">a </w:t>
      </w:r>
      <w:r w:rsidR="009B5A5D">
        <w:t xml:space="preserve">NWAU and has responsibility for setting the NEP based on the National Hospital Cost Data Collection. </w:t>
      </w:r>
    </w:p>
    <w:p w14:paraId="10E0AC1E" w14:textId="16A6A5D8" w:rsidR="00115126" w:rsidRDefault="009B5A5D" w:rsidP="009B5A5D">
      <w:pPr>
        <w:pStyle w:val="Body"/>
      </w:pPr>
      <w:r>
        <w:t xml:space="preserve">The </w:t>
      </w:r>
      <w:r w:rsidR="004274BC">
        <w:t xml:space="preserve">national efficient cost </w:t>
      </w:r>
      <w:r>
        <w:t>(NEC) is used to calculate Commonwealth Government payments for services that are funded on a block</w:t>
      </w:r>
      <w:r w:rsidR="00C646C5">
        <w:t>-</w:t>
      </w:r>
      <w:r>
        <w:t>grant basis</w:t>
      </w:r>
      <w:r w:rsidR="001748BC" w:rsidRPr="001748BC">
        <w:t>.</w:t>
      </w:r>
    </w:p>
    <w:p w14:paraId="350FFA6B" w14:textId="2D4E9FDD" w:rsidR="009B5A5D" w:rsidRDefault="009B5A5D" w:rsidP="00081936">
      <w:pPr>
        <w:pStyle w:val="Heading4"/>
        <w:numPr>
          <w:ilvl w:val="3"/>
          <w:numId w:val="33"/>
        </w:numPr>
      </w:pPr>
      <w:r>
        <w:t xml:space="preserve">National </w:t>
      </w:r>
      <w:r w:rsidR="004274BC">
        <w:t>weighted activity unit</w:t>
      </w:r>
    </w:p>
    <w:p w14:paraId="25D8E7BF" w14:textId="7FA17868" w:rsidR="000A5053" w:rsidRPr="007F03EF" w:rsidRDefault="000A5053" w:rsidP="000A5053">
      <w:pPr>
        <w:pStyle w:val="Body"/>
      </w:pPr>
      <w:r w:rsidRPr="00557E4B">
        <w:t xml:space="preserve">Activity under the national model is measured in terms of the NWAU, which is a measure of health service activity expressed as a common unit against which a price is paid. It provides a way of comparing and valuing public hospital services whether they are admissions, emergency department presentations or outpatient episodes, and is </w:t>
      </w:r>
      <w:r w:rsidRPr="007F03EF">
        <w:t xml:space="preserve">weighted for clinical complexity. </w:t>
      </w:r>
    </w:p>
    <w:p w14:paraId="0D3F5B50" w14:textId="33475BBF" w:rsidR="000A5053" w:rsidRDefault="3A260B33" w:rsidP="000A5053">
      <w:pPr>
        <w:pStyle w:val="Body"/>
      </w:pPr>
      <w:r>
        <w:t xml:space="preserve">In </w:t>
      </w:r>
      <w:r w:rsidR="18DFC80F">
        <w:t>202</w:t>
      </w:r>
      <w:r w:rsidR="0030763C">
        <w:t>3</w:t>
      </w:r>
      <w:r w:rsidR="00AD763B">
        <w:t>–</w:t>
      </w:r>
      <w:r w:rsidR="18DFC80F">
        <w:t>2</w:t>
      </w:r>
      <w:r w:rsidR="0030763C">
        <w:t>4</w:t>
      </w:r>
      <w:r w:rsidR="00AD763B">
        <w:t>,</w:t>
      </w:r>
      <w:r w:rsidR="18DFC80F" w:rsidRPr="3808635B">
        <w:rPr>
          <w:lang w:val="en-US"/>
        </w:rPr>
        <w:t xml:space="preserve"> </w:t>
      </w:r>
      <w:r>
        <w:t>the national activity unit will be known as NWAU(</w:t>
      </w:r>
      <w:r w:rsidR="0030763C">
        <w:t>23</w:t>
      </w:r>
      <w:r>
        <w:t xml:space="preserve">). </w:t>
      </w:r>
    </w:p>
    <w:p w14:paraId="06984AD2" w14:textId="04214BED" w:rsidR="001D0D79" w:rsidRDefault="001D0D79" w:rsidP="00081936">
      <w:pPr>
        <w:pStyle w:val="Heading4"/>
        <w:numPr>
          <w:ilvl w:val="3"/>
          <w:numId w:val="33"/>
        </w:numPr>
      </w:pPr>
      <w:bookmarkStart w:id="111" w:name="_Ref111436568"/>
      <w:r>
        <w:lastRenderedPageBreak/>
        <w:t>Activity-</w:t>
      </w:r>
      <w:r w:rsidR="004274BC">
        <w:t>based funding</w:t>
      </w:r>
      <w:bookmarkEnd w:id="111"/>
    </w:p>
    <w:p w14:paraId="67C65D97" w14:textId="5B3D2D0B" w:rsidR="001D0D79" w:rsidRDefault="5C0DB767" w:rsidP="001D0D79">
      <w:pPr>
        <w:pStyle w:val="Body"/>
      </w:pPr>
      <w:r>
        <w:t>The national funding model uses a number of classification systems to express the relative cost weights in terms of NWAUs for each ‘group’ of activity-based funding services. The national classification systems used to group patients for each activity-based funding service are:</w:t>
      </w:r>
    </w:p>
    <w:p w14:paraId="40014558" w14:textId="726CD5E8" w:rsidR="001D0D79" w:rsidRPr="00715B2B" w:rsidRDefault="001D0D79" w:rsidP="00E05C4E">
      <w:pPr>
        <w:pStyle w:val="Bullet1"/>
      </w:pPr>
      <w:r>
        <w:t>admitted patient services</w:t>
      </w:r>
      <w:r w:rsidR="004274BC">
        <w:t xml:space="preserve"> –</w:t>
      </w:r>
      <w:r>
        <w:t xml:space="preserve"> AR-DRG </w:t>
      </w:r>
      <w:r w:rsidR="00CC2D9D">
        <w:t>v</w:t>
      </w:r>
      <w:r>
        <w:t>ersion 1</w:t>
      </w:r>
      <w:r w:rsidR="00724EA0">
        <w:t>1</w:t>
      </w:r>
      <w:r>
        <w:t>.0</w:t>
      </w:r>
    </w:p>
    <w:p w14:paraId="0BCE127F" w14:textId="2CEA0785" w:rsidR="001D0D79" w:rsidRPr="00715B2B" w:rsidRDefault="001D0D79" w:rsidP="00E05C4E">
      <w:pPr>
        <w:pStyle w:val="Bullet1"/>
      </w:pPr>
      <w:r>
        <w:t>emergency department services</w:t>
      </w:r>
      <w:r w:rsidR="004274BC">
        <w:t xml:space="preserve"> – </w:t>
      </w:r>
      <w:r w:rsidR="327DBC6A">
        <w:t>Australian Emergency Care Classification version 1.0</w:t>
      </w:r>
      <w:r>
        <w:t xml:space="preserve"> (for recognised emergency departments at levels 3B–6) and Urgency Disposition Groups </w:t>
      </w:r>
      <w:r w:rsidR="00CC2D9D">
        <w:t xml:space="preserve">version </w:t>
      </w:r>
      <w:r>
        <w:t>1.3 (for recognised emergency departments at levels 1–3A)</w:t>
      </w:r>
    </w:p>
    <w:p w14:paraId="7BA83739" w14:textId="7DA1A1B0" w:rsidR="001D0D79" w:rsidRPr="00715B2B" w:rsidRDefault="001D0D79" w:rsidP="00E05C4E">
      <w:pPr>
        <w:pStyle w:val="Bullet1"/>
      </w:pPr>
      <w:r>
        <w:t>non-admitted patient services</w:t>
      </w:r>
      <w:r w:rsidR="004274BC">
        <w:t xml:space="preserve"> –</w:t>
      </w:r>
      <w:r>
        <w:t xml:space="preserve"> </w:t>
      </w:r>
      <w:r w:rsidRPr="0084258A">
        <w:t>Tier 2 Non</w:t>
      </w:r>
      <w:r w:rsidR="004274BC">
        <w:t>-</w:t>
      </w:r>
      <w:r w:rsidRPr="0084258A">
        <w:t xml:space="preserve">Admitted Services </w:t>
      </w:r>
      <w:r w:rsidR="00CC2D9D">
        <w:t>v</w:t>
      </w:r>
      <w:r w:rsidRPr="0084258A">
        <w:t xml:space="preserve">ersion </w:t>
      </w:r>
      <w:r w:rsidR="00744083">
        <w:t>8</w:t>
      </w:r>
      <w:r w:rsidRPr="0084258A">
        <w:t>.0</w:t>
      </w:r>
    </w:p>
    <w:p w14:paraId="74ABB348" w14:textId="6434248D" w:rsidR="001D0D79" w:rsidRPr="00715B2B" w:rsidRDefault="001D0D79" w:rsidP="00E05C4E">
      <w:pPr>
        <w:pStyle w:val="Bullet1"/>
      </w:pPr>
      <w:r>
        <w:t>admitted subacute patient services</w:t>
      </w:r>
      <w:r w:rsidR="004274BC">
        <w:t xml:space="preserve"> – </w:t>
      </w:r>
      <w:r>
        <w:t xml:space="preserve">Australian National Subacute and Non-Acute Patient Classification (AN-SNAP) </w:t>
      </w:r>
      <w:r w:rsidR="00CC2D9D">
        <w:t>v</w:t>
      </w:r>
      <w:r>
        <w:t>ersion 4.0.</w:t>
      </w:r>
    </w:p>
    <w:p w14:paraId="1BF3D3B6" w14:textId="582F97F5" w:rsidR="001D0D79" w:rsidRPr="00AA268B" w:rsidRDefault="001D0D79" w:rsidP="001D0D79">
      <w:pPr>
        <w:pStyle w:val="Bodyafterbullets"/>
      </w:pPr>
      <w:r w:rsidRPr="007F03EF">
        <w:t xml:space="preserve">The technical specifications of the national activity-based funding model are referred to in the </w:t>
      </w:r>
      <w:r w:rsidRPr="005F7012">
        <w:t>IH</w:t>
      </w:r>
      <w:r w:rsidR="004611CC">
        <w:t>AC</w:t>
      </w:r>
      <w:r w:rsidRPr="005F7012">
        <w:t xml:space="preserve">PA’s </w:t>
      </w:r>
      <w:hyperlink r:id="rId28" w:history="1">
        <w:r w:rsidRPr="001A6F9A">
          <w:rPr>
            <w:rStyle w:val="Hyperlink"/>
            <w:i/>
            <w:iCs/>
          </w:rPr>
          <w:t xml:space="preserve">National </w:t>
        </w:r>
        <w:r w:rsidR="00AD763B" w:rsidRPr="001A6F9A">
          <w:rPr>
            <w:rStyle w:val="Hyperlink"/>
            <w:i/>
            <w:iCs/>
          </w:rPr>
          <w:t>pricing model technical specifications</w:t>
        </w:r>
        <w:r w:rsidRPr="001A6F9A">
          <w:rPr>
            <w:rStyle w:val="Hyperlink"/>
            <w:i/>
            <w:iCs/>
          </w:rPr>
          <w:t xml:space="preserve"> 202</w:t>
        </w:r>
        <w:r w:rsidR="00F531AE" w:rsidRPr="001A6F9A">
          <w:rPr>
            <w:rStyle w:val="Hyperlink"/>
            <w:i/>
            <w:iCs/>
          </w:rPr>
          <w:t>3-24</w:t>
        </w:r>
      </w:hyperlink>
      <w:r w:rsidRPr="007F03EF">
        <w:t xml:space="preserve"> &lt;</w:t>
      </w:r>
      <w:r w:rsidR="00760F34" w:rsidRPr="00760F34">
        <w:t>https://www.ihacpa.gov.au/resources/national-pricing-model-technical-specifications-202</w:t>
      </w:r>
      <w:r w:rsidR="00F531AE">
        <w:t>3-24</w:t>
      </w:r>
      <w:r>
        <w:t>&gt;.</w:t>
      </w:r>
    </w:p>
    <w:p w14:paraId="740DBC17" w14:textId="59A9BD45" w:rsidR="001D0D79" w:rsidRDefault="00494FEA" w:rsidP="00081936">
      <w:pPr>
        <w:pStyle w:val="Heading4"/>
        <w:numPr>
          <w:ilvl w:val="3"/>
          <w:numId w:val="33"/>
        </w:numPr>
      </w:pPr>
      <w:bookmarkStart w:id="112" w:name="_Ref111436628"/>
      <w:r>
        <w:t xml:space="preserve">National </w:t>
      </w:r>
      <w:r w:rsidR="004274BC">
        <w:t xml:space="preserve">efficient cost </w:t>
      </w:r>
      <w:r w:rsidR="00AD763B">
        <w:t>(block</w:t>
      </w:r>
      <w:r w:rsidR="00D9542F">
        <w:t xml:space="preserve"> </w:t>
      </w:r>
      <w:r w:rsidR="00AD763B">
        <w:t>funding)</w:t>
      </w:r>
      <w:bookmarkEnd w:id="112"/>
    </w:p>
    <w:p w14:paraId="3425CCAB" w14:textId="10BE40EC" w:rsidR="00786035" w:rsidRDefault="001D0D79" w:rsidP="001D0D79">
      <w:pPr>
        <w:pStyle w:val="Body"/>
      </w:pPr>
      <w:r>
        <w:t>The Victorian Government provides advice to the IH</w:t>
      </w:r>
      <w:r w:rsidR="004611CC">
        <w:t>AC</w:t>
      </w:r>
      <w:r>
        <w:t>PA about which services meet the criteria to be block</w:t>
      </w:r>
      <w:r w:rsidR="00556817">
        <w:t xml:space="preserve"> </w:t>
      </w:r>
      <w:r>
        <w:t>funded. Services funded through the small rural health services model in 2019–20 will continue to be block</w:t>
      </w:r>
      <w:r w:rsidR="00556817">
        <w:t xml:space="preserve"> </w:t>
      </w:r>
      <w:r>
        <w:t>funded</w:t>
      </w:r>
      <w:r w:rsidR="00707AA0">
        <w:t>.</w:t>
      </w:r>
      <w:r w:rsidR="006D3E87">
        <w:t xml:space="preserve"> </w:t>
      </w:r>
      <w:r>
        <w:t xml:space="preserve">(see section </w:t>
      </w:r>
      <w:r>
        <w:fldChar w:fldCharType="begin"/>
      </w:r>
      <w:r>
        <w:instrText xml:space="preserve"> REF _Ref77679727 \w \h </w:instrText>
      </w:r>
      <w:r>
        <w:fldChar w:fldCharType="separate"/>
      </w:r>
      <w:r w:rsidR="00892F13">
        <w:t>1.5.1.5</w:t>
      </w:r>
      <w:r>
        <w:fldChar w:fldCharType="end"/>
      </w:r>
      <w:r>
        <w:t xml:space="preserve"> </w:t>
      </w:r>
      <w:r w:rsidR="0025567C">
        <w:t>‘</w:t>
      </w:r>
      <w:r>
        <w:fldChar w:fldCharType="begin"/>
      </w:r>
      <w:r>
        <w:instrText xml:space="preserve"> REF _Ref77679727 \h </w:instrText>
      </w:r>
      <w:r>
        <w:fldChar w:fldCharType="separate"/>
      </w:r>
      <w:r w:rsidR="00892F13">
        <w:t>Payment flows under the national funding approach</w:t>
      </w:r>
      <w:r>
        <w:fldChar w:fldCharType="end"/>
      </w:r>
      <w:r w:rsidR="0025567C">
        <w:t>’</w:t>
      </w:r>
      <w:r>
        <w:t xml:space="preserve">). </w:t>
      </w:r>
    </w:p>
    <w:p w14:paraId="4DF5A96D" w14:textId="3EF0898D" w:rsidR="001D0D79" w:rsidRDefault="001D0D79" w:rsidP="001D0D79">
      <w:pPr>
        <w:pStyle w:val="Body"/>
      </w:pPr>
      <w:r>
        <w:t xml:space="preserve">The government also provides </w:t>
      </w:r>
      <w:r w:rsidR="00A145AC">
        <w:t xml:space="preserve">block funding estimates </w:t>
      </w:r>
      <w:r>
        <w:t>to the IH</w:t>
      </w:r>
      <w:r w:rsidR="004611CC">
        <w:t>AC</w:t>
      </w:r>
      <w:r>
        <w:t xml:space="preserve">PA for </w:t>
      </w:r>
      <w:r w:rsidR="00B03398">
        <w:t>publication</w:t>
      </w:r>
      <w:r>
        <w:t xml:space="preserve"> in </w:t>
      </w:r>
      <w:r w:rsidR="00B03398">
        <w:t xml:space="preserve">the </w:t>
      </w:r>
      <w:r w:rsidR="00173ECB">
        <w:t>NEC</w:t>
      </w:r>
      <w:r w:rsidR="008F1386">
        <w:t xml:space="preserve"> </w:t>
      </w:r>
      <w:r>
        <w:t>determination.</w:t>
      </w:r>
      <w:r w:rsidR="00B03398">
        <w:t xml:space="preserve"> Block</w:t>
      </w:r>
      <w:r w:rsidR="00556817">
        <w:t>-</w:t>
      </w:r>
      <w:r w:rsidR="00B03398">
        <w:t>funded services include:</w:t>
      </w:r>
    </w:p>
    <w:p w14:paraId="59BE1E9D" w14:textId="0CC551E1" w:rsidR="001E594D" w:rsidRDefault="00AD763B" w:rsidP="001472D4">
      <w:pPr>
        <w:pStyle w:val="Bullet1"/>
      </w:pPr>
      <w:r>
        <w:t>small rural health services</w:t>
      </w:r>
    </w:p>
    <w:p w14:paraId="7412771C" w14:textId="08E2E9FA" w:rsidR="00B03398" w:rsidRDefault="00AD763B" w:rsidP="001472D4">
      <w:pPr>
        <w:pStyle w:val="Bullet1"/>
      </w:pPr>
      <w:r>
        <w:t>teaching, training and research</w:t>
      </w:r>
    </w:p>
    <w:p w14:paraId="663F5B0D" w14:textId="44C9F325" w:rsidR="00DB79B0" w:rsidRPr="00DB79B0" w:rsidRDefault="00AD763B" w:rsidP="001472D4">
      <w:pPr>
        <w:pStyle w:val="Bullet1"/>
      </w:pPr>
      <w:r>
        <w:t>non-admitted mental health services, including child and adolescent mental health services</w:t>
      </w:r>
    </w:p>
    <w:p w14:paraId="12E013D6" w14:textId="1281ACBC" w:rsidR="00613DA0" w:rsidRPr="007F03EF" w:rsidRDefault="00AD763B" w:rsidP="001472D4">
      <w:pPr>
        <w:pStyle w:val="Bullet1"/>
      </w:pPr>
      <w:r w:rsidRPr="007F03EF">
        <w:t>non-admitted home ventilation services</w:t>
      </w:r>
    </w:p>
    <w:p w14:paraId="2E2E03C2" w14:textId="2CD9C5C2" w:rsidR="00E76458" w:rsidRPr="007F03EF" w:rsidRDefault="00AD763B" w:rsidP="00AE6427">
      <w:pPr>
        <w:pStyle w:val="Bullet1"/>
      </w:pPr>
      <w:r w:rsidRPr="007F03EF">
        <w:t>high</w:t>
      </w:r>
      <w:r w:rsidR="00556817">
        <w:t>-</w:t>
      </w:r>
      <w:r w:rsidRPr="007F03EF">
        <w:t>cost, highly specialised therapies.</w:t>
      </w:r>
    </w:p>
    <w:p w14:paraId="6471AA2A" w14:textId="25670211" w:rsidR="001D0D79" w:rsidRPr="007F03EF" w:rsidRDefault="001D0D79" w:rsidP="001472D4">
      <w:pPr>
        <w:pStyle w:val="Bodyafterbullets"/>
      </w:pPr>
      <w:r w:rsidRPr="007F03EF">
        <w:t>The IH</w:t>
      </w:r>
      <w:r w:rsidR="004611CC">
        <w:t>AC</w:t>
      </w:r>
      <w:r w:rsidRPr="007F03EF">
        <w:t xml:space="preserve">PA has applied these criteria in </w:t>
      </w:r>
      <w:r w:rsidRPr="00AD763B">
        <w:t>developing</w:t>
      </w:r>
      <w:r w:rsidRPr="007F03EF">
        <w:t xml:space="preserve"> the national costing model and the </w:t>
      </w:r>
      <w:r w:rsidR="194F2210">
        <w:t xml:space="preserve">National Efficient Cost </w:t>
      </w:r>
      <w:r w:rsidRPr="007F03EF">
        <w:t>determination for 202</w:t>
      </w:r>
      <w:r w:rsidR="00EA13B7">
        <w:t>3</w:t>
      </w:r>
      <w:r w:rsidR="00AD763B">
        <w:t>–</w:t>
      </w:r>
      <w:r w:rsidR="00852B4F" w:rsidRPr="007F03EF">
        <w:t>2</w:t>
      </w:r>
      <w:r w:rsidR="00EA13B7">
        <w:t>4</w:t>
      </w:r>
      <w:r w:rsidRPr="007F03EF">
        <w:t xml:space="preserve"> that applies to block</w:t>
      </w:r>
      <w:r w:rsidR="00556817">
        <w:t>-</w:t>
      </w:r>
      <w:r w:rsidRPr="007F03EF">
        <w:t>funded services.</w:t>
      </w:r>
    </w:p>
    <w:p w14:paraId="7799F8DA" w14:textId="4FE3F445" w:rsidR="001D0D79" w:rsidRDefault="001D0D79" w:rsidP="001D0D79">
      <w:pPr>
        <w:pStyle w:val="Body"/>
      </w:pPr>
      <w:r w:rsidRPr="007F03EF">
        <w:t xml:space="preserve">In </w:t>
      </w:r>
      <w:r w:rsidR="00EA13B7" w:rsidRPr="007F03EF">
        <w:t>202</w:t>
      </w:r>
      <w:r w:rsidR="00EA13B7">
        <w:t>3</w:t>
      </w:r>
      <w:r w:rsidR="00AD763B">
        <w:t>–</w:t>
      </w:r>
      <w:r w:rsidR="00EA13B7" w:rsidRPr="007F03EF">
        <w:t>2</w:t>
      </w:r>
      <w:r w:rsidR="00EA13B7">
        <w:t>4</w:t>
      </w:r>
      <w:r w:rsidRPr="007F03EF">
        <w:t xml:space="preserve"> IH</w:t>
      </w:r>
      <w:r w:rsidR="004611CC">
        <w:t>AC</w:t>
      </w:r>
      <w:r w:rsidRPr="007F03EF">
        <w:t>PA has determined the efficient cost of a small rural hospital to be the sum</w:t>
      </w:r>
      <w:r>
        <w:t xml:space="preserve"> of the fixed cost component and the variable cost component. </w:t>
      </w:r>
    </w:p>
    <w:p w14:paraId="5D1F7CAA" w14:textId="5C524B52" w:rsidR="001D0D79" w:rsidRDefault="5C0DB767" w:rsidP="001D0D79">
      <w:pPr>
        <w:pStyle w:val="Body"/>
      </w:pPr>
      <w:r>
        <w:t xml:space="preserve">Read more about the pricing framework for Australian public hospitals and the categorisation of small rural health services </w:t>
      </w:r>
      <w:r w:rsidR="000D142C">
        <w:t xml:space="preserve">in the report </w:t>
      </w:r>
      <w:r w:rsidR="000D142C" w:rsidRPr="001472D4">
        <w:rPr>
          <w:i/>
        </w:rPr>
        <w:t xml:space="preserve">National </w:t>
      </w:r>
      <w:r w:rsidR="0027374A">
        <w:rPr>
          <w:i/>
        </w:rPr>
        <w:t>E</w:t>
      </w:r>
      <w:r w:rsidR="0027374A" w:rsidRPr="00AE6427">
        <w:rPr>
          <w:i/>
          <w:iCs/>
        </w:rPr>
        <w:t xml:space="preserve">fficient </w:t>
      </w:r>
      <w:r w:rsidR="0027374A">
        <w:rPr>
          <w:i/>
          <w:iCs/>
        </w:rPr>
        <w:t>C</w:t>
      </w:r>
      <w:r w:rsidR="0027374A" w:rsidRPr="00AE6427">
        <w:rPr>
          <w:i/>
          <w:iCs/>
        </w:rPr>
        <w:t xml:space="preserve">ost </w:t>
      </w:r>
      <w:r w:rsidR="0027374A">
        <w:rPr>
          <w:i/>
          <w:iCs/>
        </w:rPr>
        <w:t>D</w:t>
      </w:r>
      <w:r w:rsidR="0027374A" w:rsidRPr="00AE6427">
        <w:rPr>
          <w:i/>
          <w:iCs/>
        </w:rPr>
        <w:t>etermination</w:t>
      </w:r>
      <w:r w:rsidR="0027374A" w:rsidRPr="001472D4">
        <w:rPr>
          <w:i/>
        </w:rPr>
        <w:t xml:space="preserve"> </w:t>
      </w:r>
      <w:r w:rsidR="00EA13B7" w:rsidRPr="001472D4">
        <w:rPr>
          <w:i/>
        </w:rPr>
        <w:t>202</w:t>
      </w:r>
      <w:r w:rsidR="00EA13B7">
        <w:rPr>
          <w:i/>
        </w:rPr>
        <w:t>3</w:t>
      </w:r>
      <w:r w:rsidR="00846BE9" w:rsidRPr="00AE6427">
        <w:rPr>
          <w:i/>
          <w:iCs/>
        </w:rPr>
        <w:t>–</w:t>
      </w:r>
      <w:r w:rsidR="00EA13B7" w:rsidRPr="001472D4">
        <w:rPr>
          <w:i/>
        </w:rPr>
        <w:t>2</w:t>
      </w:r>
      <w:r w:rsidR="00EA13B7">
        <w:rPr>
          <w:i/>
        </w:rPr>
        <w:t xml:space="preserve">4 </w:t>
      </w:r>
      <w:r w:rsidR="00173ECB">
        <w:t xml:space="preserve">on </w:t>
      </w:r>
      <w:hyperlink r:id="rId29" w:history="1">
        <w:r w:rsidR="00F87B38">
          <w:rPr>
            <w:rStyle w:val="Hyperlink"/>
          </w:rPr>
          <w:t>IHACPA’s website</w:t>
        </w:r>
      </w:hyperlink>
      <w:r>
        <w:t xml:space="preserve"> &lt;</w:t>
      </w:r>
      <w:r w:rsidR="006D5B4C" w:rsidRPr="006D5B4C">
        <w:t>https://www.ihacpa.gov.au/resources/national-efficient-cost-determination-2023-24</w:t>
      </w:r>
      <w:r>
        <w:t>&gt;.</w:t>
      </w:r>
    </w:p>
    <w:p w14:paraId="1B83ADF1" w14:textId="3A312A73" w:rsidR="001748BC" w:rsidRPr="003F2312" w:rsidRDefault="001748BC" w:rsidP="00081936">
      <w:pPr>
        <w:pStyle w:val="Heading4"/>
        <w:numPr>
          <w:ilvl w:val="3"/>
          <w:numId w:val="33"/>
        </w:numPr>
      </w:pPr>
      <w:bookmarkStart w:id="113" w:name="_Ref77679727"/>
      <w:r>
        <w:t xml:space="preserve">Payment </w:t>
      </w:r>
      <w:r w:rsidR="00173ECB">
        <w:t>flows under the national funding approach</w:t>
      </w:r>
      <w:bookmarkEnd w:id="113"/>
    </w:p>
    <w:p w14:paraId="15B32471" w14:textId="5C207BCD" w:rsidR="001748BC" w:rsidRPr="004B3FD8" w:rsidRDefault="75D0E64A" w:rsidP="001748BC">
      <w:pPr>
        <w:pStyle w:val="Body"/>
      </w:pPr>
      <w:r>
        <w:t>Commonwealth activity-based funding flo</w:t>
      </w:r>
      <w:r w:rsidR="00173ECB">
        <w:t>ws</w:t>
      </w:r>
      <w:r>
        <w:t xml:space="preserve"> to health services through </w:t>
      </w:r>
      <w:r w:rsidR="2E7EC630">
        <w:t xml:space="preserve">Victoria’s State Pool Account </w:t>
      </w:r>
      <w:r>
        <w:t xml:space="preserve">managed by the </w:t>
      </w:r>
      <w:r w:rsidR="2E7EC630">
        <w:t>A</w:t>
      </w:r>
      <w:r>
        <w:t>dministrator</w:t>
      </w:r>
      <w:r w:rsidR="2E7EC630">
        <w:t xml:space="preserve"> of the National Health Funding Pool</w:t>
      </w:r>
      <w:r>
        <w:t xml:space="preserve">. The </w:t>
      </w:r>
      <w:r w:rsidR="2E7EC630">
        <w:t>A</w:t>
      </w:r>
      <w:r>
        <w:t xml:space="preserve">dministrator (established as an independent statutory office holder) oversees both the Commonwealth and state and territory funding of the public hospital </w:t>
      </w:r>
      <w:r w:rsidR="0BBD7537">
        <w:t xml:space="preserve">services in-scope of the NHRA </w:t>
      </w:r>
      <w:r>
        <w:t>and publicly report</w:t>
      </w:r>
      <w:r w:rsidR="0BBD7537">
        <w:t>s</w:t>
      </w:r>
      <w:r>
        <w:t xml:space="preserve"> on fund</w:t>
      </w:r>
      <w:r w:rsidR="0BBD7537">
        <w:t>ing</w:t>
      </w:r>
      <w:r>
        <w:t xml:space="preserve"> provided to each health service, and </w:t>
      </w:r>
      <w:r w:rsidR="752A619A">
        <w:t>for which services</w:t>
      </w:r>
      <w:r>
        <w:t>.</w:t>
      </w:r>
    </w:p>
    <w:p w14:paraId="23AB8983" w14:textId="0B9CD58D" w:rsidR="001748BC" w:rsidRDefault="75D0E64A" w:rsidP="001748BC">
      <w:pPr>
        <w:pStyle w:val="Body"/>
      </w:pPr>
      <w:r>
        <w:t xml:space="preserve">As system manager, the Victorian Government instructs when payments are to be made out of the pool in accordance with the activity levels agreed between the </w:t>
      </w:r>
      <w:r w:rsidR="00846BE9">
        <w:t xml:space="preserve">state </w:t>
      </w:r>
      <w:r>
        <w:t xml:space="preserve">and each health service in their Statement </w:t>
      </w:r>
      <w:r w:rsidR="009B1C8E">
        <w:t>o</w:t>
      </w:r>
      <w:r>
        <w:t xml:space="preserve">f Priorities. The Victorian Government will continue to manage </w:t>
      </w:r>
      <w:r w:rsidR="7515A5BB">
        <w:t xml:space="preserve">National Health Reform block funding for </w:t>
      </w:r>
      <w:r w:rsidR="67F343EB">
        <w:t>block</w:t>
      </w:r>
      <w:r w:rsidR="00556817">
        <w:t>-</w:t>
      </w:r>
      <w:r w:rsidR="67F343EB">
        <w:t>funded services and hospitals, including small rural services</w:t>
      </w:r>
      <w:r>
        <w:t>. Block</w:t>
      </w:r>
      <w:r w:rsidR="00556817">
        <w:t>-</w:t>
      </w:r>
      <w:r>
        <w:t xml:space="preserve">funded </w:t>
      </w:r>
      <w:r>
        <w:lastRenderedPageBreak/>
        <w:t xml:space="preserve">payments will be paid to health services by the department through the </w:t>
      </w:r>
      <w:r w:rsidR="006B4DBF">
        <w:t>State-</w:t>
      </w:r>
      <w:r w:rsidR="67F343EB">
        <w:t>M</w:t>
      </w:r>
      <w:r>
        <w:t xml:space="preserve">anaged </w:t>
      </w:r>
      <w:r w:rsidR="67F343EB">
        <w:t>F</w:t>
      </w:r>
      <w:r>
        <w:t xml:space="preserve">und (see </w:t>
      </w:r>
      <w:r w:rsidR="001748BC">
        <w:fldChar w:fldCharType="begin"/>
      </w:r>
      <w:r w:rsidR="001748BC">
        <w:instrText xml:space="preserve"> REF _Ref87969879 \h </w:instrText>
      </w:r>
      <w:r w:rsidR="001748BC">
        <w:fldChar w:fldCharType="separate"/>
      </w:r>
      <w:r w:rsidR="00892F13">
        <w:t xml:space="preserve">Figure </w:t>
      </w:r>
      <w:r w:rsidR="00892F13">
        <w:rPr>
          <w:noProof/>
        </w:rPr>
        <w:t>1</w:t>
      </w:r>
      <w:r w:rsidR="001748BC">
        <w:fldChar w:fldCharType="end"/>
      </w:r>
      <w:r>
        <w:t>).</w:t>
      </w:r>
    </w:p>
    <w:p w14:paraId="06C72F20" w14:textId="0EBFC983" w:rsidR="001748BC" w:rsidRDefault="00CE4388" w:rsidP="001472D4">
      <w:pPr>
        <w:pStyle w:val="Figurecaption"/>
      </w:pPr>
      <w:bookmarkStart w:id="114" w:name="_Ref87969879"/>
      <w:r>
        <w:t xml:space="preserve">Figure </w:t>
      </w:r>
      <w:r>
        <w:fldChar w:fldCharType="begin"/>
      </w:r>
      <w:r>
        <w:instrText>SEQ Figure \* ARABIC</w:instrText>
      </w:r>
      <w:r>
        <w:fldChar w:fldCharType="separate"/>
      </w:r>
      <w:r w:rsidR="00892F13">
        <w:rPr>
          <w:noProof/>
        </w:rPr>
        <w:t>1</w:t>
      </w:r>
      <w:r>
        <w:fldChar w:fldCharType="end"/>
      </w:r>
      <w:bookmarkEnd w:id="114"/>
      <w:r>
        <w:t xml:space="preserve">: </w:t>
      </w:r>
      <w:r w:rsidRPr="00846BE9">
        <w:t>Payment</w:t>
      </w:r>
      <w:r w:rsidRPr="000244B9">
        <w:t xml:space="preserve"> flows under national activity</w:t>
      </w:r>
      <w:r>
        <w:t>-</w:t>
      </w:r>
      <w:r w:rsidRPr="000244B9">
        <w:t>based funding</w:t>
      </w:r>
      <w:r>
        <w:t xml:space="preserve"> </w:t>
      </w:r>
    </w:p>
    <w:p w14:paraId="20E0993D" w14:textId="1ABCFE2B" w:rsidR="00860197" w:rsidRPr="00860197" w:rsidRDefault="00ED1A24" w:rsidP="00CE4388">
      <w:pPr>
        <w:pStyle w:val="Body"/>
        <w:spacing w:before="40"/>
      </w:pPr>
      <w:r>
        <w:rPr>
          <w:noProof/>
        </w:rPr>
        <w:drawing>
          <wp:inline distT="0" distB="0" distL="0" distR="0" wp14:anchorId="5F6F6D91" wp14:editId="5B82DAB7">
            <wp:extent cx="5731510" cy="3039437"/>
            <wp:effectExtent l="0" t="0" r="0" b="0"/>
            <wp:docPr id="208" name="Picture 208" descr="This figure depicts the process of how funding flows between the Commonwealth government, Victoria government and health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This figure depicts the process of how funding flows between the Commonwealth government, Victoria government and health services.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3039437"/>
                    </a:xfrm>
                    <a:prstGeom prst="rect">
                      <a:avLst/>
                    </a:prstGeom>
                    <a:noFill/>
                  </pic:spPr>
                </pic:pic>
              </a:graphicData>
            </a:graphic>
          </wp:inline>
        </w:drawing>
      </w:r>
    </w:p>
    <w:p w14:paraId="2F90909D" w14:textId="606B509E" w:rsidR="00977FCB" w:rsidRDefault="0025567C" w:rsidP="00C447AC">
      <w:pPr>
        <w:pStyle w:val="Bodyaftertablefigure"/>
      </w:pPr>
      <w:r>
        <w:t>For more information, refer to</w:t>
      </w:r>
      <w:r w:rsidR="00977FCB">
        <w:t xml:space="preserve">: </w:t>
      </w:r>
    </w:p>
    <w:p w14:paraId="5808AD20" w14:textId="7D876415" w:rsidR="00977FCB" w:rsidRDefault="00000000" w:rsidP="00E05C4E">
      <w:pPr>
        <w:pStyle w:val="Bullet1"/>
      </w:pPr>
      <w:hyperlink r:id="rId31">
        <w:r w:rsidR="00846BE9" w:rsidRPr="00C447AC">
          <w:rPr>
            <w:rStyle w:val="Hyperlink"/>
            <w:i/>
          </w:rPr>
          <w:t xml:space="preserve">Pricing </w:t>
        </w:r>
        <w:r w:rsidR="0025567C">
          <w:rPr>
            <w:rStyle w:val="Hyperlink"/>
            <w:i/>
          </w:rPr>
          <w:t>f</w:t>
        </w:r>
        <w:r w:rsidR="0025567C" w:rsidRPr="00C447AC">
          <w:rPr>
            <w:rStyle w:val="Hyperlink"/>
            <w:i/>
          </w:rPr>
          <w:t xml:space="preserve">ramework </w:t>
        </w:r>
        <w:r w:rsidR="00846BE9" w:rsidRPr="00C447AC">
          <w:rPr>
            <w:rStyle w:val="Hyperlink"/>
            <w:i/>
          </w:rPr>
          <w:t xml:space="preserve">for Australian </w:t>
        </w:r>
        <w:r w:rsidR="00846BE9">
          <w:rPr>
            <w:rStyle w:val="Hyperlink"/>
            <w:rFonts w:eastAsia="Arial" w:cs="Arial"/>
            <w:i/>
            <w:iCs/>
          </w:rPr>
          <w:t>p</w:t>
        </w:r>
        <w:r w:rsidR="00846BE9" w:rsidRPr="00AE6427">
          <w:rPr>
            <w:rStyle w:val="Hyperlink"/>
            <w:rFonts w:eastAsia="Arial" w:cs="Arial"/>
            <w:i/>
            <w:iCs/>
          </w:rPr>
          <w:t xml:space="preserve">ublic </w:t>
        </w:r>
        <w:r w:rsidR="00846BE9">
          <w:rPr>
            <w:rStyle w:val="Hyperlink"/>
            <w:rFonts w:eastAsia="Arial" w:cs="Arial"/>
            <w:i/>
            <w:iCs/>
          </w:rPr>
          <w:t>h</w:t>
        </w:r>
        <w:r w:rsidR="00846BE9" w:rsidRPr="00AE6427">
          <w:rPr>
            <w:rStyle w:val="Hyperlink"/>
            <w:rFonts w:eastAsia="Arial" w:cs="Arial"/>
            <w:i/>
            <w:iCs/>
          </w:rPr>
          <w:t xml:space="preserve">ospital </w:t>
        </w:r>
        <w:r w:rsidR="00846BE9">
          <w:rPr>
            <w:rStyle w:val="Hyperlink"/>
            <w:rFonts w:eastAsia="Arial" w:cs="Arial"/>
            <w:i/>
            <w:iCs/>
          </w:rPr>
          <w:t>s</w:t>
        </w:r>
        <w:r w:rsidR="00846BE9" w:rsidRPr="00AE6427">
          <w:rPr>
            <w:rStyle w:val="Hyperlink"/>
            <w:rFonts w:eastAsia="Arial" w:cs="Arial"/>
            <w:i/>
            <w:iCs/>
          </w:rPr>
          <w:t>ervices</w:t>
        </w:r>
      </w:hyperlink>
      <w:r w:rsidR="00846BE9">
        <w:t xml:space="preserve"> </w:t>
      </w:r>
      <w:r w:rsidR="00977FCB">
        <w:t>&lt;</w:t>
      </w:r>
      <w:r w:rsidR="00EA0180" w:rsidRPr="002F1A19">
        <w:t>https://www.ihacpa.gov.au/health-care/pricing/pricing-framework-australian-public-hospital-services</w:t>
      </w:r>
      <w:r w:rsidR="00977FCB">
        <w:t>&gt;</w:t>
      </w:r>
      <w:r w:rsidR="008B1622">
        <w:t xml:space="preserve"> </w:t>
      </w:r>
    </w:p>
    <w:p w14:paraId="5FE69983" w14:textId="3F4982FF" w:rsidR="00977FCB" w:rsidRDefault="00000000" w:rsidP="00E05C4E">
      <w:pPr>
        <w:pStyle w:val="Bullet1"/>
      </w:pPr>
      <w:hyperlink r:id="rId32">
        <w:r w:rsidR="00C71497">
          <w:rPr>
            <w:rStyle w:val="Hyperlink"/>
            <w:rFonts w:cs="Arial"/>
            <w:i/>
            <w:iCs/>
          </w:rPr>
          <w:t xml:space="preserve">National </w:t>
        </w:r>
        <w:r w:rsidR="0025567C">
          <w:rPr>
            <w:rStyle w:val="Hyperlink"/>
            <w:rFonts w:cs="Arial"/>
            <w:i/>
            <w:iCs/>
          </w:rPr>
          <w:t>efficient price d</w:t>
        </w:r>
        <w:r w:rsidR="00C71497">
          <w:rPr>
            <w:rStyle w:val="Hyperlink"/>
            <w:rFonts w:cs="Arial"/>
            <w:i/>
            <w:iCs/>
          </w:rPr>
          <w:t>etermination</w:t>
        </w:r>
      </w:hyperlink>
      <w:r w:rsidR="00846BE9">
        <w:t xml:space="preserve"> </w:t>
      </w:r>
      <w:r w:rsidR="00975297">
        <w:t>&lt;</w:t>
      </w:r>
      <w:r w:rsidR="00975297" w:rsidRPr="00975297">
        <w:t>https://www.ihacpa.gov.au/health-care/pricing/national-efficient-price-determination</w:t>
      </w:r>
      <w:r w:rsidR="00544105">
        <w:t>&gt;</w:t>
      </w:r>
    </w:p>
    <w:p w14:paraId="2C9C1E38" w14:textId="2878D145" w:rsidR="00977FCB" w:rsidRDefault="00000000" w:rsidP="00E05C4E">
      <w:pPr>
        <w:pStyle w:val="Bullet1"/>
      </w:pPr>
      <w:hyperlink r:id="rId33">
        <w:r w:rsidR="00C71497">
          <w:rPr>
            <w:rStyle w:val="Hyperlink"/>
            <w:rFonts w:cs="Arial"/>
            <w:i/>
            <w:iCs/>
          </w:rPr>
          <w:t xml:space="preserve">National </w:t>
        </w:r>
        <w:r w:rsidR="0025567C">
          <w:rPr>
            <w:rStyle w:val="Hyperlink"/>
            <w:rFonts w:cs="Arial"/>
            <w:i/>
            <w:iCs/>
          </w:rPr>
          <w:t>efficient cost d</w:t>
        </w:r>
        <w:r w:rsidR="00C71497">
          <w:rPr>
            <w:rStyle w:val="Hyperlink"/>
            <w:rFonts w:cs="Arial"/>
            <w:i/>
            <w:iCs/>
          </w:rPr>
          <w:t>etermination</w:t>
        </w:r>
      </w:hyperlink>
      <w:r w:rsidR="00977FCB">
        <w:t xml:space="preserve"> &lt;</w:t>
      </w:r>
      <w:r w:rsidR="00B93E05" w:rsidRPr="00B93E05">
        <w:t>https://www.ihacpa.gov.au/health-care/pricing/national-efficient-cost-determination</w:t>
      </w:r>
      <w:r w:rsidR="00977FCB">
        <w:t>&gt;</w:t>
      </w:r>
    </w:p>
    <w:p w14:paraId="7C4005D5" w14:textId="47B4EF31" w:rsidR="00977FCB" w:rsidRPr="007F03EF" w:rsidRDefault="00000000" w:rsidP="00E05C4E">
      <w:pPr>
        <w:pStyle w:val="Bullet1"/>
      </w:pPr>
      <w:hyperlink r:id="rId34" w:history="1">
        <w:r w:rsidR="00EA0180" w:rsidRPr="00EA0180">
          <w:rPr>
            <w:rStyle w:val="Hyperlink"/>
            <w:i/>
          </w:rPr>
          <w:t xml:space="preserve">National </w:t>
        </w:r>
        <w:r w:rsidR="00EA0180" w:rsidRPr="00EA0180">
          <w:rPr>
            <w:rStyle w:val="Hyperlink"/>
            <w:i/>
            <w:iCs/>
          </w:rPr>
          <w:t>pricing model technical specifications</w:t>
        </w:r>
        <w:r w:rsidR="00EA0180" w:rsidRPr="00EA0180">
          <w:rPr>
            <w:rStyle w:val="Hyperlink"/>
            <w:i/>
          </w:rPr>
          <w:t xml:space="preserve"> </w:t>
        </w:r>
      </w:hyperlink>
      <w:r w:rsidR="006C6DB4">
        <w:t>&lt;</w:t>
      </w:r>
      <w:r w:rsidR="00EA0180" w:rsidRPr="004354B6">
        <w:t>https://www.ihacpa.gov.au/health-care/pricing/national-pricing-model-technical-specifications</w:t>
      </w:r>
      <w:r w:rsidR="006C6DB4">
        <w:t>&gt;.</w:t>
      </w:r>
    </w:p>
    <w:p w14:paraId="7831CC11" w14:textId="290D53FB" w:rsidR="00A1506E" w:rsidRPr="007F03EF" w:rsidRDefault="00A1506E" w:rsidP="00081936">
      <w:pPr>
        <w:pStyle w:val="Heading3"/>
        <w:numPr>
          <w:ilvl w:val="2"/>
          <w:numId w:val="33"/>
        </w:numPr>
        <w:spacing w:before="240"/>
        <w:ind w:left="1134"/>
      </w:pPr>
      <w:bookmarkStart w:id="115" w:name="_Toc100263279"/>
      <w:bookmarkStart w:id="116" w:name="_Toc156569603"/>
      <w:r w:rsidRPr="007F03EF">
        <w:t xml:space="preserve">Victorian </w:t>
      </w:r>
      <w:r w:rsidR="00173ECB">
        <w:t>a</w:t>
      </w:r>
      <w:r w:rsidR="00173ECB" w:rsidRPr="007F03EF">
        <w:t xml:space="preserve">lignment </w:t>
      </w:r>
      <w:r w:rsidR="3D356DF9" w:rsidRPr="007F03EF">
        <w:t xml:space="preserve">with the </w:t>
      </w:r>
      <w:r w:rsidR="00173ECB">
        <w:t>n</w:t>
      </w:r>
      <w:r w:rsidR="00173ECB" w:rsidRPr="007F03EF">
        <w:t xml:space="preserve">ational </w:t>
      </w:r>
      <w:r w:rsidR="00173ECB">
        <w:t>f</w:t>
      </w:r>
      <w:r w:rsidR="00173ECB" w:rsidRPr="007F03EF">
        <w:t xml:space="preserve">unding </w:t>
      </w:r>
      <w:bookmarkEnd w:id="115"/>
      <w:r w:rsidR="00173ECB">
        <w:t>m</w:t>
      </w:r>
      <w:r w:rsidR="00173ECB" w:rsidRPr="007F03EF">
        <w:t>odel</w:t>
      </w:r>
      <w:bookmarkEnd w:id="116"/>
    </w:p>
    <w:p w14:paraId="53A5AD73" w14:textId="76FB52AC" w:rsidR="003F2312" w:rsidRPr="007F03EF" w:rsidRDefault="003F1920" w:rsidP="00081936">
      <w:pPr>
        <w:pStyle w:val="Heading4"/>
        <w:numPr>
          <w:ilvl w:val="3"/>
          <w:numId w:val="33"/>
        </w:numPr>
      </w:pPr>
      <w:r>
        <w:t xml:space="preserve">NWAU </w:t>
      </w:r>
      <w:r w:rsidR="00173ECB">
        <w:t>model</w:t>
      </w:r>
    </w:p>
    <w:p w14:paraId="15FBECBF" w14:textId="229F7544" w:rsidR="003F2312" w:rsidRPr="006A1665" w:rsidRDefault="30FF8971" w:rsidP="139BB5A8">
      <w:pPr>
        <w:pStyle w:val="Bodyafterbullets"/>
        <w:rPr>
          <w:szCs w:val="21"/>
        </w:rPr>
      </w:pPr>
      <w:r w:rsidRPr="007F03EF">
        <w:t>In 202</w:t>
      </w:r>
      <w:r w:rsidR="00136306">
        <w:t>3</w:t>
      </w:r>
      <w:r w:rsidR="00173ECB">
        <w:t>–</w:t>
      </w:r>
      <w:r w:rsidR="00136306">
        <w:t>24</w:t>
      </w:r>
      <w:r w:rsidRPr="007F03EF">
        <w:t xml:space="preserve">, the </w:t>
      </w:r>
      <w:r w:rsidR="00D014B5">
        <w:t>NWAU</w:t>
      </w:r>
      <w:r w:rsidRPr="007F03EF">
        <w:t xml:space="preserve"> </w:t>
      </w:r>
      <w:r w:rsidR="4F0DD4FB" w:rsidRPr="007F03EF">
        <w:t xml:space="preserve">developed </w:t>
      </w:r>
      <w:r w:rsidRPr="007F03EF">
        <w:t xml:space="preserve">as part of the National Funding Model </w:t>
      </w:r>
      <w:r w:rsidR="194291B4" w:rsidRPr="007F03EF">
        <w:t xml:space="preserve">will </w:t>
      </w:r>
      <w:r w:rsidR="00703626" w:rsidRPr="007F03EF">
        <w:t xml:space="preserve">continue to </w:t>
      </w:r>
      <w:r w:rsidR="194291B4" w:rsidRPr="007F03EF">
        <w:t xml:space="preserve">be used as the mechanism to determine </w:t>
      </w:r>
      <w:r w:rsidR="00D554F4" w:rsidRPr="007F03EF">
        <w:t xml:space="preserve">growth </w:t>
      </w:r>
      <w:r w:rsidR="194291B4" w:rsidRPr="007F03EF">
        <w:t xml:space="preserve">funding </w:t>
      </w:r>
      <w:r w:rsidRPr="007F03EF">
        <w:t>for acute</w:t>
      </w:r>
      <w:r>
        <w:t xml:space="preserve"> admitted care, subacute care, emergency care and non-admitted care</w:t>
      </w:r>
      <w:r w:rsidR="7A0EA40E">
        <w:t xml:space="preserve"> activity</w:t>
      </w:r>
      <w:r w:rsidR="39E7DD22">
        <w:t>.</w:t>
      </w:r>
      <w:r w:rsidR="0E18C831">
        <w:t xml:space="preserve"> </w:t>
      </w:r>
    </w:p>
    <w:p w14:paraId="39F0F0BA" w14:textId="0D9692F4" w:rsidR="00D90ED3" w:rsidRPr="004A53BD" w:rsidRDefault="00D90ED3" w:rsidP="003F1920">
      <w:pPr>
        <w:pStyle w:val="Body"/>
        <w:rPr>
          <w:rFonts w:eastAsia="Arial" w:cs="Arial"/>
          <w:color w:val="000000" w:themeColor="text1"/>
        </w:rPr>
      </w:pPr>
      <w:r w:rsidRPr="31C35848">
        <w:rPr>
          <w:rFonts w:eastAsia="Arial" w:cs="Arial"/>
          <w:color w:val="000000" w:themeColor="text1"/>
        </w:rPr>
        <w:t xml:space="preserve">Mental </w:t>
      </w:r>
      <w:r w:rsidR="00D014B5">
        <w:rPr>
          <w:rFonts w:eastAsia="Arial" w:cs="Arial"/>
          <w:color w:val="000000" w:themeColor="text1"/>
        </w:rPr>
        <w:t>h</w:t>
      </w:r>
      <w:r w:rsidR="00D014B5" w:rsidRPr="31C35848">
        <w:rPr>
          <w:rFonts w:eastAsia="Arial" w:cs="Arial"/>
          <w:color w:val="000000" w:themeColor="text1"/>
        </w:rPr>
        <w:t>ealth</w:t>
      </w:r>
      <w:r w:rsidR="0348F88B" w:rsidRPr="10DD428D">
        <w:rPr>
          <w:rFonts w:eastAsia="Arial" w:cs="Arial"/>
          <w:color w:val="000000" w:themeColor="text1"/>
        </w:rPr>
        <w:t>,</w:t>
      </w:r>
      <w:r w:rsidRPr="31C35848">
        <w:rPr>
          <w:rFonts w:eastAsia="Arial" w:cs="Arial"/>
          <w:color w:val="000000" w:themeColor="text1"/>
        </w:rPr>
        <w:t xml:space="preserve"> </w:t>
      </w:r>
      <w:r w:rsidR="3A030C4F" w:rsidRPr="0F71FB16">
        <w:rPr>
          <w:rFonts w:eastAsia="Arial" w:cs="Arial"/>
          <w:color w:val="000000" w:themeColor="text1"/>
        </w:rPr>
        <w:t xml:space="preserve">non-admitted palliative care </w:t>
      </w:r>
      <w:r w:rsidR="21BEA85C" w:rsidRPr="10DD428D">
        <w:rPr>
          <w:rFonts w:eastAsia="Arial" w:cs="Arial"/>
          <w:color w:val="000000" w:themeColor="text1"/>
        </w:rPr>
        <w:t xml:space="preserve">and </w:t>
      </w:r>
      <w:r w:rsidR="00D014B5" w:rsidRPr="10DD428D">
        <w:rPr>
          <w:rFonts w:eastAsia="Arial" w:cs="Arial"/>
          <w:color w:val="000000" w:themeColor="text1"/>
        </w:rPr>
        <w:t xml:space="preserve">small rural health service </w:t>
      </w:r>
      <w:r w:rsidR="21BEA85C" w:rsidRPr="10DD428D">
        <w:rPr>
          <w:rFonts w:eastAsia="Arial" w:cs="Arial"/>
          <w:color w:val="000000" w:themeColor="text1"/>
        </w:rPr>
        <w:t xml:space="preserve">funding </w:t>
      </w:r>
      <w:r w:rsidR="00E4601B">
        <w:rPr>
          <w:rFonts w:eastAsia="Arial" w:cs="Arial"/>
          <w:color w:val="000000" w:themeColor="text1"/>
        </w:rPr>
        <w:t xml:space="preserve">have </w:t>
      </w:r>
      <w:r w:rsidRPr="004A53BD">
        <w:rPr>
          <w:rFonts w:eastAsia="Arial" w:cs="Arial"/>
          <w:color w:val="000000" w:themeColor="text1"/>
        </w:rPr>
        <w:t xml:space="preserve">not </w:t>
      </w:r>
      <w:r w:rsidR="00E4601B">
        <w:rPr>
          <w:rFonts w:eastAsia="Arial" w:cs="Arial"/>
          <w:color w:val="000000" w:themeColor="text1"/>
        </w:rPr>
        <w:t xml:space="preserve">yet </w:t>
      </w:r>
      <w:r w:rsidRPr="004A53BD">
        <w:rPr>
          <w:rFonts w:eastAsia="Arial" w:cs="Arial"/>
          <w:color w:val="000000" w:themeColor="text1"/>
        </w:rPr>
        <w:t>transition</w:t>
      </w:r>
      <w:r w:rsidR="00E4601B">
        <w:rPr>
          <w:rFonts w:eastAsia="Arial" w:cs="Arial"/>
          <w:color w:val="000000" w:themeColor="text1"/>
        </w:rPr>
        <w:t>ed</w:t>
      </w:r>
      <w:r w:rsidRPr="004A53BD">
        <w:rPr>
          <w:rFonts w:eastAsia="Arial" w:cs="Arial"/>
          <w:color w:val="000000" w:themeColor="text1"/>
        </w:rPr>
        <w:t xml:space="preserve"> to the </w:t>
      </w:r>
      <w:r w:rsidR="2EBC64B2" w:rsidRPr="0F71FB16">
        <w:rPr>
          <w:rFonts w:eastAsia="Arial" w:cs="Arial"/>
          <w:color w:val="000000" w:themeColor="text1"/>
        </w:rPr>
        <w:t>NWAU model</w:t>
      </w:r>
      <w:r w:rsidR="00D36F58">
        <w:rPr>
          <w:rFonts w:eastAsia="Arial" w:cs="Arial"/>
          <w:color w:val="000000" w:themeColor="text1"/>
        </w:rPr>
        <w:t>.</w:t>
      </w:r>
      <w:r w:rsidR="00D36F58" w:rsidRPr="004A53BD">
        <w:rPr>
          <w:rFonts w:eastAsia="Arial" w:cs="Arial"/>
          <w:color w:val="000000" w:themeColor="text1"/>
        </w:rPr>
        <w:t xml:space="preserve"> </w:t>
      </w:r>
      <w:r w:rsidR="00D36F58">
        <w:rPr>
          <w:rFonts w:eastAsia="Arial" w:cs="Arial"/>
          <w:color w:val="000000" w:themeColor="text1"/>
        </w:rPr>
        <w:t>H</w:t>
      </w:r>
      <w:r w:rsidR="00D36F58" w:rsidRPr="004A53BD">
        <w:rPr>
          <w:rFonts w:eastAsia="Arial" w:cs="Arial"/>
          <w:color w:val="000000" w:themeColor="text1"/>
        </w:rPr>
        <w:t>owever</w:t>
      </w:r>
      <w:r w:rsidRPr="004A53BD">
        <w:rPr>
          <w:rFonts w:eastAsia="Arial" w:cs="Arial"/>
          <w:color w:val="000000" w:themeColor="text1"/>
        </w:rPr>
        <w:t>, relevant activity will be counted in NWAU</w:t>
      </w:r>
      <w:r w:rsidR="0010260A">
        <w:rPr>
          <w:rFonts w:eastAsia="Arial" w:cs="Arial"/>
          <w:color w:val="000000" w:themeColor="text1"/>
        </w:rPr>
        <w:t>.</w:t>
      </w:r>
    </w:p>
    <w:p w14:paraId="5A2E76ED" w14:textId="2563578E" w:rsidR="004C43E8" w:rsidRPr="003A2A05" w:rsidRDefault="003F1920" w:rsidP="003F1920">
      <w:pPr>
        <w:pStyle w:val="Body"/>
        <w:rPr>
          <w:szCs w:val="21"/>
        </w:rPr>
      </w:pPr>
      <w:r w:rsidRPr="000D055B">
        <w:rPr>
          <w:szCs w:val="21"/>
        </w:rPr>
        <w:t>NWAU</w:t>
      </w:r>
      <w:r w:rsidRPr="001C47E4">
        <w:rPr>
          <w:szCs w:val="21"/>
        </w:rPr>
        <w:t xml:space="preserve"> targets</w:t>
      </w:r>
      <w:r w:rsidRPr="00A86CC2">
        <w:rPr>
          <w:szCs w:val="21"/>
        </w:rPr>
        <w:t xml:space="preserve"> will be included in health services’ </w:t>
      </w:r>
      <w:r w:rsidRPr="00EA4CCF">
        <w:rPr>
          <w:szCs w:val="21"/>
        </w:rPr>
        <w:t>S</w:t>
      </w:r>
      <w:r w:rsidRPr="00F33207">
        <w:rPr>
          <w:szCs w:val="21"/>
        </w:rPr>
        <w:t xml:space="preserve">tatement of </w:t>
      </w:r>
      <w:r w:rsidRPr="009E0D18">
        <w:rPr>
          <w:szCs w:val="21"/>
        </w:rPr>
        <w:t>P</w:t>
      </w:r>
      <w:r w:rsidRPr="006A1665">
        <w:rPr>
          <w:szCs w:val="21"/>
        </w:rPr>
        <w:t>riorities (Part C</w:t>
      </w:r>
      <w:r w:rsidR="008C57D6" w:rsidRPr="006A1665">
        <w:rPr>
          <w:szCs w:val="21"/>
        </w:rPr>
        <w:t>) and align with the NWAU targets reported to the National Health Funding Body (Part D).</w:t>
      </w:r>
    </w:p>
    <w:p w14:paraId="78646C84" w14:textId="72E4BF62" w:rsidR="00A1506E" w:rsidRPr="007F03EF" w:rsidRDefault="63DD419F" w:rsidP="00081936">
      <w:pPr>
        <w:pStyle w:val="Heading4"/>
        <w:numPr>
          <w:ilvl w:val="3"/>
          <w:numId w:val="33"/>
        </w:numPr>
      </w:pPr>
      <w:r>
        <w:t xml:space="preserve">Victorian </w:t>
      </w:r>
      <w:r w:rsidR="00D36F58">
        <w:t>efficient price</w:t>
      </w:r>
    </w:p>
    <w:p w14:paraId="62B19975" w14:textId="1F75AC18" w:rsidR="00660E06" w:rsidRPr="007F03EF" w:rsidRDefault="513BE9AF" w:rsidP="00660E06">
      <w:pPr>
        <w:pStyle w:val="Body"/>
      </w:pPr>
      <w:r>
        <w:t xml:space="preserve">In 2021–22, </w:t>
      </w:r>
      <w:r w:rsidR="60341136">
        <w:t>Victoria adopt</w:t>
      </w:r>
      <w:r w:rsidR="71CF7558">
        <w:t>ed</w:t>
      </w:r>
      <w:r w:rsidR="60341136">
        <w:t xml:space="preserve"> a Victorian </w:t>
      </w:r>
      <w:r w:rsidR="00D36F58">
        <w:t xml:space="preserve">efficient price </w:t>
      </w:r>
      <w:r w:rsidR="622F9390">
        <w:t xml:space="preserve">(VEP) </w:t>
      </w:r>
      <w:r w:rsidR="60341136">
        <w:t xml:space="preserve">for the purpose </w:t>
      </w:r>
      <w:r w:rsidR="0011316D">
        <w:t>o</w:t>
      </w:r>
      <w:r w:rsidR="004D2F4C">
        <w:t>f</w:t>
      </w:r>
      <w:r w:rsidR="0011316D">
        <w:t xml:space="preserve"> </w:t>
      </w:r>
      <w:r w:rsidR="60341136">
        <w:t xml:space="preserve">funding NWAU growth. </w:t>
      </w:r>
      <w:r w:rsidR="71CF7558">
        <w:t>In 202</w:t>
      </w:r>
      <w:r w:rsidR="004D6775">
        <w:t>3</w:t>
      </w:r>
      <w:r w:rsidR="00D36F58">
        <w:t>–</w:t>
      </w:r>
      <w:r w:rsidR="004D6775">
        <w:t>24</w:t>
      </w:r>
      <w:r w:rsidR="0044334C">
        <w:t>,</w:t>
      </w:r>
      <w:r w:rsidR="71CF7558">
        <w:t xml:space="preserve"> </w:t>
      </w:r>
      <w:r w:rsidR="0D2868BC">
        <w:t xml:space="preserve">the VEP </w:t>
      </w:r>
      <w:r w:rsidR="71CF7558">
        <w:t>is update</w:t>
      </w:r>
      <w:r w:rsidR="0D2868BC">
        <w:t>d</w:t>
      </w:r>
      <w:r w:rsidR="71CF7558">
        <w:t xml:space="preserve"> for indexation. </w:t>
      </w:r>
      <w:r w:rsidR="1AEE3914">
        <w:t xml:space="preserve">The adoption of a </w:t>
      </w:r>
      <w:r w:rsidR="7E9CEEF8">
        <w:t xml:space="preserve">VEP is more reflective of </w:t>
      </w:r>
      <w:r w:rsidR="7F10ECE7">
        <w:t xml:space="preserve">the funding required to deliver services </w:t>
      </w:r>
      <w:r w:rsidR="7806D65A">
        <w:t xml:space="preserve">in Victoria </w:t>
      </w:r>
      <w:r w:rsidR="7F10ECE7">
        <w:t xml:space="preserve">and the </w:t>
      </w:r>
      <w:r w:rsidR="5C7E716A">
        <w:t xml:space="preserve">continued </w:t>
      </w:r>
      <w:r w:rsidR="7F10ECE7">
        <w:t xml:space="preserve">use of specified grants alongside </w:t>
      </w:r>
      <w:r w:rsidR="43F98E39">
        <w:t>activity</w:t>
      </w:r>
      <w:r w:rsidR="00D9542F">
        <w:t>-</w:t>
      </w:r>
      <w:r w:rsidR="43F98E39">
        <w:t>based</w:t>
      </w:r>
      <w:r w:rsidR="41B31A4A">
        <w:t xml:space="preserve"> funding. </w:t>
      </w:r>
      <w:r w:rsidR="0044334C">
        <w:t>VEP</w:t>
      </w:r>
      <w:r>
        <w:t xml:space="preserve"> groups reflect the governance arrangements outlined in the </w:t>
      </w:r>
      <w:r w:rsidRPr="003D504F">
        <w:rPr>
          <w:i/>
          <w:iCs/>
        </w:rPr>
        <w:lastRenderedPageBreak/>
        <w:t xml:space="preserve">Health Services Act 1988 </w:t>
      </w:r>
      <w:r w:rsidRPr="00CD05FB">
        <w:t>(Vic.)</w:t>
      </w:r>
      <w:r w:rsidRPr="0044334C">
        <w:t xml:space="preserve">, </w:t>
      </w:r>
      <w:r>
        <w:t xml:space="preserve">distinguishing public health service boards as either metropolitan or regional. Specialist hospitals group with metropolitan, and all others group into the subregional, local and other price group. This structure applies to the acute admitted, emergency, subacute and non-admitted services that </w:t>
      </w:r>
      <w:r w:rsidR="473A075D">
        <w:t xml:space="preserve">have </w:t>
      </w:r>
      <w:r>
        <w:t>transition</w:t>
      </w:r>
      <w:r w:rsidR="473A075D">
        <w:t>ed</w:t>
      </w:r>
      <w:r>
        <w:t xml:space="preserve"> to NWAU</w:t>
      </w:r>
      <w:r w:rsidR="473A075D">
        <w:t>.</w:t>
      </w:r>
    </w:p>
    <w:p w14:paraId="525912FE" w14:textId="3C3F847F" w:rsidR="00660E06" w:rsidRPr="007F03EF" w:rsidRDefault="00660E06" w:rsidP="00660E06">
      <w:pPr>
        <w:pStyle w:val="Body"/>
      </w:pPr>
      <w:r w:rsidRPr="007F03EF">
        <w:t xml:space="preserve">For </w:t>
      </w:r>
      <w:r w:rsidR="002E7EEF" w:rsidRPr="007F03EF">
        <w:t>202</w:t>
      </w:r>
      <w:r w:rsidR="007B1700">
        <w:t>3</w:t>
      </w:r>
      <w:r w:rsidR="00E92200">
        <w:t>–</w:t>
      </w:r>
      <w:r w:rsidR="007B1700">
        <w:t>24</w:t>
      </w:r>
      <w:r w:rsidR="0044334C">
        <w:t>,</w:t>
      </w:r>
      <w:r w:rsidR="002E7EEF" w:rsidRPr="007F03EF">
        <w:rPr>
          <w:lang w:val="en-US"/>
        </w:rPr>
        <w:t xml:space="preserve"> </w:t>
      </w:r>
      <w:r w:rsidRPr="007F03EF">
        <w:t xml:space="preserve">the </w:t>
      </w:r>
      <w:r w:rsidR="0044334C">
        <w:t>VEP</w:t>
      </w:r>
      <w:r w:rsidRPr="007F03EF">
        <w:t xml:space="preserve"> will only apply to additional funding allocations for growth </w:t>
      </w:r>
      <w:r w:rsidR="6B34AE03" w:rsidRPr="007F03EF">
        <w:t xml:space="preserve">of </w:t>
      </w:r>
      <w:r w:rsidRPr="007F03EF">
        <w:t>in-scope activities. Existing activity whose funding was determined in prior financials years will remain as is.</w:t>
      </w:r>
    </w:p>
    <w:p w14:paraId="7ECFCB44" w14:textId="3D77B33F" w:rsidR="00A1506E" w:rsidRPr="007F03EF" w:rsidRDefault="00A1506E" w:rsidP="00A1506E">
      <w:pPr>
        <w:pStyle w:val="Body"/>
      </w:pPr>
      <w:r w:rsidRPr="007F03EF">
        <w:t xml:space="preserve">NWAU price groups and prices for </w:t>
      </w:r>
      <w:r w:rsidR="002E7EEF" w:rsidRPr="007F03EF">
        <w:t>202</w:t>
      </w:r>
      <w:r w:rsidR="00A96DB9">
        <w:t>3</w:t>
      </w:r>
      <w:r w:rsidR="00E92200">
        <w:t>–</w:t>
      </w:r>
      <w:r w:rsidR="00A96DB9">
        <w:t>24</w:t>
      </w:r>
      <w:r w:rsidR="002E7EEF" w:rsidRPr="007F03EF">
        <w:rPr>
          <w:lang w:val="en-US"/>
        </w:rPr>
        <w:t xml:space="preserve"> </w:t>
      </w:r>
      <w:r w:rsidRPr="007F03EF">
        <w:t>are outlined in</w:t>
      </w:r>
      <w:r w:rsidR="00660E06" w:rsidRPr="007F03EF">
        <w:t xml:space="preserve"> section</w:t>
      </w:r>
      <w:r w:rsidR="00E92200">
        <w:t xml:space="preserve"> </w:t>
      </w:r>
      <w:r w:rsidR="00660E06" w:rsidRPr="007F03EF">
        <w:fldChar w:fldCharType="begin"/>
      </w:r>
      <w:r w:rsidR="00660E06" w:rsidRPr="007F03EF">
        <w:instrText xml:space="preserve"> REF _Ref77707788 \r \h </w:instrText>
      </w:r>
      <w:r w:rsidR="007F03EF">
        <w:instrText xml:space="preserve"> \* MERGEFORMAT </w:instrText>
      </w:r>
      <w:r w:rsidR="00660E06" w:rsidRPr="007F03EF">
        <w:fldChar w:fldCharType="separate"/>
      </w:r>
      <w:r w:rsidR="00892F13">
        <w:t>1.24</w:t>
      </w:r>
      <w:r w:rsidR="00660E06" w:rsidRPr="007F03EF">
        <w:fldChar w:fldCharType="end"/>
      </w:r>
      <w:r w:rsidR="00660E06" w:rsidRPr="007F03EF">
        <w:t xml:space="preserve"> </w:t>
      </w:r>
      <w:r w:rsidR="0025567C">
        <w:t>‘</w:t>
      </w:r>
      <w:r w:rsidR="00660E06" w:rsidRPr="007F03EF">
        <w:fldChar w:fldCharType="begin"/>
      </w:r>
      <w:r w:rsidR="00660E06" w:rsidRPr="007F03EF">
        <w:instrText xml:space="preserve"> REF _Ref77707841 \h </w:instrText>
      </w:r>
      <w:r w:rsidR="007F03EF">
        <w:instrText xml:space="preserve"> \* MERGEFORMAT </w:instrText>
      </w:r>
      <w:r w:rsidR="00660E06" w:rsidRPr="007F03EF">
        <w:fldChar w:fldCharType="separate"/>
      </w:r>
      <w:r w:rsidR="00892F13">
        <w:t xml:space="preserve">Price groups for NWAU </w:t>
      </w:r>
      <w:r w:rsidR="00660E06" w:rsidRPr="007F03EF">
        <w:fldChar w:fldCharType="end"/>
      </w:r>
      <w:r w:rsidR="0025567C">
        <w:t>’</w:t>
      </w:r>
      <w:r w:rsidRPr="007F03EF">
        <w:t>.</w:t>
      </w:r>
    </w:p>
    <w:p w14:paraId="166B8F14" w14:textId="379322F2" w:rsidR="00A1506E" w:rsidRPr="007F03EF" w:rsidRDefault="00A1506E" w:rsidP="00081936">
      <w:pPr>
        <w:pStyle w:val="Heading4"/>
        <w:numPr>
          <w:ilvl w:val="3"/>
          <w:numId w:val="33"/>
        </w:numPr>
      </w:pPr>
      <w:r>
        <w:t>Activity-</w:t>
      </w:r>
      <w:r w:rsidR="00E92200">
        <w:t>based services</w:t>
      </w:r>
    </w:p>
    <w:p w14:paraId="2AE0989C" w14:textId="38CAE9CA" w:rsidR="009E4DA8" w:rsidRPr="007F03EF" w:rsidRDefault="4EE6A6E1" w:rsidP="009E4DA8">
      <w:pPr>
        <w:pStyle w:val="Body"/>
      </w:pPr>
      <w:r>
        <w:t xml:space="preserve">For </w:t>
      </w:r>
      <w:r w:rsidR="18DFC80F">
        <w:t>202</w:t>
      </w:r>
      <w:r w:rsidR="00D27223">
        <w:t>3</w:t>
      </w:r>
      <w:r w:rsidR="0044334C">
        <w:t>–</w:t>
      </w:r>
      <w:r w:rsidR="18DFC80F">
        <w:t>2</w:t>
      </w:r>
      <w:r w:rsidR="00D27223">
        <w:t>4</w:t>
      </w:r>
      <w:r w:rsidR="0044334C">
        <w:t>,</w:t>
      </w:r>
      <w:r w:rsidR="18DFC80F" w:rsidRPr="3808635B">
        <w:rPr>
          <w:lang w:val="en-US"/>
        </w:rPr>
        <w:t xml:space="preserve"> </w:t>
      </w:r>
      <w:r>
        <w:t xml:space="preserve">health services’ existing funding will continue to be determined based on activity volumes and prices according to the Victorian funding models. </w:t>
      </w:r>
      <w:r w:rsidR="00BF5198">
        <w:t xml:space="preserve">All </w:t>
      </w:r>
      <w:r w:rsidR="00E92200">
        <w:t>activity-</w:t>
      </w:r>
      <w:r w:rsidR="00BF5198">
        <w:t xml:space="preserve">based funding must be in scope of the NHRA. </w:t>
      </w:r>
      <w:r>
        <w:t xml:space="preserve">The Commonwealth and state contributions to health services, through the national </w:t>
      </w:r>
      <w:r w:rsidR="008032EF">
        <w:t xml:space="preserve">health </w:t>
      </w:r>
      <w:r>
        <w:t>funding pool, will be based on the projected equivalent NWAUs generated by the activity levels as set by the Victorian funding models</w:t>
      </w:r>
      <w:r w:rsidR="005966EE">
        <w:t xml:space="preserve">. </w:t>
      </w:r>
      <w:r w:rsidR="003C2BD8">
        <w:t>Cash</w:t>
      </w:r>
      <w:r w:rsidR="005966EE">
        <w:t xml:space="preserve"> flows to health services are based on</w:t>
      </w:r>
      <w:r>
        <w:t xml:space="preserve"> </w:t>
      </w:r>
      <w:r w:rsidR="005966EE">
        <w:t xml:space="preserve">the NEP </w:t>
      </w:r>
      <w:r w:rsidR="003C2BD8">
        <w:t>(the Commonwealth</w:t>
      </w:r>
      <w:r w:rsidR="009A2D56">
        <w:t>’s component</w:t>
      </w:r>
      <w:r w:rsidR="003C2BD8">
        <w:t xml:space="preserve">) </w:t>
      </w:r>
      <w:r w:rsidR="005966EE">
        <w:t>and on</w:t>
      </w:r>
      <w:r w:rsidR="004F74E7">
        <w:t xml:space="preserve"> </w:t>
      </w:r>
      <w:r w:rsidR="00D0502B">
        <w:t xml:space="preserve">health service specific </w:t>
      </w:r>
      <w:r w:rsidR="003C2BD8">
        <w:t>VEP</w:t>
      </w:r>
      <w:r w:rsidR="004F74E7">
        <w:t>s</w:t>
      </w:r>
      <w:r w:rsidR="003C2BD8">
        <w:t xml:space="preserve"> (the State</w:t>
      </w:r>
      <w:r w:rsidR="009A2D56">
        <w:t>’s component</w:t>
      </w:r>
      <w:r w:rsidR="003C2BD8">
        <w:t>)</w:t>
      </w:r>
      <w:r>
        <w:t>.</w:t>
      </w:r>
    </w:p>
    <w:p w14:paraId="6CAC97E2" w14:textId="5B77C98A" w:rsidR="00A1506E" w:rsidRPr="007F03EF" w:rsidRDefault="009E4DA8" w:rsidP="009E4DA8">
      <w:pPr>
        <w:pStyle w:val="Body"/>
      </w:pPr>
      <w:r w:rsidRPr="007F03EF">
        <w:t xml:space="preserve">The </w:t>
      </w:r>
      <w:r w:rsidR="0044334C">
        <w:t xml:space="preserve">VEP </w:t>
      </w:r>
      <w:r w:rsidRPr="007F03EF">
        <w:t xml:space="preserve">will only apply to additional funding allocation from </w:t>
      </w:r>
      <w:r w:rsidR="002E7EEF" w:rsidRPr="007F03EF">
        <w:t>202</w:t>
      </w:r>
      <w:r w:rsidR="00276C7C">
        <w:t>3</w:t>
      </w:r>
      <w:r w:rsidR="0043230A">
        <w:t>–</w:t>
      </w:r>
      <w:r w:rsidR="00276C7C">
        <w:t>24</w:t>
      </w:r>
      <w:r w:rsidR="002E7EEF" w:rsidRPr="007F03EF">
        <w:rPr>
          <w:lang w:val="en-US"/>
        </w:rPr>
        <w:t xml:space="preserve"> </w:t>
      </w:r>
      <w:r w:rsidRPr="007F03EF">
        <w:t>for the relevant in-scope activities.</w:t>
      </w:r>
    </w:p>
    <w:p w14:paraId="5519D939" w14:textId="6B710822" w:rsidR="00A1506E" w:rsidRPr="007F03EF" w:rsidRDefault="14BE2091" w:rsidP="00081936">
      <w:pPr>
        <w:pStyle w:val="Heading4"/>
        <w:numPr>
          <w:ilvl w:val="3"/>
          <w:numId w:val="33"/>
        </w:numPr>
      </w:pPr>
      <w:r>
        <w:t>Block</w:t>
      </w:r>
      <w:r w:rsidR="00556817">
        <w:t>-</w:t>
      </w:r>
      <w:r w:rsidR="00E92200">
        <w:t>funded services</w:t>
      </w:r>
    </w:p>
    <w:p w14:paraId="01BBA24A" w14:textId="130E4A68" w:rsidR="00A1506E" w:rsidRDefault="27EA5AB6" w:rsidP="00A1506E">
      <w:pPr>
        <w:pStyle w:val="Body"/>
      </w:pPr>
      <w:r w:rsidRPr="007F03EF">
        <w:t xml:space="preserve">Not all </w:t>
      </w:r>
      <w:r w:rsidR="5E4828AE" w:rsidRPr="007F03EF">
        <w:t xml:space="preserve">service type </w:t>
      </w:r>
      <w:r w:rsidRPr="007F03EF">
        <w:t>components transition</w:t>
      </w:r>
      <w:r w:rsidR="0043230A">
        <w:t>ed</w:t>
      </w:r>
      <w:r w:rsidRPr="007F03EF">
        <w:t xml:space="preserve"> </w:t>
      </w:r>
      <w:r w:rsidR="6F6ACD3B" w:rsidRPr="007F03EF">
        <w:t xml:space="preserve">to the </w:t>
      </w:r>
      <w:r w:rsidR="45157492" w:rsidRPr="007F03EF">
        <w:t>n</w:t>
      </w:r>
      <w:r w:rsidR="6F6ACD3B" w:rsidRPr="007F03EF">
        <w:t xml:space="preserve">ational funding </w:t>
      </w:r>
      <w:r w:rsidR="545A6352" w:rsidRPr="007F03EF">
        <w:t xml:space="preserve">model </w:t>
      </w:r>
      <w:r w:rsidRPr="007F03EF">
        <w:t>from 1 July 2021.</w:t>
      </w:r>
      <w:r w:rsidR="4CD9BF2D" w:rsidRPr="007F03EF">
        <w:t xml:space="preserve"> </w:t>
      </w:r>
      <w:r w:rsidR="4BEC8F3B" w:rsidRPr="007F03EF">
        <w:t>I</w:t>
      </w:r>
      <w:r w:rsidR="55709D71" w:rsidRPr="007F03EF">
        <w:t>n general, s</w:t>
      </w:r>
      <w:r w:rsidR="3167B647" w:rsidRPr="007F03EF">
        <w:t>pecified grants</w:t>
      </w:r>
      <w:r w:rsidR="74FCBE44" w:rsidRPr="007F03EF">
        <w:t>, including those tailored to support statewide services</w:t>
      </w:r>
      <w:r w:rsidR="6EC224B7" w:rsidRPr="007F03EF">
        <w:t>,</w:t>
      </w:r>
      <w:r w:rsidR="3167B647" w:rsidRPr="007F03EF">
        <w:t xml:space="preserve"> will </w:t>
      </w:r>
      <w:r w:rsidR="377726CD" w:rsidRPr="007F03EF">
        <w:t>continue to be block funded</w:t>
      </w:r>
      <w:r w:rsidR="00EC4CCD">
        <w:t xml:space="preserve"> in 2023</w:t>
      </w:r>
      <w:r w:rsidR="0043230A">
        <w:t>–</w:t>
      </w:r>
      <w:r w:rsidR="00EC4CCD">
        <w:t>24</w:t>
      </w:r>
      <w:r w:rsidR="2BBAF42B" w:rsidRPr="007F03EF">
        <w:t>.</w:t>
      </w:r>
      <w:r w:rsidR="377726CD" w:rsidRPr="007F03EF">
        <w:t xml:space="preserve"> </w:t>
      </w:r>
      <w:r w:rsidR="286A23DD" w:rsidRPr="007F03EF">
        <w:t xml:space="preserve">Some subacute non-admitted services will only partially </w:t>
      </w:r>
      <w:r w:rsidR="0043230A">
        <w:t xml:space="preserve">transition, </w:t>
      </w:r>
      <w:r w:rsidR="0009021A">
        <w:t xml:space="preserve">subject to </w:t>
      </w:r>
      <w:r w:rsidR="6ACB8415" w:rsidRPr="007F03EF">
        <w:t>ongoing implementation considerations</w:t>
      </w:r>
      <w:r w:rsidR="286A23DD" w:rsidRPr="007F03EF">
        <w:t xml:space="preserve">. </w:t>
      </w:r>
      <w:r w:rsidR="3A3790C4" w:rsidRPr="007F03EF">
        <w:t xml:space="preserve">Teaching and </w:t>
      </w:r>
      <w:r w:rsidR="2B983882" w:rsidRPr="007F03EF">
        <w:t>t</w:t>
      </w:r>
      <w:r w:rsidR="3A3790C4" w:rsidRPr="007F03EF">
        <w:t xml:space="preserve">raining, </w:t>
      </w:r>
      <w:r w:rsidR="62414678" w:rsidRPr="007F03EF">
        <w:t>m</w:t>
      </w:r>
      <w:r w:rsidR="3A3790C4" w:rsidRPr="007F03EF">
        <w:t xml:space="preserve">ental </w:t>
      </w:r>
      <w:r w:rsidR="71882094" w:rsidRPr="007F03EF">
        <w:t>h</w:t>
      </w:r>
      <w:r w:rsidR="3A3790C4" w:rsidRPr="007F03EF">
        <w:t xml:space="preserve">ealth and </w:t>
      </w:r>
      <w:r w:rsidR="6D9CE5BA" w:rsidRPr="007F03EF">
        <w:t>s</w:t>
      </w:r>
      <w:r w:rsidR="3A3790C4" w:rsidRPr="007F03EF">
        <w:t xml:space="preserve">mall </w:t>
      </w:r>
      <w:r w:rsidR="6D9CE5BA" w:rsidRPr="007F03EF">
        <w:t>r</w:t>
      </w:r>
      <w:r w:rsidR="3A3790C4" w:rsidRPr="007F03EF">
        <w:t xml:space="preserve">ural </w:t>
      </w:r>
      <w:r w:rsidR="5D943CCC" w:rsidRPr="007F03EF">
        <w:t>s</w:t>
      </w:r>
      <w:r w:rsidR="3A3790C4" w:rsidRPr="007F03EF">
        <w:t xml:space="preserve">ervices will not transition to the </w:t>
      </w:r>
      <w:r w:rsidR="384226D9" w:rsidRPr="007F03EF">
        <w:t xml:space="preserve">national </w:t>
      </w:r>
      <w:r w:rsidR="7566887C" w:rsidRPr="007F03EF">
        <w:t xml:space="preserve">funding model </w:t>
      </w:r>
      <w:r w:rsidR="3A3790C4" w:rsidRPr="007F03EF">
        <w:t>at this point in time.</w:t>
      </w:r>
    </w:p>
    <w:p w14:paraId="7E71E678" w14:textId="26492723" w:rsidR="00A7633C" w:rsidRPr="00500C8C" w:rsidRDefault="00A7633C" w:rsidP="009522D1">
      <w:pPr>
        <w:pStyle w:val="Heading2"/>
      </w:pPr>
      <w:bookmarkStart w:id="117" w:name="_Toc418694906"/>
      <w:bookmarkStart w:id="118" w:name="_Toc6215545"/>
      <w:bookmarkStart w:id="119" w:name="_Toc10199621"/>
      <w:bookmarkStart w:id="120" w:name="_Toc52892567"/>
      <w:bookmarkStart w:id="121" w:name="_Toc100263280"/>
      <w:bookmarkStart w:id="122" w:name="_Toc156569604"/>
      <w:r>
        <w:lastRenderedPageBreak/>
        <w:t xml:space="preserve">Pricing for </w:t>
      </w:r>
      <w:r w:rsidR="0043230A">
        <w:t>q</w:t>
      </w:r>
      <w:r>
        <w:t>uality</w:t>
      </w:r>
      <w:bookmarkEnd w:id="117"/>
      <w:bookmarkEnd w:id="118"/>
      <w:bookmarkEnd w:id="119"/>
      <w:bookmarkEnd w:id="120"/>
      <w:bookmarkEnd w:id="121"/>
      <w:bookmarkEnd w:id="122"/>
    </w:p>
    <w:p w14:paraId="1EDA04C0" w14:textId="16B880D1" w:rsidR="008F45AC" w:rsidRPr="007F03EF" w:rsidRDefault="00A7633C" w:rsidP="008F45AC">
      <w:pPr>
        <w:pStyle w:val="Body"/>
      </w:pPr>
      <w:r w:rsidRPr="00F34FFD">
        <w:rPr>
          <w:lang w:eastAsia="en-AU"/>
        </w:rPr>
        <w:t xml:space="preserve">In </w:t>
      </w:r>
      <w:r w:rsidR="008F45AC" w:rsidRPr="007F03EF">
        <w:t>2014–15</w:t>
      </w:r>
      <w:r w:rsidR="0043230A">
        <w:t>,</w:t>
      </w:r>
      <w:r w:rsidR="008F45AC" w:rsidRPr="007F03EF">
        <w:t xml:space="preserve"> Victoria implemented a pricing for quality scheme, providing an opportunity to link funding allocations to discrete performance measures that demonstrate a health service’s success in reducing preventable harm and improving the quality of care.</w:t>
      </w:r>
    </w:p>
    <w:p w14:paraId="7BAECF3D" w14:textId="23B9C898" w:rsidR="0043230A" w:rsidRDefault="008F45AC" w:rsidP="00A7633C">
      <w:pPr>
        <w:pStyle w:val="Body"/>
        <w:rPr>
          <w:lang w:eastAsia="en-AU"/>
        </w:rPr>
      </w:pPr>
      <w:r>
        <w:rPr>
          <w:lang w:eastAsia="en-AU"/>
        </w:rPr>
        <w:t xml:space="preserve">From 1 July 2017, </w:t>
      </w:r>
      <w:r w:rsidR="00190830">
        <w:rPr>
          <w:lang w:eastAsia="en-AU"/>
        </w:rPr>
        <w:t xml:space="preserve">following </w:t>
      </w:r>
      <w:r w:rsidR="00A7633C" w:rsidRPr="00F34FFD">
        <w:rPr>
          <w:lang w:eastAsia="en-AU"/>
        </w:rPr>
        <w:t xml:space="preserve">recommendations </w:t>
      </w:r>
      <w:r w:rsidR="0043230A">
        <w:rPr>
          <w:lang w:eastAsia="en-AU"/>
        </w:rPr>
        <w:t>that arose from</w:t>
      </w:r>
      <w:r w:rsidR="00A7633C" w:rsidRPr="00F34FFD">
        <w:rPr>
          <w:lang w:eastAsia="en-AU"/>
        </w:rPr>
        <w:t xml:space="preserve"> IH</w:t>
      </w:r>
      <w:r w:rsidR="00B93E05">
        <w:rPr>
          <w:lang w:eastAsia="en-AU"/>
        </w:rPr>
        <w:t>AC</w:t>
      </w:r>
      <w:r w:rsidR="00A7633C" w:rsidRPr="00F34FFD">
        <w:rPr>
          <w:lang w:eastAsia="en-AU"/>
        </w:rPr>
        <w:t>PA</w:t>
      </w:r>
      <w:r w:rsidR="0043230A">
        <w:rPr>
          <w:lang w:eastAsia="en-AU"/>
        </w:rPr>
        <w:t>’s</w:t>
      </w:r>
      <w:r w:rsidR="00A7633C" w:rsidRPr="00F34FFD">
        <w:rPr>
          <w:lang w:eastAsia="en-AU"/>
        </w:rPr>
        <w:t xml:space="preserve"> </w:t>
      </w:r>
      <w:r w:rsidR="00A7633C" w:rsidRPr="00AC7041">
        <w:rPr>
          <w:rStyle w:val="Emphasis"/>
        </w:rPr>
        <w:t xml:space="preserve">Consultation </w:t>
      </w:r>
      <w:r w:rsidR="00CB7FAD">
        <w:rPr>
          <w:rStyle w:val="Emphasis"/>
        </w:rPr>
        <w:t>p</w:t>
      </w:r>
      <w:r w:rsidR="00CB7FAD" w:rsidRPr="00AC7041">
        <w:rPr>
          <w:rStyle w:val="Emphasis"/>
        </w:rPr>
        <w:t xml:space="preserve">aper on the </w:t>
      </w:r>
      <w:r w:rsidR="00CB7FAD">
        <w:rPr>
          <w:rStyle w:val="Emphasis"/>
        </w:rPr>
        <w:t>p</w:t>
      </w:r>
      <w:r w:rsidR="00CB7FAD" w:rsidRPr="00AC7041">
        <w:rPr>
          <w:rStyle w:val="Emphasis"/>
        </w:rPr>
        <w:t xml:space="preserve">ricing </w:t>
      </w:r>
      <w:r w:rsidR="00CB7FAD">
        <w:rPr>
          <w:rStyle w:val="Emphasis"/>
        </w:rPr>
        <w:t>f</w:t>
      </w:r>
      <w:r w:rsidR="00CB7FAD" w:rsidRPr="00AC7041">
        <w:rPr>
          <w:rStyle w:val="Emphasis"/>
        </w:rPr>
        <w:t xml:space="preserve">ramework </w:t>
      </w:r>
      <w:r w:rsidR="00A7633C" w:rsidRPr="00AC7041">
        <w:rPr>
          <w:rStyle w:val="Emphasis"/>
        </w:rPr>
        <w:t xml:space="preserve">for Australian </w:t>
      </w:r>
      <w:r w:rsidR="00CB7FAD">
        <w:rPr>
          <w:rStyle w:val="Emphasis"/>
        </w:rPr>
        <w:t>p</w:t>
      </w:r>
      <w:r w:rsidR="00CB7FAD" w:rsidRPr="00AC7041">
        <w:rPr>
          <w:rStyle w:val="Emphasis"/>
        </w:rPr>
        <w:t xml:space="preserve">ublic </w:t>
      </w:r>
      <w:r w:rsidR="00CB7FAD">
        <w:rPr>
          <w:rStyle w:val="Emphasis"/>
        </w:rPr>
        <w:t>h</w:t>
      </w:r>
      <w:r w:rsidR="00CB7FAD" w:rsidRPr="00AC7041">
        <w:rPr>
          <w:rStyle w:val="Emphasis"/>
        </w:rPr>
        <w:t xml:space="preserve">ospital </w:t>
      </w:r>
      <w:r w:rsidR="00CB7FAD">
        <w:rPr>
          <w:rStyle w:val="Emphasis"/>
        </w:rPr>
        <w:t>s</w:t>
      </w:r>
      <w:r w:rsidR="00CB7FAD" w:rsidRPr="00AC7041">
        <w:rPr>
          <w:rStyle w:val="Emphasis"/>
        </w:rPr>
        <w:t xml:space="preserve">ervices </w:t>
      </w:r>
      <w:r w:rsidR="00A7633C" w:rsidRPr="00AC7041">
        <w:rPr>
          <w:rStyle w:val="Emphasis"/>
        </w:rPr>
        <w:t>201</w:t>
      </w:r>
      <w:r w:rsidR="00A7633C">
        <w:rPr>
          <w:rStyle w:val="Emphasis"/>
        </w:rPr>
        <w:t>7–</w:t>
      </w:r>
      <w:r w:rsidR="00A7633C" w:rsidRPr="00AC7041">
        <w:rPr>
          <w:rStyle w:val="Emphasis"/>
        </w:rPr>
        <w:t>18</w:t>
      </w:r>
      <w:r w:rsidR="00A7633C" w:rsidRPr="00F34FFD">
        <w:rPr>
          <w:lang w:eastAsia="en-AU"/>
        </w:rPr>
        <w:t xml:space="preserve">, the </w:t>
      </w:r>
      <w:r w:rsidR="0043230A">
        <w:rPr>
          <w:lang w:eastAsia="en-AU"/>
        </w:rPr>
        <w:t>Commonwealth</w:t>
      </w:r>
      <w:r w:rsidR="0043230A" w:rsidRPr="00F34FFD">
        <w:rPr>
          <w:lang w:eastAsia="en-AU"/>
        </w:rPr>
        <w:t xml:space="preserve"> </w:t>
      </w:r>
      <w:r w:rsidR="00A7633C" w:rsidRPr="00F34FFD">
        <w:rPr>
          <w:lang w:eastAsia="en-AU"/>
        </w:rPr>
        <w:t>Government determined that any admitted or non-admitted episode of hospital care associated with a sentinel event would not be funded in its entirety (also known as ‘pricing for quality’).</w:t>
      </w:r>
    </w:p>
    <w:p w14:paraId="72A374BD" w14:textId="4BA8060E" w:rsidR="00A7633C" w:rsidRPr="007F03EF" w:rsidRDefault="00A7633C" w:rsidP="00A7633C">
      <w:pPr>
        <w:pStyle w:val="Body"/>
        <w:rPr>
          <w:lang w:val="en-US" w:eastAsia="en-AU"/>
        </w:rPr>
      </w:pPr>
      <w:r w:rsidRPr="00F34FFD">
        <w:rPr>
          <w:lang w:eastAsia="en-AU"/>
        </w:rPr>
        <w:t>In response, Victoria introduced a new pricing mechanism for sentinel events in 2017–18</w:t>
      </w:r>
      <w:r w:rsidR="0043230A">
        <w:rPr>
          <w:lang w:eastAsia="en-AU"/>
        </w:rPr>
        <w:t>. Under this model,</w:t>
      </w:r>
      <w:r w:rsidRPr="00F34FFD">
        <w:rPr>
          <w:lang w:eastAsia="en-AU"/>
        </w:rPr>
        <w:t xml:space="preserve"> episodes of care with an avoidable sentinel </w:t>
      </w:r>
      <w:r w:rsidRPr="007F03EF">
        <w:rPr>
          <w:lang w:eastAsia="en-AU"/>
        </w:rPr>
        <w:t xml:space="preserve">event, as defined by the nationally agreed sentinel event categories, are not funded. </w:t>
      </w:r>
      <w:r w:rsidRPr="007F03EF">
        <w:rPr>
          <w:lang w:val="en-US" w:eastAsia="en-AU"/>
        </w:rPr>
        <w:t>This model excludes ‘</w:t>
      </w:r>
      <w:r w:rsidR="0043230A">
        <w:rPr>
          <w:iCs/>
          <w:lang w:val="en-US" w:eastAsia="en-AU"/>
        </w:rPr>
        <w:t>C</w:t>
      </w:r>
      <w:r w:rsidRPr="00685B35">
        <w:rPr>
          <w:iCs/>
          <w:lang w:val="en-US" w:eastAsia="en-AU"/>
        </w:rPr>
        <w:t>ategory 11</w:t>
      </w:r>
      <w:r w:rsidR="0043230A">
        <w:rPr>
          <w:iCs/>
          <w:lang w:val="en-US" w:eastAsia="en-AU"/>
        </w:rPr>
        <w:t>:</w:t>
      </w:r>
      <w:r w:rsidRPr="00685B35">
        <w:rPr>
          <w:iCs/>
          <w:lang w:val="en-US" w:eastAsia="en-AU"/>
        </w:rPr>
        <w:t xml:space="preserve"> All other adverse patient safety events resulting in serious harm or </w:t>
      </w:r>
      <w:r w:rsidR="00CB7FAD" w:rsidRPr="00685B35">
        <w:rPr>
          <w:iCs/>
          <w:lang w:val="en-US" w:eastAsia="en-AU"/>
        </w:rPr>
        <w:t>death</w:t>
      </w:r>
      <w:r w:rsidR="00CB7FAD" w:rsidRPr="0043230A">
        <w:rPr>
          <w:iCs/>
          <w:lang w:val="en-US" w:eastAsia="en-AU"/>
        </w:rPr>
        <w:t>’</w:t>
      </w:r>
      <w:r w:rsidR="0043230A">
        <w:rPr>
          <w:iCs/>
          <w:lang w:val="en-US" w:eastAsia="en-AU"/>
        </w:rPr>
        <w:t>. This is</w:t>
      </w:r>
      <w:r w:rsidR="00CB7FAD" w:rsidRPr="007F03EF">
        <w:rPr>
          <w:lang w:val="en-US" w:eastAsia="en-AU"/>
        </w:rPr>
        <w:t xml:space="preserve"> </w:t>
      </w:r>
      <w:r w:rsidRPr="007F03EF">
        <w:rPr>
          <w:lang w:val="en-US" w:eastAsia="en-AU"/>
        </w:rPr>
        <w:t xml:space="preserve">because this sentinel event category is only used in Victoria and </w:t>
      </w:r>
      <w:r w:rsidR="0043230A">
        <w:rPr>
          <w:lang w:val="en-US" w:eastAsia="en-AU"/>
        </w:rPr>
        <w:t xml:space="preserve">it is </w:t>
      </w:r>
      <w:r w:rsidRPr="007F03EF">
        <w:rPr>
          <w:lang w:val="en-US" w:eastAsia="en-AU"/>
        </w:rPr>
        <w:t>not subject to the national pricing for quality.</w:t>
      </w:r>
    </w:p>
    <w:p w14:paraId="03C26D47" w14:textId="07FD17A3" w:rsidR="00A7633C" w:rsidRPr="007F03EF" w:rsidRDefault="00A7633C" w:rsidP="00A7633C">
      <w:pPr>
        <w:pStyle w:val="Body"/>
        <w:rPr>
          <w:lang w:val="en-US" w:eastAsia="en-AU"/>
        </w:rPr>
      </w:pPr>
      <w:r w:rsidRPr="007F03EF">
        <w:rPr>
          <w:lang w:eastAsia="en-AU"/>
        </w:rPr>
        <w:t xml:space="preserve">Health services </w:t>
      </w:r>
      <w:r w:rsidR="00A932CB">
        <w:rPr>
          <w:lang w:eastAsia="en-AU"/>
        </w:rPr>
        <w:t>must</w:t>
      </w:r>
      <w:r w:rsidRPr="007F03EF">
        <w:rPr>
          <w:lang w:eastAsia="en-AU"/>
        </w:rPr>
        <w:t xml:space="preserve"> report all sentinel events (see list below) to the Sentinel Event Program, which is coordinated by Safer Care Victoria. All sentinel events in categories 1–10 are analysed to determine avoidability. If an event is found to be avoidable, a health service will not receive payment for the entire episode of care.</w:t>
      </w:r>
    </w:p>
    <w:p w14:paraId="36816469" w14:textId="5843C84A" w:rsidR="00EF2E8F" w:rsidRDefault="00FB3B7A" w:rsidP="00766EAE">
      <w:bookmarkStart w:id="123" w:name="_Hlk260288"/>
      <w:r>
        <w:t xml:space="preserve">The </w:t>
      </w:r>
      <w:r w:rsidR="38604FCC">
        <w:t xml:space="preserve">national pricing and funding model for </w:t>
      </w:r>
      <w:r w:rsidR="00A932CB">
        <w:t>h</w:t>
      </w:r>
      <w:r w:rsidR="38604FCC">
        <w:t xml:space="preserve">ospital </w:t>
      </w:r>
      <w:r w:rsidR="00A932CB">
        <w:t xml:space="preserve">acquired complications </w:t>
      </w:r>
      <w:r w:rsidR="38604FCC">
        <w:t>(HAC), developed by the IH</w:t>
      </w:r>
      <w:r w:rsidR="6A06017E">
        <w:t>AC</w:t>
      </w:r>
      <w:r w:rsidR="38604FCC">
        <w:t xml:space="preserve">PA, will </w:t>
      </w:r>
      <w:r>
        <w:t>be applied in</w:t>
      </w:r>
      <w:r w:rsidR="38604FCC">
        <w:t xml:space="preserve"> </w:t>
      </w:r>
      <w:r>
        <w:t xml:space="preserve">Victoria from </w:t>
      </w:r>
      <w:r w:rsidR="38604FCC">
        <w:t>202</w:t>
      </w:r>
      <w:r w:rsidR="1F4543A0">
        <w:t>3</w:t>
      </w:r>
      <w:r w:rsidR="00A932CB">
        <w:t>–</w:t>
      </w:r>
      <w:r w:rsidR="38604FCC">
        <w:t>2</w:t>
      </w:r>
      <w:r w:rsidR="7D4E22C5">
        <w:t>4</w:t>
      </w:r>
      <w:r w:rsidR="38604FCC">
        <w:t xml:space="preserve">. The national </w:t>
      </w:r>
      <w:r w:rsidR="00170AE5">
        <w:t>acute</w:t>
      </w:r>
      <w:r w:rsidR="00556817">
        <w:t xml:space="preserve"> </w:t>
      </w:r>
      <w:r w:rsidR="00170AE5">
        <w:t xml:space="preserve">admitted NWAU </w:t>
      </w:r>
      <w:r w:rsidR="38604FCC">
        <w:t xml:space="preserve">model applies a risk-adjusted </w:t>
      </w:r>
      <w:r w:rsidR="00326ABC">
        <w:t xml:space="preserve">discount </w:t>
      </w:r>
      <w:r w:rsidR="00E5454F">
        <w:t xml:space="preserve">to the </w:t>
      </w:r>
      <w:r w:rsidR="00516557">
        <w:t xml:space="preserve">NWAU </w:t>
      </w:r>
      <w:r w:rsidR="00E5454F">
        <w:t xml:space="preserve">generated by </w:t>
      </w:r>
      <w:r w:rsidR="38604FCC">
        <w:t>each episode in which a HAC is present</w:t>
      </w:r>
      <w:r w:rsidR="00940F92">
        <w:t xml:space="preserve">. </w:t>
      </w:r>
    </w:p>
    <w:p w14:paraId="5932BB05" w14:textId="75EAF943" w:rsidR="001E0B7F" w:rsidRDefault="00766EAE" w:rsidP="00922D84">
      <w:r>
        <w:t xml:space="preserve">Section </w:t>
      </w:r>
      <w:r w:rsidR="009C5C0E">
        <w:fldChar w:fldCharType="begin"/>
      </w:r>
      <w:r w:rsidR="009C5C0E">
        <w:instrText xml:space="preserve"> REF _Ref143004077 \r \h </w:instrText>
      </w:r>
      <w:r w:rsidR="009C5C0E">
        <w:fldChar w:fldCharType="separate"/>
      </w:r>
      <w:r w:rsidR="00892F13">
        <w:t>1.19.2</w:t>
      </w:r>
      <w:r w:rsidR="009C5C0E">
        <w:fldChar w:fldCharType="end"/>
      </w:r>
      <w:r>
        <w:t xml:space="preserve"> outlines the method to calculate the </w:t>
      </w:r>
      <w:r w:rsidR="00A932CB">
        <w:t>HAC</w:t>
      </w:r>
      <w:r>
        <w:t xml:space="preserve"> NWAU growth</w:t>
      </w:r>
      <w:r w:rsidR="00A932CB">
        <w:t>-</w:t>
      </w:r>
      <w:r>
        <w:t>funding adjustment.</w:t>
      </w:r>
      <w:r w:rsidR="00EF2E8F">
        <w:t xml:space="preserve"> </w:t>
      </w:r>
      <w:r>
        <w:t>S</w:t>
      </w:r>
      <w:r w:rsidR="00657423" w:rsidRPr="00EF2E8F">
        <w:t xml:space="preserve">ection </w:t>
      </w:r>
      <w:r w:rsidR="009C5C0E">
        <w:fldChar w:fldCharType="begin"/>
      </w:r>
      <w:r w:rsidR="009C5C0E">
        <w:instrText xml:space="preserve"> REF _Ref143004120 \r \h </w:instrText>
      </w:r>
      <w:r w:rsidR="009C5C0E">
        <w:fldChar w:fldCharType="separate"/>
      </w:r>
      <w:r w:rsidR="00892F13">
        <w:t>1.17</w:t>
      </w:r>
      <w:r w:rsidR="009C5C0E">
        <w:fldChar w:fldCharType="end"/>
      </w:r>
      <w:r>
        <w:t xml:space="preserve"> outlines how</w:t>
      </w:r>
      <w:r w:rsidR="00EF2E8F">
        <w:t xml:space="preserve"> this adjustment applies with regard to recall policy</w:t>
      </w:r>
      <w:r w:rsidR="00EA769B" w:rsidRPr="00EF2E8F">
        <w:t xml:space="preserve">. </w:t>
      </w:r>
      <w:r w:rsidR="00852DC3">
        <w:t xml:space="preserve">Section </w:t>
      </w:r>
      <w:r w:rsidR="00FE5516">
        <w:fldChar w:fldCharType="begin"/>
      </w:r>
      <w:r w:rsidR="00FE5516">
        <w:instrText xml:space="preserve"> REF _Ref143084241 \r \h </w:instrText>
      </w:r>
      <w:r w:rsidR="00FE5516">
        <w:fldChar w:fldCharType="separate"/>
      </w:r>
      <w:r w:rsidR="00892F13">
        <w:t>2.2.2</w:t>
      </w:r>
      <w:r w:rsidR="00FE5516">
        <w:fldChar w:fldCharType="end"/>
      </w:r>
      <w:r w:rsidR="00FE5516">
        <w:t xml:space="preserve">, </w:t>
      </w:r>
      <w:r w:rsidR="00FE5516">
        <w:fldChar w:fldCharType="begin"/>
      </w:r>
      <w:r w:rsidR="00FE5516">
        <w:instrText xml:space="preserve"> REF _Ref143084332 \h </w:instrText>
      </w:r>
      <w:r w:rsidR="00FE5516">
        <w:fldChar w:fldCharType="separate"/>
      </w:r>
      <w:r w:rsidR="00892F13">
        <w:t xml:space="preserve">Table </w:t>
      </w:r>
      <w:r w:rsidR="00892F13">
        <w:rPr>
          <w:noProof/>
        </w:rPr>
        <w:t>2</w:t>
      </w:r>
      <w:r w:rsidR="00892F13">
        <w:t>.</w:t>
      </w:r>
      <w:r w:rsidR="00892F13">
        <w:rPr>
          <w:noProof/>
        </w:rPr>
        <w:t>11</w:t>
      </w:r>
      <w:r w:rsidR="00FE5516">
        <w:fldChar w:fldCharType="end"/>
      </w:r>
      <w:r w:rsidR="00FE5516">
        <w:t xml:space="preserve"> is</w:t>
      </w:r>
      <w:r w:rsidR="00EA769B">
        <w:t xml:space="preserve"> an indicative level of the HAC NWAU adjustment in 2022</w:t>
      </w:r>
      <w:r w:rsidR="00A932CB">
        <w:t>–</w:t>
      </w:r>
      <w:r w:rsidR="00EA769B">
        <w:t xml:space="preserve">23, against which a health service </w:t>
      </w:r>
      <w:r w:rsidR="00A4043A">
        <w:t xml:space="preserve">can monitor </w:t>
      </w:r>
      <w:r w:rsidR="00EA769B">
        <w:t>change during 2023</w:t>
      </w:r>
      <w:r w:rsidR="00A932CB">
        <w:t>–</w:t>
      </w:r>
      <w:r w:rsidR="00EA769B">
        <w:t>24.</w:t>
      </w:r>
    </w:p>
    <w:p w14:paraId="6263AEF2" w14:textId="59ED711E" w:rsidR="00A7633C" w:rsidRPr="007F03EF" w:rsidRDefault="00A7633C" w:rsidP="00081936">
      <w:pPr>
        <w:pStyle w:val="Heading3"/>
        <w:numPr>
          <w:ilvl w:val="2"/>
          <w:numId w:val="33"/>
        </w:numPr>
        <w:ind w:left="1134"/>
        <w:rPr>
          <w:lang w:eastAsia="en-AU"/>
        </w:rPr>
      </w:pPr>
      <w:bookmarkStart w:id="124" w:name="_Toc100263281"/>
      <w:bookmarkStart w:id="125" w:name="_Toc156569605"/>
      <w:bookmarkEnd w:id="123"/>
      <w:r w:rsidRPr="255AAD50">
        <w:rPr>
          <w:lang w:eastAsia="en-AU"/>
        </w:rPr>
        <w:t xml:space="preserve">Sentinel </w:t>
      </w:r>
      <w:r w:rsidR="00A932CB">
        <w:rPr>
          <w:lang w:eastAsia="en-AU"/>
        </w:rPr>
        <w:t>e</w:t>
      </w:r>
      <w:r w:rsidRPr="255AAD50">
        <w:rPr>
          <w:lang w:eastAsia="en-AU"/>
        </w:rPr>
        <w:t xml:space="preserve">vents </w:t>
      </w:r>
      <w:bookmarkEnd w:id="124"/>
      <w:r w:rsidR="00A932CB">
        <w:rPr>
          <w:lang w:eastAsia="en-AU"/>
        </w:rPr>
        <w:t>l</w:t>
      </w:r>
      <w:r w:rsidR="00A932CB" w:rsidRPr="255AAD50">
        <w:rPr>
          <w:lang w:eastAsia="en-AU"/>
        </w:rPr>
        <w:t>ist</w:t>
      </w:r>
      <w:bookmarkEnd w:id="125"/>
    </w:p>
    <w:p w14:paraId="253B62F7" w14:textId="05197D92" w:rsidR="00A7633C" w:rsidRPr="007F03EF" w:rsidRDefault="00A7633C" w:rsidP="00A7633C">
      <w:pPr>
        <w:pStyle w:val="Numberdigit"/>
      </w:pPr>
      <w:r w:rsidRPr="007F03EF">
        <w:rPr>
          <w:lang w:eastAsia="en-AU"/>
        </w:rPr>
        <w:t>Surg</w:t>
      </w:r>
      <w:r w:rsidRPr="007F03EF">
        <w:t>ery or other invasive procedure performed on the wrong site resulting in serious harm or death</w:t>
      </w:r>
    </w:p>
    <w:p w14:paraId="72506A87" w14:textId="3DF2EC35" w:rsidR="00A7633C" w:rsidRPr="007F03EF" w:rsidRDefault="00A7633C" w:rsidP="00A7633C">
      <w:pPr>
        <w:pStyle w:val="Numberdigit"/>
      </w:pPr>
      <w:r w:rsidRPr="007F03EF">
        <w:t>Surgery or other invasive procedure performed on the wrong patient resulting in serious harm or death</w:t>
      </w:r>
    </w:p>
    <w:p w14:paraId="1213C437" w14:textId="2B5C8080" w:rsidR="00A7633C" w:rsidRPr="007F03EF" w:rsidRDefault="00A7633C" w:rsidP="00A7633C">
      <w:pPr>
        <w:pStyle w:val="Numberdigit"/>
      </w:pPr>
      <w:r w:rsidRPr="007F03EF">
        <w:t>Wrong surgical or other invasive procedure performed on a patient resulting in serious harm or death</w:t>
      </w:r>
    </w:p>
    <w:p w14:paraId="1B5B3F89" w14:textId="16BA80C6" w:rsidR="00A7633C" w:rsidRPr="007F03EF" w:rsidRDefault="00A7633C" w:rsidP="00A7633C">
      <w:pPr>
        <w:pStyle w:val="Numberdigit"/>
      </w:pPr>
      <w:r w:rsidRPr="007F03EF">
        <w:t>Unintended retention of a foreign object in a patient after surgery or other invasive procedure resulting in serious harm or death</w:t>
      </w:r>
    </w:p>
    <w:p w14:paraId="16A11E2C" w14:textId="0BEAF058" w:rsidR="00A7633C" w:rsidRPr="007F03EF" w:rsidRDefault="00A7633C" w:rsidP="00A7633C">
      <w:pPr>
        <w:pStyle w:val="Numberdigit"/>
      </w:pPr>
      <w:r w:rsidRPr="007F03EF">
        <w:t>Haemolytic blood transfusion reaction resulting from ABO incompatibility resulting in serious harm or death</w:t>
      </w:r>
    </w:p>
    <w:p w14:paraId="3E0F48B0" w14:textId="4F130D3A" w:rsidR="00A7633C" w:rsidRPr="007F03EF" w:rsidRDefault="00A7633C" w:rsidP="00A7633C">
      <w:pPr>
        <w:pStyle w:val="Numberdigit"/>
      </w:pPr>
      <w:r w:rsidRPr="007F03EF">
        <w:t>Suspected suicide of a patient in an acute psychiatric unit or acute psychiatric ward</w:t>
      </w:r>
    </w:p>
    <w:p w14:paraId="6B646572" w14:textId="28EF38D2" w:rsidR="00A7633C" w:rsidRPr="007F03EF" w:rsidRDefault="00A7633C" w:rsidP="00A7633C">
      <w:pPr>
        <w:pStyle w:val="Numberdigit"/>
      </w:pPr>
      <w:r w:rsidRPr="007F03EF">
        <w:t>Medication error resulting in serious harm or death</w:t>
      </w:r>
    </w:p>
    <w:p w14:paraId="0594BAA2" w14:textId="7C63A674" w:rsidR="00A7633C" w:rsidRPr="007F03EF" w:rsidRDefault="00A7633C" w:rsidP="00A7633C">
      <w:pPr>
        <w:pStyle w:val="Numberdigit"/>
      </w:pPr>
      <w:r w:rsidRPr="007F03EF">
        <w:t>Use of physical or mechanical restraint resulting in serious harm or death</w:t>
      </w:r>
    </w:p>
    <w:p w14:paraId="35C881D7" w14:textId="15F5AC00" w:rsidR="00A7633C" w:rsidRPr="007F03EF" w:rsidRDefault="00A7633C" w:rsidP="00A7633C">
      <w:pPr>
        <w:pStyle w:val="Numberdigit"/>
      </w:pPr>
      <w:r w:rsidRPr="007F03EF">
        <w:t>Discharge or release of an infant or child to an unauthorised person</w:t>
      </w:r>
    </w:p>
    <w:p w14:paraId="6829D64A" w14:textId="0CD43938" w:rsidR="00A7633C" w:rsidRPr="007F03EF" w:rsidRDefault="00A7633C" w:rsidP="00A7633C">
      <w:pPr>
        <w:pStyle w:val="Numberdigit"/>
      </w:pPr>
      <w:r w:rsidRPr="007F03EF">
        <w:t>Use of an incorrectly positioned oro- or naso-gastric tube resulting in serious harm or death</w:t>
      </w:r>
    </w:p>
    <w:p w14:paraId="280ED623" w14:textId="44A3DC2E" w:rsidR="00A7633C" w:rsidRPr="007F03EF" w:rsidRDefault="00A7633C" w:rsidP="00A7633C">
      <w:pPr>
        <w:pStyle w:val="Numberdigit"/>
      </w:pPr>
      <w:r w:rsidRPr="007F03EF">
        <w:lastRenderedPageBreak/>
        <w:t>All other adverse patient safety events resulting in serious harm or death (not subject to pricing for quality</w:t>
      </w:r>
      <w:r w:rsidRPr="007F03EF">
        <w:rPr>
          <w:lang w:eastAsia="en-AU"/>
        </w:rPr>
        <w:t>)</w:t>
      </w:r>
    </w:p>
    <w:p w14:paraId="5C39BCDA" w14:textId="72968544" w:rsidR="00A7633C" w:rsidRPr="007F03EF" w:rsidRDefault="00A7633C" w:rsidP="00081936">
      <w:pPr>
        <w:pStyle w:val="Heading3"/>
        <w:numPr>
          <w:ilvl w:val="2"/>
          <w:numId w:val="33"/>
        </w:numPr>
        <w:ind w:left="1134"/>
        <w:rPr>
          <w:lang w:eastAsia="en-AU"/>
        </w:rPr>
      </w:pPr>
      <w:bookmarkStart w:id="126" w:name="_Toc100263282"/>
      <w:bookmarkStart w:id="127" w:name="_Toc156569606"/>
      <w:r w:rsidRPr="255AAD50">
        <w:rPr>
          <w:lang w:eastAsia="en-AU"/>
        </w:rPr>
        <w:t>Hospital</w:t>
      </w:r>
      <w:r w:rsidR="00564C54">
        <w:rPr>
          <w:lang w:eastAsia="en-AU"/>
        </w:rPr>
        <w:t xml:space="preserve"> </w:t>
      </w:r>
      <w:bookmarkEnd w:id="126"/>
      <w:r w:rsidR="00A932CB">
        <w:rPr>
          <w:lang w:eastAsia="en-AU"/>
        </w:rPr>
        <w:t>a</w:t>
      </w:r>
      <w:r w:rsidR="00A932CB" w:rsidRPr="255AAD50">
        <w:rPr>
          <w:lang w:eastAsia="en-AU"/>
        </w:rPr>
        <w:t xml:space="preserve">cquired </w:t>
      </w:r>
      <w:r w:rsidR="00A932CB">
        <w:rPr>
          <w:lang w:eastAsia="en-AU"/>
        </w:rPr>
        <w:t>complications</w:t>
      </w:r>
      <w:bookmarkEnd w:id="127"/>
    </w:p>
    <w:p w14:paraId="2E0EE39E" w14:textId="26359AC8" w:rsidR="00A7633C" w:rsidRPr="007F03EF" w:rsidRDefault="00A932CB" w:rsidP="00A7633C">
      <w:pPr>
        <w:pStyle w:val="Body"/>
        <w:rPr>
          <w:lang w:eastAsia="en-AU"/>
        </w:rPr>
      </w:pPr>
      <w:r>
        <w:rPr>
          <w:lang w:eastAsia="en-AU"/>
        </w:rPr>
        <w:t>HACs</w:t>
      </w:r>
      <w:r w:rsidR="00A7633C" w:rsidRPr="007F03EF">
        <w:rPr>
          <w:lang w:eastAsia="en-AU"/>
        </w:rPr>
        <w:t xml:space="preserve"> </w:t>
      </w:r>
      <w:r>
        <w:rPr>
          <w:lang w:eastAsia="en-AU"/>
        </w:rPr>
        <w:t xml:space="preserve">are </w:t>
      </w:r>
      <w:r w:rsidR="00A7633C" w:rsidRPr="007F03EF">
        <w:rPr>
          <w:lang w:eastAsia="en-AU"/>
        </w:rPr>
        <w:t>complication</w:t>
      </w:r>
      <w:r>
        <w:rPr>
          <w:lang w:eastAsia="en-AU"/>
        </w:rPr>
        <w:t>s</w:t>
      </w:r>
      <w:r w:rsidR="00A7633C" w:rsidRPr="007F03EF">
        <w:rPr>
          <w:lang w:eastAsia="en-AU"/>
        </w:rPr>
        <w:t xml:space="preserve"> acquired in hospital for which clinical risk mitigation strategies may reduce (but not necessarily eliminate) the risk of that complication occurring.</w:t>
      </w:r>
    </w:p>
    <w:p w14:paraId="0C3EF7DF" w14:textId="475B448D" w:rsidR="00A7633C" w:rsidRPr="007F03EF" w:rsidRDefault="00A7633C" w:rsidP="00A7633C">
      <w:pPr>
        <w:pStyle w:val="Body"/>
        <w:rPr>
          <w:lang w:eastAsia="en-AU"/>
        </w:rPr>
      </w:pPr>
      <w:r w:rsidRPr="007F03EF">
        <w:rPr>
          <w:lang w:eastAsia="en-AU"/>
        </w:rPr>
        <w:t>The list of HACs was determined by a joint working group of the ACSQHC and the IH</w:t>
      </w:r>
      <w:r w:rsidR="00B93E05">
        <w:rPr>
          <w:lang w:eastAsia="en-AU"/>
        </w:rPr>
        <w:t>AC</w:t>
      </w:r>
      <w:r w:rsidRPr="007F03EF">
        <w:rPr>
          <w:lang w:eastAsia="en-AU"/>
        </w:rPr>
        <w:t>PA.</w:t>
      </w:r>
    </w:p>
    <w:p w14:paraId="66B7E6D3" w14:textId="77777777" w:rsidR="00A7633C" w:rsidRPr="007F03EF" w:rsidRDefault="00A7633C" w:rsidP="00A7633C">
      <w:pPr>
        <w:pStyle w:val="Body"/>
        <w:rPr>
          <w:lang w:eastAsia="en-AU"/>
        </w:rPr>
      </w:pPr>
      <w:r w:rsidRPr="007F03EF">
        <w:rPr>
          <w:lang w:eastAsia="en-AU"/>
        </w:rPr>
        <w:t>The HACs are:</w:t>
      </w:r>
    </w:p>
    <w:p w14:paraId="381F0B10" w14:textId="77777777" w:rsidR="00A7633C" w:rsidRPr="007F03EF" w:rsidRDefault="00A7633C" w:rsidP="00E05C4E">
      <w:pPr>
        <w:pStyle w:val="Bullet1"/>
      </w:pPr>
      <w:r w:rsidRPr="007F03EF">
        <w:t>pressure injury</w:t>
      </w:r>
    </w:p>
    <w:p w14:paraId="19F8398F" w14:textId="77777777" w:rsidR="00A7633C" w:rsidRPr="007F03EF" w:rsidRDefault="00A7633C" w:rsidP="00E05C4E">
      <w:pPr>
        <w:pStyle w:val="Bullet1"/>
      </w:pPr>
      <w:r w:rsidRPr="007F03EF">
        <w:t>falls resulting in fracture or other intracranial injury</w:t>
      </w:r>
    </w:p>
    <w:p w14:paraId="62C4E722" w14:textId="77777777" w:rsidR="00A7633C" w:rsidRPr="007F03EF" w:rsidRDefault="00A7633C" w:rsidP="00E05C4E">
      <w:pPr>
        <w:pStyle w:val="Bullet1"/>
      </w:pPr>
      <w:r w:rsidRPr="007F03EF">
        <w:t>healthcare-associated infection</w:t>
      </w:r>
    </w:p>
    <w:p w14:paraId="36E3E86E" w14:textId="77777777" w:rsidR="00A7633C" w:rsidRPr="007F03EF" w:rsidRDefault="00A7633C" w:rsidP="00E05C4E">
      <w:pPr>
        <w:pStyle w:val="Bullet1"/>
      </w:pPr>
      <w:r w:rsidRPr="007F03EF">
        <w:t>surgical complications requiring unplanned return to theatre</w:t>
      </w:r>
    </w:p>
    <w:p w14:paraId="60589F12" w14:textId="77777777" w:rsidR="00A7633C" w:rsidRPr="007F03EF" w:rsidRDefault="00A7633C" w:rsidP="00E05C4E">
      <w:pPr>
        <w:pStyle w:val="Bullet1"/>
      </w:pPr>
      <w:r w:rsidRPr="007F03EF">
        <w:t>unplanned intensive care unit admission</w:t>
      </w:r>
    </w:p>
    <w:p w14:paraId="42DB70F2" w14:textId="77777777" w:rsidR="00A7633C" w:rsidRPr="007F03EF" w:rsidRDefault="00A7633C" w:rsidP="00E05C4E">
      <w:pPr>
        <w:pStyle w:val="Bullet1"/>
      </w:pPr>
      <w:r w:rsidRPr="007F03EF">
        <w:t>respiratory complications</w:t>
      </w:r>
    </w:p>
    <w:p w14:paraId="7788D3F8" w14:textId="77777777" w:rsidR="00A7633C" w:rsidRPr="007F03EF" w:rsidRDefault="00A7633C" w:rsidP="00E05C4E">
      <w:pPr>
        <w:pStyle w:val="Bullet1"/>
      </w:pPr>
      <w:r w:rsidRPr="007F03EF">
        <w:t>venous thromboembolism</w:t>
      </w:r>
    </w:p>
    <w:p w14:paraId="5738CC0D" w14:textId="77777777" w:rsidR="00A7633C" w:rsidRPr="007F03EF" w:rsidRDefault="00A7633C" w:rsidP="00E05C4E">
      <w:pPr>
        <w:pStyle w:val="Bullet1"/>
      </w:pPr>
      <w:r w:rsidRPr="007F03EF">
        <w:t>renal failure</w:t>
      </w:r>
    </w:p>
    <w:p w14:paraId="38F8EB69" w14:textId="77777777" w:rsidR="00A7633C" w:rsidRPr="007F03EF" w:rsidRDefault="00A7633C" w:rsidP="00E05C4E">
      <w:pPr>
        <w:pStyle w:val="Bullet1"/>
      </w:pPr>
      <w:r w:rsidRPr="007F03EF">
        <w:t>gastrointestinal bleeding</w:t>
      </w:r>
    </w:p>
    <w:p w14:paraId="406BE912" w14:textId="77777777" w:rsidR="00A7633C" w:rsidRPr="007F03EF" w:rsidRDefault="00A7633C" w:rsidP="00E05C4E">
      <w:pPr>
        <w:pStyle w:val="Bullet1"/>
      </w:pPr>
      <w:r w:rsidRPr="007F03EF">
        <w:t>medication complications</w:t>
      </w:r>
    </w:p>
    <w:p w14:paraId="06D92DC9" w14:textId="77777777" w:rsidR="00A7633C" w:rsidRPr="007F03EF" w:rsidRDefault="00A7633C" w:rsidP="00E05C4E">
      <w:pPr>
        <w:pStyle w:val="Bullet1"/>
      </w:pPr>
      <w:r w:rsidRPr="007F03EF">
        <w:t>delirium</w:t>
      </w:r>
    </w:p>
    <w:p w14:paraId="54BE2E1E" w14:textId="34204E77" w:rsidR="00A7633C" w:rsidRPr="007F03EF" w:rsidRDefault="00A7633C" w:rsidP="00E05C4E">
      <w:pPr>
        <w:pStyle w:val="Bullet1"/>
      </w:pPr>
      <w:r w:rsidRPr="007F03EF">
        <w:t>incontinence</w:t>
      </w:r>
    </w:p>
    <w:p w14:paraId="1EFC1449" w14:textId="7A9B66CC" w:rsidR="00A7633C" w:rsidRPr="007F03EF" w:rsidRDefault="00AB7312" w:rsidP="00E05C4E">
      <w:pPr>
        <w:pStyle w:val="Bullet1"/>
      </w:pPr>
      <w:r w:rsidRPr="007F03EF">
        <w:t>endocrine complications</w:t>
      </w:r>
    </w:p>
    <w:p w14:paraId="47A2F0C3" w14:textId="77777777" w:rsidR="00A7633C" w:rsidRPr="007F03EF" w:rsidRDefault="00A7633C" w:rsidP="00E05C4E">
      <w:pPr>
        <w:pStyle w:val="Bullet1"/>
      </w:pPr>
      <w:r w:rsidRPr="007F03EF">
        <w:t>cardiac complications</w:t>
      </w:r>
    </w:p>
    <w:p w14:paraId="50FB442D" w14:textId="77777777" w:rsidR="00A7633C" w:rsidRPr="007F03EF" w:rsidRDefault="00A7633C" w:rsidP="00E05C4E">
      <w:pPr>
        <w:pStyle w:val="Bullet1"/>
      </w:pPr>
      <w:r w:rsidRPr="007F03EF">
        <w:t>third- and fourth-degree perineal laceration during delivery</w:t>
      </w:r>
    </w:p>
    <w:p w14:paraId="52735C4C" w14:textId="77777777" w:rsidR="00A7633C" w:rsidRPr="007F03EF" w:rsidRDefault="00A7633C" w:rsidP="00E05C4E">
      <w:pPr>
        <w:pStyle w:val="Bullet1"/>
      </w:pPr>
      <w:r w:rsidRPr="007F03EF">
        <w:t>neonatal birth trauma.</w:t>
      </w:r>
    </w:p>
    <w:p w14:paraId="2EA8A34E" w14:textId="6B62D893" w:rsidR="00A7633C" w:rsidRPr="007F03EF" w:rsidRDefault="00A7633C" w:rsidP="00A7633C">
      <w:pPr>
        <w:pStyle w:val="Bodyafterbullets"/>
        <w:rPr>
          <w:lang w:eastAsia="en-AU"/>
        </w:rPr>
      </w:pPr>
      <w:r w:rsidRPr="007F03EF">
        <w:rPr>
          <w:lang w:eastAsia="en-AU"/>
        </w:rPr>
        <w:t xml:space="preserve">More information on the HAC list, including diagnosis codes used to identify each HAC, is available at </w:t>
      </w:r>
      <w:hyperlink r:id="rId35" w:history="1">
        <w:r w:rsidRPr="007F03EF">
          <w:rPr>
            <w:rStyle w:val="Hyperlink"/>
            <w:lang w:eastAsia="en-AU"/>
          </w:rPr>
          <w:t xml:space="preserve">Hospital-acquired complications </w:t>
        </w:r>
      </w:hyperlink>
      <w:r w:rsidRPr="007F03EF">
        <w:t>&lt;https://www.safetyandquality.gov.au/our-work/indicators/hospital-acquired-complications</w:t>
      </w:r>
      <w:r w:rsidRPr="007F03EF">
        <w:rPr>
          <w:lang w:eastAsia="en-AU"/>
        </w:rPr>
        <w:t>&gt;.</w:t>
      </w:r>
    </w:p>
    <w:p w14:paraId="168DBD0F" w14:textId="0B55060C" w:rsidR="00A7633C" w:rsidRDefault="00A7633C" w:rsidP="00A7633C">
      <w:pPr>
        <w:pStyle w:val="Body"/>
        <w:rPr>
          <w:lang w:eastAsia="en-AU"/>
        </w:rPr>
      </w:pPr>
      <w:r w:rsidRPr="007F03EF">
        <w:rPr>
          <w:lang w:eastAsia="en-AU"/>
        </w:rPr>
        <w:t>The funding adjustment for HACs has been risk</w:t>
      </w:r>
      <w:r w:rsidR="00CB7FAD">
        <w:rPr>
          <w:lang w:eastAsia="en-AU"/>
        </w:rPr>
        <w:t xml:space="preserve"> </w:t>
      </w:r>
      <w:r w:rsidRPr="007F03EF">
        <w:rPr>
          <w:lang w:eastAsia="en-AU"/>
        </w:rPr>
        <w:t>adjusted to take account of the increased predisposition of some patients to experienc</w:t>
      </w:r>
      <w:r w:rsidR="00884E9A">
        <w:rPr>
          <w:lang w:eastAsia="en-AU"/>
        </w:rPr>
        <w:t>e</w:t>
      </w:r>
      <w:r w:rsidRPr="007F03EF">
        <w:rPr>
          <w:lang w:eastAsia="en-AU"/>
        </w:rPr>
        <w:t xml:space="preserve"> a HAC during their hospital stay and adjusts the reduction in funding accordingly.</w:t>
      </w:r>
    </w:p>
    <w:p w14:paraId="2AB9FC17" w14:textId="7FDDF1A8" w:rsidR="00BD7084" w:rsidRPr="00BD7084" w:rsidRDefault="1C9B88F6" w:rsidP="00BD7084">
      <w:pPr>
        <w:pStyle w:val="Body"/>
        <w:rPr>
          <w:lang w:eastAsia="en-AU"/>
        </w:rPr>
      </w:pPr>
      <w:r w:rsidRPr="68F9D2E4">
        <w:rPr>
          <w:lang w:eastAsia="en-AU"/>
        </w:rPr>
        <w:t>More information on the risk adjustment model for HACs, including the risk factors for each HAC group, is contained in the</w:t>
      </w:r>
      <w:r w:rsidR="293E4ED6">
        <w:t xml:space="preserve"> </w:t>
      </w:r>
      <w:hyperlink r:id="rId36" w:history="1">
        <w:r w:rsidR="7EB2E7FE" w:rsidRPr="68F9D2E4">
          <w:rPr>
            <w:rStyle w:val="Hyperlink"/>
            <w:lang w:eastAsia="en-AU"/>
          </w:rPr>
          <w:t>National pricing model technical specifications 2023–24 – Independent Health Pricing Authority website</w:t>
        </w:r>
      </w:hyperlink>
      <w:r w:rsidR="56845B16" w:rsidRPr="68F9D2E4">
        <w:rPr>
          <w:lang w:eastAsia="en-AU"/>
        </w:rPr>
        <w:t xml:space="preserve"> &lt;</w:t>
      </w:r>
      <w:r w:rsidR="59F08FCB">
        <w:t>https://www.ihacpa.gov.au/resources/national-pricing-model-technical-specifications-2023-24</w:t>
      </w:r>
      <w:r w:rsidR="56845B16" w:rsidRPr="68F9D2E4">
        <w:rPr>
          <w:lang w:eastAsia="en-AU"/>
        </w:rPr>
        <w:t>&gt;.</w:t>
      </w:r>
    </w:p>
    <w:p w14:paraId="568669A0" w14:textId="0F5E7DAF" w:rsidR="00F208E0" w:rsidRDefault="005453CB" w:rsidP="00685B35">
      <w:pPr>
        <w:pStyle w:val="Heading2"/>
      </w:pPr>
      <w:bookmarkStart w:id="128" w:name="_Toc100263283"/>
      <w:bookmarkStart w:id="129" w:name="_Toc156569607"/>
      <w:r>
        <w:lastRenderedPageBreak/>
        <w:t xml:space="preserve">Health </w:t>
      </w:r>
      <w:r w:rsidR="00A932CB">
        <w:t xml:space="preserve">service </w:t>
      </w:r>
      <w:bookmarkEnd w:id="128"/>
      <w:r w:rsidR="00A932CB">
        <w:t>requirements</w:t>
      </w:r>
      <w:bookmarkEnd w:id="129"/>
    </w:p>
    <w:p w14:paraId="492CB04A" w14:textId="592CDC1D" w:rsidR="005453CB" w:rsidRDefault="005453CB" w:rsidP="00081936">
      <w:pPr>
        <w:pStyle w:val="Heading3"/>
        <w:numPr>
          <w:ilvl w:val="2"/>
          <w:numId w:val="33"/>
        </w:numPr>
        <w:ind w:left="1134"/>
      </w:pPr>
      <w:bookmarkStart w:id="130" w:name="_Toc100263284"/>
      <w:bookmarkStart w:id="131" w:name="_Toc156569608"/>
      <w:r>
        <w:t xml:space="preserve">Patient </w:t>
      </w:r>
      <w:bookmarkEnd w:id="130"/>
      <w:r w:rsidR="00A932CB">
        <w:t>costing</w:t>
      </w:r>
      <w:bookmarkEnd w:id="131"/>
    </w:p>
    <w:p w14:paraId="18E77F1D" w14:textId="324D2D3C" w:rsidR="005453CB" w:rsidRPr="006A6767" w:rsidRDefault="005453CB" w:rsidP="005453CB">
      <w:pPr>
        <w:pStyle w:val="Body"/>
        <w:rPr>
          <w:rFonts w:cs="Arial"/>
        </w:rPr>
      </w:pPr>
      <w:r w:rsidRPr="03438676">
        <w:rPr>
          <w:rFonts w:cs="Arial"/>
        </w:rPr>
        <w:t xml:space="preserve">Victorian public hospitals </w:t>
      </w:r>
      <w:r w:rsidR="00A932CB">
        <w:rPr>
          <w:rFonts w:cs="Arial"/>
        </w:rPr>
        <w:t xml:space="preserve">must </w:t>
      </w:r>
      <w:r w:rsidRPr="03438676">
        <w:rPr>
          <w:rFonts w:cs="Arial"/>
        </w:rPr>
        <w:t>report patient-level cost information</w:t>
      </w:r>
      <w:r w:rsidR="002363EC">
        <w:rPr>
          <w:rFonts w:cs="Arial"/>
        </w:rPr>
        <w:t xml:space="preserve">, regardless of </w:t>
      </w:r>
      <w:r w:rsidR="000B537D">
        <w:rPr>
          <w:rFonts w:cs="Arial"/>
        </w:rPr>
        <w:t>funding source,</w:t>
      </w:r>
      <w:r w:rsidRPr="03438676">
        <w:rPr>
          <w:rFonts w:cs="Arial"/>
        </w:rPr>
        <w:t xml:space="preserve"> </w:t>
      </w:r>
      <w:r w:rsidR="00C8771D">
        <w:rPr>
          <w:rFonts w:cs="Arial"/>
        </w:rPr>
        <w:t xml:space="preserve">to </w:t>
      </w:r>
      <w:r w:rsidR="00017140">
        <w:rPr>
          <w:rFonts w:cs="Arial"/>
        </w:rPr>
        <w:t xml:space="preserve">the annual </w:t>
      </w:r>
      <w:r w:rsidR="009A3147">
        <w:rPr>
          <w:rFonts w:cs="Arial"/>
        </w:rPr>
        <w:t>VCDC</w:t>
      </w:r>
      <w:r w:rsidR="00406B3F">
        <w:rPr>
          <w:rFonts w:cs="Arial"/>
        </w:rPr>
        <w:t xml:space="preserve">. </w:t>
      </w:r>
      <w:r w:rsidR="005F35B7">
        <w:rPr>
          <w:rFonts w:cs="Arial"/>
        </w:rPr>
        <w:t xml:space="preserve">Health services are to maintain and report </w:t>
      </w:r>
      <w:r w:rsidR="00CE20C1">
        <w:rPr>
          <w:rFonts w:cs="Arial"/>
        </w:rPr>
        <w:t>costed data</w:t>
      </w:r>
      <w:r w:rsidR="00363762" w:rsidRPr="00363762">
        <w:t xml:space="preserve"> </w:t>
      </w:r>
      <w:r w:rsidR="00363762" w:rsidRPr="00363762">
        <w:rPr>
          <w:rFonts w:cs="Arial"/>
        </w:rPr>
        <w:t>about the services used to deliver care across all hospital patient settings</w:t>
      </w:r>
      <w:r w:rsidR="00CE20C1">
        <w:rPr>
          <w:rFonts w:cs="Arial"/>
        </w:rPr>
        <w:t xml:space="preserve"> for all patient</w:t>
      </w:r>
      <w:r w:rsidR="00E000E8">
        <w:rPr>
          <w:rFonts w:cs="Arial"/>
        </w:rPr>
        <w:t>s</w:t>
      </w:r>
      <w:r w:rsidR="00CE20C1">
        <w:rPr>
          <w:rFonts w:cs="Arial"/>
        </w:rPr>
        <w:t xml:space="preserve"> treated</w:t>
      </w:r>
      <w:r w:rsidRPr="03438676">
        <w:rPr>
          <w:rFonts w:cs="Arial"/>
        </w:rPr>
        <w:t>. The data collection</w:t>
      </w:r>
      <w:r w:rsidR="003460B7">
        <w:rPr>
          <w:rFonts w:cs="Arial"/>
        </w:rPr>
        <w:t xml:space="preserve"> </w:t>
      </w:r>
      <w:r w:rsidRPr="03438676">
        <w:rPr>
          <w:rFonts w:cs="Arial"/>
        </w:rPr>
        <w:t>include</w:t>
      </w:r>
      <w:r w:rsidR="009A4F71">
        <w:rPr>
          <w:rFonts w:cs="Arial"/>
        </w:rPr>
        <w:t>s</w:t>
      </w:r>
      <w:r w:rsidRPr="03438676">
        <w:rPr>
          <w:rFonts w:cs="Arial"/>
        </w:rPr>
        <w:t>:</w:t>
      </w:r>
    </w:p>
    <w:p w14:paraId="04042799" w14:textId="1A821BB2" w:rsidR="005453CB" w:rsidRDefault="005453CB" w:rsidP="00E05C4E">
      <w:pPr>
        <w:pStyle w:val="Bullet1"/>
        <w:rPr>
          <w:rFonts w:cs="Arial"/>
        </w:rPr>
      </w:pPr>
      <w:r>
        <w:rPr>
          <w:rFonts w:cs="Arial"/>
        </w:rPr>
        <w:t>a</w:t>
      </w:r>
      <w:r w:rsidRPr="00EF5095">
        <w:rPr>
          <w:rFonts w:cs="Arial"/>
        </w:rPr>
        <w:t>dmitted including acute, subacute (</w:t>
      </w:r>
      <w:r w:rsidRPr="00F75D23">
        <w:t xml:space="preserve">geriatric evaluation and </w:t>
      </w:r>
      <w:r w:rsidR="00834B04" w:rsidRPr="00F75D23">
        <w:t>management</w:t>
      </w:r>
      <w:r w:rsidR="00834B04">
        <w:t>),</w:t>
      </w:r>
      <w:r w:rsidRPr="3A2FFF0A">
        <w:t xml:space="preserve"> </w:t>
      </w:r>
      <w:r w:rsidRPr="006A6767">
        <w:t xml:space="preserve">palliative care </w:t>
      </w:r>
      <w:r>
        <w:t xml:space="preserve">(including </w:t>
      </w:r>
      <w:r w:rsidR="00811B5B">
        <w:t xml:space="preserve">at </w:t>
      </w:r>
      <w:r>
        <w:t xml:space="preserve">phase of care), </w:t>
      </w:r>
      <w:r w:rsidRPr="00EF5095">
        <w:rPr>
          <w:rFonts w:cs="Arial"/>
        </w:rPr>
        <w:t>rehabilitation</w:t>
      </w:r>
      <w:r>
        <w:rPr>
          <w:rFonts w:cs="Arial"/>
        </w:rPr>
        <w:t xml:space="preserve"> </w:t>
      </w:r>
      <w:r w:rsidR="002B2701">
        <w:rPr>
          <w:rFonts w:cs="Arial"/>
        </w:rPr>
        <w:t>(including paediatric) and mental health</w:t>
      </w:r>
      <w:r w:rsidR="005C611C">
        <w:rPr>
          <w:rFonts w:cs="Arial"/>
        </w:rPr>
        <w:t xml:space="preserve"> (including </w:t>
      </w:r>
      <w:r w:rsidR="00811B5B">
        <w:rPr>
          <w:rFonts w:cs="Arial"/>
        </w:rPr>
        <w:t xml:space="preserve">at </w:t>
      </w:r>
      <w:r w:rsidR="005C611C">
        <w:rPr>
          <w:rFonts w:cs="Arial"/>
        </w:rPr>
        <w:t>phase of care)</w:t>
      </w:r>
    </w:p>
    <w:p w14:paraId="2E6FC491" w14:textId="77777777" w:rsidR="005453CB" w:rsidRDefault="005453CB" w:rsidP="00E05C4E">
      <w:pPr>
        <w:pStyle w:val="Bullet1"/>
      </w:pPr>
      <w:r>
        <w:t>n</w:t>
      </w:r>
      <w:r w:rsidRPr="00EF5095">
        <w:t>on-admitted contacts</w:t>
      </w:r>
      <w:r>
        <w:t xml:space="preserve"> including subacute and mental health</w:t>
      </w:r>
    </w:p>
    <w:p w14:paraId="10D4BA0F" w14:textId="77777777" w:rsidR="005453CB" w:rsidRDefault="005453CB" w:rsidP="00E05C4E">
      <w:pPr>
        <w:pStyle w:val="Bullet1"/>
      </w:pPr>
      <w:r>
        <w:t>h</w:t>
      </w:r>
      <w:r w:rsidRPr="00EF5095">
        <w:t>ome-based service delivery</w:t>
      </w:r>
    </w:p>
    <w:p w14:paraId="4BF27A96" w14:textId="77777777" w:rsidR="005453CB" w:rsidRDefault="005453CB" w:rsidP="00E05C4E">
      <w:pPr>
        <w:pStyle w:val="Bullet1"/>
      </w:pPr>
      <w:r w:rsidRPr="1D63C772">
        <w:t>emergency activity including all emergency department presentations and urgent care centre activities</w:t>
      </w:r>
    </w:p>
    <w:p w14:paraId="30559B9E" w14:textId="151B6CC3" w:rsidR="005453CB" w:rsidRDefault="005453CB" w:rsidP="00E05C4E">
      <w:pPr>
        <w:pStyle w:val="Bullet1"/>
      </w:pPr>
      <w:r>
        <w:t>mental health community activity including subacute residential services (</w:t>
      </w:r>
      <w:r w:rsidRPr="00A27551">
        <w:t>prevention and recovery care, community care units</w:t>
      </w:r>
      <w:r>
        <w:t>, aged persons residential) and consultation liaison services</w:t>
      </w:r>
      <w:r w:rsidR="00811B5B">
        <w:t xml:space="preserve"> (including at phase of care)</w:t>
      </w:r>
    </w:p>
    <w:p w14:paraId="5F3FCF0B" w14:textId="77777777" w:rsidR="005453CB" w:rsidRDefault="005453CB" w:rsidP="00E05C4E">
      <w:pPr>
        <w:pStyle w:val="Bullet1"/>
      </w:pPr>
      <w:r>
        <w:t>radiotherapy</w:t>
      </w:r>
    </w:p>
    <w:p w14:paraId="2DF6C040" w14:textId="77777777" w:rsidR="005453CB" w:rsidRDefault="005453CB" w:rsidP="00E05C4E">
      <w:pPr>
        <w:pStyle w:val="Bullet1"/>
      </w:pPr>
      <w:r>
        <w:t>community health services</w:t>
      </w:r>
    </w:p>
    <w:p w14:paraId="6E3A1643" w14:textId="55CD30C9" w:rsidR="002B2701" w:rsidRPr="00EF5095" w:rsidRDefault="002B2701" w:rsidP="002B2701">
      <w:pPr>
        <w:pStyle w:val="Bullet1"/>
      </w:pPr>
      <w:r>
        <w:t xml:space="preserve">specialty programs such as the Victorian Perinatal Autopsy Service, </w:t>
      </w:r>
      <w:r w:rsidR="00811B5B">
        <w:t>statewide</w:t>
      </w:r>
      <w:r>
        <w:t xml:space="preserve"> services and other diagnostic and therapeutic services and other specified programs</w:t>
      </w:r>
    </w:p>
    <w:p w14:paraId="08129EA2" w14:textId="34C58571" w:rsidR="5DFAA848" w:rsidRDefault="61CA17C0" w:rsidP="5DFAA848">
      <w:pPr>
        <w:pStyle w:val="Bullet1"/>
      </w:pPr>
      <w:r>
        <w:t>an</w:t>
      </w:r>
      <w:r w:rsidR="7894A6CE">
        <w:t>y other programs or settings where patients have received treatment.</w:t>
      </w:r>
    </w:p>
    <w:p w14:paraId="4574FF53" w14:textId="5E6253A0" w:rsidR="005453CB" w:rsidRDefault="002B2701" w:rsidP="005453CB">
      <w:pPr>
        <w:pStyle w:val="Bodyafterbullets"/>
      </w:pPr>
      <w:r w:rsidRPr="1D63C772">
        <w:t>Health services’ cost method is to allocate actual expenditure</w:t>
      </w:r>
      <w:r>
        <w:t xml:space="preserve"> (regardless of funding source)</w:t>
      </w:r>
      <w:r w:rsidR="005453CB" w:rsidRPr="1D63C772">
        <w:t xml:space="preserve"> to patients’ actual interactions and events (including allocation of hospital overhead expenses)</w:t>
      </w:r>
      <w:r w:rsidR="001F549C">
        <w:t>,</w:t>
      </w:r>
      <w:r w:rsidR="005453CB" w:rsidRPr="1D63C772">
        <w:t xml:space="preserve"> known as patient-level costing. This approach is more direct and sophisticated because it uses service volumes (for example, actual tests and minutes in theatre) and minimises assumptions, thereby achieving more accurate cost allocations at the individual patient level.</w:t>
      </w:r>
    </w:p>
    <w:p w14:paraId="4D79A665" w14:textId="5B878E67" w:rsidR="00A932CB" w:rsidRDefault="005453CB" w:rsidP="005453CB">
      <w:pPr>
        <w:pStyle w:val="Body"/>
        <w:rPr>
          <w:rFonts w:cs="Arial"/>
        </w:rPr>
      </w:pPr>
      <w:r w:rsidRPr="1D63C772">
        <w:rPr>
          <w:rFonts w:cs="Arial"/>
        </w:rPr>
        <w:t xml:space="preserve">In Victoria, actual expenditure (direct and indirect/overhead) </w:t>
      </w:r>
      <w:r w:rsidR="00A932CB">
        <w:rPr>
          <w:rFonts w:cs="Arial"/>
        </w:rPr>
        <w:t>includes</w:t>
      </w:r>
      <w:r w:rsidR="00A932CB" w:rsidRPr="2536E843">
        <w:rPr>
          <w:rFonts w:cs="Arial"/>
        </w:rPr>
        <w:t xml:space="preserve"> </w:t>
      </w:r>
      <w:r w:rsidRPr="1D63C772">
        <w:rPr>
          <w:rFonts w:cs="Arial"/>
        </w:rPr>
        <w:t>capital and depreciation costs</w:t>
      </w:r>
      <w:r w:rsidR="00A932CB">
        <w:rPr>
          <w:rFonts w:cs="Arial"/>
        </w:rPr>
        <w:t>.</w:t>
      </w:r>
      <w:r w:rsidRPr="1D63C772">
        <w:rPr>
          <w:rFonts w:cs="Arial"/>
        </w:rPr>
        <w:t xml:space="preserve"> </w:t>
      </w:r>
      <w:r w:rsidR="00A932CB">
        <w:rPr>
          <w:rFonts w:cs="Arial"/>
        </w:rPr>
        <w:t>H</w:t>
      </w:r>
      <w:r w:rsidR="00A932CB" w:rsidRPr="7894A6CE">
        <w:rPr>
          <w:rFonts w:cs="Arial"/>
        </w:rPr>
        <w:t>owever</w:t>
      </w:r>
      <w:r w:rsidR="00A932CB">
        <w:rPr>
          <w:rFonts w:cs="Arial"/>
        </w:rPr>
        <w:t>,</w:t>
      </w:r>
      <w:r w:rsidR="00A932CB" w:rsidRPr="2536E843">
        <w:rPr>
          <w:rFonts w:cs="Arial"/>
        </w:rPr>
        <w:t xml:space="preserve"> </w:t>
      </w:r>
      <w:r w:rsidR="0E1DF52D" w:rsidRPr="2536E843">
        <w:rPr>
          <w:rFonts w:cs="Arial"/>
        </w:rPr>
        <w:t>these</w:t>
      </w:r>
      <w:r w:rsidRPr="7894A6CE">
        <w:rPr>
          <w:rFonts w:cs="Arial"/>
        </w:rPr>
        <w:t xml:space="preserve"> are excluded from the total cost of patient</w:t>
      </w:r>
      <w:r w:rsidR="00A932CB">
        <w:rPr>
          <w:rFonts w:cs="Arial"/>
        </w:rPr>
        <w:t>.</w:t>
      </w:r>
      <w:r w:rsidRPr="7894A6CE">
        <w:rPr>
          <w:rFonts w:cs="Arial"/>
        </w:rPr>
        <w:t xml:space="preserve"> </w:t>
      </w:r>
      <w:r w:rsidR="00A932CB">
        <w:rPr>
          <w:rFonts w:cs="Arial"/>
        </w:rPr>
        <w:t>A</w:t>
      </w:r>
      <w:r w:rsidRPr="1D63C772">
        <w:rPr>
          <w:rFonts w:cs="Arial"/>
        </w:rPr>
        <w:t>ll allocated costs must reconcile with the general ledger</w:t>
      </w:r>
      <w:r w:rsidR="002B2701">
        <w:rPr>
          <w:rFonts w:cs="Arial"/>
        </w:rPr>
        <w:t xml:space="preserve"> and annual financial statements</w:t>
      </w:r>
      <w:r w:rsidR="002B2701" w:rsidRPr="1D63C772">
        <w:rPr>
          <w:rFonts w:cs="Arial"/>
        </w:rPr>
        <w:t xml:space="preserve">. </w:t>
      </w:r>
    </w:p>
    <w:p w14:paraId="60E70075" w14:textId="7A6EDF1B" w:rsidR="005453CB" w:rsidRDefault="002B2701" w:rsidP="005453CB">
      <w:pPr>
        <w:pStyle w:val="Body"/>
        <w:rPr>
          <w:rFonts w:cs="Arial"/>
        </w:rPr>
      </w:pPr>
      <w:r w:rsidRPr="1D63C772">
        <w:rPr>
          <w:rFonts w:cs="Arial"/>
        </w:rPr>
        <w:t xml:space="preserve">Costs are reported by service areas (cost centres as found in the </w:t>
      </w:r>
      <w:r>
        <w:rPr>
          <w:rFonts w:cs="Arial"/>
        </w:rPr>
        <w:t xml:space="preserve">standard </w:t>
      </w:r>
      <w:r w:rsidRPr="1D63C772">
        <w:rPr>
          <w:rFonts w:cs="Arial"/>
        </w:rPr>
        <w:t>chart of accounts) and by account types such as salary and wages (by professions), medical supplies or drugs</w:t>
      </w:r>
      <w:r w:rsidR="006D7B2D">
        <w:rPr>
          <w:rFonts w:cs="Arial"/>
        </w:rPr>
        <w:t>,</w:t>
      </w:r>
      <w:r w:rsidRPr="1D63C772">
        <w:rPr>
          <w:rFonts w:cs="Arial"/>
        </w:rPr>
        <w:t xml:space="preserve"> </w:t>
      </w:r>
      <w:r w:rsidR="006D7B2D">
        <w:rPr>
          <w:rFonts w:cs="Arial"/>
        </w:rPr>
        <w:t>et cetera</w:t>
      </w:r>
      <w:r w:rsidRPr="1D63C772">
        <w:rPr>
          <w:rFonts w:cs="Arial"/>
        </w:rPr>
        <w:t xml:space="preserve">. For ease of analysis these are mapped into generic </w:t>
      </w:r>
      <w:r>
        <w:rPr>
          <w:rFonts w:cs="Arial"/>
        </w:rPr>
        <w:t>resource categories</w:t>
      </w:r>
      <w:r w:rsidR="006D7B2D">
        <w:rPr>
          <w:rFonts w:cs="Arial"/>
        </w:rPr>
        <w:t>,</w:t>
      </w:r>
      <w:r w:rsidR="005453CB" w:rsidRPr="1D63C772">
        <w:rPr>
          <w:rFonts w:cs="Arial"/>
        </w:rPr>
        <w:t xml:space="preserve"> such as nursing, medical, theatre and pathology</w:t>
      </w:r>
      <w:r w:rsidR="001416D1">
        <w:rPr>
          <w:rFonts w:cs="Arial"/>
        </w:rPr>
        <w:t xml:space="preserve"> </w:t>
      </w:r>
      <w:r w:rsidR="00A932CB">
        <w:rPr>
          <w:rFonts w:cs="Arial"/>
        </w:rPr>
        <w:t>et cetera</w:t>
      </w:r>
      <w:r w:rsidR="005453CB" w:rsidRPr="1D63C772">
        <w:rPr>
          <w:rFonts w:cs="Arial"/>
        </w:rPr>
        <w:t>.</w:t>
      </w:r>
    </w:p>
    <w:p w14:paraId="24F413C6" w14:textId="586BB58F" w:rsidR="00A932CB" w:rsidRDefault="005453CB" w:rsidP="005453CB">
      <w:pPr>
        <w:pStyle w:val="Body"/>
      </w:pPr>
      <w:r>
        <w:t xml:space="preserve">Health services must adhere to the specifications, business rules and costing guidance outlined in the documentation found within the data collections list of reports for the </w:t>
      </w:r>
      <w:hyperlink r:id="rId37">
        <w:r w:rsidRPr="1D63C772">
          <w:rPr>
            <w:rStyle w:val="Hyperlink"/>
            <w:rFonts w:cs="Arial"/>
          </w:rPr>
          <w:t>Victorian Cost Data Collection</w:t>
        </w:r>
      </w:hyperlink>
      <w:r>
        <w:t xml:space="preserve"> &lt;https://</w:t>
      </w:r>
      <w:r w:rsidR="006C4AEC" w:rsidRPr="006C4AEC">
        <w:t>www</w:t>
      </w:r>
      <w:r>
        <w:t>.health.vic.gov.au/data-reporting/</w:t>
      </w:r>
      <w:r w:rsidR="006C4AEC" w:rsidRPr="006C4AEC">
        <w:t>victorian-cost-data-collection-vcdc</w:t>
      </w:r>
      <w:r>
        <w:t xml:space="preserve">&gt;. </w:t>
      </w:r>
    </w:p>
    <w:p w14:paraId="19097561" w14:textId="41F7401D" w:rsidR="005453CB" w:rsidRDefault="005453CB" w:rsidP="005453CB">
      <w:pPr>
        <w:pStyle w:val="Body"/>
      </w:pPr>
      <w:r>
        <w:t xml:space="preserve">The VCDC document is guided by the </w:t>
      </w:r>
      <w:r w:rsidRPr="1D63C772">
        <w:rPr>
          <w:i/>
          <w:iCs/>
        </w:rPr>
        <w:t xml:space="preserve">Australian </w:t>
      </w:r>
      <w:r w:rsidR="006D7B2D" w:rsidRPr="1D63C772">
        <w:rPr>
          <w:i/>
          <w:iCs/>
        </w:rPr>
        <w:t>hospital patient costing standards</w:t>
      </w:r>
      <w:r w:rsidR="006D7B2D">
        <w:t xml:space="preserve"> </w:t>
      </w:r>
      <w:r>
        <w:t>(version 4.</w:t>
      </w:r>
      <w:r w:rsidR="002B2701">
        <w:t>1 or the most recent version available).</w:t>
      </w:r>
      <w:r>
        <w:t xml:space="preserve"> </w:t>
      </w:r>
      <w:r w:rsidRPr="00CE4986">
        <w:t>VCDC data is then submitted to the National Health Cost Data Collection via the I</w:t>
      </w:r>
      <w:r w:rsidR="003E3829" w:rsidRPr="00CE4986">
        <w:t>H</w:t>
      </w:r>
      <w:r w:rsidR="003E760A">
        <w:t>AC</w:t>
      </w:r>
      <w:r w:rsidRPr="00CE4986">
        <w:t>PA</w:t>
      </w:r>
      <w:r>
        <w:t>.</w:t>
      </w:r>
    </w:p>
    <w:p w14:paraId="1AE8BACB" w14:textId="77777777" w:rsidR="005453CB" w:rsidRDefault="005453CB" w:rsidP="005453CB">
      <w:pPr>
        <w:pStyle w:val="Body"/>
      </w:pPr>
      <w:r w:rsidRPr="00E33BCF">
        <w:t xml:space="preserve">To ensure the integrity and assurance of quality data </w:t>
      </w:r>
      <w:r>
        <w:t xml:space="preserve">and as part of good hospital management practice health services </w:t>
      </w:r>
      <w:r w:rsidRPr="006A6767">
        <w:t>are expected to</w:t>
      </w:r>
      <w:r>
        <w:t>:</w:t>
      </w:r>
    </w:p>
    <w:p w14:paraId="6D52CC32" w14:textId="77777777" w:rsidR="005453CB" w:rsidRPr="00661392" w:rsidRDefault="005453CB" w:rsidP="00E05C4E">
      <w:pPr>
        <w:pStyle w:val="Bullet1"/>
      </w:pPr>
      <w:r>
        <w:t>maintain activity and costing systems</w:t>
      </w:r>
    </w:p>
    <w:p w14:paraId="1C707AD3" w14:textId="77777777" w:rsidR="005453CB" w:rsidRPr="00661392" w:rsidRDefault="005453CB" w:rsidP="00E05C4E">
      <w:pPr>
        <w:pStyle w:val="Bullet1"/>
      </w:pPr>
      <w:r>
        <w:t>review allocation methodologies</w:t>
      </w:r>
    </w:p>
    <w:p w14:paraId="2224B06B" w14:textId="77777777" w:rsidR="005453CB" w:rsidRPr="00661392" w:rsidRDefault="005453CB" w:rsidP="00E05C4E">
      <w:pPr>
        <w:pStyle w:val="Bullet1"/>
      </w:pPr>
      <w:r>
        <w:t>reconcile financial and non-financial information to source systems</w:t>
      </w:r>
    </w:p>
    <w:p w14:paraId="4F952AA4" w14:textId="456371A0" w:rsidR="00B92B46" w:rsidRDefault="005453CB" w:rsidP="00E05C4E">
      <w:pPr>
        <w:pStyle w:val="Bullet1"/>
      </w:pPr>
      <w:r>
        <w:lastRenderedPageBreak/>
        <w:t>identify and review fluctuations in cost results</w:t>
      </w:r>
      <w:r w:rsidR="00E35A08">
        <w:t xml:space="preserve"> </w:t>
      </w:r>
    </w:p>
    <w:p w14:paraId="5632FDA6" w14:textId="08F6D1E2" w:rsidR="005453CB" w:rsidRDefault="73689ACD" w:rsidP="00E05C4E">
      <w:pPr>
        <w:pStyle w:val="Bullet1"/>
      </w:pPr>
      <w:r>
        <w:t xml:space="preserve">review the </w:t>
      </w:r>
      <w:r w:rsidR="05F48D82">
        <w:t>quality of data costed and submitted</w:t>
      </w:r>
      <w:r w:rsidR="4131B593">
        <w:t>.</w:t>
      </w:r>
    </w:p>
    <w:p w14:paraId="53091215" w14:textId="233A1758" w:rsidR="005453CB" w:rsidRDefault="005453CB" w:rsidP="00081936">
      <w:pPr>
        <w:pStyle w:val="Heading3"/>
        <w:numPr>
          <w:ilvl w:val="2"/>
          <w:numId w:val="33"/>
        </w:numPr>
        <w:ind w:left="1134"/>
      </w:pPr>
      <w:bookmarkStart w:id="132" w:name="_Ref77709814"/>
      <w:bookmarkStart w:id="133" w:name="_Toc100263285"/>
      <w:bookmarkStart w:id="134" w:name="_Toc156569609"/>
      <w:r>
        <w:t xml:space="preserve">Activity </w:t>
      </w:r>
      <w:bookmarkEnd w:id="132"/>
      <w:bookmarkEnd w:id="133"/>
      <w:r w:rsidR="00A932CB">
        <w:t>reporting</w:t>
      </w:r>
      <w:bookmarkEnd w:id="134"/>
    </w:p>
    <w:p w14:paraId="470A1D53" w14:textId="5CC7850D" w:rsidR="005A3F8F" w:rsidRDefault="005A3F8F" w:rsidP="005A3F8F">
      <w:pPr>
        <w:pStyle w:val="Body"/>
      </w:pPr>
      <w:r>
        <w:t xml:space="preserve">It is a condition of funding that health services collect and report </w:t>
      </w:r>
      <w:r w:rsidR="009229F8">
        <w:t xml:space="preserve">activity data that </w:t>
      </w:r>
      <w:r w:rsidR="233173CD">
        <w:t>spans</w:t>
      </w:r>
      <w:r w:rsidR="009229F8">
        <w:t xml:space="preserve"> a range of healthcare settings in accordance with the department’s</w:t>
      </w:r>
      <w:r>
        <w:t xml:space="preserve"> health data collection</w:t>
      </w:r>
      <w:r w:rsidR="009229F8">
        <w:t xml:space="preserve"> specifications. These include, but are not limited to the </w:t>
      </w:r>
      <w:r w:rsidR="009229F8" w:rsidRPr="00F67ACE">
        <w:t>VAED</w:t>
      </w:r>
      <w:r w:rsidR="009229F8">
        <w:t xml:space="preserve">, the Victorian Emergency Minimum Dataset (VEMD), the Elective Surgery Information System (ESIS), the Victorian Integrated Non-Admitted Health (VINAH) </w:t>
      </w:r>
      <w:r w:rsidR="30CE1E02">
        <w:t>minimum dataset</w:t>
      </w:r>
      <w:r w:rsidR="009229F8">
        <w:t>, and the Agency Information Management System (AIMS)</w:t>
      </w:r>
      <w:r w:rsidR="0033682C">
        <w:t>.</w:t>
      </w:r>
    </w:p>
    <w:p w14:paraId="73ECC998" w14:textId="6D48311E" w:rsidR="009229F8" w:rsidRDefault="0033682C" w:rsidP="009229F8">
      <w:pPr>
        <w:pStyle w:val="Body"/>
      </w:pPr>
      <w:r>
        <w:t>Specifications for these datasets are</w:t>
      </w:r>
      <w:r w:rsidR="009229F8" w:rsidRPr="008B043B">
        <w:t xml:space="preserve"> </w:t>
      </w:r>
      <w:r w:rsidR="00A932CB">
        <w:t xml:space="preserve">on </w:t>
      </w:r>
      <w:r w:rsidR="009229F8">
        <w:t xml:space="preserve">the </w:t>
      </w:r>
      <w:hyperlink r:id="rId38" w:history="1">
        <w:r w:rsidR="009229F8" w:rsidRPr="007C40A4">
          <w:rPr>
            <w:rStyle w:val="Hyperlink"/>
          </w:rPr>
          <w:t>Health data standards and systems webpage</w:t>
        </w:r>
      </w:hyperlink>
      <w:r w:rsidR="009229F8">
        <w:t xml:space="preserve"> </w:t>
      </w:r>
      <w:r w:rsidR="009229F8" w:rsidRPr="008B043B">
        <w:t>&lt;</w:t>
      </w:r>
      <w:r w:rsidR="003D5EDC" w:rsidRPr="003D5EDC">
        <w:t>https://www.health.vic.gov.au/data-reporting/health-data-standards-and-systems</w:t>
      </w:r>
      <w:r w:rsidR="009229F8" w:rsidRPr="008B043B">
        <w:t>&gt;.</w:t>
      </w:r>
    </w:p>
    <w:p w14:paraId="23595C0B" w14:textId="2D81087A" w:rsidR="005A3F8F" w:rsidRDefault="00F85468" w:rsidP="00081936">
      <w:pPr>
        <w:pStyle w:val="Heading4"/>
        <w:numPr>
          <w:ilvl w:val="3"/>
          <w:numId w:val="33"/>
        </w:numPr>
      </w:pPr>
      <w:r>
        <w:t xml:space="preserve">Admitted </w:t>
      </w:r>
      <w:r w:rsidR="00A932CB">
        <w:t>episodes</w:t>
      </w:r>
    </w:p>
    <w:p w14:paraId="728EA2DD" w14:textId="4A2EF434" w:rsidR="005A3F8F" w:rsidRPr="0091695C" w:rsidRDefault="00A932CB" w:rsidP="00207AB6">
      <w:pPr>
        <w:pStyle w:val="Body"/>
      </w:pPr>
      <w:r>
        <w:t>There is a distinction</w:t>
      </w:r>
      <w:r w:rsidR="005A3F8F" w:rsidRPr="0091695C">
        <w:t xml:space="preserve"> between admitted and non-admitted patients throughout the classification, coding and funding systems. </w:t>
      </w:r>
      <w:r w:rsidR="5C3EA818" w:rsidRPr="2536E843">
        <w:rPr>
          <w:rFonts w:eastAsia="Arial" w:cs="Arial"/>
          <w:color w:val="000000" w:themeColor="text1"/>
        </w:rPr>
        <w:t xml:space="preserve">An admitted patient is a patient who undergoes a hospital’s formal admission process to receive treatment and/or care. </w:t>
      </w:r>
      <w:r w:rsidR="005A3F8F" w:rsidRPr="0091695C">
        <w:t xml:space="preserve">Generally, admitted </w:t>
      </w:r>
      <w:r w:rsidR="005A3F8F" w:rsidRPr="00834B04">
        <w:t>patients</w:t>
      </w:r>
      <w:r w:rsidR="005A3F8F" w:rsidRPr="0091695C">
        <w:t xml:space="preserve"> are treated in wards and non-admitted patients in specialist clinics. Care provided in an emergency department is not considered part of admitted care. </w:t>
      </w:r>
    </w:p>
    <w:p w14:paraId="036CAFDC" w14:textId="7A439A19" w:rsidR="005054BD" w:rsidRDefault="005A3F8F" w:rsidP="00207AB6">
      <w:pPr>
        <w:pStyle w:val="Body"/>
        <w:rPr>
          <w:rFonts w:ascii="Calibri" w:hAnsi="Calibri"/>
          <w:b/>
          <w:sz w:val="22"/>
          <w:szCs w:val="22"/>
        </w:rPr>
      </w:pPr>
      <w:r w:rsidRPr="006B2BCF">
        <w:t xml:space="preserve">The </w:t>
      </w:r>
      <w:r w:rsidRPr="0020684A">
        <w:rPr>
          <w:i/>
          <w:iCs/>
        </w:rPr>
        <w:t xml:space="preserve">Victorian Admitted Episodes Dataset: </w:t>
      </w:r>
      <w:r w:rsidR="00171DCC">
        <w:rPr>
          <w:i/>
          <w:iCs/>
        </w:rPr>
        <w:t>c</w:t>
      </w:r>
      <w:r w:rsidR="00171DCC" w:rsidRPr="0020684A">
        <w:rPr>
          <w:i/>
          <w:iCs/>
        </w:rPr>
        <w:t xml:space="preserve">riteria </w:t>
      </w:r>
      <w:r w:rsidRPr="0020684A">
        <w:rPr>
          <w:i/>
          <w:iCs/>
        </w:rPr>
        <w:t xml:space="preserve">for </w:t>
      </w:r>
      <w:r w:rsidR="00171DCC">
        <w:rPr>
          <w:i/>
          <w:iCs/>
        </w:rPr>
        <w:t>r</w:t>
      </w:r>
      <w:r w:rsidRPr="0020684A">
        <w:rPr>
          <w:i/>
          <w:iCs/>
        </w:rPr>
        <w:t>eporting</w:t>
      </w:r>
      <w:r w:rsidR="007C2B6C" w:rsidRPr="006B2BCF">
        <w:t xml:space="preserve"> </w:t>
      </w:r>
      <w:r w:rsidR="00834B04">
        <w:t xml:space="preserve">document </w:t>
      </w:r>
      <w:r w:rsidRPr="006B2BCF">
        <w:t>provides guidelines to enable health services to distinguish between admitted and non-admitted patient episodes for the purpose of data reporting.</w:t>
      </w:r>
      <w:r>
        <w:t xml:space="preserve"> </w:t>
      </w:r>
      <w:r w:rsidR="631E7DDF">
        <w:t>T</w:t>
      </w:r>
      <w:r>
        <w:t>o</w:t>
      </w:r>
      <w:r w:rsidRPr="0091695C">
        <w:t xml:space="preserve"> be reported to the VAED</w:t>
      </w:r>
      <w:r w:rsidR="007C2B6C">
        <w:t>,</w:t>
      </w:r>
      <w:r w:rsidRPr="0091695C">
        <w:t xml:space="preserve"> patients must meet one of the </w:t>
      </w:r>
      <w:r>
        <w:t>admission c</w:t>
      </w:r>
      <w:r w:rsidRPr="0091695C">
        <w:t xml:space="preserve">riteria outlined in the </w:t>
      </w:r>
      <w:r w:rsidR="51CE2346">
        <w:t>document</w:t>
      </w:r>
      <w:r>
        <w:t>.</w:t>
      </w:r>
      <w:r w:rsidRPr="0091695C">
        <w:t xml:space="preserve"> Patients not meeting one of these criteria are non-admitted patients</w:t>
      </w:r>
      <w:r>
        <w:t>.</w:t>
      </w:r>
      <w:r w:rsidRPr="0091695C">
        <w:t xml:space="preserve"> </w:t>
      </w:r>
      <w:r>
        <w:t>N</w:t>
      </w:r>
      <w:r w:rsidRPr="0091695C">
        <w:t xml:space="preserve">o data for these encounters </w:t>
      </w:r>
      <w:r>
        <w:t>is</w:t>
      </w:r>
      <w:r w:rsidRPr="0091695C">
        <w:t xml:space="preserve"> to be reported to the VAED. </w:t>
      </w:r>
      <w:r w:rsidR="005054BD">
        <w:t xml:space="preserve">The criteria </w:t>
      </w:r>
      <w:r w:rsidR="00834B04">
        <w:t xml:space="preserve">apply </w:t>
      </w:r>
      <w:r w:rsidR="005054BD">
        <w:t xml:space="preserve">to public hospitals, and private health service establishments (private hospitals and day procedure centres) registered under the </w:t>
      </w:r>
      <w:r w:rsidR="005054BD" w:rsidRPr="00C41370">
        <w:rPr>
          <w:i/>
          <w:iCs/>
        </w:rPr>
        <w:t>Health Services Act 1988</w:t>
      </w:r>
      <w:r w:rsidR="005054BD" w:rsidRPr="00C41370">
        <w:t xml:space="preserve">. The reporting requirement for private health service establishments is set out in the </w:t>
      </w:r>
      <w:r w:rsidR="005054BD" w:rsidRPr="0063519C">
        <w:t>Health Services (Health Service Establishments) Regulations 2013.</w:t>
      </w:r>
    </w:p>
    <w:p w14:paraId="6F9B545C" w14:textId="367CAC31" w:rsidR="005A3F8F" w:rsidRDefault="00834B04" w:rsidP="005054BD">
      <w:pPr>
        <w:pStyle w:val="Body"/>
      </w:pPr>
      <w:r>
        <w:t xml:space="preserve">Access the </w:t>
      </w:r>
      <w:r w:rsidR="007C2B6C" w:rsidRPr="00AE6427">
        <w:rPr>
          <w:i/>
          <w:iCs/>
        </w:rPr>
        <w:t>VAED</w:t>
      </w:r>
      <w:r w:rsidRPr="00AE6427">
        <w:rPr>
          <w:i/>
          <w:iCs/>
        </w:rPr>
        <w:t xml:space="preserve"> c</w:t>
      </w:r>
      <w:r w:rsidR="007C2B6C" w:rsidRPr="00AE6427">
        <w:rPr>
          <w:i/>
          <w:iCs/>
        </w:rPr>
        <w:t>riteria</w:t>
      </w:r>
      <w:r w:rsidR="5A7573F8" w:rsidRPr="0063519C">
        <w:rPr>
          <w:i/>
        </w:rPr>
        <w:t xml:space="preserve"> for reporting</w:t>
      </w:r>
      <w:r w:rsidR="5A7573F8">
        <w:t xml:space="preserve"> document</w:t>
      </w:r>
      <w:r w:rsidR="005A3F8F">
        <w:t xml:space="preserve"> from the </w:t>
      </w:r>
      <w:hyperlink r:id="rId39">
        <w:r w:rsidR="005A3F8F" w:rsidRPr="492A581B">
          <w:rPr>
            <w:rStyle w:val="Hyperlink"/>
          </w:rPr>
          <w:t>Health data standards and systems webpage</w:t>
        </w:r>
      </w:hyperlink>
      <w:r w:rsidR="005A3F8F">
        <w:t xml:space="preserve"> </w:t>
      </w:r>
      <w:r w:rsidR="005A3F8F" w:rsidRPr="008B043B">
        <w:t>&lt;</w:t>
      </w:r>
      <w:r w:rsidR="005A3F8F" w:rsidRPr="00030DBB">
        <w:t>https://</w:t>
      </w:r>
      <w:r w:rsidR="00D45508" w:rsidRPr="00D45508">
        <w:t>www</w:t>
      </w:r>
      <w:r w:rsidR="005A3F8F" w:rsidRPr="00030DBB">
        <w:t>.health.vic.gov.au/data-reporting/health-data-standards-</w:t>
      </w:r>
      <w:r w:rsidR="00D45508" w:rsidRPr="00D45508">
        <w:t>and-</w:t>
      </w:r>
      <w:r w:rsidR="005A3F8F" w:rsidRPr="00030DBB">
        <w:t>systems</w:t>
      </w:r>
      <w:r w:rsidR="005A3F8F" w:rsidRPr="008B043B">
        <w:t>&gt;</w:t>
      </w:r>
      <w:r w:rsidR="005A3F8F">
        <w:t>.</w:t>
      </w:r>
    </w:p>
    <w:p w14:paraId="35004A8E" w14:textId="19EF0D8A" w:rsidR="005A3F8F" w:rsidRPr="0091695C" w:rsidRDefault="005A3F8F" w:rsidP="005A3F8F">
      <w:pPr>
        <w:pStyle w:val="Body"/>
      </w:pPr>
      <w:r w:rsidRPr="0091695C">
        <w:t>Admissions are formal admissions, or statistical (when the care type may change). Admission practices must ensure that an eligible person’s priority for receiving health services is not determined by:</w:t>
      </w:r>
    </w:p>
    <w:p w14:paraId="6738EA3F" w14:textId="77777777" w:rsidR="005A3F8F" w:rsidRPr="0091695C" w:rsidRDefault="5CF1CAA1" w:rsidP="00E05C4E">
      <w:pPr>
        <w:pStyle w:val="Bullet1"/>
      </w:pPr>
      <w:r>
        <w:t>whether the person has health insurance</w:t>
      </w:r>
    </w:p>
    <w:p w14:paraId="0D7F69BA" w14:textId="77777777" w:rsidR="005A3F8F" w:rsidRPr="0091695C" w:rsidRDefault="5CF1CAA1" w:rsidP="00E05C4E">
      <w:pPr>
        <w:pStyle w:val="Bullet1"/>
      </w:pPr>
      <w:r>
        <w:t>the person’s financial status or place of residence</w:t>
      </w:r>
    </w:p>
    <w:p w14:paraId="6C07BB31" w14:textId="77777777" w:rsidR="005A3F8F" w:rsidRPr="0091695C" w:rsidRDefault="5CF1CAA1" w:rsidP="00E05C4E">
      <w:pPr>
        <w:pStyle w:val="Bullet1"/>
      </w:pPr>
      <w:r>
        <w:t>whether the person intends to elect or elects to be treated as a public or private patient</w:t>
      </w:r>
    </w:p>
    <w:p w14:paraId="7FA53099" w14:textId="4276DE4F" w:rsidR="005A3F8F" w:rsidRDefault="5CF1CAA1" w:rsidP="00E05C4E">
      <w:pPr>
        <w:pStyle w:val="Bullet1"/>
      </w:pPr>
      <w:r>
        <w:t xml:space="preserve">a person’s status as a Medicare-ineligible asylum seeker (refer to </w:t>
      </w:r>
      <w:hyperlink r:id="rId40">
        <w:r w:rsidRPr="23E5A96B">
          <w:rPr>
            <w:rStyle w:val="Hyperlink"/>
          </w:rPr>
          <w:t xml:space="preserve">Hospital </w:t>
        </w:r>
        <w:r w:rsidR="00171DCC">
          <w:rPr>
            <w:rStyle w:val="Hyperlink"/>
          </w:rPr>
          <w:t>a</w:t>
        </w:r>
        <w:r w:rsidR="00171DCC" w:rsidRPr="23E5A96B">
          <w:rPr>
            <w:rStyle w:val="Hyperlink"/>
          </w:rPr>
          <w:t xml:space="preserve">ccess </w:t>
        </w:r>
        <w:r w:rsidR="3A7DF0F1" w:rsidRPr="23E5A96B">
          <w:rPr>
            <w:rStyle w:val="Hyperlink"/>
          </w:rPr>
          <w:t xml:space="preserve">for </w:t>
        </w:r>
        <w:r w:rsidR="00171DCC">
          <w:rPr>
            <w:rStyle w:val="Hyperlink"/>
          </w:rPr>
          <w:t>p</w:t>
        </w:r>
        <w:r w:rsidR="00171DCC" w:rsidRPr="23E5A96B">
          <w:rPr>
            <w:rStyle w:val="Hyperlink"/>
          </w:rPr>
          <w:t xml:space="preserve">eople </w:t>
        </w:r>
        <w:r w:rsidR="00171DCC">
          <w:rPr>
            <w:rStyle w:val="Hyperlink"/>
          </w:rPr>
          <w:t>s</w:t>
        </w:r>
        <w:r w:rsidR="00171DCC" w:rsidRPr="23E5A96B">
          <w:rPr>
            <w:rStyle w:val="Hyperlink"/>
          </w:rPr>
          <w:t xml:space="preserve">eeking </w:t>
        </w:r>
        <w:r w:rsidR="00171DCC">
          <w:rPr>
            <w:rStyle w:val="Hyperlink"/>
          </w:rPr>
          <w:t>a</w:t>
        </w:r>
        <w:r w:rsidR="00171DCC" w:rsidRPr="23E5A96B">
          <w:rPr>
            <w:rStyle w:val="Hyperlink"/>
          </w:rPr>
          <w:t xml:space="preserve">sylum </w:t>
        </w:r>
        <w:r w:rsidR="00171DCC">
          <w:rPr>
            <w:rStyle w:val="Hyperlink"/>
          </w:rPr>
          <w:t>–</w:t>
        </w:r>
        <w:r w:rsidR="00171DCC" w:rsidRPr="23E5A96B">
          <w:rPr>
            <w:rStyle w:val="Hyperlink"/>
          </w:rPr>
          <w:t xml:space="preserve"> </w:t>
        </w:r>
        <w:r w:rsidR="00171DCC">
          <w:rPr>
            <w:rStyle w:val="Hyperlink"/>
          </w:rPr>
          <w:t>p</w:t>
        </w:r>
        <w:r w:rsidR="3A7DF0F1" w:rsidRPr="23E5A96B">
          <w:rPr>
            <w:rStyle w:val="Hyperlink"/>
          </w:rPr>
          <w:t>olicy</w:t>
        </w:r>
      </w:hyperlink>
      <w:r w:rsidR="00171DCC">
        <w:t xml:space="preserve"> </w:t>
      </w:r>
      <w:r w:rsidR="5FD4C630">
        <w:t>&lt;</w:t>
      </w:r>
      <w:r w:rsidR="32536D49">
        <w:t>https://www.health.vic.gov.au/publications/hospital-access-for-people-seeking-asylum</w:t>
      </w:r>
      <w:r w:rsidR="5FD4C630">
        <w:t>&gt;</w:t>
      </w:r>
      <w:r>
        <w:t>.</w:t>
      </w:r>
    </w:p>
    <w:p w14:paraId="7F4649B3" w14:textId="77777777" w:rsidR="005A3F8F" w:rsidRPr="001F14E6" w:rsidRDefault="005A3F8F" w:rsidP="005A3F8F">
      <w:pPr>
        <w:pStyle w:val="Bodyafterbullets"/>
        <w:keepNext/>
      </w:pPr>
      <w:r w:rsidRPr="001F14E6">
        <w:t>As part of their admission practices, health services will:</w:t>
      </w:r>
    </w:p>
    <w:p w14:paraId="46865C6D" w14:textId="12F2DF73" w:rsidR="005A3F8F" w:rsidRPr="00752D08" w:rsidRDefault="5CF1CAA1" w:rsidP="00E05C4E">
      <w:pPr>
        <w:pStyle w:val="Bullet1"/>
      </w:pPr>
      <w:r>
        <w:t>ensure that an eligible person, at the time of admission or as soon as practical thereafter, elects or confirms in writing whether they wish to be treated as a public or private patient and that this election process conforms to the</w:t>
      </w:r>
      <w:r w:rsidRPr="23E5A96B">
        <w:rPr>
          <w:i/>
          <w:iCs/>
        </w:rPr>
        <w:t xml:space="preserve"> National </w:t>
      </w:r>
      <w:r w:rsidR="03BE8C58" w:rsidRPr="23E5A96B">
        <w:rPr>
          <w:i/>
          <w:iCs/>
        </w:rPr>
        <w:t>standards for public hospitals admitted patient election processes</w:t>
      </w:r>
    </w:p>
    <w:p w14:paraId="2B9499F1" w14:textId="77777777" w:rsidR="005A3F8F" w:rsidRPr="00752D08" w:rsidRDefault="5CF1CAA1" w:rsidP="00E05C4E">
      <w:pPr>
        <w:pStyle w:val="Bullet1"/>
      </w:pPr>
      <w:r>
        <w:t>ensure that any ineligible person is appropriately identified as such in the VAED</w:t>
      </w:r>
    </w:p>
    <w:p w14:paraId="7EE26BF1" w14:textId="083C9FA4" w:rsidR="005A3F8F" w:rsidRPr="007F03EF" w:rsidRDefault="5CF1CAA1" w:rsidP="00E05C4E">
      <w:pPr>
        <w:pStyle w:val="Bullet1"/>
      </w:pPr>
      <w:r>
        <w:t xml:space="preserve">report admitted Medicare-ineligible asylum seekers to the VAED with the account class code MF – Ineligible Asylum Seeker </w:t>
      </w:r>
    </w:p>
    <w:p w14:paraId="4F5401FF" w14:textId="77777777" w:rsidR="005A3F8F" w:rsidRPr="007F03EF" w:rsidRDefault="5CF1CAA1" w:rsidP="00E05C4E">
      <w:pPr>
        <w:pStyle w:val="Bullet1"/>
      </w:pPr>
      <w:r>
        <w:t>make every effort to verify the place of residence of interstate patients</w:t>
      </w:r>
    </w:p>
    <w:p w14:paraId="64DD80CE" w14:textId="66D5CD07" w:rsidR="005A3F8F" w:rsidRPr="007F03EF" w:rsidRDefault="5CF1CAA1" w:rsidP="00E05C4E">
      <w:pPr>
        <w:pStyle w:val="Bullet1"/>
      </w:pPr>
      <w:r>
        <w:lastRenderedPageBreak/>
        <w:t>ensure that all patients admitted to hospital are asked whether they are of Aboriginal or Torres Strait Islander background</w:t>
      </w:r>
      <w:r w:rsidR="03EC8C5B">
        <w:t>.</w:t>
      </w:r>
      <w:r>
        <w:t xml:space="preserve"> (Identifying Indigenous status is a mandatory data item to be reported by hospitals to the VAED</w:t>
      </w:r>
      <w:r w:rsidR="00B76F8E">
        <w:t>.</w:t>
      </w:r>
      <w:r>
        <w:t xml:space="preserve"> </w:t>
      </w:r>
    </w:p>
    <w:p w14:paraId="20A351A1" w14:textId="6E9A43D7" w:rsidR="005A3F8F" w:rsidRDefault="0033682C" w:rsidP="00081936">
      <w:pPr>
        <w:pStyle w:val="Heading4"/>
        <w:numPr>
          <w:ilvl w:val="3"/>
          <w:numId w:val="33"/>
        </w:numPr>
      </w:pPr>
      <w:bookmarkStart w:id="135" w:name="_Toc77588919"/>
      <w:r>
        <w:t xml:space="preserve">Admitted </w:t>
      </w:r>
      <w:r w:rsidR="00B76F8E">
        <w:t>episodes and care type</w:t>
      </w:r>
      <w:bookmarkEnd w:id="135"/>
    </w:p>
    <w:p w14:paraId="289DBBAA" w14:textId="77777777" w:rsidR="0033682C" w:rsidRPr="008B043B" w:rsidRDefault="0033682C" w:rsidP="0033682C">
      <w:pPr>
        <w:pStyle w:val="Body"/>
      </w:pPr>
      <w:r w:rsidRPr="008B043B">
        <w:t>Each time a patient is admitted and discharged from hospital during the year, it is counted as an episode of care. Episodes can also be called admissions or separations. A single patient may have a number of separations during the year.</w:t>
      </w:r>
      <w:r>
        <w:t xml:space="preserve"> </w:t>
      </w:r>
      <w:r w:rsidRPr="008B043B">
        <w:t xml:space="preserve">Separations can also occur when admitted patients are transferred to another hospital, change the type of care </w:t>
      </w:r>
      <w:r w:rsidRPr="001F7CEF">
        <w:t>required (see below) or</w:t>
      </w:r>
      <w:r w:rsidRPr="008B043B">
        <w:t xml:space="preserve"> die in hospital.</w:t>
      </w:r>
    </w:p>
    <w:p w14:paraId="347F4B74" w14:textId="75DF7ABA" w:rsidR="005A3F8F" w:rsidRDefault="005A3F8F" w:rsidP="005453CB">
      <w:pPr>
        <w:pStyle w:val="Body"/>
      </w:pPr>
      <w:r>
        <w:t xml:space="preserve">Care type refers to the nature of the clinical service provided to an admitted patient during an episode of admitted patient care, or the type of service provided by the hospital. </w:t>
      </w:r>
    </w:p>
    <w:p w14:paraId="127E834D" w14:textId="7001E4BC" w:rsidR="005A3F8F" w:rsidRDefault="005A3F8F" w:rsidP="005453CB">
      <w:pPr>
        <w:pStyle w:val="Body"/>
      </w:pPr>
      <w:r>
        <w:t xml:space="preserve">The care type selected must reflect the primary clinical purpose or treatment goal of the care provided. Only one care type can be assigned at a time. </w:t>
      </w:r>
      <w:r w:rsidR="00606B4C">
        <w:t xml:space="preserve">If </w:t>
      </w:r>
      <w:r>
        <w:t>there is more than one focus of care,</w:t>
      </w:r>
      <w:r w:rsidR="00606B4C">
        <w:t xml:space="preserve"> assign</w:t>
      </w:r>
      <w:r>
        <w:t xml:space="preserve"> the care type that best describes the primary clinical purpose or treatment goal</w:t>
      </w:r>
      <w:r w:rsidR="00606B4C">
        <w:t>.</w:t>
      </w:r>
    </w:p>
    <w:p w14:paraId="1A7FD281" w14:textId="13B0F843" w:rsidR="005A3F8F" w:rsidRDefault="005A3F8F" w:rsidP="005453CB">
      <w:pPr>
        <w:pStyle w:val="Body"/>
      </w:pPr>
      <w:r>
        <w:t>Details of the national care</w:t>
      </w:r>
      <w:r w:rsidR="00556817">
        <w:t>-</w:t>
      </w:r>
      <w:r>
        <w:t xml:space="preserve">type definitions are outlined below. The National Minimum Dataset definitions can be found at the </w:t>
      </w:r>
      <w:hyperlink r:id="rId41" w:history="1">
        <w:r>
          <w:rPr>
            <w:rStyle w:val="Hyperlink"/>
          </w:rPr>
          <w:t>metadata online registry (METeOR)</w:t>
        </w:r>
      </w:hyperlink>
      <w:r>
        <w:t xml:space="preserve"> &lt;</w:t>
      </w:r>
      <w:r w:rsidRPr="00DE37A8">
        <w:t>https://meteor.aihw.gov.au</w:t>
      </w:r>
      <w:r>
        <w:t>&gt;.</w:t>
      </w:r>
    </w:p>
    <w:p w14:paraId="01492097" w14:textId="6538FCE2" w:rsidR="00A531D9" w:rsidRDefault="00A531D9" w:rsidP="005453CB">
      <w:pPr>
        <w:pStyle w:val="Body"/>
      </w:pPr>
      <w:r>
        <w:t>Care</w:t>
      </w:r>
      <w:r w:rsidR="00606B4C">
        <w:t>-</w:t>
      </w:r>
      <w:r>
        <w:t xml:space="preserve">type code references within this document related to the </w:t>
      </w:r>
      <w:r w:rsidR="00606B4C">
        <w:t xml:space="preserve">‘care type’ </w:t>
      </w:r>
      <w:r>
        <w:t xml:space="preserve">data element specification in the VAED manual, available </w:t>
      </w:r>
      <w:r w:rsidR="00606B4C">
        <w:t xml:space="preserve">on </w:t>
      </w:r>
      <w:r>
        <w:t xml:space="preserve">the </w:t>
      </w:r>
      <w:hyperlink r:id="rId42" w:history="1">
        <w:r w:rsidRPr="007C40A4">
          <w:rPr>
            <w:rStyle w:val="Hyperlink"/>
          </w:rPr>
          <w:t>Health data standards and systems webpage</w:t>
        </w:r>
      </w:hyperlink>
      <w:r>
        <w:t xml:space="preserve"> </w:t>
      </w:r>
      <w:r w:rsidRPr="008B043B">
        <w:t>&lt;</w:t>
      </w:r>
      <w:r w:rsidRPr="00030DBB">
        <w:t>https://</w:t>
      </w:r>
      <w:r w:rsidR="00824CDA" w:rsidRPr="00D45508">
        <w:t>www</w:t>
      </w:r>
      <w:r w:rsidRPr="00030DBB">
        <w:t>.health.vic.gov.au/data-reporting/health-data-standards-</w:t>
      </w:r>
      <w:r w:rsidR="00824CDA" w:rsidRPr="00D45508">
        <w:t>and-</w:t>
      </w:r>
      <w:r w:rsidRPr="00030DBB">
        <w:t>systems</w:t>
      </w:r>
      <w:r w:rsidRPr="008B043B">
        <w:t>&gt;</w:t>
      </w:r>
      <w:r>
        <w:t>.</w:t>
      </w:r>
    </w:p>
    <w:p w14:paraId="49C2D1D4" w14:textId="77777777" w:rsidR="00CA5BB9" w:rsidRPr="0084004D" w:rsidRDefault="00CA5BB9" w:rsidP="00540BAE">
      <w:pPr>
        <w:pStyle w:val="Heading6"/>
      </w:pPr>
      <w:r w:rsidRPr="0084004D">
        <w:t xml:space="preserve">Acute </w:t>
      </w:r>
    </w:p>
    <w:p w14:paraId="51F891FF" w14:textId="77777777" w:rsidR="00CA5BB9" w:rsidRDefault="00CA5BB9" w:rsidP="00CA5BB9">
      <w:pPr>
        <w:pStyle w:val="Body"/>
      </w:pPr>
      <w:r>
        <w:t>Acute care is care in which the primary clinical purpose or treatment goal is to:</w:t>
      </w:r>
    </w:p>
    <w:p w14:paraId="4805D7A0" w14:textId="77777777" w:rsidR="00CA5BB9" w:rsidRDefault="4259DFA5" w:rsidP="00E05C4E">
      <w:pPr>
        <w:pStyle w:val="Bullet1"/>
      </w:pPr>
      <w:r>
        <w:t>manage labour (obstetric)</w:t>
      </w:r>
    </w:p>
    <w:p w14:paraId="232DF5DC" w14:textId="77777777" w:rsidR="00CA5BB9" w:rsidRDefault="4259DFA5" w:rsidP="00E05C4E">
      <w:pPr>
        <w:pStyle w:val="Bullet1"/>
      </w:pPr>
      <w:r>
        <w:t>cure illness or provide definitive treatment of injury</w:t>
      </w:r>
    </w:p>
    <w:p w14:paraId="353DBF81" w14:textId="77777777" w:rsidR="00CA5BB9" w:rsidRDefault="4259DFA5" w:rsidP="00E05C4E">
      <w:pPr>
        <w:pStyle w:val="Bullet1"/>
      </w:pPr>
      <w:r>
        <w:t>perform surgery</w:t>
      </w:r>
    </w:p>
    <w:p w14:paraId="1CE895C0" w14:textId="77777777" w:rsidR="00CA5BB9" w:rsidRDefault="4259DFA5" w:rsidP="00E05C4E">
      <w:pPr>
        <w:pStyle w:val="Bullet1"/>
      </w:pPr>
      <w:r>
        <w:t>relieve symptoms of illness or injury (excluding palliative care)</w:t>
      </w:r>
    </w:p>
    <w:p w14:paraId="21C5B115" w14:textId="77777777" w:rsidR="00CA5BB9" w:rsidRDefault="4259DFA5" w:rsidP="00E05C4E">
      <w:pPr>
        <w:pStyle w:val="Bullet1"/>
      </w:pPr>
      <w:r>
        <w:t>reduce severity of an illness or injury</w:t>
      </w:r>
    </w:p>
    <w:p w14:paraId="38272D4C" w14:textId="77777777" w:rsidR="00CA5BB9" w:rsidRDefault="4259DFA5" w:rsidP="00E05C4E">
      <w:pPr>
        <w:pStyle w:val="Bullet1"/>
      </w:pPr>
      <w:r>
        <w:t>protect against exacerbation and/or complication of an illness and/or injury which could threaten life or normal function</w:t>
      </w:r>
    </w:p>
    <w:p w14:paraId="52019F10" w14:textId="77777777" w:rsidR="00CA5BB9" w:rsidRDefault="4259DFA5" w:rsidP="00E05C4E">
      <w:pPr>
        <w:pStyle w:val="Bullet1"/>
      </w:pPr>
      <w:r>
        <w:t>perform diagnostic or therapeutic procedures.</w:t>
      </w:r>
    </w:p>
    <w:p w14:paraId="23401C94" w14:textId="564A631C" w:rsidR="00CA5BB9" w:rsidRDefault="00CA5BB9" w:rsidP="005A1FF8">
      <w:pPr>
        <w:pStyle w:val="Bodyafterbullets"/>
      </w:pPr>
      <w:r>
        <w:t xml:space="preserve">Acute care excludes care </w:t>
      </w:r>
      <w:r w:rsidR="00606B4C">
        <w:t xml:space="preserve">that </w:t>
      </w:r>
      <w:r>
        <w:t>meets the definition of mental health care</w:t>
      </w:r>
      <w:r w:rsidRPr="003A6919">
        <w:t>.</w:t>
      </w:r>
    </w:p>
    <w:p w14:paraId="6D952597" w14:textId="77777777" w:rsidR="00CA5BB9" w:rsidRPr="0084004D" w:rsidRDefault="00CA5BB9" w:rsidP="00540BAE">
      <w:pPr>
        <w:pStyle w:val="Heading6"/>
      </w:pPr>
      <w:r w:rsidRPr="0084004D">
        <w:t>Rehabilitation</w:t>
      </w:r>
    </w:p>
    <w:p w14:paraId="0DD00B2B" w14:textId="77777777" w:rsidR="00CA5BB9" w:rsidRDefault="00CA5BB9" w:rsidP="00CA5BB9">
      <w:pPr>
        <w:pStyle w:val="Body"/>
      </w:pPr>
      <w:r w:rsidRPr="003A6919">
        <w:t>Rehabilitation care is care in which the primary clinical purpose or treatment goal is improvement in the functioning of a patient with impairment, activity limitation or participation restriction due to a health condition. The patient will be capable of actively participating in rehabilitation.</w:t>
      </w:r>
    </w:p>
    <w:p w14:paraId="01492719" w14:textId="77777777" w:rsidR="00CA5BB9" w:rsidRDefault="00CA5BB9" w:rsidP="00CA5BB9">
      <w:pPr>
        <w:pStyle w:val="Body"/>
      </w:pPr>
      <w:r>
        <w:t>Rehabilitation care is always:</w:t>
      </w:r>
    </w:p>
    <w:p w14:paraId="6E6D9F94" w14:textId="77777777" w:rsidR="00CA5BB9" w:rsidRDefault="4259DFA5" w:rsidP="00E05C4E">
      <w:pPr>
        <w:pStyle w:val="Bullet1"/>
      </w:pPr>
      <w:r>
        <w:t>managed by a clinician with special expertise in rehabilitation</w:t>
      </w:r>
    </w:p>
    <w:p w14:paraId="7E8FE520" w14:textId="77777777" w:rsidR="00CA5BB9" w:rsidRDefault="4259DFA5" w:rsidP="00E05C4E">
      <w:pPr>
        <w:pStyle w:val="Bullet1"/>
      </w:pPr>
      <w:r>
        <w:t>evidenced by an individualised multidisciplinary management plan that is documented in the patient’s medical record, including negotiated goals within specified timeframes and documented assessment of functional ability.</w:t>
      </w:r>
    </w:p>
    <w:p w14:paraId="71560BCF" w14:textId="484C96D4" w:rsidR="00CA5BB9" w:rsidRPr="0084004D" w:rsidRDefault="00CA5BB9" w:rsidP="00540BAE">
      <w:pPr>
        <w:pStyle w:val="Heading6"/>
      </w:pPr>
      <w:r w:rsidRPr="0084004D">
        <w:t xml:space="preserve">Geriatric </w:t>
      </w:r>
      <w:r w:rsidR="00606B4C">
        <w:t>e</w:t>
      </w:r>
      <w:r w:rsidR="00606B4C" w:rsidRPr="0084004D">
        <w:t xml:space="preserve">valuation </w:t>
      </w:r>
      <w:r w:rsidRPr="0084004D">
        <w:t xml:space="preserve">and </w:t>
      </w:r>
      <w:r w:rsidR="00606B4C">
        <w:t>m</w:t>
      </w:r>
      <w:r w:rsidR="00606B4C" w:rsidRPr="0084004D">
        <w:t xml:space="preserve">anagement </w:t>
      </w:r>
      <w:r w:rsidRPr="0084004D">
        <w:t>(GEM)</w:t>
      </w:r>
    </w:p>
    <w:p w14:paraId="0D1008E7" w14:textId="77777777" w:rsidR="00CA5BB9" w:rsidRPr="004F2C54" w:rsidRDefault="00CA5BB9" w:rsidP="00CA5BB9">
      <w:pPr>
        <w:pStyle w:val="Body"/>
      </w:pPr>
      <w:r>
        <w:t>GEM</w:t>
      </w:r>
      <w:r w:rsidRPr="003A6919">
        <w:t xml:space="preserve"> is care in which the primary clinical purpose or treatment goal is improving the functioning of a patient with multidimensional needs associated with medical conditions related to ageing such as </w:t>
      </w:r>
      <w:r w:rsidRPr="003A6919">
        <w:lastRenderedPageBreak/>
        <w:t>falls, incontinence, reduced mobility, delirium and depression. The patient may have complex psychosocial problems and is usually (but not always) an older patient.</w:t>
      </w:r>
    </w:p>
    <w:p w14:paraId="3B322D68" w14:textId="77777777" w:rsidR="00CA5BB9" w:rsidRDefault="00CA5BB9" w:rsidP="00CA5BB9">
      <w:pPr>
        <w:pStyle w:val="Body"/>
      </w:pPr>
      <w:r>
        <w:t>GEM is always:</w:t>
      </w:r>
    </w:p>
    <w:p w14:paraId="0F04BE0F" w14:textId="77777777" w:rsidR="00CA5BB9" w:rsidRDefault="4259DFA5" w:rsidP="00E05C4E">
      <w:pPr>
        <w:pStyle w:val="Bullet1"/>
      </w:pPr>
      <w:r>
        <w:t>managed by a clinician with special expertise in GEM</w:t>
      </w:r>
    </w:p>
    <w:p w14:paraId="43FBFFAB" w14:textId="77777777" w:rsidR="00CA5BB9" w:rsidRPr="008E15A3" w:rsidRDefault="4259DFA5" w:rsidP="00E05C4E">
      <w:pPr>
        <w:pStyle w:val="Bullet1"/>
      </w:pPr>
      <w:r>
        <w:t>evidenced by an individualised multidisciplinary management plan that is documented in the patient’s medical record, which includes negotiated goals within indicative timeframes and documented assessment of functional ability.</w:t>
      </w:r>
    </w:p>
    <w:p w14:paraId="358C2222" w14:textId="50F38389" w:rsidR="00CA5BB9" w:rsidRPr="0084004D" w:rsidRDefault="00CA5BB9" w:rsidP="00540BAE">
      <w:pPr>
        <w:pStyle w:val="Heading6"/>
      </w:pPr>
      <w:r w:rsidRPr="0084004D">
        <w:t xml:space="preserve">Palliative </w:t>
      </w:r>
      <w:r w:rsidR="00606B4C">
        <w:t>c</w:t>
      </w:r>
      <w:r w:rsidR="00606B4C" w:rsidRPr="0084004D">
        <w:t>are</w:t>
      </w:r>
    </w:p>
    <w:p w14:paraId="5C06321D" w14:textId="77777777" w:rsidR="00CA5BB9" w:rsidRDefault="00CA5BB9" w:rsidP="00CA5BB9">
      <w:pPr>
        <w:pStyle w:val="Body"/>
      </w:pPr>
      <w:r>
        <w:t>Palliative care is care that improves the quality of life for patients and their families facing the problems associated with life-threatening or life-limiting illness through the prevention and relief of suffering by means of early identification, assessment and treatment of pain and other problems/symptoms – physical, psychosocial and spiritual (World Health Organization).</w:t>
      </w:r>
    </w:p>
    <w:p w14:paraId="74BD727A" w14:textId="77777777" w:rsidR="00CA5BB9" w:rsidRDefault="00CA5BB9" w:rsidP="00CA5BB9">
      <w:pPr>
        <w:pStyle w:val="Body"/>
      </w:pPr>
      <w:r>
        <w:t>Palliative care:</w:t>
      </w:r>
    </w:p>
    <w:p w14:paraId="22DD9A66" w14:textId="77777777" w:rsidR="00CA5BB9" w:rsidRDefault="4259DFA5" w:rsidP="00E05C4E">
      <w:pPr>
        <w:pStyle w:val="Bullet1"/>
      </w:pPr>
      <w:r>
        <w:t>is always managed or informed by a clinician with specialist qualifications in palliative care</w:t>
      </w:r>
    </w:p>
    <w:p w14:paraId="2A78FA12" w14:textId="77777777" w:rsidR="00CA5BB9" w:rsidRDefault="4259DFA5" w:rsidP="00E05C4E">
      <w:pPr>
        <w:pStyle w:val="Bullet1"/>
      </w:pPr>
      <w:r>
        <w:t>is always evidenced by an individualised multidisciplinary assessment and management plan that is documented in the patient’s medical record; it covers the physical, psychological, emotional, social and spiritual needs of the patient and their negotiated goals</w:t>
      </w:r>
    </w:p>
    <w:p w14:paraId="7E1E5529" w14:textId="77777777" w:rsidR="00CA5BB9" w:rsidRDefault="4259DFA5" w:rsidP="00E05C4E">
      <w:pPr>
        <w:pStyle w:val="Bullet1"/>
      </w:pPr>
      <w:r>
        <w:t>offers a support system to help patients live as actively as possible until death</w:t>
      </w:r>
    </w:p>
    <w:p w14:paraId="6CB5F0D1" w14:textId="77777777" w:rsidR="00CA5BB9" w:rsidRDefault="4259DFA5" w:rsidP="00E05C4E">
      <w:pPr>
        <w:pStyle w:val="Bullet1"/>
      </w:pPr>
      <w:r>
        <w:t>is applicable early in the course of a patient’s illness, in conjunction with other therapies that are intended to prolong life such as chemotherapy or radiation therapy</w:t>
      </w:r>
    </w:p>
    <w:p w14:paraId="1AE4638F" w14:textId="742246FF" w:rsidR="00CA5BB9" w:rsidRDefault="4259DFA5" w:rsidP="00E05C4E">
      <w:pPr>
        <w:pStyle w:val="Bullet1"/>
      </w:pPr>
      <w:r>
        <w:t xml:space="preserve">should </w:t>
      </w:r>
      <w:r w:rsidR="00606B4C">
        <w:t>res</w:t>
      </w:r>
      <w:r w:rsidR="002E177B">
        <w:t>p</w:t>
      </w:r>
      <w:r w:rsidR="00606B4C">
        <w:t xml:space="preserve">ond </w:t>
      </w:r>
      <w:r>
        <w:t>to the needs, preferences and values of the person, their family and carers.</w:t>
      </w:r>
    </w:p>
    <w:p w14:paraId="46CC3280" w14:textId="6AC8E739" w:rsidR="00CA5BB9" w:rsidRDefault="00CA5BB9" w:rsidP="00CA5BB9">
      <w:pPr>
        <w:pStyle w:val="Bodyafterbullets"/>
      </w:pPr>
      <w:r w:rsidRPr="00EB706B">
        <w:t xml:space="preserve">The </w:t>
      </w:r>
      <w:r w:rsidRPr="001D6BD3">
        <w:rPr>
          <w:i/>
        </w:rPr>
        <w:t xml:space="preserve">National </w:t>
      </w:r>
      <w:r w:rsidR="00606B4C">
        <w:rPr>
          <w:i/>
        </w:rPr>
        <w:t>p</w:t>
      </w:r>
      <w:r w:rsidR="00606B4C" w:rsidRPr="001D6BD3">
        <w:rPr>
          <w:i/>
        </w:rPr>
        <w:t xml:space="preserve">alliative </w:t>
      </w:r>
      <w:r w:rsidR="00606B4C">
        <w:rPr>
          <w:i/>
        </w:rPr>
        <w:t>c</w:t>
      </w:r>
      <w:r w:rsidR="00606B4C" w:rsidRPr="001D6BD3">
        <w:rPr>
          <w:i/>
        </w:rPr>
        <w:t xml:space="preserve">are </w:t>
      </w:r>
      <w:r w:rsidR="00606B4C">
        <w:rPr>
          <w:i/>
        </w:rPr>
        <w:t>s</w:t>
      </w:r>
      <w:r w:rsidR="00606B4C" w:rsidRPr="001D6BD3">
        <w:rPr>
          <w:i/>
        </w:rPr>
        <w:t>tandards</w:t>
      </w:r>
      <w:r w:rsidR="00606B4C" w:rsidRPr="00EB706B">
        <w:t xml:space="preserve"> </w:t>
      </w:r>
      <w:r>
        <w:t>(5</w:t>
      </w:r>
      <w:r w:rsidRPr="001D6BD3">
        <w:t>th</w:t>
      </w:r>
      <w:r>
        <w:t xml:space="preserve"> edition</w:t>
      </w:r>
      <w:r w:rsidR="00606B4C">
        <w:t>,</w:t>
      </w:r>
      <w:r>
        <w:t xml:space="preserve"> 2018</w:t>
      </w:r>
      <w:r w:rsidR="00606B4C">
        <w:t>)</w:t>
      </w:r>
      <w:r>
        <w:t xml:space="preserve"> </w:t>
      </w:r>
      <w:r w:rsidRPr="00EB706B">
        <w:t>define</w:t>
      </w:r>
      <w:r w:rsidR="008D5220">
        <w:t>s</w:t>
      </w:r>
      <w:r w:rsidRPr="00EB706B">
        <w:t xml:space="preserve"> the patient, their carer and family as the </w:t>
      </w:r>
      <w:r>
        <w:t xml:space="preserve">one </w:t>
      </w:r>
      <w:r w:rsidRPr="00EB706B">
        <w:t xml:space="preserve">unit of care. The needs of carers and families should be addressed in </w:t>
      </w:r>
      <w:r>
        <w:t xml:space="preserve">each palliative care </w:t>
      </w:r>
      <w:r w:rsidRPr="00EB706B">
        <w:t>patient’s management plan.</w:t>
      </w:r>
      <w:r>
        <w:t xml:space="preserve"> The plan must outline the negotiated goals of care evidenced by a collaborative approach with the patient and/or their family or carer.</w:t>
      </w:r>
    </w:p>
    <w:p w14:paraId="6205FC32" w14:textId="2523BBB6" w:rsidR="00976036" w:rsidRDefault="5319ED55" w:rsidP="00976036">
      <w:pPr>
        <w:pStyle w:val="Body"/>
      </w:pPr>
      <w:r>
        <w:t>When planning for discharge</w:t>
      </w:r>
      <w:r w:rsidR="008D5220">
        <w:t>,</w:t>
      </w:r>
      <w:r>
        <w:t xml:space="preserve"> health services have a responsibility to provide aids and equipment for up to 30 days at no cost to the patient (excluding a refundable deposit if applicable). This includes domiciliary oxygen and continence aids </w:t>
      </w:r>
      <w:r w:rsidR="00606B4C">
        <w:t>patients need</w:t>
      </w:r>
      <w:r>
        <w:t xml:space="preserve"> for recuperation and safe and effective discharge to prevent unnecessary continued hospitalisation or readmission. Health services may charge the patient fees for these aids and equipment after the expiry of the 30-day post-discharge period. Alternatively, patients may choose to make their own arrangements.</w:t>
      </w:r>
    </w:p>
    <w:p w14:paraId="17B03042" w14:textId="0A6CF60E" w:rsidR="00EA1BC6" w:rsidRDefault="5B0B722B" w:rsidP="00976036">
      <w:pPr>
        <w:pStyle w:val="Body"/>
      </w:pPr>
      <w:r w:rsidRPr="003D1465">
        <w:t>For more information about fees and charges for providing aids, equipment and domiciliary oxygen</w:t>
      </w:r>
      <w:r w:rsidR="00834B04">
        <w:t>,</w:t>
      </w:r>
      <w:r w:rsidRPr="003D1465">
        <w:t xml:space="preserve"> </w:t>
      </w:r>
      <w:r w:rsidR="00834B04">
        <w:t>refer to</w:t>
      </w:r>
      <w:r w:rsidR="00834B04" w:rsidRPr="003D1465">
        <w:t xml:space="preserve"> </w:t>
      </w:r>
      <w:r w:rsidRPr="003D1465">
        <w:t>the</w:t>
      </w:r>
      <w:r w:rsidRPr="0F71FB16">
        <w:t xml:space="preserve"> </w:t>
      </w:r>
      <w:hyperlink r:id="rId43" w:history="1">
        <w:r w:rsidRPr="00591163">
          <w:rPr>
            <w:rStyle w:val="Hyperlink"/>
            <w:rFonts w:eastAsia="Arial" w:cs="Arial"/>
            <w:i/>
            <w:szCs w:val="21"/>
          </w:rPr>
          <w:t>Patient fees and charges for public health services</w:t>
        </w:r>
      </w:hyperlink>
      <w:r w:rsidRPr="0F71FB16">
        <w:t xml:space="preserve"> </w:t>
      </w:r>
      <w:r w:rsidRPr="003D1465">
        <w:t>&lt;https://</w:t>
      </w:r>
      <w:r w:rsidR="003D1465" w:rsidRPr="003D1465">
        <w:t>www</w:t>
      </w:r>
      <w:r w:rsidRPr="003D1465">
        <w:t>.health.vic.gov.au/hospitals-and-health-services/patient-fees-</w:t>
      </w:r>
      <w:r w:rsidR="003D1465" w:rsidRPr="003D1465">
        <w:t>and-</w:t>
      </w:r>
      <w:r w:rsidRPr="003D1465">
        <w:t>charges</w:t>
      </w:r>
      <w:r w:rsidR="003D1465" w:rsidRPr="003D1465">
        <w:t>-for-public-health-services</w:t>
      </w:r>
      <w:r w:rsidRPr="003D1465">
        <w:t>&gt;.</w:t>
      </w:r>
    </w:p>
    <w:p w14:paraId="22BA3244" w14:textId="7811F17F" w:rsidR="00CA5BB9" w:rsidRPr="0084004D" w:rsidRDefault="00CA5BB9" w:rsidP="00540BAE">
      <w:pPr>
        <w:pStyle w:val="Heading6"/>
      </w:pPr>
      <w:r w:rsidRPr="0084004D">
        <w:t xml:space="preserve">Maintenance </w:t>
      </w:r>
      <w:r w:rsidR="00606B4C">
        <w:t>c</w:t>
      </w:r>
      <w:r w:rsidR="00606B4C" w:rsidRPr="0084004D">
        <w:t>are</w:t>
      </w:r>
    </w:p>
    <w:p w14:paraId="5C272568" w14:textId="77777777" w:rsidR="00CA5BB9" w:rsidRPr="004F2C54" w:rsidRDefault="00CA5BB9" w:rsidP="00CA5BB9">
      <w:pPr>
        <w:pStyle w:val="Body"/>
      </w:pPr>
      <w:r w:rsidRPr="003A6919">
        <w:t>Maintenance care is care in which the primary clinical purpose or treatment goal is supporting a patient with impairment, activity limitation or participation restriction due to a health condition. Following assessment or treatment, the patient does not require further complex assessment or stabilisation.</w:t>
      </w:r>
    </w:p>
    <w:p w14:paraId="2AC0D87D" w14:textId="6E8F77B3" w:rsidR="005A3F8F" w:rsidRPr="002B74E5" w:rsidRDefault="00606B4C" w:rsidP="005453CB">
      <w:pPr>
        <w:pStyle w:val="Body"/>
        <w:rPr>
          <w:rFonts w:ascii="Helv" w:hAnsi="Helv" w:cs="Helv"/>
          <w:color w:val="000000"/>
        </w:rPr>
      </w:pPr>
      <w:r>
        <w:t>M</w:t>
      </w:r>
      <w:r w:rsidR="00CA5BB9">
        <w:t xml:space="preserve">aintenance care </w:t>
      </w:r>
      <w:r>
        <w:t xml:space="preserve">is not a </w:t>
      </w:r>
      <w:r w:rsidR="00CA5BB9">
        <w:t>substitute for other forms of nonacute care and should emphasise a restorative approach to care after treatment.</w:t>
      </w:r>
    </w:p>
    <w:p w14:paraId="433DFCEA" w14:textId="3BDC383F" w:rsidR="005A3F8F" w:rsidRDefault="005A3F8F" w:rsidP="00081936">
      <w:pPr>
        <w:pStyle w:val="Heading4"/>
        <w:numPr>
          <w:ilvl w:val="3"/>
          <w:numId w:val="33"/>
        </w:numPr>
      </w:pPr>
      <w:r>
        <w:lastRenderedPageBreak/>
        <w:t xml:space="preserve">Care </w:t>
      </w:r>
      <w:r w:rsidR="00606B4C">
        <w:t>type assignment and changes</w:t>
      </w:r>
    </w:p>
    <w:p w14:paraId="3C1C7E1E" w14:textId="62C6918B" w:rsidR="005A3F8F" w:rsidRDefault="005A3F8F" w:rsidP="005453CB">
      <w:pPr>
        <w:pStyle w:val="Body"/>
      </w:pPr>
      <w:r>
        <w:t>The care type is assigned by the clinician responsible for managing the care based on clinical judgements as to the primary clinical purpose of the care provided</w:t>
      </w:r>
      <w:r w:rsidR="005C04D6">
        <w:t>.</w:t>
      </w:r>
      <w:r>
        <w:t xml:space="preserve"> </w:t>
      </w:r>
      <w:r w:rsidR="005C04D6">
        <w:t>F</w:t>
      </w:r>
      <w:r>
        <w:t xml:space="preserve">or subacute care types, </w:t>
      </w:r>
      <w:r w:rsidR="005C04D6">
        <w:t xml:space="preserve">this includes </w:t>
      </w:r>
      <w:r>
        <w:t>the specialised expertise of the clinician responsible for managing the care.</w:t>
      </w:r>
    </w:p>
    <w:p w14:paraId="2C1F07F6" w14:textId="76CA6B97" w:rsidR="005A3F8F" w:rsidRDefault="005A3F8F" w:rsidP="005453CB">
      <w:pPr>
        <w:pStyle w:val="Body"/>
      </w:pPr>
      <w:r>
        <w:t>The clinician determining the appropriate care type to be assigned must ensure that clear documentation of the care type is recorded in the patient’s medical record. This clinician must also ensure that the staff member responsible for updating the patient administration system is informed of the care</w:t>
      </w:r>
      <w:r w:rsidR="005C04D6">
        <w:t>-</w:t>
      </w:r>
      <w:r>
        <w:t>type decision.</w:t>
      </w:r>
    </w:p>
    <w:p w14:paraId="3D8131A6" w14:textId="4E8E87DA" w:rsidR="005A3F8F" w:rsidRDefault="005A3F8F" w:rsidP="005453CB">
      <w:pPr>
        <w:pStyle w:val="Body"/>
      </w:pPr>
      <w:r>
        <w:t xml:space="preserve">A </w:t>
      </w:r>
      <w:r w:rsidR="005C04D6">
        <w:t>care-</w:t>
      </w:r>
      <w:r>
        <w:t>type change occurs when there is a change in the primary clinical purpose or treatment goal of the care provided to the patient. When the intensity of treatment or resource utilisation changes</w:t>
      </w:r>
      <w:r w:rsidR="005C04D6">
        <w:t>,</w:t>
      </w:r>
      <w:r>
        <w:t xml:space="preserve"> but the primary clinical purpose or treatment goal does not change, a care type change is not warranted.</w:t>
      </w:r>
    </w:p>
    <w:p w14:paraId="205A7982" w14:textId="4CFE83BF" w:rsidR="005A3F8F" w:rsidRDefault="005A3F8F" w:rsidP="005453CB">
      <w:pPr>
        <w:pStyle w:val="Body"/>
      </w:pPr>
      <w:r>
        <w:t>A change in care type is assigned by the clinician who is taking over responsibility for managing the patient’s care at the time of transfer, with clear evidence of this acceptance of the referral. Responsibility for the decision to change care type ultimately rests with the senior medical officer but may be delegated to other senior members of the clinical team. It is essential that any change in care type is supported by documentation reflecting the change in purpose and goal of care. Care</w:t>
      </w:r>
      <w:r w:rsidR="005C04D6">
        <w:t>-</w:t>
      </w:r>
      <w:r>
        <w:t>type changes must be reported in accordance with the VAED business rules.</w:t>
      </w:r>
    </w:p>
    <w:p w14:paraId="49F43FA6" w14:textId="06B18C89" w:rsidR="005A3F8F" w:rsidRDefault="005A3F8F" w:rsidP="005453CB">
      <w:pPr>
        <w:pStyle w:val="Body"/>
      </w:pPr>
      <w:r>
        <w:t xml:space="preserve">For subacute activity to be recognised, there must be evidence of the </w:t>
      </w:r>
      <w:r w:rsidR="005C04D6">
        <w:t>care-</w:t>
      </w:r>
      <w:r>
        <w:t>type change (including the date of handover, if applicable)</w:t>
      </w:r>
      <w:r w:rsidR="005C04D6">
        <w:t>.</w:t>
      </w:r>
      <w:r>
        <w:t xml:space="preserve"> </w:t>
      </w:r>
      <w:r w:rsidR="005C04D6">
        <w:t>T</w:t>
      </w:r>
      <w:r>
        <w:t xml:space="preserve">he multidisciplinary management plan </w:t>
      </w:r>
      <w:r w:rsidR="005C04D6">
        <w:t xml:space="preserve">must also be </w:t>
      </w:r>
      <w:r>
        <w:t xml:space="preserve">clearly documented in the patient’s medical record within seven days of admission. The plan should outline the negotiated goals of care evidenced by a collaborative approach with the patient and/or their family. At the time of a </w:t>
      </w:r>
      <w:r w:rsidR="00556817">
        <w:t>subacute-</w:t>
      </w:r>
      <w:r>
        <w:t>care</w:t>
      </w:r>
      <w:r w:rsidR="00556817">
        <w:t>-</w:t>
      </w:r>
      <w:r>
        <w:t>type assignment, a multidisciplinary management plan may not be in place, but the intention to prepare one should be known by the clinician assigning the care type.</w:t>
      </w:r>
    </w:p>
    <w:p w14:paraId="3A3AB1D3" w14:textId="77777777" w:rsidR="005A3F8F" w:rsidRDefault="005A3F8F" w:rsidP="005453CB">
      <w:pPr>
        <w:pStyle w:val="Body"/>
      </w:pPr>
      <w:r>
        <w:t>The care type should not be retrospectively changed unless it is:</w:t>
      </w:r>
    </w:p>
    <w:p w14:paraId="78C4C26B" w14:textId="77777777" w:rsidR="005A3F8F" w:rsidRPr="005F49EC" w:rsidRDefault="5CF1CAA1" w:rsidP="00E05C4E">
      <w:pPr>
        <w:pStyle w:val="Bullet1"/>
      </w:pPr>
      <w:r>
        <w:t>to correct a data recording error</w:t>
      </w:r>
    </w:p>
    <w:p w14:paraId="2F6369C0" w14:textId="77777777" w:rsidR="005A3F8F" w:rsidRPr="008B555D" w:rsidRDefault="5CF1CAA1" w:rsidP="00E05C4E">
      <w:pPr>
        <w:pStyle w:val="Bullet1"/>
      </w:pPr>
      <w:r>
        <w:t>clearly documented in the patient’s medical record and approved by the hospital’s director of clinical services or delegated officer.</w:t>
      </w:r>
    </w:p>
    <w:p w14:paraId="1C5DE60B" w14:textId="01E1A123" w:rsidR="000B27B9" w:rsidRDefault="00C1219D" w:rsidP="00685B35">
      <w:pPr>
        <w:pStyle w:val="Heading2"/>
      </w:pPr>
      <w:bookmarkStart w:id="136" w:name="_Toc110949972"/>
      <w:bookmarkStart w:id="137" w:name="_Toc110949973"/>
      <w:bookmarkStart w:id="138" w:name="_Toc156569610"/>
      <w:bookmarkStart w:id="139" w:name="_Hlk141449483"/>
      <w:bookmarkEnd w:id="26"/>
      <w:bookmarkEnd w:id="27"/>
      <w:bookmarkEnd w:id="28"/>
      <w:bookmarkEnd w:id="107"/>
      <w:bookmarkEnd w:id="108"/>
      <w:bookmarkEnd w:id="136"/>
      <w:bookmarkEnd w:id="137"/>
      <w:r>
        <w:lastRenderedPageBreak/>
        <w:t>Pricing for ABF</w:t>
      </w:r>
      <w:r w:rsidR="005507DC">
        <w:t>-funded services</w:t>
      </w:r>
      <w:bookmarkEnd w:id="138"/>
      <w:r w:rsidR="005507DC">
        <w:t xml:space="preserve"> </w:t>
      </w:r>
    </w:p>
    <w:p w14:paraId="799D7FE9" w14:textId="2D184FCC" w:rsidR="00CF1D5C" w:rsidRDefault="00CF1D5C" w:rsidP="00081936">
      <w:pPr>
        <w:pStyle w:val="Heading3"/>
        <w:numPr>
          <w:ilvl w:val="2"/>
          <w:numId w:val="33"/>
        </w:numPr>
        <w:ind w:left="1134"/>
      </w:pPr>
      <w:bookmarkStart w:id="140" w:name="_Toc156569611"/>
      <w:r>
        <w:t xml:space="preserve">NWAU </w:t>
      </w:r>
      <w:r w:rsidR="00013B42">
        <w:t>price weights</w:t>
      </w:r>
      <w:bookmarkEnd w:id="140"/>
      <w:r w:rsidR="00013B42">
        <w:t xml:space="preserve"> </w:t>
      </w:r>
    </w:p>
    <w:p w14:paraId="0E5EF2BC" w14:textId="5A46A79E" w:rsidR="00C65BA9" w:rsidRDefault="00C65BA9" w:rsidP="00C65BA9">
      <w:pPr>
        <w:pStyle w:val="Body"/>
      </w:pPr>
      <w:r>
        <w:t>National price</w:t>
      </w:r>
      <w:r w:rsidRPr="004658FE">
        <w:t xml:space="preserve"> weights are calculated </w:t>
      </w:r>
      <w:r>
        <w:t xml:space="preserve">through a staged process, involving firstly the calculation of cost-model parameters and then </w:t>
      </w:r>
      <w:r w:rsidR="00013B42">
        <w:t>cost-</w:t>
      </w:r>
      <w:r>
        <w:t xml:space="preserve">weight values, by dividing the cost-model parameters by a reference cost. The </w:t>
      </w:r>
      <w:r w:rsidR="00013B42">
        <w:t>cost-</w:t>
      </w:r>
      <w:r>
        <w:t>weight values, simply expressed, are</w:t>
      </w:r>
      <w:r w:rsidRPr="004658FE">
        <w:t xml:space="preserve"> the ratio of the average cost of all episodes in a</w:t>
      </w:r>
      <w:r>
        <w:t xml:space="preserve">n </w:t>
      </w:r>
      <w:r w:rsidR="00183733">
        <w:t>Australian</w:t>
      </w:r>
      <w:r w:rsidR="001046B6">
        <w:t xml:space="preserve"> refined </w:t>
      </w:r>
      <w:r w:rsidR="001046B6" w:rsidRPr="00E07B11">
        <w:t>d</w:t>
      </w:r>
      <w:r w:rsidR="001046B6">
        <w:t>iagnosis-related groups (AR-DRGs)</w:t>
      </w:r>
      <w:r w:rsidR="001046B6" w:rsidRPr="00E07B11">
        <w:t xml:space="preserve"> </w:t>
      </w:r>
      <w:r w:rsidRPr="004658FE">
        <w:t xml:space="preserve">to the average </w:t>
      </w:r>
      <w:r>
        <w:t xml:space="preserve">cost </w:t>
      </w:r>
      <w:r w:rsidRPr="004658FE">
        <w:t>of all episodes across all DRGs</w:t>
      </w:r>
      <w:r w:rsidR="00013B42" w:rsidRPr="004658FE">
        <w:t>.</w:t>
      </w:r>
      <w:r w:rsidR="00013B42">
        <w:t xml:space="preserve"> </w:t>
      </w:r>
      <w:r>
        <w:t xml:space="preserve">National price weights are derived once out-of-scope costs and activity are excluded, a reference (or average) cost is calculated, and model indexation rate is derived using the time series national hospital </w:t>
      </w:r>
      <w:r w:rsidRPr="007F03EF">
        <w:t>cost data collection.</w:t>
      </w:r>
    </w:p>
    <w:p w14:paraId="41784BA5" w14:textId="77777777" w:rsidR="006E73BA" w:rsidRDefault="006E73BA" w:rsidP="006E73BA">
      <w:pPr>
        <w:pStyle w:val="Body"/>
      </w:pPr>
      <w:r>
        <w:t>In 2023–24,</w:t>
      </w:r>
      <w:r w:rsidRPr="3808635B">
        <w:rPr>
          <w:lang w:val="en-US"/>
        </w:rPr>
        <w:t xml:space="preserve"> </w:t>
      </w:r>
      <w:r>
        <w:t xml:space="preserve">the national activity unit will be known as NWAU(23). </w:t>
      </w:r>
    </w:p>
    <w:p w14:paraId="2E5FD721" w14:textId="77777777" w:rsidR="00CE1470" w:rsidRPr="007F03EF" w:rsidRDefault="00CE1470" w:rsidP="00CE1470">
      <w:pPr>
        <w:pStyle w:val="Heading4nonumber"/>
        <w:numPr>
          <w:ilvl w:val="4"/>
          <w:numId w:val="0"/>
        </w:numPr>
        <w:ind w:left="964" w:hanging="964"/>
      </w:pPr>
      <w:r>
        <w:t>Adjustments</w:t>
      </w:r>
    </w:p>
    <w:p w14:paraId="2DCCC736" w14:textId="27B156DF" w:rsidR="00CE1470" w:rsidRPr="007F03EF" w:rsidRDefault="00CE1470" w:rsidP="00CE1470">
      <w:pPr>
        <w:pStyle w:val="Body"/>
      </w:pPr>
      <w:r>
        <w:t xml:space="preserve">The following adjustments to </w:t>
      </w:r>
      <w:r w:rsidR="00AE78B8">
        <w:t xml:space="preserve">NWAU </w:t>
      </w:r>
      <w:r>
        <w:t>apply as stated in the National Efficient Price Determination 2023–24:</w:t>
      </w:r>
    </w:p>
    <w:p w14:paraId="1073282D" w14:textId="67B36615" w:rsidR="00CE1470" w:rsidRPr="007F03EF" w:rsidRDefault="005D76A4" w:rsidP="00B05171">
      <w:pPr>
        <w:pStyle w:val="Bullet1"/>
      </w:pPr>
      <w:r>
        <w:t>P</w:t>
      </w:r>
      <w:r w:rsidR="00CE1470">
        <w:t>aediatric adjustment</w:t>
      </w:r>
      <w:r w:rsidR="00635E81">
        <w:t xml:space="preserve">, (admitted acute and non-admitted only) </w:t>
      </w:r>
      <w:r w:rsidR="00B05171">
        <w:t xml:space="preserve">applies </w:t>
      </w:r>
      <w:r w:rsidR="00CE1470">
        <w:t>where an activity-based funding activity is in respect of a person who is:</w:t>
      </w:r>
    </w:p>
    <w:p w14:paraId="2CD90810" w14:textId="711D9575" w:rsidR="00CE1470" w:rsidRPr="00AE6427" w:rsidRDefault="00CE1470" w:rsidP="00CE1470">
      <w:pPr>
        <w:pStyle w:val="Bullet2"/>
      </w:pPr>
      <w:r w:rsidRPr="00370A86">
        <w:t>aged up to and including 17 years</w:t>
      </w:r>
      <w:r w:rsidR="009C0288">
        <w:t xml:space="preserve">, excluding newborns and neonates </w:t>
      </w:r>
    </w:p>
    <w:p w14:paraId="1D170CC1" w14:textId="77777777" w:rsidR="00CE1470" w:rsidRPr="00AE6427" w:rsidRDefault="00CE1470" w:rsidP="00CE1470">
      <w:pPr>
        <w:pStyle w:val="Bullet2"/>
      </w:pPr>
      <w:r w:rsidRPr="00370A86">
        <w:t>is treated by a specialist children’s hospital as defined by the National Efficient Price Determination (Monash Medical Centre – Clayton Campus and The Royal Children’s Hospital only)</w:t>
      </w:r>
    </w:p>
    <w:p w14:paraId="2830E103" w14:textId="77777777" w:rsidR="00A54E53" w:rsidRPr="00507914" w:rsidRDefault="00A54E53" w:rsidP="00A54E53">
      <w:pPr>
        <w:pStyle w:val="Bullet1"/>
      </w:pPr>
      <w:r w:rsidRPr="00507914">
        <w:t xml:space="preserve">Patient residential remoteness adjustment </w:t>
      </w:r>
    </w:p>
    <w:p w14:paraId="7634EF7A" w14:textId="77777777" w:rsidR="00A54E53" w:rsidRPr="00933F53" w:rsidRDefault="00A54E53" w:rsidP="00A54E53">
      <w:pPr>
        <w:pStyle w:val="Bullet1"/>
      </w:pPr>
      <w:r w:rsidRPr="00933F53">
        <w:t xml:space="preserve">Indigenous adjustment </w:t>
      </w:r>
    </w:p>
    <w:p w14:paraId="67D40EC8" w14:textId="77777777" w:rsidR="00A54E53" w:rsidRPr="00507914" w:rsidRDefault="00A54E53" w:rsidP="00A54E53">
      <w:pPr>
        <w:pStyle w:val="Bullet1"/>
      </w:pPr>
      <w:r w:rsidRPr="00933F53">
        <w:t>Radiotherapy adjustment (admitted</w:t>
      </w:r>
      <w:r>
        <w:t xml:space="preserve"> acute</w:t>
      </w:r>
      <w:r w:rsidRPr="00507914">
        <w:t>, sub-acute and non-acute</w:t>
      </w:r>
      <w:r>
        <w:t xml:space="preserve"> </w:t>
      </w:r>
      <w:r w:rsidRPr="00507914">
        <w:t xml:space="preserve">only) </w:t>
      </w:r>
    </w:p>
    <w:p w14:paraId="4D480B69" w14:textId="77777777" w:rsidR="00A54E53" w:rsidRPr="00507914" w:rsidRDefault="00A54E53" w:rsidP="00A54E53">
      <w:pPr>
        <w:pStyle w:val="Bullet1"/>
      </w:pPr>
      <w:r w:rsidRPr="00933F53">
        <w:t xml:space="preserve">Dialysis adjustment </w:t>
      </w:r>
      <w:r>
        <w:t>(admitted acute, sub-acute and non-acute only)</w:t>
      </w:r>
    </w:p>
    <w:p w14:paraId="5FEAA58B" w14:textId="77777777" w:rsidR="00A54E53" w:rsidRPr="00507914" w:rsidRDefault="00A54E53" w:rsidP="00A54E53">
      <w:pPr>
        <w:pStyle w:val="Bullet1"/>
      </w:pPr>
      <w:r w:rsidRPr="00507914">
        <w:t xml:space="preserve">Patient </w:t>
      </w:r>
      <w:r>
        <w:t>t</w:t>
      </w:r>
      <w:r w:rsidRPr="00507914">
        <w:t xml:space="preserve">reatment remoteness area adjustment </w:t>
      </w:r>
    </w:p>
    <w:p w14:paraId="47DD9CA3" w14:textId="77777777" w:rsidR="00A54E53" w:rsidRPr="00507914" w:rsidRDefault="00A54E53" w:rsidP="00A54E53">
      <w:pPr>
        <w:pStyle w:val="Bullet1"/>
      </w:pPr>
      <w:r w:rsidRPr="00933F53">
        <w:t xml:space="preserve">COVID-19 treatment adjustment (admitted </w:t>
      </w:r>
      <w:r>
        <w:t>acute only)</w:t>
      </w:r>
    </w:p>
    <w:p w14:paraId="1BCEFC93" w14:textId="77777777" w:rsidR="00A54E53" w:rsidRPr="00507914" w:rsidRDefault="00A54E53" w:rsidP="00A54E53">
      <w:pPr>
        <w:pStyle w:val="Bullet1"/>
      </w:pPr>
      <w:r w:rsidRPr="00507914">
        <w:t>Intensive Care Unit (ICU) adjustment (</w:t>
      </w:r>
      <w:r>
        <w:t>admitted acute only)</w:t>
      </w:r>
    </w:p>
    <w:p w14:paraId="6EBC4155" w14:textId="77777777" w:rsidR="00A54E53" w:rsidRPr="00507914" w:rsidRDefault="00A54E53" w:rsidP="00A54E53">
      <w:pPr>
        <w:pStyle w:val="Bullet1"/>
      </w:pPr>
      <w:r w:rsidRPr="00507914">
        <w:t xml:space="preserve">Private </w:t>
      </w:r>
      <w:r>
        <w:t>p</w:t>
      </w:r>
      <w:r w:rsidRPr="00507914">
        <w:t xml:space="preserve">atient service adjustment </w:t>
      </w:r>
      <w:r>
        <w:t>(admitted acute, sub-acute and non-acute only)</w:t>
      </w:r>
    </w:p>
    <w:p w14:paraId="472340FB" w14:textId="77777777" w:rsidR="00A54E53" w:rsidRPr="00507914" w:rsidRDefault="00A54E53" w:rsidP="00A54E53">
      <w:pPr>
        <w:pStyle w:val="Bullet1"/>
      </w:pPr>
      <w:r w:rsidRPr="00507914">
        <w:t xml:space="preserve">Private patient </w:t>
      </w:r>
      <w:r>
        <w:t>accommodation</w:t>
      </w:r>
      <w:r w:rsidRPr="00507914">
        <w:t xml:space="preserve"> adjustment </w:t>
      </w:r>
      <w:r>
        <w:t>(admitted acute, sub-acute and non-acute only)</w:t>
      </w:r>
    </w:p>
    <w:p w14:paraId="2E80B4A0" w14:textId="77777777" w:rsidR="00A54E53" w:rsidRDefault="00A54E53" w:rsidP="00A54E53">
      <w:pPr>
        <w:pStyle w:val="Bullet1"/>
      </w:pPr>
      <w:r w:rsidRPr="6611E3F6">
        <w:t>Hospital acquired complications adjustment (admitted acute only)</w:t>
      </w:r>
    </w:p>
    <w:p w14:paraId="5B39AE55" w14:textId="2ECEA5B6" w:rsidR="0064251C" w:rsidRPr="007F03EF" w:rsidRDefault="00A54E53" w:rsidP="0064251C">
      <w:pPr>
        <w:pStyle w:val="Bullet1"/>
      </w:pPr>
      <w:r>
        <w:t>Multidisciplinary clinic adjustment (non-admitted only)</w:t>
      </w:r>
      <w:r w:rsidR="0064251C">
        <w:br/>
      </w:r>
    </w:p>
    <w:p w14:paraId="6C510B85" w14:textId="56DE77B5" w:rsidR="009560CC" w:rsidRDefault="00116799" w:rsidP="00C65BA9">
      <w:pPr>
        <w:pStyle w:val="Body"/>
      </w:pPr>
      <w:r>
        <w:t xml:space="preserve">The size of adjustments may vary by service stream. </w:t>
      </w:r>
      <w:r w:rsidR="009560CC">
        <w:t>Additional detail describing the transformation of cost parameters to price weights can be found in the</w:t>
      </w:r>
      <w:r w:rsidR="00013B42">
        <w:t xml:space="preserve"> </w:t>
      </w:r>
      <w:hyperlink r:id="rId44" w:history="1">
        <w:r w:rsidR="00013B42" w:rsidRPr="00685B35">
          <w:rPr>
            <w:rStyle w:val="Hyperlink"/>
            <w:i/>
            <w:iCs/>
          </w:rPr>
          <w:t>National pricing model technical specifications 2023–24</w:t>
        </w:r>
      </w:hyperlink>
      <w:r w:rsidR="009560CC">
        <w:t xml:space="preserve"> &lt;https://www.ihacpa.gov.au/resources/national-pricing-model-technical-specifications-2023-24&gt;.</w:t>
      </w:r>
    </w:p>
    <w:p w14:paraId="44977FAD" w14:textId="3944E050" w:rsidR="00CF1D5C" w:rsidRDefault="00B32076" w:rsidP="00081936">
      <w:pPr>
        <w:pStyle w:val="Heading4"/>
        <w:numPr>
          <w:ilvl w:val="3"/>
          <w:numId w:val="33"/>
        </w:numPr>
      </w:pPr>
      <w:r>
        <w:t>Price</w:t>
      </w:r>
      <w:r w:rsidR="00E316C2">
        <w:t xml:space="preserve"> weights</w:t>
      </w:r>
      <w:r>
        <w:t xml:space="preserve"> </w:t>
      </w:r>
    </w:p>
    <w:p w14:paraId="2D1A5CA7" w14:textId="77777777" w:rsidR="00B236F1" w:rsidRDefault="00B236F1" w:rsidP="00B236F1">
      <w:pPr>
        <w:pStyle w:val="Body"/>
      </w:pPr>
      <w:r>
        <w:t xml:space="preserve">Price weights are set using the following classification systems: </w:t>
      </w:r>
    </w:p>
    <w:p w14:paraId="67614503" w14:textId="77777777" w:rsidR="00B236F1" w:rsidRDefault="00B236F1" w:rsidP="00081936">
      <w:pPr>
        <w:pStyle w:val="Body"/>
        <w:numPr>
          <w:ilvl w:val="0"/>
          <w:numId w:val="42"/>
        </w:numPr>
      </w:pPr>
      <w:r>
        <w:t xml:space="preserve">admitted acute patients using AR-DRG V11.0  </w:t>
      </w:r>
    </w:p>
    <w:p w14:paraId="19A175D5" w14:textId="77777777" w:rsidR="00B236F1" w:rsidRDefault="00B236F1" w:rsidP="00081936">
      <w:pPr>
        <w:pStyle w:val="Body"/>
        <w:numPr>
          <w:ilvl w:val="0"/>
          <w:numId w:val="42"/>
        </w:numPr>
      </w:pPr>
      <w:r>
        <w:t>admitted subacute patients using AN-SNAP V</w:t>
      </w:r>
      <w:r w:rsidRPr="00100394">
        <w:t>4</w:t>
      </w:r>
      <w:r>
        <w:t>.0</w:t>
      </w:r>
    </w:p>
    <w:p w14:paraId="62323BE0" w14:textId="291EE66B" w:rsidR="00B236F1" w:rsidRDefault="00B236F1" w:rsidP="00081936">
      <w:pPr>
        <w:pStyle w:val="Body"/>
        <w:numPr>
          <w:ilvl w:val="0"/>
          <w:numId w:val="42"/>
        </w:numPr>
      </w:pPr>
      <w:r>
        <w:t>emergency patients using AECC V1.0 or UDG V1.3</w:t>
      </w:r>
    </w:p>
    <w:p w14:paraId="3C2FF5DD" w14:textId="705B8317" w:rsidR="00B236F1" w:rsidRDefault="00B236F1" w:rsidP="00081936">
      <w:pPr>
        <w:pStyle w:val="Body"/>
        <w:numPr>
          <w:ilvl w:val="0"/>
          <w:numId w:val="42"/>
        </w:numPr>
      </w:pPr>
      <w:r w:rsidRPr="007F03EF">
        <w:t>non-admitted patients</w:t>
      </w:r>
      <w:r>
        <w:t xml:space="preserve"> using </w:t>
      </w:r>
      <w:r w:rsidRPr="007F03EF">
        <w:t xml:space="preserve">Tier 2 </w:t>
      </w:r>
      <w:r>
        <w:t>V8</w:t>
      </w:r>
      <w:r w:rsidRPr="007F03EF">
        <w:t>.0</w:t>
      </w:r>
      <w:r w:rsidR="00847C5E">
        <w:t>.</w:t>
      </w:r>
      <w:r>
        <w:t xml:space="preserve"> </w:t>
      </w:r>
    </w:p>
    <w:p w14:paraId="2B5060B4" w14:textId="6DCFB0C6" w:rsidR="00B236F1" w:rsidRPr="00B236F1" w:rsidRDefault="00B236F1" w:rsidP="003645F1">
      <w:pPr>
        <w:pStyle w:val="Bodyafterbullets"/>
      </w:pPr>
      <w:r>
        <w:lastRenderedPageBreak/>
        <w:t xml:space="preserve">Price weights are set out in the </w:t>
      </w:r>
      <w:hyperlink r:id="rId45" w:history="1">
        <w:r w:rsidRPr="00DD3ABC">
          <w:rPr>
            <w:rStyle w:val="Hyperlink"/>
            <w:i/>
            <w:iCs/>
          </w:rPr>
          <w:t xml:space="preserve">National </w:t>
        </w:r>
        <w:r>
          <w:rPr>
            <w:rStyle w:val="Hyperlink"/>
            <w:i/>
            <w:iCs/>
          </w:rPr>
          <w:t>E</w:t>
        </w:r>
        <w:r w:rsidRPr="00DD3ABC">
          <w:rPr>
            <w:rStyle w:val="Hyperlink"/>
            <w:i/>
            <w:iCs/>
          </w:rPr>
          <w:t xml:space="preserve">fficient </w:t>
        </w:r>
        <w:r>
          <w:rPr>
            <w:rStyle w:val="Hyperlink"/>
            <w:i/>
            <w:iCs/>
          </w:rPr>
          <w:t>P</w:t>
        </w:r>
        <w:r w:rsidRPr="00DD3ABC">
          <w:rPr>
            <w:rStyle w:val="Hyperlink"/>
            <w:i/>
            <w:iCs/>
          </w:rPr>
          <w:t xml:space="preserve">rice </w:t>
        </w:r>
        <w:r>
          <w:rPr>
            <w:rStyle w:val="Hyperlink"/>
            <w:i/>
            <w:iCs/>
          </w:rPr>
          <w:t>D</w:t>
        </w:r>
        <w:r w:rsidRPr="00DD3ABC">
          <w:rPr>
            <w:rStyle w:val="Hyperlink"/>
            <w:i/>
            <w:iCs/>
          </w:rPr>
          <w:t>etermination 2023–24</w:t>
        </w:r>
      </w:hyperlink>
      <w:r w:rsidRPr="0076180E">
        <w:t xml:space="preserve"> </w:t>
      </w:r>
      <w:r>
        <w:t>&lt;</w:t>
      </w:r>
      <w:r w:rsidRPr="000E3846">
        <w:t>https://www.ihacpa.gov.au/resources/national-efficient-price-determination-2023-24</w:t>
      </w:r>
      <w:r>
        <w:t>&gt;.</w:t>
      </w:r>
    </w:p>
    <w:p w14:paraId="0381017E" w14:textId="77777777" w:rsidR="00A407D9" w:rsidRPr="005B629D" w:rsidRDefault="00A407D9" w:rsidP="00081936">
      <w:pPr>
        <w:pStyle w:val="Heading3"/>
        <w:numPr>
          <w:ilvl w:val="2"/>
          <w:numId w:val="33"/>
        </w:numPr>
        <w:ind w:left="1134"/>
      </w:pPr>
      <w:bookmarkStart w:id="141" w:name="_Toc156569612"/>
      <w:r w:rsidRPr="005B629D">
        <w:t>Pricing</w:t>
      </w:r>
      <w:bookmarkEnd w:id="141"/>
    </w:p>
    <w:p w14:paraId="0722F1CE" w14:textId="636F4264" w:rsidR="00A407D9" w:rsidRPr="005B629D" w:rsidRDefault="00A407D9" w:rsidP="00A407D9">
      <w:pPr>
        <w:pStyle w:val="Body"/>
      </w:pPr>
      <w:r w:rsidRPr="005B629D">
        <w:t xml:space="preserve">The VEP differs from the </w:t>
      </w:r>
      <w:r w:rsidR="000D626D">
        <w:t>NEP</w:t>
      </w:r>
      <w:r w:rsidRPr="005B629D">
        <w:t xml:space="preserve">. The VEP funds NWAU growth </w:t>
      </w:r>
      <w:r w:rsidR="002D2DD7">
        <w:t>in Victoria</w:t>
      </w:r>
      <w:r w:rsidR="00B56F10">
        <w:t>.</w:t>
      </w:r>
      <w:r w:rsidR="002D2DD7">
        <w:t xml:space="preserve"> </w:t>
      </w:r>
      <w:r w:rsidR="00B56F10">
        <w:t>It</w:t>
      </w:r>
      <w:r w:rsidR="00B56F10" w:rsidRPr="005B629D">
        <w:t xml:space="preserve"> </w:t>
      </w:r>
      <w:r w:rsidR="002D2DD7">
        <w:t xml:space="preserve">takes into </w:t>
      </w:r>
      <w:r w:rsidRPr="005B629D">
        <w:t>consider</w:t>
      </w:r>
      <w:r w:rsidR="002D2DD7">
        <w:t>ation</w:t>
      </w:r>
      <w:r w:rsidRPr="005B629D">
        <w:t xml:space="preserve"> other forms of funding</w:t>
      </w:r>
      <w:r w:rsidR="002D2DD7">
        <w:t xml:space="preserve"> (such as specified grants)</w:t>
      </w:r>
      <w:r w:rsidRPr="005B629D">
        <w:t>. It is not the same as the national cost per NWAU.</w:t>
      </w:r>
    </w:p>
    <w:p w14:paraId="62A313B2" w14:textId="3AFB8305" w:rsidR="00A407D9" w:rsidRPr="005B629D" w:rsidRDefault="00A407D9" w:rsidP="00A407D9">
      <w:pPr>
        <w:pStyle w:val="Body"/>
      </w:pPr>
      <w:r w:rsidRPr="005B629D">
        <w:t>The VEP can be found</w:t>
      </w:r>
      <w:r w:rsidR="00A030E3">
        <w:t xml:space="preserve"> in </w:t>
      </w:r>
      <w:r w:rsidR="00A030E3">
        <w:fldChar w:fldCharType="begin"/>
      </w:r>
      <w:r w:rsidR="00A030E3">
        <w:instrText xml:space="preserve"> REF _Ref144903720 \h </w:instrText>
      </w:r>
      <w:r w:rsidR="00A030E3">
        <w:fldChar w:fldCharType="separate"/>
      </w:r>
      <w:r w:rsidR="00892F13">
        <w:t xml:space="preserve">Table </w:t>
      </w:r>
      <w:r w:rsidR="00892F13">
        <w:rPr>
          <w:noProof/>
        </w:rPr>
        <w:t>1</w:t>
      </w:r>
      <w:r w:rsidR="00892F13">
        <w:t>.</w:t>
      </w:r>
      <w:r w:rsidR="00892F13">
        <w:rPr>
          <w:noProof/>
        </w:rPr>
        <w:t>10</w:t>
      </w:r>
      <w:r w:rsidR="00A030E3">
        <w:fldChar w:fldCharType="end"/>
      </w:r>
      <w:r w:rsidRPr="005B629D">
        <w:t xml:space="preserve"> ‘Victorian Efficient Price’ in section </w:t>
      </w:r>
      <w:r w:rsidRPr="005B629D">
        <w:fldChar w:fldCharType="begin"/>
      </w:r>
      <w:r w:rsidRPr="005B629D">
        <w:instrText xml:space="preserve"> REF _Ref77777682 \r \h </w:instrText>
      </w:r>
      <w:r w:rsidRPr="003650CF">
        <w:instrText xml:space="preserve"> \* MERGEFORMAT </w:instrText>
      </w:r>
      <w:r w:rsidRPr="005B629D">
        <w:fldChar w:fldCharType="separate"/>
      </w:r>
      <w:r w:rsidR="00892F13">
        <w:t>1.23</w:t>
      </w:r>
      <w:r w:rsidRPr="005B629D">
        <w:fldChar w:fldCharType="end"/>
      </w:r>
      <w:r w:rsidRPr="005B629D">
        <w:t xml:space="preserve"> ‘</w:t>
      </w:r>
      <w:r w:rsidR="00B56F10" w:rsidRPr="005B629D">
        <w:fldChar w:fldCharType="begin"/>
      </w:r>
      <w:r w:rsidR="00B56F10" w:rsidRPr="005B629D">
        <w:instrText xml:space="preserve"> REF _Ref70881789 \h </w:instrText>
      </w:r>
      <w:r w:rsidR="00B56F10" w:rsidRPr="003650CF">
        <w:instrText xml:space="preserve"> \* MERGEFORMAT </w:instrText>
      </w:r>
      <w:r w:rsidR="00B56F10" w:rsidRPr="005B629D">
        <w:fldChar w:fldCharType="separate"/>
      </w:r>
      <w:r w:rsidR="00892F13">
        <w:t xml:space="preserve">Price </w:t>
      </w:r>
      <w:r w:rsidR="00B56F10" w:rsidRPr="005B629D">
        <w:fldChar w:fldCharType="end"/>
      </w:r>
      <w:r w:rsidR="006557E0">
        <w:t>’</w:t>
      </w:r>
      <w:r w:rsidRPr="005B629D">
        <w:t xml:space="preserve">. </w:t>
      </w:r>
    </w:p>
    <w:p w14:paraId="4436D73D" w14:textId="4BE0D7E4" w:rsidR="00C65BA9" w:rsidRPr="00C65BA9" w:rsidRDefault="00A407D9" w:rsidP="003650CF">
      <w:pPr>
        <w:pStyle w:val="Body"/>
      </w:pPr>
      <w:r w:rsidRPr="005B629D">
        <w:t>The growth funding for demand above existing activity levels can be calculated by multiplying NWAU by the VEP for the relevant price group.</w:t>
      </w:r>
      <w:bookmarkEnd w:id="139"/>
    </w:p>
    <w:p w14:paraId="0F45C674" w14:textId="4F719275" w:rsidR="00C65BA9" w:rsidRDefault="00C65BA9" w:rsidP="00685B35">
      <w:pPr>
        <w:pStyle w:val="Heading2"/>
      </w:pPr>
      <w:bookmarkStart w:id="142" w:name="_Toc156569613"/>
      <w:r w:rsidRPr="0026034E">
        <w:lastRenderedPageBreak/>
        <w:t>A</w:t>
      </w:r>
      <w:r>
        <w:t xml:space="preserve">cute </w:t>
      </w:r>
      <w:r w:rsidR="00A01588">
        <w:t>admitted s</w:t>
      </w:r>
      <w:r w:rsidR="00A01588" w:rsidRPr="0026034E">
        <w:t>ervic</w:t>
      </w:r>
      <w:r w:rsidR="00A01588">
        <w:t>es</w:t>
      </w:r>
      <w:bookmarkEnd w:id="142"/>
    </w:p>
    <w:p w14:paraId="09B97F2D" w14:textId="3261E2C1" w:rsidR="005453CB" w:rsidRPr="00D36446" w:rsidRDefault="00D36446">
      <w:pPr>
        <w:pStyle w:val="Body"/>
      </w:pPr>
      <w:r>
        <w:t xml:space="preserve">Acute admitted care is care provided to patients who have undergone a formal admission process, where the clinical intent or treatment goal is the provision of </w:t>
      </w:r>
      <w:r w:rsidR="008D5220">
        <w:t xml:space="preserve">acute </w:t>
      </w:r>
      <w:r>
        <w:t>care (</w:t>
      </w:r>
      <w:r w:rsidR="00A7633C">
        <w:t xml:space="preserve">see section </w:t>
      </w:r>
      <w:r w:rsidR="00A7633C">
        <w:fldChar w:fldCharType="begin"/>
      </w:r>
      <w:r w:rsidR="00A7633C">
        <w:instrText xml:space="preserve"> REF _Ref77709814 \r \h </w:instrText>
      </w:r>
      <w:r w:rsidR="00A7633C">
        <w:fldChar w:fldCharType="separate"/>
      </w:r>
      <w:r w:rsidR="00892F13">
        <w:t>1.7.2</w:t>
      </w:r>
      <w:r w:rsidR="00A7633C">
        <w:fldChar w:fldCharType="end"/>
      </w:r>
      <w:r w:rsidR="00A7633C">
        <w:t xml:space="preserve"> </w:t>
      </w:r>
      <w:r w:rsidR="008D5220">
        <w:t>‘</w:t>
      </w:r>
      <w:r w:rsidR="00A01588">
        <w:fldChar w:fldCharType="begin"/>
      </w:r>
      <w:r w:rsidR="00A01588">
        <w:instrText xml:space="preserve"> REF _Ref77709814 \h </w:instrText>
      </w:r>
      <w:r w:rsidR="00A01588">
        <w:fldChar w:fldCharType="separate"/>
      </w:r>
      <w:r w:rsidR="00892F13">
        <w:t xml:space="preserve">Activity </w:t>
      </w:r>
      <w:r w:rsidR="00A01588">
        <w:fldChar w:fldCharType="end"/>
      </w:r>
      <w:r w:rsidR="00A01588">
        <w:t>’</w:t>
      </w:r>
      <w:r>
        <w:t xml:space="preserve">). </w:t>
      </w:r>
    </w:p>
    <w:p w14:paraId="539AF180" w14:textId="5D229A43" w:rsidR="009C244F" w:rsidRDefault="0F6B4C6C" w:rsidP="00081936">
      <w:pPr>
        <w:pStyle w:val="Heading3"/>
        <w:numPr>
          <w:ilvl w:val="2"/>
          <w:numId w:val="33"/>
        </w:numPr>
        <w:ind w:left="1134"/>
      </w:pPr>
      <w:bookmarkStart w:id="143" w:name="_Toc8759364"/>
      <w:bookmarkStart w:id="144" w:name="_Toc8919098"/>
      <w:bookmarkStart w:id="145" w:name="_Toc8930615"/>
      <w:bookmarkStart w:id="146" w:name="_Toc8931001"/>
      <w:bookmarkStart w:id="147" w:name="_Toc8931345"/>
      <w:bookmarkStart w:id="148" w:name="_Toc8931726"/>
      <w:bookmarkStart w:id="149" w:name="_Toc9441674"/>
      <w:bookmarkStart w:id="150" w:name="_Toc484461849"/>
      <w:bookmarkStart w:id="151" w:name="_Toc484461854"/>
      <w:bookmarkStart w:id="152" w:name="_Toc100263287"/>
      <w:bookmarkStart w:id="153" w:name="_Toc156569614"/>
      <w:bookmarkStart w:id="154" w:name="_Toc418694904"/>
      <w:bookmarkStart w:id="155" w:name="_Toc6215544"/>
      <w:bookmarkStart w:id="156" w:name="_Toc10199620"/>
      <w:bookmarkStart w:id="157" w:name="_Toc52892566"/>
      <w:bookmarkEnd w:id="143"/>
      <w:bookmarkEnd w:id="144"/>
      <w:bookmarkEnd w:id="145"/>
      <w:bookmarkEnd w:id="146"/>
      <w:bookmarkEnd w:id="147"/>
      <w:bookmarkEnd w:id="148"/>
      <w:bookmarkEnd w:id="149"/>
      <w:bookmarkEnd w:id="150"/>
      <w:bookmarkEnd w:id="151"/>
      <w:r>
        <w:t>E</w:t>
      </w:r>
      <w:r w:rsidR="16440762">
        <w:t>ligibility</w:t>
      </w:r>
      <w:bookmarkEnd w:id="152"/>
      <w:bookmarkEnd w:id="153"/>
    </w:p>
    <w:p w14:paraId="0F1E554F" w14:textId="5776783E" w:rsidR="005453CB" w:rsidRPr="00014A03" w:rsidRDefault="005453CB" w:rsidP="005453CB">
      <w:pPr>
        <w:pStyle w:val="Body"/>
      </w:pPr>
      <w:r w:rsidRPr="00974DAC">
        <w:t xml:space="preserve">Eligible facilities in scope for </w:t>
      </w:r>
      <w:r w:rsidR="00834B04">
        <w:t>activity-based funding</w:t>
      </w:r>
      <w:r w:rsidR="00834B04" w:rsidRPr="00974DAC">
        <w:t xml:space="preserve"> </w:t>
      </w:r>
      <w:r w:rsidRPr="00974DAC">
        <w:t>in the acute admitted care stream are all current health services that report to the VAED</w:t>
      </w:r>
      <w:r w:rsidR="00A01588">
        <w:t>. This excludes</w:t>
      </w:r>
      <w:r w:rsidRPr="00974DAC">
        <w:t xml:space="preserve"> health services listed </w:t>
      </w:r>
      <w:r w:rsidR="00A01588">
        <w:t>in</w:t>
      </w:r>
      <w:r w:rsidR="00A01588" w:rsidRPr="00974DAC">
        <w:t xml:space="preserve"> </w:t>
      </w:r>
      <w:r w:rsidRPr="00974DAC">
        <w:t>Appendix A of the IH</w:t>
      </w:r>
      <w:r w:rsidR="003E760A">
        <w:t>AC</w:t>
      </w:r>
      <w:r w:rsidRPr="00974DAC">
        <w:t xml:space="preserve">PA’s National Efficient Cost </w:t>
      </w:r>
      <w:r w:rsidR="0027374A">
        <w:t>D</w:t>
      </w:r>
      <w:r w:rsidR="0027374A" w:rsidRPr="00974DAC">
        <w:t>etermination</w:t>
      </w:r>
      <w:r w:rsidRPr="00974DAC">
        <w:t xml:space="preserve">. Refer to the  </w:t>
      </w:r>
      <w:hyperlink r:id="rId46" w:history="1">
        <w:r w:rsidR="00C1762A">
          <w:rPr>
            <w:rStyle w:val="Hyperlink"/>
            <w:i/>
            <w:iCs/>
          </w:rPr>
          <w:t xml:space="preserve">National </w:t>
        </w:r>
        <w:r w:rsidR="0027374A">
          <w:rPr>
            <w:rStyle w:val="Hyperlink"/>
            <w:i/>
            <w:iCs/>
          </w:rPr>
          <w:t>Efficient Cost Determinatio</w:t>
        </w:r>
        <w:r w:rsidR="00C1762A">
          <w:rPr>
            <w:rStyle w:val="Hyperlink"/>
            <w:i/>
            <w:iCs/>
          </w:rPr>
          <w:t>n</w:t>
        </w:r>
      </w:hyperlink>
      <w:r w:rsidR="00DA4826">
        <w:t xml:space="preserve"> </w:t>
      </w:r>
      <w:r w:rsidR="00120741">
        <w:t>&lt;</w:t>
      </w:r>
      <w:r w:rsidR="00A61CEF" w:rsidRPr="00A61CEF">
        <w:t>https://www.ihacpa.gov.au/health-care/pricing/national-efficient-cost-determination</w:t>
      </w:r>
      <w:r w:rsidR="00120741">
        <w:t>&gt;</w:t>
      </w:r>
      <w:r>
        <w:t>.</w:t>
      </w:r>
      <w:r w:rsidRPr="00974DAC">
        <w:t> </w:t>
      </w:r>
    </w:p>
    <w:p w14:paraId="56F5D0E3" w14:textId="76EFBB29" w:rsidR="005453CB" w:rsidRPr="008B043B" w:rsidRDefault="005453CB" w:rsidP="005453CB">
      <w:pPr>
        <w:pStyle w:val="Body"/>
      </w:pPr>
      <w:r w:rsidRPr="00D823F7">
        <w:t>All epi</w:t>
      </w:r>
      <w:r w:rsidRPr="002A2ED4">
        <w:t>sodes in VAED with the</w:t>
      </w:r>
      <w:r w:rsidRPr="003A58C1">
        <w:t xml:space="preserve"> </w:t>
      </w:r>
      <w:r w:rsidRPr="00637360">
        <w:t>care type ‘4 – Other care (</w:t>
      </w:r>
      <w:r w:rsidR="00A01588">
        <w:t>A</w:t>
      </w:r>
      <w:r w:rsidR="00A01588" w:rsidRPr="00637360">
        <w:t>cute</w:t>
      </w:r>
      <w:r w:rsidRPr="00637360">
        <w:t>), including qualified newborns’</w:t>
      </w:r>
      <w:r w:rsidRPr="008F261E">
        <w:t xml:space="preserve"> are </w:t>
      </w:r>
      <w:r>
        <w:t>NWAU</w:t>
      </w:r>
      <w:r w:rsidRPr="008F261E">
        <w:t xml:space="preserve"> fundable, except for:</w:t>
      </w:r>
    </w:p>
    <w:p w14:paraId="2F5B8456" w14:textId="77777777" w:rsidR="005453CB" w:rsidRPr="00974DAC" w:rsidRDefault="4131B593" w:rsidP="00E05C4E">
      <w:pPr>
        <w:pStyle w:val="Bullet1"/>
      </w:pPr>
      <w:r>
        <w:t>private hospital separations</w:t>
      </w:r>
    </w:p>
    <w:p w14:paraId="7561ABF6" w14:textId="16BE5F5C" w:rsidR="00455B83" w:rsidRDefault="4131B593" w:rsidP="00E05C4E">
      <w:pPr>
        <w:pStyle w:val="Bullet1"/>
      </w:pPr>
      <w:r>
        <w:t xml:space="preserve">incomplete or uncoded episodes, or episodes </w:t>
      </w:r>
      <w:r w:rsidR="7496AD8A">
        <w:t xml:space="preserve">that group to error DRGs </w:t>
      </w:r>
      <w:r w:rsidR="5D4DD5B4">
        <w:t xml:space="preserve">960Z </w:t>
      </w:r>
      <w:r>
        <w:t xml:space="preserve">Ungroupable </w:t>
      </w:r>
      <w:r w:rsidR="5D4DD5B4">
        <w:t xml:space="preserve">961Z </w:t>
      </w:r>
      <w:r>
        <w:t xml:space="preserve">Unacceptable Principal Diagnosis and </w:t>
      </w:r>
      <w:r w:rsidR="5D4DD5B4">
        <w:t xml:space="preserve">963Z </w:t>
      </w:r>
      <w:r>
        <w:t>Neonatal Diagnosis Not Consistent W Age/Weight</w:t>
      </w:r>
    </w:p>
    <w:p w14:paraId="7C1D59F8" w14:textId="1375DF81" w:rsidR="005453CB" w:rsidRPr="00974DAC" w:rsidRDefault="4131B593" w:rsidP="00E05C4E">
      <w:pPr>
        <w:pStyle w:val="Bullet1"/>
      </w:pPr>
      <w:r>
        <w:t xml:space="preserve">episodes with an account class on separation of Newborn – </w:t>
      </w:r>
      <w:r w:rsidR="00882510">
        <w:t>unqualified</w:t>
      </w:r>
      <w:r>
        <w:t xml:space="preserve">, not birth episode (NT), Victorian WorkCover Authority (WC), Ineligible non-Australian residents – not exempted from fees (XX), Armed </w:t>
      </w:r>
      <w:r w:rsidR="00882510">
        <w:t xml:space="preserve">services </w:t>
      </w:r>
      <w:r>
        <w:t xml:space="preserve">(AS), Common </w:t>
      </w:r>
      <w:r w:rsidR="00882510">
        <w:t xml:space="preserve">law recoveries </w:t>
      </w:r>
      <w:r>
        <w:t>(CL), Other compensable (OO) and Seamen (SS)</w:t>
      </w:r>
    </w:p>
    <w:p w14:paraId="0D116EBE" w14:textId="77777777" w:rsidR="005453CB" w:rsidRPr="00974DAC" w:rsidRDefault="4131B593" w:rsidP="00E05C4E">
      <w:pPr>
        <w:pStyle w:val="Bullet1"/>
      </w:pPr>
      <w:r>
        <w:t>episodes where the contract role is B (service provider hospital)</w:t>
      </w:r>
    </w:p>
    <w:p w14:paraId="70D21502" w14:textId="77777777" w:rsidR="005453CB" w:rsidRPr="00974DAC" w:rsidRDefault="4131B593" w:rsidP="00E05C4E">
      <w:pPr>
        <w:pStyle w:val="Bullet1"/>
      </w:pPr>
      <w:r>
        <w:t>episodes from hospitals not eligible for NWAU funding</w:t>
      </w:r>
    </w:p>
    <w:p w14:paraId="755FD96B" w14:textId="668EA998" w:rsidR="0057567D" w:rsidRDefault="5426217C" w:rsidP="00E05C4E">
      <w:pPr>
        <w:pStyle w:val="Bullet1"/>
      </w:pPr>
      <w:r>
        <w:t xml:space="preserve">lithotripsy </w:t>
      </w:r>
      <w:r w:rsidR="4131B593">
        <w:t xml:space="preserve">episodes unless the episode is reported by St </w:t>
      </w:r>
      <w:r w:rsidR="00A01588">
        <w:t xml:space="preserve">Vincent’s </w:t>
      </w:r>
      <w:r w:rsidR="4131B593">
        <w:t xml:space="preserve">Health, </w:t>
      </w:r>
      <w:r w:rsidR="650BAFEB">
        <w:t xml:space="preserve">Grampian’s </w:t>
      </w:r>
      <w:r w:rsidR="4131B593">
        <w:t xml:space="preserve">Health, Bendigo Health, Barwon Health, Goulburn Valley Health, The Royal </w:t>
      </w:r>
      <w:r w:rsidR="00A01588">
        <w:t xml:space="preserve">Children’s </w:t>
      </w:r>
      <w:r w:rsidR="4131B593">
        <w:t>Hospital, Mildura Base Hospital, Western Health or Mercy Health (Werribee campus only)</w:t>
      </w:r>
      <w:r w:rsidR="7C8E7BC0">
        <w:t xml:space="preserve">, where a lithotripsy </w:t>
      </w:r>
      <w:r w:rsidR="56AF8EC8">
        <w:t xml:space="preserve">episode </w:t>
      </w:r>
      <w:r w:rsidR="2EC00209">
        <w:t xml:space="preserve">is </w:t>
      </w:r>
      <w:r w:rsidR="7C8E7BC0">
        <w:t xml:space="preserve">defined </w:t>
      </w:r>
      <w:r w:rsidR="56AF8EC8">
        <w:t>as</w:t>
      </w:r>
      <w:r w:rsidR="16C209EC">
        <w:t>:</w:t>
      </w:r>
    </w:p>
    <w:p w14:paraId="1C818B9A" w14:textId="0A0D0B15" w:rsidR="00693090" w:rsidRDefault="00693090" w:rsidP="003B09AE">
      <w:pPr>
        <w:pStyle w:val="Bullet2"/>
      </w:pPr>
      <w:r>
        <w:t>n</w:t>
      </w:r>
      <w:r w:rsidRPr="00693090">
        <w:t xml:space="preserve">ot </w:t>
      </w:r>
      <w:r w:rsidR="05BA328C" w:rsidRPr="00693090">
        <w:t>group</w:t>
      </w:r>
      <w:r w:rsidR="62487DF6" w:rsidRPr="00693090">
        <w:t>ed</w:t>
      </w:r>
      <w:r w:rsidR="05BA328C" w:rsidRPr="00693090">
        <w:t xml:space="preserve"> to </w:t>
      </w:r>
      <w:r w:rsidR="5E6CD425" w:rsidRPr="00693090">
        <w:t xml:space="preserve">the following </w:t>
      </w:r>
      <w:r w:rsidR="05BA328C" w:rsidRPr="00693090">
        <w:t xml:space="preserve">adjacent </w:t>
      </w:r>
      <w:r w:rsidR="5E6CD425" w:rsidRPr="00693090">
        <w:t xml:space="preserve">DRG </w:t>
      </w:r>
      <w:r w:rsidR="05BA328C" w:rsidRPr="00693090">
        <w:t>version 1</w:t>
      </w:r>
      <w:r w:rsidR="172172A3">
        <w:t>1</w:t>
      </w:r>
      <w:r w:rsidR="05BA328C" w:rsidRPr="00693090">
        <w:t xml:space="preserve"> codes</w:t>
      </w:r>
      <w:r w:rsidR="785F6925" w:rsidRPr="00693090">
        <w:t>: L02, L03, L04, L05, L06, L07, L08, L09, L10, 801</w:t>
      </w:r>
    </w:p>
    <w:p w14:paraId="41F56641" w14:textId="4D28A750" w:rsidR="00DD6678" w:rsidRPr="00693090" w:rsidRDefault="00693090" w:rsidP="003B09AE">
      <w:pPr>
        <w:pStyle w:val="Bullet2"/>
      </w:pPr>
      <w:r>
        <w:t>t</w:t>
      </w:r>
      <w:r w:rsidR="003453BF" w:rsidRPr="00693090">
        <w:t>he princip</w:t>
      </w:r>
      <w:r w:rsidR="009A408D" w:rsidRPr="00693090">
        <w:t>al</w:t>
      </w:r>
      <w:r w:rsidR="003453BF" w:rsidRPr="00693090">
        <w:t xml:space="preserve"> diagnosis code is </w:t>
      </w:r>
      <w:r w:rsidR="007E1FFF" w:rsidRPr="00693090">
        <w:t>in the following list</w:t>
      </w:r>
      <w:r w:rsidR="009A408D" w:rsidRPr="00693090">
        <w:t xml:space="preserve">: </w:t>
      </w:r>
      <w:r w:rsidR="00EE6C28" w:rsidRPr="00693090">
        <w:t>N130, N131, N132, N133, N134, N200, N201, N202, N209, N210, N211, N218, N219, N23</w:t>
      </w:r>
      <w:r>
        <w:t>, and</w:t>
      </w:r>
    </w:p>
    <w:p w14:paraId="16DE3A7A" w14:textId="2FAE6578" w:rsidR="00A733EC" w:rsidRPr="00693090" w:rsidRDefault="00693090" w:rsidP="003B09AE">
      <w:pPr>
        <w:pStyle w:val="Bullet2"/>
      </w:pPr>
      <w:r>
        <w:t>t</w:t>
      </w:r>
      <w:r w:rsidR="00A05B29" w:rsidRPr="00693090">
        <w:t>he ESWL procedure code 3654600 is in the procedure array</w:t>
      </w:r>
    </w:p>
    <w:p w14:paraId="4247AF34" w14:textId="2A5EDC7B" w:rsidR="005453CB" w:rsidRPr="00974DAC" w:rsidRDefault="4131B593" w:rsidP="00E05C4E">
      <w:pPr>
        <w:pStyle w:val="Bullet1"/>
      </w:pPr>
      <w:r>
        <w:t>episodes that have been coded as follows – this activity has been funded through specified grants:</w:t>
      </w:r>
    </w:p>
    <w:p w14:paraId="53194358" w14:textId="55962AD0" w:rsidR="005453CB" w:rsidRPr="00693090" w:rsidRDefault="005453CB" w:rsidP="003B09AE">
      <w:pPr>
        <w:pStyle w:val="Bullet2"/>
      </w:pPr>
      <w:r w:rsidRPr="00693090">
        <w:t xml:space="preserve">include an electroconvulsive therapy code </w:t>
      </w:r>
      <w:r w:rsidR="00693090">
        <w:t>(</w:t>
      </w:r>
      <w:r w:rsidR="65089EAE" w:rsidRPr="00693090">
        <w:t>1422400 – 1422406</w:t>
      </w:r>
      <w:r w:rsidR="00693090">
        <w:t>)</w:t>
      </w:r>
    </w:p>
    <w:p w14:paraId="0B395E90" w14:textId="77777777" w:rsidR="005453CB" w:rsidRPr="00693090" w:rsidRDefault="005453CB" w:rsidP="003B09AE">
      <w:pPr>
        <w:pStyle w:val="Bullet2"/>
      </w:pPr>
      <w:r w:rsidRPr="00693090">
        <w:t>care type 4 (Acute)</w:t>
      </w:r>
    </w:p>
    <w:p w14:paraId="32ED7AC1" w14:textId="77777777" w:rsidR="005453CB" w:rsidRPr="00693090" w:rsidRDefault="005453CB" w:rsidP="003B09AE">
      <w:pPr>
        <w:pStyle w:val="Bullet2"/>
      </w:pPr>
      <w:r w:rsidRPr="00693090">
        <w:t>separated from The Royal Melbourne Hospital (campus code 1334)</w:t>
      </w:r>
    </w:p>
    <w:p w14:paraId="5B8AF9AE" w14:textId="77777777" w:rsidR="005453CB" w:rsidRPr="00693090" w:rsidRDefault="005453CB" w:rsidP="003B09AE">
      <w:pPr>
        <w:pStyle w:val="Bullet2"/>
      </w:pPr>
      <w:r w:rsidRPr="00693090">
        <w:t>funding arrangement 2 (Hub and Spoke)</w:t>
      </w:r>
    </w:p>
    <w:p w14:paraId="310D4DD2" w14:textId="00D13E22" w:rsidR="005453CB" w:rsidRPr="00693090" w:rsidRDefault="005453CB" w:rsidP="003B09AE">
      <w:pPr>
        <w:pStyle w:val="Bullet2"/>
      </w:pPr>
      <w:r w:rsidRPr="00693090">
        <w:t>contract/spoke identifier in (0010, 0011 and 0012).</w:t>
      </w:r>
    </w:p>
    <w:p w14:paraId="12CFB748" w14:textId="7CF55DBA" w:rsidR="009C244F" w:rsidRPr="008B043B" w:rsidRDefault="009C244F" w:rsidP="005453CB">
      <w:pPr>
        <w:pStyle w:val="Bodyafterbullets"/>
      </w:pPr>
      <w:r w:rsidRPr="008B043B">
        <w:t>The majority of patients in hospital will be allocated a</w:t>
      </w:r>
      <w:r>
        <w:t>n</w:t>
      </w:r>
      <w:r w:rsidRPr="008B043B">
        <w:t xml:space="preserve"> </w:t>
      </w:r>
      <w:r>
        <w:t>NWAU</w:t>
      </w:r>
      <w:r w:rsidRPr="008B043B">
        <w:t xml:space="preserve"> price weight</w:t>
      </w:r>
      <w:r w:rsidR="00C321DD">
        <w:t xml:space="preserve"> h</w:t>
      </w:r>
      <w:r w:rsidRPr="008B043B">
        <w:t xml:space="preserve">owever, </w:t>
      </w:r>
      <w:r>
        <w:t>NWAU</w:t>
      </w:r>
      <w:r w:rsidRPr="008B043B">
        <w:t xml:space="preserve"> cannot be calculated for incomplete or uncoded episodes. </w:t>
      </w:r>
    </w:p>
    <w:p w14:paraId="10DA603C" w14:textId="04261854" w:rsidR="00155961" w:rsidRDefault="5FD34B1C" w:rsidP="00081936">
      <w:pPr>
        <w:pStyle w:val="Heading3"/>
        <w:numPr>
          <w:ilvl w:val="2"/>
          <w:numId w:val="33"/>
        </w:numPr>
        <w:ind w:left="1134"/>
      </w:pPr>
      <w:bookmarkStart w:id="158" w:name="_Toc100263288"/>
      <w:bookmarkStart w:id="159" w:name="_Toc156569615"/>
      <w:bookmarkStart w:id="160" w:name="_Toc77588909"/>
      <w:r>
        <w:t xml:space="preserve">Business </w:t>
      </w:r>
      <w:bookmarkEnd w:id="158"/>
      <w:r w:rsidR="00A01588">
        <w:t>rules</w:t>
      </w:r>
      <w:bookmarkEnd w:id="159"/>
    </w:p>
    <w:p w14:paraId="0CCEE15F" w14:textId="0B861E32" w:rsidR="003570AC" w:rsidRDefault="003570AC" w:rsidP="003570AC">
      <w:pPr>
        <w:pStyle w:val="Body"/>
      </w:pPr>
      <w:r>
        <w:t xml:space="preserve">Eligible admitted episodes must satisfy the criteria for admission, as specified in the </w:t>
      </w:r>
      <w:hyperlink r:id="rId47" w:history="1">
        <w:r w:rsidR="00693090" w:rsidRPr="00AE6427">
          <w:rPr>
            <w:rStyle w:val="Hyperlink"/>
            <w:i/>
            <w:iCs/>
          </w:rPr>
          <w:t>VAED</w:t>
        </w:r>
        <w:r w:rsidR="00524363" w:rsidRPr="00AE6427">
          <w:rPr>
            <w:rStyle w:val="Hyperlink"/>
            <w:i/>
            <w:iCs/>
          </w:rPr>
          <w:t>:</w:t>
        </w:r>
        <w:r w:rsidRPr="00524363">
          <w:rPr>
            <w:rStyle w:val="Hyperlink"/>
            <w:i/>
            <w:iCs/>
          </w:rPr>
          <w:t xml:space="preserve"> </w:t>
        </w:r>
        <w:r w:rsidR="00693090" w:rsidRPr="00524363">
          <w:rPr>
            <w:rStyle w:val="Hyperlink"/>
            <w:i/>
            <w:iCs/>
          </w:rPr>
          <w:t xml:space="preserve">Criteria </w:t>
        </w:r>
        <w:r w:rsidRPr="00524363">
          <w:rPr>
            <w:rStyle w:val="Hyperlink"/>
            <w:i/>
            <w:iCs/>
          </w:rPr>
          <w:t xml:space="preserve">for reporting </w:t>
        </w:r>
      </w:hyperlink>
      <w:r w:rsidRPr="00866336">
        <w:t>&lt;</w:t>
      </w:r>
      <w:r w:rsidR="00375371" w:rsidRPr="00375371">
        <w:t>https://www.health.vic.gov.au/data-reporting/victorian-admitted-episodes-dataset</w:t>
      </w:r>
      <w:r w:rsidRPr="00866336">
        <w:t>&gt;.</w:t>
      </w:r>
    </w:p>
    <w:p w14:paraId="3D2CD88B" w14:textId="107C54D3" w:rsidR="00D36446" w:rsidRDefault="00D36446" w:rsidP="00D47072">
      <w:pPr>
        <w:pStyle w:val="sub"/>
      </w:pPr>
      <w:r>
        <w:lastRenderedPageBreak/>
        <w:t>Patient classification</w:t>
      </w:r>
    </w:p>
    <w:p w14:paraId="3F7EBDF2" w14:textId="7112A04D" w:rsidR="00D36446" w:rsidRPr="00E07B11" w:rsidRDefault="00D36446" w:rsidP="00D36446">
      <w:pPr>
        <w:pStyle w:val="Body"/>
      </w:pPr>
      <w:r>
        <w:t>AR-DRGs</w:t>
      </w:r>
      <w:r w:rsidRPr="00E07B11">
        <w:t xml:space="preserve"> are a method of classifying treated patients with similar clinical conditions and similar levels of resource use. In particular, the objectives of the </w:t>
      </w:r>
      <w:r>
        <w:t>AR-</w:t>
      </w:r>
      <w:r w:rsidRPr="00E07B11">
        <w:t>DRG classification</w:t>
      </w:r>
      <w:r w:rsidR="003D1E4E">
        <w:t>s</w:t>
      </w:r>
      <w:r w:rsidRPr="00E07B11">
        <w:t xml:space="preserve"> are:</w:t>
      </w:r>
    </w:p>
    <w:p w14:paraId="7C49B152" w14:textId="037063A1" w:rsidR="00D36446" w:rsidRPr="00E07B11" w:rsidRDefault="5426217C" w:rsidP="00E05C4E">
      <w:pPr>
        <w:pStyle w:val="Bullet1"/>
      </w:pPr>
      <w:r>
        <w:t>e</w:t>
      </w:r>
      <w:r w:rsidR="632F672A">
        <w:t>ach AR-DRG is clinically meaningful – the diagnostic clusters must be accepted by clinicians and must be similar for episodes within the AR-DRG</w:t>
      </w:r>
    </w:p>
    <w:p w14:paraId="322490C6" w14:textId="09AAC50C" w:rsidR="00D36446" w:rsidRPr="00E07B11" w:rsidRDefault="5426217C" w:rsidP="00E05C4E">
      <w:pPr>
        <w:pStyle w:val="Bullet1"/>
      </w:pPr>
      <w:r>
        <w:t xml:space="preserve">each </w:t>
      </w:r>
      <w:r w:rsidR="632F672A">
        <w:t>AR-DRG is resource homogeneous – the type of resources used, and their amount, should be similar for episodes within the AR-DRG</w:t>
      </w:r>
    </w:p>
    <w:p w14:paraId="3FD2CAAE" w14:textId="7756219E" w:rsidR="00D36446" w:rsidRPr="00E07B11" w:rsidRDefault="5426217C" w:rsidP="00E05C4E">
      <w:pPr>
        <w:pStyle w:val="Bullet1"/>
      </w:pPr>
      <w:r>
        <w:t xml:space="preserve">within </w:t>
      </w:r>
      <w:r w:rsidR="632F672A">
        <w:t>each AR-DRG, the specific diagnostic episodes should ‘map’ to that DRG alone and not to multiple possible AR-DRGs.</w:t>
      </w:r>
    </w:p>
    <w:p w14:paraId="7FB6D5CC" w14:textId="3330ACF1" w:rsidR="00693090" w:rsidRDefault="00D36446" w:rsidP="00693090">
      <w:pPr>
        <w:pStyle w:val="Bodyafterbullets"/>
      </w:pPr>
      <w:r>
        <w:t>T</w:t>
      </w:r>
      <w:r w:rsidRPr="00E07B11">
        <w:t>he AR-DRG classification incorporates</w:t>
      </w:r>
      <w:r>
        <w:rPr>
          <w:i/>
          <w:iCs/>
        </w:rPr>
        <w:t xml:space="preserve"> </w:t>
      </w:r>
      <w:r w:rsidRPr="00D365A2">
        <w:t>the</w:t>
      </w:r>
      <w:r>
        <w:t xml:space="preserve"> </w:t>
      </w:r>
      <w:r w:rsidR="00693090">
        <w:rPr>
          <w:i/>
          <w:iCs/>
        </w:rPr>
        <w:t>I</w:t>
      </w:r>
      <w:r w:rsidR="00693090" w:rsidRPr="4DDFA079">
        <w:rPr>
          <w:i/>
          <w:iCs/>
        </w:rPr>
        <w:t>nternational statistical classification of diseases and related health problems</w:t>
      </w:r>
      <w:r>
        <w:t>, 10th revision, Australian Modification (ICD-10-AM), Australian Classification of Health Interventions (ACHI), Australian Coding Standards (ACS) collectively known as ICD-10-AM/ACHI/ACS</w:t>
      </w:r>
      <w:r w:rsidR="122DC1FC">
        <w:t>.</w:t>
      </w:r>
      <w:r>
        <w:t xml:space="preserve"> </w:t>
      </w:r>
    </w:p>
    <w:p w14:paraId="30769DBC" w14:textId="5DB9F5A6" w:rsidR="00D36446" w:rsidRDefault="00D36446" w:rsidP="00693090">
      <w:pPr>
        <w:pStyle w:val="Body"/>
      </w:pPr>
      <w:r w:rsidRPr="007F03EF">
        <w:t xml:space="preserve">The AR-DRG classification is continuously updated nationally, with AR-DRG Version </w:t>
      </w:r>
      <w:r>
        <w:t>1</w:t>
      </w:r>
      <w:r w:rsidR="2D98B3EF">
        <w:t>1</w:t>
      </w:r>
      <w:r w:rsidRPr="007F03EF">
        <w:t>.0 (AR-</w:t>
      </w:r>
      <w:r>
        <w:t>DRG1</w:t>
      </w:r>
      <w:r w:rsidR="3482D7BA">
        <w:t>1</w:t>
      </w:r>
      <w:r w:rsidRPr="007F03EF">
        <w:t>.0) being the latest available version. Victoria will use AR-</w:t>
      </w:r>
      <w:r>
        <w:t>DRG1</w:t>
      </w:r>
      <w:r w:rsidR="0A5720D1">
        <w:t>1</w:t>
      </w:r>
      <w:r w:rsidRPr="007F03EF">
        <w:t xml:space="preserve">.0 for funding purposes in </w:t>
      </w:r>
      <w:r w:rsidR="002E7EEF">
        <w:t>202</w:t>
      </w:r>
      <w:r w:rsidR="0BA2DDA2">
        <w:t>3</w:t>
      </w:r>
      <w:r w:rsidR="00693090">
        <w:t>–</w:t>
      </w:r>
      <w:r w:rsidR="002E7EEF">
        <w:t>2</w:t>
      </w:r>
      <w:r w:rsidR="7D26FD36">
        <w:t>4</w:t>
      </w:r>
      <w:r w:rsidRPr="007F03EF">
        <w:t>.</w:t>
      </w:r>
    </w:p>
    <w:p w14:paraId="57C00843" w14:textId="457D6F5B" w:rsidR="000B27B9" w:rsidRPr="005A1602" w:rsidRDefault="5F235F04" w:rsidP="00081936">
      <w:pPr>
        <w:pStyle w:val="Heading3"/>
        <w:numPr>
          <w:ilvl w:val="2"/>
          <w:numId w:val="33"/>
        </w:numPr>
        <w:spacing w:before="240"/>
        <w:ind w:left="1134"/>
      </w:pPr>
      <w:bookmarkStart w:id="161" w:name="_Toc484461856"/>
      <w:bookmarkStart w:id="162" w:name="_Toc6215546"/>
      <w:bookmarkStart w:id="163" w:name="_Toc10199622"/>
      <w:bookmarkStart w:id="164" w:name="_Toc52892568"/>
      <w:bookmarkStart w:id="165" w:name="_Toc100263291"/>
      <w:bookmarkStart w:id="166" w:name="_Toc156569616"/>
      <w:bookmarkEnd w:id="154"/>
      <w:bookmarkEnd w:id="155"/>
      <w:bookmarkEnd w:id="156"/>
      <w:bookmarkEnd w:id="157"/>
      <w:bookmarkEnd w:id="160"/>
      <w:bookmarkEnd w:id="161"/>
      <w:r>
        <w:t xml:space="preserve">Transport </w:t>
      </w:r>
      <w:r w:rsidR="00B86D2C">
        <w:t>s</w:t>
      </w:r>
      <w:r>
        <w:t xml:space="preserve">upplement to </w:t>
      </w:r>
      <w:r w:rsidR="00B86D2C">
        <w:t xml:space="preserve">health </w:t>
      </w:r>
      <w:bookmarkEnd w:id="162"/>
      <w:bookmarkEnd w:id="163"/>
      <w:bookmarkEnd w:id="164"/>
      <w:bookmarkEnd w:id="165"/>
      <w:r w:rsidR="00B86D2C">
        <w:t>services</w:t>
      </w:r>
      <w:bookmarkEnd w:id="166"/>
    </w:p>
    <w:p w14:paraId="7D09D671" w14:textId="5CCB060E" w:rsidR="000B27B9" w:rsidRPr="007F03EF" w:rsidRDefault="000B27B9" w:rsidP="00B92CD4">
      <w:pPr>
        <w:pStyle w:val="Body"/>
      </w:pPr>
      <w:r>
        <w:t xml:space="preserve">Ensuring patients have access to the right service can result in some patients being transported to another health service for their care. Decisions to transport patients are based on clinical </w:t>
      </w:r>
      <w:r w:rsidRPr="007F03EF">
        <w:t>factors</w:t>
      </w:r>
      <w:r w:rsidR="00B86D2C">
        <w:t>.</w:t>
      </w:r>
      <w:r w:rsidR="00B86D2C" w:rsidRPr="007F03EF">
        <w:t xml:space="preserve"> </w:t>
      </w:r>
      <w:r w:rsidR="00B86D2C">
        <w:t>F</w:t>
      </w:r>
      <w:r w:rsidRPr="007F03EF">
        <w:t>unding approaches</w:t>
      </w:r>
      <w:r w:rsidR="00B86D2C">
        <w:t xml:space="preserve"> should</w:t>
      </w:r>
      <w:r w:rsidRPr="007F03EF">
        <w:t xml:space="preserve"> support the appropriate decisions being made.</w:t>
      </w:r>
    </w:p>
    <w:p w14:paraId="7D74A0A9" w14:textId="32AECB4A" w:rsidR="000B27B9" w:rsidRPr="007F03EF" w:rsidRDefault="54BD59B0" w:rsidP="00C579D0">
      <w:pPr>
        <w:pStyle w:val="Body"/>
      </w:pPr>
      <w:r>
        <w:t xml:space="preserve">The department will continue to provide a funding supplement for those services with significantly higher than average costs for the provision of transport services. </w:t>
      </w:r>
    </w:p>
    <w:p w14:paraId="7E447E15" w14:textId="19A0D832" w:rsidR="000B27B9" w:rsidRPr="007F03EF" w:rsidRDefault="000B27B9" w:rsidP="00B92CD4">
      <w:pPr>
        <w:pStyle w:val="Body"/>
      </w:pPr>
      <w:r w:rsidRPr="007F03EF">
        <w:t xml:space="preserve">Health services are also encouraged to consider strategies </w:t>
      </w:r>
      <w:r w:rsidR="00B86D2C">
        <w:t>to reduce</w:t>
      </w:r>
      <w:r w:rsidRPr="007F03EF">
        <w:t xml:space="preserve"> inappropriate costs associated with patient transport.</w:t>
      </w:r>
    </w:p>
    <w:p w14:paraId="24A5F43A" w14:textId="3AA3CA2B" w:rsidR="000B27B9" w:rsidRPr="007F03EF" w:rsidRDefault="5F235F04" w:rsidP="00081936">
      <w:pPr>
        <w:pStyle w:val="Heading3"/>
        <w:numPr>
          <w:ilvl w:val="2"/>
          <w:numId w:val="33"/>
        </w:numPr>
        <w:spacing w:before="240"/>
        <w:ind w:left="1134"/>
      </w:pPr>
      <w:bookmarkStart w:id="167" w:name="_Toc484461859"/>
      <w:bookmarkStart w:id="168" w:name="_Toc6215547"/>
      <w:bookmarkStart w:id="169" w:name="_Toc10199623"/>
      <w:bookmarkStart w:id="170" w:name="_Toc52892569"/>
      <w:bookmarkStart w:id="171" w:name="_Toc100263292"/>
      <w:bookmarkStart w:id="172" w:name="_Toc156569617"/>
      <w:bookmarkEnd w:id="167"/>
      <w:r>
        <w:t xml:space="preserve">Interpreter </w:t>
      </w:r>
      <w:r w:rsidR="00B86D2C">
        <w:t xml:space="preserve">supplement </w:t>
      </w:r>
      <w:r>
        <w:t xml:space="preserve">to </w:t>
      </w:r>
      <w:r w:rsidR="00B86D2C">
        <w:t xml:space="preserve">health </w:t>
      </w:r>
      <w:bookmarkEnd w:id="168"/>
      <w:bookmarkEnd w:id="169"/>
      <w:bookmarkEnd w:id="170"/>
      <w:bookmarkEnd w:id="171"/>
      <w:r w:rsidR="00B86D2C">
        <w:t>services</w:t>
      </w:r>
      <w:bookmarkEnd w:id="172"/>
    </w:p>
    <w:p w14:paraId="0D970DA5" w14:textId="77777777" w:rsidR="000B27B9" w:rsidRPr="007F03EF" w:rsidRDefault="000B27B9" w:rsidP="00B92CD4">
      <w:pPr>
        <w:pStyle w:val="Body"/>
      </w:pPr>
      <w:r w:rsidRPr="007F03EF">
        <w:t>Departmental policy requires health services to provide professional interpreting and translating services for people who speak limited or no English when making significant health decisions.</w:t>
      </w:r>
    </w:p>
    <w:p w14:paraId="14771433" w14:textId="43554F8F" w:rsidR="000B27B9" w:rsidRDefault="000B27B9" w:rsidP="00416A28">
      <w:pPr>
        <w:pStyle w:val="Body"/>
      </w:pPr>
      <w:r w:rsidRPr="007F03EF">
        <w:t xml:space="preserve">The </w:t>
      </w:r>
      <w:r w:rsidR="00DF2799" w:rsidRPr="007F03EF">
        <w:t>d</w:t>
      </w:r>
      <w:r w:rsidRPr="007F03EF">
        <w:t xml:space="preserve">epartment will continue to provide a funding supplement for those services with significantly </w:t>
      </w:r>
      <w:r w:rsidR="1F495EEE">
        <w:t xml:space="preserve">higher than average costs for the provision of interpreter services. </w:t>
      </w:r>
    </w:p>
    <w:p w14:paraId="374EB1F5" w14:textId="17658123" w:rsidR="000B27B9" w:rsidRPr="004C3622" w:rsidRDefault="5F235F04" w:rsidP="00081936">
      <w:pPr>
        <w:pStyle w:val="Heading3"/>
        <w:numPr>
          <w:ilvl w:val="2"/>
          <w:numId w:val="33"/>
        </w:numPr>
        <w:spacing w:before="240"/>
        <w:ind w:left="1134"/>
      </w:pPr>
      <w:bookmarkStart w:id="173" w:name="_Toc484461861"/>
      <w:bookmarkStart w:id="174" w:name="_Toc418694909"/>
      <w:bookmarkStart w:id="175" w:name="_Toc6215548"/>
      <w:bookmarkStart w:id="176" w:name="_Toc10199624"/>
      <w:bookmarkStart w:id="177" w:name="_Toc52892570"/>
      <w:bookmarkStart w:id="178" w:name="_Toc100263293"/>
      <w:bookmarkStart w:id="179" w:name="_Toc156569618"/>
      <w:bookmarkEnd w:id="173"/>
      <w:r>
        <w:t>Hospital in the Home</w:t>
      </w:r>
      <w:bookmarkEnd w:id="174"/>
      <w:bookmarkEnd w:id="175"/>
      <w:bookmarkEnd w:id="176"/>
      <w:bookmarkEnd w:id="177"/>
      <w:bookmarkEnd w:id="178"/>
      <w:bookmarkEnd w:id="179"/>
    </w:p>
    <w:p w14:paraId="638FD2D9" w14:textId="5A7CDC32" w:rsidR="002650CA" w:rsidRDefault="002650CA" w:rsidP="002650CA">
      <w:pPr>
        <w:pStyle w:val="Body"/>
        <w:rPr>
          <w:highlight w:val="yellow"/>
        </w:rPr>
      </w:pPr>
      <w:r>
        <w:t>Admitted care provided to patients at home is seen as equivalent to in-hospital care. Patients treated through HITH are funded through NWAU. HITH patients are identified through changes in accommodation type</w:t>
      </w:r>
      <w:r w:rsidR="00B4019C" w:rsidRPr="00FE7E8C">
        <w:t>.</w:t>
      </w:r>
    </w:p>
    <w:p w14:paraId="7E7C37AD" w14:textId="10529737" w:rsidR="002650CA" w:rsidRDefault="002650CA" w:rsidP="002650CA">
      <w:pPr>
        <w:pStyle w:val="Body"/>
      </w:pPr>
      <w:r>
        <w:t xml:space="preserve">HITH patients must fulfil the criteria for admission as per the </w:t>
      </w:r>
      <w:hyperlink r:id="rId48" w:history="1">
        <w:r w:rsidR="00524363">
          <w:rPr>
            <w:rStyle w:val="Hyperlink"/>
            <w:i/>
          </w:rPr>
          <w:t>VAED: C</w:t>
        </w:r>
        <w:r w:rsidR="00524363" w:rsidRPr="00552EFD">
          <w:rPr>
            <w:rStyle w:val="Hyperlink"/>
            <w:i/>
          </w:rPr>
          <w:t xml:space="preserve">riteria for reporting </w:t>
        </w:r>
      </w:hyperlink>
      <w:r w:rsidR="003570AC" w:rsidRPr="00866336">
        <w:t>&lt;</w:t>
      </w:r>
      <w:r w:rsidR="003570AC" w:rsidRPr="00731E13">
        <w:t>https://</w:t>
      </w:r>
      <w:r w:rsidR="00DD2AAC" w:rsidRPr="00DD2AAC">
        <w:t>www</w:t>
      </w:r>
      <w:r w:rsidR="003570AC" w:rsidRPr="00731E13">
        <w:t>.health.vic.gov.au/data-reporting/</w:t>
      </w:r>
      <w:r w:rsidR="00DD2AAC" w:rsidRPr="00DD2AAC">
        <w:t>victorian-admitted-episodes-dataset</w:t>
      </w:r>
      <w:r w:rsidR="003570AC" w:rsidRPr="00866336">
        <w:t>&gt;.</w:t>
      </w:r>
      <w:r>
        <w:t xml:space="preserve"> HITH activity is reported to the VAED. Client consent to HITH treatment must be obtained</w:t>
      </w:r>
      <w:r w:rsidR="00B86D2C">
        <w:t>. The health record must contain d</w:t>
      </w:r>
      <w:r>
        <w:t>ocumentation to support the HITH episode being a direct substitution for in-hospital NWAU-funded acute care.</w:t>
      </w:r>
    </w:p>
    <w:p w14:paraId="30763D28" w14:textId="77777777" w:rsidR="00954BFF" w:rsidRDefault="002650CA" w:rsidP="00954BFF">
      <w:pPr>
        <w:pStyle w:val="Body"/>
      </w:pPr>
      <w:r>
        <w:t xml:space="preserve">HITH separations and bed days are included in the </w:t>
      </w:r>
      <w:r w:rsidR="00A27956" w:rsidRPr="00954BFF">
        <w:t xml:space="preserve">Program report </w:t>
      </w:r>
      <w:r w:rsidRPr="00954BFF">
        <w:t xml:space="preserve">for </w:t>
      </w:r>
      <w:r w:rsidR="00A27956" w:rsidRPr="00954BFF">
        <w:t>integrated service monitoring</w:t>
      </w:r>
      <w:r w:rsidR="00A27956">
        <w:t xml:space="preserve"> </w:t>
      </w:r>
      <w:r>
        <w:t>(PRISM) reports sent to chief executive officers to enable benchmarking against other health services, particularly in relation to the percentage of multiday separations managed by HITH. Health services are encouraged to investigate opportunities to use HITH as a substitute for in-hospital acute admitted care</w:t>
      </w:r>
      <w:r w:rsidR="000B27B9" w:rsidRPr="00CB04B6">
        <w:t>.</w:t>
      </w:r>
      <w:bookmarkStart w:id="180" w:name="_Toc100263294"/>
    </w:p>
    <w:p w14:paraId="227F8A20" w14:textId="1C34CBAC" w:rsidR="000D02B0" w:rsidRDefault="0F6B4C6C" w:rsidP="00685B35">
      <w:pPr>
        <w:pStyle w:val="Heading2"/>
      </w:pPr>
      <w:bookmarkStart w:id="181" w:name="_Toc156569619"/>
      <w:r>
        <w:lastRenderedPageBreak/>
        <w:t xml:space="preserve">Subacute </w:t>
      </w:r>
      <w:r w:rsidR="00B86D2C">
        <w:t xml:space="preserve">admitted </w:t>
      </w:r>
      <w:bookmarkEnd w:id="180"/>
      <w:r w:rsidR="00B86D2C">
        <w:t>services</w:t>
      </w:r>
      <w:bookmarkEnd w:id="181"/>
    </w:p>
    <w:p w14:paraId="1EBEDACE" w14:textId="114BF95B" w:rsidR="000D02B0" w:rsidRDefault="002650CA" w:rsidP="000D02B0">
      <w:pPr>
        <w:pStyle w:val="Body"/>
      </w:pPr>
      <w:r w:rsidRPr="00A531D9">
        <w:t>Subacute admitted care is care provided to patients who have undergone a formal admission process, where the clinical intent or treatment goal is the provision of subacute care</w:t>
      </w:r>
      <w:r w:rsidR="000D02B0" w:rsidRPr="00A531D9">
        <w:t xml:space="preserve"> </w:t>
      </w:r>
      <w:r w:rsidR="00A7633C">
        <w:t xml:space="preserve">(see section </w:t>
      </w:r>
      <w:r w:rsidR="00A7633C">
        <w:fldChar w:fldCharType="begin"/>
      </w:r>
      <w:r w:rsidR="00A7633C">
        <w:instrText xml:space="preserve"> REF _Ref77709814 \r \h </w:instrText>
      </w:r>
      <w:r w:rsidR="00A7633C">
        <w:fldChar w:fldCharType="separate"/>
      </w:r>
      <w:r w:rsidR="00892F13">
        <w:t>1.7.2</w:t>
      </w:r>
      <w:r w:rsidR="00A7633C">
        <w:fldChar w:fldCharType="end"/>
      </w:r>
      <w:r w:rsidR="00A7633C">
        <w:t xml:space="preserve"> </w:t>
      </w:r>
      <w:r w:rsidR="00524363">
        <w:t>‘</w:t>
      </w:r>
      <w:r w:rsidR="00B86D2C">
        <w:fldChar w:fldCharType="begin"/>
      </w:r>
      <w:r w:rsidR="00B86D2C">
        <w:instrText xml:space="preserve"> REF _Ref77709814 \h </w:instrText>
      </w:r>
      <w:r w:rsidR="00B86D2C">
        <w:fldChar w:fldCharType="separate"/>
      </w:r>
      <w:r w:rsidR="00892F13">
        <w:t xml:space="preserve">Activity </w:t>
      </w:r>
      <w:r w:rsidR="00B86D2C">
        <w:fldChar w:fldCharType="end"/>
      </w:r>
      <w:r w:rsidR="00B86D2C">
        <w:t>’</w:t>
      </w:r>
      <w:r w:rsidR="00A7633C">
        <w:t>)</w:t>
      </w:r>
      <w:r w:rsidR="000D02B0">
        <w:t>.</w:t>
      </w:r>
    </w:p>
    <w:p w14:paraId="68132897" w14:textId="77777777" w:rsidR="000D02B0" w:rsidRDefault="000D02B0" w:rsidP="00081936">
      <w:pPr>
        <w:pStyle w:val="Heading3"/>
        <w:numPr>
          <w:ilvl w:val="2"/>
          <w:numId w:val="33"/>
        </w:numPr>
        <w:ind w:left="1134"/>
      </w:pPr>
      <w:bookmarkStart w:id="182" w:name="_Toc100263295"/>
      <w:bookmarkStart w:id="183" w:name="_Toc156569620"/>
      <w:r>
        <w:t>Eligibility</w:t>
      </w:r>
      <w:bookmarkEnd w:id="182"/>
      <w:bookmarkEnd w:id="183"/>
    </w:p>
    <w:p w14:paraId="3C681CDF" w14:textId="7F0094CB" w:rsidR="008B19E4" w:rsidRPr="006A1D9B" w:rsidRDefault="008B19E4" w:rsidP="006A1D9B">
      <w:pPr>
        <w:pStyle w:val="Body"/>
      </w:pPr>
      <w:r w:rsidRPr="006A1D9B">
        <w:t xml:space="preserve">Eligible facilities in scope for </w:t>
      </w:r>
      <w:r w:rsidR="00B34795">
        <w:t>activity-based funding</w:t>
      </w:r>
      <w:r w:rsidR="00B34795" w:rsidRPr="006A1D9B">
        <w:t xml:space="preserve"> </w:t>
      </w:r>
      <w:r w:rsidRPr="006A1D9B">
        <w:t xml:space="preserve">in the subacute admitted care stream are all </w:t>
      </w:r>
      <w:r w:rsidR="006A1D9B">
        <w:t xml:space="preserve">public </w:t>
      </w:r>
      <w:r w:rsidRPr="006A1D9B">
        <w:t xml:space="preserve">health services that report to the VAED – subject to the subacute capability framework referenced in section </w:t>
      </w:r>
      <w:r w:rsidRPr="006A1D9B">
        <w:fldChar w:fldCharType="begin"/>
      </w:r>
      <w:r w:rsidRPr="006A1D9B">
        <w:instrText xml:space="preserve"> REF _Ref77700449 \r \h </w:instrText>
      </w:r>
      <w:r w:rsidR="006A1D9B">
        <w:instrText xml:space="preserve"> \* MERGEFORMAT </w:instrText>
      </w:r>
      <w:r w:rsidRPr="006A1D9B">
        <w:fldChar w:fldCharType="separate"/>
      </w:r>
      <w:r w:rsidR="00892F13">
        <w:t>1.10.2</w:t>
      </w:r>
      <w:r w:rsidRPr="006A1D9B">
        <w:fldChar w:fldCharType="end"/>
      </w:r>
      <w:r w:rsidRPr="006A1D9B">
        <w:t xml:space="preserve"> </w:t>
      </w:r>
      <w:r w:rsidR="001248C4">
        <w:t>‘</w:t>
      </w:r>
      <w:r w:rsidRPr="006A1D9B">
        <w:fldChar w:fldCharType="begin"/>
      </w:r>
      <w:r w:rsidRPr="006A1D9B">
        <w:instrText xml:space="preserve"> REF _Ref77700449 \h </w:instrText>
      </w:r>
      <w:r w:rsidR="006A1D9B">
        <w:instrText xml:space="preserve"> \* MERGEFORMAT </w:instrText>
      </w:r>
      <w:r w:rsidRPr="006A1D9B">
        <w:fldChar w:fldCharType="separate"/>
      </w:r>
      <w:r w:rsidR="00892F13">
        <w:t xml:space="preserve">Business </w:t>
      </w:r>
      <w:r w:rsidRPr="006A1D9B">
        <w:fldChar w:fldCharType="end"/>
      </w:r>
      <w:r w:rsidR="00A57221">
        <w:t>rules</w:t>
      </w:r>
      <w:r w:rsidR="001248C4">
        <w:t>’</w:t>
      </w:r>
      <w:r w:rsidRPr="006A1D9B">
        <w:t>.</w:t>
      </w:r>
    </w:p>
    <w:p w14:paraId="2AD9CE44" w14:textId="072548D7" w:rsidR="000D02B0" w:rsidRDefault="000D02B0" w:rsidP="00225202">
      <w:pPr>
        <w:pStyle w:val="Body"/>
      </w:pPr>
      <w:r>
        <w:t>Funding for subacute admitted services is based on episode</w:t>
      </w:r>
      <w:r w:rsidRPr="004005DD">
        <w:t xml:space="preserve">s for eligible care types. </w:t>
      </w:r>
      <w:r w:rsidR="007914BD">
        <w:t>The following national care types are in scope:</w:t>
      </w:r>
    </w:p>
    <w:p w14:paraId="03A25855" w14:textId="49066CF0" w:rsidR="007914BD" w:rsidRDefault="3FDFFB89" w:rsidP="00E05C4E">
      <w:pPr>
        <w:pStyle w:val="Bullet1"/>
      </w:pPr>
      <w:r>
        <w:t>rehabilitation</w:t>
      </w:r>
    </w:p>
    <w:p w14:paraId="2B7D22F8" w14:textId="7C7A500E" w:rsidR="007914BD" w:rsidRDefault="3FDFFB89" w:rsidP="00E05C4E">
      <w:pPr>
        <w:pStyle w:val="Bullet1"/>
      </w:pPr>
      <w:r>
        <w:t xml:space="preserve">geriatric </w:t>
      </w:r>
      <w:r w:rsidR="55F5B9FD">
        <w:t>evaluation and management</w:t>
      </w:r>
      <w:r w:rsidR="03E84EDA">
        <w:t xml:space="preserve"> </w:t>
      </w:r>
    </w:p>
    <w:p w14:paraId="36213FAA" w14:textId="168E0F81" w:rsidR="007914BD" w:rsidRDefault="3FDFFB89" w:rsidP="00E05C4E">
      <w:pPr>
        <w:pStyle w:val="Bullet1"/>
      </w:pPr>
      <w:r>
        <w:t xml:space="preserve">palliative </w:t>
      </w:r>
      <w:r w:rsidR="55F5B9FD">
        <w:t>care</w:t>
      </w:r>
    </w:p>
    <w:p w14:paraId="34F9D22E" w14:textId="62F572F2" w:rsidR="007914BD" w:rsidRDefault="3FDFFB89" w:rsidP="00E05C4E">
      <w:pPr>
        <w:pStyle w:val="Bullet1"/>
      </w:pPr>
      <w:r>
        <w:t xml:space="preserve">maintenance </w:t>
      </w:r>
      <w:r w:rsidR="55F5B9FD">
        <w:t>care</w:t>
      </w:r>
      <w:r>
        <w:t>.</w:t>
      </w:r>
    </w:p>
    <w:p w14:paraId="051ED9E6" w14:textId="667BF5B7" w:rsidR="00534D17" w:rsidRDefault="00534D17" w:rsidP="00534D17">
      <w:pPr>
        <w:pStyle w:val="Bodyafterbullets"/>
      </w:pPr>
      <w:r w:rsidRPr="008B043B">
        <w:t xml:space="preserve">The majority of </w:t>
      </w:r>
      <w:r>
        <w:t>admitted episodes within these care types</w:t>
      </w:r>
      <w:r w:rsidRPr="008B043B">
        <w:t xml:space="preserve"> will be allocated a</w:t>
      </w:r>
      <w:r>
        <w:t>n</w:t>
      </w:r>
      <w:r w:rsidRPr="008B043B">
        <w:t xml:space="preserve"> </w:t>
      </w:r>
      <w:r>
        <w:t>NWAU</w:t>
      </w:r>
      <w:r w:rsidRPr="008B043B">
        <w:t xml:space="preserve"> price weight. However, </w:t>
      </w:r>
      <w:r>
        <w:t>NWAU</w:t>
      </w:r>
      <w:r w:rsidRPr="008B043B">
        <w:t xml:space="preserve"> cannot be calculated for incomplete or uncoded episodes. </w:t>
      </w:r>
    </w:p>
    <w:p w14:paraId="0B99F1A6" w14:textId="77777777" w:rsidR="00534D17" w:rsidRDefault="00534D17" w:rsidP="00534D17">
      <w:pPr>
        <w:pStyle w:val="Body"/>
      </w:pPr>
      <w:r w:rsidRPr="004005DD">
        <w:t xml:space="preserve">The following episodes are not eligible for subacute </w:t>
      </w:r>
      <w:r>
        <w:t xml:space="preserve">NWAU </w:t>
      </w:r>
      <w:r w:rsidRPr="004005DD">
        <w:t>funding:</w:t>
      </w:r>
    </w:p>
    <w:p w14:paraId="2BD81D69" w14:textId="77777777" w:rsidR="00534D17" w:rsidRDefault="76B45D8B" w:rsidP="00E05C4E">
      <w:pPr>
        <w:pStyle w:val="Bullet1"/>
      </w:pPr>
      <w:r>
        <w:t>private hospital separations</w:t>
      </w:r>
    </w:p>
    <w:p w14:paraId="1CED1026" w14:textId="77777777" w:rsidR="00534D17" w:rsidRDefault="76B45D8B" w:rsidP="00E05C4E">
      <w:pPr>
        <w:pStyle w:val="Bullet1"/>
      </w:pPr>
      <w:r>
        <w:t>incomplete or uncoded episodes</w:t>
      </w:r>
    </w:p>
    <w:p w14:paraId="4D9154D3" w14:textId="77777777" w:rsidR="00534D17" w:rsidRDefault="76B45D8B" w:rsidP="00E05C4E">
      <w:pPr>
        <w:pStyle w:val="Bullet1"/>
      </w:pPr>
      <w:r>
        <w:t>episodes with an account class on separation of W (Victorian WorkCover Authority), T (Transport Accident Commission), X (Ineligible non-Australian residents – not exempted from fees), A (Armed Services), C (Common Law Recoveries), O (Other compensable) or S (Seamen)</w:t>
      </w:r>
    </w:p>
    <w:p w14:paraId="5B700661" w14:textId="77777777" w:rsidR="00534D17" w:rsidRDefault="76B45D8B" w:rsidP="00E05C4E">
      <w:pPr>
        <w:pStyle w:val="Bullet1"/>
      </w:pPr>
      <w:r>
        <w:t>episodes where the contract role is B (service provider hospital).</w:t>
      </w:r>
    </w:p>
    <w:p w14:paraId="6C30B4B0" w14:textId="62B830CA" w:rsidR="00534D17" w:rsidRDefault="00534D17" w:rsidP="00534D17">
      <w:pPr>
        <w:pStyle w:val="Bodyafterbullets"/>
      </w:pPr>
      <w:r>
        <w:t>The department does not reimburse hospitals for public nursing</w:t>
      </w:r>
      <w:r w:rsidR="00700C1A">
        <w:t>-</w:t>
      </w:r>
      <w:r>
        <w:t>home</w:t>
      </w:r>
      <w:r w:rsidR="00700C1A">
        <w:t>-</w:t>
      </w:r>
      <w:r>
        <w:t>type episodes. Health services are expected to manage nursing</w:t>
      </w:r>
      <w:r w:rsidR="00700C1A">
        <w:t>-</w:t>
      </w:r>
      <w:r>
        <w:t>home</w:t>
      </w:r>
      <w:r w:rsidR="00700C1A">
        <w:t>-</w:t>
      </w:r>
      <w:r>
        <w:t>type patients using other funded activity streams</w:t>
      </w:r>
      <w:r w:rsidR="00B86D2C">
        <w:t>,</w:t>
      </w:r>
      <w:r>
        <w:t xml:space="preserve"> such as the Transition Care Program. Current arrangements for the Department of Veterans’ Affairs, compensable and private patients remain in place regarding the nursing</w:t>
      </w:r>
      <w:r w:rsidR="00700C1A">
        <w:t>-</w:t>
      </w:r>
      <w:r>
        <w:t>home</w:t>
      </w:r>
      <w:r w:rsidR="00700C1A">
        <w:t>-</w:t>
      </w:r>
      <w:r>
        <w:t>type process and funding</w:t>
      </w:r>
      <w:r w:rsidR="001248C4">
        <w:t>.</w:t>
      </w:r>
    </w:p>
    <w:p w14:paraId="0482EDDB" w14:textId="317AEBF2" w:rsidR="00225202" w:rsidRDefault="00225202" w:rsidP="00081936">
      <w:pPr>
        <w:pStyle w:val="Heading3"/>
        <w:numPr>
          <w:ilvl w:val="2"/>
          <w:numId w:val="33"/>
        </w:numPr>
        <w:ind w:left="1134"/>
      </w:pPr>
      <w:bookmarkStart w:id="184" w:name="_Ref77700449"/>
      <w:bookmarkStart w:id="185" w:name="_Toc100263296"/>
      <w:bookmarkStart w:id="186" w:name="_Toc156569621"/>
      <w:r>
        <w:t xml:space="preserve">Business </w:t>
      </w:r>
      <w:bookmarkEnd w:id="184"/>
      <w:bookmarkEnd w:id="185"/>
      <w:r w:rsidR="00B86D2C">
        <w:t>rules</w:t>
      </w:r>
      <w:bookmarkEnd w:id="186"/>
    </w:p>
    <w:p w14:paraId="419227C6" w14:textId="7D4798C2" w:rsidR="00534D17" w:rsidRDefault="00534D17" w:rsidP="00534D17">
      <w:pPr>
        <w:pStyle w:val="Bodyafterbullets"/>
      </w:pPr>
      <w:r>
        <w:t xml:space="preserve">All metropolitan, regional and subregional health services are delineated to provide rehabilitation and GEM services through the </w:t>
      </w:r>
      <w:r w:rsidRPr="001D6BD3">
        <w:rPr>
          <w:i/>
        </w:rPr>
        <w:t>Subacute capability framework</w:t>
      </w:r>
      <w:r>
        <w:t>. Local health services delineated as level 2 will provide and report maintenance care.</w:t>
      </w:r>
    </w:p>
    <w:p w14:paraId="1F0CB890" w14:textId="5C2FE3E0" w:rsidR="00534D17" w:rsidRDefault="00534D17" w:rsidP="00534D17">
      <w:pPr>
        <w:pStyle w:val="Body"/>
      </w:pPr>
      <w:r>
        <w:t xml:space="preserve">Read the </w:t>
      </w:r>
      <w:hyperlink r:id="rId49">
        <w:r w:rsidRPr="0002613C">
          <w:rPr>
            <w:rStyle w:val="Hyperlink"/>
            <w:i/>
          </w:rPr>
          <w:t>Subacute capability framework</w:t>
        </w:r>
      </w:hyperlink>
      <w:r>
        <w:t xml:space="preserve"> &lt;</w:t>
      </w:r>
      <w:r w:rsidR="00DD2AAC" w:rsidRPr="00DD2AAC">
        <w:t>https://www.health.vic.gov.au/patient-care/subacute-planning-framework</w:t>
      </w:r>
      <w:r>
        <w:t>&gt;. Targets for these health services can be fou</w:t>
      </w:r>
      <w:r w:rsidRPr="004005DD">
        <w:t>nd in</w:t>
      </w:r>
      <w:r w:rsidR="00B5025F">
        <w:t xml:space="preserve"> </w:t>
      </w:r>
      <w:r w:rsidR="00771C9E">
        <w:t>s</w:t>
      </w:r>
      <w:r w:rsidR="00B5025F">
        <w:t>ection</w:t>
      </w:r>
      <w:r w:rsidRPr="004005DD">
        <w:t xml:space="preserve"> </w:t>
      </w:r>
      <w:r w:rsidR="003D6381">
        <w:fldChar w:fldCharType="begin"/>
      </w:r>
      <w:r w:rsidR="003D6381">
        <w:instrText xml:space="preserve"> REF _Ref96635057 \w \h </w:instrText>
      </w:r>
      <w:r w:rsidR="003D6381">
        <w:fldChar w:fldCharType="separate"/>
      </w:r>
      <w:r w:rsidR="00892F13">
        <w:t>2.2.6</w:t>
      </w:r>
      <w:r w:rsidR="003D6381">
        <w:fldChar w:fldCharType="end"/>
      </w:r>
      <w:r w:rsidR="001248C4">
        <w:t>,</w:t>
      </w:r>
      <w:r w:rsidR="00B5025F">
        <w:t xml:space="preserve"> </w:t>
      </w:r>
      <w:r w:rsidR="00A030E3">
        <w:fldChar w:fldCharType="begin"/>
      </w:r>
      <w:r w:rsidR="00A030E3">
        <w:instrText xml:space="preserve"> REF _Ref144903755 \h </w:instrText>
      </w:r>
      <w:r w:rsidR="00A030E3">
        <w:fldChar w:fldCharType="separate"/>
      </w:r>
      <w:r w:rsidR="00892F13">
        <w:t xml:space="preserve">Table </w:t>
      </w:r>
      <w:r w:rsidR="00892F13">
        <w:rPr>
          <w:noProof/>
        </w:rPr>
        <w:t>2</w:t>
      </w:r>
      <w:r w:rsidR="00892F13">
        <w:t>.</w:t>
      </w:r>
      <w:r w:rsidR="00892F13">
        <w:rPr>
          <w:noProof/>
        </w:rPr>
        <w:t>15</w:t>
      </w:r>
      <w:r w:rsidR="00A030E3">
        <w:fldChar w:fldCharType="end"/>
      </w:r>
      <w:r w:rsidR="00B5025F">
        <w:fldChar w:fldCharType="begin"/>
      </w:r>
      <w:r w:rsidR="00B5025F">
        <w:instrText xml:space="preserve"> REF _Ref96635115 \h </w:instrText>
      </w:r>
      <w:r w:rsidR="00B5025F">
        <w:fldChar w:fldCharType="end"/>
      </w:r>
      <w:r w:rsidR="002F1B60">
        <w:t xml:space="preserve"> </w:t>
      </w:r>
      <w:r w:rsidR="001248C4">
        <w:t>‘</w:t>
      </w:r>
      <w:r w:rsidRPr="007F03EF">
        <w:t>Admitted subacute and non-acute targets (</w:t>
      </w:r>
      <w:r w:rsidR="00222BC8" w:rsidRPr="007F03EF">
        <w:t>202</w:t>
      </w:r>
      <w:r w:rsidR="00222BC8">
        <w:t>3</w:t>
      </w:r>
      <w:r w:rsidR="001248C4">
        <w:t>–</w:t>
      </w:r>
      <w:r w:rsidR="00222BC8" w:rsidRPr="007F03EF">
        <w:t>2</w:t>
      </w:r>
      <w:r w:rsidR="00222BC8">
        <w:t>4</w:t>
      </w:r>
      <w:r w:rsidRPr="007F03EF">
        <w:t>)</w:t>
      </w:r>
      <w:r w:rsidR="001248C4">
        <w:t>’</w:t>
      </w:r>
      <w:r w:rsidR="002F1B60" w:rsidRPr="007F03EF">
        <w:t>.</w:t>
      </w:r>
    </w:p>
    <w:p w14:paraId="2B80CBA2" w14:textId="77777777" w:rsidR="006A1D9B" w:rsidRPr="006A1D9B" w:rsidRDefault="006A1D9B" w:rsidP="00D47072">
      <w:pPr>
        <w:pStyle w:val="sub"/>
      </w:pPr>
      <w:r w:rsidRPr="006A1D9B">
        <w:t>Home-based care</w:t>
      </w:r>
    </w:p>
    <w:p w14:paraId="1C39CEEE" w14:textId="57C5D88F" w:rsidR="00225202" w:rsidRDefault="00225202" w:rsidP="00534D17">
      <w:pPr>
        <w:pStyle w:val="Body"/>
      </w:pPr>
      <w:r>
        <w:t>Admitted GEM and rehabilitation care can be delivered in the patient’s home as well as in hospital. Providing care in the patient’s home can improve independence and reduce adverse events associated with hospital stays for some people. Health services retain accountability for the care of the patient.</w:t>
      </w:r>
    </w:p>
    <w:p w14:paraId="70C440AC" w14:textId="09B27DA3" w:rsidR="00225202" w:rsidRDefault="00225202" w:rsidP="00225202">
      <w:pPr>
        <w:pStyle w:val="Body"/>
      </w:pPr>
      <w:r>
        <w:lastRenderedPageBreak/>
        <w:t>Admitted GEM and rehabilitation provided in a person’s home must meet the same national METeOR definitions and required data elements as for admitted subacute GEM and rehabilitation hospital</w:t>
      </w:r>
      <w:r w:rsidR="005C6B8C">
        <w:t>-</w:t>
      </w:r>
      <w:r>
        <w:t>based activity. GEM and rehabilitation in the home undertaken as admitted activity is reported as care type 9 and care type 6 respectively with an accommodation type code of 4 (in the home). Admitted GEM activity provided in any other offsite setting is to be reported as accommodation type R (off site).</w:t>
      </w:r>
    </w:p>
    <w:p w14:paraId="33F1F9E0" w14:textId="586863BF" w:rsidR="00225202" w:rsidRDefault="00225202" w:rsidP="00225202">
      <w:pPr>
        <w:pStyle w:val="Body"/>
      </w:pPr>
      <w:r>
        <w:t>Home-based GEM-</w:t>
      </w:r>
      <w:r w:rsidR="00556817">
        <w:t xml:space="preserve"> </w:t>
      </w:r>
      <w:r>
        <w:t xml:space="preserve">and </w:t>
      </w:r>
      <w:r w:rsidR="00556817">
        <w:t>rehabilitation-</w:t>
      </w:r>
      <w:r>
        <w:t xml:space="preserve">type services can also be delivered through the </w:t>
      </w:r>
      <w:r w:rsidR="00A531D9">
        <w:t>Health Independence Program (HIP)</w:t>
      </w:r>
      <w:r>
        <w:t xml:space="preserve"> non-admitted platform, with activity reported in </w:t>
      </w:r>
      <w:r w:rsidR="5EAA0848">
        <w:t>the VINAH minimum dataset.</w:t>
      </w:r>
      <w:r w:rsidR="008B19E4">
        <w:t xml:space="preserve"> See </w:t>
      </w:r>
      <w:r w:rsidR="00A531D9">
        <w:t xml:space="preserve">section </w:t>
      </w:r>
      <w:r w:rsidR="00A531D9">
        <w:fldChar w:fldCharType="begin"/>
      </w:r>
      <w:r w:rsidR="00A531D9">
        <w:instrText xml:space="preserve"> REF _Ref77710155 \r \h </w:instrText>
      </w:r>
      <w:r w:rsidR="00A531D9">
        <w:fldChar w:fldCharType="separate"/>
      </w:r>
      <w:r w:rsidR="00892F13">
        <w:t>1.12.3.1</w:t>
      </w:r>
      <w:r w:rsidR="00A531D9">
        <w:fldChar w:fldCharType="end"/>
      </w:r>
      <w:r w:rsidR="00A531D9">
        <w:t xml:space="preserve"> </w:t>
      </w:r>
      <w:r w:rsidR="008C56F5">
        <w:t>‘</w:t>
      </w:r>
      <w:r w:rsidR="00A531D9">
        <w:fldChar w:fldCharType="begin"/>
      </w:r>
      <w:r w:rsidR="00A531D9">
        <w:instrText xml:space="preserve"> REF _Ref77710155 \h </w:instrText>
      </w:r>
      <w:r w:rsidR="00A531D9">
        <w:fldChar w:fldCharType="separate"/>
      </w:r>
      <w:r w:rsidR="00892F13" w:rsidRPr="007F03EF">
        <w:t>Health Independence Program</w:t>
      </w:r>
      <w:r w:rsidR="00A531D9">
        <w:fldChar w:fldCharType="end"/>
      </w:r>
      <w:r w:rsidR="008C56F5">
        <w:t>’</w:t>
      </w:r>
      <w:r w:rsidR="008B19E4">
        <w:t xml:space="preserve"> for applicable funding for these services.</w:t>
      </w:r>
    </w:p>
    <w:p w14:paraId="650BD5B9" w14:textId="00B3880E" w:rsidR="00225202" w:rsidRDefault="00225202" w:rsidP="00225202">
      <w:pPr>
        <w:pStyle w:val="Body"/>
      </w:pPr>
      <w:r>
        <w:t>Health services should review the most appropriate platform to deliver GEM and rehabilitation services based on patient cohort needs and the local hospital and community resources available.</w:t>
      </w:r>
    </w:p>
    <w:p w14:paraId="121301C3" w14:textId="5467C1E3" w:rsidR="00225202" w:rsidRDefault="00225202" w:rsidP="00225202">
      <w:pPr>
        <w:pStyle w:val="Body"/>
      </w:pPr>
      <w:r>
        <w:t xml:space="preserve">Admitted palliative care services can also be delivered in the patient’s home. Where this occurs, </w:t>
      </w:r>
      <w:r w:rsidR="00B52661">
        <w:t>h</w:t>
      </w:r>
      <w:r>
        <w:t xml:space="preserve">ealth services must ensure that all obligations, standards and requirements for </w:t>
      </w:r>
      <w:r w:rsidR="66397E18">
        <w:t xml:space="preserve">admitted </w:t>
      </w:r>
      <w:r>
        <w:t xml:space="preserve">palliative </w:t>
      </w:r>
      <w:r w:rsidR="0033266D">
        <w:t xml:space="preserve">care </w:t>
      </w:r>
      <w:r>
        <w:t xml:space="preserve">contained in the annual </w:t>
      </w:r>
      <w:r w:rsidRPr="0093206E">
        <w:rPr>
          <w:i/>
        </w:rPr>
        <w:t xml:space="preserve">Policy </w:t>
      </w:r>
      <w:r w:rsidR="00B86D2C">
        <w:rPr>
          <w:i/>
          <w:iCs/>
        </w:rPr>
        <w:t>g</w:t>
      </w:r>
      <w:r w:rsidR="00B86D2C" w:rsidRPr="0093206E">
        <w:rPr>
          <w:i/>
          <w:iCs/>
        </w:rPr>
        <w:t>uide</w:t>
      </w:r>
      <w:r w:rsidR="00B86D2C" w:rsidRPr="0093206E">
        <w:rPr>
          <w:i/>
        </w:rPr>
        <w:t xml:space="preserve"> </w:t>
      </w:r>
      <w:r>
        <w:t>are met. Admitted palliative care activity provided in the home is reported as care type 8 with an accommodation code of 4 (in the home).</w:t>
      </w:r>
    </w:p>
    <w:p w14:paraId="7E374A5C" w14:textId="11F6C4F7" w:rsidR="00225202" w:rsidRPr="00534D17" w:rsidRDefault="00225202" w:rsidP="00534D17">
      <w:pPr>
        <w:pStyle w:val="Body"/>
      </w:pPr>
      <w:r w:rsidRPr="00534D17">
        <w:t>Admitted GEM, rehabilitation or palliative care activity funded through NWAU and provided in a setting outside the hospital will be counted towards a health service’s a</w:t>
      </w:r>
      <w:r w:rsidR="00147325">
        <w:t xml:space="preserve">ctivity </w:t>
      </w:r>
      <w:r w:rsidRPr="00534D17">
        <w:t>target.</w:t>
      </w:r>
    </w:p>
    <w:p w14:paraId="06D64D92" w14:textId="77777777" w:rsidR="000D02B0" w:rsidRDefault="000D02B0" w:rsidP="00D47072">
      <w:pPr>
        <w:pStyle w:val="sub"/>
      </w:pPr>
      <w:r>
        <w:t>Patient classification</w:t>
      </w:r>
    </w:p>
    <w:p w14:paraId="33BF9458" w14:textId="2623B3FB" w:rsidR="007914BD" w:rsidRDefault="00EF2812" w:rsidP="006A1D9B">
      <w:pPr>
        <w:pStyle w:val="Body"/>
      </w:pPr>
      <w:r>
        <w:t xml:space="preserve">The </w:t>
      </w:r>
      <w:r w:rsidR="007914BD">
        <w:t xml:space="preserve">Australian National Subacute and Non-Acute Patient (AN-SNAP) classification system </w:t>
      </w:r>
      <w:r w:rsidR="008C56F5">
        <w:t xml:space="preserve">version </w:t>
      </w:r>
      <w:r w:rsidR="007914BD">
        <w:t xml:space="preserve">4 </w:t>
      </w:r>
      <w:r w:rsidR="00DE0871">
        <w:t xml:space="preserve">is used </w:t>
      </w:r>
      <w:r w:rsidR="007914BD">
        <w:t>to classify subacute admitted care. Each AN-SNAP class is allocated a</w:t>
      </w:r>
      <w:r w:rsidR="00495A7E">
        <w:t>n NWAU</w:t>
      </w:r>
      <w:r w:rsidR="007914BD">
        <w:t xml:space="preserve"> price weight to help determine the level of funding.</w:t>
      </w:r>
    </w:p>
    <w:p w14:paraId="57AAC903" w14:textId="194A4E12" w:rsidR="007914BD" w:rsidRDefault="007914BD" w:rsidP="006A1D9B">
      <w:pPr>
        <w:pStyle w:val="Body"/>
      </w:pPr>
      <w:r>
        <w:t>The funding policy for admitted subacute is based on:</w:t>
      </w:r>
    </w:p>
    <w:p w14:paraId="4DEE5826" w14:textId="4097EFF7" w:rsidR="007914BD" w:rsidRDefault="55F5B9FD" w:rsidP="00E05C4E">
      <w:pPr>
        <w:pStyle w:val="Bullet1"/>
      </w:pPr>
      <w:r>
        <w:t xml:space="preserve">AN-SNAP </w:t>
      </w:r>
      <w:r w:rsidR="2518EF14">
        <w:t>V4</w:t>
      </w:r>
      <w:r w:rsidR="68B517A8">
        <w:t>.0</w:t>
      </w:r>
      <w:r>
        <w:t xml:space="preserve"> classification</w:t>
      </w:r>
    </w:p>
    <w:p w14:paraId="4BB87E66" w14:textId="02F783A1" w:rsidR="007914BD" w:rsidRDefault="55F5B9FD" w:rsidP="00E05C4E">
      <w:pPr>
        <w:pStyle w:val="Bullet1"/>
      </w:pPr>
      <w:r>
        <w:t>L1.5H1.5 methodology</w:t>
      </w:r>
    </w:p>
    <w:p w14:paraId="7FD5EBAA" w14:textId="7A7E4022" w:rsidR="007914BD" w:rsidRPr="00D365A2" w:rsidRDefault="2E6DF448" w:rsidP="00E05C4E">
      <w:pPr>
        <w:pStyle w:val="Bullet1"/>
        <w:rPr>
          <w:rStyle w:val="normaltextrun"/>
        </w:rPr>
      </w:pPr>
      <w:r>
        <w:t>episode-</w:t>
      </w:r>
      <w:r w:rsidR="55F5B9FD">
        <w:t xml:space="preserve">based funding approach for </w:t>
      </w:r>
      <w:r w:rsidR="00B86D2C">
        <w:t>GEM</w:t>
      </w:r>
      <w:r>
        <w:t>, rehabilitation, and maintenance care</w:t>
      </w:r>
    </w:p>
    <w:p w14:paraId="4CBEC614" w14:textId="18EB94A1" w:rsidR="007914BD" w:rsidRDefault="2E6DF448" w:rsidP="00E05C4E">
      <w:pPr>
        <w:pStyle w:val="Bullet1"/>
      </w:pPr>
      <w:r>
        <w:t xml:space="preserve">phase of care funding approach for palliative </w:t>
      </w:r>
      <w:r w:rsidR="55F5B9FD">
        <w:t>care</w:t>
      </w:r>
      <w:r w:rsidR="54E7E621">
        <w:t>.</w:t>
      </w:r>
    </w:p>
    <w:p w14:paraId="4DC1C7B4" w14:textId="32CC01B7" w:rsidR="007914BD" w:rsidRDefault="007914BD" w:rsidP="006A1D9B">
      <w:pPr>
        <w:pStyle w:val="Bodyafterbullets"/>
      </w:pPr>
      <w:r>
        <w:t>Details regarding the IH</w:t>
      </w:r>
      <w:r w:rsidR="00F8346C">
        <w:t>AC</w:t>
      </w:r>
      <w:r>
        <w:t xml:space="preserve">PA’s </w:t>
      </w:r>
      <w:r w:rsidR="008C56F5">
        <w:t xml:space="preserve">admitted subacute </w:t>
      </w:r>
      <w:r>
        <w:t xml:space="preserve">funding approach can be found in the </w:t>
      </w:r>
      <w:hyperlink r:id="rId50" w:history="1">
        <w:r w:rsidRPr="00685B35">
          <w:rPr>
            <w:rStyle w:val="Hyperlink"/>
            <w:i/>
            <w:iCs/>
          </w:rPr>
          <w:t xml:space="preserve">National </w:t>
        </w:r>
        <w:r w:rsidR="00B86D2C">
          <w:rPr>
            <w:rStyle w:val="Hyperlink"/>
            <w:i/>
            <w:iCs/>
          </w:rPr>
          <w:t>e</w:t>
        </w:r>
        <w:r w:rsidR="00B86D2C" w:rsidRPr="00685B35">
          <w:rPr>
            <w:rStyle w:val="Hyperlink"/>
            <w:i/>
            <w:iCs/>
          </w:rPr>
          <w:t xml:space="preserve">fficient </w:t>
        </w:r>
        <w:r w:rsidR="00B86D2C">
          <w:rPr>
            <w:rStyle w:val="Hyperlink"/>
            <w:i/>
            <w:iCs/>
          </w:rPr>
          <w:t>p</w:t>
        </w:r>
        <w:r w:rsidR="00B86D2C" w:rsidRPr="00685B35">
          <w:rPr>
            <w:rStyle w:val="Hyperlink"/>
            <w:i/>
            <w:iCs/>
          </w:rPr>
          <w:t xml:space="preserve">rice </w:t>
        </w:r>
        <w:r w:rsidR="00B86D2C">
          <w:rPr>
            <w:rStyle w:val="Hyperlink"/>
            <w:i/>
            <w:iCs/>
          </w:rPr>
          <w:t>d</w:t>
        </w:r>
        <w:r w:rsidRPr="00685B35">
          <w:rPr>
            <w:rStyle w:val="Hyperlink"/>
            <w:i/>
            <w:iCs/>
          </w:rPr>
          <w:t>etermination</w:t>
        </w:r>
      </w:hyperlink>
      <w:r>
        <w:t xml:space="preserve"> </w:t>
      </w:r>
      <w:r w:rsidR="6D55DD8C">
        <w:t>&lt;</w:t>
      </w:r>
      <w:r w:rsidR="00716209" w:rsidRPr="00716209">
        <w:t>https://www.ihacpa.gov.au/pricing/national-efficient-price-determination</w:t>
      </w:r>
      <w:r w:rsidR="6D55DD8C">
        <w:t xml:space="preserve">&gt; </w:t>
      </w:r>
      <w:r>
        <w:t>and</w:t>
      </w:r>
      <w:r w:rsidR="00504928" w:rsidRPr="00504928">
        <w:rPr>
          <w:rFonts w:eastAsia="Times New Roman"/>
        </w:rPr>
        <w:t xml:space="preserve"> </w:t>
      </w:r>
      <w:hyperlink r:id="rId51" w:history="1">
        <w:r w:rsidR="00504928" w:rsidRPr="00685B35">
          <w:rPr>
            <w:rStyle w:val="Hyperlink"/>
            <w:i/>
            <w:iCs/>
          </w:rPr>
          <w:t xml:space="preserve">National </w:t>
        </w:r>
        <w:r w:rsidR="00B86D2C">
          <w:rPr>
            <w:rStyle w:val="Hyperlink"/>
            <w:i/>
            <w:iCs/>
          </w:rPr>
          <w:t>p</w:t>
        </w:r>
        <w:r w:rsidR="00B86D2C" w:rsidRPr="00685B35">
          <w:rPr>
            <w:rStyle w:val="Hyperlink"/>
            <w:i/>
            <w:iCs/>
          </w:rPr>
          <w:t xml:space="preserve">ricing </w:t>
        </w:r>
        <w:r w:rsidR="00B86D2C">
          <w:rPr>
            <w:rStyle w:val="Hyperlink"/>
            <w:i/>
            <w:iCs/>
          </w:rPr>
          <w:t>m</w:t>
        </w:r>
        <w:r w:rsidR="00B86D2C" w:rsidRPr="00685B35">
          <w:rPr>
            <w:rStyle w:val="Hyperlink"/>
            <w:i/>
            <w:iCs/>
          </w:rPr>
          <w:t xml:space="preserve">odel </w:t>
        </w:r>
        <w:r w:rsidR="00B86D2C">
          <w:rPr>
            <w:rStyle w:val="Hyperlink"/>
            <w:i/>
            <w:iCs/>
          </w:rPr>
          <w:t>t</w:t>
        </w:r>
        <w:r w:rsidR="00B86D2C" w:rsidRPr="00685B35">
          <w:rPr>
            <w:rStyle w:val="Hyperlink"/>
            <w:i/>
            <w:iCs/>
          </w:rPr>
          <w:t xml:space="preserve">echnical </w:t>
        </w:r>
        <w:r w:rsidR="00B86D2C">
          <w:rPr>
            <w:rStyle w:val="Hyperlink"/>
            <w:i/>
            <w:iCs/>
          </w:rPr>
          <w:t>s</w:t>
        </w:r>
        <w:r w:rsidR="00504928" w:rsidRPr="00685B35">
          <w:rPr>
            <w:rStyle w:val="Hyperlink"/>
            <w:i/>
            <w:iCs/>
          </w:rPr>
          <w:t>pecifications</w:t>
        </w:r>
      </w:hyperlink>
      <w:r w:rsidR="00504928">
        <w:t xml:space="preserve"> </w:t>
      </w:r>
      <w:r>
        <w:t xml:space="preserve"> </w:t>
      </w:r>
      <w:r w:rsidR="194F5BE2">
        <w:t>&lt;</w:t>
      </w:r>
      <w:r w:rsidR="00504928" w:rsidRPr="00504928">
        <w:t>https://www.ihacpa.gov.au/pricing/national-pricing-model-technical-specifications</w:t>
      </w:r>
      <w:r w:rsidR="194F5BE2">
        <w:t>&gt;</w:t>
      </w:r>
      <w:r>
        <w:t>.</w:t>
      </w:r>
    </w:p>
    <w:p w14:paraId="1E172773" w14:textId="3CB20D93" w:rsidR="007914BD" w:rsidRPr="00F611AD" w:rsidRDefault="00F611AD" w:rsidP="00F611AD">
      <w:pPr>
        <w:pStyle w:val="Body"/>
      </w:pPr>
      <w:r w:rsidRPr="00F611AD">
        <w:t>At the national level, where data required to assign an AN</w:t>
      </w:r>
      <w:r w:rsidRPr="00F611AD">
        <w:rPr>
          <w:rFonts w:ascii="Cambria Math" w:hAnsi="Cambria Math" w:cs="Cambria Math"/>
        </w:rPr>
        <w:t>‑</w:t>
      </w:r>
      <w:r w:rsidRPr="00F611AD">
        <w:t xml:space="preserve">SNAP classification is not available, the episode is transferred to the admitted acute care model and priced according to their AR-DRG classification. </w:t>
      </w:r>
      <w:r w:rsidR="008C56F5">
        <w:t>This will not occur i</w:t>
      </w:r>
      <w:r w:rsidRPr="00F611AD">
        <w:t xml:space="preserve">n Victoria in </w:t>
      </w:r>
      <w:r w:rsidR="007C202F" w:rsidRPr="00F611AD">
        <w:t>202</w:t>
      </w:r>
      <w:r w:rsidR="007C202F">
        <w:t>3</w:t>
      </w:r>
      <w:r w:rsidR="008C56F5">
        <w:t>–</w:t>
      </w:r>
      <w:r w:rsidR="007C202F" w:rsidRPr="00F611AD">
        <w:t>2</w:t>
      </w:r>
      <w:r w:rsidR="007C202F">
        <w:t>4</w:t>
      </w:r>
      <w:r w:rsidR="008C56F5">
        <w:t xml:space="preserve">, </w:t>
      </w:r>
      <w:r w:rsidRPr="00F611AD">
        <w:t xml:space="preserve">which means that all data items necessary to group an episode to an AN-SNAP class </w:t>
      </w:r>
      <w:r w:rsidR="008C56F5">
        <w:t>must be</w:t>
      </w:r>
      <w:r w:rsidR="008C56F5" w:rsidRPr="00F611AD">
        <w:t xml:space="preserve"> </w:t>
      </w:r>
      <w:r w:rsidRPr="00F611AD">
        <w:t>reported to the VAED. This includes correct reporting of impairment codes, FIM, and RUG-ADL scores. Any admitted subacute episode without the data items required to group to an AN-SNAP class will not generate NWAU within Victoria</w:t>
      </w:r>
      <w:r w:rsidR="007914BD" w:rsidRPr="00F611AD">
        <w:t>.</w:t>
      </w:r>
    </w:p>
    <w:p w14:paraId="79511F32" w14:textId="576AA0C5" w:rsidR="007914BD" w:rsidRPr="00C64C3D" w:rsidRDefault="007914BD" w:rsidP="006A1D9B">
      <w:pPr>
        <w:pStyle w:val="Body"/>
      </w:pPr>
      <w:r>
        <w:t xml:space="preserve">The Psychogeriatric Care Type and Psychogeriatric AN-SNAP classes will not be used in Victoria in </w:t>
      </w:r>
      <w:r w:rsidR="002100FD">
        <w:t>202</w:t>
      </w:r>
      <w:r w:rsidR="007C202F">
        <w:t>3</w:t>
      </w:r>
      <w:r w:rsidR="00B86D2C">
        <w:t>–</w:t>
      </w:r>
      <w:r w:rsidR="002100FD">
        <w:t>2</w:t>
      </w:r>
      <w:r w:rsidR="007C202F">
        <w:t>4</w:t>
      </w:r>
      <w:r>
        <w:t>.</w:t>
      </w:r>
    </w:p>
    <w:p w14:paraId="726E9163" w14:textId="512C941A" w:rsidR="000B27B9" w:rsidRDefault="5F235F04" w:rsidP="009522D1">
      <w:pPr>
        <w:pStyle w:val="Heading2"/>
      </w:pPr>
      <w:bookmarkStart w:id="187" w:name="_Toc418694908"/>
      <w:bookmarkStart w:id="188" w:name="_Toc6215550"/>
      <w:bookmarkStart w:id="189" w:name="_Toc10199626"/>
      <w:bookmarkStart w:id="190" w:name="_Toc52892572"/>
      <w:bookmarkStart w:id="191" w:name="_Toc100263299"/>
      <w:bookmarkStart w:id="192" w:name="_Toc156569622"/>
      <w:r>
        <w:lastRenderedPageBreak/>
        <w:t xml:space="preserve">Emergency </w:t>
      </w:r>
      <w:bookmarkEnd w:id="187"/>
      <w:bookmarkEnd w:id="188"/>
      <w:bookmarkEnd w:id="189"/>
      <w:bookmarkEnd w:id="190"/>
      <w:r w:rsidR="00B86D2C">
        <w:t xml:space="preserve">care </w:t>
      </w:r>
      <w:bookmarkEnd w:id="191"/>
      <w:r w:rsidR="00B86D2C">
        <w:t>services</w:t>
      </w:r>
      <w:bookmarkEnd w:id="192"/>
    </w:p>
    <w:p w14:paraId="1D6800CE" w14:textId="14FFC799" w:rsidR="00251E95" w:rsidRDefault="00251E95" w:rsidP="00251E95">
      <w:pPr>
        <w:pStyle w:val="Body"/>
      </w:pPr>
      <w:bookmarkStart w:id="193" w:name="_Toc418694907"/>
      <w:bookmarkStart w:id="194" w:name="_Toc6215549"/>
      <w:bookmarkStart w:id="195" w:name="_Toc10199625"/>
      <w:bookmarkStart w:id="196" w:name="_Toc52892571"/>
      <w:r>
        <w:t>Emergency department</w:t>
      </w:r>
      <w:r w:rsidR="00183DC4">
        <w:t xml:space="preserve"> </w:t>
      </w:r>
      <w:r>
        <w:t>care is provided to patients registered for care in an emergency department in selected public hospitals. Emergency departments are medical treatment facilities that specialise in acute care of patients who present without prior appointment, either by their own means or by ambulance.</w:t>
      </w:r>
    </w:p>
    <w:p w14:paraId="39F3AAE4" w14:textId="363A8E4D" w:rsidR="00251E95" w:rsidRDefault="3F218EDD" w:rsidP="00251E95">
      <w:pPr>
        <w:pStyle w:val="Body"/>
      </w:pPr>
      <w:r>
        <w:t xml:space="preserve">Local </w:t>
      </w:r>
      <w:r w:rsidR="001159EA">
        <w:t xml:space="preserve">services </w:t>
      </w:r>
      <w:r w:rsidR="020B96F5">
        <w:t xml:space="preserve">and the majority of </w:t>
      </w:r>
      <w:r w:rsidR="3918AD29">
        <w:t>small rural health services</w:t>
      </w:r>
      <w:r w:rsidR="61E6D374">
        <w:t xml:space="preserve">/multipurpose </w:t>
      </w:r>
      <w:r w:rsidR="44727C6E">
        <w:t>services</w:t>
      </w:r>
      <w:r w:rsidR="3918AD29">
        <w:t xml:space="preserve"> operate </w:t>
      </w:r>
      <w:r w:rsidR="00EC03A4">
        <w:t>ur</w:t>
      </w:r>
      <w:r w:rsidR="00EC03A4" w:rsidRPr="0089518A">
        <w:rPr>
          <w:rFonts w:eastAsia="Arial" w:cs="Arial"/>
        </w:rPr>
        <w:t>gent care centre</w:t>
      </w:r>
      <w:r w:rsidR="3918AD29" w:rsidRPr="0089518A">
        <w:rPr>
          <w:rFonts w:eastAsia="Arial" w:cs="Arial"/>
        </w:rPr>
        <w:t xml:space="preserve">s (UCCs), which provide first-line emergency </w:t>
      </w:r>
      <w:r w:rsidR="007D602E">
        <w:rPr>
          <w:rFonts w:eastAsia="Arial" w:cs="Arial"/>
        </w:rPr>
        <w:t xml:space="preserve">and urgent </w:t>
      </w:r>
      <w:r w:rsidR="3918AD29" w:rsidRPr="0089518A">
        <w:rPr>
          <w:rFonts w:eastAsia="Arial" w:cs="Arial"/>
        </w:rPr>
        <w:t xml:space="preserve">care </w:t>
      </w:r>
      <w:r w:rsidR="6C1E8B31" w:rsidRPr="61404400">
        <w:rPr>
          <w:rFonts w:eastAsia="Arial" w:cs="Arial"/>
        </w:rPr>
        <w:t>in small rural communities.</w:t>
      </w:r>
      <w:r w:rsidR="00251E95" w:rsidRPr="00171B3C">
        <w:rPr>
          <w:rStyle w:val="FootnoteReference"/>
        </w:rPr>
        <w:footnoteReference w:id="3"/>
      </w:r>
      <w:r w:rsidR="3918AD29" w:rsidRPr="0089518A">
        <w:rPr>
          <w:rFonts w:eastAsia="Arial" w:cs="Arial"/>
        </w:rPr>
        <w:t xml:space="preserve"> At a minimum, UCCs have the capacity to perform emergency resuscitation and stabilisation for adults and chi</w:t>
      </w:r>
      <w:r w:rsidR="3918AD29">
        <w:t xml:space="preserve">ldren, </w:t>
      </w:r>
      <w:r w:rsidR="2C9EC340">
        <w:t xml:space="preserve">and </w:t>
      </w:r>
      <w:r w:rsidR="16DBDA04">
        <w:t>to</w:t>
      </w:r>
      <w:r w:rsidR="3918AD29">
        <w:t xml:space="preserve"> prepare and manage patients for transfer to a higher level of care as clinically appropriate.</w:t>
      </w:r>
      <w:r w:rsidR="3918AD29" w:rsidRPr="3FC2EC5C">
        <w:t xml:space="preserve"> </w:t>
      </w:r>
      <w:r w:rsidR="3918AD29">
        <w:t xml:space="preserve">Depending on the model, patients treated by </w:t>
      </w:r>
      <w:r w:rsidR="15A3619E">
        <w:t xml:space="preserve">on-call </w:t>
      </w:r>
      <w:r w:rsidR="3918AD29">
        <w:t xml:space="preserve">general practitioners may be billed by the </w:t>
      </w:r>
      <w:r w:rsidR="00882510">
        <w:rPr>
          <w:rFonts w:eastAsia="MS Mincho"/>
        </w:rPr>
        <w:t>GP</w:t>
      </w:r>
      <w:r w:rsidR="3918AD29">
        <w:t>.</w:t>
      </w:r>
    </w:p>
    <w:p w14:paraId="326537EE" w14:textId="62DA36C4" w:rsidR="00DA4EFD" w:rsidRDefault="00DA4EFD" w:rsidP="00251E95">
      <w:pPr>
        <w:pStyle w:val="Body"/>
      </w:pPr>
      <w:r w:rsidRPr="00084C04">
        <w:t xml:space="preserve">Victorian </w:t>
      </w:r>
      <w:r>
        <w:t xml:space="preserve">Virtual Emergency Department (VVED) </w:t>
      </w:r>
      <w:r w:rsidR="00A9667B" w:rsidRPr="00A9667B">
        <w:t>will be promoted as an option for all Victorians seeking emergency department care across the state.</w:t>
      </w:r>
      <w:r w:rsidR="00127D63">
        <w:t xml:space="preserve"> </w:t>
      </w:r>
      <w:r w:rsidR="00127D63" w:rsidRPr="00127D63">
        <w:t>The VVED provides patients, paramedics, and clinicians with access to emergency clinicians in the virtual equivalent of attending a physical emergency department. Patients receive clinical assessment, clinical advice, treatment and, where required, local referrals to appropriate services for ongoing management</w:t>
      </w:r>
      <w:r w:rsidR="00F20C48">
        <w:t>.</w:t>
      </w:r>
    </w:p>
    <w:p w14:paraId="53EFAE51" w14:textId="5B12283A" w:rsidR="00251E95" w:rsidRDefault="00251E95" w:rsidP="00251E95">
      <w:pPr>
        <w:pStyle w:val="Body"/>
      </w:pPr>
      <w:r>
        <w:t xml:space="preserve">Emergency departments and UCCs </w:t>
      </w:r>
      <w:r w:rsidR="00CC0857">
        <w:t xml:space="preserve">at local health services </w:t>
      </w:r>
      <w:r>
        <w:t xml:space="preserve">that provide emergency services are in scope for </w:t>
      </w:r>
      <w:r w:rsidR="00EC03A4">
        <w:t>activity-based funding</w:t>
      </w:r>
      <w:r w:rsidR="00392D39">
        <w:t>, while VVED is funded via a block grant</w:t>
      </w:r>
      <w:r>
        <w:t>.</w:t>
      </w:r>
    </w:p>
    <w:p w14:paraId="1530487B" w14:textId="77777777" w:rsidR="001F1E6A" w:rsidRDefault="001F1E6A" w:rsidP="00081936">
      <w:pPr>
        <w:pStyle w:val="Heading3"/>
        <w:numPr>
          <w:ilvl w:val="2"/>
          <w:numId w:val="33"/>
        </w:numPr>
        <w:ind w:left="1134"/>
      </w:pPr>
      <w:bookmarkStart w:id="197" w:name="_Toc100263300"/>
      <w:bookmarkStart w:id="198" w:name="_Toc156569623"/>
      <w:r>
        <w:t>Eligibility</w:t>
      </w:r>
      <w:bookmarkEnd w:id="197"/>
      <w:bookmarkEnd w:id="198"/>
    </w:p>
    <w:p w14:paraId="1E6E0F8D" w14:textId="100C8115" w:rsidR="001F1E6A" w:rsidRDefault="001F1E6A" w:rsidP="001F1E6A">
      <w:pPr>
        <w:pStyle w:val="Body"/>
      </w:pPr>
      <w:r>
        <w:t xml:space="preserve">Eligible facilities in scope for </w:t>
      </w:r>
      <w:r w:rsidR="001159EA">
        <w:t xml:space="preserve">activity-based funding </w:t>
      </w:r>
      <w:r>
        <w:t xml:space="preserve">in the emergency care stream are all public health services that report activity data to the VEMD or report aggregate level data through the UCC form </w:t>
      </w:r>
      <w:r w:rsidR="00CC2D9D">
        <w:t>in</w:t>
      </w:r>
      <w:r>
        <w:t xml:space="preserve"> AIMS.</w:t>
      </w:r>
    </w:p>
    <w:p w14:paraId="7869C094" w14:textId="2E72A903" w:rsidR="001F1E6A" w:rsidRDefault="001F1E6A" w:rsidP="001F1E6A">
      <w:pPr>
        <w:pStyle w:val="Body"/>
      </w:pPr>
      <w:r>
        <w:t xml:space="preserve">Generally, public and private patients are in scope for </w:t>
      </w:r>
      <w:r w:rsidR="001159EA">
        <w:t xml:space="preserve">activity-based funding </w:t>
      </w:r>
      <w:r>
        <w:t>and compensable patients are out of scope.</w:t>
      </w:r>
    </w:p>
    <w:p w14:paraId="5E1E3FFB" w14:textId="6055E19D" w:rsidR="00D47072" w:rsidRDefault="00D47072" w:rsidP="00081936">
      <w:pPr>
        <w:pStyle w:val="Heading3"/>
        <w:numPr>
          <w:ilvl w:val="2"/>
          <w:numId w:val="33"/>
        </w:numPr>
        <w:ind w:left="1134"/>
      </w:pPr>
      <w:bookmarkStart w:id="199" w:name="_Toc100263301"/>
      <w:bookmarkStart w:id="200" w:name="_Toc156569624"/>
      <w:r>
        <w:t xml:space="preserve">Business </w:t>
      </w:r>
      <w:bookmarkEnd w:id="199"/>
      <w:r w:rsidR="008E32B9">
        <w:t>rules</w:t>
      </w:r>
      <w:bookmarkEnd w:id="200"/>
    </w:p>
    <w:p w14:paraId="09AE8DC6" w14:textId="7FCAB034" w:rsidR="00D47072" w:rsidRDefault="00D47072" w:rsidP="00D47072">
      <w:pPr>
        <w:pStyle w:val="Body"/>
      </w:pPr>
      <w:r>
        <w:t xml:space="preserve">The unit of count for </w:t>
      </w:r>
      <w:r w:rsidR="00A763AA">
        <w:t xml:space="preserve">activity-based funding in </w:t>
      </w:r>
      <w:r>
        <w:t xml:space="preserve">emergency care is </w:t>
      </w:r>
      <w:r w:rsidR="0A3AF62E">
        <w:t>a</w:t>
      </w:r>
      <w:r>
        <w:t xml:space="preserve"> </w:t>
      </w:r>
      <w:r w:rsidR="003C52C1">
        <w:t>presentation</w:t>
      </w:r>
      <w:r>
        <w:t>. It includes stays for patients who are treated and go home, and patients who are subsequently admitted to hospital or transferred to another facility for further care.</w:t>
      </w:r>
    </w:p>
    <w:p w14:paraId="53F459AB" w14:textId="2DAE1028" w:rsidR="00251E95" w:rsidRDefault="001F1E6A" w:rsidP="00D47072">
      <w:pPr>
        <w:pStyle w:val="sub"/>
      </w:pPr>
      <w:r>
        <w:t>Patient classification</w:t>
      </w:r>
    </w:p>
    <w:p w14:paraId="6020E30A" w14:textId="7FDC91BF" w:rsidR="00251E95" w:rsidRDefault="00251E95" w:rsidP="00A771E9">
      <w:pPr>
        <w:pStyle w:val="Body"/>
      </w:pPr>
      <w:r>
        <w:t>Emergency department presentations will be classified according to the Australian Emergency Care Classification (AECC V1.0) system, which provides a summary of the complexity and type of patients treated within an emergency department.</w:t>
      </w:r>
    </w:p>
    <w:p w14:paraId="68B2E261" w14:textId="4F957354" w:rsidR="00251E95" w:rsidRDefault="001159EA" w:rsidP="00A771E9">
      <w:pPr>
        <w:pStyle w:val="Body"/>
      </w:pPr>
      <w:r>
        <w:t>UCC patient</w:t>
      </w:r>
      <w:r w:rsidR="00251E95">
        <w:t xml:space="preserve"> presentations are classified using </w:t>
      </w:r>
      <w:r>
        <w:t xml:space="preserve">the urgency disposition group </w:t>
      </w:r>
      <w:r w:rsidR="00251E95">
        <w:t>(UDG) classification system.</w:t>
      </w:r>
    </w:p>
    <w:p w14:paraId="28A247DF" w14:textId="26A62420" w:rsidR="00364A1D" w:rsidRDefault="00364A1D" w:rsidP="00081936">
      <w:pPr>
        <w:pStyle w:val="Heading3"/>
        <w:numPr>
          <w:ilvl w:val="2"/>
          <w:numId w:val="33"/>
        </w:numPr>
        <w:ind w:left="1134"/>
      </w:pPr>
      <w:bookmarkStart w:id="201" w:name="_Toc156569625"/>
      <w:bookmarkStart w:id="202" w:name="_Toc77588922"/>
      <w:bookmarkStart w:id="203" w:name="_Toc100263302"/>
      <w:r>
        <w:t>V</w:t>
      </w:r>
      <w:r w:rsidR="009B4CB0">
        <w:t>ictorian V</w:t>
      </w:r>
      <w:r>
        <w:t>irtual Emergency Department</w:t>
      </w:r>
      <w:bookmarkEnd w:id="201"/>
      <w:r>
        <w:t xml:space="preserve"> </w:t>
      </w:r>
    </w:p>
    <w:p w14:paraId="3FD2EC4F" w14:textId="030AC4E9" w:rsidR="006E47D1" w:rsidRDefault="006E47D1" w:rsidP="006E47D1">
      <w:pPr>
        <w:pStyle w:val="Body"/>
      </w:pPr>
      <w:r w:rsidRPr="00084C04">
        <w:t xml:space="preserve">Funding for the </w:t>
      </w:r>
      <w:r w:rsidR="00DA4EFD">
        <w:t>VVED</w:t>
      </w:r>
      <w:r w:rsidRPr="00084C04">
        <w:t xml:space="preserve"> will continue to be provided as a block grant to </w:t>
      </w:r>
      <w:r>
        <w:t>Northern</w:t>
      </w:r>
      <w:r w:rsidRPr="00084C04">
        <w:t xml:space="preserve"> Health</w:t>
      </w:r>
      <w:r w:rsidR="00A9032D">
        <w:t>.</w:t>
      </w:r>
    </w:p>
    <w:p w14:paraId="61D0F082" w14:textId="14A2F710" w:rsidR="00BC3EFA" w:rsidRPr="003650CF" w:rsidRDefault="00BC3EFA" w:rsidP="006E47D1">
      <w:pPr>
        <w:pStyle w:val="Body"/>
      </w:pPr>
      <w:r w:rsidRPr="003650CF">
        <w:lastRenderedPageBreak/>
        <w:t xml:space="preserve">The </w:t>
      </w:r>
      <w:r w:rsidR="00E27BC7" w:rsidRPr="003650CF">
        <w:t>VVED</w:t>
      </w:r>
      <w:r w:rsidRPr="003650CF">
        <w:t xml:space="preserve"> is delivered by Northern Health in collaboration with other health services</w:t>
      </w:r>
      <w:r w:rsidR="00314E17">
        <w:t xml:space="preserve"> via a Memorandum of Understanding</w:t>
      </w:r>
      <w:r w:rsidRPr="003650CF">
        <w:t>, and allows select, non-urgent patients (adults and children) to receive virtual video assessments 24/7 from emergency doctors and nurses</w:t>
      </w:r>
      <w:r w:rsidR="00E27BC7" w:rsidRPr="003650CF">
        <w:t xml:space="preserve">. </w:t>
      </w:r>
    </w:p>
    <w:p w14:paraId="4870CB7F" w14:textId="60BE3562" w:rsidR="006144C7" w:rsidRPr="003650CF" w:rsidRDefault="006144C7" w:rsidP="006E47D1">
      <w:pPr>
        <w:pStyle w:val="Body"/>
      </w:pPr>
      <w:r w:rsidRPr="003650CF">
        <w:t xml:space="preserve">Health services that partner with Northern Health to provide contracted staff to the VVED </w:t>
      </w:r>
      <w:r w:rsidR="00FA59BC" w:rsidRPr="003650CF">
        <w:t xml:space="preserve">can invoice Northern Health </w:t>
      </w:r>
      <w:r w:rsidR="002B26D3" w:rsidRPr="003650CF">
        <w:t xml:space="preserve">as part of the statewide collaborative model. </w:t>
      </w:r>
    </w:p>
    <w:p w14:paraId="5A227FCB" w14:textId="760DFEA3" w:rsidR="00145E82" w:rsidRPr="00314E17" w:rsidRDefault="00145E82" w:rsidP="006E47D1">
      <w:pPr>
        <w:pStyle w:val="Body"/>
      </w:pPr>
      <w:r w:rsidRPr="007F03EF">
        <w:t>A recall</w:t>
      </w:r>
      <w:r>
        <w:t xml:space="preserve"> </w:t>
      </w:r>
      <w:r w:rsidRPr="007F03EF">
        <w:t>adjustment will be applied at</w:t>
      </w:r>
      <w:r w:rsidR="00852FA2">
        <w:t xml:space="preserve"> an agreed partial </w:t>
      </w:r>
      <w:r w:rsidRPr="007F03EF">
        <w:t>rate at the end of 202</w:t>
      </w:r>
      <w:r w:rsidR="00852FA2">
        <w:t>3</w:t>
      </w:r>
      <w:r>
        <w:t>–</w:t>
      </w:r>
      <w:r w:rsidRPr="007F03EF">
        <w:t>2</w:t>
      </w:r>
      <w:r w:rsidR="00852FA2">
        <w:t>4</w:t>
      </w:r>
      <w:r w:rsidRPr="003650CF">
        <w:t xml:space="preserve"> </w:t>
      </w:r>
      <w:r w:rsidR="00852FA2">
        <w:t>for Northern Health based on overall call volume</w:t>
      </w:r>
      <w:r w:rsidR="00F24223">
        <w:t>s.</w:t>
      </w:r>
    </w:p>
    <w:p w14:paraId="19C0772E" w14:textId="4A158AAE" w:rsidR="006E47D1" w:rsidRPr="00084C04" w:rsidRDefault="006E47D1" w:rsidP="00081936">
      <w:pPr>
        <w:pStyle w:val="Heading4"/>
        <w:numPr>
          <w:ilvl w:val="3"/>
          <w:numId w:val="33"/>
        </w:numPr>
      </w:pPr>
      <w:r w:rsidRPr="00084C04">
        <w:t xml:space="preserve">Business </w:t>
      </w:r>
      <w:r w:rsidR="008E32B9">
        <w:t>r</w:t>
      </w:r>
      <w:r w:rsidR="008E32B9" w:rsidRPr="00084C04">
        <w:t>ules</w:t>
      </w:r>
    </w:p>
    <w:p w14:paraId="1E9AC4C6" w14:textId="7FB20602" w:rsidR="00D67F37" w:rsidRDefault="00D67F37" w:rsidP="00D67F37">
      <w:pPr>
        <w:pStyle w:val="Body"/>
      </w:pPr>
      <w:r>
        <w:t xml:space="preserve">The unit of count </w:t>
      </w:r>
      <w:r w:rsidR="00A366CA">
        <w:t>adopted for the</w:t>
      </w:r>
      <w:r w:rsidR="000832ED">
        <w:t xml:space="preserve"> virtual</w:t>
      </w:r>
      <w:r>
        <w:t xml:space="preserve"> emergency </w:t>
      </w:r>
      <w:r w:rsidR="000832ED">
        <w:t>department</w:t>
      </w:r>
      <w:r>
        <w:t xml:space="preserve"> is a presentation.</w:t>
      </w:r>
      <w:r w:rsidR="000832ED">
        <w:t xml:space="preserve"> The V</w:t>
      </w:r>
      <w:r w:rsidR="00913A1A">
        <w:t xml:space="preserve">ictorian </w:t>
      </w:r>
      <w:r w:rsidR="000832ED">
        <w:t>V</w:t>
      </w:r>
      <w:r w:rsidR="00913A1A">
        <w:t xml:space="preserve">irtual </w:t>
      </w:r>
      <w:r w:rsidR="000832ED">
        <w:t>E</w:t>
      </w:r>
      <w:r w:rsidR="00913A1A">
        <w:t xml:space="preserve">mergency </w:t>
      </w:r>
      <w:r w:rsidR="000832ED">
        <w:t>D</w:t>
      </w:r>
      <w:r w:rsidR="00913A1A">
        <w:t>epartment</w:t>
      </w:r>
      <w:r w:rsidR="000832ED">
        <w:t xml:space="preserve"> is required to report </w:t>
      </w:r>
      <w:r w:rsidR="00AC1A1C">
        <w:t>through the</w:t>
      </w:r>
      <w:r w:rsidR="00B84BF7">
        <w:t xml:space="preserve"> </w:t>
      </w:r>
      <w:hyperlink r:id="rId52" w:history="1">
        <w:r w:rsidR="00B84BF7" w:rsidRPr="000D626D">
          <w:rPr>
            <w:rStyle w:val="Hyperlink"/>
          </w:rPr>
          <w:t>VEMD</w:t>
        </w:r>
      </w:hyperlink>
      <w:r w:rsidR="00B84BF7">
        <w:t xml:space="preserve"> &lt;</w:t>
      </w:r>
      <w:r w:rsidR="006F4AF3">
        <w:t>www.h</w:t>
      </w:r>
      <w:r w:rsidR="006F4AF3" w:rsidRPr="006F4AF3">
        <w:t>ealth.vic.gov.au/data-reporting/victorian-emergency-minimum-dataset-vemd</w:t>
      </w:r>
      <w:r w:rsidR="006F4AF3">
        <w:t>&gt;</w:t>
      </w:r>
      <w:r w:rsidR="0084274C">
        <w:t>.</w:t>
      </w:r>
    </w:p>
    <w:p w14:paraId="4C19C4FF" w14:textId="73A32B06" w:rsidR="001F1E6A" w:rsidRDefault="36E19B44" w:rsidP="00685B35">
      <w:pPr>
        <w:pStyle w:val="Heading2"/>
      </w:pPr>
      <w:bookmarkStart w:id="204" w:name="_Toc100263304"/>
      <w:bookmarkStart w:id="205" w:name="_Toc156569626"/>
      <w:bookmarkEnd w:id="202"/>
      <w:bookmarkEnd w:id="203"/>
      <w:r>
        <w:lastRenderedPageBreak/>
        <w:t>Non-</w:t>
      </w:r>
      <w:r w:rsidR="008E32B9">
        <w:t>admitted activity</w:t>
      </w:r>
      <w:r w:rsidR="3AA70BBD">
        <w:t>-</w:t>
      </w:r>
      <w:r w:rsidR="008E32B9">
        <w:t xml:space="preserve">based funded </w:t>
      </w:r>
      <w:bookmarkEnd w:id="204"/>
      <w:r w:rsidR="008E32B9">
        <w:t>services</w:t>
      </w:r>
      <w:bookmarkEnd w:id="205"/>
    </w:p>
    <w:p w14:paraId="77FBAC9D" w14:textId="6851FB23" w:rsidR="001F1E6A" w:rsidRDefault="001F1E6A" w:rsidP="001F1E6A">
      <w:pPr>
        <w:pStyle w:val="Body"/>
      </w:pPr>
      <w:r>
        <w:t>Non-admitted acute and subacute hospital services are delivered to public patients in a range of settings. This activity is reported on a patient</w:t>
      </w:r>
      <w:r w:rsidR="00B34795">
        <w:t>-</w:t>
      </w:r>
      <w:r>
        <w:t xml:space="preserve">level basis through </w:t>
      </w:r>
      <w:r w:rsidR="0AC97092">
        <w:t>the VINAH minimum dataset.</w:t>
      </w:r>
      <w:r>
        <w:t xml:space="preserve"> </w:t>
      </w:r>
      <w:r w:rsidR="008E32B9">
        <w:t>From 1 July 2021, there is</w:t>
      </w:r>
      <w:r>
        <w:t xml:space="preserve"> a national requirement for non-admitted in-scope activity and cost data to be reported at a patient level. This is to support the funding of public hospital services, functions, and activities by the Commonwealth under the Addendum to the NHRA 2020</w:t>
      </w:r>
      <w:r w:rsidR="00354E23">
        <w:t>–</w:t>
      </w:r>
      <w:r>
        <w:t>2025.</w:t>
      </w:r>
      <w:r w:rsidR="009D1115">
        <w:t xml:space="preserve"> </w:t>
      </w:r>
    </w:p>
    <w:p w14:paraId="34E1FAAD" w14:textId="63005499" w:rsidR="00773EE2" w:rsidRDefault="00773EE2" w:rsidP="00773EE2">
      <w:pPr>
        <w:pStyle w:val="Body"/>
      </w:pPr>
      <w:r>
        <w:t xml:space="preserve">Health services having difficulty reporting to </w:t>
      </w:r>
      <w:r w:rsidR="68E786B6">
        <w:t xml:space="preserve">the </w:t>
      </w:r>
      <w:r>
        <w:t xml:space="preserve">VINAH </w:t>
      </w:r>
      <w:r w:rsidR="68E786B6">
        <w:t xml:space="preserve">minimum dataset </w:t>
      </w:r>
      <w:r>
        <w:t>can request to temporarily report to the Non</w:t>
      </w:r>
      <w:r w:rsidR="008F1386">
        <w:t>-</w:t>
      </w:r>
      <w:r>
        <w:t>Admitted Data Collection (NADC)</w:t>
      </w:r>
      <w:r w:rsidR="008E32B9">
        <w:t>,</w:t>
      </w:r>
      <w:r>
        <w:t xml:space="preserve"> which was introduced in 2020</w:t>
      </w:r>
      <w:r w:rsidR="00BC09DE">
        <w:t>–</w:t>
      </w:r>
      <w:r>
        <w:t>21. For further information on reporting to the NADC</w:t>
      </w:r>
      <w:r w:rsidR="003F35E2">
        <w:t>,</w:t>
      </w:r>
      <w:r>
        <w:t xml:space="preserve"> </w:t>
      </w:r>
      <w:r w:rsidR="003F35E2">
        <w:t xml:space="preserve">email the </w:t>
      </w:r>
      <w:hyperlink r:id="rId53" w:history="1">
        <w:r w:rsidR="003F35E2" w:rsidRPr="003F35E2">
          <w:rPr>
            <w:rStyle w:val="Hyperlink"/>
          </w:rPr>
          <w:t>HDSS Helpdesk</w:t>
        </w:r>
      </w:hyperlink>
      <w:r w:rsidR="003F35E2">
        <w:t xml:space="preserve"> &lt;</w:t>
      </w:r>
      <w:r w:rsidR="003F35E2" w:rsidRPr="00AE6427">
        <w:t>hdss.helpdesk@health.vic.gov.au</w:t>
      </w:r>
      <w:r w:rsidR="003F35E2">
        <w:t>&gt;</w:t>
      </w:r>
      <w:r>
        <w:t>.</w:t>
      </w:r>
    </w:p>
    <w:p w14:paraId="38A647D9" w14:textId="77777777" w:rsidR="001F1E6A" w:rsidRDefault="001F1E6A" w:rsidP="00081936">
      <w:pPr>
        <w:pStyle w:val="Heading3"/>
        <w:numPr>
          <w:ilvl w:val="2"/>
          <w:numId w:val="33"/>
        </w:numPr>
        <w:ind w:left="1134"/>
      </w:pPr>
      <w:bookmarkStart w:id="206" w:name="_Toc100263305"/>
      <w:bookmarkStart w:id="207" w:name="_Toc156569627"/>
      <w:r>
        <w:t>Eligibility</w:t>
      </w:r>
      <w:bookmarkEnd w:id="206"/>
      <w:bookmarkEnd w:id="207"/>
    </w:p>
    <w:p w14:paraId="31566124" w14:textId="4CB202C3" w:rsidR="3C31FEE1" w:rsidRDefault="2236AB5B" w:rsidP="4DDF6C40">
      <w:pPr>
        <w:pStyle w:val="Body"/>
      </w:pPr>
      <w:r>
        <w:t xml:space="preserve">Eligible facilities in scope for </w:t>
      </w:r>
      <w:r w:rsidR="003F35E2">
        <w:t xml:space="preserve">activity-based funding </w:t>
      </w:r>
      <w:r>
        <w:t>in the non</w:t>
      </w:r>
      <w:r w:rsidR="602014F8">
        <w:t>-</w:t>
      </w:r>
      <w:r>
        <w:t xml:space="preserve">admitted stream are all public health services that report </w:t>
      </w:r>
      <w:r w:rsidR="21C30D1E">
        <w:t>patient</w:t>
      </w:r>
      <w:r w:rsidR="00B34795">
        <w:t>-</w:t>
      </w:r>
      <w:r w:rsidR="21C30D1E">
        <w:t xml:space="preserve">level </w:t>
      </w:r>
      <w:r>
        <w:t xml:space="preserve">activity data to the VINAH </w:t>
      </w:r>
      <w:r w:rsidR="3DC084F5">
        <w:t xml:space="preserve">minimum dataset </w:t>
      </w:r>
      <w:r>
        <w:t xml:space="preserve">or </w:t>
      </w:r>
      <w:r w:rsidR="25943847">
        <w:t>NADC</w:t>
      </w:r>
      <w:r>
        <w:t xml:space="preserve"> or report aggregate level data through </w:t>
      </w:r>
      <w:r w:rsidR="5296EF28">
        <w:t>AIMS S10,</w:t>
      </w:r>
      <w:r w:rsidR="20DFF3FF">
        <w:t xml:space="preserve"> </w:t>
      </w:r>
      <w:r w:rsidR="5296EF28">
        <w:t>S11</w:t>
      </w:r>
      <w:r w:rsidR="00204416">
        <w:t>, S11A</w:t>
      </w:r>
      <w:r w:rsidR="00661C41">
        <w:t xml:space="preserve"> </w:t>
      </w:r>
      <w:r w:rsidR="5296EF28">
        <w:t>and S12</w:t>
      </w:r>
      <w:r>
        <w:t xml:space="preserve"> form.</w:t>
      </w:r>
    </w:p>
    <w:p w14:paraId="68CAB17D" w14:textId="6FE506AF" w:rsidR="2236AB5B" w:rsidRDefault="2236AB5B" w:rsidP="00D539E9">
      <w:pPr>
        <w:pStyle w:val="Bodyafterbullets"/>
      </w:pPr>
      <w:r>
        <w:t>Generally</w:t>
      </w:r>
      <w:r w:rsidR="789DB039">
        <w:t xml:space="preserve">, </w:t>
      </w:r>
      <w:r>
        <w:t xml:space="preserve">public patients are in scope for </w:t>
      </w:r>
      <w:r w:rsidR="003F35E2">
        <w:t xml:space="preserve">activity-based funding </w:t>
      </w:r>
      <w:r>
        <w:t xml:space="preserve">and </w:t>
      </w:r>
      <w:r w:rsidR="3F843863">
        <w:t xml:space="preserve">private and </w:t>
      </w:r>
      <w:r>
        <w:t>compensable patients are out of scope.</w:t>
      </w:r>
    </w:p>
    <w:p w14:paraId="2E9719B9" w14:textId="59BABC7C" w:rsidR="00155961" w:rsidRDefault="00155961" w:rsidP="00081936">
      <w:pPr>
        <w:pStyle w:val="Heading3"/>
        <w:numPr>
          <w:ilvl w:val="2"/>
          <w:numId w:val="33"/>
        </w:numPr>
        <w:ind w:left="1134"/>
      </w:pPr>
      <w:bookmarkStart w:id="208" w:name="_Ref87974150"/>
      <w:bookmarkStart w:id="209" w:name="_Toc100263306"/>
      <w:bookmarkStart w:id="210" w:name="_Toc156569628"/>
      <w:r>
        <w:t xml:space="preserve">Business </w:t>
      </w:r>
      <w:bookmarkEnd w:id="208"/>
      <w:bookmarkEnd w:id="209"/>
      <w:r w:rsidR="008E32B9">
        <w:t>rules</w:t>
      </w:r>
      <w:bookmarkEnd w:id="210"/>
    </w:p>
    <w:p w14:paraId="6C60389F" w14:textId="056042A8" w:rsidR="00155961" w:rsidRPr="007F03EF" w:rsidRDefault="00155961" w:rsidP="00F44C54">
      <w:pPr>
        <w:pStyle w:val="Body"/>
      </w:pPr>
      <w:r w:rsidRPr="007F03EF">
        <w:t xml:space="preserve">The unit of count adopted for all non-admitted services is ‘service event’ as defined by the </w:t>
      </w:r>
      <w:r w:rsidR="00A763AA">
        <w:t>‘</w:t>
      </w:r>
      <w:hyperlink r:id="rId54" w:history="1">
        <w:r w:rsidR="002908FC" w:rsidRPr="00F20C48">
          <w:rPr>
            <w:rStyle w:val="Hyperlink"/>
          </w:rPr>
          <w:t>Non-admitted patient NBEDS 2023</w:t>
        </w:r>
        <w:r w:rsidR="008E32B9" w:rsidRPr="00F20C48">
          <w:rPr>
            <w:rStyle w:val="Hyperlink"/>
          </w:rPr>
          <w:t>–</w:t>
        </w:r>
        <w:r w:rsidR="002908FC" w:rsidRPr="00F20C48">
          <w:rPr>
            <w:rStyle w:val="Hyperlink"/>
          </w:rPr>
          <w:t>24</w:t>
        </w:r>
        <w:r w:rsidR="00A763AA" w:rsidRPr="00F20C48">
          <w:rPr>
            <w:rStyle w:val="Hyperlink"/>
          </w:rPr>
          <w:t>’</w:t>
        </w:r>
      </w:hyperlink>
      <w:r w:rsidRPr="007F03EF">
        <w:t xml:space="preserve"> </w:t>
      </w:r>
      <w:r w:rsidR="00A763AA">
        <w:t>&lt;</w:t>
      </w:r>
      <w:r w:rsidR="51EDB3B2" w:rsidRPr="007F03EF">
        <w:t>https://meteor.aihw.gov.au/content/</w:t>
      </w:r>
      <w:r w:rsidR="007D2F1B">
        <w:t>764455</w:t>
      </w:r>
      <w:r w:rsidR="00A763AA">
        <w:t>&gt;.</w:t>
      </w:r>
    </w:p>
    <w:p w14:paraId="42691171" w14:textId="3645D1E5" w:rsidR="00155961" w:rsidRPr="007F03EF" w:rsidRDefault="00155961" w:rsidP="00F44C54">
      <w:pPr>
        <w:pStyle w:val="Body"/>
      </w:pPr>
      <w:r w:rsidRPr="007F03EF">
        <w:t xml:space="preserve">The </w:t>
      </w:r>
      <w:r w:rsidR="00A763AA">
        <w:t>‘</w:t>
      </w:r>
      <w:r w:rsidRPr="00A763AA">
        <w:t>Non-</w:t>
      </w:r>
      <w:r w:rsidR="00A763AA" w:rsidRPr="00A763AA">
        <w:t xml:space="preserve">admitted </w:t>
      </w:r>
      <w:r w:rsidRPr="00A763AA">
        <w:t xml:space="preserve">patient NBEDS </w:t>
      </w:r>
      <w:r w:rsidR="00221031">
        <w:t>2023</w:t>
      </w:r>
      <w:r w:rsidR="008E32B9">
        <w:t>–</w:t>
      </w:r>
      <w:r w:rsidR="00221031">
        <w:t>24</w:t>
      </w:r>
      <w:r w:rsidR="008E32B9">
        <w:t>’</w:t>
      </w:r>
      <w:r w:rsidR="002E7EEF" w:rsidRPr="007F03EF">
        <w:rPr>
          <w:lang w:val="en-US"/>
        </w:rPr>
        <w:t xml:space="preserve"> </w:t>
      </w:r>
      <w:r w:rsidRPr="007F03EF">
        <w:t>defines a non-admitted patient service event as an interaction between one or more healthcare provider</w:t>
      </w:r>
      <w:r w:rsidR="00C67A3C">
        <w:t>s</w:t>
      </w:r>
      <w:r w:rsidRPr="007F03EF">
        <w:t xml:space="preserve"> with one non-admitted patient. This event must contain therapeutic or clinical content and result in a dated entry in the patient’s medical record. </w:t>
      </w:r>
    </w:p>
    <w:p w14:paraId="53CEE242" w14:textId="42689912" w:rsidR="00155961" w:rsidRPr="007F03EF" w:rsidRDefault="00155961" w:rsidP="00F44C54">
      <w:pPr>
        <w:pStyle w:val="Body"/>
      </w:pPr>
      <w:r>
        <w:t xml:space="preserve">The counting rules specified in the </w:t>
      </w:r>
      <w:r w:rsidR="00A763AA">
        <w:t>‘</w:t>
      </w:r>
      <w:r>
        <w:t>Non-</w:t>
      </w:r>
      <w:r w:rsidR="00A763AA">
        <w:t xml:space="preserve">admitted </w:t>
      </w:r>
      <w:r>
        <w:t>patient NBEDS</w:t>
      </w:r>
      <w:r w:rsidR="00A763AA">
        <w:t>’</w:t>
      </w:r>
      <w:r>
        <w:t xml:space="preserve"> are used to report activity nationally and to calculate NWAU. Read more about the non-admitted patient service event counting rules and examples of how these apply in the </w:t>
      </w:r>
      <w:hyperlink r:id="rId55" w:history="1">
        <w:r w:rsidR="6AEA9F33" w:rsidRPr="00685B35">
          <w:rPr>
            <w:rStyle w:val="Hyperlink"/>
            <w:i/>
            <w:iCs/>
          </w:rPr>
          <w:t xml:space="preserve">Tier 2 </w:t>
        </w:r>
        <w:r w:rsidR="00CC5787" w:rsidRPr="00685B35">
          <w:rPr>
            <w:rStyle w:val="Hyperlink"/>
            <w:i/>
            <w:iCs/>
          </w:rPr>
          <w:t>non</w:t>
        </w:r>
        <w:r w:rsidR="6AEA9F33" w:rsidRPr="00685B35">
          <w:rPr>
            <w:rStyle w:val="Hyperlink"/>
            <w:i/>
            <w:iCs/>
          </w:rPr>
          <w:t>-</w:t>
        </w:r>
        <w:r w:rsidR="00CC5787" w:rsidRPr="00685B35">
          <w:rPr>
            <w:rStyle w:val="Hyperlink"/>
            <w:i/>
            <w:iCs/>
          </w:rPr>
          <w:t xml:space="preserve">admitted services </w:t>
        </w:r>
        <w:r w:rsidR="6AEA9F33" w:rsidRPr="00685B35">
          <w:rPr>
            <w:rStyle w:val="Hyperlink"/>
            <w:i/>
            <w:iCs/>
          </w:rPr>
          <w:t>2023</w:t>
        </w:r>
        <w:r w:rsidR="00CC5787" w:rsidRPr="00685B35">
          <w:rPr>
            <w:rStyle w:val="Hyperlink"/>
            <w:i/>
            <w:iCs/>
          </w:rPr>
          <w:t>–</w:t>
        </w:r>
        <w:r w:rsidR="6AEA9F33" w:rsidRPr="00685B35">
          <w:rPr>
            <w:rStyle w:val="Hyperlink"/>
            <w:i/>
            <w:iCs/>
          </w:rPr>
          <w:t xml:space="preserve">24 </w:t>
        </w:r>
        <w:r w:rsidR="00CC5787" w:rsidRPr="00685B35">
          <w:rPr>
            <w:rStyle w:val="Hyperlink"/>
            <w:i/>
            <w:iCs/>
          </w:rPr>
          <w:t>definitions manual</w:t>
        </w:r>
      </w:hyperlink>
      <w:r w:rsidR="00CC5787" w:rsidRPr="00685B35">
        <w:rPr>
          <w:i/>
          <w:iCs/>
        </w:rPr>
        <w:t xml:space="preserve"> </w:t>
      </w:r>
      <w:r w:rsidR="00C67A3C">
        <w:t>&lt;</w:t>
      </w:r>
      <w:r w:rsidR="00CC5787" w:rsidRPr="00CC5787">
        <w:t>https://www.ihacpa.gov.au/resources/tier-2-non-admitted-services-2023-24</w:t>
      </w:r>
      <w:r w:rsidR="00C67A3C">
        <w:t>&gt;.</w:t>
      </w:r>
    </w:p>
    <w:p w14:paraId="42CADF62" w14:textId="24C15CEB" w:rsidR="00155961" w:rsidRPr="007F03EF" w:rsidRDefault="00155961" w:rsidP="00081936">
      <w:pPr>
        <w:pStyle w:val="Heading4"/>
        <w:numPr>
          <w:ilvl w:val="3"/>
          <w:numId w:val="33"/>
        </w:numPr>
      </w:pPr>
      <w:bookmarkStart w:id="211" w:name="_Ref142548897"/>
      <w:r w:rsidRPr="007F03EF">
        <w:t xml:space="preserve">Service </w:t>
      </w:r>
      <w:r w:rsidR="008E32B9">
        <w:t>e</w:t>
      </w:r>
      <w:r w:rsidR="008E32B9" w:rsidRPr="007F03EF">
        <w:t xml:space="preserve">vent </w:t>
      </w:r>
      <w:r w:rsidR="008E32B9">
        <w:t>d</w:t>
      </w:r>
      <w:r w:rsidR="008E32B9" w:rsidRPr="007F03EF">
        <w:t xml:space="preserve">erivation </w:t>
      </w:r>
      <w:bookmarkEnd w:id="211"/>
      <w:r w:rsidR="008E32B9">
        <w:t>r</w:t>
      </w:r>
      <w:r w:rsidR="008E32B9" w:rsidRPr="007F03EF">
        <w:t>ules</w:t>
      </w:r>
    </w:p>
    <w:p w14:paraId="58FEA75B" w14:textId="63BAC8F8" w:rsidR="00C72EBC" w:rsidRPr="007F03EF" w:rsidRDefault="40AE3846" w:rsidP="00F44C54">
      <w:pPr>
        <w:pStyle w:val="Body"/>
      </w:pPr>
      <w:r w:rsidRPr="007F03EF">
        <w:t>The VINAH minimum dataset</w:t>
      </w:r>
      <w:r w:rsidR="00155961" w:rsidRPr="007F03EF">
        <w:t xml:space="preserve"> collects information about services provided to non-admitted patients at the lowest level, </w:t>
      </w:r>
      <w:r w:rsidR="00D729C9" w:rsidRPr="007F03EF">
        <w:t xml:space="preserve">which is a </w:t>
      </w:r>
      <w:r w:rsidR="00155961" w:rsidRPr="007F03EF">
        <w:t xml:space="preserve">contact. For activity-based funding, multiple contacts </w:t>
      </w:r>
      <w:r w:rsidR="00E05854" w:rsidRPr="007F03EF">
        <w:t xml:space="preserve">for one patient </w:t>
      </w:r>
      <w:r w:rsidR="00155961" w:rsidRPr="007F03EF">
        <w:t>delivered on the same day may be bundled into one service event. For further information on service event derivation rules</w:t>
      </w:r>
      <w:r w:rsidR="009726D5">
        <w:t>,</w:t>
      </w:r>
      <w:r w:rsidR="00155961" w:rsidRPr="007F03EF">
        <w:t xml:space="preserve"> refer to the</w:t>
      </w:r>
      <w:r w:rsidR="00C72EBC" w:rsidRPr="007F03EF">
        <w:t xml:space="preserve"> </w:t>
      </w:r>
      <w:hyperlink r:id="rId56" w:history="1">
        <w:r w:rsidRPr="00685B35">
          <w:rPr>
            <w:rStyle w:val="Hyperlink"/>
            <w:i/>
            <w:iCs/>
          </w:rPr>
          <w:t>VINAH 17 manual</w:t>
        </w:r>
      </w:hyperlink>
      <w:r w:rsidR="42E04786" w:rsidRPr="007F03EF">
        <w:t xml:space="preserve"> </w:t>
      </w:r>
      <w:r w:rsidR="00CF0D55" w:rsidRPr="007F03EF">
        <w:t>&lt;</w:t>
      </w:r>
      <w:r w:rsidR="00F20C48" w:rsidRPr="00F20C48">
        <w:t>https://www.health.vic.gov.au/publications/victorian-integrated-non-admitted-health-minimum-data-set-vinah-mds-manual-2022-23</w:t>
      </w:r>
      <w:r w:rsidR="00CF0D55" w:rsidRPr="007F03EF">
        <w:t>&gt;</w:t>
      </w:r>
      <w:r w:rsidR="009726D5">
        <w:t>,</w:t>
      </w:r>
      <w:r w:rsidR="00CF0D55" w:rsidRPr="007F03EF">
        <w:t xml:space="preserve"> </w:t>
      </w:r>
      <w:r w:rsidR="009726D5">
        <w:t>s</w:t>
      </w:r>
      <w:r w:rsidR="009726D5" w:rsidRPr="007F03EF">
        <w:t xml:space="preserve">ection </w:t>
      </w:r>
      <w:r w:rsidR="00CF0D55" w:rsidRPr="007F03EF">
        <w:t>2</w:t>
      </w:r>
      <w:r w:rsidR="009726D5">
        <w:t>, ‘</w:t>
      </w:r>
      <w:r w:rsidR="00CF0D55" w:rsidRPr="007F03EF">
        <w:t>Concepts and derived terms</w:t>
      </w:r>
      <w:r w:rsidR="009726D5">
        <w:t>’</w:t>
      </w:r>
      <w:r w:rsidR="00CF0D55" w:rsidRPr="007F03EF">
        <w:t>.</w:t>
      </w:r>
    </w:p>
    <w:p w14:paraId="6C65FCE6" w14:textId="2B2AA1F5" w:rsidR="001F1E6A" w:rsidRPr="007F03EF" w:rsidRDefault="001F1E6A" w:rsidP="00081936">
      <w:pPr>
        <w:pStyle w:val="Heading4"/>
        <w:numPr>
          <w:ilvl w:val="3"/>
          <w:numId w:val="33"/>
        </w:numPr>
      </w:pPr>
      <w:bookmarkStart w:id="212" w:name="_Ref142548853"/>
      <w:r w:rsidRPr="007F03EF">
        <w:t xml:space="preserve">Patient </w:t>
      </w:r>
      <w:bookmarkEnd w:id="212"/>
      <w:r w:rsidR="008E32B9">
        <w:t>c</w:t>
      </w:r>
      <w:r w:rsidR="008E32B9" w:rsidRPr="007F03EF">
        <w:t>lassification</w:t>
      </w:r>
    </w:p>
    <w:p w14:paraId="6DADD0C2" w14:textId="7ED1724E" w:rsidR="00155961" w:rsidRPr="007F03EF" w:rsidRDefault="00155961" w:rsidP="00155961">
      <w:pPr>
        <w:pStyle w:val="Body"/>
      </w:pPr>
      <w:r w:rsidRPr="007F03EF">
        <w:t xml:space="preserve">Tier 2 </w:t>
      </w:r>
      <w:r w:rsidR="00C83B7D" w:rsidRPr="007F03EF">
        <w:t>non-admitted services classification</w:t>
      </w:r>
      <w:r w:rsidRPr="007F03EF">
        <w:t xml:space="preserve"> (Tier</w:t>
      </w:r>
      <w:r w:rsidR="00DE2873" w:rsidRPr="007F03EF">
        <w:t xml:space="preserve"> </w:t>
      </w:r>
      <w:r w:rsidRPr="007F03EF">
        <w:t>2)</w:t>
      </w:r>
      <w:r w:rsidR="00406467">
        <w:t xml:space="preserve"> is used to classify </w:t>
      </w:r>
      <w:r w:rsidR="00E253FF">
        <w:t>non-admitted activity.</w:t>
      </w:r>
      <w:r w:rsidRPr="007F03EF">
        <w:t xml:space="preserve"> Tier 2 is a broad clinic-based classification system that supports activity-based funding of non-admitted services in the Australian public hospital system.  </w:t>
      </w:r>
    </w:p>
    <w:p w14:paraId="402E9AE3" w14:textId="77777777" w:rsidR="00155961" w:rsidRPr="007F03EF" w:rsidRDefault="00155961" w:rsidP="00155961">
      <w:pPr>
        <w:pStyle w:val="Body"/>
      </w:pPr>
      <w:r w:rsidRPr="007F03EF">
        <w:lastRenderedPageBreak/>
        <w:t>Tier 2 groups a hospital’s non-admitted services into classes to reflect generally the nature of the service provided and the type of clinician providing the service. The structure of the classification is first differentiated by the nature of the non-admitted service provided. The major categories are: </w:t>
      </w:r>
    </w:p>
    <w:p w14:paraId="56F8CC68" w14:textId="1D940A19" w:rsidR="00155961" w:rsidRPr="007F03EF" w:rsidRDefault="32B91D99" w:rsidP="00E05C4E">
      <w:pPr>
        <w:pStyle w:val="Bullet1"/>
      </w:pPr>
      <w:r>
        <w:t>procedures</w:t>
      </w:r>
    </w:p>
    <w:p w14:paraId="21C698BC" w14:textId="53542F9B" w:rsidR="00155961" w:rsidRPr="007F03EF" w:rsidRDefault="32B91D99" w:rsidP="00E05C4E">
      <w:pPr>
        <w:pStyle w:val="Bullet1"/>
      </w:pPr>
      <w:r>
        <w:t>medical consultation services</w:t>
      </w:r>
    </w:p>
    <w:p w14:paraId="5ADE2DCD" w14:textId="5FB334EF" w:rsidR="00155961" w:rsidRPr="007F03EF" w:rsidRDefault="32B91D99" w:rsidP="00E05C4E">
      <w:pPr>
        <w:pStyle w:val="Bullet1"/>
      </w:pPr>
      <w:r>
        <w:t>diagnostic services</w:t>
      </w:r>
    </w:p>
    <w:p w14:paraId="188FF295" w14:textId="790296AD" w:rsidR="00155961" w:rsidRPr="007F03EF" w:rsidRDefault="32B91D99" w:rsidP="00E05C4E">
      <w:pPr>
        <w:pStyle w:val="Bullet1"/>
      </w:pPr>
      <w:r>
        <w:t>allied health and/or clinical nurse specialist intervention services.</w:t>
      </w:r>
    </w:p>
    <w:p w14:paraId="655A0130" w14:textId="21B53A90" w:rsidR="00155961" w:rsidRPr="007F03EF" w:rsidRDefault="00155961" w:rsidP="00155961">
      <w:pPr>
        <w:pStyle w:val="Bodyafterbullets"/>
      </w:pPr>
      <w:r w:rsidRPr="007F03EF">
        <w:t xml:space="preserve">Classification rules guide decision making </w:t>
      </w:r>
      <w:r w:rsidR="00C83B7D">
        <w:t>about</w:t>
      </w:r>
      <w:r w:rsidR="00C83B7D" w:rsidRPr="007F03EF">
        <w:t xml:space="preserve"> </w:t>
      </w:r>
      <w:r w:rsidRPr="007F03EF">
        <w:t>which Tier 2 class a clinic should be classified to. The IH</w:t>
      </w:r>
      <w:r w:rsidR="007A6644">
        <w:t>AC</w:t>
      </w:r>
      <w:r w:rsidRPr="007F03EF">
        <w:t xml:space="preserve">PA has developed two reference documents to assist with consistently allocating non-admitted services to a Tier 2 class:  </w:t>
      </w:r>
    </w:p>
    <w:p w14:paraId="48EC7E15" w14:textId="22E88EF3" w:rsidR="00155961" w:rsidRPr="00685B35" w:rsidRDefault="32B91D99" w:rsidP="00E05C4E">
      <w:pPr>
        <w:pStyle w:val="Bullet1"/>
        <w:rPr>
          <w:i/>
          <w:iCs/>
        </w:rPr>
      </w:pPr>
      <w:r w:rsidRPr="00685B35">
        <w:rPr>
          <w:i/>
          <w:iCs/>
        </w:rPr>
        <w:t xml:space="preserve">Tier 2 </w:t>
      </w:r>
      <w:r w:rsidR="00C83B7D">
        <w:rPr>
          <w:i/>
          <w:iCs/>
        </w:rPr>
        <w:t>n</w:t>
      </w:r>
      <w:r w:rsidR="00C83B7D" w:rsidRPr="00C83B7D">
        <w:rPr>
          <w:i/>
          <w:iCs/>
        </w:rPr>
        <w:t xml:space="preserve">on-admitted services compendium </w:t>
      </w:r>
    </w:p>
    <w:p w14:paraId="33ADB7D5" w14:textId="4EC0B866" w:rsidR="00155961" w:rsidRPr="007F03EF" w:rsidRDefault="32B91D99" w:rsidP="00E05C4E">
      <w:pPr>
        <w:pStyle w:val="Bullet1"/>
      </w:pPr>
      <w:r w:rsidRPr="00685B35">
        <w:rPr>
          <w:i/>
          <w:iCs/>
        </w:rPr>
        <w:t xml:space="preserve">Tier 2 </w:t>
      </w:r>
      <w:r w:rsidR="00C83B7D" w:rsidRPr="00C83B7D">
        <w:rPr>
          <w:i/>
          <w:iCs/>
        </w:rPr>
        <w:t>non-admitted services national index</w:t>
      </w:r>
      <w:r>
        <w:t>.</w:t>
      </w:r>
    </w:p>
    <w:p w14:paraId="6D7C9155" w14:textId="7F75621C" w:rsidR="001F1E6A" w:rsidRPr="007F03EF" w:rsidRDefault="00155961" w:rsidP="00155961">
      <w:pPr>
        <w:pStyle w:val="Bodyafterbullets"/>
      </w:pPr>
      <w:r w:rsidRPr="007F03EF">
        <w:t xml:space="preserve">Read more about the </w:t>
      </w:r>
      <w:hyperlink r:id="rId57" w:history="1">
        <w:r w:rsidR="009A3765" w:rsidRPr="007F03EF">
          <w:rPr>
            <w:rStyle w:val="Hyperlink"/>
          </w:rPr>
          <w:t>Tier 2 classification</w:t>
        </w:r>
      </w:hyperlink>
      <w:r w:rsidRPr="007F03EF">
        <w:t xml:space="preserve"> &lt;</w:t>
      </w:r>
      <w:r w:rsidR="00F20C48" w:rsidRPr="00F20C48">
        <w:t xml:space="preserve"> https://www.ihacpa.gov.au/health-care/classification/non-admitted-care/tier-2-non-admitted-services-classification</w:t>
      </w:r>
      <w:r w:rsidRPr="007F03EF">
        <w:t>&gt;</w:t>
      </w:r>
      <w:r w:rsidR="001F1E6A" w:rsidRPr="007F03EF">
        <w:t>. </w:t>
      </w:r>
    </w:p>
    <w:p w14:paraId="2F1E63BC" w14:textId="5E8D2B52" w:rsidR="00007561" w:rsidRPr="007F03EF" w:rsidRDefault="00007561" w:rsidP="00081936">
      <w:pPr>
        <w:pStyle w:val="Heading3"/>
        <w:numPr>
          <w:ilvl w:val="2"/>
          <w:numId w:val="33"/>
        </w:numPr>
        <w:ind w:left="1134"/>
      </w:pPr>
      <w:bookmarkStart w:id="213" w:name="_Toc77588930"/>
      <w:bookmarkStart w:id="214" w:name="_Toc100263309"/>
      <w:bookmarkStart w:id="215" w:name="_Toc156569629"/>
      <w:r>
        <w:t>Acute NHRA</w:t>
      </w:r>
      <w:r w:rsidR="00370A86">
        <w:t>-</w:t>
      </w:r>
      <w:r w:rsidR="003558E5">
        <w:t xml:space="preserve">funded specialist clinics </w:t>
      </w:r>
      <w:bookmarkEnd w:id="213"/>
      <w:bookmarkEnd w:id="214"/>
      <w:r w:rsidR="003558E5">
        <w:t>services</w:t>
      </w:r>
      <w:bookmarkEnd w:id="215"/>
    </w:p>
    <w:p w14:paraId="3BE4EF93" w14:textId="68C3C09A" w:rsidR="00007561" w:rsidRPr="007F03EF" w:rsidRDefault="02E9F797" w:rsidP="00F44C54">
      <w:pPr>
        <w:pStyle w:val="Body"/>
      </w:pPr>
      <w:r>
        <w:t>Public specialist activity is funded under the National Health Reform Agreement (NHRA)</w:t>
      </w:r>
      <w:r w:rsidR="79659349">
        <w:t xml:space="preserve">. </w:t>
      </w:r>
      <w:r w:rsidR="320D6AC8">
        <w:t>Non-</w:t>
      </w:r>
      <w:r w:rsidR="79659349">
        <w:t xml:space="preserve">admitted </w:t>
      </w:r>
      <w:r w:rsidR="264797EA">
        <w:t>s</w:t>
      </w:r>
      <w:r w:rsidR="79659349">
        <w:t xml:space="preserve">ervice events derived from </w:t>
      </w:r>
      <w:r w:rsidR="13F1C89C">
        <w:t xml:space="preserve">this </w:t>
      </w:r>
      <w:r w:rsidR="79659349">
        <w:t xml:space="preserve">activity </w:t>
      </w:r>
      <w:r w:rsidR="4A4CE93F">
        <w:t xml:space="preserve">and </w:t>
      </w:r>
      <w:r w:rsidR="79659349">
        <w:t xml:space="preserve">reported </w:t>
      </w:r>
      <w:r w:rsidR="1557C686">
        <w:t xml:space="preserve">to VINAH </w:t>
      </w:r>
      <w:r w:rsidR="0E31BE57">
        <w:t>attract NWAU</w:t>
      </w:r>
      <w:r>
        <w:t xml:space="preserve">. Health services may operate parallel public </w:t>
      </w:r>
      <w:r w:rsidR="70B8D225">
        <w:t>NHRA-</w:t>
      </w:r>
      <w:r>
        <w:t>funded clinics and public MBS-billed clinics. Public MBS</w:t>
      </w:r>
      <w:r w:rsidR="6ABE712D">
        <w:t>-</w:t>
      </w:r>
      <w:r>
        <w:t>billed clinics are not funded under the NHRA and therefore do not attract NWAU.</w:t>
      </w:r>
    </w:p>
    <w:p w14:paraId="7FD64624" w14:textId="2F698037" w:rsidR="00007561" w:rsidRPr="007F03EF" w:rsidRDefault="667F3D82" w:rsidP="00F44C54">
      <w:pPr>
        <w:pStyle w:val="Body"/>
      </w:pPr>
      <w:r w:rsidRPr="007F03EF">
        <w:t>All public hospitals classified as an activity</w:t>
      </w:r>
      <w:r w:rsidR="00701D56">
        <w:t>-</w:t>
      </w:r>
      <w:r w:rsidRPr="007F03EF">
        <w:t xml:space="preserve">based funded health service or small rural health service under the NHRA should register non-admitted clinics with the department. Clinics are registered in the </w:t>
      </w:r>
      <w:r w:rsidR="31EDDCAC" w:rsidRPr="31EDDCAC">
        <w:rPr>
          <w:color w:val="000000" w:themeColor="text1"/>
          <w:szCs w:val="21"/>
        </w:rPr>
        <w:t>Non-Admitted Clinic Management System</w:t>
      </w:r>
      <w:r w:rsidR="31EDDCAC" w:rsidRPr="31EDDCAC">
        <w:t xml:space="preserve"> (</w:t>
      </w:r>
      <w:r w:rsidRPr="007F03EF">
        <w:t xml:space="preserve">NACMS). This can be done via the </w:t>
      </w:r>
      <w:hyperlink r:id="rId58" w:history="1">
        <w:r w:rsidR="0F9D13F2" w:rsidRPr="007F03EF">
          <w:rPr>
            <w:rStyle w:val="Hyperlink"/>
          </w:rPr>
          <w:t>HealthCollect portal</w:t>
        </w:r>
      </w:hyperlink>
      <w:r w:rsidR="004D0950" w:rsidRPr="007F03EF">
        <w:rPr>
          <w:rStyle w:val="FootnoteReference"/>
          <w:color w:val="004C97"/>
          <w:u w:val="dotted"/>
        </w:rPr>
        <w:footnoteReference w:id="4"/>
      </w:r>
      <w:r w:rsidRPr="007F03EF">
        <w:t xml:space="preserve"> &lt;</w:t>
      </w:r>
      <w:r w:rsidR="0F9D13F2" w:rsidRPr="007F03EF">
        <w:t>https://</w:t>
      </w:r>
      <w:r w:rsidRPr="007F03EF">
        <w:t xml:space="preserve">www.healthcollect.vic.gov.au&gt;. </w:t>
      </w:r>
    </w:p>
    <w:p w14:paraId="5CA61EF2" w14:textId="09EA7690" w:rsidR="3BD71F2A" w:rsidRDefault="75B12129" w:rsidP="3BD71F2A">
      <w:pPr>
        <w:pStyle w:val="Body"/>
      </w:pPr>
      <w:r>
        <w:t xml:space="preserve">Growth funding and associated </w:t>
      </w:r>
      <w:r w:rsidR="3E184769">
        <w:t xml:space="preserve">NWAU </w:t>
      </w:r>
      <w:r>
        <w:t>targets will be set based on a peer group structure and the VEP.</w:t>
      </w:r>
    </w:p>
    <w:p w14:paraId="7647C78E" w14:textId="77777777" w:rsidR="00007561" w:rsidRPr="007F03EF" w:rsidRDefault="00007561" w:rsidP="00081936">
      <w:pPr>
        <w:pStyle w:val="Heading4"/>
        <w:numPr>
          <w:ilvl w:val="3"/>
          <w:numId w:val="33"/>
        </w:numPr>
      </w:pPr>
      <w:bookmarkStart w:id="216" w:name="_Ref77710155"/>
      <w:r w:rsidRPr="007F03EF">
        <w:t>Health Independence Program</w:t>
      </w:r>
      <w:bookmarkEnd w:id="216"/>
    </w:p>
    <w:p w14:paraId="3ABF9436" w14:textId="1677B7B9" w:rsidR="00007561" w:rsidRPr="007F03EF" w:rsidRDefault="00A57221" w:rsidP="00F44C54">
      <w:pPr>
        <w:pStyle w:val="Body"/>
      </w:pPr>
      <w:r>
        <w:t>HIP</w:t>
      </w:r>
      <w:r w:rsidR="006561FE">
        <w:t>,</w:t>
      </w:r>
      <w:r w:rsidR="02E9F797">
        <w:t xml:space="preserve"> unique to Victoria</w:t>
      </w:r>
      <w:r w:rsidR="00CE131F">
        <w:t>,</w:t>
      </w:r>
      <w:r w:rsidR="003558E5">
        <w:t xml:space="preserve"> is</w:t>
      </w:r>
      <w:r w:rsidR="02E9F797">
        <w:t xml:space="preserve"> an umbrella funding system for around 13 non-admitted programs. These programs pre-dated the Tier 2 classification used now for non-admitted services.</w:t>
      </w:r>
    </w:p>
    <w:p w14:paraId="62A5BEBF" w14:textId="34E2701C" w:rsidR="00007561" w:rsidRPr="007F03EF" w:rsidRDefault="02E9F797" w:rsidP="00F44C54">
      <w:pPr>
        <w:pStyle w:val="Body"/>
      </w:pPr>
      <w:r>
        <w:t>The HIP delivers hospital services to public patients in a range of settings.</w:t>
      </w:r>
      <w:r w:rsidR="10EF2452">
        <w:t xml:space="preserve"> </w:t>
      </w:r>
      <w:r>
        <w:t>This activity is currently reported on a patient</w:t>
      </w:r>
      <w:r w:rsidR="6ABE712D">
        <w:t>-</w:t>
      </w:r>
      <w:r>
        <w:t xml:space="preserve">level basis through </w:t>
      </w:r>
      <w:r w:rsidR="5CD96EAC">
        <w:t>the VINAH minimum dataset</w:t>
      </w:r>
      <w:r>
        <w:t xml:space="preserve"> by both hospitals and community service organisations. </w:t>
      </w:r>
      <w:r w:rsidR="4F809070">
        <w:t>N</w:t>
      </w:r>
      <w:r w:rsidR="51D46DBA">
        <w:t>on-admitted service events derived from th</w:t>
      </w:r>
      <w:r w:rsidR="6D6E188E">
        <w:t>is</w:t>
      </w:r>
      <w:r w:rsidR="51D46DBA">
        <w:t xml:space="preserve"> activity </w:t>
      </w:r>
      <w:r w:rsidR="28F3EE70">
        <w:t xml:space="preserve">and </w:t>
      </w:r>
      <w:r w:rsidR="51D46DBA">
        <w:t xml:space="preserve">reported to VINAH attract NWAU. </w:t>
      </w:r>
    </w:p>
    <w:p w14:paraId="0B938B25" w14:textId="43EF0F01" w:rsidR="00007561" w:rsidRDefault="02E9F797" w:rsidP="00F44C54">
      <w:pPr>
        <w:pStyle w:val="Body"/>
      </w:pPr>
      <w:r>
        <w:t xml:space="preserve">Growth funding and associated </w:t>
      </w:r>
      <w:r w:rsidR="0620E83B">
        <w:t xml:space="preserve">NWAU </w:t>
      </w:r>
      <w:r>
        <w:t>targets will be set based on a peer group structure and the V</w:t>
      </w:r>
      <w:r w:rsidR="535F5F81">
        <w:t>EP</w:t>
      </w:r>
      <w:r>
        <w:t>.</w:t>
      </w:r>
    </w:p>
    <w:p w14:paraId="28BD0770" w14:textId="67CBC8A2" w:rsidR="00CC2062" w:rsidRDefault="00CC2062" w:rsidP="00453DD3">
      <w:pPr>
        <w:pStyle w:val="Heading5"/>
        <w:numPr>
          <w:ilvl w:val="0"/>
          <w:numId w:val="0"/>
        </w:numPr>
        <w:ind w:left="964" w:hanging="964"/>
      </w:pPr>
      <w:r w:rsidRPr="00453DD3">
        <w:t>HIP in community service organisations</w:t>
      </w:r>
    </w:p>
    <w:p w14:paraId="6B22D572" w14:textId="6A94C1E0" w:rsidR="00002F47" w:rsidRPr="007F03EF" w:rsidRDefault="00704424" w:rsidP="00002F47">
      <w:pPr>
        <w:pStyle w:val="Body"/>
      </w:pPr>
      <w:r>
        <w:t xml:space="preserve">Funding will continue to be provided </w:t>
      </w:r>
      <w:r w:rsidR="00C70373">
        <w:t xml:space="preserve">via block </w:t>
      </w:r>
      <w:r w:rsidR="00835048">
        <w:t>grant</w:t>
      </w:r>
      <w:r w:rsidR="00171D50">
        <w:t xml:space="preserve"> to</w:t>
      </w:r>
      <w:r w:rsidR="00EB44D7">
        <w:t xml:space="preserve"> three</w:t>
      </w:r>
      <w:r w:rsidR="00D6444F">
        <w:t xml:space="preserve"> </w:t>
      </w:r>
      <w:r w:rsidR="00EB44D7">
        <w:t xml:space="preserve">community service organisations </w:t>
      </w:r>
      <w:r w:rsidR="00717421">
        <w:t xml:space="preserve">yet to transition to the national funding model </w:t>
      </w:r>
      <w:r w:rsidR="00EB2DDB">
        <w:t>for 2023</w:t>
      </w:r>
      <w:r w:rsidR="003558E5">
        <w:t>–</w:t>
      </w:r>
      <w:r w:rsidR="00EB2DDB">
        <w:t>24</w:t>
      </w:r>
      <w:r w:rsidR="00DC4F44">
        <w:t xml:space="preserve"> with attached NWAU targets</w:t>
      </w:r>
      <w:r w:rsidR="00717421">
        <w:t xml:space="preserve">. Maintaining this funding separately </w:t>
      </w:r>
      <w:r w:rsidR="00002F47" w:rsidRPr="00002F47">
        <w:t>allows further work to be undertaken over the next 12 months</w:t>
      </w:r>
      <w:r w:rsidR="00DC4F44">
        <w:t xml:space="preserve"> for establishing</w:t>
      </w:r>
      <w:r w:rsidR="00DE49C7">
        <w:t xml:space="preserve"> </w:t>
      </w:r>
      <w:r w:rsidR="00DE49C7">
        <w:lastRenderedPageBreak/>
        <w:t>appropriate</w:t>
      </w:r>
      <w:r w:rsidR="00DC4F44">
        <w:t xml:space="preserve"> </w:t>
      </w:r>
      <w:r w:rsidR="00D3568F">
        <w:t xml:space="preserve">NWAU targets. </w:t>
      </w:r>
      <w:r w:rsidR="00276F16">
        <w:t>For 2023</w:t>
      </w:r>
      <w:r w:rsidR="003558E5">
        <w:t>–</w:t>
      </w:r>
      <w:r w:rsidR="00276F16">
        <w:t>24, s</w:t>
      </w:r>
      <w:r w:rsidR="00D3568F">
        <w:t xml:space="preserve">hadow NWAU targets will be </w:t>
      </w:r>
      <w:r w:rsidR="00DE49C7">
        <w:t>established</w:t>
      </w:r>
      <w:r w:rsidR="00DE49C7" w:rsidRPr="00002F47">
        <w:t xml:space="preserve"> </w:t>
      </w:r>
      <w:r w:rsidR="00DC0B17">
        <w:t xml:space="preserve">to facilitate </w:t>
      </w:r>
      <w:r w:rsidR="00002F47" w:rsidRPr="00002F47">
        <w:t>a phase of monitoring before reviewing this approach</w:t>
      </w:r>
      <w:r w:rsidR="00A923E7">
        <w:t xml:space="preserve"> at a later stage</w:t>
      </w:r>
      <w:r w:rsidR="00453DD3">
        <w:t xml:space="preserve">. </w:t>
      </w:r>
    </w:p>
    <w:p w14:paraId="364DB12E" w14:textId="26701435" w:rsidR="00007561" w:rsidRPr="007F03EF" w:rsidRDefault="00007561" w:rsidP="00081936">
      <w:pPr>
        <w:pStyle w:val="Heading3"/>
        <w:numPr>
          <w:ilvl w:val="2"/>
          <w:numId w:val="33"/>
        </w:numPr>
        <w:ind w:left="1134"/>
      </w:pPr>
      <w:bookmarkStart w:id="217" w:name="_Toc77588931"/>
      <w:bookmarkStart w:id="218" w:name="_Toc100263310"/>
      <w:bookmarkStart w:id="219" w:name="_Toc156569630"/>
      <w:r w:rsidRPr="007F03EF">
        <w:t xml:space="preserve">Home </w:t>
      </w:r>
      <w:r w:rsidR="003558E5">
        <w:t>e</w:t>
      </w:r>
      <w:r w:rsidR="003558E5" w:rsidRPr="007F03EF">
        <w:t xml:space="preserve">nteral </w:t>
      </w:r>
      <w:bookmarkEnd w:id="217"/>
      <w:bookmarkEnd w:id="218"/>
      <w:r w:rsidR="003558E5">
        <w:t>n</w:t>
      </w:r>
      <w:r w:rsidR="003558E5" w:rsidRPr="007F03EF">
        <w:t>utrition</w:t>
      </w:r>
      <w:bookmarkEnd w:id="219"/>
    </w:p>
    <w:p w14:paraId="7E39139B" w14:textId="45C5A24D" w:rsidR="006553D3" w:rsidRPr="007F03EF" w:rsidRDefault="79575A2F" w:rsidP="00F44C54">
      <w:pPr>
        <w:pStyle w:val="Body"/>
      </w:pPr>
      <w:r>
        <w:t>This</w:t>
      </w:r>
      <w:r w:rsidR="6F013008">
        <w:t xml:space="preserve"> non-admitted program continue</w:t>
      </w:r>
      <w:r w:rsidR="70C123F7">
        <w:t>s</w:t>
      </w:r>
      <w:r w:rsidR="6F013008">
        <w:t xml:space="preserve"> to be paid as a </w:t>
      </w:r>
      <w:r w:rsidR="5685BE63">
        <w:t xml:space="preserve">separate </w:t>
      </w:r>
      <w:r w:rsidR="6F013008">
        <w:t>specified grant with attached NWAU targets.</w:t>
      </w:r>
      <w:r w:rsidR="47B3D20B">
        <w:t xml:space="preserve"> </w:t>
      </w:r>
      <w:r w:rsidR="6F013008">
        <w:t xml:space="preserve">NWAU targets have been updated based on the latest 12 months of activity. </w:t>
      </w:r>
    </w:p>
    <w:p w14:paraId="6CA7D7F8" w14:textId="1BEF0F79" w:rsidR="00007561" w:rsidRPr="007F03EF" w:rsidRDefault="720B2C82" w:rsidP="00F44C54">
      <w:pPr>
        <w:pStyle w:val="Body"/>
      </w:pPr>
      <w:r>
        <w:t xml:space="preserve">All non-admitted patient sessions performed in a single month will be bundled and counted as one non-admitted service event. </w:t>
      </w:r>
      <w:r w:rsidR="0801EDFF">
        <w:t xml:space="preserve">Home </w:t>
      </w:r>
      <w:r w:rsidR="003558E5">
        <w:t xml:space="preserve">enteral nutrition </w:t>
      </w:r>
      <w:r w:rsidR="44453A07">
        <w:t xml:space="preserve">activity </w:t>
      </w:r>
      <w:r w:rsidR="0801EDFF">
        <w:t xml:space="preserve">is funded to actuals. </w:t>
      </w:r>
      <w:r w:rsidR="6F013008">
        <w:t xml:space="preserve">A recall/throughput adjustment will be applied at the full rate </w:t>
      </w:r>
      <w:r w:rsidR="547F426D" w:rsidRPr="3BD71F2A">
        <w:rPr>
          <w:lang w:val="en-US"/>
        </w:rPr>
        <w:t>as a prior</w:t>
      </w:r>
      <w:r w:rsidR="00700C1A">
        <w:rPr>
          <w:lang w:val="en-US"/>
        </w:rPr>
        <w:t>-</w:t>
      </w:r>
      <w:r w:rsidR="547F426D" w:rsidRPr="3BD71F2A">
        <w:rPr>
          <w:lang w:val="en-US"/>
        </w:rPr>
        <w:t xml:space="preserve">year adjustment </w:t>
      </w:r>
      <w:r w:rsidR="6F013008">
        <w:t>for health services whose activity is below or over target</w:t>
      </w:r>
      <w:r w:rsidR="003558E5">
        <w:t>.</w:t>
      </w:r>
    </w:p>
    <w:p w14:paraId="7E1546B7" w14:textId="2FA0CFF4" w:rsidR="00007561" w:rsidRPr="007F03EF" w:rsidRDefault="07714090" w:rsidP="00F44C54">
      <w:pPr>
        <w:pStyle w:val="Body"/>
      </w:pPr>
      <w:r w:rsidRPr="007F03EF">
        <w:t xml:space="preserve">Read more about </w:t>
      </w:r>
      <w:hyperlink r:id="rId59" w:history="1">
        <w:r w:rsidR="00FA14EE" w:rsidRPr="007F03EF">
          <w:rPr>
            <w:rStyle w:val="Hyperlink"/>
          </w:rPr>
          <w:t>home-delivered enteral nutrition funding arrangements</w:t>
        </w:r>
      </w:hyperlink>
      <w:r w:rsidRPr="007F03EF">
        <w:t xml:space="preserve"> </w:t>
      </w:r>
      <w:r w:rsidR="00FA14EE" w:rsidRPr="007F03EF">
        <w:t>&lt;</w:t>
      </w:r>
      <w:r w:rsidR="00F41792" w:rsidRPr="007F03EF">
        <w:t>https://www.health.vic.gov.au/publications/hen-and-tpn-home-delivered-funding-arrangements-for-victorian-public-health-services</w:t>
      </w:r>
      <w:r w:rsidR="00FA14EE" w:rsidRPr="007F03EF">
        <w:t>&gt;</w:t>
      </w:r>
      <w:r w:rsidR="00701D56">
        <w:t>.</w:t>
      </w:r>
    </w:p>
    <w:p w14:paraId="1146E3FA" w14:textId="0B0EDEA3" w:rsidR="00007561" w:rsidRPr="007F03EF" w:rsidRDefault="00007561" w:rsidP="00081936">
      <w:pPr>
        <w:pStyle w:val="Heading3"/>
        <w:numPr>
          <w:ilvl w:val="2"/>
          <w:numId w:val="33"/>
        </w:numPr>
        <w:ind w:left="1134"/>
      </w:pPr>
      <w:bookmarkStart w:id="220" w:name="_Toc77588932"/>
      <w:bookmarkStart w:id="221" w:name="_Toc100263311"/>
      <w:bookmarkStart w:id="222" w:name="_Toc156569631"/>
      <w:r w:rsidRPr="007F03EF">
        <w:t>Total</w:t>
      </w:r>
      <w:r w:rsidR="0034782A">
        <w:t xml:space="preserve"> </w:t>
      </w:r>
      <w:r w:rsidR="003558E5">
        <w:t>p</w:t>
      </w:r>
      <w:r w:rsidR="003558E5" w:rsidRPr="007F03EF">
        <w:t xml:space="preserve">arenteral </w:t>
      </w:r>
      <w:bookmarkEnd w:id="220"/>
      <w:bookmarkEnd w:id="221"/>
      <w:r w:rsidR="003558E5">
        <w:t>n</w:t>
      </w:r>
      <w:r w:rsidR="003558E5" w:rsidRPr="007F03EF">
        <w:t>utrition</w:t>
      </w:r>
      <w:bookmarkEnd w:id="222"/>
    </w:p>
    <w:p w14:paraId="10C040A8" w14:textId="547FDA3F" w:rsidR="0098139F" w:rsidRPr="007F03EF" w:rsidRDefault="5EA19A82" w:rsidP="3BD71F2A">
      <w:pPr>
        <w:pStyle w:val="Body"/>
        <w:rPr>
          <w:rFonts w:cs="Arial"/>
        </w:rPr>
      </w:pPr>
      <w:r w:rsidRPr="3BD71F2A">
        <w:rPr>
          <w:rFonts w:cs="Arial"/>
        </w:rPr>
        <w:t>This</w:t>
      </w:r>
      <w:r w:rsidR="6F013008" w:rsidRPr="3BD71F2A">
        <w:rPr>
          <w:rFonts w:cs="Arial"/>
        </w:rPr>
        <w:t xml:space="preserve"> non-admitted program continue</w:t>
      </w:r>
      <w:r w:rsidR="11B4FA76" w:rsidRPr="3BD71F2A">
        <w:rPr>
          <w:rFonts w:cs="Arial"/>
        </w:rPr>
        <w:t>s</w:t>
      </w:r>
      <w:r w:rsidR="6F013008" w:rsidRPr="3BD71F2A">
        <w:rPr>
          <w:rFonts w:cs="Arial"/>
        </w:rPr>
        <w:t xml:space="preserve"> to be paid as a </w:t>
      </w:r>
      <w:r w:rsidR="1DF6B3DA" w:rsidRPr="3BD71F2A">
        <w:rPr>
          <w:rFonts w:cs="Arial"/>
        </w:rPr>
        <w:t xml:space="preserve">separate </w:t>
      </w:r>
      <w:r w:rsidR="6F013008" w:rsidRPr="3BD71F2A">
        <w:rPr>
          <w:rFonts w:cs="Arial"/>
        </w:rPr>
        <w:t>specified grant with attached NWAU targets.</w:t>
      </w:r>
      <w:r w:rsidR="653BFED6" w:rsidRPr="3BD71F2A">
        <w:rPr>
          <w:rFonts w:cs="Arial"/>
        </w:rPr>
        <w:t xml:space="preserve"> </w:t>
      </w:r>
      <w:r w:rsidR="6F013008" w:rsidRPr="3BD71F2A">
        <w:rPr>
          <w:rFonts w:cs="Arial"/>
        </w:rPr>
        <w:t>NWAU targets have been updated based on the latest 12 months of activity.</w:t>
      </w:r>
    </w:p>
    <w:p w14:paraId="33989D97" w14:textId="0E324F83" w:rsidR="00007561" w:rsidRPr="007F03EF" w:rsidRDefault="3E8BF1E2" w:rsidP="00F44C54">
      <w:pPr>
        <w:pStyle w:val="Body"/>
      </w:pPr>
      <w:r w:rsidRPr="3BD71F2A">
        <w:rPr>
          <w:rFonts w:cs="Arial"/>
        </w:rPr>
        <w:t xml:space="preserve">All non-admitted patient sessions performed in a single month will be bundled and counted as one non-admitted service event. </w:t>
      </w:r>
      <w:r w:rsidR="34345311" w:rsidRPr="3BD71F2A">
        <w:rPr>
          <w:rFonts w:cs="Arial"/>
        </w:rPr>
        <w:t xml:space="preserve">Total </w:t>
      </w:r>
      <w:r w:rsidR="00556120">
        <w:rPr>
          <w:rFonts w:cs="Arial"/>
        </w:rPr>
        <w:t>p</w:t>
      </w:r>
      <w:r w:rsidR="00556120" w:rsidRPr="3BD71F2A">
        <w:rPr>
          <w:rFonts w:cs="Arial"/>
        </w:rPr>
        <w:t xml:space="preserve">arenteral </w:t>
      </w:r>
      <w:r w:rsidR="00556120">
        <w:t xml:space="preserve">nutrition </w:t>
      </w:r>
      <w:r w:rsidR="10FD850E">
        <w:t>activity</w:t>
      </w:r>
      <w:r w:rsidR="34345311">
        <w:t xml:space="preserve"> is funded to actuals. </w:t>
      </w:r>
      <w:r w:rsidR="6F013008">
        <w:t xml:space="preserve">A recall/throughput adjustment will be applied at the full rate </w:t>
      </w:r>
      <w:r w:rsidR="341C7926" w:rsidRPr="3BD71F2A">
        <w:rPr>
          <w:lang w:val="en-US"/>
        </w:rPr>
        <w:t>as a prior</w:t>
      </w:r>
      <w:r w:rsidR="00700C1A">
        <w:rPr>
          <w:lang w:val="en-US"/>
        </w:rPr>
        <w:t>-</w:t>
      </w:r>
      <w:r w:rsidR="341C7926" w:rsidRPr="3BD71F2A">
        <w:rPr>
          <w:lang w:val="en-US"/>
        </w:rPr>
        <w:t>year adjustment</w:t>
      </w:r>
      <w:r w:rsidR="33D1B506" w:rsidRPr="3BD71F2A">
        <w:rPr>
          <w:lang w:val="en-US"/>
        </w:rPr>
        <w:t xml:space="preserve"> at the end of the fiscal year </w:t>
      </w:r>
      <w:r w:rsidR="6F013008">
        <w:t>for health services whose activity is below or over target.</w:t>
      </w:r>
    </w:p>
    <w:p w14:paraId="00E27C0E" w14:textId="3B211973" w:rsidR="00007561" w:rsidRPr="007F03EF" w:rsidRDefault="00007561" w:rsidP="00F44C54">
      <w:pPr>
        <w:pStyle w:val="Body"/>
      </w:pPr>
      <w:r w:rsidRPr="007F03EF">
        <w:t xml:space="preserve">Read more about </w:t>
      </w:r>
      <w:hyperlink r:id="rId60" w:history="1">
        <w:r w:rsidR="00BF3F56" w:rsidRPr="007F03EF">
          <w:rPr>
            <w:rStyle w:val="Hyperlink"/>
          </w:rPr>
          <w:t>home-delivered total parenteral nutrition funding arrangements</w:t>
        </w:r>
      </w:hyperlink>
      <w:r w:rsidR="00BF3F56" w:rsidRPr="007F03EF">
        <w:t xml:space="preserve"> &lt;</w:t>
      </w:r>
      <w:r w:rsidR="00F119C1" w:rsidRPr="007F03EF">
        <w:t>https://www.health.vic.gov.au/publications/hen-and-tpn-home-delivered-funding-arrangements-for-victorian-public-health-services</w:t>
      </w:r>
      <w:r w:rsidR="00BF3F56" w:rsidRPr="007F03EF">
        <w:t>&gt;</w:t>
      </w:r>
      <w:r w:rsidR="00556120">
        <w:t>.</w:t>
      </w:r>
    </w:p>
    <w:p w14:paraId="0BBDE288" w14:textId="3CBF8A7E" w:rsidR="00007561" w:rsidRPr="007F03EF" w:rsidRDefault="00007561" w:rsidP="00081936">
      <w:pPr>
        <w:pStyle w:val="Heading3"/>
        <w:numPr>
          <w:ilvl w:val="2"/>
          <w:numId w:val="33"/>
        </w:numPr>
        <w:ind w:left="1134"/>
      </w:pPr>
      <w:bookmarkStart w:id="223" w:name="_Toc77588933"/>
      <w:bookmarkStart w:id="224" w:name="_Toc100263312"/>
      <w:bookmarkStart w:id="225" w:name="_Toc156569632"/>
      <w:r w:rsidRPr="007F03EF">
        <w:t>Home-</w:t>
      </w:r>
      <w:r w:rsidR="00556120">
        <w:t>b</w:t>
      </w:r>
      <w:r w:rsidR="00556120" w:rsidRPr="007F03EF">
        <w:t xml:space="preserve">ased </w:t>
      </w:r>
      <w:r w:rsidR="00556120">
        <w:t>r</w:t>
      </w:r>
      <w:r w:rsidR="00556120" w:rsidRPr="007F03EF">
        <w:t xml:space="preserve">enal </w:t>
      </w:r>
      <w:r w:rsidR="00556120">
        <w:t>d</w:t>
      </w:r>
      <w:r w:rsidR="00556120" w:rsidRPr="007F03EF">
        <w:t xml:space="preserve">ialysis </w:t>
      </w:r>
      <w:bookmarkEnd w:id="223"/>
      <w:bookmarkEnd w:id="224"/>
      <w:r w:rsidR="00556120">
        <w:t>s</w:t>
      </w:r>
      <w:r w:rsidR="00556120" w:rsidRPr="007F03EF">
        <w:t>ervices</w:t>
      </w:r>
      <w:bookmarkEnd w:id="225"/>
    </w:p>
    <w:p w14:paraId="0EA82CCA" w14:textId="4CC7314F" w:rsidR="00007561" w:rsidRPr="007F03EF" w:rsidRDefault="412524AE" w:rsidP="00F44C54">
      <w:pPr>
        <w:pStyle w:val="Body"/>
      </w:pPr>
      <w:r>
        <w:t>Both</w:t>
      </w:r>
      <w:r w:rsidR="6F013008">
        <w:t xml:space="preserve"> home peritoneal dialysis and home haemodialysis will continue to be paid as a </w:t>
      </w:r>
      <w:r w:rsidR="06A19EBA">
        <w:t xml:space="preserve">separate </w:t>
      </w:r>
      <w:r w:rsidR="6F013008">
        <w:t>specified grant with attached NWAU targets.</w:t>
      </w:r>
    </w:p>
    <w:p w14:paraId="64CAF4E5" w14:textId="1B30C557" w:rsidR="00007561" w:rsidRPr="007F03EF" w:rsidRDefault="6F013008" w:rsidP="00F44C54">
      <w:pPr>
        <w:pStyle w:val="Body"/>
      </w:pPr>
      <w:r>
        <w:t>NWAU targets have been updated based on the latest 12 months of activity.</w:t>
      </w:r>
      <w:r w:rsidR="1A1F13CD">
        <w:t xml:space="preserve"> Home-based renal dialysis </w:t>
      </w:r>
      <w:r w:rsidR="00A35D53">
        <w:t>services</w:t>
      </w:r>
      <w:r w:rsidR="1A1F13CD">
        <w:t xml:space="preserve"> are funded to actuals.</w:t>
      </w:r>
      <w:r>
        <w:t xml:space="preserve"> A recall/throughput adjustment will be applied at the full rate </w:t>
      </w:r>
      <w:r w:rsidR="769F5A1D" w:rsidRPr="3BD71F2A">
        <w:rPr>
          <w:lang w:val="en-US"/>
        </w:rPr>
        <w:t>as a prior</w:t>
      </w:r>
      <w:r w:rsidR="00700C1A">
        <w:rPr>
          <w:lang w:val="en-US"/>
        </w:rPr>
        <w:t>-</w:t>
      </w:r>
      <w:r w:rsidR="769F5A1D" w:rsidRPr="3BD71F2A">
        <w:rPr>
          <w:lang w:val="en-US"/>
        </w:rPr>
        <w:t>year adjustment and the end of the fi</w:t>
      </w:r>
      <w:r w:rsidR="1F6D2245" w:rsidRPr="3BD71F2A">
        <w:rPr>
          <w:lang w:val="en-US"/>
        </w:rPr>
        <w:t>scal</w:t>
      </w:r>
      <w:r w:rsidR="769F5A1D" w:rsidRPr="3BD71F2A">
        <w:rPr>
          <w:lang w:val="en-US"/>
        </w:rPr>
        <w:t xml:space="preserve"> year </w:t>
      </w:r>
      <w:r>
        <w:t>for health services whose activity is below or over target.</w:t>
      </w:r>
    </w:p>
    <w:p w14:paraId="4C682F45" w14:textId="34B2845C" w:rsidR="003D0237" w:rsidRPr="007F03EF" w:rsidRDefault="003D0237" w:rsidP="003D0237">
      <w:pPr>
        <w:pStyle w:val="Body"/>
      </w:pPr>
      <w:r w:rsidRPr="007F03EF">
        <w:t xml:space="preserve">Home dialysis </w:t>
      </w:r>
      <w:r w:rsidR="7D8774A9" w:rsidRPr="007F03EF">
        <w:t>funding</w:t>
      </w:r>
      <w:r w:rsidRPr="007F03EF">
        <w:t xml:space="preserve"> includes payments to be administered by the hub services</w:t>
      </w:r>
      <w:r w:rsidR="00FB0841" w:rsidRPr="007F03EF">
        <w:t>.</w:t>
      </w:r>
    </w:p>
    <w:p w14:paraId="27D6132A" w14:textId="4175514A" w:rsidR="005F056E" w:rsidRPr="007F03EF" w:rsidRDefault="006D1480" w:rsidP="00FB6101">
      <w:pPr>
        <w:pStyle w:val="Bodyafterbullets"/>
      </w:pPr>
      <w:r>
        <w:t>R</w:t>
      </w:r>
      <w:r w:rsidR="005F056E">
        <w:t xml:space="preserve">eporting of home renal dialysis services </w:t>
      </w:r>
      <w:r w:rsidR="008B102A">
        <w:t>is</w:t>
      </w:r>
      <w:r w:rsidR="005F056E">
        <w:t xml:space="preserve"> required through VINAH. </w:t>
      </w:r>
    </w:p>
    <w:p w14:paraId="3530F5F1" w14:textId="22DDE874" w:rsidR="00007561" w:rsidRPr="007F03EF" w:rsidRDefault="6F013008" w:rsidP="00081936">
      <w:pPr>
        <w:pStyle w:val="Heading3"/>
        <w:numPr>
          <w:ilvl w:val="2"/>
          <w:numId w:val="33"/>
        </w:numPr>
        <w:ind w:left="1134"/>
      </w:pPr>
      <w:bookmarkStart w:id="226" w:name="_Toc77588934"/>
      <w:bookmarkStart w:id="227" w:name="_Toc100263313"/>
      <w:bookmarkStart w:id="228" w:name="_Toc156569633"/>
      <w:r>
        <w:t>Genomics</w:t>
      </w:r>
      <w:bookmarkEnd w:id="226"/>
      <w:bookmarkEnd w:id="227"/>
      <w:bookmarkEnd w:id="228"/>
    </w:p>
    <w:p w14:paraId="3257DB8B" w14:textId="52F2D351" w:rsidR="00007561" w:rsidRPr="007F03EF" w:rsidRDefault="00007561" w:rsidP="00081936">
      <w:pPr>
        <w:pStyle w:val="Heading4"/>
        <w:numPr>
          <w:ilvl w:val="3"/>
          <w:numId w:val="33"/>
        </w:numPr>
      </w:pPr>
      <w:bookmarkStart w:id="229" w:name="_Hlk78813023"/>
      <w:r>
        <w:t xml:space="preserve">Genetic </w:t>
      </w:r>
      <w:r w:rsidR="00556120">
        <w:t>clinical activity</w:t>
      </w:r>
    </w:p>
    <w:p w14:paraId="33DEB983" w14:textId="0801C31B" w:rsidR="00966CE5" w:rsidRDefault="00966CE5" w:rsidP="00966CE5">
      <w:pPr>
        <w:pStyle w:val="Body"/>
      </w:pPr>
      <w:r>
        <w:t>Public genetic services activity is funded under the NHRA. Non-admitted service events derived from this activity and reported to VINAH attract NWAU. Health services may operate parallel public NHRA-funded clinics and public MBS-billed clinics. Public MBS-billed clinics are not funded under the NHRA and therefore do not attract NWAU. From 1 July 2023, NWAU targets for genetic services are incorporated into</w:t>
      </w:r>
      <w:r w:rsidR="00E51C96">
        <w:t xml:space="preserve"> </w:t>
      </w:r>
      <w:r w:rsidR="00D83DC2">
        <w:t xml:space="preserve">health </w:t>
      </w:r>
      <w:r w:rsidR="00E51C96">
        <w:t xml:space="preserve">services overall </w:t>
      </w:r>
      <w:r>
        <w:t>NWAU targets.</w:t>
      </w:r>
    </w:p>
    <w:p w14:paraId="50D400D1" w14:textId="1CE786FE" w:rsidR="00B569D2" w:rsidRDefault="00966CE5" w:rsidP="00966CE5">
      <w:pPr>
        <w:pStyle w:val="Body"/>
      </w:pPr>
      <w:r>
        <w:lastRenderedPageBreak/>
        <w:t>Growth funding and associated NWAU targets will be set based on a peer group structure and the VEP.</w:t>
      </w:r>
    </w:p>
    <w:p w14:paraId="7FBB1447" w14:textId="1F8D6110" w:rsidR="00F2595E" w:rsidRDefault="41540B19" w:rsidP="00F2595E">
      <w:pPr>
        <w:pStyle w:val="Body"/>
      </w:pPr>
      <w:r>
        <w:t xml:space="preserve">Further work on transitioning </w:t>
      </w:r>
      <w:r w:rsidR="2E66FB5D">
        <w:t>g</w:t>
      </w:r>
      <w:r w:rsidR="0B4EF025">
        <w:t>enetic</w:t>
      </w:r>
      <w:r w:rsidR="00F2595E">
        <w:t xml:space="preserve"> clinical activity provided to the Victorian Clinical Genetic Services and metabolic medicine/disease units at </w:t>
      </w:r>
      <w:r w:rsidR="00556120">
        <w:t xml:space="preserve">The </w:t>
      </w:r>
      <w:r w:rsidR="00F2595E">
        <w:t xml:space="preserve">Royal Children’s </w:t>
      </w:r>
      <w:r w:rsidR="00556120">
        <w:t xml:space="preserve">Hospital </w:t>
      </w:r>
      <w:r w:rsidR="00F2595E">
        <w:t xml:space="preserve">and </w:t>
      </w:r>
      <w:r w:rsidR="00556120">
        <w:t xml:space="preserve">The </w:t>
      </w:r>
      <w:r w:rsidR="00F2595E">
        <w:t xml:space="preserve">Royal Melbourne Hospital to the national funding model </w:t>
      </w:r>
      <w:r w:rsidR="00AC3F71">
        <w:t>will continue during 2023</w:t>
      </w:r>
      <w:r w:rsidR="00556120">
        <w:t>–</w:t>
      </w:r>
      <w:r w:rsidR="00AC3F71">
        <w:t>24</w:t>
      </w:r>
      <w:r w:rsidR="00F2595E">
        <w:t xml:space="preserve">. </w:t>
      </w:r>
    </w:p>
    <w:bookmarkEnd w:id="229"/>
    <w:p w14:paraId="45B26F46" w14:textId="4A7F365B" w:rsidR="00007561" w:rsidRPr="007F03EF" w:rsidRDefault="00007561" w:rsidP="00081936">
      <w:pPr>
        <w:pStyle w:val="Heading4"/>
        <w:numPr>
          <w:ilvl w:val="3"/>
          <w:numId w:val="33"/>
        </w:numPr>
      </w:pPr>
      <w:r w:rsidRPr="007F03EF">
        <w:t>Victorian Cancer Cytogenetics Service</w:t>
      </w:r>
    </w:p>
    <w:p w14:paraId="6963BA9A" w14:textId="537D84DC" w:rsidR="00007561" w:rsidRPr="007F03EF" w:rsidRDefault="00007561" w:rsidP="00F44C54">
      <w:pPr>
        <w:pStyle w:val="Body"/>
      </w:pPr>
      <w:r w:rsidRPr="007F03EF">
        <w:t xml:space="preserve">For </w:t>
      </w:r>
      <w:r w:rsidR="002E7EEF" w:rsidRPr="007F03EF">
        <w:t>2022</w:t>
      </w:r>
      <w:r w:rsidR="000C4670">
        <w:t>–</w:t>
      </w:r>
      <w:r w:rsidR="002E7EEF" w:rsidRPr="007F03EF">
        <w:t>23</w:t>
      </w:r>
      <w:r w:rsidR="000C4670">
        <w:t>,</w:t>
      </w:r>
      <w:r w:rsidR="002E7EEF" w:rsidRPr="007F03EF">
        <w:rPr>
          <w:lang w:val="en-US"/>
        </w:rPr>
        <w:t xml:space="preserve"> </w:t>
      </w:r>
      <w:r w:rsidRPr="007F03EF">
        <w:t>the Victorian Cancer Cytogenetics Service will continue to be paid as a block grant.</w:t>
      </w:r>
    </w:p>
    <w:p w14:paraId="31FA9A03" w14:textId="0BDD9B61" w:rsidR="00007561" w:rsidRPr="007F03EF" w:rsidRDefault="00007561" w:rsidP="00F44C54">
      <w:pPr>
        <w:pStyle w:val="Body"/>
      </w:pPr>
      <w:r w:rsidRPr="007F03EF">
        <w:t xml:space="preserve">The Victorian Cancer Cytogenetics Service (operating under the auspice of St Vincent’s Hospital) is a pathology service that provides a </w:t>
      </w:r>
      <w:r w:rsidR="001F75FE" w:rsidRPr="007F03EF">
        <w:t xml:space="preserve">comprehensive cancer cytogenomic </w:t>
      </w:r>
      <w:r w:rsidR="00D620E5" w:rsidRPr="007F03EF">
        <w:t>statewide</w:t>
      </w:r>
      <w:r w:rsidRPr="007F03EF">
        <w:t xml:space="preserve"> laboratory diagnostic service for all adult Victorians with blood cancers. It undertakes cancer cytogenetic (</w:t>
      </w:r>
      <w:r w:rsidR="000C4670">
        <w:t xml:space="preserve">that is, </w:t>
      </w:r>
      <w:r w:rsidRPr="007F03EF">
        <w:t>cell, chromosome and gene) analysis through conventional cytogenetic (</w:t>
      </w:r>
      <w:r w:rsidR="000C4670">
        <w:t>that is,</w:t>
      </w:r>
      <w:r w:rsidRPr="007F03EF">
        <w:t xml:space="preserve"> microscopic) and molecular (</w:t>
      </w:r>
      <w:r w:rsidR="000C4670">
        <w:t>for example,</w:t>
      </w:r>
      <w:r w:rsidRPr="007F03EF">
        <w:t xml:space="preserve"> fluorescent in situ hybridisation</w:t>
      </w:r>
      <w:r w:rsidR="001F75FE" w:rsidRPr="007F03EF">
        <w:t xml:space="preserve"> and </w:t>
      </w:r>
      <w:r w:rsidR="00121F7F" w:rsidRPr="007F03EF">
        <w:t>microarray analysis</w:t>
      </w:r>
      <w:r w:rsidRPr="007F03EF">
        <w:t xml:space="preserve">) testing. </w:t>
      </w:r>
      <w:bookmarkStart w:id="230" w:name="_Toc75750245"/>
      <w:bookmarkStart w:id="231" w:name="_Toc76181364"/>
      <w:bookmarkStart w:id="232" w:name="_Toc75750246"/>
      <w:bookmarkStart w:id="233" w:name="_Toc76181365"/>
      <w:bookmarkStart w:id="234" w:name="_Toc75750248"/>
      <w:bookmarkStart w:id="235" w:name="_Toc76181367"/>
      <w:bookmarkStart w:id="236" w:name="_Toc75750249"/>
      <w:bookmarkStart w:id="237" w:name="_Toc76181368"/>
      <w:bookmarkStart w:id="238" w:name="_Toc75750250"/>
      <w:bookmarkStart w:id="239" w:name="_Toc76181369"/>
      <w:bookmarkStart w:id="240" w:name="_Toc75750251"/>
      <w:bookmarkStart w:id="241" w:name="_Toc76181370"/>
      <w:bookmarkStart w:id="242" w:name="_Toc75750252"/>
      <w:bookmarkStart w:id="243" w:name="_Toc76181371"/>
      <w:bookmarkStart w:id="244" w:name="_Toc75750253"/>
      <w:bookmarkStart w:id="245" w:name="_Toc76181372"/>
      <w:bookmarkStart w:id="246" w:name="_Toc75750254"/>
      <w:bookmarkStart w:id="247" w:name="_Toc76181373"/>
      <w:bookmarkStart w:id="248" w:name="_Toc418694933"/>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54B3C738" w14:textId="77777777" w:rsidR="008A7D13" w:rsidRPr="007F03EF" w:rsidRDefault="008A7D13" w:rsidP="00081936">
      <w:pPr>
        <w:pStyle w:val="Heading3"/>
        <w:numPr>
          <w:ilvl w:val="2"/>
          <w:numId w:val="33"/>
        </w:numPr>
        <w:ind w:left="1134"/>
      </w:pPr>
      <w:bookmarkStart w:id="249" w:name="_Toc156569634"/>
      <w:bookmarkEnd w:id="248"/>
      <w:r>
        <w:t>Complex Care (FCP) (previously the Family Choice Program)</w:t>
      </w:r>
      <w:bookmarkEnd w:id="249"/>
    </w:p>
    <w:p w14:paraId="0FEE92ED" w14:textId="1D6C0521" w:rsidR="008A7D13" w:rsidRPr="00DD6C21" w:rsidRDefault="008A7D13" w:rsidP="008A7D13">
      <w:pPr>
        <w:pStyle w:val="Body"/>
        <w:rPr>
          <w:rFonts w:eastAsiaTheme="minorEastAsia"/>
        </w:rPr>
      </w:pPr>
      <w:r w:rsidRPr="00DD6C21">
        <w:t>For 2023</w:t>
      </w:r>
      <w:r w:rsidR="00556120">
        <w:t>–</w:t>
      </w:r>
      <w:r w:rsidRPr="00DD6C21">
        <w:t>24</w:t>
      </w:r>
      <w:r w:rsidR="00556120">
        <w:t>,</w:t>
      </w:r>
      <w:r w:rsidRPr="00DD6C21">
        <w:t xml:space="preserve"> </w:t>
      </w:r>
      <w:r w:rsidR="00556120">
        <w:t>h</w:t>
      </w:r>
      <w:r w:rsidR="00556120" w:rsidRPr="00DD6C21">
        <w:t xml:space="preserve">ome </w:t>
      </w:r>
      <w:r w:rsidR="00556120">
        <w:t>v</w:t>
      </w:r>
      <w:r w:rsidRPr="00DD6C21">
        <w:t xml:space="preserve">entilation funding for the Family Choice Program will continue to be paid as a non-admitted subacute block grant to </w:t>
      </w:r>
      <w:r w:rsidR="00556120">
        <w:t>T</w:t>
      </w:r>
      <w:r w:rsidRPr="00DD6C21">
        <w:t xml:space="preserve">he Royal Children’s Hospital. Funding for the remainder of the program will continue to be paid as a block grant with an attached </w:t>
      </w:r>
      <w:r w:rsidR="00AF331D">
        <w:t xml:space="preserve">shadow </w:t>
      </w:r>
      <w:r w:rsidRPr="00DD6C21">
        <w:t>NWAU target.</w:t>
      </w:r>
    </w:p>
    <w:p w14:paraId="4E8750EF" w14:textId="77777777" w:rsidR="008A7D13" w:rsidRPr="00DD6C21" w:rsidRDefault="008A7D13" w:rsidP="008A7D13">
      <w:pPr>
        <w:pStyle w:val="Body"/>
        <w:rPr>
          <w:rFonts w:eastAsia="Times New Roman"/>
        </w:rPr>
      </w:pPr>
      <w:r w:rsidRPr="00DD6C21">
        <w:t>The Family Choice Program is now integrated with The Royal Children’s Hospital Complex Care program. This program has developed a model of care to support chronic and complex medical paediatric care.</w:t>
      </w:r>
      <w:r>
        <w:t xml:space="preserve"> </w:t>
      </w:r>
    </w:p>
    <w:p w14:paraId="3838BB90" w14:textId="77777777" w:rsidR="008A7D13" w:rsidRPr="00DD6C21" w:rsidRDefault="008A7D13" w:rsidP="008A7D13">
      <w:pPr>
        <w:pStyle w:val="Body"/>
      </w:pPr>
      <w:r w:rsidRPr="00DD6C21">
        <w:t>The aim of the Complex Care (FCP) is to assist families of children with complex, chronic medical care needs to be cared for at home with their family. The Complex Care (FCP) is a statewide program that promotes health independence through individualised patient care plans, goal setting, supporting growth of patient and family self-management skills and capacity. There are three tiers of support with varying intensity that are responsive and flexible to patient and family needs available under the program.</w:t>
      </w:r>
    </w:p>
    <w:p w14:paraId="73805BE0" w14:textId="2DAD3A36" w:rsidR="008A7D13" w:rsidRPr="00DD6C21" w:rsidRDefault="008A7D13" w:rsidP="008A7D13">
      <w:pPr>
        <w:pStyle w:val="Body"/>
      </w:pPr>
      <w:r w:rsidRPr="00DD6C21">
        <w:t>For 2023</w:t>
      </w:r>
      <w:r w:rsidR="00556120">
        <w:t>–</w:t>
      </w:r>
      <w:r w:rsidRPr="00DD6C21">
        <w:t xml:space="preserve">24, shadow NWAU targets </w:t>
      </w:r>
      <w:r w:rsidR="000E31D2">
        <w:t>have been established</w:t>
      </w:r>
      <w:r w:rsidRPr="00DD6C21">
        <w:t xml:space="preserve">. </w:t>
      </w:r>
      <w:r w:rsidRPr="00F47F6E">
        <w:t>Maintaining this funding separately allows further work to be undertaken over the next 12 months for establishing appropriate NWAU targets</w:t>
      </w:r>
      <w:r>
        <w:t xml:space="preserve">. </w:t>
      </w:r>
      <w:r w:rsidRPr="00DD6C21">
        <w:t>This program is planned to transition to the National Funding Model from 1 July 2024.</w:t>
      </w:r>
    </w:p>
    <w:p w14:paraId="3D6D8AB3" w14:textId="2E66B1CE" w:rsidR="008A7D13" w:rsidRPr="007F03EF" w:rsidRDefault="008A7D13" w:rsidP="00081936">
      <w:pPr>
        <w:pStyle w:val="Heading4"/>
        <w:numPr>
          <w:ilvl w:val="3"/>
          <w:numId w:val="33"/>
        </w:numPr>
      </w:pPr>
      <w:r w:rsidRPr="007F03EF">
        <w:t xml:space="preserve">Business </w:t>
      </w:r>
      <w:r w:rsidR="00556120">
        <w:t>r</w:t>
      </w:r>
      <w:r w:rsidR="00556120" w:rsidRPr="007F03EF">
        <w:t>ules</w:t>
      </w:r>
    </w:p>
    <w:p w14:paraId="2E6ED72F" w14:textId="0BDF154A" w:rsidR="008A7D13" w:rsidRPr="007F03EF" w:rsidRDefault="008A7D13" w:rsidP="008A7D13">
      <w:pPr>
        <w:pStyle w:val="Body"/>
      </w:pPr>
      <w:r w:rsidRPr="007F03EF">
        <w:t xml:space="preserve">Activity delivered through the complex care hub related to the FCP should be classified using the Tier 2 </w:t>
      </w:r>
      <w:r w:rsidR="00556120">
        <w:t>n</w:t>
      </w:r>
      <w:r w:rsidR="00556120" w:rsidRPr="007F03EF">
        <w:t>on</w:t>
      </w:r>
      <w:r w:rsidRPr="007F03EF">
        <w:t>-</w:t>
      </w:r>
      <w:r w:rsidR="00556120">
        <w:t>a</w:t>
      </w:r>
      <w:r w:rsidR="00556120" w:rsidRPr="007F03EF">
        <w:t xml:space="preserve">dmitted </w:t>
      </w:r>
      <w:r w:rsidR="00556120">
        <w:t>s</w:t>
      </w:r>
      <w:r w:rsidR="00556120" w:rsidRPr="007F03EF">
        <w:t xml:space="preserve">ervices </w:t>
      </w:r>
      <w:r w:rsidR="00556120">
        <w:t>c</w:t>
      </w:r>
      <w:r w:rsidR="00556120" w:rsidRPr="007F03EF">
        <w:t>lassification</w:t>
      </w:r>
      <w:r w:rsidRPr="007F03EF">
        <w:t xml:space="preserve">. See </w:t>
      </w:r>
      <w:r>
        <w:t>s</w:t>
      </w:r>
      <w:r w:rsidRPr="007F03EF">
        <w:t>ection</w:t>
      </w:r>
      <w:r w:rsidR="00964BEB">
        <w:t xml:space="preserve"> </w:t>
      </w:r>
      <w:r w:rsidR="00964BEB">
        <w:fldChar w:fldCharType="begin"/>
      </w:r>
      <w:r w:rsidR="00964BEB">
        <w:instrText xml:space="preserve"> REF _Ref142548853 \r \h </w:instrText>
      </w:r>
      <w:r w:rsidR="00964BEB">
        <w:fldChar w:fldCharType="separate"/>
      </w:r>
      <w:r w:rsidR="00116027">
        <w:t>1.13.2.2</w:t>
      </w:r>
      <w:r w:rsidR="00964BEB">
        <w:fldChar w:fldCharType="end"/>
      </w:r>
      <w:r w:rsidRPr="007F03EF">
        <w:t xml:space="preserve"> </w:t>
      </w:r>
      <w:r w:rsidRPr="007F03EF">
        <w:fldChar w:fldCharType="begin"/>
      </w:r>
      <w:r w:rsidRPr="007F03EF">
        <w:instrText xml:space="preserve"> REF _Ref87974150 \r \h </w:instrText>
      </w:r>
      <w:r>
        <w:instrText xml:space="preserve"> \* MERGEFORMAT </w:instrText>
      </w:r>
      <w:r w:rsidR="00000000">
        <w:fldChar w:fldCharType="separate"/>
      </w:r>
      <w:r w:rsidRPr="007F03EF">
        <w:fldChar w:fldCharType="end"/>
      </w:r>
      <w:r w:rsidRPr="007F03EF">
        <w:t xml:space="preserve">for further information on the Tier 2 </w:t>
      </w:r>
      <w:r w:rsidR="00556120">
        <w:t>c</w:t>
      </w:r>
      <w:r w:rsidR="00556120" w:rsidRPr="007F03EF">
        <w:t>lassification</w:t>
      </w:r>
      <w:r w:rsidRPr="007F03EF">
        <w:t>.</w:t>
      </w:r>
    </w:p>
    <w:p w14:paraId="6D41FDF6" w14:textId="737D3F5D" w:rsidR="008A7D13" w:rsidRPr="007F03EF" w:rsidRDefault="008A7D13" w:rsidP="008A7D13">
      <w:pPr>
        <w:pStyle w:val="Body"/>
      </w:pPr>
      <w:r w:rsidRPr="007F03EF">
        <w:t xml:space="preserve">The unit of count adopted for these non-admitted services is ‘service event’. See </w:t>
      </w:r>
      <w:r>
        <w:t>s</w:t>
      </w:r>
      <w:r w:rsidRPr="007F03EF">
        <w:t xml:space="preserve">ection </w:t>
      </w:r>
      <w:r w:rsidRPr="007F03EF">
        <w:fldChar w:fldCharType="begin"/>
      </w:r>
      <w:r w:rsidRPr="007F03EF">
        <w:instrText xml:space="preserve"> REF _Ref87974150 \r \h </w:instrText>
      </w:r>
      <w:r>
        <w:instrText xml:space="preserve"> \* MERGEFORMAT </w:instrText>
      </w:r>
      <w:r w:rsidRPr="007F03EF">
        <w:fldChar w:fldCharType="separate"/>
      </w:r>
      <w:r w:rsidR="00116027">
        <w:t>1.13.2</w:t>
      </w:r>
      <w:r w:rsidRPr="007F03EF">
        <w:fldChar w:fldCharType="end"/>
      </w:r>
      <w:r w:rsidR="00116027">
        <w:t xml:space="preserve"> </w:t>
      </w:r>
      <w:r w:rsidRPr="007F03EF">
        <w:t>for further information on service events. The FCP is required to report non-admitted services as service events through the relevant AIMS form and report contacts through the VINAH minimum dataset. These service events do not attract NWAU. Eligibility for NWAU funding will be reviewed over the next 12 months.</w:t>
      </w:r>
    </w:p>
    <w:p w14:paraId="00B21D46" w14:textId="3202F256" w:rsidR="001F1E6A" w:rsidRPr="007F03EF" w:rsidRDefault="008A7D13" w:rsidP="00A771E9">
      <w:pPr>
        <w:pStyle w:val="Body"/>
      </w:pPr>
      <w:r w:rsidRPr="007F03EF">
        <w:t xml:space="preserve">It is expected that </w:t>
      </w:r>
      <w:r>
        <w:t>The</w:t>
      </w:r>
      <w:r w:rsidRPr="007F03EF">
        <w:t xml:space="preserve"> Royal Children’s Hospital maintain and report Complex Care (FCP) patient-level costing data to the Victorian Cost Data Collection.</w:t>
      </w:r>
    </w:p>
    <w:p w14:paraId="07053B7B" w14:textId="541A0034" w:rsidR="00F44C54" w:rsidRPr="007F03EF" w:rsidRDefault="33411043" w:rsidP="009522D1">
      <w:pPr>
        <w:pStyle w:val="Heading2"/>
      </w:pPr>
      <w:bookmarkStart w:id="250" w:name="_Toc77588980"/>
      <w:bookmarkStart w:id="251" w:name="_Toc100263314"/>
      <w:bookmarkStart w:id="252" w:name="_Toc156569635"/>
      <w:r>
        <w:lastRenderedPageBreak/>
        <w:t>Non-</w:t>
      </w:r>
      <w:r w:rsidR="00556120">
        <w:t>a</w:t>
      </w:r>
      <w:r>
        <w:t xml:space="preserve">dmitted </w:t>
      </w:r>
      <w:r w:rsidR="00556120">
        <w:t>block</w:t>
      </w:r>
      <w:r w:rsidR="00556817">
        <w:t>-</w:t>
      </w:r>
      <w:r w:rsidR="00556120">
        <w:t xml:space="preserve">funded </w:t>
      </w:r>
      <w:bookmarkEnd w:id="250"/>
      <w:bookmarkEnd w:id="251"/>
      <w:r w:rsidR="00556120">
        <w:t>services</w:t>
      </w:r>
      <w:bookmarkEnd w:id="252"/>
    </w:p>
    <w:p w14:paraId="6EC7A52A" w14:textId="20FED25F" w:rsidR="00F44C54" w:rsidRPr="007F03EF" w:rsidRDefault="00F44C54" w:rsidP="00081936">
      <w:pPr>
        <w:pStyle w:val="Heading3"/>
        <w:numPr>
          <w:ilvl w:val="2"/>
          <w:numId w:val="33"/>
        </w:numPr>
        <w:ind w:left="1134"/>
      </w:pPr>
      <w:bookmarkStart w:id="253" w:name="_Toc77588981"/>
      <w:bookmarkStart w:id="254" w:name="_Toc100263315"/>
      <w:bookmarkStart w:id="255" w:name="_Toc156569636"/>
      <w:r w:rsidRPr="007F03EF">
        <w:t>Acute MBS-</w:t>
      </w:r>
      <w:r w:rsidR="00556120">
        <w:t>b</w:t>
      </w:r>
      <w:r w:rsidR="00556120" w:rsidRPr="007F03EF">
        <w:t xml:space="preserve">illed </w:t>
      </w:r>
      <w:r w:rsidR="00556120">
        <w:t>p</w:t>
      </w:r>
      <w:r w:rsidR="00556120" w:rsidRPr="007F03EF">
        <w:t xml:space="preserve">ublic </w:t>
      </w:r>
      <w:r w:rsidR="00556120">
        <w:t>s</w:t>
      </w:r>
      <w:r w:rsidR="00556120" w:rsidRPr="007F03EF">
        <w:t xml:space="preserve">pecialist </w:t>
      </w:r>
      <w:r w:rsidR="00556120">
        <w:t>c</w:t>
      </w:r>
      <w:r w:rsidR="00556120" w:rsidRPr="007F03EF">
        <w:t xml:space="preserve">linics </w:t>
      </w:r>
      <w:bookmarkEnd w:id="253"/>
      <w:bookmarkEnd w:id="254"/>
      <w:r w:rsidR="00556120">
        <w:t>s</w:t>
      </w:r>
      <w:r w:rsidR="00556120" w:rsidRPr="007F03EF">
        <w:t>ervices</w:t>
      </w:r>
      <w:bookmarkEnd w:id="255"/>
    </w:p>
    <w:p w14:paraId="1F5E35B7" w14:textId="20C669B4" w:rsidR="00126809" w:rsidRDefault="6DD42C36" w:rsidP="00F44C54">
      <w:pPr>
        <w:pStyle w:val="Body"/>
      </w:pPr>
      <w:r>
        <w:t xml:space="preserve">Funding </w:t>
      </w:r>
      <w:r w:rsidR="18EFDC36">
        <w:t>to support the delivery of this activity</w:t>
      </w:r>
      <w:r>
        <w:t xml:space="preserve"> will continue to be provided </w:t>
      </w:r>
      <w:r w:rsidR="18EFDC36">
        <w:t>via</w:t>
      </w:r>
      <w:r>
        <w:t xml:space="preserve"> a </w:t>
      </w:r>
      <w:r w:rsidR="7B465025">
        <w:t xml:space="preserve">block </w:t>
      </w:r>
      <w:r w:rsidR="18EFDC36">
        <w:t xml:space="preserve">grant </w:t>
      </w:r>
      <w:r w:rsidR="1FE84CA5">
        <w:t>for 2023</w:t>
      </w:r>
      <w:r w:rsidR="2D9A4001">
        <w:t>–</w:t>
      </w:r>
      <w:r w:rsidR="1FE84CA5">
        <w:t>24</w:t>
      </w:r>
      <w:r w:rsidR="62BA7EE5">
        <w:t>.</w:t>
      </w:r>
      <w:r w:rsidR="7CEBAC00">
        <w:t xml:space="preserve"> </w:t>
      </w:r>
    </w:p>
    <w:p w14:paraId="44B83BF3" w14:textId="7B3287A4" w:rsidR="00F44C54" w:rsidRPr="007F03EF" w:rsidRDefault="00F44C54" w:rsidP="00F44C54">
      <w:pPr>
        <w:pStyle w:val="Body"/>
      </w:pPr>
      <w:r w:rsidRPr="007F03EF">
        <w:t>Acute MBS-</w:t>
      </w:r>
      <w:r w:rsidR="00227E14">
        <w:t>b</w:t>
      </w:r>
      <w:r w:rsidR="00227E14" w:rsidRPr="007F03EF">
        <w:t xml:space="preserve">illed </w:t>
      </w:r>
      <w:r w:rsidRPr="007F03EF">
        <w:t xml:space="preserve">public specialist clinics are run by practitioners exercising rights of private practice. These services can only be provided if the same service is provided on a public basis. </w:t>
      </w:r>
    </w:p>
    <w:p w14:paraId="6AE09F7C" w14:textId="48B9F2E3" w:rsidR="00F44C54" w:rsidRPr="007F03EF" w:rsidRDefault="00F44C54" w:rsidP="00F44C54">
      <w:pPr>
        <w:pStyle w:val="Body"/>
      </w:pPr>
      <w:r w:rsidRPr="007F03EF">
        <w:t xml:space="preserve">Health services must consider whether it is beneficial to offer private health services to eligible patients. </w:t>
      </w:r>
      <w:r w:rsidR="00227E14">
        <w:t>W</w:t>
      </w:r>
      <w:r w:rsidRPr="007F03EF">
        <w:t>ith regard to other private patient funding arrangements, public hospitals will need to determine if services provided to MBS-billable patients are viable.</w:t>
      </w:r>
    </w:p>
    <w:p w14:paraId="73907B86" w14:textId="2461E0B2" w:rsidR="00AC0885" w:rsidRPr="007F03EF" w:rsidRDefault="37DF3C4A" w:rsidP="00F44C54">
      <w:pPr>
        <w:pStyle w:val="Body"/>
      </w:pPr>
      <w:r>
        <w:t>When establishing a new specialist clinic to treat private patients or reviewing an existing one, health services must consider the likely benefits and costs of this service delivery and funding arrangement. Health services must ensure that services required to meet demand are available, and the cost of operating these clinics is revenue neutral.</w:t>
      </w:r>
      <w:r w:rsidR="327115AF">
        <w:t xml:space="preserve"> </w:t>
      </w:r>
    </w:p>
    <w:p w14:paraId="46533974" w14:textId="0CEFEEBB" w:rsidR="00F44C54" w:rsidRPr="007F03EF" w:rsidRDefault="327115AF" w:rsidP="00F44C54">
      <w:pPr>
        <w:pStyle w:val="Body"/>
      </w:pPr>
      <w:r w:rsidRPr="31EDDCAC">
        <w:rPr>
          <w:lang w:val="en"/>
        </w:rPr>
        <w:t xml:space="preserve">The </w:t>
      </w:r>
      <w:hyperlink r:id="rId61">
        <w:r w:rsidR="4C04317F" w:rsidRPr="31EDDCAC">
          <w:rPr>
            <w:rStyle w:val="Hyperlink"/>
            <w:i/>
            <w:iCs/>
            <w:lang w:val="en"/>
          </w:rPr>
          <w:t xml:space="preserve">MBS billing policy framework: Victorian public hospitals </w:t>
        </w:r>
      </w:hyperlink>
      <w:r w:rsidR="4C04317F">
        <w:t>&lt;https://</w:t>
      </w:r>
      <w:r w:rsidR="6385E9D8">
        <w:t>www</w:t>
      </w:r>
      <w:r w:rsidR="4C04317F">
        <w:t>.health.vic.gov.au/funding-performance-accountability/</w:t>
      </w:r>
      <w:r w:rsidR="6385E9D8">
        <w:t>mbs-billing-policy</w:t>
      </w:r>
      <w:r w:rsidR="4C04317F">
        <w:t>-framework</w:t>
      </w:r>
      <w:r w:rsidR="6385E9D8">
        <w:t>-victorian-public-hospitals</w:t>
      </w:r>
      <w:r w:rsidR="4C04317F">
        <w:t xml:space="preserve">&gt; </w:t>
      </w:r>
      <w:r w:rsidRPr="31EDDCAC">
        <w:rPr>
          <w:lang w:val="en"/>
        </w:rPr>
        <w:t xml:space="preserve">policy document states the mandatory requirements that apply to Victorian public hospitals billing under the MBS on behalf of health practitioners exercising a right of private practice and provides Victorian public hospitals with clarity on the </w:t>
      </w:r>
      <w:r w:rsidR="00227E14">
        <w:rPr>
          <w:lang w:val="en"/>
        </w:rPr>
        <w:t>d</w:t>
      </w:r>
      <w:r w:rsidRPr="31EDDCAC">
        <w:rPr>
          <w:lang w:val="en"/>
        </w:rPr>
        <w:t>epartment</w:t>
      </w:r>
      <w:r w:rsidR="00227E14">
        <w:rPr>
          <w:lang w:val="en"/>
        </w:rPr>
        <w:t>’</w:t>
      </w:r>
      <w:r w:rsidRPr="31EDDCAC">
        <w:rPr>
          <w:lang w:val="en"/>
        </w:rPr>
        <w:t>s expectations when billing under the MBS</w:t>
      </w:r>
      <w:r w:rsidR="29AA3D50" w:rsidRPr="31EDDCAC">
        <w:rPr>
          <w:lang w:val="en"/>
        </w:rPr>
        <w:t>.</w:t>
      </w:r>
    </w:p>
    <w:p w14:paraId="767CD695" w14:textId="5CE46DD6" w:rsidR="00F44C54" w:rsidRPr="007F03EF" w:rsidRDefault="00F44C54" w:rsidP="00081936">
      <w:pPr>
        <w:pStyle w:val="Heading4"/>
        <w:numPr>
          <w:ilvl w:val="3"/>
          <w:numId w:val="33"/>
        </w:numPr>
      </w:pPr>
      <w:r w:rsidRPr="007F03EF">
        <w:t xml:space="preserve">Business </w:t>
      </w:r>
      <w:r w:rsidR="00556120">
        <w:t>r</w:t>
      </w:r>
      <w:r w:rsidR="00556120" w:rsidRPr="007F03EF">
        <w:t>ules</w:t>
      </w:r>
    </w:p>
    <w:p w14:paraId="22201610" w14:textId="541FEDC2" w:rsidR="00F44C54" w:rsidRPr="007F03EF" w:rsidRDefault="00F44C54" w:rsidP="00F44C54">
      <w:pPr>
        <w:pStyle w:val="Body"/>
      </w:pPr>
      <w:r w:rsidRPr="007F03EF">
        <w:t>Public MBS-billed clinics are required to be registered in NACMS</w:t>
      </w:r>
      <w:r w:rsidR="00227E14">
        <w:t>.</w:t>
      </w:r>
      <w:r w:rsidRPr="007F03EF">
        <w:t xml:space="preserve"> </w:t>
      </w:r>
      <w:r w:rsidR="00227E14">
        <w:t>A</w:t>
      </w:r>
      <w:r w:rsidRPr="007F03EF">
        <w:t xml:space="preserve">ctivity </w:t>
      </w:r>
      <w:r w:rsidR="00227E14">
        <w:t>must</w:t>
      </w:r>
      <w:r w:rsidRPr="007F03EF">
        <w:t xml:space="preserve"> be reported to the department as appropriate th</w:t>
      </w:r>
      <w:r w:rsidR="00227E14">
        <w:t>r</w:t>
      </w:r>
      <w:r w:rsidRPr="007F03EF">
        <w:t xml:space="preserve">ough VINAH, AIMS and NADC. Consequently, this activity is required to be classified using the Tier 2 </w:t>
      </w:r>
      <w:r w:rsidR="00556120">
        <w:t>n</w:t>
      </w:r>
      <w:r w:rsidR="00556120" w:rsidRPr="007F03EF">
        <w:t>on</w:t>
      </w:r>
      <w:r w:rsidRPr="007F03EF">
        <w:t>-</w:t>
      </w:r>
      <w:r w:rsidR="00556120">
        <w:t>a</w:t>
      </w:r>
      <w:r w:rsidR="00556120" w:rsidRPr="007F03EF">
        <w:t xml:space="preserve">dmitted </w:t>
      </w:r>
      <w:r w:rsidR="00556120">
        <w:t>s</w:t>
      </w:r>
      <w:r w:rsidR="00556120" w:rsidRPr="007F03EF">
        <w:t xml:space="preserve">ervices </w:t>
      </w:r>
      <w:r w:rsidR="00556120">
        <w:t>c</w:t>
      </w:r>
      <w:r w:rsidR="00556120" w:rsidRPr="007F03EF">
        <w:t>lassification</w:t>
      </w:r>
      <w:r w:rsidR="00556120">
        <w:t xml:space="preserve"> (Tier 2)</w:t>
      </w:r>
      <w:r w:rsidRPr="007F03EF">
        <w:t xml:space="preserve">. See </w:t>
      </w:r>
      <w:r w:rsidR="002A5529">
        <w:t>s</w:t>
      </w:r>
      <w:r w:rsidRPr="007F03EF">
        <w:t xml:space="preserve">ection </w:t>
      </w:r>
      <w:r w:rsidR="00171A1A">
        <w:fldChar w:fldCharType="begin"/>
      </w:r>
      <w:r w:rsidR="00171A1A">
        <w:instrText xml:space="preserve"> REF _Ref142548853 \r \h </w:instrText>
      </w:r>
      <w:r w:rsidR="00171A1A">
        <w:fldChar w:fldCharType="separate"/>
      </w:r>
      <w:r w:rsidR="00171A1A">
        <w:t>1.13.2.2</w:t>
      </w:r>
      <w:r w:rsidR="00171A1A">
        <w:fldChar w:fldCharType="end"/>
      </w:r>
      <w:r w:rsidR="00917D59" w:rsidRPr="007F03EF">
        <w:t xml:space="preserve"> </w:t>
      </w:r>
      <w:r w:rsidRPr="007F03EF">
        <w:t xml:space="preserve">for further information on </w:t>
      </w:r>
      <w:r w:rsidR="00556120">
        <w:t xml:space="preserve">the </w:t>
      </w:r>
      <w:r w:rsidRPr="007F03EF">
        <w:t>Tier 2</w:t>
      </w:r>
      <w:r w:rsidR="00556120">
        <w:t xml:space="preserve"> classification</w:t>
      </w:r>
      <w:r w:rsidRPr="007F03EF">
        <w:t>.</w:t>
      </w:r>
    </w:p>
    <w:p w14:paraId="43FB3184" w14:textId="139DAECA" w:rsidR="00F44C54" w:rsidRPr="007F03EF" w:rsidRDefault="00F44C54" w:rsidP="00F44C54">
      <w:pPr>
        <w:pStyle w:val="Body"/>
      </w:pPr>
      <w:r w:rsidRPr="007F03EF">
        <w:t xml:space="preserve">The unit of count adopted for these non-admitted services is ‘service event’.  See </w:t>
      </w:r>
      <w:r w:rsidR="002A5529">
        <w:t>s</w:t>
      </w:r>
      <w:r w:rsidR="00F34E43" w:rsidRPr="007F03EF">
        <w:t xml:space="preserve">ection </w:t>
      </w:r>
      <w:r w:rsidR="00F34E43" w:rsidRPr="007F03EF">
        <w:fldChar w:fldCharType="begin"/>
      </w:r>
      <w:r w:rsidR="00F34E43" w:rsidRPr="007F03EF">
        <w:instrText xml:space="preserve"> REF _Ref87974150 \r \h </w:instrText>
      </w:r>
      <w:r w:rsidR="007F03EF">
        <w:instrText xml:space="preserve"> \* MERGEFORMAT </w:instrText>
      </w:r>
      <w:r w:rsidR="00F34E43" w:rsidRPr="007F03EF">
        <w:fldChar w:fldCharType="separate"/>
      </w:r>
      <w:r w:rsidR="00171A1A">
        <w:t>1.13.2</w:t>
      </w:r>
      <w:r w:rsidR="00F34E43" w:rsidRPr="007F03EF">
        <w:fldChar w:fldCharType="end"/>
      </w:r>
      <w:r w:rsidR="00F34E43" w:rsidRPr="007F03EF">
        <w:t xml:space="preserve"> </w:t>
      </w:r>
      <w:r w:rsidRPr="007F03EF">
        <w:t>for further information on service events. These service events do not attract NWAU.</w:t>
      </w:r>
    </w:p>
    <w:p w14:paraId="16A76D4C" w14:textId="520738CC" w:rsidR="00F44C54" w:rsidRPr="007F03EF" w:rsidRDefault="00F44C54" w:rsidP="00F44C54">
      <w:pPr>
        <w:pStyle w:val="Body"/>
      </w:pPr>
      <w:r w:rsidRPr="007F03EF">
        <w:t xml:space="preserve">Hospitals are required to review their registered clinics regularly and ensure the MBS remuneration model has been correctly identified for each registered clinic treating private non-admitted patients. This can be done via the </w:t>
      </w:r>
      <w:hyperlink r:id="rId62" w:history="1">
        <w:r w:rsidR="00ED4C7B" w:rsidRPr="007F03EF">
          <w:rPr>
            <w:rStyle w:val="Hyperlink"/>
          </w:rPr>
          <w:t>HealthCollect portal</w:t>
        </w:r>
      </w:hyperlink>
      <w:r w:rsidR="00867234" w:rsidRPr="007F03EF">
        <w:rPr>
          <w:rStyle w:val="FootnoteReference"/>
          <w:color w:val="004C97"/>
          <w:u w:val="dotted"/>
        </w:rPr>
        <w:footnoteReference w:id="5"/>
      </w:r>
      <w:r w:rsidR="00ED4C7B" w:rsidRPr="007F03EF">
        <w:t xml:space="preserve"> &lt;https://www.healthcollect.vic.gov.au&gt;. </w:t>
      </w:r>
    </w:p>
    <w:p w14:paraId="3018B601" w14:textId="74AAC3CA" w:rsidR="00F44C54" w:rsidRPr="007F03EF" w:rsidRDefault="00F44C54" w:rsidP="00F44C54">
      <w:pPr>
        <w:pStyle w:val="Body"/>
      </w:pPr>
      <w:r w:rsidRPr="007F03EF">
        <w:t xml:space="preserve">It is expected that health services maintain and report patient-level costing data for </w:t>
      </w:r>
      <w:r w:rsidR="00556120">
        <w:t>a</w:t>
      </w:r>
      <w:r w:rsidR="00556120" w:rsidRPr="007F03EF">
        <w:t xml:space="preserve">cute </w:t>
      </w:r>
      <w:r w:rsidRPr="007F03EF">
        <w:t>MBS-</w:t>
      </w:r>
      <w:r w:rsidR="00556120">
        <w:t>b</w:t>
      </w:r>
      <w:r w:rsidR="00556120" w:rsidRPr="007F03EF">
        <w:t xml:space="preserve">illed </w:t>
      </w:r>
      <w:r w:rsidR="00556120">
        <w:t>s</w:t>
      </w:r>
      <w:r w:rsidR="00556120" w:rsidRPr="007F03EF">
        <w:t xml:space="preserve">pecialist </w:t>
      </w:r>
      <w:r w:rsidR="00556120">
        <w:t>c</w:t>
      </w:r>
      <w:r w:rsidR="00556120" w:rsidRPr="007F03EF">
        <w:t xml:space="preserve">linics </w:t>
      </w:r>
      <w:r w:rsidRPr="007F03EF">
        <w:t>to the Victorian Cost Data Collection.</w:t>
      </w:r>
    </w:p>
    <w:p w14:paraId="6E4BC92D" w14:textId="5D456E14" w:rsidR="00F44C54" w:rsidRPr="007F03EF" w:rsidRDefault="00F44C54" w:rsidP="00081936">
      <w:pPr>
        <w:pStyle w:val="Heading3"/>
        <w:numPr>
          <w:ilvl w:val="2"/>
          <w:numId w:val="33"/>
        </w:numPr>
        <w:ind w:left="1134"/>
      </w:pPr>
      <w:bookmarkStart w:id="256" w:name="_Toc77588983"/>
      <w:bookmarkStart w:id="257" w:name="_Toc100263317"/>
      <w:bookmarkStart w:id="258" w:name="_Toc156569637"/>
      <w:r w:rsidRPr="007F03EF">
        <w:t xml:space="preserve">Community </w:t>
      </w:r>
      <w:r w:rsidR="00556120">
        <w:t>p</w:t>
      </w:r>
      <w:r w:rsidR="00556120" w:rsidRPr="007F03EF">
        <w:t xml:space="preserve">alliative </w:t>
      </w:r>
      <w:bookmarkEnd w:id="256"/>
      <w:bookmarkEnd w:id="257"/>
      <w:r w:rsidR="00556120">
        <w:t>c</w:t>
      </w:r>
      <w:r w:rsidR="00556120" w:rsidRPr="007F03EF">
        <w:t>are</w:t>
      </w:r>
      <w:bookmarkEnd w:id="258"/>
    </w:p>
    <w:p w14:paraId="6C71B4B6" w14:textId="68DAD8AD" w:rsidR="00F44C54" w:rsidRPr="007F03EF" w:rsidRDefault="00F44C54" w:rsidP="00F44C54">
      <w:pPr>
        <w:pStyle w:val="Body"/>
      </w:pPr>
      <w:r w:rsidRPr="007F03EF">
        <w:t xml:space="preserve">Designated community palliative care services </w:t>
      </w:r>
      <w:r w:rsidR="00606804">
        <w:t>further</w:t>
      </w:r>
      <w:r w:rsidRPr="007F03EF">
        <w:t xml:space="preserve"> the goals of </w:t>
      </w:r>
      <w:r w:rsidRPr="007F03EF">
        <w:rPr>
          <w:i/>
          <w:iCs/>
        </w:rPr>
        <w:t>Victoria’s end</w:t>
      </w:r>
      <w:r w:rsidR="00240DAF">
        <w:rPr>
          <w:i/>
          <w:iCs/>
        </w:rPr>
        <w:t>-</w:t>
      </w:r>
      <w:r w:rsidRPr="007F03EF">
        <w:rPr>
          <w:i/>
          <w:iCs/>
        </w:rPr>
        <w:t>of</w:t>
      </w:r>
      <w:r w:rsidR="00240DAF">
        <w:rPr>
          <w:i/>
          <w:iCs/>
        </w:rPr>
        <w:t>-</w:t>
      </w:r>
      <w:r w:rsidRPr="007F03EF">
        <w:rPr>
          <w:i/>
          <w:iCs/>
        </w:rPr>
        <w:t xml:space="preserve">life and palliative care framework </w:t>
      </w:r>
      <w:r w:rsidRPr="007F03EF">
        <w:t xml:space="preserve">(July 2016). Designated community palliative care services must provide care in line with the department’s </w:t>
      </w:r>
      <w:r w:rsidR="00606804">
        <w:t>c</w:t>
      </w:r>
      <w:r w:rsidRPr="007F03EF">
        <w:t xml:space="preserve">onditions of </w:t>
      </w:r>
      <w:r w:rsidR="00606804">
        <w:t>f</w:t>
      </w:r>
      <w:r w:rsidR="00606804" w:rsidRPr="007F03EF">
        <w:t xml:space="preserve">unding </w:t>
      </w:r>
      <w:r w:rsidRPr="007F03EF">
        <w:t xml:space="preserve">for palliative care published on the </w:t>
      </w:r>
      <w:hyperlink r:id="rId63">
        <w:r w:rsidRPr="007F03EF">
          <w:rPr>
            <w:rStyle w:val="Hyperlink"/>
          </w:rPr>
          <w:t>Palliative care webpage</w:t>
        </w:r>
      </w:hyperlink>
      <w:r w:rsidRPr="007F03EF">
        <w:t xml:space="preserve"> &lt;https://</w:t>
      </w:r>
      <w:r w:rsidR="00B0701B" w:rsidRPr="007F03EF">
        <w:t>www</w:t>
      </w:r>
      <w:r w:rsidRPr="007F03EF">
        <w:t>.health.vic.gov.au/</w:t>
      </w:r>
      <w:r w:rsidR="00B0701B" w:rsidRPr="007F03EF">
        <w:t>patient-care/conditions-of-funding-for-</w:t>
      </w:r>
      <w:r w:rsidRPr="007F03EF">
        <w:t>palliative-care&gt;.</w:t>
      </w:r>
    </w:p>
    <w:p w14:paraId="612EA393" w14:textId="474E7336" w:rsidR="00F44C54" w:rsidRPr="007F03EF" w:rsidRDefault="00606804" w:rsidP="00F44C54">
      <w:pPr>
        <w:pStyle w:val="Body"/>
      </w:pPr>
      <w:r>
        <w:t>E</w:t>
      </w:r>
      <w:r w:rsidRPr="007F03EF">
        <w:t xml:space="preserve">ach Victorian local government area </w:t>
      </w:r>
      <w:r>
        <w:t>has a</w:t>
      </w:r>
      <w:r w:rsidRPr="007F03EF">
        <w:t xml:space="preserve"> </w:t>
      </w:r>
      <w:r w:rsidR="00F44C54" w:rsidRPr="007F03EF">
        <w:t xml:space="preserve">designated community palliative care service. Each service has a prescribed catchment area. </w:t>
      </w:r>
      <w:r w:rsidR="57A3A811" w:rsidRPr="007F03EF">
        <w:t>D</w:t>
      </w:r>
      <w:r w:rsidR="00F44C54" w:rsidRPr="007F03EF">
        <w:t xml:space="preserve">esignated services </w:t>
      </w:r>
      <w:r w:rsidR="1902037E" w:rsidRPr="007F03EF">
        <w:t xml:space="preserve">are required to provide a service </w:t>
      </w:r>
      <w:r w:rsidR="003979DA" w:rsidRPr="007F03EF">
        <w:t xml:space="preserve">to </w:t>
      </w:r>
      <w:r w:rsidR="00F44C54" w:rsidRPr="007F03EF">
        <w:lastRenderedPageBreak/>
        <w:t>clients in residential aged care facilities and disability group homes</w:t>
      </w:r>
      <w:r>
        <w:t>,</w:t>
      </w:r>
      <w:r w:rsidR="00F44C54" w:rsidRPr="007F03EF">
        <w:t xml:space="preserve"> as these facilities are the client’s home.</w:t>
      </w:r>
    </w:p>
    <w:p w14:paraId="5546292D" w14:textId="12BEC6D8" w:rsidR="00F44C54" w:rsidRPr="007F03EF" w:rsidRDefault="00F44C54" w:rsidP="00F44C54">
      <w:pPr>
        <w:pStyle w:val="Body"/>
      </w:pPr>
      <w:r w:rsidRPr="007F03EF">
        <w:t>All community palliative care services have access to flexible funds to care for clients at home. These funds are incorporated in each service’s non-admitted (community) palliative care funding allocation.</w:t>
      </w:r>
    </w:p>
    <w:p w14:paraId="7FA676F7" w14:textId="77134474" w:rsidR="00F44C54" w:rsidRPr="007F03EF" w:rsidRDefault="00F44C54" w:rsidP="00F44C54">
      <w:pPr>
        <w:pStyle w:val="Body"/>
      </w:pPr>
      <w:r w:rsidRPr="007F03EF">
        <w:t xml:space="preserve">The VINAH </w:t>
      </w:r>
      <w:r w:rsidR="448AC43F" w:rsidRPr="007F03EF">
        <w:t>minimum dataset</w:t>
      </w:r>
      <w:r w:rsidRPr="007F03EF">
        <w:t xml:space="preserve"> is the data collection on which reporting will be based.</w:t>
      </w:r>
    </w:p>
    <w:p w14:paraId="302ED6D8" w14:textId="43ED9BEF" w:rsidR="00F44C54" w:rsidRPr="007F03EF" w:rsidRDefault="00F44C54" w:rsidP="00081936">
      <w:pPr>
        <w:pStyle w:val="Heading4"/>
        <w:numPr>
          <w:ilvl w:val="3"/>
          <w:numId w:val="33"/>
        </w:numPr>
      </w:pPr>
      <w:r w:rsidRPr="007F03EF">
        <w:t xml:space="preserve">Business </w:t>
      </w:r>
      <w:r w:rsidR="00606804">
        <w:t>r</w:t>
      </w:r>
      <w:r w:rsidR="00606804" w:rsidRPr="007F03EF">
        <w:t>ules</w:t>
      </w:r>
    </w:p>
    <w:p w14:paraId="0FF4F2B7" w14:textId="0DD072FB" w:rsidR="00F44C54" w:rsidRPr="007F03EF" w:rsidRDefault="00F44C54" w:rsidP="00F44C54">
      <w:pPr>
        <w:pStyle w:val="Body"/>
      </w:pPr>
      <w:r w:rsidRPr="007F03EF">
        <w:t xml:space="preserve">Activity delivered through the Community Palliative Care program should be classified using the Tier 2 </w:t>
      </w:r>
      <w:r w:rsidR="00606804" w:rsidRPr="007F03EF">
        <w:t>non-admitted services classification</w:t>
      </w:r>
      <w:r w:rsidRPr="007F03EF">
        <w:t xml:space="preserve">. See </w:t>
      </w:r>
      <w:r w:rsidR="00171A1A">
        <w:t xml:space="preserve">section </w:t>
      </w:r>
      <w:r w:rsidR="00171A1A">
        <w:fldChar w:fldCharType="begin"/>
      </w:r>
      <w:r w:rsidR="00171A1A">
        <w:instrText xml:space="preserve"> REF _Ref142548853 \r \h </w:instrText>
      </w:r>
      <w:r w:rsidR="00171A1A">
        <w:fldChar w:fldCharType="separate"/>
      </w:r>
      <w:r w:rsidR="00171A1A">
        <w:t>1.13.2.2</w:t>
      </w:r>
      <w:r w:rsidR="00171A1A">
        <w:fldChar w:fldCharType="end"/>
      </w:r>
      <w:r w:rsidRPr="007F03EF">
        <w:t xml:space="preserve"> for further information on the Tier 2 </w:t>
      </w:r>
      <w:r w:rsidR="00606804">
        <w:t>c</w:t>
      </w:r>
      <w:r w:rsidR="00606804" w:rsidRPr="007F03EF">
        <w:t>lassification</w:t>
      </w:r>
      <w:r w:rsidRPr="007F03EF">
        <w:t>.</w:t>
      </w:r>
    </w:p>
    <w:p w14:paraId="43100C94" w14:textId="339EE33C" w:rsidR="00F44C54" w:rsidRPr="007F03EF" w:rsidRDefault="37DF3C4A" w:rsidP="00F44C54">
      <w:pPr>
        <w:pStyle w:val="Body"/>
      </w:pPr>
      <w:r>
        <w:t xml:space="preserve">In </w:t>
      </w:r>
      <w:r w:rsidR="065DF069">
        <w:t>2022</w:t>
      </w:r>
      <w:r w:rsidR="00AD5AB1">
        <w:t>–</w:t>
      </w:r>
      <w:r w:rsidR="065DF069">
        <w:t>23</w:t>
      </w:r>
      <w:r w:rsidR="0058130C">
        <w:t>,</w:t>
      </w:r>
      <w:r w:rsidR="065DF069" w:rsidRPr="7586326A">
        <w:rPr>
          <w:lang w:val="en-US"/>
        </w:rPr>
        <w:t xml:space="preserve"> </w:t>
      </w:r>
      <w:r>
        <w:t xml:space="preserve">the department </w:t>
      </w:r>
      <w:r w:rsidR="04748443">
        <w:t>move</w:t>
      </w:r>
      <w:r w:rsidR="5484AD15">
        <w:t>d</w:t>
      </w:r>
      <w:r w:rsidR="04748443">
        <w:t xml:space="preserve"> to </w:t>
      </w:r>
      <w:r w:rsidR="6F912652">
        <w:t xml:space="preserve">a </w:t>
      </w:r>
      <w:r w:rsidR="5F3BB323">
        <w:t>new</w:t>
      </w:r>
      <w:r>
        <w:t xml:space="preserve"> </w:t>
      </w:r>
      <w:r w:rsidR="5DEDF888">
        <w:t>episod</w:t>
      </w:r>
      <w:r w:rsidR="132DCD27">
        <w:t>e</w:t>
      </w:r>
      <w:r w:rsidR="5DEDF888">
        <w:t xml:space="preserve"> target</w:t>
      </w:r>
      <w:r>
        <w:t xml:space="preserve"> for designated community palliative care </w:t>
      </w:r>
      <w:r w:rsidR="5DEDF888">
        <w:t>services</w:t>
      </w:r>
      <w:r w:rsidR="7EB108A5">
        <w:t>.</w:t>
      </w:r>
      <w:r w:rsidR="5DEDF888">
        <w:t xml:space="preserve"> </w:t>
      </w:r>
      <w:r w:rsidR="3A6192B9">
        <w:t xml:space="preserve">This </w:t>
      </w:r>
      <w:r w:rsidR="0C894DA8">
        <w:t>replace</w:t>
      </w:r>
      <w:r w:rsidR="30488809">
        <w:t>d</w:t>
      </w:r>
      <w:r>
        <w:t xml:space="preserve"> the </w:t>
      </w:r>
      <w:r w:rsidR="345EBA07">
        <w:t xml:space="preserve">historical </w:t>
      </w:r>
      <w:r>
        <w:t>contact target</w:t>
      </w:r>
      <w:r w:rsidR="5E6EB5D6">
        <w:t>s</w:t>
      </w:r>
      <w:r w:rsidR="3A6192B9">
        <w:t>.</w:t>
      </w:r>
      <w:r>
        <w:t xml:space="preserve"> Services </w:t>
      </w:r>
      <w:r w:rsidR="1EB54AE6">
        <w:t>are required to</w:t>
      </w:r>
      <w:r w:rsidR="127A18B2">
        <w:t xml:space="preserve"> </w:t>
      </w:r>
      <w:r w:rsidR="5DEDF888">
        <w:t xml:space="preserve">continue </w:t>
      </w:r>
      <w:r>
        <w:t>report</w:t>
      </w:r>
      <w:r w:rsidR="42A8B0C0">
        <w:t>ing</w:t>
      </w:r>
      <w:r>
        <w:t xml:space="preserve"> contacts as they are the counting unit for </w:t>
      </w:r>
      <w:r w:rsidR="5DEDF888">
        <w:t>Tier-2 non-admitted</w:t>
      </w:r>
      <w:r>
        <w:t xml:space="preserve"> activity.</w:t>
      </w:r>
    </w:p>
    <w:p w14:paraId="59BF6926" w14:textId="1B933BC6" w:rsidR="00F44C54" w:rsidRPr="007F03EF" w:rsidRDefault="37DF3C4A" w:rsidP="00F44C54">
      <w:pPr>
        <w:pStyle w:val="Body"/>
      </w:pPr>
      <w:r>
        <w:t>Designated community palliative care services are required to report patient</w:t>
      </w:r>
      <w:r w:rsidR="00B34795">
        <w:t>-</w:t>
      </w:r>
      <w:r>
        <w:t xml:space="preserve">level cost data to the Victorian Cost Data Collection from 1 July 2021. </w:t>
      </w:r>
      <w:r w:rsidR="164F33AD">
        <w:t>T</w:t>
      </w:r>
      <w:r w:rsidR="5AF34289">
        <w:t>he</w:t>
      </w:r>
      <w:r w:rsidR="3A6192B9">
        <w:t xml:space="preserve"> </w:t>
      </w:r>
      <w:r w:rsidR="00AD5AB1">
        <w:t xml:space="preserve">department </w:t>
      </w:r>
      <w:r w:rsidR="164F33AD">
        <w:t xml:space="preserve">will engage with </w:t>
      </w:r>
      <w:r w:rsidR="5A00558E">
        <w:t>n</w:t>
      </w:r>
      <w:r w:rsidR="164F33AD">
        <w:t xml:space="preserve">on-government providers and community health services in </w:t>
      </w:r>
      <w:r w:rsidR="065DF069">
        <w:t>202</w:t>
      </w:r>
      <w:r w:rsidR="5F829B9E">
        <w:t>3</w:t>
      </w:r>
      <w:r w:rsidR="00AD5AB1">
        <w:t>–</w:t>
      </w:r>
      <w:r w:rsidR="065DF069">
        <w:t>2</w:t>
      </w:r>
      <w:r w:rsidR="01F1ECFF">
        <w:t>4</w:t>
      </w:r>
      <w:r w:rsidR="065DF069" w:rsidRPr="7586326A">
        <w:rPr>
          <w:lang w:val="en-US"/>
        </w:rPr>
        <w:t xml:space="preserve"> </w:t>
      </w:r>
      <w:r w:rsidR="6CA56D8E">
        <w:t>to work towards this requirement throughout the financial year.</w:t>
      </w:r>
      <w:r w:rsidR="164F33AD">
        <w:t xml:space="preserve"> </w:t>
      </w:r>
    </w:p>
    <w:p w14:paraId="1F31B96A" w14:textId="613AE7DF" w:rsidR="00F44C54" w:rsidRPr="007F03EF" w:rsidRDefault="00F44C54" w:rsidP="00081936">
      <w:pPr>
        <w:pStyle w:val="Heading3"/>
        <w:numPr>
          <w:ilvl w:val="2"/>
          <w:numId w:val="33"/>
        </w:numPr>
        <w:ind w:left="1134"/>
      </w:pPr>
      <w:bookmarkStart w:id="259" w:name="_Toc100263318"/>
      <w:bookmarkStart w:id="260" w:name="_Toc77588984"/>
      <w:bookmarkStart w:id="261" w:name="_Toc156569638"/>
      <w:r w:rsidRPr="007F03EF">
        <w:t xml:space="preserve">Palliative </w:t>
      </w:r>
      <w:r w:rsidR="00606804">
        <w:t>c</w:t>
      </w:r>
      <w:r w:rsidR="00606804" w:rsidRPr="007F03EF">
        <w:t xml:space="preserve">are </w:t>
      </w:r>
      <w:r w:rsidR="00606804">
        <w:t>c</w:t>
      </w:r>
      <w:r w:rsidR="00606804" w:rsidRPr="007F03EF">
        <w:t xml:space="preserve">onsultancy </w:t>
      </w:r>
      <w:bookmarkEnd w:id="259"/>
      <w:bookmarkEnd w:id="260"/>
      <w:r w:rsidR="00606804">
        <w:t>s</w:t>
      </w:r>
      <w:r w:rsidR="00606804" w:rsidRPr="007F03EF">
        <w:t>ervices</w:t>
      </w:r>
      <w:bookmarkEnd w:id="261"/>
    </w:p>
    <w:p w14:paraId="51A2CC7B" w14:textId="7762D105" w:rsidR="00F44C54" w:rsidRDefault="00606804" w:rsidP="00F44C54">
      <w:pPr>
        <w:pStyle w:val="Body"/>
      </w:pPr>
      <w:r>
        <w:t>The department funds p</w:t>
      </w:r>
      <w:r w:rsidRPr="007F03EF">
        <w:t>alliativ</w:t>
      </w:r>
      <w:r>
        <w:t xml:space="preserve">e </w:t>
      </w:r>
      <w:r w:rsidR="00F44C54">
        <w:t xml:space="preserve">care consultancy services in </w:t>
      </w:r>
      <w:r w:rsidR="3C4B606F">
        <w:t>12</w:t>
      </w:r>
      <w:r w:rsidR="00F44C54">
        <w:t xml:space="preserve"> metropolitan health services and in the five rural regions.</w:t>
      </w:r>
    </w:p>
    <w:p w14:paraId="6D8B74A1" w14:textId="246DB15D" w:rsidR="00F44C54" w:rsidRPr="00084C04" w:rsidRDefault="37DF3C4A" w:rsidP="00F44C54">
      <w:pPr>
        <w:pStyle w:val="Body"/>
      </w:pPr>
      <w:r>
        <w:t>Consultancy services work across all healthcare settings. They provide specialist advice and support to clinical services within hospitals and in the community, including to community palliative care services</w:t>
      </w:r>
      <w:r w:rsidR="2E87E441">
        <w:t xml:space="preserve">, </w:t>
      </w:r>
      <w:r>
        <w:t>residential facilities</w:t>
      </w:r>
      <w:r w:rsidR="7E3344D0">
        <w:t xml:space="preserve"> and general practitioners</w:t>
      </w:r>
      <w:r>
        <w:t>. They address complex issues that would otherwise require admission to hospital</w:t>
      </w:r>
      <w:r w:rsidR="6A4E1426">
        <w:t xml:space="preserve"> </w:t>
      </w:r>
      <w:r w:rsidR="7A598BE1">
        <w:t>or</w:t>
      </w:r>
      <w:r w:rsidR="6A4E1426">
        <w:t xml:space="preserve"> the transfer of care under the palliative care team from other </w:t>
      </w:r>
      <w:r w:rsidR="76C99305">
        <w:t>specialities</w:t>
      </w:r>
      <w:r w:rsidR="3A6192B9">
        <w:t>.</w:t>
      </w:r>
      <w:r>
        <w:t xml:space="preserve"> They provide education and training about palliative care to other clinicians and provide palliative care input for cancer streams and at chronic disease management meetings.</w:t>
      </w:r>
    </w:p>
    <w:p w14:paraId="1A063E8D" w14:textId="525EB715" w:rsidR="00F44C54" w:rsidRPr="00084C04" w:rsidRDefault="00F44C54" w:rsidP="00F44C54">
      <w:pPr>
        <w:pStyle w:val="Body"/>
      </w:pPr>
      <w:r w:rsidRPr="00084C04">
        <w:t>Palliative care consultancy services are required to report contacts in the Palliative Care Consultancy Program form in AIMS and report patient</w:t>
      </w:r>
      <w:r w:rsidR="00B34795">
        <w:t>-</w:t>
      </w:r>
      <w:r w:rsidRPr="00084C04">
        <w:t xml:space="preserve">level contacts through </w:t>
      </w:r>
      <w:r w:rsidR="448AC43F" w:rsidRPr="00084C04">
        <w:t>the VINAH minimum dataset</w:t>
      </w:r>
      <w:r w:rsidRPr="00084C04">
        <w:t>.</w:t>
      </w:r>
    </w:p>
    <w:p w14:paraId="7C9A56A6" w14:textId="68C0989D" w:rsidR="00F44C54" w:rsidRPr="00084C04" w:rsidRDefault="00F44C54" w:rsidP="00081936">
      <w:pPr>
        <w:pStyle w:val="Heading4"/>
        <w:numPr>
          <w:ilvl w:val="3"/>
          <w:numId w:val="33"/>
        </w:numPr>
      </w:pPr>
      <w:r w:rsidRPr="00084C04">
        <w:t>Hospital-</w:t>
      </w:r>
      <w:r w:rsidR="00606804">
        <w:t>b</w:t>
      </w:r>
      <w:r w:rsidR="00606804" w:rsidRPr="00084C04">
        <w:t xml:space="preserve">ased </w:t>
      </w:r>
      <w:r w:rsidR="00606804">
        <w:t>p</w:t>
      </w:r>
      <w:r w:rsidR="00606804" w:rsidRPr="00084C04">
        <w:t xml:space="preserve">alliative </w:t>
      </w:r>
      <w:r w:rsidR="00606804">
        <w:t>c</w:t>
      </w:r>
      <w:r w:rsidR="00606804" w:rsidRPr="00084C04">
        <w:t xml:space="preserve">are </w:t>
      </w:r>
      <w:r w:rsidR="00606804">
        <w:t>c</w:t>
      </w:r>
      <w:r w:rsidR="00606804" w:rsidRPr="00084C04">
        <w:t>onsultancy</w:t>
      </w:r>
    </w:p>
    <w:p w14:paraId="47FB1DAF" w14:textId="1BFEDF8D" w:rsidR="00F44C54" w:rsidRPr="00084C04" w:rsidRDefault="00F44C54" w:rsidP="00F44C54">
      <w:pPr>
        <w:pStyle w:val="Body"/>
      </w:pPr>
      <w:r>
        <w:t xml:space="preserve">Funding for hospital-based palliative care consultancy is </w:t>
      </w:r>
      <w:r w:rsidR="00C5750C">
        <w:t xml:space="preserve">included </w:t>
      </w:r>
      <w:r w:rsidR="001056EE">
        <w:t xml:space="preserve">in </w:t>
      </w:r>
      <w:r>
        <w:t>the price paid for acute admitted activity</w:t>
      </w:r>
      <w:r w:rsidR="60E372BF">
        <w:t xml:space="preserve"> </w:t>
      </w:r>
      <w:r w:rsidR="0DD3A672">
        <w:t>(</w:t>
      </w:r>
      <w:r w:rsidR="60E372BF">
        <w:t>NWAU)</w:t>
      </w:r>
      <w:r w:rsidR="4FE0B119">
        <w:t>.</w:t>
      </w:r>
      <w:r>
        <w:t xml:space="preserve"> </w:t>
      </w:r>
      <w:r w:rsidR="00AC5CBB">
        <w:t>Eleven</w:t>
      </w:r>
      <w:r>
        <w:t xml:space="preserve"> metropolitan health services </w:t>
      </w:r>
      <w:r w:rsidR="2B3B25EA">
        <w:t>receive a</w:t>
      </w:r>
      <w:r w:rsidR="52300C79">
        <w:t xml:space="preserve">n additional </w:t>
      </w:r>
      <w:r w:rsidR="2B3B25EA">
        <w:t xml:space="preserve">specified grant </w:t>
      </w:r>
      <w:r>
        <w:t>to support their palliative care consultancy teams to respond to immediate service demand and to support an outreach model. Th</w:t>
      </w:r>
      <w:r w:rsidR="2DE3226D">
        <w:t xml:space="preserve">e </w:t>
      </w:r>
      <w:r>
        <w:t xml:space="preserve">outreach model </w:t>
      </w:r>
      <w:r w:rsidR="00606804">
        <w:t>aims to expedite</w:t>
      </w:r>
      <w:r>
        <w:t xml:space="preserve"> early discharge and support clients in the short term with </w:t>
      </w:r>
      <w:r w:rsidR="00606804">
        <w:t xml:space="preserve">some </w:t>
      </w:r>
      <w:r>
        <w:t xml:space="preserve">acute supports until the designated community provider can take over ongoing </w:t>
      </w:r>
      <w:r w:rsidR="132D62C0">
        <w:t xml:space="preserve">community </w:t>
      </w:r>
      <w:r>
        <w:t xml:space="preserve">care. The grant </w:t>
      </w:r>
      <w:r w:rsidR="6B88B91D">
        <w:t>must not</w:t>
      </w:r>
      <w:r w:rsidDel="00F44C54">
        <w:t xml:space="preserve"> </w:t>
      </w:r>
      <w:r>
        <w:t>duplicate existing non-admitted palliative care within the service’s catchment.</w:t>
      </w:r>
    </w:p>
    <w:p w14:paraId="07AE9453" w14:textId="3CC68944" w:rsidR="00F44C54" w:rsidRPr="00084C04" w:rsidRDefault="00F44C54" w:rsidP="00F44C54">
      <w:pPr>
        <w:pStyle w:val="Body"/>
      </w:pPr>
      <w:r>
        <w:t xml:space="preserve">Funding </w:t>
      </w:r>
      <w:r w:rsidR="1CAFEC77">
        <w:t>for the outreach–</w:t>
      </w:r>
      <w:r w:rsidR="69251593">
        <w:t>hospital-based</w:t>
      </w:r>
      <w:r w:rsidR="1CAFEC77">
        <w:t xml:space="preserve"> consultancy model will continue to be allocated as a block grant in 2023</w:t>
      </w:r>
      <w:r w:rsidR="006D7322">
        <w:t>–</w:t>
      </w:r>
      <w:r w:rsidR="1CAFEC77">
        <w:t xml:space="preserve">24. </w:t>
      </w:r>
      <w:r w:rsidR="0BD415D4">
        <w:t xml:space="preserve">The department </w:t>
      </w:r>
      <w:r w:rsidR="008174E4">
        <w:t xml:space="preserve">has </w:t>
      </w:r>
      <w:r w:rsidR="0BD415D4">
        <w:t>commence</w:t>
      </w:r>
      <w:r w:rsidR="008174E4">
        <w:t>d</w:t>
      </w:r>
      <w:r w:rsidR="0BD415D4">
        <w:t xml:space="preserve"> work to inform the transition of</w:t>
      </w:r>
      <w:r w:rsidR="5E8CC476">
        <w:t xml:space="preserve"> this grant to NWAU from 1 July 2024.</w:t>
      </w:r>
    </w:p>
    <w:p w14:paraId="4F7CEE25" w14:textId="75EE2775" w:rsidR="00F44C54" w:rsidRPr="00084C04" w:rsidRDefault="00F44C54" w:rsidP="00081936">
      <w:pPr>
        <w:pStyle w:val="Heading4"/>
        <w:numPr>
          <w:ilvl w:val="3"/>
          <w:numId w:val="33"/>
        </w:numPr>
      </w:pPr>
      <w:r w:rsidRPr="00084C04">
        <w:lastRenderedPageBreak/>
        <w:t xml:space="preserve">Regional </w:t>
      </w:r>
      <w:r w:rsidR="006D7322">
        <w:t>p</w:t>
      </w:r>
      <w:r w:rsidR="006D7322" w:rsidRPr="00084C04">
        <w:t xml:space="preserve">alliative </w:t>
      </w:r>
      <w:r w:rsidR="006D7322">
        <w:t>c</w:t>
      </w:r>
      <w:r w:rsidR="006D7322" w:rsidRPr="00084C04">
        <w:t xml:space="preserve">are </w:t>
      </w:r>
      <w:r w:rsidR="006D7322">
        <w:t>c</w:t>
      </w:r>
      <w:r w:rsidR="006D7322" w:rsidRPr="00084C04">
        <w:t>onsultancy</w:t>
      </w:r>
    </w:p>
    <w:p w14:paraId="06C8F1EA" w14:textId="787D2B98" w:rsidR="00F44C54" w:rsidRPr="00084C04" w:rsidRDefault="00F44C54" w:rsidP="00F44C54">
      <w:pPr>
        <w:pStyle w:val="Body"/>
      </w:pPr>
      <w:r w:rsidRPr="00084C04">
        <w:t>Regional consultancies provide regular primary and secondary consultation to generalist health (including general practitioners, acute and subacute services) and community services (including aged care and disability services) on a regionwide basis. All generalist health and community services are expected to be able to care for people who are at the end of life</w:t>
      </w:r>
      <w:r w:rsidR="006D7322">
        <w:t>.</w:t>
      </w:r>
      <w:r w:rsidR="006D7322" w:rsidRPr="00084C04">
        <w:t xml:space="preserve"> </w:t>
      </w:r>
      <w:r w:rsidR="006D7322">
        <w:t>T</w:t>
      </w:r>
      <w:r w:rsidRPr="00084C04">
        <w:t>he consultancy teams provide specialist expertise and skill to support these services to provide good end-of-life care.</w:t>
      </w:r>
    </w:p>
    <w:p w14:paraId="65F543C5" w14:textId="291574EC" w:rsidR="00F44C54" w:rsidRPr="00084C04" w:rsidRDefault="00F44C54" w:rsidP="00F44C54">
      <w:pPr>
        <w:pStyle w:val="Body"/>
      </w:pPr>
      <w:r>
        <w:t xml:space="preserve">Funding for regional palliative care consultancy teams is provided as a block grant in </w:t>
      </w:r>
      <w:r w:rsidR="002E7EEF">
        <w:t>202</w:t>
      </w:r>
      <w:r w:rsidR="7D45CD14">
        <w:t>3</w:t>
      </w:r>
      <w:r w:rsidR="00AD5AB1">
        <w:t>–</w:t>
      </w:r>
      <w:r w:rsidR="002E7EEF">
        <w:t>2</w:t>
      </w:r>
      <w:r w:rsidR="4C1458E8">
        <w:t>4</w:t>
      </w:r>
      <w:r w:rsidR="002E7EEF">
        <w:t>.</w:t>
      </w:r>
      <w:r w:rsidR="002E7EEF" w:rsidRPr="7586326A">
        <w:rPr>
          <w:lang w:val="en-US"/>
        </w:rPr>
        <w:t xml:space="preserve"> </w:t>
      </w:r>
      <w:r>
        <w:t>In the majority or regions, this funding includes aged and disability link nurses. This funding is recurrent.</w:t>
      </w:r>
      <w:r w:rsidR="75D83A2A">
        <w:t xml:space="preserve"> Recall does not apply to regional palliative care consultancy services in </w:t>
      </w:r>
      <w:r w:rsidR="002E7EEF">
        <w:t>202</w:t>
      </w:r>
      <w:r w:rsidR="72205DDC">
        <w:t>3</w:t>
      </w:r>
      <w:r w:rsidR="00AD5AB1">
        <w:t>–</w:t>
      </w:r>
      <w:r w:rsidR="002E7EEF">
        <w:t>2</w:t>
      </w:r>
      <w:r w:rsidR="324921FD">
        <w:t>4</w:t>
      </w:r>
      <w:r w:rsidR="002E7EEF">
        <w:t>.</w:t>
      </w:r>
    </w:p>
    <w:p w14:paraId="0D35CB64" w14:textId="06D13F7F" w:rsidR="00F44C54" w:rsidRPr="00084C04" w:rsidRDefault="00F44C54" w:rsidP="00081936">
      <w:pPr>
        <w:pStyle w:val="Heading4"/>
        <w:numPr>
          <w:ilvl w:val="3"/>
          <w:numId w:val="33"/>
        </w:numPr>
      </w:pPr>
      <w:r w:rsidRPr="00084C04">
        <w:t xml:space="preserve">Statewide </w:t>
      </w:r>
      <w:r w:rsidR="006D7322">
        <w:t>p</w:t>
      </w:r>
      <w:r w:rsidR="006D7322" w:rsidRPr="00084C04">
        <w:t xml:space="preserve">alliative </w:t>
      </w:r>
      <w:r w:rsidR="006D7322">
        <w:t>c</w:t>
      </w:r>
      <w:r w:rsidR="006D7322" w:rsidRPr="00084C04">
        <w:t xml:space="preserve">are </w:t>
      </w:r>
      <w:r w:rsidR="006D7322">
        <w:t>c</w:t>
      </w:r>
      <w:r w:rsidR="006D7322" w:rsidRPr="00084C04">
        <w:t>onsultancy</w:t>
      </w:r>
    </w:p>
    <w:p w14:paraId="63C8613D" w14:textId="55558EBE" w:rsidR="00F44C54" w:rsidRPr="00084C04" w:rsidRDefault="00F44C54" w:rsidP="00F44C54">
      <w:pPr>
        <w:pStyle w:val="Body"/>
      </w:pPr>
      <w:r>
        <w:t xml:space="preserve">Funding for statewide palliative care consultancy teams is provided as a block grant in </w:t>
      </w:r>
      <w:r w:rsidR="002E7EEF">
        <w:t>202</w:t>
      </w:r>
      <w:r w:rsidR="03C843F9">
        <w:t>3</w:t>
      </w:r>
      <w:r w:rsidR="00AD5AB1">
        <w:t>–</w:t>
      </w:r>
      <w:r w:rsidR="002E7EEF">
        <w:t>2</w:t>
      </w:r>
      <w:r w:rsidR="2791CEEC">
        <w:t>4</w:t>
      </w:r>
      <w:r>
        <w:t>. Statewide consultancy services include the Victorian Paediatric Palliative Care Program, Very Special Kids, Motor Neurone Disease Association (Vic</w:t>
      </w:r>
      <w:r w:rsidR="00AD5AB1">
        <w:t>.</w:t>
      </w:r>
      <w:r>
        <w:t xml:space="preserve">) and </w:t>
      </w:r>
      <w:r w:rsidR="0723F3D3">
        <w:t>Grief Australia (</w:t>
      </w:r>
      <w:r w:rsidR="00354EE0">
        <w:t>previously</w:t>
      </w:r>
      <w:r w:rsidR="0723F3D3">
        <w:t xml:space="preserve"> T</w:t>
      </w:r>
      <w:r>
        <w:t>he Australian Centre for Grief and Bereavement</w:t>
      </w:r>
      <w:r w:rsidR="00093D1E">
        <w:t>)</w:t>
      </w:r>
      <w:r>
        <w:t>.</w:t>
      </w:r>
      <w:r w:rsidR="19388B99">
        <w:t xml:space="preserve"> This funding is recurrent.</w:t>
      </w:r>
    </w:p>
    <w:p w14:paraId="601FE1D2" w14:textId="45695DED" w:rsidR="00CF1248" w:rsidRPr="000A0DAE" w:rsidRDefault="00CF1248" w:rsidP="000A0DAE">
      <w:pPr>
        <w:pStyle w:val="DHHSbodyafterbullets"/>
        <w:rPr>
          <w:sz w:val="21"/>
          <w:szCs w:val="21"/>
        </w:rPr>
      </w:pPr>
      <w:r w:rsidRPr="7586326A">
        <w:rPr>
          <w:sz w:val="21"/>
          <w:szCs w:val="21"/>
        </w:rPr>
        <w:t xml:space="preserve">Funding allocations for palliative care statewide consultancy services are included in the organisation’s acute and subacute allocation. Recall does not apply to statewide palliative care consultancy services in </w:t>
      </w:r>
      <w:r w:rsidR="002E7EEF">
        <w:t>202</w:t>
      </w:r>
      <w:r w:rsidR="23D349CD">
        <w:t>3</w:t>
      </w:r>
      <w:r w:rsidR="00AD5AB1">
        <w:t>–</w:t>
      </w:r>
      <w:r w:rsidR="002E7EEF">
        <w:t>2</w:t>
      </w:r>
      <w:r w:rsidR="10215AF6">
        <w:t>4</w:t>
      </w:r>
      <w:r w:rsidRPr="7586326A">
        <w:rPr>
          <w:sz w:val="21"/>
          <w:szCs w:val="21"/>
        </w:rPr>
        <w:t>.</w:t>
      </w:r>
    </w:p>
    <w:p w14:paraId="399EE401" w14:textId="04572666" w:rsidR="00F44C54" w:rsidRPr="00084C04" w:rsidRDefault="33411043" w:rsidP="00081936">
      <w:pPr>
        <w:pStyle w:val="Heading4"/>
        <w:numPr>
          <w:ilvl w:val="3"/>
          <w:numId w:val="33"/>
        </w:numPr>
      </w:pPr>
      <w:r>
        <w:t xml:space="preserve">Business </w:t>
      </w:r>
      <w:r w:rsidR="006D7322">
        <w:t>rules</w:t>
      </w:r>
    </w:p>
    <w:p w14:paraId="6DB1AF1D" w14:textId="6314DC37" w:rsidR="00F44C54" w:rsidRPr="00084C04" w:rsidRDefault="00F44C54" w:rsidP="00F44C54">
      <w:pPr>
        <w:pStyle w:val="Body"/>
      </w:pPr>
      <w:r>
        <w:t xml:space="preserve">It is expected that health services maintain and report patient-level </w:t>
      </w:r>
      <w:r w:rsidR="5C3B3F7B">
        <w:t xml:space="preserve">activity </w:t>
      </w:r>
      <w:r>
        <w:t xml:space="preserve">for </w:t>
      </w:r>
      <w:r w:rsidR="00AD5AB1">
        <w:t>hospital</w:t>
      </w:r>
      <w:r>
        <w:t>-based palliative care consultancy and statewide services</w:t>
      </w:r>
      <w:r w:rsidR="24F95306">
        <w:t xml:space="preserve">. The mode of activity reporting will vary in </w:t>
      </w:r>
      <w:r w:rsidR="002E7EEF">
        <w:t>202</w:t>
      </w:r>
      <w:r w:rsidR="00E3F2AB">
        <w:t>3</w:t>
      </w:r>
      <w:r w:rsidR="00AD5AB1">
        <w:t>–</w:t>
      </w:r>
      <w:r w:rsidR="002E7EEF">
        <w:t>2</w:t>
      </w:r>
      <w:r w:rsidR="42616501">
        <w:t>4</w:t>
      </w:r>
      <w:r w:rsidR="00AD5AB1">
        <w:t>,</w:t>
      </w:r>
      <w:r w:rsidR="002E7EEF" w:rsidRPr="7586326A">
        <w:rPr>
          <w:lang w:val="en-US"/>
        </w:rPr>
        <w:t xml:space="preserve"> </w:t>
      </w:r>
      <w:r w:rsidR="24F95306">
        <w:t>subject to the service</w:t>
      </w:r>
      <w:r w:rsidR="00BB6F04">
        <w:t>’</w:t>
      </w:r>
      <w:r w:rsidR="24F95306">
        <w:t xml:space="preserve">s </w:t>
      </w:r>
      <w:r w:rsidR="65E81E48">
        <w:t xml:space="preserve">utilisation of </w:t>
      </w:r>
      <w:r w:rsidR="1A9CEB8D">
        <w:t>the VINAH minimum dataset</w:t>
      </w:r>
      <w:r w:rsidR="65E81E48">
        <w:t xml:space="preserve"> or </w:t>
      </w:r>
      <w:r w:rsidR="1A9CEB8D">
        <w:t xml:space="preserve">the </w:t>
      </w:r>
      <w:r w:rsidR="65E81E48">
        <w:t xml:space="preserve">NADC. </w:t>
      </w:r>
    </w:p>
    <w:p w14:paraId="6CE20BCA" w14:textId="3153BABA" w:rsidR="793BC204" w:rsidRPr="00084C04" w:rsidRDefault="78CBB610" w:rsidP="7E1767A0">
      <w:pPr>
        <w:pStyle w:val="Body"/>
      </w:pPr>
      <w:r>
        <w:t xml:space="preserve">It is expected that health services maintain and include hospital-based palliative care consultancy as part of their reporting of patient-level costing data for to the Victorian Cost Data Collection. </w:t>
      </w:r>
    </w:p>
    <w:p w14:paraId="067DA0ED" w14:textId="33FDE2CA" w:rsidR="00F44C54" w:rsidRPr="00084C04" w:rsidRDefault="00F44C54" w:rsidP="00081936">
      <w:pPr>
        <w:pStyle w:val="Heading3"/>
        <w:numPr>
          <w:ilvl w:val="2"/>
          <w:numId w:val="33"/>
        </w:numPr>
        <w:ind w:left="1134"/>
      </w:pPr>
      <w:bookmarkStart w:id="262" w:name="_Toc77588985"/>
      <w:bookmarkStart w:id="263" w:name="_Toc100263319"/>
      <w:bookmarkStart w:id="264" w:name="_Toc156569639"/>
      <w:r w:rsidRPr="00084C04">
        <w:t xml:space="preserve">Day </w:t>
      </w:r>
      <w:bookmarkEnd w:id="262"/>
      <w:bookmarkEnd w:id="263"/>
      <w:r w:rsidR="006D7322">
        <w:t>h</w:t>
      </w:r>
      <w:r w:rsidR="006D7322" w:rsidRPr="00084C04">
        <w:t>ospice</w:t>
      </w:r>
      <w:bookmarkEnd w:id="264"/>
    </w:p>
    <w:p w14:paraId="1C936117" w14:textId="2CFD4FB6" w:rsidR="00F44C54" w:rsidRPr="00084C04" w:rsidRDefault="00F44C54" w:rsidP="00F44C54">
      <w:pPr>
        <w:pStyle w:val="Body"/>
      </w:pPr>
      <w:bookmarkStart w:id="265" w:name="_Toc77588986"/>
      <w:r>
        <w:t xml:space="preserve">Acute health services funded to provide day hospice receive a non-admitted funding allocation for this activity. </w:t>
      </w:r>
      <w:bookmarkEnd w:id="265"/>
      <w:r>
        <w:t xml:space="preserve">It is expected that health services maintain and report patient-level activity for day hospice services via the VINAH minimum dataset. </w:t>
      </w:r>
    </w:p>
    <w:p w14:paraId="77C75E67" w14:textId="77777777" w:rsidR="00F44C54" w:rsidRPr="00084C04" w:rsidRDefault="33411043" w:rsidP="00081936">
      <w:pPr>
        <w:pStyle w:val="Heading3"/>
        <w:numPr>
          <w:ilvl w:val="2"/>
          <w:numId w:val="33"/>
        </w:numPr>
        <w:ind w:left="1134"/>
      </w:pPr>
      <w:bookmarkStart w:id="266" w:name="_Toc77711254"/>
      <w:bookmarkStart w:id="267" w:name="_Toc77588987"/>
      <w:bookmarkStart w:id="268" w:name="_Toc100263320"/>
      <w:bookmarkStart w:id="269" w:name="_Toc156569640"/>
      <w:bookmarkEnd w:id="266"/>
      <w:r>
        <w:t>Victorian Artificial Limb Program</w:t>
      </w:r>
      <w:bookmarkEnd w:id="267"/>
      <w:bookmarkEnd w:id="268"/>
      <w:bookmarkEnd w:id="269"/>
    </w:p>
    <w:p w14:paraId="367D9339" w14:textId="006B52BE" w:rsidR="00F44C54" w:rsidRPr="00084C04" w:rsidRDefault="37DF3C4A" w:rsidP="00F44C54">
      <w:pPr>
        <w:pStyle w:val="Body"/>
      </w:pPr>
      <w:r>
        <w:t xml:space="preserve">Funding for the Victorian Artificial Limb Program will continue to be provided as a block grant to health services as a non-admitted subacute service. Victorian Artificial Limb Program services are required to report service events as a non-admitted subacute service through the AIMS S11 form. The S11 collects activity at an aggregate level. </w:t>
      </w:r>
      <w:r w:rsidR="27CD002F">
        <w:t>Patient</w:t>
      </w:r>
      <w:r w:rsidR="00B34795">
        <w:t>-</w:t>
      </w:r>
      <w:r w:rsidR="27CD002F">
        <w:t xml:space="preserve">level reporting using </w:t>
      </w:r>
      <w:r w:rsidR="5E08F699">
        <w:t>the</w:t>
      </w:r>
      <w:r w:rsidR="127A18B2">
        <w:t xml:space="preserve"> </w:t>
      </w:r>
      <w:r w:rsidR="194FEC8F">
        <w:t>VINAH</w:t>
      </w:r>
      <w:r w:rsidR="2A0B949F">
        <w:t xml:space="preserve"> </w:t>
      </w:r>
      <w:r w:rsidR="36A4D396">
        <w:t>minimum dataset</w:t>
      </w:r>
      <w:r w:rsidR="26BB888C">
        <w:t xml:space="preserve"> </w:t>
      </w:r>
      <w:r w:rsidR="565B907A">
        <w:t xml:space="preserve">was </w:t>
      </w:r>
      <w:r w:rsidR="4653A5D1">
        <w:t>mandatory from 1 July 2022.</w:t>
      </w:r>
      <w:r w:rsidR="0A019539">
        <w:t xml:space="preserve"> </w:t>
      </w:r>
    </w:p>
    <w:p w14:paraId="0A85CAA7" w14:textId="74D10928" w:rsidR="00F44C54" w:rsidRPr="00084C04" w:rsidRDefault="33411043" w:rsidP="00F44C54">
      <w:pPr>
        <w:pStyle w:val="Body"/>
      </w:pPr>
      <w:r>
        <w:t xml:space="preserve">Services expected to provide artificial limbs under the Victorian Artificial Limb Program are: The Royal Children’s Hospital, Peninsula Health, Melbourne Health, Alfred Health, Barwon Health, </w:t>
      </w:r>
      <w:r w:rsidR="42F48A97">
        <w:t>Grampian’s</w:t>
      </w:r>
      <w:r>
        <w:t xml:space="preserve"> Health, Austin Health, St Vincent’s Health, Latrobe Regional Hospital, Bendigo Health and South West Healthcare.</w:t>
      </w:r>
    </w:p>
    <w:p w14:paraId="49BC0D15" w14:textId="77777777" w:rsidR="00F44C54" w:rsidRPr="00084C04" w:rsidRDefault="00F44C54" w:rsidP="00F44C54">
      <w:pPr>
        <w:pStyle w:val="Body"/>
      </w:pPr>
      <w:r w:rsidRPr="00084C04">
        <w:t>People accessing the Victorian Artificial Limb Program service and equipment may be eligible for the National Disability Insurance Scheme (NDIS). Health services are expected to identify NDIS</w:t>
      </w:r>
      <w:r w:rsidRPr="00084C04" w:rsidDel="009D489C">
        <w:t xml:space="preserve"> </w:t>
      </w:r>
      <w:r w:rsidRPr="00084C04">
        <w:lastRenderedPageBreak/>
        <w:t>participants, or those eligible to become participants, accessing their Victorian Artificial Limb Program services and ensure NDIS-eligible activity and equipment is billed to the NDIS.</w:t>
      </w:r>
    </w:p>
    <w:p w14:paraId="2E9CA054" w14:textId="3CF23AC3" w:rsidR="00F44C54" w:rsidRPr="00084C04" w:rsidRDefault="00F44C54" w:rsidP="00081936">
      <w:pPr>
        <w:pStyle w:val="Heading4"/>
        <w:numPr>
          <w:ilvl w:val="3"/>
          <w:numId w:val="33"/>
        </w:numPr>
      </w:pPr>
      <w:r w:rsidRPr="00084C04">
        <w:t xml:space="preserve">Business </w:t>
      </w:r>
      <w:r w:rsidR="006D7322">
        <w:t>r</w:t>
      </w:r>
      <w:r w:rsidR="006D7322" w:rsidRPr="00084C04">
        <w:t>ules</w:t>
      </w:r>
    </w:p>
    <w:p w14:paraId="3E9FD2E7" w14:textId="0B27FE77" w:rsidR="00F44C54" w:rsidRPr="00084C04" w:rsidRDefault="00F44C54" w:rsidP="00F44C54">
      <w:pPr>
        <w:pStyle w:val="Body"/>
      </w:pPr>
      <w:r w:rsidRPr="00084C04">
        <w:t xml:space="preserve">Activity delivered through the Victorian Artificial Limb Program should be classified using the Tier 2 </w:t>
      </w:r>
      <w:r w:rsidR="006D7322">
        <w:t>n</w:t>
      </w:r>
      <w:r w:rsidR="006D7322" w:rsidRPr="00084C04">
        <w:t>on</w:t>
      </w:r>
      <w:r w:rsidRPr="00084C04">
        <w:t>-</w:t>
      </w:r>
      <w:r w:rsidR="006D7322">
        <w:t>a</w:t>
      </w:r>
      <w:r w:rsidR="006D7322" w:rsidRPr="00084C04">
        <w:t xml:space="preserve">dmitted </w:t>
      </w:r>
      <w:r w:rsidR="006D7322">
        <w:t>s</w:t>
      </w:r>
      <w:r w:rsidR="006D7322" w:rsidRPr="00084C04">
        <w:t xml:space="preserve">ervices </w:t>
      </w:r>
      <w:r w:rsidR="006D7322">
        <w:t>c</w:t>
      </w:r>
      <w:r w:rsidR="006D7322" w:rsidRPr="00084C04">
        <w:t>lassification</w:t>
      </w:r>
      <w:r w:rsidRPr="00084C04">
        <w:t xml:space="preserve">. See </w:t>
      </w:r>
      <w:r w:rsidR="002A5529">
        <w:t>s</w:t>
      </w:r>
      <w:r w:rsidR="00527DEB" w:rsidRPr="00084C04">
        <w:t xml:space="preserve">ection </w:t>
      </w:r>
      <w:r w:rsidR="00D247C2">
        <w:fldChar w:fldCharType="begin"/>
      </w:r>
      <w:r w:rsidR="00D247C2">
        <w:instrText xml:space="preserve"> REF _Ref142548853 \r \h </w:instrText>
      </w:r>
      <w:r w:rsidR="00D247C2">
        <w:fldChar w:fldCharType="separate"/>
      </w:r>
      <w:r w:rsidR="00106DED">
        <w:t>1.13.2.2</w:t>
      </w:r>
      <w:r w:rsidR="00D247C2">
        <w:fldChar w:fldCharType="end"/>
      </w:r>
      <w:r w:rsidR="00527DEB" w:rsidRPr="00084C04">
        <w:t xml:space="preserve"> </w:t>
      </w:r>
      <w:r w:rsidRPr="00084C04">
        <w:t xml:space="preserve">for further information on the Tier 2 </w:t>
      </w:r>
      <w:r w:rsidR="006D7322">
        <w:t>c</w:t>
      </w:r>
      <w:r w:rsidR="006D7322" w:rsidRPr="00084C04">
        <w:t>lassification</w:t>
      </w:r>
      <w:r w:rsidRPr="00084C04">
        <w:t>.</w:t>
      </w:r>
    </w:p>
    <w:p w14:paraId="146AB792" w14:textId="2E1FB6FE" w:rsidR="00F44C54" w:rsidRPr="00084C04" w:rsidRDefault="37DF3C4A" w:rsidP="00F44C54">
      <w:pPr>
        <w:pStyle w:val="Body"/>
      </w:pPr>
      <w:r>
        <w:t>The unit of count adopted for these non-admitted services is ‘service event’.</w:t>
      </w:r>
      <w:r w:rsidR="512DA271">
        <w:t> </w:t>
      </w:r>
      <w:r w:rsidR="001A68D4">
        <w:t>Refer to s</w:t>
      </w:r>
      <w:r w:rsidR="1370C2BF">
        <w:t xml:space="preserve">ection </w:t>
      </w:r>
      <w:r w:rsidR="000C08C6" w:rsidRPr="007F03EF">
        <w:fldChar w:fldCharType="begin"/>
      </w:r>
      <w:r w:rsidR="000C08C6" w:rsidRPr="007F03EF">
        <w:instrText xml:space="preserve"> REF _Ref87974150 \r \h </w:instrText>
      </w:r>
      <w:r w:rsidR="000C08C6">
        <w:instrText xml:space="preserve"> \* MERGEFORMAT </w:instrText>
      </w:r>
      <w:r w:rsidR="000C08C6" w:rsidRPr="007F03EF">
        <w:fldChar w:fldCharType="separate"/>
      </w:r>
      <w:r w:rsidR="000C08C6">
        <w:t>1.13.2</w:t>
      </w:r>
      <w:r w:rsidR="000C08C6" w:rsidRPr="007F03EF">
        <w:fldChar w:fldCharType="end"/>
      </w:r>
      <w:r w:rsidR="1370C2BF">
        <w:t xml:space="preserve"> </w:t>
      </w:r>
      <w:r>
        <w:t xml:space="preserve">for further information on service events. The Victorian Artificial Limb Program is required to report non-admitted services as service events through the relevant AIMS form and report contacts through </w:t>
      </w:r>
      <w:r w:rsidR="512DA271">
        <w:t>the VINAH minimum dataset.</w:t>
      </w:r>
      <w:r>
        <w:t xml:space="preserve"> These service events do not attract NWAU for the purposes of setting targets.</w:t>
      </w:r>
    </w:p>
    <w:p w14:paraId="5D1112BC" w14:textId="77777777" w:rsidR="00F44C54" w:rsidRPr="00084C04" w:rsidRDefault="00F44C54" w:rsidP="00F44C54">
      <w:pPr>
        <w:pStyle w:val="Body"/>
      </w:pPr>
      <w:r w:rsidRPr="00084C04">
        <w:t>It is expected that health services maintain and report Victorian Artificial Limb Program patient-level costing data to the Victorian Cost Data Collection.</w:t>
      </w:r>
    </w:p>
    <w:p w14:paraId="7308A710" w14:textId="77777777" w:rsidR="00F44C54" w:rsidRPr="00084C04" w:rsidRDefault="00F44C54" w:rsidP="00081936">
      <w:pPr>
        <w:pStyle w:val="Heading3"/>
        <w:numPr>
          <w:ilvl w:val="2"/>
          <w:numId w:val="33"/>
        </w:numPr>
        <w:ind w:left="1134"/>
      </w:pPr>
      <w:bookmarkStart w:id="270" w:name="_Toc77588988"/>
      <w:bookmarkStart w:id="271" w:name="_Toc100263321"/>
      <w:bookmarkStart w:id="272" w:name="_Toc156569641"/>
      <w:r>
        <w:t>Victorian Respiratory Support Service</w:t>
      </w:r>
      <w:bookmarkEnd w:id="270"/>
      <w:bookmarkEnd w:id="271"/>
      <w:bookmarkEnd w:id="272"/>
    </w:p>
    <w:p w14:paraId="2DFDF8D0" w14:textId="77777777" w:rsidR="00F44C54" w:rsidRPr="00084C04" w:rsidRDefault="00F44C54" w:rsidP="00F44C54">
      <w:pPr>
        <w:pStyle w:val="Body"/>
      </w:pPr>
      <w:r w:rsidRPr="00084C04">
        <w:t xml:space="preserve">Funding for the Victorian Respiratory Support Service will continue to be provided as a block grant to Austin Health as a non-admitted subacute service. </w:t>
      </w:r>
    </w:p>
    <w:p w14:paraId="30115364" w14:textId="64D51E10" w:rsidR="00F44C54" w:rsidRPr="00084C04" w:rsidRDefault="00F44C54" w:rsidP="00081936">
      <w:pPr>
        <w:pStyle w:val="Heading4"/>
        <w:numPr>
          <w:ilvl w:val="3"/>
          <w:numId w:val="33"/>
        </w:numPr>
      </w:pPr>
      <w:r w:rsidRPr="00084C04">
        <w:t xml:space="preserve">Business </w:t>
      </w:r>
      <w:r w:rsidR="006D7322">
        <w:t>r</w:t>
      </w:r>
      <w:r w:rsidR="006D7322" w:rsidRPr="00084C04">
        <w:t>ules</w:t>
      </w:r>
    </w:p>
    <w:p w14:paraId="28044255" w14:textId="2861A0C1" w:rsidR="00F44C54" w:rsidRPr="00084C04" w:rsidRDefault="00F44C54" w:rsidP="00F44C54">
      <w:pPr>
        <w:pStyle w:val="Body"/>
      </w:pPr>
      <w:r w:rsidRPr="00084C04">
        <w:t xml:space="preserve">Activity delivered through the Victorian Respiratory Support Service should be classified using the Tier 2 </w:t>
      </w:r>
      <w:r w:rsidR="006D7322" w:rsidRPr="00084C04">
        <w:t>non-admitted services classification</w:t>
      </w:r>
      <w:r w:rsidRPr="00084C04">
        <w:t xml:space="preserve">. See </w:t>
      </w:r>
      <w:r w:rsidR="002A5529">
        <w:t>s</w:t>
      </w:r>
      <w:r w:rsidR="00527DEB" w:rsidRPr="00084C04">
        <w:t xml:space="preserve">ection </w:t>
      </w:r>
      <w:r w:rsidR="006E6A7C">
        <w:fldChar w:fldCharType="begin"/>
      </w:r>
      <w:r w:rsidR="006E6A7C">
        <w:instrText xml:space="preserve"> REF _Ref142548853 \r \h </w:instrText>
      </w:r>
      <w:r w:rsidR="006E6A7C">
        <w:fldChar w:fldCharType="separate"/>
      </w:r>
      <w:r w:rsidR="006E6A7C">
        <w:t>1.13.2.2</w:t>
      </w:r>
      <w:r w:rsidR="006E6A7C">
        <w:fldChar w:fldCharType="end"/>
      </w:r>
      <w:r w:rsidR="00527DEB" w:rsidRPr="00084C04">
        <w:t xml:space="preserve"> </w:t>
      </w:r>
      <w:r w:rsidRPr="00084C04">
        <w:t xml:space="preserve">for further information on the Tier 2 </w:t>
      </w:r>
      <w:r w:rsidR="006D7322">
        <w:t>c</w:t>
      </w:r>
      <w:r w:rsidR="006D7322" w:rsidRPr="00084C04">
        <w:t>lassification</w:t>
      </w:r>
      <w:r w:rsidRPr="00084C04">
        <w:t>.</w:t>
      </w:r>
    </w:p>
    <w:p w14:paraId="46717F30" w14:textId="004F7CA2" w:rsidR="00F44C54" w:rsidRPr="00084C04" w:rsidRDefault="37DF3C4A" w:rsidP="00F44C54">
      <w:pPr>
        <w:pStyle w:val="Body"/>
      </w:pPr>
      <w:r>
        <w:t>The unit of count adopted for these non-admitted services is ‘service event’.</w:t>
      </w:r>
      <w:r w:rsidR="512DA271">
        <w:t> See</w:t>
      </w:r>
      <w:r>
        <w:t xml:space="preserve"> </w:t>
      </w:r>
      <w:r w:rsidR="001A68D4">
        <w:t xml:space="preserve">section </w:t>
      </w:r>
      <w:r w:rsidR="00F44C54">
        <w:fldChar w:fldCharType="begin"/>
      </w:r>
      <w:r w:rsidR="00F44C54">
        <w:instrText xml:space="preserve"> REF _Ref87974150 \r \h  \* MERGEFORMAT </w:instrText>
      </w:r>
      <w:r w:rsidR="00F44C54">
        <w:fldChar w:fldCharType="separate"/>
      </w:r>
      <w:r w:rsidR="00546908">
        <w:t>1.13.2</w:t>
      </w:r>
      <w:r w:rsidR="00F44C54">
        <w:fldChar w:fldCharType="end"/>
      </w:r>
      <w:r w:rsidR="1370C2BF">
        <w:t xml:space="preserve"> </w:t>
      </w:r>
      <w:r>
        <w:t>for further information on service events</w:t>
      </w:r>
      <w:r w:rsidR="001A68D4">
        <w:t>.</w:t>
      </w:r>
      <w:r>
        <w:t xml:space="preserve"> The Victorian Respiratory Support Service is required to report non-admitted services as service events through the relevant AIMS form and report contacts through </w:t>
      </w:r>
      <w:r w:rsidR="512DA271">
        <w:t>the VINAH minimum dataset.</w:t>
      </w:r>
      <w:r>
        <w:t xml:space="preserve"> These service events do not attract NWAU.</w:t>
      </w:r>
    </w:p>
    <w:p w14:paraId="0B2929C9" w14:textId="77777777" w:rsidR="00F44C54" w:rsidRPr="00084C04" w:rsidRDefault="00F44C54" w:rsidP="00F44C54">
      <w:pPr>
        <w:pStyle w:val="Body"/>
      </w:pPr>
      <w:r w:rsidRPr="00084C04">
        <w:t>It is expected that health services maintain and report Victorian Respiratory Support Service patient-level costing data to the Victorian Cost Data Collection.</w:t>
      </w:r>
    </w:p>
    <w:p w14:paraId="2F06D29D" w14:textId="1B236CB4" w:rsidR="00DA0D7C" w:rsidRPr="00084C04" w:rsidRDefault="1E3F76AA" w:rsidP="00685B35">
      <w:pPr>
        <w:pStyle w:val="Heading2"/>
      </w:pPr>
      <w:bookmarkStart w:id="273" w:name="_Toc100263322"/>
      <w:bookmarkStart w:id="274" w:name="_Toc156569642"/>
      <w:r>
        <w:lastRenderedPageBreak/>
        <w:t xml:space="preserve">Acute </w:t>
      </w:r>
      <w:r w:rsidR="006D7322">
        <w:t xml:space="preserve">specialist </w:t>
      </w:r>
      <w:bookmarkEnd w:id="193"/>
      <w:bookmarkEnd w:id="194"/>
      <w:bookmarkEnd w:id="195"/>
      <w:bookmarkEnd w:id="196"/>
      <w:bookmarkEnd w:id="273"/>
      <w:r w:rsidR="006D7322">
        <w:t>services</w:t>
      </w:r>
      <w:bookmarkEnd w:id="274"/>
    </w:p>
    <w:p w14:paraId="1B9096C5" w14:textId="1219557A" w:rsidR="000B27B9" w:rsidRPr="00084C04" w:rsidRDefault="00444F24" w:rsidP="00081936">
      <w:pPr>
        <w:pStyle w:val="Heading3"/>
        <w:numPr>
          <w:ilvl w:val="2"/>
          <w:numId w:val="33"/>
        </w:numPr>
        <w:spacing w:before="240"/>
        <w:ind w:left="1134"/>
      </w:pPr>
      <w:bookmarkStart w:id="275" w:name="_Toc484461866"/>
      <w:bookmarkStart w:id="276" w:name="_Toc418694911"/>
      <w:bookmarkStart w:id="277" w:name="_Toc6215551"/>
      <w:bookmarkStart w:id="278" w:name="_Toc10199627"/>
      <w:bookmarkStart w:id="279" w:name="_Toc52892573"/>
      <w:bookmarkStart w:id="280" w:name="_Toc100263323"/>
      <w:bookmarkStart w:id="281" w:name="_Toc156569643"/>
      <w:bookmarkEnd w:id="275"/>
      <w:r>
        <w:t xml:space="preserve">Integrated </w:t>
      </w:r>
      <w:r w:rsidR="005E21CE">
        <w:t>h</w:t>
      </w:r>
      <w:r w:rsidR="000B27B9" w:rsidRPr="00084C04">
        <w:t>epatitis C</w:t>
      </w:r>
      <w:bookmarkEnd w:id="276"/>
      <w:bookmarkEnd w:id="277"/>
      <w:bookmarkEnd w:id="278"/>
      <w:bookmarkEnd w:id="279"/>
      <w:bookmarkEnd w:id="280"/>
      <w:bookmarkEnd w:id="281"/>
    </w:p>
    <w:p w14:paraId="3FB293CE" w14:textId="77777777" w:rsidR="00F44C54" w:rsidRPr="00084C04" w:rsidRDefault="00F44C54" w:rsidP="00F44C54">
      <w:pPr>
        <w:pStyle w:val="Body"/>
      </w:pPr>
      <w:r w:rsidRPr="00084C04">
        <w:t>The Integrated Hepatitis C Service (IHCS) is a key driver for initiating hepatitis C treatment in Victoria.</w:t>
      </w:r>
    </w:p>
    <w:p w14:paraId="40DD0D2B" w14:textId="69FAD863" w:rsidR="00F44C54" w:rsidRPr="00084C04" w:rsidRDefault="37DF3C4A" w:rsidP="00F44C54">
      <w:pPr>
        <w:pStyle w:val="Body"/>
      </w:pPr>
      <w:r>
        <w:t>The IHCS operating at health services have been funded recurrently through the specialist clinics funding model. Two community health centres currently receiving IHCS funding will continue to be funded under the Hepatitis C Service (Non-Hospital) Grant.</w:t>
      </w:r>
    </w:p>
    <w:p w14:paraId="40FF0E88" w14:textId="395DA3ED" w:rsidR="000B27B9" w:rsidRPr="00084C04" w:rsidRDefault="37DF3C4A" w:rsidP="00F44C54">
      <w:pPr>
        <w:pStyle w:val="Body"/>
      </w:pPr>
      <w:r>
        <w:t xml:space="preserve">IHCS activity </w:t>
      </w:r>
      <w:r w:rsidR="557C4D17">
        <w:t xml:space="preserve">is </w:t>
      </w:r>
      <w:r>
        <w:t xml:space="preserve">reported in the VINAH </w:t>
      </w:r>
      <w:r w:rsidR="512DA271">
        <w:t>minimum dataset. In the future</w:t>
      </w:r>
      <w:r>
        <w:t xml:space="preserve"> community health centres with IHCS, activity will report through the Service Agreement Management System to the Community Health Minimum Dataset. In the interim data may be reported via </w:t>
      </w:r>
      <w:r w:rsidR="557C4D17">
        <w:t>the NADC</w:t>
      </w:r>
      <w:r>
        <w:t>.</w:t>
      </w:r>
    </w:p>
    <w:p w14:paraId="13DD5299" w14:textId="625C1AE7" w:rsidR="000B27B9" w:rsidRPr="00084C04" w:rsidRDefault="000B27B9" w:rsidP="00081936">
      <w:pPr>
        <w:pStyle w:val="Heading3"/>
        <w:numPr>
          <w:ilvl w:val="2"/>
          <w:numId w:val="33"/>
        </w:numPr>
        <w:spacing w:before="240"/>
        <w:ind w:left="1134"/>
      </w:pPr>
      <w:bookmarkStart w:id="282" w:name="_Toc418694912"/>
      <w:bookmarkStart w:id="283" w:name="_Toc6215552"/>
      <w:bookmarkStart w:id="284" w:name="_Toc10199628"/>
      <w:bookmarkStart w:id="285" w:name="_Toc52892574"/>
      <w:bookmarkStart w:id="286" w:name="_Toc100263324"/>
      <w:bookmarkStart w:id="287" w:name="_Toc156569644"/>
      <w:r w:rsidRPr="00084C04">
        <w:t xml:space="preserve">Renal </w:t>
      </w:r>
      <w:r w:rsidR="005E21CE">
        <w:t>s</w:t>
      </w:r>
      <w:r w:rsidRPr="00084C04">
        <w:t>ervices</w:t>
      </w:r>
      <w:bookmarkEnd w:id="282"/>
      <w:bookmarkEnd w:id="283"/>
      <w:bookmarkEnd w:id="284"/>
      <w:bookmarkEnd w:id="285"/>
      <w:bookmarkEnd w:id="286"/>
      <w:bookmarkEnd w:id="287"/>
    </w:p>
    <w:p w14:paraId="2CB66D3B" w14:textId="27E1FA26" w:rsidR="000B27B9" w:rsidRPr="00084C04" w:rsidRDefault="5A312A85" w:rsidP="00081936">
      <w:pPr>
        <w:pStyle w:val="Heading4"/>
        <w:numPr>
          <w:ilvl w:val="3"/>
          <w:numId w:val="33"/>
        </w:numPr>
      </w:pPr>
      <w:r>
        <w:t xml:space="preserve">Facility </w:t>
      </w:r>
      <w:r w:rsidR="005E21CE">
        <w:t>d</w:t>
      </w:r>
      <w:r>
        <w:t>ialysis</w:t>
      </w:r>
    </w:p>
    <w:p w14:paraId="04CB3C9C" w14:textId="77777777" w:rsidR="00F44C54" w:rsidRPr="00084C04" w:rsidRDefault="00F44C54" w:rsidP="00F44C54">
      <w:pPr>
        <w:pStyle w:val="Body"/>
      </w:pPr>
      <w:r w:rsidRPr="00084C04">
        <w:t>The funding model for routine haemodialysis in designated public health services providing same-day haemodialysis is through the admitted NWAU payment paid to all dialysis providers, and a non-admitted activity component.</w:t>
      </w:r>
    </w:p>
    <w:p w14:paraId="4743AD7B" w14:textId="76169C3D" w:rsidR="000B27B9" w:rsidRPr="004811DE" w:rsidRDefault="00F44C54" w:rsidP="00F44C54">
      <w:pPr>
        <w:pStyle w:val="Body"/>
      </w:pPr>
      <w:r w:rsidRPr="00084C04">
        <w:t xml:space="preserve">Currently all health services providing satellite dialysis are required to pay their hubs a set rate for </w:t>
      </w:r>
      <w:r w:rsidRPr="004811DE">
        <w:t xml:space="preserve">each L61Z dialysis separation based on expected activity levels. In </w:t>
      </w:r>
      <w:r w:rsidR="002E7EEF" w:rsidRPr="004811DE">
        <w:t>202</w:t>
      </w:r>
      <w:r w:rsidR="004811DE">
        <w:t>3</w:t>
      </w:r>
      <w:r w:rsidR="001A68D4" w:rsidRPr="004811DE">
        <w:t>–</w:t>
      </w:r>
      <w:r w:rsidR="002E7EEF" w:rsidRPr="004811DE">
        <w:t>2</w:t>
      </w:r>
      <w:r w:rsidR="004811DE">
        <w:t>4</w:t>
      </w:r>
      <w:r w:rsidRPr="004811DE">
        <w:t>, the payment rates have been set at</w:t>
      </w:r>
      <w:r w:rsidR="000B27B9" w:rsidRPr="004811DE">
        <w:t>:</w:t>
      </w:r>
    </w:p>
    <w:p w14:paraId="7CE6D404" w14:textId="047F3991" w:rsidR="00F44C54" w:rsidRPr="004811DE" w:rsidRDefault="136746DF" w:rsidP="00E05C4E">
      <w:pPr>
        <w:pStyle w:val="Bullet1"/>
      </w:pPr>
      <w:r w:rsidRPr="004811DE">
        <w:t>$</w:t>
      </w:r>
      <w:r w:rsidR="7D2F0BDD" w:rsidRPr="004811DE">
        <w:t>11</w:t>
      </w:r>
      <w:r w:rsidR="004811DE" w:rsidRPr="004811DE">
        <w:t>7</w:t>
      </w:r>
      <w:r w:rsidR="7D2F0BDD" w:rsidRPr="004811DE">
        <w:t xml:space="preserve"> to cover haemodialysis equipment and consumables (including equipment maintenance and servicing and real water testing)</w:t>
      </w:r>
    </w:p>
    <w:p w14:paraId="17F2E464" w14:textId="68FEC3C9" w:rsidR="000B27B9" w:rsidRPr="004811DE" w:rsidRDefault="7D2F0BDD" w:rsidP="00E05C4E">
      <w:pPr>
        <w:pStyle w:val="Bullet1"/>
      </w:pPr>
      <w:r w:rsidRPr="004811DE">
        <w:t>$8</w:t>
      </w:r>
      <w:r w:rsidR="004811DE" w:rsidRPr="004811DE">
        <w:t>2</w:t>
      </w:r>
      <w:r w:rsidRPr="004811DE">
        <w:t xml:space="preserve"> to cover specialist services (including review and 24-hour on-call service including emergency, specialist renal coordination and services).</w:t>
      </w:r>
    </w:p>
    <w:p w14:paraId="5C307DF5" w14:textId="0333EE93" w:rsidR="000B27B9" w:rsidRPr="00084C04" w:rsidRDefault="00F44C54" w:rsidP="0043627E">
      <w:pPr>
        <w:pStyle w:val="Bodyafterbullets"/>
      </w:pPr>
      <w:r w:rsidRPr="00084C04">
        <w:t>Renal activity and NWAU are incorporated within the total agency NWAU activity targets. As such, they are subject to the standard health service recall policy</w:t>
      </w:r>
      <w:r w:rsidR="000B27B9" w:rsidRPr="00084C04">
        <w:t>.</w:t>
      </w:r>
    </w:p>
    <w:p w14:paraId="4B5D1198" w14:textId="2EB1902A" w:rsidR="000B27B9" w:rsidRPr="00084C04" w:rsidRDefault="00F44C54" w:rsidP="00B92CD4">
      <w:pPr>
        <w:pStyle w:val="Body"/>
      </w:pPr>
      <w:r w:rsidRPr="00084C04">
        <w:t xml:space="preserve">The NWAU recall policy does not apply to small rural health services, which continue to be funded to actual renal activity in </w:t>
      </w:r>
      <w:r w:rsidR="002E7EEF" w:rsidRPr="00084C04">
        <w:t>202</w:t>
      </w:r>
      <w:r w:rsidR="004811DE">
        <w:t>3</w:t>
      </w:r>
      <w:r w:rsidR="001A68D4">
        <w:t>–</w:t>
      </w:r>
      <w:r w:rsidR="002E7EEF" w:rsidRPr="00084C04">
        <w:t>2</w:t>
      </w:r>
      <w:r w:rsidR="004811DE">
        <w:t>4</w:t>
      </w:r>
      <w:r w:rsidRPr="00084C04">
        <w:t>. Their health service targets have been adjusted based on the average actual activity over the past three years. Recall adjustments for small rural health services will be made at the end of the financial year</w:t>
      </w:r>
      <w:r w:rsidR="000B27B9" w:rsidRPr="00084C04">
        <w:t>.</w:t>
      </w:r>
    </w:p>
    <w:p w14:paraId="301374C0" w14:textId="769D653A" w:rsidR="000B27B9" w:rsidRPr="00084C04" w:rsidRDefault="000B27B9" w:rsidP="00081936">
      <w:pPr>
        <w:pStyle w:val="Heading3"/>
        <w:numPr>
          <w:ilvl w:val="2"/>
          <w:numId w:val="33"/>
        </w:numPr>
        <w:spacing w:before="240"/>
        <w:ind w:left="1134"/>
      </w:pPr>
      <w:bookmarkStart w:id="288" w:name="_Toc37934578"/>
      <w:bookmarkStart w:id="289" w:name="_Toc10144528"/>
      <w:bookmarkStart w:id="290" w:name="_Toc10144798"/>
      <w:bookmarkStart w:id="291" w:name="_Toc10145068"/>
      <w:bookmarkStart w:id="292" w:name="_Toc10199091"/>
      <w:bookmarkStart w:id="293" w:name="_Toc10199360"/>
      <w:bookmarkStart w:id="294" w:name="_Toc10199629"/>
      <w:bookmarkStart w:id="295" w:name="_Toc10459884"/>
      <w:bookmarkStart w:id="296" w:name="_Toc418694913"/>
      <w:bookmarkStart w:id="297" w:name="_Toc6215553"/>
      <w:bookmarkStart w:id="298" w:name="_Toc10199630"/>
      <w:bookmarkStart w:id="299" w:name="_Toc52892575"/>
      <w:bookmarkStart w:id="300" w:name="_Toc100263325"/>
      <w:bookmarkStart w:id="301" w:name="_Toc156569645"/>
      <w:bookmarkEnd w:id="288"/>
      <w:bookmarkEnd w:id="289"/>
      <w:bookmarkEnd w:id="290"/>
      <w:bookmarkEnd w:id="291"/>
      <w:bookmarkEnd w:id="292"/>
      <w:bookmarkEnd w:id="293"/>
      <w:bookmarkEnd w:id="294"/>
      <w:bookmarkEnd w:id="295"/>
      <w:r w:rsidRPr="00084C04">
        <w:t>Radiotherapy</w:t>
      </w:r>
      <w:bookmarkEnd w:id="296"/>
      <w:bookmarkEnd w:id="297"/>
      <w:bookmarkEnd w:id="298"/>
      <w:bookmarkEnd w:id="299"/>
      <w:bookmarkEnd w:id="300"/>
      <w:bookmarkEnd w:id="301"/>
    </w:p>
    <w:p w14:paraId="7572B32D" w14:textId="77777777" w:rsidR="000B27B9" w:rsidRPr="00084C04" w:rsidRDefault="000B27B9" w:rsidP="00B92CD4">
      <w:pPr>
        <w:pStyle w:val="Body"/>
      </w:pPr>
      <w:bookmarkStart w:id="302" w:name="_Toc418694914"/>
      <w:r w:rsidRPr="00084C04">
        <w:t>Public radiotherapy services are provided at 12 hospitals in Victoria across metropolitan and regional campuses.</w:t>
      </w:r>
    </w:p>
    <w:p w14:paraId="4C50C5D9" w14:textId="40401D06" w:rsidR="000B27B9" w:rsidRPr="00084C04" w:rsidRDefault="000B27B9" w:rsidP="00081936">
      <w:pPr>
        <w:pStyle w:val="Heading4"/>
        <w:numPr>
          <w:ilvl w:val="3"/>
          <w:numId w:val="33"/>
        </w:numPr>
      </w:pPr>
      <w:r w:rsidRPr="00084C04">
        <w:t>Non-</w:t>
      </w:r>
      <w:r w:rsidR="00BD783F">
        <w:t>a</w:t>
      </w:r>
      <w:r w:rsidRPr="00084C04">
        <w:t xml:space="preserve">dmitted </w:t>
      </w:r>
      <w:r w:rsidR="00BD783F">
        <w:t>r</w:t>
      </w:r>
      <w:r w:rsidRPr="00084C04">
        <w:t xml:space="preserve">adiotherapy </w:t>
      </w:r>
      <w:r w:rsidR="00D95BA9">
        <w:t>f</w:t>
      </w:r>
      <w:r w:rsidRPr="00084C04">
        <w:t xml:space="preserve">unding </w:t>
      </w:r>
      <w:r w:rsidR="00BD783F">
        <w:t>m</w:t>
      </w:r>
      <w:r w:rsidRPr="00084C04">
        <w:t>odel</w:t>
      </w:r>
    </w:p>
    <w:p w14:paraId="361E8C5F" w14:textId="75EF77C6" w:rsidR="0026321F" w:rsidRPr="00084C04" w:rsidRDefault="0026321F" w:rsidP="0026321F">
      <w:pPr>
        <w:pStyle w:val="Body"/>
      </w:pPr>
      <w:r w:rsidRPr="00084C04">
        <w:t xml:space="preserve">Radiotherapy is predominantly provided on an outpatient basis and funded under a specific complexity-based funding model. Under this model, the various components of a course of radiotherapy are weighted and aggregated for each course of care. Remaining activity is admitted and </w:t>
      </w:r>
      <w:r w:rsidR="500254DD" w:rsidRPr="00084C04">
        <w:t xml:space="preserve">may be </w:t>
      </w:r>
      <w:r w:rsidR="4035EA13" w:rsidRPr="00084C04">
        <w:t xml:space="preserve">eligible for </w:t>
      </w:r>
      <w:r w:rsidR="27A8542F" w:rsidRPr="00084C04">
        <w:t>NWAU</w:t>
      </w:r>
      <w:r w:rsidR="10D13D81" w:rsidRPr="00084C04">
        <w:t>.</w:t>
      </w:r>
    </w:p>
    <w:p w14:paraId="41684904" w14:textId="4CFBE16B" w:rsidR="000B27B9" w:rsidRPr="00084C04" w:rsidRDefault="0026321F" w:rsidP="0026321F">
      <w:pPr>
        <w:pStyle w:val="Body"/>
      </w:pPr>
      <w:r w:rsidRPr="00084C04">
        <w:t xml:space="preserve">The health services that are funded under the non-admitted radiotherapy funding model are Alfred Health, Austin Health, Barwon Health and the Peter MacCallum Cancer Centre. These four ‘hub’ services also receive funding for the spoke services they operate across metropolitan Melbourne </w:t>
      </w:r>
      <w:r w:rsidRPr="00084C04">
        <w:lastRenderedPageBreak/>
        <w:t>and regional Victoria. The remaining two public services are contracted services operated on behalf of the government by private providers</w:t>
      </w:r>
      <w:r w:rsidR="000B27B9" w:rsidRPr="00084C04">
        <w:t>.</w:t>
      </w:r>
    </w:p>
    <w:p w14:paraId="58C5EA0E" w14:textId="680057D8" w:rsidR="000B27B9" w:rsidRPr="00084C04" w:rsidRDefault="00FE74AB" w:rsidP="00B92CD4">
      <w:pPr>
        <w:pStyle w:val="Body"/>
      </w:pPr>
      <w:r w:rsidRPr="00084C04">
        <w:t xml:space="preserve">Refer to the </w:t>
      </w:r>
      <w:r w:rsidR="001F3A6E" w:rsidRPr="00084C04">
        <w:t xml:space="preserve">website to </w:t>
      </w:r>
      <w:r w:rsidR="001A68D4">
        <w:t>f</w:t>
      </w:r>
      <w:r w:rsidR="001A68D4" w:rsidRPr="00084C04">
        <w:t xml:space="preserve">ind </w:t>
      </w:r>
      <w:hyperlink r:id="rId64">
        <w:r w:rsidR="000B27B9" w:rsidRPr="13D0FBE2">
          <w:rPr>
            <w:rStyle w:val="Hyperlink"/>
          </w:rPr>
          <w:t>radiotherapy locations</w:t>
        </w:r>
      </w:hyperlink>
      <w:r w:rsidR="000B27B9" w:rsidRPr="00084C04">
        <w:t xml:space="preserve"> &lt;</w:t>
      </w:r>
      <w:r w:rsidR="009634F5" w:rsidRPr="00084C04">
        <w:t>https://www.health.vic.gov.au/health-strategies/radiotherapy-service-locations</w:t>
      </w:r>
      <w:r w:rsidR="000B27B9" w:rsidRPr="00084C04">
        <w:t>&gt;.</w:t>
      </w:r>
    </w:p>
    <w:p w14:paraId="5469A732" w14:textId="73C57D56" w:rsidR="3EF562C5" w:rsidRDefault="3EF562C5" w:rsidP="13D0FBE2">
      <w:pPr>
        <w:pStyle w:val="Body"/>
      </w:pPr>
      <w:r>
        <w:t xml:space="preserve">A new </w:t>
      </w:r>
      <w:r w:rsidR="0FB76DC5">
        <w:t>public</w:t>
      </w:r>
      <w:r w:rsidR="4BBED61C">
        <w:t xml:space="preserve"> </w:t>
      </w:r>
      <w:r w:rsidR="6A4DAF20">
        <w:t>S</w:t>
      </w:r>
      <w:r>
        <w:t xml:space="preserve">uperficial </w:t>
      </w:r>
      <w:r w:rsidR="1CE480A7">
        <w:t>X</w:t>
      </w:r>
      <w:r>
        <w:t>-</w:t>
      </w:r>
      <w:r w:rsidR="70521F70">
        <w:t>R</w:t>
      </w:r>
      <w:r>
        <w:t xml:space="preserve">ay </w:t>
      </w:r>
      <w:r w:rsidR="2AAB755A">
        <w:t>T</w:t>
      </w:r>
      <w:r w:rsidR="2E89B6B2">
        <w:t xml:space="preserve">herapy </w:t>
      </w:r>
      <w:r>
        <w:t xml:space="preserve">service is expected to commence in </w:t>
      </w:r>
      <w:r w:rsidR="27EBBBDC">
        <w:t xml:space="preserve">late </w:t>
      </w:r>
      <w:r w:rsidR="74FA7DB9">
        <w:t>2023</w:t>
      </w:r>
      <w:r w:rsidR="006D7322">
        <w:t>–</w:t>
      </w:r>
      <w:r w:rsidR="74FA7DB9">
        <w:t xml:space="preserve">24 in </w:t>
      </w:r>
      <w:r>
        <w:t xml:space="preserve">East Gippsland </w:t>
      </w:r>
      <w:r w:rsidR="1D77BB31">
        <w:t xml:space="preserve">(Sale) </w:t>
      </w:r>
      <w:r w:rsidR="143F4566">
        <w:t xml:space="preserve">which </w:t>
      </w:r>
      <w:r w:rsidR="24AE6BC2">
        <w:t xml:space="preserve">will </w:t>
      </w:r>
      <w:r w:rsidR="001691ED">
        <w:t xml:space="preserve">also </w:t>
      </w:r>
      <w:r>
        <w:t>be funded under this model.</w:t>
      </w:r>
    </w:p>
    <w:p w14:paraId="3BB0FF7E" w14:textId="0CC924EF" w:rsidR="000B27B9" w:rsidRPr="00084C04" w:rsidRDefault="001373D5" w:rsidP="00B92CD4">
      <w:pPr>
        <w:pStyle w:val="Body"/>
      </w:pPr>
      <w:r>
        <w:t>I</w:t>
      </w:r>
      <w:r w:rsidR="000B27B9" w:rsidRPr="00084C04">
        <w:t>n</w:t>
      </w:r>
      <w:r w:rsidR="002E7EEF">
        <w:t xml:space="preserve"> </w:t>
      </w:r>
      <w:r w:rsidR="298E28EB">
        <w:t>2023-</w:t>
      </w:r>
      <w:r w:rsidR="006D7322">
        <w:t>–</w:t>
      </w:r>
      <w:r w:rsidR="298E28EB">
        <w:t>24</w:t>
      </w:r>
      <w:r w:rsidR="002E7EEF" w:rsidRPr="13D0FBE2">
        <w:rPr>
          <w:lang w:val="en-US"/>
        </w:rPr>
        <w:t xml:space="preserve"> </w:t>
      </w:r>
      <w:r w:rsidR="000B27B9" w:rsidRPr="00084C04">
        <w:t>funding for non-admitted radiotherapy services will continue to comprise:</w:t>
      </w:r>
    </w:p>
    <w:p w14:paraId="1046478A" w14:textId="167EF911" w:rsidR="000B27B9" w:rsidRPr="00084C04" w:rsidRDefault="0A1BEBA3" w:rsidP="00E05C4E">
      <w:pPr>
        <w:pStyle w:val="Bullet1"/>
      </w:pPr>
      <w:r>
        <w:t>a variable payment per weighted activity unit (WAU) to set targets for public, the Department of Veterans’ Affairs and private patient categories</w:t>
      </w:r>
      <w:r w:rsidR="5A095288">
        <w:t>.</w:t>
      </w:r>
      <w:r>
        <w:t xml:space="preserve"> (</w:t>
      </w:r>
      <w:r w:rsidR="036C9E06">
        <w:t>C</w:t>
      </w:r>
      <w:r>
        <w:t>osts for associated services are included in this payment and must be provided to all patients as required</w:t>
      </w:r>
      <w:r w:rsidR="006557E0">
        <w:t>.</w:t>
      </w:r>
      <w:r>
        <w:t>)</w:t>
      </w:r>
    </w:p>
    <w:p w14:paraId="73332689" w14:textId="3FA64D80" w:rsidR="000B27B9" w:rsidRPr="00084C04" w:rsidRDefault="0A1BEBA3" w:rsidP="00E05C4E">
      <w:pPr>
        <w:pStyle w:val="Bullet1"/>
      </w:pPr>
      <w:r>
        <w:t>a Department of Veterans’ Affairs premium (where applicable) above the variable payment</w:t>
      </w:r>
    </w:p>
    <w:p w14:paraId="4AC10026" w14:textId="3C1383FA" w:rsidR="005743DF" w:rsidRPr="00084C04" w:rsidRDefault="0A1BEBA3" w:rsidP="00E05C4E">
      <w:pPr>
        <w:pStyle w:val="Bullet1"/>
      </w:pPr>
      <w:r>
        <w:t xml:space="preserve">a variable payment per WAU plus a fixed payment where it is a </w:t>
      </w:r>
      <w:r w:rsidR="22FBFD38">
        <w:t xml:space="preserve">statewide </w:t>
      </w:r>
      <w:r>
        <w:t>radiotherapy service involving a specialist radiotherapy machine delivering the radiation therapy (Gamma Knife and MR-Linac).</w:t>
      </w:r>
    </w:p>
    <w:p w14:paraId="010E3E4B" w14:textId="20FE88F7" w:rsidR="000B27B9" w:rsidRPr="00084C04" w:rsidRDefault="000B27B9" w:rsidP="00B92CD4">
      <w:pPr>
        <w:pStyle w:val="Bodyafterbullets"/>
      </w:pPr>
      <w:r w:rsidRPr="00084C04">
        <w:t>The WAU price can be found in section</w:t>
      </w:r>
      <w:r w:rsidR="006D7322">
        <w:t xml:space="preserve"> </w:t>
      </w:r>
      <w:r w:rsidR="006D7322">
        <w:fldChar w:fldCharType="begin"/>
      </w:r>
      <w:r w:rsidR="006D7322">
        <w:instrText xml:space="preserve"> REF _Ref144043389 \r \h </w:instrText>
      </w:r>
      <w:r w:rsidR="006D7322">
        <w:fldChar w:fldCharType="separate"/>
      </w:r>
      <w:r w:rsidR="00892F13">
        <w:t>1.23</w:t>
      </w:r>
      <w:r w:rsidR="006D7322">
        <w:fldChar w:fldCharType="end"/>
      </w:r>
      <w:r w:rsidRPr="00084C04">
        <w:t xml:space="preserve"> </w:t>
      </w:r>
      <w:r w:rsidR="001A68D4">
        <w:t>‘</w:t>
      </w:r>
      <w:r w:rsidR="006D7322" w:rsidRPr="00084C04">
        <w:fldChar w:fldCharType="begin"/>
      </w:r>
      <w:r w:rsidR="006D7322" w:rsidRPr="00084C04">
        <w:instrText xml:space="preserve"> REF _Ref70881998 \h  \* MERGEFORMAT </w:instrText>
      </w:r>
      <w:r w:rsidR="006D7322" w:rsidRPr="00084C04">
        <w:fldChar w:fldCharType="separate"/>
      </w:r>
      <w:r w:rsidR="00892F13">
        <w:t xml:space="preserve">Price </w:t>
      </w:r>
      <w:r w:rsidR="006D7322" w:rsidRPr="00084C04">
        <w:fldChar w:fldCharType="end"/>
      </w:r>
      <w:r w:rsidR="006D7322">
        <w:t>’</w:t>
      </w:r>
      <w:r w:rsidRPr="00084C04">
        <w:t>.</w:t>
      </w:r>
    </w:p>
    <w:p w14:paraId="6DB9B622" w14:textId="5EF59E4E" w:rsidR="000B27B9" w:rsidRPr="00084C04" w:rsidRDefault="000B27B9" w:rsidP="7C4B4001">
      <w:pPr>
        <w:pStyle w:val="Body"/>
      </w:pPr>
      <w:r w:rsidRPr="00084C04">
        <w:t xml:space="preserve">Current year WAU targets and health service information are available on the </w:t>
      </w:r>
      <w:hyperlink r:id="rId65" w:history="1">
        <w:r w:rsidRPr="00282976">
          <w:rPr>
            <w:rStyle w:val="Hyperlink"/>
          </w:rPr>
          <w:t>Radiotherapy webpage</w:t>
        </w:r>
      </w:hyperlink>
      <w:r w:rsidRPr="00084C04">
        <w:t xml:space="preserve"> &lt;https://</w:t>
      </w:r>
      <w:r w:rsidR="00B34E89" w:rsidRPr="00084C04">
        <w:t>www</w:t>
      </w:r>
      <w:r w:rsidRPr="00084C04">
        <w:t>.health.vic.gov.au/health-strategies/</w:t>
      </w:r>
      <w:r w:rsidR="00B34E89" w:rsidRPr="00084C04">
        <w:t>radiotherapy-services</w:t>
      </w:r>
      <w:r w:rsidRPr="00084C04">
        <w:t>&gt;.</w:t>
      </w:r>
    </w:p>
    <w:p w14:paraId="663BC459" w14:textId="7ED15DEC" w:rsidR="13D0FBE2" w:rsidRDefault="000B27B9" w:rsidP="13D0FBE2">
      <w:pPr>
        <w:pStyle w:val="Body"/>
        <w:rPr>
          <w:lang w:eastAsia="en-AU"/>
        </w:rPr>
      </w:pPr>
      <w:r w:rsidRPr="00084C04">
        <w:rPr>
          <w:lang w:eastAsia="en-AU"/>
        </w:rPr>
        <w:t xml:space="preserve">In addition to the </w:t>
      </w:r>
      <w:r w:rsidR="001A68D4">
        <w:rPr>
          <w:lang w:eastAsia="en-AU"/>
        </w:rPr>
        <w:t>s</w:t>
      </w:r>
      <w:r w:rsidR="001A68D4" w:rsidRPr="00084C04">
        <w:rPr>
          <w:lang w:eastAsia="en-AU"/>
        </w:rPr>
        <w:t xml:space="preserve">tate </w:t>
      </w:r>
      <w:r w:rsidRPr="00084C04">
        <w:rPr>
          <w:lang w:eastAsia="en-AU"/>
        </w:rPr>
        <w:t>contribution for radiotherapy, health services will retain all third-party revenue. Changes to third-party revenue will be considered annually in determining WAU pricing.</w:t>
      </w:r>
    </w:p>
    <w:p w14:paraId="6028E86D" w14:textId="130CBDBB" w:rsidR="274F37E7" w:rsidRDefault="274F37E7" w:rsidP="00081936">
      <w:pPr>
        <w:pStyle w:val="Heading4"/>
        <w:numPr>
          <w:ilvl w:val="3"/>
          <w:numId w:val="33"/>
        </w:numPr>
        <w:rPr>
          <w:lang w:eastAsia="en-AU"/>
        </w:rPr>
      </w:pPr>
      <w:r w:rsidRPr="13D0FBE2">
        <w:rPr>
          <w:lang w:eastAsia="en-AU"/>
        </w:rPr>
        <w:t xml:space="preserve">Radiotherapy </w:t>
      </w:r>
      <w:r w:rsidR="006D7322">
        <w:rPr>
          <w:lang w:eastAsia="en-AU"/>
        </w:rPr>
        <w:t>d</w:t>
      </w:r>
      <w:r w:rsidR="006D7322" w:rsidRPr="13D0FBE2">
        <w:rPr>
          <w:lang w:eastAsia="en-AU"/>
        </w:rPr>
        <w:t>ata</w:t>
      </w:r>
    </w:p>
    <w:p w14:paraId="135FD971" w14:textId="5D7C29B7" w:rsidR="13D0FBE2" w:rsidRDefault="000B27B9" w:rsidP="13D0FBE2">
      <w:pPr>
        <w:pStyle w:val="Body"/>
        <w:rPr>
          <w:lang w:eastAsia="en-AU"/>
        </w:rPr>
      </w:pPr>
      <w:r w:rsidRPr="3AA005A8">
        <w:rPr>
          <w:lang w:eastAsia="en-AU"/>
        </w:rPr>
        <w:t>The Victorian Radiotherapy Minimum Data</w:t>
      </w:r>
      <w:r w:rsidR="41BD7BB8" w:rsidRPr="3AA005A8">
        <w:rPr>
          <w:lang w:eastAsia="en-AU"/>
        </w:rPr>
        <w:t xml:space="preserve"> S</w:t>
      </w:r>
      <w:r w:rsidRPr="3AA005A8">
        <w:rPr>
          <w:lang w:eastAsia="en-AU"/>
        </w:rPr>
        <w:t>et is the key source of radiotherapy data for funding and service planning. Consultations</w:t>
      </w:r>
      <w:r w:rsidR="58CE1596" w:rsidRPr="3AA005A8">
        <w:rPr>
          <w:lang w:eastAsia="en-AU"/>
        </w:rPr>
        <w:t xml:space="preserve">, </w:t>
      </w:r>
      <w:r w:rsidR="49E26B2A" w:rsidRPr="3AA005A8">
        <w:rPr>
          <w:lang w:eastAsia="en-AU"/>
        </w:rPr>
        <w:t>treatment</w:t>
      </w:r>
      <w:r w:rsidR="58CE1596" w:rsidRPr="3AA005A8">
        <w:rPr>
          <w:lang w:eastAsia="en-AU"/>
        </w:rPr>
        <w:t xml:space="preserve"> and </w:t>
      </w:r>
      <w:r w:rsidR="49E26B2A" w:rsidRPr="3AA005A8">
        <w:rPr>
          <w:lang w:eastAsia="en-AU"/>
        </w:rPr>
        <w:t>simulation</w:t>
      </w:r>
      <w:r w:rsidRPr="3AA005A8">
        <w:rPr>
          <w:lang w:eastAsia="en-AU"/>
        </w:rPr>
        <w:t xml:space="preserve"> are</w:t>
      </w:r>
      <w:r w:rsidR="006D153B" w:rsidRPr="3AA005A8">
        <w:rPr>
          <w:lang w:eastAsia="en-AU"/>
        </w:rPr>
        <w:t xml:space="preserve"> </w:t>
      </w:r>
      <w:r w:rsidRPr="3AA005A8">
        <w:rPr>
          <w:lang w:eastAsia="en-AU"/>
        </w:rPr>
        <w:t xml:space="preserve">collected via the AIMS </w:t>
      </w:r>
      <w:r w:rsidR="44322C79" w:rsidRPr="3AA005A8">
        <w:rPr>
          <w:lang w:eastAsia="en-AU"/>
        </w:rPr>
        <w:t xml:space="preserve">S8 </w:t>
      </w:r>
      <w:r w:rsidR="00CC2D9D">
        <w:rPr>
          <w:lang w:eastAsia="en-AU"/>
        </w:rPr>
        <w:t>f</w:t>
      </w:r>
      <w:r w:rsidR="00CC2D9D" w:rsidRPr="3AA005A8">
        <w:rPr>
          <w:lang w:eastAsia="en-AU"/>
        </w:rPr>
        <w:t xml:space="preserve">orm </w:t>
      </w:r>
      <w:r w:rsidR="55E305C4" w:rsidRPr="3AA005A8">
        <w:rPr>
          <w:lang w:eastAsia="en-AU"/>
        </w:rPr>
        <w:t>and</w:t>
      </w:r>
      <w:r w:rsidR="78C160F2" w:rsidRPr="3AA005A8">
        <w:rPr>
          <w:lang w:eastAsia="en-AU"/>
        </w:rPr>
        <w:t xml:space="preserve"> at patient level via </w:t>
      </w:r>
      <w:r w:rsidR="5B40965A" w:rsidRPr="3AA005A8">
        <w:rPr>
          <w:lang w:eastAsia="en-AU"/>
        </w:rPr>
        <w:t>the V</w:t>
      </w:r>
      <w:r w:rsidR="47497EC1" w:rsidRPr="3AA005A8">
        <w:rPr>
          <w:lang w:eastAsia="en-AU"/>
        </w:rPr>
        <w:t xml:space="preserve">ictorian </w:t>
      </w:r>
      <w:r w:rsidR="5B40965A" w:rsidRPr="3AA005A8">
        <w:rPr>
          <w:lang w:eastAsia="en-AU"/>
        </w:rPr>
        <w:t>I</w:t>
      </w:r>
      <w:r w:rsidR="1B622817" w:rsidRPr="3AA005A8">
        <w:rPr>
          <w:lang w:eastAsia="en-AU"/>
        </w:rPr>
        <w:t xml:space="preserve">ntegrated </w:t>
      </w:r>
      <w:r w:rsidR="5B40965A" w:rsidRPr="3AA005A8">
        <w:rPr>
          <w:lang w:eastAsia="en-AU"/>
        </w:rPr>
        <w:t>N</w:t>
      </w:r>
      <w:r w:rsidR="6E652901" w:rsidRPr="3AA005A8">
        <w:rPr>
          <w:lang w:eastAsia="en-AU"/>
        </w:rPr>
        <w:t xml:space="preserve">on </w:t>
      </w:r>
      <w:r w:rsidR="5B40965A" w:rsidRPr="3AA005A8">
        <w:rPr>
          <w:lang w:eastAsia="en-AU"/>
        </w:rPr>
        <w:t>A</w:t>
      </w:r>
      <w:r w:rsidR="574948C5" w:rsidRPr="3AA005A8">
        <w:rPr>
          <w:lang w:eastAsia="en-AU"/>
        </w:rPr>
        <w:t xml:space="preserve">dmitted </w:t>
      </w:r>
      <w:r w:rsidR="5B40965A" w:rsidRPr="3AA005A8">
        <w:rPr>
          <w:lang w:eastAsia="en-AU"/>
        </w:rPr>
        <w:t>H</w:t>
      </w:r>
      <w:r w:rsidR="1DD50E57" w:rsidRPr="3AA005A8">
        <w:rPr>
          <w:lang w:eastAsia="en-AU"/>
        </w:rPr>
        <w:t>ealth</w:t>
      </w:r>
      <w:r w:rsidR="5B40965A" w:rsidRPr="3AA005A8">
        <w:rPr>
          <w:lang w:eastAsia="en-AU"/>
        </w:rPr>
        <w:t xml:space="preserve"> minimum dataset</w:t>
      </w:r>
      <w:r w:rsidR="78C160F2" w:rsidRPr="3AA005A8">
        <w:rPr>
          <w:lang w:eastAsia="en-AU"/>
        </w:rPr>
        <w:t xml:space="preserve"> or </w:t>
      </w:r>
      <w:r w:rsidR="5B40965A" w:rsidRPr="3AA005A8">
        <w:rPr>
          <w:lang w:eastAsia="en-AU"/>
        </w:rPr>
        <w:t xml:space="preserve">the </w:t>
      </w:r>
      <w:r w:rsidR="78C160F2" w:rsidRPr="3AA005A8">
        <w:rPr>
          <w:lang w:eastAsia="en-AU"/>
        </w:rPr>
        <w:t>N</w:t>
      </w:r>
      <w:r w:rsidR="44A7F946" w:rsidRPr="3AA005A8">
        <w:rPr>
          <w:lang w:eastAsia="en-AU"/>
        </w:rPr>
        <w:t xml:space="preserve">on </w:t>
      </w:r>
      <w:r w:rsidR="78C160F2" w:rsidRPr="3AA005A8">
        <w:rPr>
          <w:lang w:eastAsia="en-AU"/>
        </w:rPr>
        <w:t>A</w:t>
      </w:r>
      <w:r w:rsidR="133CE0A1" w:rsidRPr="3AA005A8">
        <w:rPr>
          <w:lang w:eastAsia="en-AU"/>
        </w:rPr>
        <w:t xml:space="preserve">dmitted </w:t>
      </w:r>
      <w:r w:rsidR="78C160F2" w:rsidRPr="3AA005A8">
        <w:rPr>
          <w:lang w:eastAsia="en-AU"/>
        </w:rPr>
        <w:t>D</w:t>
      </w:r>
      <w:r w:rsidR="5F1147D1" w:rsidRPr="3AA005A8">
        <w:rPr>
          <w:lang w:eastAsia="en-AU"/>
        </w:rPr>
        <w:t xml:space="preserve">ata </w:t>
      </w:r>
      <w:r w:rsidR="78C160F2" w:rsidRPr="3AA005A8">
        <w:rPr>
          <w:lang w:eastAsia="en-AU"/>
        </w:rPr>
        <w:t>C</w:t>
      </w:r>
      <w:r w:rsidR="52EA19FB" w:rsidRPr="3AA005A8">
        <w:rPr>
          <w:lang w:eastAsia="en-AU"/>
        </w:rPr>
        <w:t>ollection</w:t>
      </w:r>
      <w:r w:rsidRPr="3AA005A8">
        <w:rPr>
          <w:lang w:eastAsia="en-AU"/>
        </w:rPr>
        <w:t>. In addition, it is expected that health services maintain and report radiotherapy patient</w:t>
      </w:r>
      <w:r w:rsidR="001A68D4" w:rsidRPr="3AA005A8">
        <w:rPr>
          <w:lang w:eastAsia="en-AU"/>
        </w:rPr>
        <w:t>-</w:t>
      </w:r>
      <w:r w:rsidRPr="3AA005A8">
        <w:rPr>
          <w:lang w:eastAsia="en-AU"/>
        </w:rPr>
        <w:t>level costing data via the Victorian Cost Data Collection.</w:t>
      </w:r>
    </w:p>
    <w:p w14:paraId="217801B6" w14:textId="1ACE7B3D" w:rsidR="000B27B9" w:rsidRPr="00084C04" w:rsidRDefault="000B27B9" w:rsidP="00081936">
      <w:pPr>
        <w:pStyle w:val="Heading4"/>
        <w:numPr>
          <w:ilvl w:val="3"/>
          <w:numId w:val="33"/>
        </w:numPr>
      </w:pPr>
      <w:r w:rsidRPr="00084C04">
        <w:t xml:space="preserve">Contracted </w:t>
      </w:r>
      <w:r w:rsidR="006D7322">
        <w:t>s</w:t>
      </w:r>
      <w:r w:rsidR="006D7322" w:rsidRPr="00084C04">
        <w:t>ervices</w:t>
      </w:r>
    </w:p>
    <w:p w14:paraId="57216883" w14:textId="77777777" w:rsidR="001A68D4" w:rsidRDefault="0026321F" w:rsidP="7C4B4001">
      <w:pPr>
        <w:pStyle w:val="Body"/>
      </w:pPr>
      <w:r w:rsidRPr="00084C04">
        <w:t xml:space="preserve">The department funds contract arrangements with private sector radiotherapy operators to provide </w:t>
      </w:r>
      <w:r w:rsidR="005838D2" w:rsidRPr="00084C04">
        <w:t xml:space="preserve">public radiotherapy </w:t>
      </w:r>
      <w:r w:rsidRPr="00084C04">
        <w:t xml:space="preserve">services at South West Healthcare Warrnambool and at Albury Wodonga Health. </w:t>
      </w:r>
    </w:p>
    <w:p w14:paraId="5695752B" w14:textId="7B30C044" w:rsidR="001A68D4" w:rsidRDefault="0026321F" w:rsidP="7C4B4001">
      <w:pPr>
        <w:pStyle w:val="Body"/>
      </w:pPr>
      <w:r w:rsidRPr="00084C04">
        <w:t>Under these arrangements</w:t>
      </w:r>
      <w:r w:rsidR="001A68D4">
        <w:t>,</w:t>
      </w:r>
      <w:r w:rsidRPr="00084C04">
        <w:t xml:space="preserve"> all patients are treated with no out-of-pocket costs</w:t>
      </w:r>
      <w:r w:rsidR="001A68D4">
        <w:t>. T</w:t>
      </w:r>
      <w:r w:rsidRPr="00084C04">
        <w:t>he private operators actively participat</w:t>
      </w:r>
      <w:r w:rsidR="001A68D4">
        <w:t>e</w:t>
      </w:r>
      <w:r w:rsidRPr="00084C04">
        <w:t xml:space="preserve"> in public multidisciplinary cancer meetings and providing specialist outreach services across their regions. </w:t>
      </w:r>
    </w:p>
    <w:p w14:paraId="13E66A7D" w14:textId="64DBD512" w:rsidR="000B27B9" w:rsidRPr="00084C04" w:rsidRDefault="0026321F" w:rsidP="7C4B4001">
      <w:pPr>
        <w:pStyle w:val="Body"/>
      </w:pPr>
      <w:r w:rsidRPr="00084C04">
        <w:t>The department also funds a contract arrangement between a private sector radiotherapy operator in Shepparton and Goulburn Valley Health. Under this arrangement</w:t>
      </w:r>
      <w:r w:rsidR="001A68D4">
        <w:t>,</w:t>
      </w:r>
      <w:r w:rsidRPr="00084C04">
        <w:t xml:space="preserve"> appropriate public patients at Goulburn Valley Health </w:t>
      </w:r>
      <w:r w:rsidR="005838D2" w:rsidRPr="00084C04">
        <w:t>can receive radiotherapy</w:t>
      </w:r>
      <w:r w:rsidRPr="00084C04">
        <w:t xml:space="preserve"> with no out-of-pocket cost</w:t>
      </w:r>
      <w:r w:rsidR="7FFCEF96">
        <w:t>s</w:t>
      </w:r>
      <w:r w:rsidR="000B27B9" w:rsidRPr="00084C04">
        <w:t xml:space="preserve">. </w:t>
      </w:r>
      <w:r w:rsidR="20524F7C">
        <w:t>A</w:t>
      </w:r>
      <w:r w:rsidR="000B27B9" w:rsidRPr="00084C04">
        <w:t xml:space="preserve"> similar arrangement </w:t>
      </w:r>
      <w:r w:rsidR="38FF8DA9">
        <w:t>has</w:t>
      </w:r>
      <w:r w:rsidR="000B27B9">
        <w:t xml:space="preserve"> commence</w:t>
      </w:r>
      <w:r w:rsidR="601375EC">
        <w:t>d</w:t>
      </w:r>
      <w:r w:rsidR="000B27B9" w:rsidRPr="00084C04">
        <w:t xml:space="preserve"> in Mildura so that </w:t>
      </w:r>
      <w:r w:rsidRPr="00084C04">
        <w:t xml:space="preserve">appropriate public patients at Mildura Base Public Hospital can receive </w:t>
      </w:r>
      <w:r w:rsidR="005838D2" w:rsidRPr="00084C04">
        <w:t xml:space="preserve">radiotherapy locally from a </w:t>
      </w:r>
      <w:r w:rsidRPr="00084C04">
        <w:t xml:space="preserve">private sector radiotherapy operator with no out-of-pocket </w:t>
      </w:r>
      <w:r w:rsidR="5A312A85">
        <w:t>expenses.</w:t>
      </w:r>
    </w:p>
    <w:p w14:paraId="0990048F" w14:textId="48EFA2C7" w:rsidR="000B27B9" w:rsidRPr="00084C04" w:rsidRDefault="43495437" w:rsidP="00081936">
      <w:pPr>
        <w:pStyle w:val="Heading4"/>
        <w:numPr>
          <w:ilvl w:val="3"/>
          <w:numId w:val="33"/>
        </w:numPr>
      </w:pPr>
      <w:r>
        <w:t xml:space="preserve">Non-admitted </w:t>
      </w:r>
      <w:r w:rsidR="006D7322">
        <w:t>radiotherapy shared care</w:t>
      </w:r>
    </w:p>
    <w:p w14:paraId="66F4F4AB" w14:textId="77777777" w:rsidR="006D7322" w:rsidRDefault="0026321F" w:rsidP="0026321F">
      <w:pPr>
        <w:pStyle w:val="Body"/>
      </w:pPr>
      <w:r>
        <w:t xml:space="preserve">The department provides funding to eligible metropolitan public health services that have entered into shared care contracts with local private radiotherapy operators. </w:t>
      </w:r>
    </w:p>
    <w:p w14:paraId="066697A1" w14:textId="7E5A9EE9" w:rsidR="006D7322" w:rsidRDefault="0026321F" w:rsidP="0026321F">
      <w:pPr>
        <w:pStyle w:val="Body"/>
      </w:pPr>
      <w:r>
        <w:lastRenderedPageBreak/>
        <w:t>Under these arrangements, disadvantaged cancer patients with eligible concession cards can receive care as public patients</w:t>
      </w:r>
      <w:r w:rsidR="006D7322">
        <w:t xml:space="preserve">. They can also </w:t>
      </w:r>
      <w:r>
        <w:t>access radiotherapy</w:t>
      </w:r>
      <w:r w:rsidR="005838D2">
        <w:t xml:space="preserve"> from a local private operator when this is closer than a public provider</w:t>
      </w:r>
      <w:r>
        <w:t>. Shared care is coordinated by the public hospital as part of the</w:t>
      </w:r>
      <w:r w:rsidR="005838D2">
        <w:t xml:space="preserve"> patient's</w:t>
      </w:r>
      <w:r>
        <w:t xml:space="preserve"> cancer care at no cost to the</w:t>
      </w:r>
      <w:r w:rsidR="0BEDBCBB">
        <w:t xml:space="preserve"> patient</w:t>
      </w:r>
      <w:r w:rsidR="002E6427">
        <w:t>.</w:t>
      </w:r>
      <w:r>
        <w:t xml:space="preserve"> </w:t>
      </w:r>
    </w:p>
    <w:p w14:paraId="5840DA67" w14:textId="41B98D18" w:rsidR="000B27B9" w:rsidRPr="00084C04" w:rsidRDefault="0026321F" w:rsidP="0026321F">
      <w:pPr>
        <w:pStyle w:val="Body"/>
      </w:pPr>
      <w:r>
        <w:t>Health services that currently receive funding for radiotherapy shared care are</w:t>
      </w:r>
      <w:r w:rsidR="00041433">
        <w:t>:</w:t>
      </w:r>
      <w:r>
        <w:t xml:space="preserve"> Northern Health</w:t>
      </w:r>
      <w:r w:rsidR="7E9171CF">
        <w:t xml:space="preserve"> (Northern Hospital)</w:t>
      </w:r>
      <w:r>
        <w:t>, Peninsula Health (Frankston Hospital</w:t>
      </w:r>
      <w:r w:rsidR="7FFCEF96">
        <w:t>)</w:t>
      </w:r>
      <w:r w:rsidR="465A2FF5">
        <w:t xml:space="preserve"> and</w:t>
      </w:r>
      <w:r w:rsidR="7FFCEF96">
        <w:t xml:space="preserve"> </w:t>
      </w:r>
      <w:r>
        <w:t>Monash Health (Casey Hospital)</w:t>
      </w:r>
      <w:r w:rsidR="4848AD9A">
        <w:t>.</w:t>
      </w:r>
      <w:r w:rsidR="58AC8FFE">
        <w:t xml:space="preserve"> </w:t>
      </w:r>
      <w:r>
        <w:t>Targets for shared care (the number of patients for whom funding is provided) are set with health services prior to each financial year</w:t>
      </w:r>
      <w:r w:rsidR="000B27B9">
        <w:t>.</w:t>
      </w:r>
    </w:p>
    <w:p w14:paraId="7A919351" w14:textId="26C5B8E1" w:rsidR="000B27B9" w:rsidRPr="00084C04" w:rsidRDefault="000B27B9" w:rsidP="00081936">
      <w:pPr>
        <w:pStyle w:val="Heading4"/>
        <w:numPr>
          <w:ilvl w:val="3"/>
          <w:numId w:val="33"/>
        </w:numPr>
      </w:pPr>
      <w:bookmarkStart w:id="303" w:name="_Hlk2762295"/>
      <w:r w:rsidRPr="00084C04">
        <w:t>Quality</w:t>
      </w:r>
    </w:p>
    <w:p w14:paraId="3DCD7B0B" w14:textId="77777777" w:rsidR="000B27B9" w:rsidRPr="00084C04" w:rsidRDefault="000B27B9" w:rsidP="007A370F">
      <w:pPr>
        <w:pStyle w:val="Heading5"/>
        <w:numPr>
          <w:ilvl w:val="0"/>
          <w:numId w:val="0"/>
        </w:numPr>
        <w:rPr>
          <w:rFonts w:cs="Arial"/>
        </w:rPr>
      </w:pPr>
      <w:r w:rsidRPr="00084C04">
        <w:rPr>
          <w:rFonts w:cs="Arial"/>
        </w:rPr>
        <w:t>Statewide Knowledge Based Planning Project</w:t>
      </w:r>
    </w:p>
    <w:p w14:paraId="0EF62F23" w14:textId="14099E95" w:rsidR="000B27B9" w:rsidRPr="00084C04" w:rsidRDefault="000B27B9" w:rsidP="00B92CD4">
      <w:pPr>
        <w:pStyle w:val="Body"/>
      </w:pPr>
      <w:r w:rsidRPr="00084C04">
        <w:rPr>
          <w:rFonts w:cs="Arial"/>
        </w:rPr>
        <w:t xml:space="preserve">The </w:t>
      </w:r>
      <w:r w:rsidR="00DF2799" w:rsidRPr="00084C04">
        <w:rPr>
          <w:rFonts w:cs="Arial"/>
        </w:rPr>
        <w:t>d</w:t>
      </w:r>
      <w:r w:rsidRPr="00084C04">
        <w:rPr>
          <w:rFonts w:cs="Arial"/>
        </w:rPr>
        <w:t xml:space="preserve">epartment has funded and coordinates the Statewide Knowledge Based Planning Project. The project enables </w:t>
      </w:r>
      <w:r w:rsidR="005838D2" w:rsidRPr="00084C04">
        <w:t xml:space="preserve">all </w:t>
      </w:r>
      <w:r w:rsidRPr="00084C04">
        <w:rPr>
          <w:rFonts w:cs="Arial"/>
        </w:rPr>
        <w:t xml:space="preserve">participating public radiotherapy providers to </w:t>
      </w:r>
      <w:r w:rsidR="005838D2" w:rsidRPr="00084C04">
        <w:t xml:space="preserve">share </w:t>
      </w:r>
      <w:r w:rsidR="00DA22EA" w:rsidRPr="00084C04">
        <w:t>tumour</w:t>
      </w:r>
      <w:r w:rsidR="006D7322">
        <w:t>–</w:t>
      </w:r>
      <w:r w:rsidR="005838D2" w:rsidRPr="00084C04">
        <w:t>stream</w:t>
      </w:r>
      <w:r w:rsidR="006D7322">
        <w:t>-</w:t>
      </w:r>
      <w:r w:rsidR="005838D2" w:rsidRPr="00084C04">
        <w:t>specific treatment planning models to</w:t>
      </w:r>
      <w:r w:rsidR="00C4621C" w:rsidRPr="00084C04">
        <w:rPr>
          <w:rFonts w:cs="Arial"/>
        </w:rPr>
        <w:t xml:space="preserve"> optimise </w:t>
      </w:r>
      <w:r w:rsidR="005838D2" w:rsidRPr="00084C04">
        <w:t xml:space="preserve">and benchmark </w:t>
      </w:r>
      <w:r w:rsidR="00C4621C" w:rsidRPr="00084C04">
        <w:rPr>
          <w:rFonts w:cs="Arial"/>
        </w:rPr>
        <w:t>radiotherapy treatment plans for their cancer patients more effectively and efficiently. This</w:t>
      </w:r>
      <w:r w:rsidRPr="00084C04">
        <w:rPr>
          <w:rFonts w:cs="Arial"/>
        </w:rPr>
        <w:t xml:space="preserve"> lead</w:t>
      </w:r>
      <w:r w:rsidR="00C4621C" w:rsidRPr="00084C04">
        <w:rPr>
          <w:rFonts w:cs="Arial"/>
        </w:rPr>
        <w:t>s</w:t>
      </w:r>
      <w:r w:rsidRPr="00084C04">
        <w:rPr>
          <w:rFonts w:cs="Arial"/>
        </w:rPr>
        <w:t xml:space="preserve"> to more consistent treatment plans and potentially fewer side effects for patients from their course of radiotherapy.</w:t>
      </w:r>
    </w:p>
    <w:p w14:paraId="157B18E6" w14:textId="5015764C" w:rsidR="000B27B9" w:rsidRPr="00084C04" w:rsidRDefault="000B27B9" w:rsidP="00B92CD4">
      <w:pPr>
        <w:pStyle w:val="Body"/>
      </w:pPr>
      <w:r w:rsidRPr="00084C04">
        <w:t xml:space="preserve">The project will continue to develop models across new tumour streams in </w:t>
      </w:r>
      <w:r w:rsidR="7BA1230C">
        <w:t>2023</w:t>
      </w:r>
      <w:r w:rsidR="006D7322">
        <w:t>–</w:t>
      </w:r>
      <w:r w:rsidR="7BA1230C">
        <w:t>24</w:t>
      </w:r>
      <w:r w:rsidRPr="00084C04">
        <w:t>.</w:t>
      </w:r>
    </w:p>
    <w:p w14:paraId="2E76F876" w14:textId="3D8ECF26" w:rsidR="000B27B9" w:rsidRPr="00084C04" w:rsidRDefault="000B27B9" w:rsidP="007A370F">
      <w:pPr>
        <w:pStyle w:val="Heading5"/>
        <w:numPr>
          <w:ilvl w:val="0"/>
          <w:numId w:val="0"/>
        </w:numPr>
        <w:ind w:left="964" w:hanging="964"/>
      </w:pPr>
      <w:r w:rsidRPr="00084C04">
        <w:t xml:space="preserve">Assessment </w:t>
      </w:r>
      <w:r w:rsidR="006D7322">
        <w:t>a</w:t>
      </w:r>
      <w:r w:rsidR="006D7322" w:rsidRPr="00084C04">
        <w:t xml:space="preserve">gainst </w:t>
      </w:r>
      <w:r w:rsidRPr="00084C04">
        <w:t xml:space="preserve">the </w:t>
      </w:r>
      <w:r w:rsidR="006D7322">
        <w:t>n</w:t>
      </w:r>
      <w:r w:rsidR="006D7322" w:rsidRPr="00084C04">
        <w:t xml:space="preserve">ational </w:t>
      </w:r>
      <w:r w:rsidRPr="00084C04">
        <w:t>Radiation Oncology Practice Standards</w:t>
      </w:r>
    </w:p>
    <w:p w14:paraId="25269698" w14:textId="1ADF2A6B" w:rsidR="000B27B9" w:rsidRPr="00084C04" w:rsidRDefault="000B27B9" w:rsidP="00B92CD4">
      <w:pPr>
        <w:pStyle w:val="Body"/>
      </w:pPr>
      <w:r>
        <w:t xml:space="preserve">Victorian public radiotherapy providers assess their services against the Radiation Oncology Practice Standards using the relevant </w:t>
      </w:r>
      <w:r w:rsidR="00DA22EA">
        <w:t>self-audit tool</w:t>
      </w:r>
      <w:r>
        <w:t>. The tool is used as part of their internal quality management protocols. The results of these assessments are integrated into the annual</w:t>
      </w:r>
      <w:r w:rsidR="293281D0">
        <w:t xml:space="preserve"> radiotherapy</w:t>
      </w:r>
      <w:r>
        <w:t xml:space="preserve"> performance discussions with the </w:t>
      </w:r>
      <w:r w:rsidR="00DF2799">
        <w:t>d</w:t>
      </w:r>
      <w:r>
        <w:t>epartment.</w:t>
      </w:r>
    </w:p>
    <w:p w14:paraId="546C02E2" w14:textId="49FA9B74" w:rsidR="000B27B9" w:rsidRPr="00084C04" w:rsidRDefault="000B27B9" w:rsidP="007A370F">
      <w:pPr>
        <w:pStyle w:val="Heading5"/>
        <w:numPr>
          <w:ilvl w:val="4"/>
          <w:numId w:val="0"/>
        </w:numPr>
        <w:ind w:left="964" w:hanging="964"/>
        <w:rPr>
          <w:rFonts w:cs="Arial"/>
        </w:rPr>
      </w:pPr>
      <w:r w:rsidRPr="00084C04">
        <w:rPr>
          <w:rFonts w:cs="Arial"/>
        </w:rPr>
        <w:t xml:space="preserve">Radiotherapy </w:t>
      </w:r>
      <w:r w:rsidR="006D7322">
        <w:rPr>
          <w:rFonts w:cs="Arial"/>
        </w:rPr>
        <w:t>p</w:t>
      </w:r>
      <w:r w:rsidR="006D7322" w:rsidRPr="00084C04">
        <w:rPr>
          <w:rFonts w:cs="Arial"/>
        </w:rPr>
        <w:t xml:space="preserve">roviders </w:t>
      </w:r>
      <w:r w:rsidR="006D7322">
        <w:rPr>
          <w:rFonts w:cs="Arial"/>
        </w:rPr>
        <w:t>f</w:t>
      </w:r>
      <w:r w:rsidR="006D7322" w:rsidRPr="13D0FBE2">
        <w:rPr>
          <w:rFonts w:cs="Arial"/>
        </w:rPr>
        <w:t>or</w:t>
      </w:r>
      <w:r w:rsidR="006D7322">
        <w:rPr>
          <w:rFonts w:cs="Arial"/>
        </w:rPr>
        <w:t>um</w:t>
      </w:r>
    </w:p>
    <w:p w14:paraId="4EB784BF" w14:textId="2E2A8882" w:rsidR="000B27B9" w:rsidRDefault="000B27B9" w:rsidP="00B92CD4">
      <w:pPr>
        <w:pStyle w:val="Body"/>
      </w:pPr>
      <w:r w:rsidRPr="00084C04">
        <w:t xml:space="preserve">The </w:t>
      </w:r>
      <w:r w:rsidR="00DF2799" w:rsidRPr="00084C04">
        <w:t>d</w:t>
      </w:r>
      <w:r w:rsidRPr="00084C04">
        <w:t xml:space="preserve">epartment convenes a public radiotherapy providers forum annually to discuss system improvement and coordination, performance, </w:t>
      </w:r>
      <w:r w:rsidR="00C4621C" w:rsidRPr="00084C04">
        <w:t>outcomes</w:t>
      </w:r>
      <w:r w:rsidRPr="00084C04">
        <w:t xml:space="preserve"> and service planning with the sector. </w:t>
      </w:r>
      <w:r>
        <w:t>A</w:t>
      </w:r>
      <w:r w:rsidR="17FD7C64">
        <w:t>reas of</w:t>
      </w:r>
      <w:r w:rsidRPr="00084C04">
        <w:t xml:space="preserve"> focus </w:t>
      </w:r>
      <w:r w:rsidR="26A4D54A">
        <w:t>include</w:t>
      </w:r>
      <w:r w:rsidRPr="00084C04">
        <w:t xml:space="preserve"> </w:t>
      </w:r>
      <w:r w:rsidR="00FB6223" w:rsidRPr="00084C04">
        <w:t>s</w:t>
      </w:r>
      <w:r w:rsidRPr="00084C04">
        <w:t xml:space="preserve">tatewide services, referral pathways and variations in practice and </w:t>
      </w:r>
      <w:r w:rsidR="00554805" w:rsidRPr="00084C04">
        <w:t xml:space="preserve">radiotherapy </w:t>
      </w:r>
      <w:r w:rsidRPr="00084C04">
        <w:t>utilisation.</w:t>
      </w:r>
    </w:p>
    <w:p w14:paraId="2ECC7113" w14:textId="30C3B520" w:rsidR="00962783" w:rsidRDefault="00962783" w:rsidP="00DD008A">
      <w:pPr>
        <w:pStyle w:val="Heading2"/>
      </w:pPr>
      <w:bookmarkStart w:id="304" w:name="_Toc8919126"/>
      <w:bookmarkStart w:id="305" w:name="_Toc8930643"/>
      <w:bookmarkStart w:id="306" w:name="_Toc8931029"/>
      <w:bookmarkStart w:id="307" w:name="_Toc8931373"/>
      <w:bookmarkStart w:id="308" w:name="_Toc8931754"/>
      <w:bookmarkStart w:id="309" w:name="_Toc9441702"/>
      <w:bookmarkStart w:id="310" w:name="_Toc8919127"/>
      <w:bookmarkStart w:id="311" w:name="_Toc8930644"/>
      <w:bookmarkStart w:id="312" w:name="_Toc8931030"/>
      <w:bookmarkStart w:id="313" w:name="_Toc8931374"/>
      <w:bookmarkStart w:id="314" w:name="_Toc8931755"/>
      <w:bookmarkStart w:id="315" w:name="_Toc9441703"/>
      <w:bookmarkStart w:id="316" w:name="_Toc156569646"/>
      <w:bookmarkStart w:id="317" w:name="_Toc100263326"/>
      <w:bookmarkStart w:id="318" w:name="_Toc10199689"/>
      <w:bookmarkStart w:id="319" w:name="_Toc52892591"/>
      <w:bookmarkStart w:id="320" w:name="_Toc418694963"/>
      <w:bookmarkStart w:id="321" w:name="_Toc6215616"/>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962783">
        <w:lastRenderedPageBreak/>
        <w:t xml:space="preserve">Local </w:t>
      </w:r>
      <w:r w:rsidR="0054571A" w:rsidRPr="009522D1">
        <w:t>p</w:t>
      </w:r>
      <w:r w:rsidRPr="009522D1">
        <w:t>ublic</w:t>
      </w:r>
      <w:r w:rsidRPr="00962783">
        <w:t xml:space="preserve"> </w:t>
      </w:r>
      <w:r w:rsidR="0054571A">
        <w:t>h</w:t>
      </w:r>
      <w:r w:rsidRPr="00962783">
        <w:t xml:space="preserve">ealth </w:t>
      </w:r>
      <w:r w:rsidR="0054571A">
        <w:t>u</w:t>
      </w:r>
      <w:r w:rsidRPr="00962783">
        <w:t xml:space="preserve">nit </w:t>
      </w:r>
      <w:r w:rsidR="0054571A">
        <w:t>b</w:t>
      </w:r>
      <w:r w:rsidRPr="00962783">
        <w:t>lock</w:t>
      </w:r>
      <w:r w:rsidR="00556817">
        <w:t>-</w:t>
      </w:r>
      <w:r w:rsidR="0054571A" w:rsidRPr="009522D1">
        <w:t>f</w:t>
      </w:r>
      <w:r w:rsidRPr="009522D1">
        <w:t>unded</w:t>
      </w:r>
      <w:r w:rsidRPr="00962783">
        <w:t xml:space="preserve"> </w:t>
      </w:r>
      <w:r w:rsidR="0054571A" w:rsidRPr="009522D1">
        <w:t>f</w:t>
      </w:r>
      <w:r w:rsidRPr="009522D1">
        <w:t>unctions</w:t>
      </w:r>
      <w:bookmarkEnd w:id="316"/>
    </w:p>
    <w:p w14:paraId="00DA353A" w14:textId="30C1A97D" w:rsidR="004368A6" w:rsidRDefault="00320D5A" w:rsidP="004368A6">
      <w:pPr>
        <w:pStyle w:val="Body"/>
      </w:pPr>
      <w:r>
        <w:t xml:space="preserve">Our </w:t>
      </w:r>
      <w:r w:rsidR="002A7588">
        <w:t>Local area public health</w:t>
      </w:r>
      <w:r w:rsidR="00FB25DC">
        <w:t xml:space="preserve"> (LPHUs)</w:t>
      </w:r>
      <w:r w:rsidR="002A7588">
        <w:t xml:space="preserve"> units </w:t>
      </w:r>
      <w:r w:rsidR="000F4468">
        <w:t xml:space="preserve">lead local health protection and public health efforts that are focused on </w:t>
      </w:r>
      <w:r w:rsidR="0028783A">
        <w:t>keeping Victorians safe and well</w:t>
      </w:r>
      <w:r w:rsidR="000F4468">
        <w:t>. This is done</w:t>
      </w:r>
      <w:r w:rsidR="00731B47">
        <w:t xml:space="preserve"> b</w:t>
      </w:r>
      <w:r w:rsidR="0028783A">
        <w:t xml:space="preserve">y harnessing local </w:t>
      </w:r>
      <w:r w:rsidR="00FB25DC">
        <w:t>connections, insights and priorities</w:t>
      </w:r>
      <w:r w:rsidR="0021788C">
        <w:t xml:space="preserve"> to ensure any health protection or public health response is tailored to the specific needs of that community</w:t>
      </w:r>
      <w:r w:rsidR="00731B47">
        <w:t>.</w:t>
      </w:r>
      <w:r w:rsidR="00FB25DC">
        <w:t xml:space="preserve"> </w:t>
      </w:r>
    </w:p>
    <w:p w14:paraId="4E38919D" w14:textId="791EFF70" w:rsidR="004368A6" w:rsidRDefault="004368A6" w:rsidP="004368A6">
      <w:pPr>
        <w:pStyle w:val="Body"/>
      </w:pPr>
      <w:r>
        <w:t>Funds are to be spent on the performance of functions, duties and operations within the LPHU catchment, as defined at</w:t>
      </w:r>
      <w:r w:rsidR="006D7322">
        <w:t xml:space="preserve"> on the </w:t>
      </w:r>
      <w:hyperlink r:id="rId66" w:history="1">
        <w:r w:rsidR="006D7322" w:rsidRPr="006D7322">
          <w:rPr>
            <w:rStyle w:val="Hyperlink"/>
          </w:rPr>
          <w:t>LPHU webpage</w:t>
        </w:r>
      </w:hyperlink>
      <w:r>
        <w:t xml:space="preserve"> </w:t>
      </w:r>
      <w:r w:rsidR="006D7322">
        <w:t>&lt;</w:t>
      </w:r>
      <w:r w:rsidR="006D7322" w:rsidRPr="00685B35">
        <w:t>https://www.health.vic.gov.au/local-public-health-units</w:t>
      </w:r>
      <w:r w:rsidR="006D7322">
        <w:t>&gt;</w:t>
      </w:r>
      <w:r>
        <w:t xml:space="preserve">, and in the service of statewide strategies. </w:t>
      </w:r>
    </w:p>
    <w:p w14:paraId="6B371FEE" w14:textId="77692DBF" w:rsidR="004368A6" w:rsidRDefault="004368A6" w:rsidP="004368A6">
      <w:pPr>
        <w:pStyle w:val="Body"/>
      </w:pPr>
      <w:r>
        <w:t>All lead health services that maintain an</w:t>
      </w:r>
      <w:r w:rsidRPr="00475830">
        <w:t xml:space="preserve"> </w:t>
      </w:r>
      <w:r>
        <w:t xml:space="preserve">LPHU receive funding for </w:t>
      </w:r>
      <w:r w:rsidRPr="00685B35">
        <w:rPr>
          <w:rStyle w:val="Emphasis"/>
          <w:i w:val="0"/>
          <w:iCs w:val="0"/>
        </w:rPr>
        <w:t xml:space="preserve">LPHU </w:t>
      </w:r>
      <w:r w:rsidR="006D7322">
        <w:rPr>
          <w:rStyle w:val="Emphasis"/>
          <w:i w:val="0"/>
          <w:iCs w:val="0"/>
        </w:rPr>
        <w:t>c</w:t>
      </w:r>
      <w:r w:rsidR="006D7322" w:rsidRPr="00685B35">
        <w:rPr>
          <w:rStyle w:val="Emphasis"/>
          <w:i w:val="0"/>
          <w:iCs w:val="0"/>
        </w:rPr>
        <w:t xml:space="preserve">ore </w:t>
      </w:r>
      <w:r w:rsidR="006D7322">
        <w:rPr>
          <w:rStyle w:val="Emphasis"/>
          <w:i w:val="0"/>
          <w:iCs w:val="0"/>
        </w:rPr>
        <w:t>o</w:t>
      </w:r>
      <w:r w:rsidR="006D7322" w:rsidRPr="00685B35">
        <w:rPr>
          <w:rStyle w:val="Emphasis"/>
          <w:i w:val="0"/>
          <w:iCs w:val="0"/>
        </w:rPr>
        <w:t>perations</w:t>
      </w:r>
      <w:r w:rsidR="006D7322">
        <w:t xml:space="preserve"> </w:t>
      </w:r>
      <w:r>
        <w:t xml:space="preserve">and </w:t>
      </w:r>
      <w:r w:rsidR="006D7322">
        <w:rPr>
          <w:rStyle w:val="Emphasis"/>
          <w:i w:val="0"/>
          <w:iCs w:val="0"/>
        </w:rPr>
        <w:t>h</w:t>
      </w:r>
      <w:r w:rsidR="006D7322" w:rsidRPr="00685B35">
        <w:rPr>
          <w:rStyle w:val="Emphasis"/>
          <w:i w:val="0"/>
          <w:iCs w:val="0"/>
        </w:rPr>
        <w:t xml:space="preserve">ealth </w:t>
      </w:r>
      <w:r w:rsidR="006D7322">
        <w:rPr>
          <w:rStyle w:val="Emphasis"/>
          <w:i w:val="0"/>
          <w:iCs w:val="0"/>
        </w:rPr>
        <w:t>a</w:t>
      </w:r>
      <w:r w:rsidR="006D7322" w:rsidRPr="00685B35">
        <w:rPr>
          <w:rStyle w:val="Emphasis"/>
          <w:i w:val="0"/>
          <w:iCs w:val="0"/>
        </w:rPr>
        <w:t>dvancement</w:t>
      </w:r>
      <w:r w:rsidRPr="00685B35">
        <w:rPr>
          <w:i/>
        </w:rPr>
        <w:t>.</w:t>
      </w:r>
    </w:p>
    <w:p w14:paraId="3CD0E858" w14:textId="1F9E6224" w:rsidR="004368A6" w:rsidRDefault="004368A6" w:rsidP="00081936">
      <w:pPr>
        <w:pStyle w:val="Heading3"/>
        <w:numPr>
          <w:ilvl w:val="2"/>
          <w:numId w:val="33"/>
        </w:numPr>
        <w:ind w:left="1134"/>
      </w:pPr>
      <w:bookmarkStart w:id="322" w:name="_Toc139459759"/>
      <w:bookmarkStart w:id="323" w:name="_Toc156569647"/>
      <w:r>
        <w:t xml:space="preserve">LPHU </w:t>
      </w:r>
      <w:r w:rsidR="001D2232">
        <w:t xml:space="preserve">core </w:t>
      </w:r>
      <w:bookmarkEnd w:id="322"/>
      <w:r w:rsidR="001D2232">
        <w:t>operations</w:t>
      </w:r>
      <w:bookmarkEnd w:id="323"/>
    </w:p>
    <w:p w14:paraId="75D54E2F" w14:textId="77777777" w:rsidR="001D2232" w:rsidRDefault="004368A6" w:rsidP="004368A6">
      <w:pPr>
        <w:pStyle w:val="Body"/>
      </w:pPr>
      <w:r>
        <w:t xml:space="preserve">LPHU core operations funding supports functions that are vital to the public health of all Victorians. This includes the performance of department authorised functions, including receiving notifications, and the delivery and management of local public health responses to notifiable conditions, including COVID-19. </w:t>
      </w:r>
    </w:p>
    <w:p w14:paraId="356E4D9D" w14:textId="1A27CE34" w:rsidR="004368A6" w:rsidRDefault="004368A6" w:rsidP="004368A6">
      <w:pPr>
        <w:pStyle w:val="Body"/>
      </w:pPr>
      <w:r>
        <w:t>Lead health services provide advice about escalating risk, issue</w:t>
      </w:r>
      <w:r w:rsidR="00692DC7">
        <w:t>s</w:t>
      </w:r>
      <w:r>
        <w:t xml:space="preserve"> or concern</w:t>
      </w:r>
      <w:r w:rsidR="00692DC7">
        <w:t>s</w:t>
      </w:r>
      <w:r>
        <w:t xml:space="preserve"> and mitigation</w:t>
      </w:r>
      <w:r w:rsidR="00692DC7">
        <w:t>s</w:t>
      </w:r>
      <w:r>
        <w:t xml:space="preserve"> to relevant department stakeholders, and contribute expertise for other emerging or known public health risks, including in relation to emergencies, at the request of the Secretary or Chief Health Officer.</w:t>
      </w:r>
    </w:p>
    <w:p w14:paraId="63A44B1D" w14:textId="1F433606" w:rsidR="004368A6" w:rsidRDefault="004368A6" w:rsidP="00081936">
      <w:pPr>
        <w:pStyle w:val="Heading3"/>
        <w:numPr>
          <w:ilvl w:val="2"/>
          <w:numId w:val="33"/>
        </w:numPr>
        <w:ind w:left="1134"/>
      </w:pPr>
      <w:bookmarkStart w:id="324" w:name="_Toc139459760"/>
      <w:bookmarkStart w:id="325" w:name="_Toc156569648"/>
      <w:r>
        <w:t xml:space="preserve">Health </w:t>
      </w:r>
      <w:r w:rsidR="001D2232">
        <w:t>advancement</w:t>
      </w:r>
      <w:r>
        <w:t xml:space="preserve">, LPHU </w:t>
      </w:r>
      <w:bookmarkEnd w:id="324"/>
      <w:r w:rsidR="001D2232">
        <w:t>prevention</w:t>
      </w:r>
      <w:bookmarkEnd w:id="325"/>
    </w:p>
    <w:p w14:paraId="30E27186" w14:textId="34D3C57D" w:rsidR="004368A6" w:rsidRPr="00C30D04" w:rsidRDefault="004368A6" w:rsidP="004368A6">
      <w:pPr>
        <w:pStyle w:val="Body"/>
      </w:pPr>
      <w:r>
        <w:t>Lead health services that maintain an</w:t>
      </w:r>
      <w:r w:rsidRPr="00475830">
        <w:t xml:space="preserve"> </w:t>
      </w:r>
      <w:r>
        <w:t xml:space="preserve">LPHU implement the </w:t>
      </w:r>
      <w:r w:rsidRPr="00F612ED">
        <w:rPr>
          <w:i/>
        </w:rPr>
        <w:t xml:space="preserve">Victorian </w:t>
      </w:r>
      <w:r w:rsidR="001D2232">
        <w:rPr>
          <w:i/>
        </w:rPr>
        <w:t>p</w:t>
      </w:r>
      <w:r w:rsidR="001D2232" w:rsidRPr="00F612ED">
        <w:rPr>
          <w:i/>
        </w:rPr>
        <w:t xml:space="preserve">ublic </w:t>
      </w:r>
      <w:r w:rsidR="001D2232">
        <w:rPr>
          <w:i/>
        </w:rPr>
        <w:t>h</w:t>
      </w:r>
      <w:r w:rsidR="001D2232" w:rsidRPr="00F612ED">
        <w:rPr>
          <w:i/>
        </w:rPr>
        <w:t xml:space="preserve">ealth </w:t>
      </w:r>
      <w:r w:rsidRPr="00F612ED">
        <w:rPr>
          <w:i/>
        </w:rPr>
        <w:t xml:space="preserve">and </w:t>
      </w:r>
      <w:r w:rsidR="001D2232">
        <w:rPr>
          <w:i/>
        </w:rPr>
        <w:t>w</w:t>
      </w:r>
      <w:r w:rsidR="001D2232" w:rsidRPr="00F612ED">
        <w:rPr>
          <w:i/>
        </w:rPr>
        <w:t xml:space="preserve">ellbeing </w:t>
      </w:r>
      <w:r w:rsidR="001D2232">
        <w:rPr>
          <w:i/>
        </w:rPr>
        <w:t>p</w:t>
      </w:r>
      <w:r w:rsidR="001D2232" w:rsidRPr="00F612ED">
        <w:rPr>
          <w:i/>
        </w:rPr>
        <w:t>lan</w:t>
      </w:r>
      <w:r w:rsidR="001D2232">
        <w:rPr>
          <w:i/>
        </w:rPr>
        <w:t xml:space="preserve"> 2019–23</w:t>
      </w:r>
      <w:r w:rsidR="00185E39">
        <w:t xml:space="preserve"> </w:t>
      </w:r>
      <w:r>
        <w:t>at a local level. This includes working with the department to establish priorities for their LPHU catchment</w:t>
      </w:r>
      <w:r w:rsidDel="004368A6">
        <w:t xml:space="preserve"> and</w:t>
      </w:r>
      <w:r>
        <w:t xml:space="preserve"> contribute to statewide initiatives. To </w:t>
      </w:r>
      <w:r w:rsidR="001D2232">
        <w:t xml:space="preserve">do </w:t>
      </w:r>
      <w:r>
        <w:t>this, they engage and build partnerships with community and local stakeholders to implement statewide programs and to co-design locally</w:t>
      </w:r>
      <w:r w:rsidR="00700C1A">
        <w:t xml:space="preserve"> </w:t>
      </w:r>
      <w:r>
        <w:t xml:space="preserve">based public health initiatives.  </w:t>
      </w:r>
    </w:p>
    <w:p w14:paraId="7A2A0149" w14:textId="3B4C1ADC" w:rsidR="004368A6" w:rsidRDefault="004368A6" w:rsidP="00081936">
      <w:pPr>
        <w:pStyle w:val="Heading3"/>
        <w:numPr>
          <w:ilvl w:val="2"/>
          <w:numId w:val="33"/>
        </w:numPr>
        <w:ind w:left="1134"/>
      </w:pPr>
      <w:bookmarkStart w:id="326" w:name="_Toc139459761"/>
      <w:bookmarkStart w:id="327" w:name="_Toc156569649"/>
      <w:r>
        <w:t xml:space="preserve">Business </w:t>
      </w:r>
      <w:bookmarkEnd w:id="326"/>
      <w:r w:rsidR="001D2232">
        <w:t>rules</w:t>
      </w:r>
      <w:bookmarkEnd w:id="327"/>
    </w:p>
    <w:p w14:paraId="38804508" w14:textId="77777777" w:rsidR="004368A6" w:rsidRDefault="004368A6" w:rsidP="004368A6">
      <w:pPr>
        <w:pStyle w:val="Body"/>
      </w:pPr>
      <w:r>
        <w:t>For LPHU functions, e</w:t>
      </w:r>
      <w:r w:rsidRPr="00D02434">
        <w:t xml:space="preserve">ach grant </w:t>
      </w:r>
      <w:r>
        <w:t>is</w:t>
      </w:r>
      <w:r w:rsidRPr="00D02434">
        <w:t xml:space="preserve"> allocated a</w:t>
      </w:r>
      <w:r>
        <w:t xml:space="preserve"> </w:t>
      </w:r>
      <w:r w:rsidRPr="00D02434">
        <w:t>cost centre in HeART for reporting purposes</w:t>
      </w:r>
      <w:r>
        <w:t xml:space="preserve">. Reporting and acquittals for these grants will be done in accordance with the following table. </w:t>
      </w:r>
    </w:p>
    <w:p w14:paraId="2BE512F5" w14:textId="6003EE3C" w:rsidR="004368A6" w:rsidRPr="00D02434" w:rsidRDefault="00153874" w:rsidP="00153874">
      <w:pPr>
        <w:pStyle w:val="Tablecaption"/>
        <w:rPr>
          <w:rFonts w:eastAsia="Times"/>
        </w:rPr>
      </w:pPr>
      <w:bookmarkStart w:id="328" w:name="_Toc156568648"/>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5</w:t>
      </w:r>
      <w:r>
        <w:fldChar w:fldCharType="end"/>
      </w:r>
      <w:r w:rsidR="00425B49">
        <w:rPr>
          <w:noProof/>
        </w:rPr>
        <w:t xml:space="preserve">: </w:t>
      </w:r>
      <w:r w:rsidR="00424468">
        <w:t>LPHU</w:t>
      </w:r>
      <w:r w:rsidRPr="00A52FC8">
        <w:t xml:space="preserve"> cost centres</w:t>
      </w:r>
      <w:bookmarkEnd w:id="328"/>
    </w:p>
    <w:tbl>
      <w:tblPr>
        <w:tblStyle w:val="TableGrid"/>
        <w:tblW w:w="9285" w:type="dxa"/>
        <w:tblLayout w:type="fixed"/>
        <w:tblLook w:val="06A0" w:firstRow="1" w:lastRow="0" w:firstColumn="1" w:lastColumn="0" w:noHBand="1" w:noVBand="1"/>
      </w:tblPr>
      <w:tblGrid>
        <w:gridCol w:w="1550"/>
        <w:gridCol w:w="1701"/>
        <w:gridCol w:w="6034"/>
      </w:tblGrid>
      <w:tr w:rsidR="004368A6" w14:paraId="6A404B7E" w14:textId="77777777" w:rsidTr="00685B35">
        <w:tc>
          <w:tcPr>
            <w:tcW w:w="1550" w:type="dxa"/>
            <w:shd w:val="clear" w:color="auto" w:fill="auto"/>
          </w:tcPr>
          <w:p w14:paraId="0E150CAF" w14:textId="5D537BAE" w:rsidR="004368A6" w:rsidRPr="001D2232" w:rsidRDefault="004368A6" w:rsidP="00685B35">
            <w:pPr>
              <w:pStyle w:val="Tablecolhead"/>
              <w:rPr>
                <w:rFonts w:eastAsia="Arial"/>
              </w:rPr>
            </w:pPr>
            <w:r w:rsidRPr="001D2232">
              <w:rPr>
                <w:rFonts w:eastAsia="Arial"/>
              </w:rPr>
              <w:t xml:space="preserve">HeART </w:t>
            </w:r>
            <w:r w:rsidR="001D2232">
              <w:rPr>
                <w:rFonts w:eastAsia="Arial"/>
              </w:rPr>
              <w:t>c</w:t>
            </w:r>
            <w:r w:rsidRPr="001D2232">
              <w:rPr>
                <w:rFonts w:eastAsia="Arial"/>
              </w:rPr>
              <w:t xml:space="preserve">ost </w:t>
            </w:r>
            <w:r w:rsidR="001D2232">
              <w:rPr>
                <w:rFonts w:eastAsia="Arial"/>
              </w:rPr>
              <w:t>c</w:t>
            </w:r>
            <w:r w:rsidR="001D2232" w:rsidRPr="001D2232">
              <w:rPr>
                <w:rFonts w:eastAsia="Arial"/>
              </w:rPr>
              <w:t xml:space="preserve">entre </w:t>
            </w:r>
            <w:r w:rsidR="001D2232">
              <w:rPr>
                <w:rFonts w:eastAsia="Arial"/>
              </w:rPr>
              <w:t>c</w:t>
            </w:r>
            <w:r w:rsidR="001D2232" w:rsidRPr="001D2232">
              <w:rPr>
                <w:rFonts w:eastAsia="Arial"/>
              </w:rPr>
              <w:t>ode</w:t>
            </w:r>
          </w:p>
        </w:tc>
        <w:tc>
          <w:tcPr>
            <w:tcW w:w="1701" w:type="dxa"/>
            <w:shd w:val="clear" w:color="auto" w:fill="auto"/>
          </w:tcPr>
          <w:p w14:paraId="58945A95" w14:textId="6CD54F3A" w:rsidR="004368A6" w:rsidRPr="001D2232" w:rsidRDefault="004368A6" w:rsidP="00685B35">
            <w:pPr>
              <w:pStyle w:val="Tablecolhead"/>
              <w:rPr>
                <w:rFonts w:eastAsia="Arial"/>
              </w:rPr>
            </w:pPr>
            <w:r w:rsidRPr="001D2232">
              <w:rPr>
                <w:rFonts w:eastAsia="Arial"/>
              </w:rPr>
              <w:t xml:space="preserve">Name of </w:t>
            </w:r>
            <w:r w:rsidR="001D2232">
              <w:rPr>
                <w:rFonts w:eastAsia="Arial"/>
              </w:rPr>
              <w:t>c</w:t>
            </w:r>
            <w:r w:rsidR="001D2232" w:rsidRPr="001D2232">
              <w:rPr>
                <w:rFonts w:eastAsia="Arial"/>
              </w:rPr>
              <w:t xml:space="preserve">ost </w:t>
            </w:r>
            <w:r w:rsidR="001D2232">
              <w:rPr>
                <w:rFonts w:eastAsia="Arial"/>
              </w:rPr>
              <w:t>c</w:t>
            </w:r>
            <w:r w:rsidR="001D2232" w:rsidRPr="001D2232">
              <w:rPr>
                <w:rFonts w:eastAsia="Arial"/>
              </w:rPr>
              <w:t>entre</w:t>
            </w:r>
          </w:p>
        </w:tc>
        <w:tc>
          <w:tcPr>
            <w:tcW w:w="6034" w:type="dxa"/>
            <w:shd w:val="clear" w:color="auto" w:fill="auto"/>
          </w:tcPr>
          <w:p w14:paraId="4E63EB22" w14:textId="77777777" w:rsidR="004368A6" w:rsidRPr="001D2232" w:rsidRDefault="004368A6" w:rsidP="00685B35">
            <w:pPr>
              <w:pStyle w:val="Tablecolhead"/>
              <w:rPr>
                <w:rFonts w:eastAsia="Arial"/>
              </w:rPr>
            </w:pPr>
            <w:r w:rsidRPr="001D2232">
              <w:rPr>
                <w:rFonts w:eastAsia="Arial"/>
              </w:rPr>
              <w:t xml:space="preserve">Comments </w:t>
            </w:r>
          </w:p>
        </w:tc>
      </w:tr>
      <w:tr w:rsidR="004368A6" w14:paraId="1E615EA9" w14:textId="77777777" w:rsidTr="00685B35">
        <w:tc>
          <w:tcPr>
            <w:tcW w:w="1550" w:type="dxa"/>
          </w:tcPr>
          <w:p w14:paraId="3F9D204D" w14:textId="77777777" w:rsidR="004368A6" w:rsidRPr="001D2232" w:rsidRDefault="004368A6" w:rsidP="00685B35">
            <w:pPr>
              <w:pStyle w:val="Tabletext"/>
              <w:rPr>
                <w:rFonts w:eastAsia="Arial"/>
              </w:rPr>
            </w:pPr>
            <w:r w:rsidRPr="001D2232">
              <w:rPr>
                <w:rFonts w:eastAsia="Arial"/>
              </w:rPr>
              <w:t>M1549</w:t>
            </w:r>
          </w:p>
        </w:tc>
        <w:tc>
          <w:tcPr>
            <w:tcW w:w="1701" w:type="dxa"/>
          </w:tcPr>
          <w:p w14:paraId="09ED09A9" w14:textId="0A2C41D5" w:rsidR="004368A6" w:rsidRPr="001D2232" w:rsidRDefault="004368A6" w:rsidP="00685B35">
            <w:pPr>
              <w:pStyle w:val="Tabletext"/>
              <w:rPr>
                <w:rFonts w:eastAsia="Arial"/>
              </w:rPr>
            </w:pPr>
            <w:r w:rsidRPr="001D2232">
              <w:rPr>
                <w:rFonts w:eastAsia="Arial"/>
              </w:rPr>
              <w:t xml:space="preserve">LPHU </w:t>
            </w:r>
            <w:r w:rsidR="001D2232">
              <w:rPr>
                <w:rFonts w:eastAsia="Arial"/>
              </w:rPr>
              <w:t>c</w:t>
            </w:r>
            <w:r w:rsidR="001D2232" w:rsidRPr="001D2232">
              <w:rPr>
                <w:rFonts w:eastAsia="Arial"/>
              </w:rPr>
              <w:t xml:space="preserve">ore </w:t>
            </w:r>
            <w:r w:rsidR="001D2232">
              <w:rPr>
                <w:rFonts w:eastAsia="Arial"/>
              </w:rPr>
              <w:t>o</w:t>
            </w:r>
            <w:r w:rsidR="001D2232" w:rsidRPr="001D2232">
              <w:rPr>
                <w:rFonts w:eastAsia="Arial"/>
              </w:rPr>
              <w:t>perations</w:t>
            </w:r>
          </w:p>
        </w:tc>
        <w:tc>
          <w:tcPr>
            <w:tcW w:w="6034" w:type="dxa"/>
          </w:tcPr>
          <w:p w14:paraId="65984A25" w14:textId="428D26FB" w:rsidR="004368A6" w:rsidRPr="00685B35" w:rsidRDefault="004368A6" w:rsidP="00685B35">
            <w:pPr>
              <w:pStyle w:val="Tabletext"/>
              <w:rPr>
                <w:rFonts w:eastAsia="Arial"/>
              </w:rPr>
            </w:pPr>
            <w:r w:rsidRPr="00685B35">
              <w:rPr>
                <w:rFonts w:eastAsia="Arial"/>
              </w:rPr>
              <w:t>Core fixed-term (from July 2023</w:t>
            </w:r>
            <w:r w:rsidR="001D2232">
              <w:rPr>
                <w:rFonts w:eastAsia="Arial"/>
              </w:rPr>
              <w:t xml:space="preserve"> to</w:t>
            </w:r>
            <w:r w:rsidRPr="00685B35">
              <w:rPr>
                <w:rFonts w:eastAsia="Arial"/>
              </w:rPr>
              <w:t xml:space="preserve"> June 2025) funding for LPHUs to deliver operational obligations. (Grant provided via MAPS ID 1437).</w:t>
            </w:r>
          </w:p>
        </w:tc>
      </w:tr>
      <w:tr w:rsidR="004368A6" w14:paraId="7273F39A" w14:textId="77777777" w:rsidTr="00685B35">
        <w:tc>
          <w:tcPr>
            <w:tcW w:w="1550" w:type="dxa"/>
          </w:tcPr>
          <w:p w14:paraId="18793E7B" w14:textId="77777777" w:rsidR="004368A6" w:rsidRPr="001D2232" w:rsidRDefault="004368A6" w:rsidP="00685B35">
            <w:pPr>
              <w:pStyle w:val="Tabletext"/>
              <w:rPr>
                <w:rFonts w:eastAsia="Arial"/>
              </w:rPr>
            </w:pPr>
            <w:r w:rsidRPr="001D2232">
              <w:rPr>
                <w:rFonts w:eastAsia="Arial"/>
              </w:rPr>
              <w:t>M1546</w:t>
            </w:r>
          </w:p>
        </w:tc>
        <w:tc>
          <w:tcPr>
            <w:tcW w:w="1701" w:type="dxa"/>
          </w:tcPr>
          <w:p w14:paraId="7E5EBA4A" w14:textId="3C1D3750" w:rsidR="004368A6" w:rsidRPr="001D2232" w:rsidRDefault="004368A6" w:rsidP="00685B35">
            <w:pPr>
              <w:pStyle w:val="Tabletext"/>
              <w:rPr>
                <w:rFonts w:eastAsia="Arial"/>
              </w:rPr>
            </w:pPr>
            <w:r w:rsidRPr="001D2232">
              <w:rPr>
                <w:rFonts w:eastAsia="Arial"/>
              </w:rPr>
              <w:t xml:space="preserve">LPHU </w:t>
            </w:r>
            <w:r w:rsidR="001D2232">
              <w:rPr>
                <w:rFonts w:eastAsia="Arial"/>
              </w:rPr>
              <w:t>p</w:t>
            </w:r>
            <w:r w:rsidR="001D2232" w:rsidRPr="001D2232">
              <w:rPr>
                <w:rFonts w:eastAsia="Arial"/>
              </w:rPr>
              <w:t>revention</w:t>
            </w:r>
          </w:p>
        </w:tc>
        <w:tc>
          <w:tcPr>
            <w:tcW w:w="6034" w:type="dxa"/>
          </w:tcPr>
          <w:p w14:paraId="131D9F46" w14:textId="77777777" w:rsidR="004368A6" w:rsidRPr="00685B35" w:rsidRDefault="004368A6" w:rsidP="00685B35">
            <w:pPr>
              <w:pStyle w:val="Tabletext"/>
              <w:rPr>
                <w:rFonts w:eastAsia="Arial"/>
              </w:rPr>
            </w:pPr>
            <w:r w:rsidRPr="00685B35">
              <w:rPr>
                <w:rFonts w:eastAsia="Arial"/>
              </w:rPr>
              <w:t>Ongoing LPHU prevention (i.e. health advancement) funding. (Grant provided via MAPS ID 1349).</w:t>
            </w:r>
          </w:p>
        </w:tc>
      </w:tr>
      <w:tr w:rsidR="004368A6" w14:paraId="2B2A3D69" w14:textId="77777777" w:rsidTr="00685B35">
        <w:tc>
          <w:tcPr>
            <w:tcW w:w="1550" w:type="dxa"/>
          </w:tcPr>
          <w:p w14:paraId="65555D78" w14:textId="77777777" w:rsidR="004368A6" w:rsidRPr="001D2232" w:rsidRDefault="004368A6" w:rsidP="00685B35">
            <w:pPr>
              <w:pStyle w:val="Tabletext"/>
              <w:rPr>
                <w:rFonts w:eastAsia="Arial"/>
              </w:rPr>
            </w:pPr>
            <w:r w:rsidRPr="001D2232">
              <w:rPr>
                <w:rFonts w:eastAsia="Arial"/>
              </w:rPr>
              <w:t>M1588-98</w:t>
            </w:r>
          </w:p>
        </w:tc>
        <w:tc>
          <w:tcPr>
            <w:tcW w:w="1701" w:type="dxa"/>
          </w:tcPr>
          <w:p w14:paraId="16EFAE9F" w14:textId="6DE97A97" w:rsidR="004368A6" w:rsidRPr="001D2232" w:rsidRDefault="004368A6" w:rsidP="00685B35">
            <w:pPr>
              <w:pStyle w:val="Tabletext"/>
              <w:rPr>
                <w:rFonts w:eastAsia="Arial"/>
              </w:rPr>
            </w:pPr>
            <w:r w:rsidRPr="001D2232">
              <w:rPr>
                <w:rFonts w:eastAsia="Arial"/>
              </w:rPr>
              <w:t xml:space="preserve">LPHU </w:t>
            </w:r>
            <w:r w:rsidR="001D2232">
              <w:rPr>
                <w:rFonts w:eastAsia="Arial"/>
              </w:rPr>
              <w:t>a</w:t>
            </w:r>
            <w:r w:rsidR="001D2232" w:rsidRPr="001D2232">
              <w:rPr>
                <w:rFonts w:eastAsia="Arial"/>
              </w:rPr>
              <w:t xml:space="preserve">dditional </w:t>
            </w:r>
            <w:r w:rsidR="001D2232">
              <w:rPr>
                <w:rFonts w:eastAsia="Arial"/>
              </w:rPr>
              <w:t>g</w:t>
            </w:r>
            <w:r w:rsidR="001D2232" w:rsidRPr="001D2232">
              <w:rPr>
                <w:rFonts w:eastAsia="Arial"/>
              </w:rPr>
              <w:t>rants</w:t>
            </w:r>
          </w:p>
        </w:tc>
        <w:tc>
          <w:tcPr>
            <w:tcW w:w="6034" w:type="dxa"/>
          </w:tcPr>
          <w:p w14:paraId="040ABE11" w14:textId="3110EF9D" w:rsidR="004368A6" w:rsidRPr="00685B35" w:rsidRDefault="004368A6" w:rsidP="00685B35">
            <w:pPr>
              <w:pStyle w:val="Tabletext"/>
              <w:rPr>
                <w:rFonts w:eastAsia="Arial"/>
              </w:rPr>
            </w:pPr>
            <w:r w:rsidRPr="00685B35">
              <w:rPr>
                <w:rFonts w:eastAsia="Arial"/>
              </w:rPr>
              <w:t>This cost centre range is to be used for reporting on ad</w:t>
            </w:r>
            <w:r w:rsidR="00556817">
              <w:rPr>
                <w:rFonts w:eastAsia="Arial"/>
              </w:rPr>
              <w:t xml:space="preserve"> </w:t>
            </w:r>
            <w:r w:rsidRPr="00685B35">
              <w:rPr>
                <w:rFonts w:eastAsia="Arial"/>
              </w:rPr>
              <w:t>hoc grants. A single cost centre within the range will be assigned and communicated in the grant funding letter.</w:t>
            </w:r>
          </w:p>
        </w:tc>
      </w:tr>
    </w:tbl>
    <w:p w14:paraId="3B01C207" w14:textId="77777777" w:rsidR="00451C9B" w:rsidRDefault="00451C9B" w:rsidP="004368A6">
      <w:pPr>
        <w:pStyle w:val="Body"/>
      </w:pPr>
    </w:p>
    <w:p w14:paraId="0E82B792" w14:textId="1BCA4D3C" w:rsidR="004368A6" w:rsidRDefault="004368A6" w:rsidP="004368A6">
      <w:pPr>
        <w:pStyle w:val="Body"/>
      </w:pPr>
      <w:r>
        <w:t>For mutual visibility of performance in relation to health protection functions</w:t>
      </w:r>
      <w:r w:rsidR="001D2232">
        <w:t xml:space="preserve"> – </w:t>
      </w:r>
      <w:r>
        <w:t xml:space="preserve">and to comply with </w:t>
      </w:r>
      <w:r w:rsidR="001D2232">
        <w:t>d</w:t>
      </w:r>
      <w:r w:rsidR="001D2232" w:rsidRPr="00685B35">
        <w:t xml:space="preserve">ata </w:t>
      </w:r>
      <w:r w:rsidR="001D2232">
        <w:t>c</w:t>
      </w:r>
      <w:r w:rsidR="001D2232" w:rsidRPr="00685B35">
        <w:t xml:space="preserve">ollection </w:t>
      </w:r>
      <w:r w:rsidR="001D2232">
        <w:t>r</w:t>
      </w:r>
      <w:r w:rsidR="001D2232" w:rsidRPr="00685B35">
        <w:t>equirements</w:t>
      </w:r>
      <w:r w:rsidR="001D2232">
        <w:t xml:space="preserve"> </w:t>
      </w:r>
      <w:r>
        <w:t xml:space="preserve">described in the </w:t>
      </w:r>
      <w:r w:rsidRPr="00356A11">
        <w:rPr>
          <w:i/>
          <w:iCs/>
        </w:rPr>
        <w:t xml:space="preserve">Policy </w:t>
      </w:r>
      <w:r w:rsidR="001D2232">
        <w:rPr>
          <w:i/>
          <w:iCs/>
        </w:rPr>
        <w:t>g</w:t>
      </w:r>
      <w:r w:rsidRPr="00356A11">
        <w:rPr>
          <w:i/>
          <w:iCs/>
        </w:rPr>
        <w:t>uide</w:t>
      </w:r>
      <w:r w:rsidR="001D2232">
        <w:t xml:space="preserve"> – </w:t>
      </w:r>
      <w:r>
        <w:t>LPHU will complete the minimum required fields on statewide systems. M</w:t>
      </w:r>
      <w:r w:rsidRPr="00EF6F7D">
        <w:t xml:space="preserve">inimum required fields related to the </w:t>
      </w:r>
      <w:r>
        <w:t xml:space="preserve">investigation of </w:t>
      </w:r>
      <w:r w:rsidRPr="00EF6F7D">
        <w:t>case</w:t>
      </w:r>
      <w:r>
        <w:t>s</w:t>
      </w:r>
      <w:r w:rsidRPr="00EF6F7D">
        <w:t xml:space="preserve"> and outbreak</w:t>
      </w:r>
      <w:r>
        <w:t>s</w:t>
      </w:r>
      <w:r w:rsidRPr="00EF6F7D">
        <w:t xml:space="preserve"> and </w:t>
      </w:r>
      <w:r>
        <w:t xml:space="preserve">the </w:t>
      </w:r>
      <w:r w:rsidRPr="00EF6F7D">
        <w:t>management of notifiable conditions</w:t>
      </w:r>
      <w:r>
        <w:t xml:space="preserve"> are described in</w:t>
      </w:r>
      <w:r w:rsidRPr="00EF6F7D">
        <w:t xml:space="preserve"> condition-specific protocols, outbreak-specific guidelines, system-specific agreements and quick-entry guide documents.</w:t>
      </w:r>
    </w:p>
    <w:p w14:paraId="472919F5" w14:textId="5D4A9AA0" w:rsidR="001D2232" w:rsidRDefault="004368A6" w:rsidP="004368A6">
      <w:pPr>
        <w:pStyle w:val="Body"/>
      </w:pPr>
      <w:r w:rsidRPr="0029681D">
        <w:t xml:space="preserve">The </w:t>
      </w:r>
      <w:r>
        <w:t>operation</w:t>
      </w:r>
      <w:r w:rsidRPr="0029681D">
        <w:t xml:space="preserve"> of local public health units is a </w:t>
      </w:r>
      <w:r w:rsidRPr="00685B35">
        <w:rPr>
          <w:b/>
          <w:bCs/>
        </w:rPr>
        <w:t>specially identified purpose</w:t>
      </w:r>
      <w:r w:rsidR="001D2232">
        <w:t>. This means</w:t>
      </w:r>
      <w:r>
        <w:t xml:space="preserve"> that health services may not redistribute these funds as per</w:t>
      </w:r>
      <w:r w:rsidR="001D2232">
        <w:t xml:space="preserve"> section</w:t>
      </w:r>
      <w:r>
        <w:t xml:space="preserve"> </w:t>
      </w:r>
      <w:hyperlink w:anchor="_Redirection_of_Funds" w:history="1">
        <w:r w:rsidRPr="00685B35">
          <w:t>1.2</w:t>
        </w:r>
        <w:r w:rsidR="00491A8A">
          <w:t>3</w:t>
        </w:r>
        <w:r w:rsidRPr="00685B35">
          <w:t>.5</w:t>
        </w:r>
      </w:hyperlink>
      <w:r w:rsidR="0096487D" w:rsidRPr="00685B35">
        <w:t xml:space="preserve"> </w:t>
      </w:r>
      <w:r w:rsidR="001D2232">
        <w:t>‘</w:t>
      </w:r>
      <w:r w:rsidR="0096487D" w:rsidRPr="00685B35">
        <w:t xml:space="preserve">Redirection of </w:t>
      </w:r>
      <w:r w:rsidR="001D2232">
        <w:t>f</w:t>
      </w:r>
      <w:r w:rsidR="001D2232" w:rsidRPr="00685B35">
        <w:t>unds</w:t>
      </w:r>
      <w:r w:rsidR="001D2232">
        <w:t xml:space="preserve">’. </w:t>
      </w:r>
    </w:p>
    <w:p w14:paraId="7F199AE6" w14:textId="4844EA2E" w:rsidR="004368A6" w:rsidRPr="004368A6" w:rsidRDefault="004368A6" w:rsidP="00AE5AF2">
      <w:pPr>
        <w:pStyle w:val="Body"/>
      </w:pPr>
      <w:r w:rsidRPr="00685B35">
        <w:t>Unexpended funding</w:t>
      </w:r>
      <w:r>
        <w:t xml:space="preserve"> provided to lead health services in connection with LPHU </w:t>
      </w:r>
      <w:r w:rsidR="001D2232">
        <w:t xml:space="preserve">operations </w:t>
      </w:r>
      <w:r>
        <w:t xml:space="preserve">and LPHU </w:t>
      </w:r>
      <w:r w:rsidR="001D2232">
        <w:t xml:space="preserve">prevention </w:t>
      </w:r>
      <w:r>
        <w:t>functions may not be used for any purpose beyond that for which it was granted</w:t>
      </w:r>
      <w:r w:rsidR="007007CA">
        <w:t xml:space="preserve">, unless </w:t>
      </w:r>
      <w:r w:rsidR="00F67E7F">
        <w:t xml:space="preserve">clearly </w:t>
      </w:r>
      <w:r w:rsidR="007007CA">
        <w:t>defined and</w:t>
      </w:r>
      <w:r w:rsidR="007007CA" w:rsidRPr="00A472C6">
        <w:t xml:space="preserve"> approved by the department</w:t>
      </w:r>
      <w:r>
        <w:t>.</w:t>
      </w:r>
    </w:p>
    <w:p w14:paraId="0D2516B9" w14:textId="6E99271B" w:rsidR="000B27B9" w:rsidRPr="004A0C27" w:rsidRDefault="5F235F04" w:rsidP="00685B35">
      <w:pPr>
        <w:pStyle w:val="Heading2"/>
      </w:pPr>
      <w:bookmarkStart w:id="329" w:name="_Toc156569650"/>
      <w:r>
        <w:lastRenderedPageBreak/>
        <w:t xml:space="preserve">Capital </w:t>
      </w:r>
      <w:bookmarkEnd w:id="317"/>
      <w:r w:rsidR="001D2232">
        <w:t xml:space="preserve">funding </w:t>
      </w:r>
      <w:bookmarkEnd w:id="318"/>
      <w:bookmarkEnd w:id="319"/>
      <w:r w:rsidR="001D2232">
        <w:t>programs</w:t>
      </w:r>
      <w:bookmarkEnd w:id="329"/>
    </w:p>
    <w:p w14:paraId="693AB757" w14:textId="6058E589" w:rsidR="37609E45" w:rsidRPr="00D74967" w:rsidRDefault="37609E45" w:rsidP="00D74967">
      <w:pPr>
        <w:pStyle w:val="Body"/>
      </w:pPr>
      <w:bookmarkStart w:id="330" w:name="_Toc418694964"/>
      <w:bookmarkStart w:id="331" w:name="_Toc517163645"/>
      <w:bookmarkStart w:id="332" w:name="_Toc6215618"/>
      <w:bookmarkStart w:id="333" w:name="_Toc10199691"/>
      <w:bookmarkStart w:id="334" w:name="_Toc418694965"/>
      <w:bookmarkEnd w:id="320"/>
      <w:bookmarkEnd w:id="321"/>
      <w:r w:rsidRPr="741F24F1">
        <w:t xml:space="preserve">The department administers capital grant programs to assist health services with the costs of hospital </w:t>
      </w:r>
      <w:r w:rsidRPr="00D74967">
        <w:t>infrastructure and equipment. This includes the Infrastructure Renewal Contribution Grant, Regional Health Infrastructure Fund, Metropolitan Health Infrastructure Fund, mental health and wellbeing service and capital plans, Medical Equipment Replacement Program and Engineering Infrastructure Replacement Program.</w:t>
      </w:r>
      <w:r w:rsidRPr="00D74967">
        <w:rPr>
          <w:rFonts w:ascii="Verdana" w:eastAsia="Verdana" w:hAnsi="Verdana" w:cs="Verdana"/>
        </w:rPr>
        <w:t xml:space="preserve"> </w:t>
      </w:r>
      <w:r w:rsidRPr="00D74967">
        <w:t xml:space="preserve">Health services are responsible for strategically planning and maintaining assets within the asset management accountability framework and submit annual asset management plans (AMP) which outline their systematic approach. </w:t>
      </w:r>
    </w:p>
    <w:p w14:paraId="6832B617" w14:textId="3CCFDD39" w:rsidR="37609E45" w:rsidRDefault="37609E45" w:rsidP="00D74967">
      <w:pPr>
        <w:pStyle w:val="Body"/>
        <w:rPr>
          <w:rFonts w:eastAsia="Arial" w:cs="Arial"/>
          <w:szCs w:val="21"/>
        </w:rPr>
      </w:pPr>
      <w:r w:rsidRPr="0F56E67B">
        <w:rPr>
          <w:rFonts w:eastAsia="Arial" w:cs="Arial"/>
          <w:szCs w:val="21"/>
        </w:rPr>
        <w:t xml:space="preserve">These programs </w:t>
      </w:r>
      <w:r w:rsidRPr="00D74967">
        <w:t xml:space="preserve">and plans </w:t>
      </w:r>
      <w:r w:rsidRPr="0F56E67B">
        <w:rPr>
          <w:rFonts w:eastAsia="Arial" w:cs="Arial"/>
          <w:szCs w:val="21"/>
        </w:rPr>
        <w:t xml:space="preserve">support health services to manage risk and maintain patient safety, occupational health and safety, and service availability and continuity by enhancing the asset base and maintaining and replacing assets in a planned way. </w:t>
      </w:r>
    </w:p>
    <w:p w14:paraId="06E4B395" w14:textId="4A1D0E54" w:rsidR="37609E45" w:rsidRDefault="37609E45" w:rsidP="00D74967">
      <w:pPr>
        <w:pStyle w:val="Body"/>
      </w:pPr>
      <w:r w:rsidRPr="0F56E67B">
        <w:rPr>
          <w:rFonts w:eastAsia="Arial" w:cs="Arial"/>
          <w:szCs w:val="21"/>
        </w:rPr>
        <w:t xml:space="preserve">The department has adopted a coordinated approach to allocating and managing funds from these separate sources. Where projects are unable to be completed and acquitted within a two-year period, allocations may be recalled and reappropriated to other priority projects. </w:t>
      </w:r>
    </w:p>
    <w:p w14:paraId="0D68F132" w14:textId="51F1672C" w:rsidR="741F24F1" w:rsidRDefault="37609E45" w:rsidP="741F24F1">
      <w:pPr>
        <w:pStyle w:val="Body"/>
      </w:pPr>
      <w:r w:rsidRPr="0F56E67B">
        <w:rPr>
          <w:rFonts w:eastAsia="Arial" w:cs="Arial"/>
          <w:szCs w:val="21"/>
        </w:rPr>
        <w:t xml:space="preserve">The Victorian Health Building Authority </w:t>
      </w:r>
      <w:hyperlink r:id="rId67" w:history="1">
        <w:r w:rsidRPr="741F24F1">
          <w:rPr>
            <w:rStyle w:val="Hyperlink"/>
            <w:rFonts w:eastAsia="Arial" w:cs="Arial"/>
            <w:szCs w:val="21"/>
          </w:rPr>
          <w:t>‘Grant programs’ webpage</w:t>
        </w:r>
      </w:hyperlink>
      <w:r w:rsidRPr="0F56E67B">
        <w:rPr>
          <w:rFonts w:eastAsia="Arial" w:cs="Arial"/>
          <w:szCs w:val="21"/>
        </w:rPr>
        <w:t xml:space="preserve"> </w:t>
      </w:r>
      <w:r w:rsidR="00F20C48">
        <w:rPr>
          <w:rFonts w:eastAsia="Arial" w:cs="Arial"/>
          <w:szCs w:val="21"/>
        </w:rPr>
        <w:t>&lt;</w:t>
      </w:r>
      <w:r w:rsidR="00F20C48" w:rsidRPr="00F20C48">
        <w:rPr>
          <w:rFonts w:eastAsia="Arial" w:cs="Arial"/>
          <w:szCs w:val="21"/>
        </w:rPr>
        <w:t>https://www.vhba.vic.gov.au/resources/grant-programs</w:t>
      </w:r>
      <w:r w:rsidR="00F20C48">
        <w:rPr>
          <w:rFonts w:eastAsia="Arial" w:cs="Arial"/>
          <w:szCs w:val="21"/>
        </w:rPr>
        <w:t>&gt;</w:t>
      </w:r>
      <w:r w:rsidRPr="0F56E67B">
        <w:rPr>
          <w:rFonts w:eastAsia="Arial" w:cs="Arial"/>
          <w:szCs w:val="21"/>
        </w:rPr>
        <w:t xml:space="preserve"> provides more information about the programs.  </w:t>
      </w:r>
    </w:p>
    <w:p w14:paraId="2080C82B" w14:textId="292FEC31" w:rsidR="008022FE" w:rsidRPr="008206C2" w:rsidRDefault="008022FE" w:rsidP="00D74967">
      <w:pPr>
        <w:pStyle w:val="Body"/>
      </w:pPr>
      <w:bookmarkStart w:id="335" w:name="_Toc418694969"/>
      <w:bookmarkStart w:id="336" w:name="_Toc6215623"/>
      <w:bookmarkStart w:id="337" w:name="_Ref9935718"/>
      <w:bookmarkStart w:id="338" w:name="_Ref9935756"/>
      <w:bookmarkStart w:id="339" w:name="_Toc10199696"/>
      <w:bookmarkStart w:id="340" w:name="_Toc52892596"/>
      <w:bookmarkStart w:id="341" w:name="_Toc100263328"/>
      <w:bookmarkEnd w:id="330"/>
      <w:bookmarkEnd w:id="331"/>
      <w:bookmarkEnd w:id="332"/>
      <w:bookmarkEnd w:id="333"/>
      <w:bookmarkEnd w:id="334"/>
      <w:r>
        <w:br w:type="page"/>
      </w:r>
    </w:p>
    <w:p w14:paraId="1A6591A1" w14:textId="51BBC523" w:rsidR="00003355" w:rsidRDefault="0AFD3D88" w:rsidP="00685B35">
      <w:pPr>
        <w:pStyle w:val="Heading2"/>
      </w:pPr>
      <w:bookmarkStart w:id="342" w:name="_Ref142493085"/>
      <w:bookmarkStart w:id="343" w:name="_Ref142493761"/>
      <w:bookmarkStart w:id="344" w:name="_Ref143004120"/>
      <w:bookmarkStart w:id="345" w:name="_Toc156569651"/>
      <w:r>
        <w:lastRenderedPageBreak/>
        <w:t>Prior</w:t>
      </w:r>
      <w:r w:rsidR="60A49759">
        <w:t>-</w:t>
      </w:r>
      <w:r w:rsidR="002D24A7">
        <w:t>year adjustment: activity-based funding reconciliation</w:t>
      </w:r>
      <w:bookmarkEnd w:id="342"/>
      <w:bookmarkEnd w:id="343"/>
      <w:bookmarkEnd w:id="344"/>
      <w:bookmarkEnd w:id="345"/>
    </w:p>
    <w:p w14:paraId="45908C34" w14:textId="36BD59AB" w:rsidR="00003355" w:rsidRDefault="00003355" w:rsidP="00003355">
      <w:pPr>
        <w:pStyle w:val="Body"/>
      </w:pPr>
      <w:bookmarkStart w:id="346" w:name="_Toc418694970"/>
      <w:bookmarkStart w:id="347" w:name="_Ref419741339"/>
      <w:bookmarkStart w:id="348" w:name="_Ref419741349"/>
      <w:r w:rsidRPr="000244B9">
        <w:t xml:space="preserve">The department allocates funding according to expected </w:t>
      </w:r>
      <w:r>
        <w:t>deliverables</w:t>
      </w:r>
      <w:r w:rsidRPr="000244B9">
        <w:t>. In general, funded organisations are cash</w:t>
      </w:r>
      <w:r w:rsidR="00D9542F">
        <w:t>-</w:t>
      </w:r>
      <w:r w:rsidRPr="000244B9">
        <w:t>flowed during the financial year according to their funding allocations. Where required, adjustments to this funding for over- and under-activity are made in the following</w:t>
      </w:r>
      <w:r>
        <w:t xml:space="preserve"> </w:t>
      </w:r>
      <w:r w:rsidRPr="000244B9">
        <w:t>financial year according to the policies set out in this section.</w:t>
      </w:r>
    </w:p>
    <w:p w14:paraId="33CF2AB3" w14:textId="5CE2763C" w:rsidR="00003355" w:rsidRDefault="00003355" w:rsidP="00081936">
      <w:pPr>
        <w:pStyle w:val="Heading3"/>
        <w:numPr>
          <w:ilvl w:val="2"/>
          <w:numId w:val="33"/>
        </w:numPr>
        <w:spacing w:before="240"/>
        <w:ind w:left="1134"/>
      </w:pPr>
      <w:bookmarkStart w:id="349" w:name="_Toc110950017"/>
      <w:bookmarkStart w:id="350" w:name="_Toc100263330"/>
      <w:bookmarkStart w:id="351" w:name="_Ref111538488"/>
      <w:bookmarkStart w:id="352" w:name="_Ref111538507"/>
      <w:bookmarkStart w:id="353" w:name="_Toc156569652"/>
      <w:bookmarkEnd w:id="346"/>
      <w:bookmarkEnd w:id="347"/>
      <w:bookmarkEnd w:id="348"/>
      <w:bookmarkEnd w:id="349"/>
      <w:r>
        <w:t>Victorian</w:t>
      </w:r>
      <w:r w:rsidR="00CD285A">
        <w:t xml:space="preserve"> </w:t>
      </w:r>
      <w:r w:rsidR="00522D3C">
        <w:t>funding recall policy</w:t>
      </w:r>
      <w:bookmarkEnd w:id="350"/>
      <w:bookmarkEnd w:id="351"/>
      <w:bookmarkEnd w:id="352"/>
      <w:bookmarkEnd w:id="353"/>
    </w:p>
    <w:p w14:paraId="2DA5F1A4" w14:textId="569C5ED2" w:rsidR="00003355" w:rsidRDefault="00003355" w:rsidP="00003355">
      <w:pPr>
        <w:pStyle w:val="Body"/>
      </w:pPr>
      <w:r>
        <w:t xml:space="preserve">Funding recall will be triggered when activity is below target levels. Recall rates are set out </w:t>
      </w:r>
      <w:r w:rsidR="00A030E3">
        <w:t xml:space="preserve">in </w:t>
      </w:r>
      <w:r w:rsidR="00A030E3">
        <w:fldChar w:fldCharType="begin"/>
      </w:r>
      <w:r w:rsidR="00A030E3">
        <w:instrText xml:space="preserve"> REF _Ref144903883 \h </w:instrText>
      </w:r>
      <w:r w:rsidR="00A030E3">
        <w:fldChar w:fldCharType="separate"/>
      </w:r>
      <w:r w:rsidR="00892F13">
        <w:t xml:space="preserve">Table </w:t>
      </w:r>
      <w:r w:rsidR="00892F13">
        <w:rPr>
          <w:noProof/>
        </w:rPr>
        <w:t>1</w:t>
      </w:r>
      <w:r w:rsidR="00892F13">
        <w:t>.</w:t>
      </w:r>
      <w:r w:rsidR="00892F13">
        <w:rPr>
          <w:noProof/>
        </w:rPr>
        <w:t>6</w:t>
      </w:r>
      <w:r w:rsidR="00A030E3">
        <w:fldChar w:fldCharType="end"/>
      </w:r>
    </w:p>
    <w:p w14:paraId="5233E789" w14:textId="47EE7E7F" w:rsidR="00003355" w:rsidRPr="007229CD" w:rsidRDefault="00003355" w:rsidP="00003355">
      <w:pPr>
        <w:pStyle w:val="Body"/>
      </w:pPr>
      <w:r>
        <w:t xml:space="preserve">Recalling funds depends on accurate and timely data submission. Funded organisations should </w:t>
      </w:r>
      <w:r w:rsidRPr="007229CD">
        <w:t>ensure they adhere to the data requirements as specified in these guidelines. Significant under- or over-activity should be discussed with the department</w:t>
      </w:r>
      <w:r w:rsidR="47249A52" w:rsidRPr="007229CD">
        <w:t xml:space="preserve"> prior to year</w:t>
      </w:r>
      <w:r w:rsidR="00700C1A">
        <w:t xml:space="preserve"> </w:t>
      </w:r>
      <w:r w:rsidR="47249A52" w:rsidRPr="007229CD">
        <w:t>end.</w:t>
      </w:r>
    </w:p>
    <w:p w14:paraId="2C464D22" w14:textId="4D144A5A" w:rsidR="00003355" w:rsidRPr="007229CD" w:rsidRDefault="00003355" w:rsidP="00003355">
      <w:pPr>
        <w:pStyle w:val="Body"/>
      </w:pPr>
      <w:r w:rsidRPr="007229CD" w:rsidDel="00BD3D1D">
        <w:t xml:space="preserve">In </w:t>
      </w:r>
      <w:r w:rsidRPr="007229CD">
        <w:t>202</w:t>
      </w:r>
      <w:r w:rsidR="00C06685">
        <w:t>3</w:t>
      </w:r>
      <w:r w:rsidR="00350B15" w:rsidRPr="007229CD">
        <w:t>–</w:t>
      </w:r>
      <w:r w:rsidRPr="007229CD">
        <w:t>2</w:t>
      </w:r>
      <w:r w:rsidR="00C06685">
        <w:t>4</w:t>
      </w:r>
      <w:r w:rsidRPr="007229CD">
        <w:t>,</w:t>
      </w:r>
      <w:r w:rsidRPr="007229CD">
        <w:rPr>
          <w:lang w:val="en-US"/>
        </w:rPr>
        <w:t xml:space="preserve"> </w:t>
      </w:r>
      <w:r w:rsidRPr="007229CD">
        <w:t>based on the rates detailed</w:t>
      </w:r>
      <w:r w:rsidR="00892F13">
        <w:t xml:space="preserve"> in</w:t>
      </w:r>
      <w:r w:rsidR="00147992">
        <w:t xml:space="preserve"> </w:t>
      </w:r>
      <w:r w:rsidR="00892F13">
        <w:fldChar w:fldCharType="begin"/>
      </w:r>
      <w:r w:rsidR="00892F13">
        <w:instrText xml:space="preserve"> REF _Ref144903883 \h </w:instrText>
      </w:r>
      <w:r w:rsidR="00892F13">
        <w:fldChar w:fldCharType="separate"/>
      </w:r>
      <w:r w:rsidR="00892F13">
        <w:t xml:space="preserve">Table </w:t>
      </w:r>
      <w:r w:rsidR="00892F13">
        <w:rPr>
          <w:noProof/>
        </w:rPr>
        <w:t>1</w:t>
      </w:r>
      <w:r w:rsidR="00892F13">
        <w:t>.</w:t>
      </w:r>
      <w:r w:rsidR="00892F13">
        <w:rPr>
          <w:noProof/>
        </w:rPr>
        <w:t>6</w:t>
      </w:r>
      <w:r w:rsidR="00892F13">
        <w:fldChar w:fldCharType="end"/>
      </w:r>
      <w:r w:rsidR="00892F13">
        <w:t>,</w:t>
      </w:r>
      <w:r w:rsidRPr="007229CD">
        <w:t xml:space="preserve"> </w:t>
      </w:r>
      <w:r w:rsidR="47249A52" w:rsidRPr="007229CD">
        <w:t>t</w:t>
      </w:r>
      <w:r w:rsidRPr="007229CD">
        <w:t>he marginal</w:t>
      </w:r>
      <w:r w:rsidRPr="007229CD" w:rsidDel="00684BC3">
        <w:t xml:space="preserve"> </w:t>
      </w:r>
      <w:r w:rsidRPr="007229CD">
        <w:t>NWAU policy aims to maintain minimal levels of funding for under-activity in recognition of fixed costs and variable demand but incentivise efficient service delivery above target where it is cost-effective for health services to do so and up to a capped amount.</w:t>
      </w:r>
    </w:p>
    <w:p w14:paraId="2009ED71" w14:textId="530CF5D2" w:rsidR="00003355" w:rsidRPr="007229CD" w:rsidRDefault="00003355" w:rsidP="00003355">
      <w:pPr>
        <w:pStyle w:val="Body"/>
      </w:pPr>
      <w:r w:rsidRPr="007229CD">
        <w:t xml:space="preserve">Department of Veterans’ Affairs and </w:t>
      </w:r>
      <w:r w:rsidR="009E0C16" w:rsidRPr="007229CD">
        <w:t xml:space="preserve">Traffic Accident Commission </w:t>
      </w:r>
      <w:r w:rsidRPr="007229CD">
        <w:t xml:space="preserve">activity will continue to be funded to actual activity that is approved by the Department of Veterans’ Affairs and the Transport Accident Commission respectively. Health services are expected to update the VAED for any rejected or denied episodes of care prior to reconciliation. Any denied or rejected records that are not amended will not be paid as either public or Department of Veterans’ Affairs when the </w:t>
      </w:r>
      <w:r w:rsidR="00C06685" w:rsidRPr="007229CD">
        <w:t>202</w:t>
      </w:r>
      <w:r w:rsidR="00C06685">
        <w:t>3</w:t>
      </w:r>
      <w:r w:rsidR="009E0C16" w:rsidRPr="007229CD">
        <w:rPr>
          <w:szCs w:val="21"/>
        </w:rPr>
        <w:t>–</w:t>
      </w:r>
      <w:r w:rsidRPr="007229CD">
        <w:t>2</w:t>
      </w:r>
      <w:r w:rsidR="00C06685">
        <w:t>4</w:t>
      </w:r>
      <w:r w:rsidRPr="007229CD">
        <w:rPr>
          <w:lang w:val="en-US"/>
        </w:rPr>
        <w:t xml:space="preserve"> </w:t>
      </w:r>
      <w:r w:rsidR="009E0C16" w:rsidRPr="007229CD">
        <w:t xml:space="preserve">prior-year adjustment </w:t>
      </w:r>
      <w:r w:rsidRPr="007229CD">
        <w:t>is calculated.</w:t>
      </w:r>
    </w:p>
    <w:p w14:paraId="37E6C498" w14:textId="65ECE60E" w:rsidR="00003355" w:rsidRDefault="00003355" w:rsidP="00003355">
      <w:pPr>
        <w:pStyle w:val="Body"/>
      </w:pPr>
      <w:r w:rsidRPr="007229CD" w:rsidDel="00D9168B">
        <w:t xml:space="preserve">In </w:t>
      </w:r>
      <w:r w:rsidRPr="007229CD">
        <w:t>202</w:t>
      </w:r>
      <w:r w:rsidR="006B32B0">
        <w:t>3</w:t>
      </w:r>
      <w:r w:rsidR="002D24A7">
        <w:t>–</w:t>
      </w:r>
      <w:r w:rsidRPr="007229CD">
        <w:t>2</w:t>
      </w:r>
      <w:r w:rsidR="006B32B0">
        <w:t>4</w:t>
      </w:r>
      <w:r w:rsidRPr="007229CD" w:rsidDel="00D9168B">
        <w:t xml:space="preserve">, </w:t>
      </w:r>
      <w:r w:rsidRPr="007229CD">
        <w:t>National Bowel Cancer Screening Program NWAU will be recalled based on rates detailed in</w:t>
      </w:r>
      <w:r w:rsidR="00147992">
        <w:t xml:space="preserve"> </w:t>
      </w:r>
      <w:r w:rsidR="00147992">
        <w:fldChar w:fldCharType="begin"/>
      </w:r>
      <w:r w:rsidR="00147992">
        <w:instrText xml:space="preserve"> REF _Ref144903883 \h </w:instrText>
      </w:r>
      <w:r w:rsidR="00147992">
        <w:fldChar w:fldCharType="separate"/>
      </w:r>
      <w:r w:rsidR="009915B0">
        <w:t xml:space="preserve">Table </w:t>
      </w:r>
      <w:r w:rsidR="009915B0">
        <w:rPr>
          <w:noProof/>
        </w:rPr>
        <w:t>1</w:t>
      </w:r>
      <w:r w:rsidR="009915B0">
        <w:t>.</w:t>
      </w:r>
      <w:r w:rsidR="009915B0">
        <w:rPr>
          <w:noProof/>
        </w:rPr>
        <w:t>6</w:t>
      </w:r>
      <w:r w:rsidR="00147992">
        <w:fldChar w:fldCharType="end"/>
      </w:r>
      <w:r w:rsidR="00147992">
        <w:t xml:space="preserve"> </w:t>
      </w:r>
      <w:r w:rsidRPr="007229CD">
        <w:t>and continue to be funded to actual activity.</w:t>
      </w:r>
    </w:p>
    <w:p w14:paraId="2B10CC11" w14:textId="77777777" w:rsidR="00003355" w:rsidRDefault="00003355" w:rsidP="00003355">
      <w:pPr>
        <w:pStyle w:val="Body"/>
      </w:pPr>
      <w:r>
        <w:t>Home renal will continue to be funded to actual activity during the year.</w:t>
      </w:r>
    </w:p>
    <w:p w14:paraId="3E7181A4" w14:textId="77777777" w:rsidR="00003355" w:rsidRDefault="00003355" w:rsidP="00003355">
      <w:pPr>
        <w:pStyle w:val="Body"/>
      </w:pPr>
      <w:r>
        <w:t>Recall rates are based on a proportion of the price, rather than a specified dollar value. This enables rates to be applied consistently across services and reflects price adjustments.</w:t>
      </w:r>
    </w:p>
    <w:p w14:paraId="238745C6" w14:textId="0BF1AEC8" w:rsidR="00003355" w:rsidRDefault="00003355" w:rsidP="00003355">
      <w:pPr>
        <w:pStyle w:val="Body"/>
      </w:pPr>
      <w:r>
        <w:t>Small rural health services are exempt from the recall policy for acute</w:t>
      </w:r>
      <w:r w:rsidR="00204021">
        <w:t xml:space="preserve"> and</w:t>
      </w:r>
      <w:r>
        <w:t xml:space="preserve"> subacute, </w:t>
      </w:r>
      <w:r w:rsidR="000B42AF">
        <w:t>p</w:t>
      </w:r>
      <w:r w:rsidR="001D5E1B">
        <w:t xml:space="preserve">rimary </w:t>
      </w:r>
      <w:r w:rsidR="000B42AF">
        <w:t>h</w:t>
      </w:r>
      <w:r w:rsidR="001D5E1B">
        <w:t>ealth</w:t>
      </w:r>
      <w:r w:rsidR="00E44622">
        <w:t xml:space="preserve"> and </w:t>
      </w:r>
      <w:r w:rsidR="000B42AF">
        <w:t>h</w:t>
      </w:r>
      <w:r w:rsidR="00E44622">
        <w:t xml:space="preserve">ome and </w:t>
      </w:r>
      <w:r w:rsidR="000B42AF">
        <w:t>c</w:t>
      </w:r>
      <w:r w:rsidR="00E44622">
        <w:t xml:space="preserve">ommunity </w:t>
      </w:r>
      <w:r w:rsidR="000B42AF">
        <w:t>c</w:t>
      </w:r>
      <w:r w:rsidR="00E44622">
        <w:t>are</w:t>
      </w:r>
      <w:r>
        <w:t>. Recall applies to DVA, T</w:t>
      </w:r>
      <w:r w:rsidR="00CC2D9D">
        <w:t xml:space="preserve">ransport </w:t>
      </w:r>
      <w:r>
        <w:t>A</w:t>
      </w:r>
      <w:r w:rsidR="00CC2D9D">
        <w:t xml:space="preserve">ccident </w:t>
      </w:r>
      <w:r>
        <w:t>C</w:t>
      </w:r>
      <w:r w:rsidR="00CC2D9D">
        <w:t>ommission (TAC)</w:t>
      </w:r>
      <w:r>
        <w:t xml:space="preserve">, </w:t>
      </w:r>
      <w:r w:rsidR="00CC2D9D">
        <w:t>renal</w:t>
      </w:r>
      <w:r>
        <w:t xml:space="preserve">, Aged Care Assessment Services, and </w:t>
      </w:r>
      <w:r w:rsidR="00CC2D9D">
        <w:t xml:space="preserve">residential aged care services </w:t>
      </w:r>
      <w:r w:rsidR="000201A6">
        <w:t xml:space="preserve">for small rural health services </w:t>
      </w:r>
      <w:r>
        <w:t>in the same way as other services.</w:t>
      </w:r>
    </w:p>
    <w:p w14:paraId="5C55FE77" w14:textId="65BC8653" w:rsidR="00003355" w:rsidRDefault="00003355" w:rsidP="00003355">
      <w:pPr>
        <w:pStyle w:val="Body"/>
      </w:pPr>
      <w:r>
        <w:t xml:space="preserve">A recall policy also applies to programs funded under the Ageing, Aged and Home Care Services output. This includes </w:t>
      </w:r>
      <w:r w:rsidRPr="008F3AB4">
        <w:t>Home and Community Care Program for Younger People</w:t>
      </w:r>
      <w:r>
        <w:t xml:space="preserve">, and Aged Care and Assessment Services as outlined in </w:t>
      </w:r>
      <w:r w:rsidR="0072097B">
        <w:fldChar w:fldCharType="begin"/>
      </w:r>
      <w:r w:rsidR="0072097B">
        <w:instrText xml:space="preserve"> REF _Ref147751262 \h </w:instrText>
      </w:r>
      <w:r w:rsidR="0072097B">
        <w:fldChar w:fldCharType="separate"/>
      </w:r>
      <w:r w:rsidR="0072097B">
        <w:t xml:space="preserve">Table </w:t>
      </w:r>
      <w:r w:rsidR="0072097B">
        <w:rPr>
          <w:noProof/>
        </w:rPr>
        <w:t>1</w:t>
      </w:r>
      <w:r w:rsidR="0072097B">
        <w:t>.</w:t>
      </w:r>
      <w:r w:rsidR="0072097B">
        <w:rPr>
          <w:noProof/>
        </w:rPr>
        <w:t>6</w:t>
      </w:r>
      <w:r w:rsidR="0072097B">
        <w:t xml:space="preserve">: </w:t>
      </w:r>
      <w:r w:rsidR="0072097B" w:rsidRPr="00AA725C">
        <w:t>Victorian funding recall rates 2023–24</w:t>
      </w:r>
      <w:r w:rsidR="0072097B">
        <w:fldChar w:fldCharType="end"/>
      </w:r>
      <w:r w:rsidR="00712FBD">
        <w:fldChar w:fldCharType="begin"/>
      </w:r>
      <w:r w:rsidR="00712FBD">
        <w:instrText xml:space="preserve"> REF _Ref142494030 \h </w:instrText>
      </w:r>
      <w:r w:rsidR="00712FBD">
        <w:fldChar w:fldCharType="end"/>
      </w:r>
      <w:r w:rsidR="00EB2D94">
        <w:t>.</w:t>
      </w:r>
      <w:r w:rsidR="002D24A7">
        <w:t xml:space="preserve"> </w:t>
      </w:r>
      <w:r>
        <w:t xml:space="preserve">Funded organisations should </w:t>
      </w:r>
      <w:r w:rsidR="002D24A7">
        <w:t>discuss any</w:t>
      </w:r>
      <w:r>
        <w:t xml:space="preserve"> significant under</w:t>
      </w:r>
      <w:r w:rsidR="006A015D">
        <w:t>-</w:t>
      </w:r>
      <w:r>
        <w:t>performance</w:t>
      </w:r>
      <w:r w:rsidR="002D24A7">
        <w:t xml:space="preserve"> with the department</w:t>
      </w:r>
      <w:r>
        <w:t xml:space="preserve"> </w:t>
      </w:r>
      <w:r w:rsidR="002D24A7">
        <w:t>as soon as possible</w:t>
      </w:r>
      <w:r>
        <w:t>.</w:t>
      </w:r>
    </w:p>
    <w:p w14:paraId="0711751B" w14:textId="6FEDDBA4" w:rsidR="1D7A27E1" w:rsidRDefault="1D7A27E1" w:rsidP="00CA7255">
      <w:pPr>
        <w:pStyle w:val="Body"/>
        <w:spacing w:before="120"/>
      </w:pPr>
      <w:r w:rsidRPr="24A35659">
        <w:rPr>
          <w:rFonts w:eastAsia="Arial" w:cs="Arial"/>
          <w:color w:val="000000" w:themeColor="text1"/>
          <w:szCs w:val="21"/>
        </w:rPr>
        <w:t xml:space="preserve">Public health functions funded through </w:t>
      </w:r>
      <w:r w:rsidR="00913A1A">
        <w:rPr>
          <w:rFonts w:eastAsia="Arial" w:cs="Arial"/>
          <w:color w:val="000000" w:themeColor="text1"/>
          <w:szCs w:val="21"/>
        </w:rPr>
        <w:t>LPHU</w:t>
      </w:r>
      <w:r w:rsidRPr="24A35659">
        <w:rPr>
          <w:rFonts w:eastAsia="Arial" w:cs="Arial"/>
          <w:color w:val="000000" w:themeColor="text1"/>
          <w:szCs w:val="21"/>
        </w:rPr>
        <w:t xml:space="preserve"> </w:t>
      </w:r>
      <w:r w:rsidR="002D24A7">
        <w:rPr>
          <w:rStyle w:val="Emphasis"/>
          <w:rFonts w:eastAsia="Arial" w:cs="Arial"/>
          <w:i w:val="0"/>
          <w:iCs w:val="0"/>
          <w:color w:val="000000" w:themeColor="text1"/>
          <w:szCs w:val="21"/>
        </w:rPr>
        <w:t>c</w:t>
      </w:r>
      <w:r w:rsidRPr="00685B35">
        <w:rPr>
          <w:rStyle w:val="Emphasis"/>
          <w:rFonts w:eastAsia="Arial" w:cs="Arial"/>
          <w:i w:val="0"/>
          <w:iCs w:val="0"/>
          <w:color w:val="000000" w:themeColor="text1"/>
          <w:szCs w:val="21"/>
        </w:rPr>
        <w:t xml:space="preserve">ore </w:t>
      </w:r>
      <w:r w:rsidR="002D24A7">
        <w:rPr>
          <w:rStyle w:val="Emphasis"/>
          <w:rFonts w:eastAsia="Arial" w:cs="Arial"/>
          <w:i w:val="0"/>
          <w:iCs w:val="0"/>
          <w:color w:val="000000" w:themeColor="text1"/>
          <w:szCs w:val="21"/>
        </w:rPr>
        <w:t>o</w:t>
      </w:r>
      <w:r w:rsidRPr="00685B35">
        <w:rPr>
          <w:rStyle w:val="Emphasis"/>
          <w:rFonts w:eastAsia="Arial" w:cs="Arial"/>
          <w:i w:val="0"/>
          <w:iCs w:val="0"/>
          <w:color w:val="000000" w:themeColor="text1"/>
          <w:szCs w:val="21"/>
        </w:rPr>
        <w:t xml:space="preserve">perations </w:t>
      </w:r>
      <w:r w:rsidRPr="002D24A7">
        <w:rPr>
          <w:rFonts w:eastAsia="Arial" w:cs="Arial"/>
          <w:color w:val="000000" w:themeColor="text1"/>
          <w:szCs w:val="21"/>
        </w:rPr>
        <w:t xml:space="preserve">and </w:t>
      </w:r>
      <w:r w:rsidR="002D24A7">
        <w:rPr>
          <w:rStyle w:val="Emphasis"/>
          <w:rFonts w:eastAsia="Arial" w:cs="Arial"/>
          <w:i w:val="0"/>
          <w:iCs w:val="0"/>
          <w:color w:val="000000" w:themeColor="text1"/>
          <w:szCs w:val="21"/>
        </w:rPr>
        <w:t>h</w:t>
      </w:r>
      <w:r w:rsidRPr="00685B35">
        <w:rPr>
          <w:rStyle w:val="Emphasis"/>
          <w:rFonts w:eastAsia="Arial" w:cs="Arial"/>
          <w:i w:val="0"/>
          <w:iCs w:val="0"/>
          <w:color w:val="000000" w:themeColor="text1"/>
          <w:szCs w:val="21"/>
        </w:rPr>
        <w:t xml:space="preserve">ealth </w:t>
      </w:r>
      <w:r w:rsidR="002D24A7">
        <w:rPr>
          <w:rStyle w:val="Emphasis"/>
          <w:rFonts w:eastAsia="Arial" w:cs="Arial"/>
          <w:i w:val="0"/>
          <w:iCs w:val="0"/>
          <w:color w:val="000000" w:themeColor="text1"/>
          <w:szCs w:val="21"/>
        </w:rPr>
        <w:t>a</w:t>
      </w:r>
      <w:r w:rsidRPr="00685B35">
        <w:rPr>
          <w:rStyle w:val="Emphasis"/>
          <w:rFonts w:eastAsia="Arial" w:cs="Arial"/>
          <w:i w:val="0"/>
          <w:iCs w:val="0"/>
          <w:color w:val="000000" w:themeColor="text1"/>
          <w:szCs w:val="21"/>
        </w:rPr>
        <w:t>dvancement</w:t>
      </w:r>
      <w:r w:rsidRPr="002D24A7">
        <w:rPr>
          <w:rFonts w:eastAsia="Arial" w:cs="Arial"/>
          <w:color w:val="000000" w:themeColor="text1"/>
          <w:szCs w:val="21"/>
        </w:rPr>
        <w:t xml:space="preserve"> </w:t>
      </w:r>
      <w:r w:rsidRPr="24A35659">
        <w:rPr>
          <w:rFonts w:eastAsia="Arial" w:cs="Arial"/>
          <w:color w:val="000000" w:themeColor="text1"/>
          <w:szCs w:val="21"/>
        </w:rPr>
        <w:t>grants will be subject to prior</w:t>
      </w:r>
      <w:r w:rsidR="002D24A7">
        <w:rPr>
          <w:rFonts w:eastAsia="Arial" w:cs="Arial"/>
          <w:color w:val="000000" w:themeColor="text1"/>
          <w:szCs w:val="21"/>
        </w:rPr>
        <w:t>-</w:t>
      </w:r>
      <w:r w:rsidRPr="24A35659">
        <w:rPr>
          <w:rFonts w:eastAsia="Arial" w:cs="Arial"/>
          <w:color w:val="000000" w:themeColor="text1"/>
          <w:szCs w:val="21"/>
        </w:rPr>
        <w:t>year adjustments, based on reconciliations and work towards performance targets.</w:t>
      </w:r>
    </w:p>
    <w:p w14:paraId="6A0FF6B7" w14:textId="699B02E1" w:rsidR="00003355" w:rsidRDefault="00003355" w:rsidP="00003355">
      <w:pPr>
        <w:pStyle w:val="Body"/>
      </w:pPr>
      <w:r>
        <w:t>NFCs activity will continue to be funded to actual activity. The</w:t>
      </w:r>
      <w:r w:rsidDel="00684BC3">
        <w:t xml:space="preserve"> </w:t>
      </w:r>
      <w:r>
        <w:t>NWAU associated with the NFCs, including procedures undertaken up to three months post discharge, will not be recognised as public-private NWAU for the purposes of calculated funding recall for acute admitted services.</w:t>
      </w:r>
    </w:p>
    <w:p w14:paraId="7E57F969" w14:textId="003140B9" w:rsidR="00003355" w:rsidRPr="00E7554A" w:rsidRDefault="00003355" w:rsidP="00685B35">
      <w:pPr>
        <w:pStyle w:val="Body"/>
      </w:pPr>
      <w:r>
        <w:lastRenderedPageBreak/>
        <w:t xml:space="preserve">An overview of the calculation process for recall can be found </w:t>
      </w:r>
      <w:r w:rsidR="002D24A7">
        <w:t xml:space="preserve">in section </w:t>
      </w:r>
      <w:r w:rsidR="006B5714">
        <w:fldChar w:fldCharType="begin"/>
      </w:r>
      <w:r w:rsidR="006B5714">
        <w:instrText xml:space="preserve"> REF _Ref111538889 \r \h </w:instrText>
      </w:r>
      <w:r w:rsidR="006B5714">
        <w:fldChar w:fldCharType="separate"/>
      </w:r>
      <w:r w:rsidR="009915B0">
        <w:t>1.20</w:t>
      </w:r>
      <w:r w:rsidR="006B5714">
        <w:fldChar w:fldCharType="end"/>
      </w:r>
      <w:r w:rsidR="006B5714">
        <w:t xml:space="preserve"> ‘</w:t>
      </w:r>
      <w:r w:rsidR="006B5714">
        <w:fldChar w:fldCharType="begin"/>
      </w:r>
      <w:r w:rsidR="006B5714">
        <w:instrText xml:space="preserve"> REF _Ref111538897 \h </w:instrText>
      </w:r>
      <w:r w:rsidR="006B5714">
        <w:fldChar w:fldCharType="separate"/>
      </w:r>
      <w:r w:rsidR="00892F13">
        <w:t>Calculating funding recall</w:t>
      </w:r>
      <w:r w:rsidR="006B5714">
        <w:fldChar w:fldCharType="end"/>
      </w:r>
      <w:r w:rsidR="006B5714">
        <w:t>’</w:t>
      </w:r>
      <w:r>
        <w:t>.</w:t>
      </w:r>
    </w:p>
    <w:p w14:paraId="7EDF3861" w14:textId="4D0BA5BB" w:rsidR="00425B49" w:rsidRDefault="00425B49" w:rsidP="00685B35">
      <w:pPr>
        <w:pStyle w:val="Tablecaption"/>
      </w:pPr>
      <w:bookmarkStart w:id="354" w:name="_Ref144903883"/>
      <w:bookmarkStart w:id="355" w:name="_Ref147751262"/>
      <w:bookmarkStart w:id="356" w:name="_Toc156568649"/>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6</w:t>
      </w:r>
      <w:r>
        <w:fldChar w:fldCharType="end"/>
      </w:r>
      <w:bookmarkEnd w:id="354"/>
      <w:r>
        <w:t xml:space="preserve">: </w:t>
      </w:r>
      <w:r w:rsidRPr="00AA725C">
        <w:t>Victorian funding recall rates 2023–24</w:t>
      </w:r>
      <w:bookmarkEnd w:id="355"/>
      <w:bookmarkEnd w:id="356"/>
    </w:p>
    <w:tbl>
      <w:tblPr>
        <w:tblStyle w:val="TableGrid1"/>
        <w:tblW w:w="9615" w:type="dxa"/>
        <w:tblLook w:val="06A0" w:firstRow="1" w:lastRow="0" w:firstColumn="1" w:lastColumn="0" w:noHBand="1" w:noVBand="1"/>
      </w:tblPr>
      <w:tblGrid>
        <w:gridCol w:w="4815"/>
        <w:gridCol w:w="4800"/>
      </w:tblGrid>
      <w:tr w:rsidR="00003355" w:rsidRPr="00CC47B2" w14:paraId="5BDFE86C" w14:textId="77777777" w:rsidTr="00685B35">
        <w:trPr>
          <w:cnfStyle w:val="100000000000" w:firstRow="1" w:lastRow="0" w:firstColumn="0" w:lastColumn="0" w:oddVBand="0" w:evenVBand="0" w:oddHBand="0" w:evenHBand="0" w:firstRowFirstColumn="0" w:firstRowLastColumn="0" w:lastRowFirstColumn="0" w:lastRowLastColumn="0"/>
          <w:trHeight w:val="300"/>
          <w:tblHeader/>
        </w:trPr>
        <w:tc>
          <w:tcPr>
            <w:tcW w:w="4815" w:type="dxa"/>
            <w:shd w:val="clear" w:color="auto" w:fill="auto"/>
          </w:tcPr>
          <w:p w14:paraId="10082E04" w14:textId="77777777" w:rsidR="00003355" w:rsidRPr="00685B35" w:rsidRDefault="00003355" w:rsidP="002D24A7">
            <w:pPr>
              <w:pStyle w:val="Tablecolhead"/>
            </w:pPr>
            <w:r w:rsidRPr="00685B35">
              <w:t>Service</w:t>
            </w:r>
          </w:p>
        </w:tc>
        <w:tc>
          <w:tcPr>
            <w:tcW w:w="4800" w:type="dxa"/>
            <w:shd w:val="clear" w:color="auto" w:fill="auto"/>
          </w:tcPr>
          <w:p w14:paraId="24DA0AE0" w14:textId="01F0D1E5" w:rsidR="00003355" w:rsidRPr="00685B35" w:rsidRDefault="00003355" w:rsidP="002D24A7">
            <w:pPr>
              <w:pStyle w:val="Tablecolhead"/>
            </w:pPr>
            <w:r w:rsidRPr="00685B35">
              <w:t>Funding recall policy</w:t>
            </w:r>
          </w:p>
        </w:tc>
      </w:tr>
      <w:tr w:rsidR="00003355" w:rsidRPr="005D4304" w14:paraId="3652272C" w14:textId="77777777" w:rsidTr="00685B35">
        <w:trPr>
          <w:trHeight w:val="300"/>
        </w:trPr>
        <w:tc>
          <w:tcPr>
            <w:tcW w:w="4815" w:type="dxa"/>
          </w:tcPr>
          <w:p w14:paraId="37E46827" w14:textId="77777777" w:rsidR="00003355" w:rsidRPr="006F1365" w:rsidRDefault="00003355" w:rsidP="001D10B4">
            <w:pPr>
              <w:pStyle w:val="Tabletext"/>
            </w:pPr>
            <w:r w:rsidRPr="006F1365">
              <w:t>Acute admitted services</w:t>
            </w:r>
          </w:p>
          <w:p w14:paraId="507C6FBE" w14:textId="77777777" w:rsidR="00003355" w:rsidRPr="006F1365" w:rsidRDefault="00003355" w:rsidP="001D10B4">
            <w:pPr>
              <w:pStyle w:val="Tabletext"/>
            </w:pPr>
            <w:r w:rsidRPr="006F1365">
              <w:t>Subacute admitted services (wrap includes GEM, rehabilitation, and palliative care)</w:t>
            </w:r>
          </w:p>
          <w:p w14:paraId="50D7A21E" w14:textId="1025C137" w:rsidR="00003355" w:rsidRPr="006F1365" w:rsidRDefault="00003355" w:rsidP="001D10B4">
            <w:pPr>
              <w:pStyle w:val="Tabletext"/>
            </w:pPr>
            <w:r w:rsidRPr="006F1365">
              <w:t>Non</w:t>
            </w:r>
            <w:r w:rsidR="006F1365">
              <w:t>-</w:t>
            </w:r>
            <w:r w:rsidRPr="006F1365">
              <w:t>admitted services (includes HIP</w:t>
            </w:r>
            <w:r w:rsidR="000E6D26">
              <w:t xml:space="preserve">, </w:t>
            </w:r>
            <w:r w:rsidR="002D24A7">
              <w:t>g</w:t>
            </w:r>
            <w:r w:rsidR="00716F47">
              <w:t>enomics</w:t>
            </w:r>
            <w:r w:rsidRPr="006F1365">
              <w:t xml:space="preserve"> and </w:t>
            </w:r>
            <w:r w:rsidR="002D24A7">
              <w:t>s</w:t>
            </w:r>
            <w:r w:rsidR="002D24A7" w:rsidRPr="006F1365">
              <w:t xml:space="preserve">pecialist </w:t>
            </w:r>
            <w:r w:rsidR="002D24A7">
              <w:t>c</w:t>
            </w:r>
            <w:r w:rsidR="002D24A7" w:rsidRPr="006F1365">
              <w:t>linics</w:t>
            </w:r>
            <w:r w:rsidRPr="006F1365">
              <w:t xml:space="preserve">) </w:t>
            </w:r>
          </w:p>
          <w:p w14:paraId="7B73276C" w14:textId="62B06B9E" w:rsidR="00003355" w:rsidRPr="004C68C1" w:rsidRDefault="00003355" w:rsidP="001D10B4">
            <w:pPr>
              <w:pStyle w:val="Tabletext"/>
            </w:pPr>
            <w:r w:rsidRPr="001D10B4">
              <w:t>Emergency non</w:t>
            </w:r>
            <w:r w:rsidR="006F1365" w:rsidRPr="001D10B4">
              <w:t>-</w:t>
            </w:r>
            <w:r w:rsidRPr="001D10B4">
              <w:t>admitted</w:t>
            </w:r>
          </w:p>
        </w:tc>
        <w:tc>
          <w:tcPr>
            <w:tcW w:w="4800" w:type="dxa"/>
          </w:tcPr>
          <w:p w14:paraId="0BBC41DD" w14:textId="5170D610" w:rsidR="00003355" w:rsidRPr="00674F20" w:rsidRDefault="00003355" w:rsidP="001D10B4">
            <w:pPr>
              <w:pStyle w:val="Tablebullet1"/>
            </w:pPr>
            <w:r w:rsidRPr="00674F20">
              <w:t>0–3</w:t>
            </w:r>
            <w:r w:rsidR="00887E93">
              <w:t>%</w:t>
            </w:r>
            <w:r w:rsidRPr="00674F20">
              <w:t xml:space="preserve"> </w:t>
            </w:r>
            <w:r w:rsidRPr="006F1365">
              <w:t>below</w:t>
            </w:r>
            <w:r w:rsidRPr="00674F20">
              <w:t xml:space="preserve"> target: 50</w:t>
            </w:r>
            <w:r w:rsidR="00887E93">
              <w:t>%</w:t>
            </w:r>
            <w:r w:rsidRPr="00674F20">
              <w:t xml:space="preserve"> of the </w:t>
            </w:r>
            <w:r>
              <w:t>VEP</w:t>
            </w:r>
            <w:r w:rsidR="008B7EFC">
              <w:t xml:space="preserve"> </w:t>
            </w:r>
            <w:r w:rsidRPr="00674F20">
              <w:t xml:space="preserve">weighted relevant rate </w:t>
            </w:r>
            <w:r>
              <w:t>or</w:t>
            </w:r>
            <w:r w:rsidRPr="00674F20">
              <w:t xml:space="preserve"> wrap value</w:t>
            </w:r>
          </w:p>
          <w:p w14:paraId="7AD7728B" w14:textId="6A9D81D7" w:rsidR="00003355" w:rsidRPr="00674F20" w:rsidRDefault="00003355" w:rsidP="00685B35">
            <w:pPr>
              <w:pStyle w:val="Tablebullet1"/>
            </w:pPr>
            <w:r w:rsidRPr="00033198">
              <w:t>&gt; 3</w:t>
            </w:r>
            <w:r w:rsidR="00887E93">
              <w:t>%</w:t>
            </w:r>
            <w:r w:rsidRPr="00033198">
              <w:t xml:space="preserve"> below target: </w:t>
            </w:r>
            <w:r>
              <w:t>100</w:t>
            </w:r>
            <w:r w:rsidR="00887E93">
              <w:t>%</w:t>
            </w:r>
            <w:r>
              <w:t xml:space="preserve"> of </w:t>
            </w:r>
            <w:r w:rsidRPr="00033198">
              <w:t xml:space="preserve">the </w:t>
            </w:r>
            <w:r>
              <w:t>VEP</w:t>
            </w:r>
          </w:p>
        </w:tc>
      </w:tr>
      <w:tr w:rsidR="68F9D2E4" w14:paraId="34C87B3D" w14:textId="77777777" w:rsidTr="00685B35">
        <w:trPr>
          <w:trHeight w:val="300"/>
        </w:trPr>
        <w:tc>
          <w:tcPr>
            <w:tcW w:w="4815" w:type="dxa"/>
          </w:tcPr>
          <w:p w14:paraId="176FAF8B" w14:textId="54EC4851" w:rsidR="3B4ECD0F" w:rsidRDefault="3B4ECD0F" w:rsidP="003650CF">
            <w:pPr>
              <w:pStyle w:val="Tabletext"/>
            </w:pPr>
            <w:r>
              <w:t xml:space="preserve">Acute admitted </w:t>
            </w:r>
            <w:r w:rsidR="002D24A7">
              <w:t>h</w:t>
            </w:r>
            <w:r>
              <w:t xml:space="preserve">ospital </w:t>
            </w:r>
            <w:r w:rsidR="002D24A7">
              <w:t>a</w:t>
            </w:r>
            <w:r>
              <w:t xml:space="preserve">cquired </w:t>
            </w:r>
            <w:r w:rsidR="002D24A7">
              <w:t>c</w:t>
            </w:r>
            <w:r>
              <w:t>omplications</w:t>
            </w:r>
          </w:p>
        </w:tc>
        <w:tc>
          <w:tcPr>
            <w:tcW w:w="4800" w:type="dxa"/>
          </w:tcPr>
          <w:p w14:paraId="70AAD3FB" w14:textId="2B310301" w:rsidR="3B4ECD0F" w:rsidRDefault="5E44B26A" w:rsidP="003650CF">
            <w:pPr>
              <w:pStyle w:val="Tabletext"/>
            </w:pPr>
            <w:r>
              <w:t xml:space="preserve">Full recall at VEP </w:t>
            </w:r>
            <w:r w:rsidR="4DD4DE5F">
              <w:t>for</w:t>
            </w:r>
            <w:r w:rsidR="38364788">
              <w:t xml:space="preserve"> </w:t>
            </w:r>
            <w:r>
              <w:t xml:space="preserve">an </w:t>
            </w:r>
            <w:r w:rsidR="10FA0F22">
              <w:t xml:space="preserve">annual </w:t>
            </w:r>
            <w:r>
              <w:t>increase in the HAC NWAU adjustment</w:t>
            </w:r>
          </w:p>
        </w:tc>
      </w:tr>
      <w:tr w:rsidR="00003355" w:rsidRPr="00E63D9B" w14:paraId="1AF95752" w14:textId="77777777" w:rsidTr="00685B35">
        <w:trPr>
          <w:trHeight w:val="300"/>
        </w:trPr>
        <w:tc>
          <w:tcPr>
            <w:tcW w:w="4815" w:type="dxa"/>
          </w:tcPr>
          <w:p w14:paraId="08B59363" w14:textId="3D9C9540" w:rsidR="00003355" w:rsidRPr="00674F20" w:rsidRDefault="00003355" w:rsidP="001D10B4">
            <w:pPr>
              <w:pStyle w:val="Tabletext"/>
            </w:pPr>
            <w:r w:rsidRPr="00674F20">
              <w:t xml:space="preserve">Nationally </w:t>
            </w:r>
            <w:r w:rsidR="002D24A7" w:rsidRPr="00674F20">
              <w:t>funded c</w:t>
            </w:r>
            <w:r w:rsidRPr="00674F20">
              <w:t>entres</w:t>
            </w:r>
            <w:r>
              <w:t xml:space="preserve"> (NFC)</w:t>
            </w:r>
          </w:p>
        </w:tc>
        <w:tc>
          <w:tcPr>
            <w:tcW w:w="4800" w:type="dxa"/>
          </w:tcPr>
          <w:p w14:paraId="38E3EC9F" w14:textId="079F318F" w:rsidR="00003355" w:rsidRPr="00674F20" w:rsidRDefault="00003355" w:rsidP="001D10B4">
            <w:pPr>
              <w:pStyle w:val="Tabletext"/>
            </w:pPr>
            <w:r w:rsidRPr="00674F20">
              <w:t xml:space="preserve">Full recall of under-activity at the NFC </w:t>
            </w:r>
            <w:r w:rsidRPr="00674F20">
              <w:rPr>
                <w:rFonts w:cs="Arial"/>
              </w:rPr>
              <w:t>determined cost per procedur</w:t>
            </w:r>
            <w:r w:rsidR="006F1365">
              <w:rPr>
                <w:rFonts w:cs="Arial"/>
              </w:rPr>
              <w:t>e</w:t>
            </w:r>
          </w:p>
        </w:tc>
      </w:tr>
      <w:tr w:rsidR="00003355" w:rsidRPr="00E63D9B" w14:paraId="54BE2A22" w14:textId="77777777" w:rsidTr="00685B35">
        <w:trPr>
          <w:trHeight w:val="300"/>
        </w:trPr>
        <w:tc>
          <w:tcPr>
            <w:tcW w:w="4815" w:type="dxa"/>
          </w:tcPr>
          <w:p w14:paraId="6A97AA2C" w14:textId="77777777" w:rsidR="00003355" w:rsidRPr="00674F20" w:rsidRDefault="00003355" w:rsidP="001D10B4">
            <w:pPr>
              <w:pStyle w:val="Tabletext"/>
            </w:pPr>
            <w:r>
              <w:t>National Bowel Cancer Screening Program (NWAU)</w:t>
            </w:r>
          </w:p>
        </w:tc>
        <w:tc>
          <w:tcPr>
            <w:tcW w:w="4800" w:type="dxa"/>
          </w:tcPr>
          <w:p w14:paraId="57683B77" w14:textId="4D50D2AF" w:rsidR="00003355" w:rsidRPr="00674F20" w:rsidRDefault="00003355" w:rsidP="001D10B4">
            <w:pPr>
              <w:pStyle w:val="Tabletext"/>
            </w:pPr>
            <w:r>
              <w:t>Full recall of under-activity</w:t>
            </w:r>
          </w:p>
        </w:tc>
      </w:tr>
      <w:tr w:rsidR="00003355" w:rsidRPr="00E63D9B" w14:paraId="4A3970F2" w14:textId="77777777" w:rsidTr="00685B35">
        <w:trPr>
          <w:trHeight w:val="300"/>
        </w:trPr>
        <w:tc>
          <w:tcPr>
            <w:tcW w:w="4815" w:type="dxa"/>
          </w:tcPr>
          <w:p w14:paraId="1E633564" w14:textId="77777777" w:rsidR="00003355" w:rsidRPr="00674F20" w:rsidRDefault="00003355" w:rsidP="001D10B4">
            <w:pPr>
              <w:pStyle w:val="Tabletext"/>
            </w:pPr>
            <w:r w:rsidRPr="00674F20">
              <w:t>Department of Veterans</w:t>
            </w:r>
            <w:r>
              <w:t>’</w:t>
            </w:r>
            <w:r w:rsidRPr="00674F20">
              <w:t xml:space="preserve"> Affairs</w:t>
            </w:r>
          </w:p>
          <w:p w14:paraId="5F040B67" w14:textId="77777777" w:rsidR="00003355" w:rsidRPr="006F1365" w:rsidRDefault="00003355" w:rsidP="001D10B4">
            <w:pPr>
              <w:pStyle w:val="Tablebullet1"/>
            </w:pPr>
            <w:r w:rsidRPr="006F1365">
              <w:t>Acute admitted services</w:t>
            </w:r>
          </w:p>
          <w:p w14:paraId="39365299" w14:textId="77777777" w:rsidR="00003355" w:rsidRPr="006F1365" w:rsidRDefault="00003355" w:rsidP="001D10B4">
            <w:pPr>
              <w:pStyle w:val="Tablebullet1"/>
            </w:pPr>
            <w:r w:rsidRPr="006F1365">
              <w:t>Subacute admitted services (wrap includes GEM, rehabilitation, and palliative care)</w:t>
            </w:r>
          </w:p>
          <w:p w14:paraId="740B8BCC" w14:textId="77777777" w:rsidR="00003355" w:rsidRPr="00B64179" w:rsidRDefault="00003355" w:rsidP="001D10B4">
            <w:pPr>
              <w:pStyle w:val="Tablebullet1"/>
            </w:pPr>
            <w:r w:rsidRPr="006F1365">
              <w:t>Non-admitted (acute) services</w:t>
            </w:r>
            <w:r>
              <w:t xml:space="preserve"> </w:t>
            </w:r>
          </w:p>
        </w:tc>
        <w:tc>
          <w:tcPr>
            <w:tcW w:w="4800" w:type="dxa"/>
          </w:tcPr>
          <w:p w14:paraId="79FF179A" w14:textId="6A5CA4DC" w:rsidR="00003355" w:rsidRPr="006F1365" w:rsidRDefault="00003355" w:rsidP="001D10B4">
            <w:pPr>
              <w:pStyle w:val="Tabletext"/>
            </w:pPr>
            <w:r w:rsidRPr="00674F20">
              <w:t>Full recall of under</w:t>
            </w:r>
            <w:r>
              <w:t>-</w:t>
            </w:r>
            <w:r w:rsidRPr="00674F20">
              <w:t>activity</w:t>
            </w:r>
          </w:p>
        </w:tc>
      </w:tr>
      <w:tr w:rsidR="00003355" w:rsidRPr="00E63D9B" w14:paraId="7F10D7C7" w14:textId="77777777" w:rsidTr="00685B35">
        <w:trPr>
          <w:trHeight w:val="300"/>
        </w:trPr>
        <w:tc>
          <w:tcPr>
            <w:tcW w:w="4815" w:type="dxa"/>
          </w:tcPr>
          <w:p w14:paraId="18AED373" w14:textId="5555772F" w:rsidR="00003355" w:rsidRPr="006F1365" w:rsidRDefault="00003355" w:rsidP="00B30F60">
            <w:pPr>
              <w:pStyle w:val="Tabletext"/>
            </w:pPr>
            <w:r>
              <w:t>TAC</w:t>
            </w:r>
            <w:r w:rsidRPr="00674F20">
              <w:t xml:space="preserve"> and WorkSafe</w:t>
            </w:r>
          </w:p>
          <w:p w14:paraId="05F2ACF6" w14:textId="77777777" w:rsidR="00003355" w:rsidRPr="00CA6A8D" w:rsidRDefault="00003355" w:rsidP="00B30F60">
            <w:pPr>
              <w:pStyle w:val="Tablebullet1"/>
            </w:pPr>
            <w:r>
              <w:t xml:space="preserve">Acute admitted </w:t>
            </w:r>
            <w:r w:rsidRPr="006F1365">
              <w:t>services</w:t>
            </w:r>
          </w:p>
        </w:tc>
        <w:tc>
          <w:tcPr>
            <w:tcW w:w="4800" w:type="dxa"/>
          </w:tcPr>
          <w:p w14:paraId="49E20619" w14:textId="696F875D" w:rsidR="00003355" w:rsidRPr="006F1365" w:rsidRDefault="00003355" w:rsidP="00B30F60">
            <w:pPr>
              <w:pStyle w:val="Tabletext"/>
            </w:pPr>
            <w:r w:rsidRPr="00674F20">
              <w:t>Full recall of under</w:t>
            </w:r>
            <w:r>
              <w:t>-</w:t>
            </w:r>
            <w:r w:rsidRPr="00674F20">
              <w:t>activity</w:t>
            </w:r>
          </w:p>
        </w:tc>
      </w:tr>
      <w:tr w:rsidR="00003355" w:rsidRPr="006F501A" w14:paraId="52335D6F" w14:textId="77777777" w:rsidTr="00685B35">
        <w:trPr>
          <w:cantSplit/>
          <w:trHeight w:val="300"/>
        </w:trPr>
        <w:tc>
          <w:tcPr>
            <w:tcW w:w="4815" w:type="dxa"/>
          </w:tcPr>
          <w:p w14:paraId="4432E04F" w14:textId="77777777" w:rsidR="00003355" w:rsidRPr="006F1365" w:rsidRDefault="00003355" w:rsidP="00B30F60">
            <w:pPr>
              <w:pStyle w:val="Tabletext"/>
            </w:pPr>
            <w:r>
              <w:t>Small rural health services</w:t>
            </w:r>
          </w:p>
        </w:tc>
        <w:tc>
          <w:tcPr>
            <w:tcW w:w="4800" w:type="dxa"/>
          </w:tcPr>
          <w:p w14:paraId="6ED409A4" w14:textId="0B25237F" w:rsidR="00003355" w:rsidRPr="00674F20" w:rsidRDefault="00003355" w:rsidP="00B30F60">
            <w:pPr>
              <w:pStyle w:val="Tabletext"/>
            </w:pPr>
            <w:r w:rsidRPr="00674F20">
              <w:t xml:space="preserve">Recall </w:t>
            </w:r>
            <w:r w:rsidRPr="006F1365">
              <w:t>applies</w:t>
            </w:r>
            <w:r w:rsidRPr="00674F20">
              <w:t xml:space="preserve"> to renal, ACAS</w:t>
            </w:r>
            <w:r>
              <w:t>, DVA, TAC</w:t>
            </w:r>
            <w:r w:rsidRPr="00674F20">
              <w:t xml:space="preserve"> and residential aged care services</w:t>
            </w:r>
            <w:r w:rsidR="00D67009">
              <w:t>.</w:t>
            </w:r>
          </w:p>
          <w:p w14:paraId="5782DBB4" w14:textId="76D670EA" w:rsidR="00003355" w:rsidRPr="00674F20" w:rsidRDefault="00003355" w:rsidP="00B30F60">
            <w:pPr>
              <w:pStyle w:val="Tabletext"/>
            </w:pPr>
            <w:r w:rsidRPr="00674F20">
              <w:t xml:space="preserve">No recall applies </w:t>
            </w:r>
            <w:r w:rsidRPr="00C11B7E">
              <w:t>for public and private acute, subacute, primary health</w:t>
            </w:r>
            <w:r w:rsidR="000002E7">
              <w:t xml:space="preserve"> and H</w:t>
            </w:r>
            <w:r w:rsidR="00636B4A">
              <w:t>ome and Community Care</w:t>
            </w:r>
            <w:r w:rsidRPr="00C11B7E">
              <w:t>. Recall still applies for DVA and TAC related activity</w:t>
            </w:r>
            <w:r w:rsidR="00693C4D" w:rsidRPr="00693C4D">
              <w:t>.</w:t>
            </w:r>
          </w:p>
        </w:tc>
      </w:tr>
      <w:tr w:rsidR="00003355" w:rsidRPr="00E63D9B" w14:paraId="7D7931C6" w14:textId="77777777" w:rsidTr="00685B35">
        <w:trPr>
          <w:trHeight w:val="300"/>
        </w:trPr>
        <w:tc>
          <w:tcPr>
            <w:tcW w:w="4815" w:type="dxa"/>
          </w:tcPr>
          <w:p w14:paraId="17944B63" w14:textId="77777777" w:rsidR="00003355" w:rsidRPr="00CA6A8D" w:rsidRDefault="00003355" w:rsidP="00B30F60">
            <w:pPr>
              <w:pStyle w:val="Tabletext"/>
            </w:pPr>
            <w:r>
              <w:t>Acquired brain injury unit</w:t>
            </w:r>
          </w:p>
        </w:tc>
        <w:tc>
          <w:tcPr>
            <w:tcW w:w="4800" w:type="dxa"/>
          </w:tcPr>
          <w:p w14:paraId="2F1CC332" w14:textId="44373FDC" w:rsidR="00003355" w:rsidRPr="00674F20" w:rsidRDefault="00003355" w:rsidP="00B30F60">
            <w:pPr>
              <w:pStyle w:val="Tabletext"/>
            </w:pPr>
            <w:r w:rsidRPr="00674F20">
              <w:t>Full recall of under</w:t>
            </w:r>
            <w:r>
              <w:t>-</w:t>
            </w:r>
            <w:r w:rsidRPr="00674F20">
              <w:t>activity</w:t>
            </w:r>
            <w:r>
              <w:t xml:space="preserve"> at the full rate</w:t>
            </w:r>
          </w:p>
        </w:tc>
      </w:tr>
      <w:tr w:rsidR="00003355" w:rsidRPr="006F501A" w14:paraId="2E52A00F" w14:textId="77777777" w:rsidTr="00685B35">
        <w:trPr>
          <w:cantSplit/>
          <w:trHeight w:val="300"/>
        </w:trPr>
        <w:tc>
          <w:tcPr>
            <w:tcW w:w="4815" w:type="dxa"/>
          </w:tcPr>
          <w:p w14:paraId="2D776640" w14:textId="4ACA1B3B" w:rsidR="00003355" w:rsidRPr="00674F20" w:rsidRDefault="00003355" w:rsidP="00B30F60">
            <w:pPr>
              <w:pStyle w:val="Tabletext"/>
            </w:pPr>
            <w:r>
              <w:t>Mental health admitted</w:t>
            </w:r>
            <w:r w:rsidR="709A4FCB">
              <w:t>, subacute and residential</w:t>
            </w:r>
            <w:r>
              <w:t xml:space="preserve"> services</w:t>
            </w:r>
          </w:p>
        </w:tc>
        <w:tc>
          <w:tcPr>
            <w:tcW w:w="4800" w:type="dxa"/>
          </w:tcPr>
          <w:p w14:paraId="589A7FB0" w14:textId="77777777" w:rsidR="00003355" w:rsidRDefault="00003355" w:rsidP="00B30F60">
            <w:pPr>
              <w:pStyle w:val="Tabletext"/>
            </w:pPr>
            <w:r w:rsidRPr="00674F20">
              <w:t>The department may recall funds associated with funded beds, which remain unopened or have been temporarily closed.</w:t>
            </w:r>
          </w:p>
          <w:p w14:paraId="3A2165FE" w14:textId="48DF19F1" w:rsidR="00003355" w:rsidRPr="00674F20" w:rsidRDefault="00003355" w:rsidP="00B30F60">
            <w:pPr>
              <w:pStyle w:val="Tabletext"/>
            </w:pPr>
            <w:r w:rsidRPr="00674F20">
              <w:t xml:space="preserve">Recall will depend on </w:t>
            </w:r>
            <w:r>
              <w:t>statewide</w:t>
            </w:r>
            <w:r w:rsidRPr="00674F20">
              <w:t xml:space="preserve"> priorities and the need for funding redistribution to achieve these priorities as defined by the department</w:t>
            </w:r>
            <w:r>
              <w:t>.</w:t>
            </w:r>
          </w:p>
        </w:tc>
      </w:tr>
      <w:tr w:rsidR="00003355" w14:paraId="0DC522E1" w14:textId="77777777" w:rsidTr="00685B35">
        <w:trPr>
          <w:trHeight w:val="300"/>
        </w:trPr>
        <w:tc>
          <w:tcPr>
            <w:tcW w:w="4815" w:type="dxa"/>
          </w:tcPr>
          <w:p w14:paraId="32D330AC" w14:textId="77777777" w:rsidR="00003355" w:rsidRDefault="00003355" w:rsidP="00B30F60">
            <w:pPr>
              <w:pStyle w:val="Tabletext"/>
            </w:pPr>
            <w:r>
              <w:t>Mental health non-admitted services</w:t>
            </w:r>
          </w:p>
        </w:tc>
        <w:tc>
          <w:tcPr>
            <w:tcW w:w="4800" w:type="dxa"/>
          </w:tcPr>
          <w:p w14:paraId="6AFF0C6D" w14:textId="212DFA71" w:rsidR="00003355" w:rsidRDefault="00003355" w:rsidP="00B30F60">
            <w:pPr>
              <w:pStyle w:val="Tablebullet1"/>
              <w:rPr>
                <w:rFonts w:asciiTheme="minorHAnsi" w:eastAsiaTheme="minorEastAsia" w:hAnsiTheme="minorHAnsi"/>
              </w:rPr>
            </w:pPr>
            <w:r w:rsidRPr="781D0035">
              <w:t xml:space="preserve"> 0</w:t>
            </w:r>
            <w:r w:rsidR="006F1365">
              <w:t>–</w:t>
            </w:r>
            <w:r w:rsidRPr="781D0035">
              <w:t>3</w:t>
            </w:r>
            <w:r w:rsidR="00887E93">
              <w:t>%</w:t>
            </w:r>
            <w:r w:rsidRPr="781D0035">
              <w:t xml:space="preserve"> below target: recall at 50</w:t>
            </w:r>
            <w:r w:rsidR="00887E93">
              <w:t>%</w:t>
            </w:r>
            <w:r w:rsidRPr="781D0035">
              <w:t xml:space="preserve"> of the relevant price</w:t>
            </w:r>
          </w:p>
          <w:p w14:paraId="558C988C" w14:textId="4E90D1B7" w:rsidR="00003355" w:rsidRPr="0032371A" w:rsidRDefault="00003355" w:rsidP="00B30F60">
            <w:pPr>
              <w:pStyle w:val="Tablebullet1"/>
            </w:pPr>
            <w:r w:rsidRPr="781D0035">
              <w:t>&gt; 3</w:t>
            </w:r>
            <w:r w:rsidR="00887E93">
              <w:t>%</w:t>
            </w:r>
            <w:r w:rsidRPr="781D0035">
              <w:t xml:space="preserve"> below target: recall at 100</w:t>
            </w:r>
            <w:r w:rsidR="00887E93">
              <w:t>%</w:t>
            </w:r>
            <w:r w:rsidRPr="781D0035">
              <w:t xml:space="preserve"> of the relevant price</w:t>
            </w:r>
          </w:p>
        </w:tc>
      </w:tr>
      <w:tr w:rsidR="00003355" w:rsidRPr="006F501A" w14:paraId="0828B710" w14:textId="77777777" w:rsidTr="00685B35">
        <w:trPr>
          <w:trHeight w:val="300"/>
        </w:trPr>
        <w:tc>
          <w:tcPr>
            <w:tcW w:w="4815" w:type="dxa"/>
          </w:tcPr>
          <w:p w14:paraId="5ED7DA6B" w14:textId="77777777" w:rsidR="00003355" w:rsidRPr="00674F20" w:rsidRDefault="00003355" w:rsidP="00B30F60">
            <w:pPr>
              <w:pStyle w:val="Tabletext"/>
            </w:pPr>
            <w:r>
              <w:t>Transition Care Program</w:t>
            </w:r>
            <w:r>
              <w:br/>
            </w:r>
            <w:r w:rsidRPr="00674F20">
              <w:t xml:space="preserve">(bed-based </w:t>
            </w:r>
            <w:r w:rsidRPr="006F1365">
              <w:t>and</w:t>
            </w:r>
            <w:r w:rsidRPr="00674F20">
              <w:t xml:space="preserve"> home-based wrapped)</w:t>
            </w:r>
          </w:p>
        </w:tc>
        <w:tc>
          <w:tcPr>
            <w:tcW w:w="4800" w:type="dxa"/>
          </w:tcPr>
          <w:p w14:paraId="19E31C0E" w14:textId="28CECAF9" w:rsidR="00003355" w:rsidRPr="00674F20" w:rsidRDefault="00003355" w:rsidP="00B30F60">
            <w:pPr>
              <w:pStyle w:val="Tablebullet1"/>
            </w:pPr>
            <w:r w:rsidRPr="00674F20">
              <w:t>0–5</w:t>
            </w:r>
            <w:r w:rsidR="00887E93">
              <w:t>%</w:t>
            </w:r>
            <w:r w:rsidRPr="00674F20">
              <w:t xml:space="preserve"> below target: </w:t>
            </w:r>
            <w:r>
              <w:t>n</w:t>
            </w:r>
            <w:r w:rsidRPr="00674F20">
              <w:t xml:space="preserve">o </w:t>
            </w:r>
            <w:r w:rsidRPr="006F1365">
              <w:t>recall</w:t>
            </w:r>
          </w:p>
          <w:p w14:paraId="38B80F1E" w14:textId="2EAF453C" w:rsidR="00003355" w:rsidRPr="00674F20" w:rsidRDefault="00003355" w:rsidP="00B30F60">
            <w:pPr>
              <w:pStyle w:val="Tablebullet1"/>
            </w:pPr>
            <w:r w:rsidRPr="00674F20">
              <w:t>&gt; 5</w:t>
            </w:r>
            <w:r w:rsidR="00887E93">
              <w:t>%</w:t>
            </w:r>
            <w:r w:rsidRPr="00674F20">
              <w:t xml:space="preserve"> below target: </w:t>
            </w:r>
            <w:r>
              <w:t>t</w:t>
            </w:r>
            <w:r w:rsidRPr="00674F20">
              <w:t xml:space="preserve">he department may </w:t>
            </w:r>
            <w:r>
              <w:t>apply recall</w:t>
            </w:r>
            <w:r w:rsidRPr="00674F20">
              <w:t xml:space="preserve">. The amount subject to recall is that beyond the </w:t>
            </w:r>
            <w:r w:rsidR="002D24A7">
              <w:t>5</w:t>
            </w:r>
            <w:r w:rsidR="00887E93">
              <w:t>%</w:t>
            </w:r>
            <w:r w:rsidRPr="00674F20">
              <w:t xml:space="preserve"> under</w:t>
            </w:r>
            <w:r w:rsidR="006A015D">
              <w:t>-</w:t>
            </w:r>
            <w:r w:rsidRPr="00674F20">
              <w:t>performance</w:t>
            </w:r>
          </w:p>
        </w:tc>
      </w:tr>
      <w:tr w:rsidR="00003355" w:rsidRPr="006F501A" w14:paraId="49F53CCD" w14:textId="77777777" w:rsidTr="00685B35">
        <w:trPr>
          <w:trHeight w:val="300"/>
        </w:trPr>
        <w:tc>
          <w:tcPr>
            <w:tcW w:w="4815" w:type="dxa"/>
          </w:tcPr>
          <w:p w14:paraId="1D038707" w14:textId="77777777" w:rsidR="00003355" w:rsidRPr="006F1365" w:rsidRDefault="00003355" w:rsidP="00443C36">
            <w:pPr>
              <w:pStyle w:val="Tabletext"/>
            </w:pPr>
            <w:r w:rsidRPr="006F1365">
              <w:t>Dialysis services</w:t>
            </w:r>
          </w:p>
        </w:tc>
        <w:tc>
          <w:tcPr>
            <w:tcW w:w="4800" w:type="dxa"/>
          </w:tcPr>
          <w:p w14:paraId="2B5FE372" w14:textId="77777777" w:rsidR="00003355" w:rsidRPr="00AE6427" w:rsidRDefault="00003355" w:rsidP="00443C36">
            <w:pPr>
              <w:pStyle w:val="Tabletext"/>
            </w:pPr>
            <w:r w:rsidRPr="00AE6427">
              <w:t xml:space="preserve">Admitted dialysis activity is incorporated within the total health service acute admitted activity. Payment from the dialysis provider to the </w:t>
            </w:r>
            <w:r w:rsidRPr="00AE6427">
              <w:lastRenderedPageBreak/>
              <w:t>specialist service (hub) should be adjusted to actual by the end of the year before the recall is applied.</w:t>
            </w:r>
          </w:p>
          <w:p w14:paraId="1C537D29" w14:textId="7B506EAB" w:rsidR="00003355" w:rsidRPr="006F1365" w:rsidRDefault="00003355" w:rsidP="00443C36">
            <w:pPr>
              <w:pStyle w:val="Tabletext"/>
            </w:pPr>
            <w:r w:rsidRPr="00AE6427">
              <w:t>Home dialysis activity (determined on a monthly basis) under target will be subject to full recall.</w:t>
            </w:r>
          </w:p>
        </w:tc>
      </w:tr>
      <w:tr w:rsidR="00003355" w:rsidRPr="006F501A" w14:paraId="6F279E16" w14:textId="77777777" w:rsidTr="00685B35">
        <w:trPr>
          <w:trHeight w:val="300"/>
        </w:trPr>
        <w:tc>
          <w:tcPr>
            <w:tcW w:w="4815" w:type="dxa"/>
          </w:tcPr>
          <w:p w14:paraId="602A5312" w14:textId="77777777" w:rsidR="00003355" w:rsidRPr="006F1365" w:rsidRDefault="00003355" w:rsidP="00443C36">
            <w:pPr>
              <w:pStyle w:val="Tabletext"/>
            </w:pPr>
            <w:r w:rsidRPr="006F1365">
              <w:lastRenderedPageBreak/>
              <w:t>Non-admitted radiotherapy</w:t>
            </w:r>
          </w:p>
        </w:tc>
        <w:tc>
          <w:tcPr>
            <w:tcW w:w="4800" w:type="dxa"/>
          </w:tcPr>
          <w:p w14:paraId="52C1C822" w14:textId="77777777" w:rsidR="00003355" w:rsidRPr="006F1365" w:rsidRDefault="00003355" w:rsidP="00443C36">
            <w:pPr>
              <w:pStyle w:val="Tabletext"/>
            </w:pPr>
            <w:r w:rsidRPr="006F1365">
              <w:t>Funding will be recalled at the full rate for performance below target.</w:t>
            </w:r>
          </w:p>
        </w:tc>
      </w:tr>
      <w:tr w:rsidR="00003355" w:rsidRPr="006F501A" w14:paraId="005290D9" w14:textId="77777777" w:rsidTr="00685B35">
        <w:trPr>
          <w:trHeight w:val="300"/>
        </w:trPr>
        <w:tc>
          <w:tcPr>
            <w:tcW w:w="4815" w:type="dxa"/>
          </w:tcPr>
          <w:p w14:paraId="5DE894BF" w14:textId="3480CB4C" w:rsidR="00003355" w:rsidRPr="006F1365" w:rsidRDefault="00003355" w:rsidP="00443C36">
            <w:pPr>
              <w:pStyle w:val="Tabletext"/>
            </w:pPr>
            <w:r w:rsidRPr="006F1365">
              <w:t xml:space="preserve">Integrated </w:t>
            </w:r>
            <w:r w:rsidR="002D24A7" w:rsidRPr="006F1365">
              <w:t>cancer services</w:t>
            </w:r>
          </w:p>
        </w:tc>
        <w:tc>
          <w:tcPr>
            <w:tcW w:w="4800" w:type="dxa"/>
          </w:tcPr>
          <w:p w14:paraId="3E9F4CD0" w14:textId="24DA0FEB" w:rsidR="00003355" w:rsidRPr="006F1365" w:rsidRDefault="00003355" w:rsidP="00443C36">
            <w:pPr>
              <w:pStyle w:val="Tabletext"/>
            </w:pPr>
            <w:r w:rsidRPr="006F1365">
              <w:t xml:space="preserve">The department may recall unexpended </w:t>
            </w:r>
            <w:r w:rsidR="002D24A7" w:rsidRPr="006F1365">
              <w:t>integrated cancer services</w:t>
            </w:r>
            <w:r w:rsidRPr="006F1365">
              <w:t xml:space="preserve"> funds. Recall will depend on statewide cancer reform priorities and the need for funding redistribution to achieve these priorities as defined by the department.</w:t>
            </w:r>
          </w:p>
        </w:tc>
      </w:tr>
      <w:tr w:rsidR="00003355" w:rsidRPr="006F501A" w14:paraId="67ECAE0B" w14:textId="77777777" w:rsidTr="00685B35">
        <w:trPr>
          <w:trHeight w:val="300"/>
        </w:trPr>
        <w:tc>
          <w:tcPr>
            <w:tcW w:w="4815" w:type="dxa"/>
          </w:tcPr>
          <w:p w14:paraId="7A8B7AAB" w14:textId="57B27DE5" w:rsidR="00003355" w:rsidRPr="00674F20" w:rsidRDefault="00EB77FF" w:rsidP="00443C36">
            <w:pPr>
              <w:pStyle w:val="Tabletext"/>
            </w:pPr>
            <w:r>
              <w:t xml:space="preserve">Community </w:t>
            </w:r>
            <w:r w:rsidR="002D24A7">
              <w:t>healthcare</w:t>
            </w:r>
            <w:r w:rsidR="002D24A7" w:rsidRPr="00674F20">
              <w:t xml:space="preserve"> </w:t>
            </w:r>
            <w:r w:rsidR="00003355" w:rsidRPr="00674F20">
              <w:t xml:space="preserve">funding </w:t>
            </w:r>
            <w:r w:rsidR="00003355" w:rsidRPr="006F1365">
              <w:t>approach</w:t>
            </w:r>
          </w:p>
        </w:tc>
        <w:tc>
          <w:tcPr>
            <w:tcW w:w="4800" w:type="dxa"/>
          </w:tcPr>
          <w:p w14:paraId="53EDE7E9" w14:textId="797F3B00" w:rsidR="00003355" w:rsidRPr="00674F20" w:rsidRDefault="00003355" w:rsidP="00443C36">
            <w:pPr>
              <w:pStyle w:val="Tablebullet1"/>
            </w:pPr>
            <w:r w:rsidRPr="00674F20">
              <w:t>0–5</w:t>
            </w:r>
            <w:r w:rsidR="00887E93">
              <w:t>%</w:t>
            </w:r>
            <w:r w:rsidRPr="00674F20">
              <w:t xml:space="preserve"> below target: </w:t>
            </w:r>
            <w:r>
              <w:t>n</w:t>
            </w:r>
            <w:r w:rsidRPr="00674F20">
              <w:t>o recall</w:t>
            </w:r>
          </w:p>
          <w:p w14:paraId="74687F68" w14:textId="61F67B5E" w:rsidR="00003355" w:rsidRPr="00674F20" w:rsidRDefault="00003355" w:rsidP="00685B35">
            <w:pPr>
              <w:pStyle w:val="Tablebullet1"/>
            </w:pPr>
            <w:r w:rsidRPr="00674F20">
              <w:t>&gt; 5</w:t>
            </w:r>
            <w:r w:rsidR="00887E93">
              <w:t>%</w:t>
            </w:r>
            <w:r w:rsidRPr="00674F20">
              <w:t xml:space="preserve"> below target: </w:t>
            </w:r>
            <w:r>
              <w:t>t</w:t>
            </w:r>
            <w:r w:rsidRPr="00674F20">
              <w:t xml:space="preserve">he department may recall at the full rate. The amount subject to recall is that beyond the </w:t>
            </w:r>
            <w:r w:rsidR="002D24A7">
              <w:t>5</w:t>
            </w:r>
            <w:r w:rsidR="00887E93">
              <w:t>%</w:t>
            </w:r>
            <w:r w:rsidRPr="00674F20">
              <w:t xml:space="preserve"> under</w:t>
            </w:r>
            <w:r w:rsidR="006A015D">
              <w:t>-</w:t>
            </w:r>
            <w:r w:rsidRPr="00674F20">
              <w:t>performance</w:t>
            </w:r>
            <w:r w:rsidR="00D67009">
              <w:t>.</w:t>
            </w:r>
          </w:p>
        </w:tc>
      </w:tr>
      <w:tr w:rsidR="00003355" w:rsidRPr="006F501A" w14:paraId="29BA8536" w14:textId="77777777" w:rsidTr="00685B35">
        <w:trPr>
          <w:cantSplit/>
          <w:trHeight w:val="300"/>
        </w:trPr>
        <w:tc>
          <w:tcPr>
            <w:tcW w:w="4815" w:type="dxa"/>
          </w:tcPr>
          <w:p w14:paraId="7DDDC02C" w14:textId="51BB69AE" w:rsidR="00003355" w:rsidRPr="00674F20" w:rsidRDefault="00E026C2" w:rsidP="00443C36">
            <w:pPr>
              <w:pStyle w:val="Tabletext"/>
            </w:pPr>
            <w:r w:rsidRPr="00674F20">
              <w:t xml:space="preserve">BreastScreen Victoria </w:t>
            </w:r>
            <w:r w:rsidR="00B139CD">
              <w:t>services</w:t>
            </w:r>
          </w:p>
        </w:tc>
        <w:tc>
          <w:tcPr>
            <w:tcW w:w="4800" w:type="dxa"/>
          </w:tcPr>
          <w:p w14:paraId="50488BDC" w14:textId="76802A54" w:rsidR="00E026C2" w:rsidRDefault="00E026C2" w:rsidP="00E026C2">
            <w:pPr>
              <w:pStyle w:val="Tabletext"/>
            </w:pPr>
            <w:r w:rsidRPr="00F97016">
              <w:t xml:space="preserve">Funding will be recalled at the full rate for performance below </w:t>
            </w:r>
            <w:r w:rsidR="005F2E27">
              <w:t xml:space="preserve">the </w:t>
            </w:r>
            <w:r>
              <w:t xml:space="preserve">department funded </w:t>
            </w:r>
            <w:r w:rsidRPr="00F97016">
              <w:t>target.</w:t>
            </w:r>
          </w:p>
          <w:p w14:paraId="5EF2F554" w14:textId="0198AA71" w:rsidR="00003355" w:rsidRPr="00674F20" w:rsidRDefault="00E026C2" w:rsidP="00685B35">
            <w:pPr>
              <w:pStyle w:val="Tablebullet1"/>
            </w:pPr>
            <w:r w:rsidRPr="0042285E">
              <w:t xml:space="preserve">Recall </w:t>
            </w:r>
            <w:r>
              <w:t>p</w:t>
            </w:r>
            <w:r w:rsidRPr="0042285E">
              <w:t xml:space="preserve">olicy is subject to the terms and conditions of BreastScreen Victoria’s Funding and Service Agreement with the </w:t>
            </w:r>
            <w:r>
              <w:t>d</w:t>
            </w:r>
            <w:r w:rsidRPr="0042285E">
              <w:t>epartment.</w:t>
            </w:r>
          </w:p>
        </w:tc>
      </w:tr>
      <w:tr w:rsidR="00003355" w:rsidRPr="006F501A" w14:paraId="6B609042" w14:textId="77777777" w:rsidTr="00685B35">
        <w:trPr>
          <w:trHeight w:val="300"/>
        </w:trPr>
        <w:tc>
          <w:tcPr>
            <w:tcW w:w="4815" w:type="dxa"/>
          </w:tcPr>
          <w:p w14:paraId="73953F75" w14:textId="58CF6174" w:rsidR="00003355" w:rsidRPr="006F1365" w:rsidRDefault="00003355" w:rsidP="00443C36">
            <w:pPr>
              <w:pStyle w:val="Tabletext"/>
            </w:pPr>
            <w:r w:rsidRPr="006F1365">
              <w:t>Aged Care Assessment Service</w:t>
            </w:r>
            <w:r w:rsidR="00D67009">
              <w:t xml:space="preserve"> </w:t>
            </w:r>
            <w:r w:rsidRPr="006F1365">
              <w:t>(ACAS)</w:t>
            </w:r>
          </w:p>
        </w:tc>
        <w:tc>
          <w:tcPr>
            <w:tcW w:w="4800" w:type="dxa"/>
          </w:tcPr>
          <w:p w14:paraId="3FB05959" w14:textId="2F13B783" w:rsidR="00003355" w:rsidRPr="006F1365" w:rsidRDefault="00003355" w:rsidP="00A8503C">
            <w:pPr>
              <w:pStyle w:val="Tabletext"/>
            </w:pPr>
            <w:r w:rsidRPr="006F1365">
              <w:t>While</w:t>
            </w:r>
            <w:r>
              <w:t xml:space="preserve"> the department recognises that</w:t>
            </w:r>
            <w:r w:rsidRPr="006F1365">
              <w:t xml:space="preserve"> ACAS may find it difficult to meet the exact annual targets for the number of assessments, in the case of sustained under</w:t>
            </w:r>
            <w:r w:rsidR="006A015D">
              <w:t>-</w:t>
            </w:r>
            <w:r w:rsidRPr="006F1365">
              <w:t xml:space="preserve">performance compared with annual targets of more than </w:t>
            </w:r>
            <w:r w:rsidR="006F1365">
              <w:t>5</w:t>
            </w:r>
            <w:r w:rsidR="00887E93">
              <w:t>%</w:t>
            </w:r>
            <w:r w:rsidRPr="006F1365">
              <w:t xml:space="preserve"> for two years or longer, a funding reduction may be applied that corresponds to the level of under</w:t>
            </w:r>
            <w:r w:rsidR="006A015D">
              <w:t>-</w:t>
            </w:r>
            <w:r w:rsidRPr="006F1365">
              <w:t>performance.</w:t>
            </w:r>
          </w:p>
        </w:tc>
      </w:tr>
      <w:tr w:rsidR="00003355" w:rsidRPr="006F501A" w14:paraId="1282534A" w14:textId="77777777" w:rsidTr="00685B35">
        <w:trPr>
          <w:trHeight w:val="300"/>
        </w:trPr>
        <w:tc>
          <w:tcPr>
            <w:tcW w:w="4815" w:type="dxa"/>
          </w:tcPr>
          <w:p w14:paraId="728B2783" w14:textId="77777777" w:rsidR="00003355" w:rsidRPr="006F1365" w:rsidRDefault="00003355" w:rsidP="00443C36">
            <w:pPr>
              <w:pStyle w:val="Tabletext"/>
            </w:pPr>
            <w:r w:rsidRPr="006F1365">
              <w:t>Home and Community Care Program for Younger People</w:t>
            </w:r>
            <w:r w:rsidRPr="006F1365">
              <w:br/>
              <w:t>(HACC-PYP)</w:t>
            </w:r>
          </w:p>
        </w:tc>
        <w:tc>
          <w:tcPr>
            <w:tcW w:w="4800" w:type="dxa"/>
          </w:tcPr>
          <w:p w14:paraId="6EA678FC" w14:textId="4DAA8D8C" w:rsidR="00045492" w:rsidRPr="00674F20" w:rsidRDefault="00045492" w:rsidP="00045492">
            <w:pPr>
              <w:pStyle w:val="Tablebullet1"/>
            </w:pPr>
            <w:r w:rsidRPr="00674F20">
              <w:t>0–5</w:t>
            </w:r>
            <w:r>
              <w:t>%</w:t>
            </w:r>
            <w:r w:rsidRPr="00674F20">
              <w:t xml:space="preserve"> below target: </w:t>
            </w:r>
            <w:r>
              <w:t>n</w:t>
            </w:r>
            <w:r w:rsidRPr="00674F20">
              <w:t>o recall</w:t>
            </w:r>
          </w:p>
          <w:p w14:paraId="5F77D063" w14:textId="26DA8605" w:rsidR="00003355" w:rsidRPr="00B139CD" w:rsidRDefault="00045492" w:rsidP="00443C36">
            <w:pPr>
              <w:pStyle w:val="Tablebullet1"/>
            </w:pPr>
            <w:r w:rsidRPr="00674F20">
              <w:t>&gt; 5</w:t>
            </w:r>
            <w:r>
              <w:t>%</w:t>
            </w:r>
            <w:r w:rsidRPr="00674F20">
              <w:t xml:space="preserve"> below target: </w:t>
            </w:r>
            <w:r>
              <w:t>t</w:t>
            </w:r>
            <w:r w:rsidRPr="00674F20">
              <w:t xml:space="preserve">he department may recall at the full rate. The amount subject to recall is that beyond the </w:t>
            </w:r>
            <w:r w:rsidR="002D24A7">
              <w:t>5</w:t>
            </w:r>
            <w:r>
              <w:t>%</w:t>
            </w:r>
            <w:r w:rsidRPr="00674F20">
              <w:t xml:space="preserve"> under</w:t>
            </w:r>
            <w:r>
              <w:t>-</w:t>
            </w:r>
            <w:r w:rsidRPr="00674F20">
              <w:t>performance</w:t>
            </w:r>
            <w:r w:rsidR="00D67009">
              <w:t>.</w:t>
            </w:r>
          </w:p>
        </w:tc>
      </w:tr>
      <w:tr w:rsidR="00003355" w:rsidRPr="006F501A" w14:paraId="0CDCDF59" w14:textId="77777777" w:rsidTr="00685B35">
        <w:trPr>
          <w:trHeight w:val="300"/>
        </w:trPr>
        <w:tc>
          <w:tcPr>
            <w:tcW w:w="4815" w:type="dxa"/>
          </w:tcPr>
          <w:p w14:paraId="2CC1F1E2" w14:textId="77777777" w:rsidR="00003355" w:rsidRPr="006F1365" w:rsidRDefault="00003355" w:rsidP="00443C36">
            <w:pPr>
              <w:pStyle w:val="Tabletext"/>
            </w:pPr>
            <w:r w:rsidRPr="006F1365">
              <w:t>Diabetes prevention</w:t>
            </w:r>
          </w:p>
        </w:tc>
        <w:tc>
          <w:tcPr>
            <w:tcW w:w="4800" w:type="dxa"/>
          </w:tcPr>
          <w:p w14:paraId="27694731" w14:textId="0A868761" w:rsidR="00003355" w:rsidRPr="006F1365" w:rsidRDefault="00003355" w:rsidP="00443C36">
            <w:pPr>
              <w:pStyle w:val="Tabletext"/>
            </w:pPr>
            <w:r w:rsidRPr="00AE6427">
              <w:t>Program funding recalled per participant target not met</w:t>
            </w:r>
            <w:r w:rsidR="00D67009">
              <w:t>.</w:t>
            </w:r>
          </w:p>
        </w:tc>
      </w:tr>
      <w:tr w:rsidR="00003355" w:rsidRPr="006F501A" w14:paraId="1D7BCB86" w14:textId="77777777" w:rsidTr="00685B35">
        <w:trPr>
          <w:trHeight w:val="300"/>
        </w:trPr>
        <w:tc>
          <w:tcPr>
            <w:tcW w:w="4815" w:type="dxa"/>
          </w:tcPr>
          <w:p w14:paraId="107103D2" w14:textId="77777777" w:rsidR="00003355" w:rsidRPr="006F1365" w:rsidRDefault="00003355" w:rsidP="00443C36">
            <w:pPr>
              <w:pStyle w:val="Tabletext"/>
            </w:pPr>
            <w:r w:rsidRPr="006F1365">
              <w:t>Residential aged care</w:t>
            </w:r>
          </w:p>
        </w:tc>
        <w:tc>
          <w:tcPr>
            <w:tcW w:w="4800" w:type="dxa"/>
          </w:tcPr>
          <w:p w14:paraId="5AAC4264" w14:textId="28543BD2" w:rsidR="00003355" w:rsidRPr="006F1365" w:rsidRDefault="00003355" w:rsidP="00443C36">
            <w:pPr>
              <w:pStyle w:val="Tabletext"/>
            </w:pPr>
            <w:r w:rsidRPr="006F1365">
              <w:t>Recurrent funds may be recalled from service providers, including small rural residential aged care services where they reduce the number of operational places. As funding is calculated on the basis of operational places any reduction will result in a corresponding adjustment to funding.</w:t>
            </w:r>
          </w:p>
        </w:tc>
      </w:tr>
      <w:tr w:rsidR="00003355" w:rsidRPr="006F501A" w14:paraId="0B1665EE" w14:textId="77777777" w:rsidTr="00685B35">
        <w:trPr>
          <w:trHeight w:val="300"/>
        </w:trPr>
        <w:tc>
          <w:tcPr>
            <w:tcW w:w="4815" w:type="dxa"/>
          </w:tcPr>
          <w:p w14:paraId="313B9B50" w14:textId="77777777" w:rsidR="00003355" w:rsidRPr="006F1365" w:rsidRDefault="00003355" w:rsidP="00443C36">
            <w:pPr>
              <w:pStyle w:val="Tabletext"/>
            </w:pPr>
            <w:r w:rsidRPr="006F1365">
              <w:t>Total parenteral nutrition (TPN)</w:t>
            </w:r>
          </w:p>
        </w:tc>
        <w:tc>
          <w:tcPr>
            <w:tcW w:w="4800" w:type="dxa"/>
          </w:tcPr>
          <w:p w14:paraId="6F2F77DE" w14:textId="5E2C61D8" w:rsidR="00003355" w:rsidRPr="006F1365" w:rsidRDefault="00003355" w:rsidP="002D24A7">
            <w:pPr>
              <w:pStyle w:val="Tabletext"/>
            </w:pPr>
            <w:r w:rsidRPr="006F1365">
              <w:t>Total parenteral nutrition</w:t>
            </w:r>
            <w:r w:rsidRPr="00AE6427">
              <w:t xml:space="preserve"> activity (determined on a monthly basis) under target will be subject to full recall</w:t>
            </w:r>
            <w:r w:rsidR="002D24A7">
              <w:t>.</w:t>
            </w:r>
          </w:p>
        </w:tc>
      </w:tr>
      <w:tr w:rsidR="00003355" w:rsidRPr="006F501A" w14:paraId="214CA035" w14:textId="77777777" w:rsidTr="00685B35">
        <w:trPr>
          <w:trHeight w:val="300"/>
        </w:trPr>
        <w:tc>
          <w:tcPr>
            <w:tcW w:w="4815" w:type="dxa"/>
          </w:tcPr>
          <w:p w14:paraId="75510CB0" w14:textId="77777777" w:rsidR="00003355" w:rsidRPr="006F1365" w:rsidRDefault="00003355" w:rsidP="00443C36">
            <w:pPr>
              <w:pStyle w:val="Tabletext"/>
            </w:pPr>
            <w:r w:rsidRPr="006F1365">
              <w:t>Home enteral nutrition (HEN)</w:t>
            </w:r>
          </w:p>
        </w:tc>
        <w:tc>
          <w:tcPr>
            <w:tcW w:w="4800" w:type="dxa"/>
          </w:tcPr>
          <w:p w14:paraId="33500E98" w14:textId="005619C3" w:rsidR="00003355" w:rsidRPr="006F1365" w:rsidRDefault="00003355" w:rsidP="00085C3D">
            <w:pPr>
              <w:pStyle w:val="Tabletext"/>
            </w:pPr>
            <w:r w:rsidRPr="006F1365">
              <w:t>Recall may apply for health services where reported HEN service events are below the target. Funding may be recalled based on the service events below target</w:t>
            </w:r>
            <w:r w:rsidR="002D24A7">
              <w:t>.</w:t>
            </w:r>
          </w:p>
        </w:tc>
      </w:tr>
      <w:tr w:rsidR="44B8A19A" w14:paraId="2A3F1F6E" w14:textId="77777777" w:rsidTr="00685B35">
        <w:trPr>
          <w:trHeight w:val="300"/>
        </w:trPr>
        <w:tc>
          <w:tcPr>
            <w:tcW w:w="4815" w:type="dxa"/>
          </w:tcPr>
          <w:p w14:paraId="3E6DCE1C" w14:textId="45146051" w:rsidR="1F2DC414" w:rsidRDefault="002D24A7" w:rsidP="004A5CCF">
            <w:pPr>
              <w:pStyle w:val="Tabletext"/>
            </w:pPr>
            <w:r>
              <w:t>LPHU</w:t>
            </w:r>
            <w:r w:rsidR="1F2DC414" w:rsidRPr="00105642">
              <w:t xml:space="preserve"> </w:t>
            </w:r>
            <w:r w:rsidRPr="00105642">
              <w:t>core operations</w:t>
            </w:r>
          </w:p>
        </w:tc>
        <w:tc>
          <w:tcPr>
            <w:tcW w:w="4800" w:type="dxa"/>
          </w:tcPr>
          <w:p w14:paraId="34C19EE7" w14:textId="4BF4974B" w:rsidR="1F2DC414" w:rsidRPr="00B802ED" w:rsidRDefault="008E7F8B" w:rsidP="00105642">
            <w:pPr>
              <w:pStyle w:val="Tabletext"/>
            </w:pPr>
            <w:r>
              <w:t>The application</w:t>
            </w:r>
            <w:r w:rsidR="1F2DC414" w:rsidRPr="00105642">
              <w:t xml:space="preserve"> </w:t>
            </w:r>
            <w:r w:rsidR="00A0778D" w:rsidRPr="00105642">
              <w:t xml:space="preserve">of </w:t>
            </w:r>
            <w:r>
              <w:t>r</w:t>
            </w:r>
            <w:r w:rsidR="1F2DC414" w:rsidRPr="00105642">
              <w:t xml:space="preserve">ecall </w:t>
            </w:r>
            <w:r w:rsidR="00A0778D" w:rsidRPr="00105642">
              <w:t>f</w:t>
            </w:r>
            <w:r>
              <w:t>or</w:t>
            </w:r>
            <w:r w:rsidR="00A0778D" w:rsidRPr="00105642">
              <w:t xml:space="preserve"> underspend</w:t>
            </w:r>
            <w:r>
              <w:t xml:space="preserve"> is</w:t>
            </w:r>
            <w:r w:rsidR="00A0778D" w:rsidRPr="00105642">
              <w:t xml:space="preserve"> </w:t>
            </w:r>
            <w:r w:rsidR="1F2DC414" w:rsidRPr="00105642">
              <w:t>depend</w:t>
            </w:r>
            <w:r w:rsidR="00A0778D" w:rsidRPr="00105642">
              <w:t>ent</w:t>
            </w:r>
            <w:r w:rsidR="1F2DC414" w:rsidRPr="00105642">
              <w:t xml:space="preserve"> on </w:t>
            </w:r>
            <w:r w:rsidR="000D024D" w:rsidRPr="00105642">
              <w:t xml:space="preserve">whether there is a </w:t>
            </w:r>
            <w:r w:rsidR="1F2DC414" w:rsidRPr="00105642">
              <w:t xml:space="preserve">need for funding redistribution within the LPHU to achieve </w:t>
            </w:r>
            <w:r w:rsidR="00601CB8" w:rsidRPr="00105642">
              <w:lastRenderedPageBreak/>
              <w:t>statewide</w:t>
            </w:r>
            <w:r w:rsidR="00CE3B83" w:rsidRPr="00105642">
              <w:t xml:space="preserve"> and/or </w:t>
            </w:r>
            <w:r w:rsidR="00596B84" w:rsidRPr="00105642">
              <w:t xml:space="preserve">catchment </w:t>
            </w:r>
            <w:r w:rsidR="000D024D" w:rsidRPr="00105642">
              <w:t xml:space="preserve">public health and health protection </w:t>
            </w:r>
            <w:r w:rsidR="1F2DC414" w:rsidRPr="00105642">
              <w:t>priorities.</w:t>
            </w:r>
          </w:p>
          <w:p w14:paraId="35EBD297" w14:textId="308CF52F" w:rsidR="44B8A19A" w:rsidRPr="00B802ED" w:rsidRDefault="00266E87" w:rsidP="00105642">
            <w:pPr>
              <w:pStyle w:val="Tabletext"/>
            </w:pPr>
            <w:r w:rsidRPr="00B802ED">
              <w:t>Recall and</w:t>
            </w:r>
            <w:r w:rsidR="1F2DC414" w:rsidRPr="00B802ED">
              <w:t xml:space="preserve"> redistribution of funds will be </w:t>
            </w:r>
            <w:r w:rsidR="00BF4F55">
              <w:t>undertaken</w:t>
            </w:r>
            <w:r w:rsidR="00A6715A">
              <w:t xml:space="preserve"> </w:t>
            </w:r>
            <w:r w:rsidR="1F2DC414" w:rsidRPr="00B802ED">
              <w:t xml:space="preserve">in consultation with </w:t>
            </w:r>
            <w:r w:rsidR="00A6715A">
              <w:t>health services</w:t>
            </w:r>
            <w:r w:rsidR="1F2DC414" w:rsidRPr="00B802ED">
              <w:t>.</w:t>
            </w:r>
          </w:p>
        </w:tc>
      </w:tr>
      <w:tr w:rsidR="44B8A19A" w14:paraId="651EE448" w14:textId="77777777" w:rsidTr="00685B35">
        <w:trPr>
          <w:trHeight w:val="300"/>
        </w:trPr>
        <w:tc>
          <w:tcPr>
            <w:tcW w:w="4815" w:type="dxa"/>
          </w:tcPr>
          <w:p w14:paraId="44AC38F7" w14:textId="39BFEF40" w:rsidR="3335D600" w:rsidRPr="00B802ED" w:rsidRDefault="3335D600" w:rsidP="00B802ED">
            <w:pPr>
              <w:pStyle w:val="Tabletext"/>
            </w:pPr>
            <w:r w:rsidRPr="00B802ED">
              <w:lastRenderedPageBreak/>
              <w:t xml:space="preserve">Health </w:t>
            </w:r>
            <w:r w:rsidR="002D24A7">
              <w:t>a</w:t>
            </w:r>
            <w:r w:rsidR="002D24A7" w:rsidRPr="00B802ED">
              <w:t>dvancement</w:t>
            </w:r>
          </w:p>
        </w:tc>
        <w:tc>
          <w:tcPr>
            <w:tcW w:w="4800" w:type="dxa"/>
          </w:tcPr>
          <w:p w14:paraId="1EEF27ED" w14:textId="11B3E25C" w:rsidR="3335D600" w:rsidRPr="00B802ED" w:rsidRDefault="3335D600" w:rsidP="00B802ED">
            <w:pPr>
              <w:pStyle w:val="Tabletext"/>
            </w:pPr>
            <w:r w:rsidRPr="00B802ED">
              <w:t>Recall full underspend</w:t>
            </w:r>
          </w:p>
        </w:tc>
      </w:tr>
      <w:tr w:rsidR="00346C58" w14:paraId="7D7E397F" w14:textId="77777777" w:rsidTr="00685B35">
        <w:trPr>
          <w:trHeight w:val="300"/>
        </w:trPr>
        <w:tc>
          <w:tcPr>
            <w:tcW w:w="4815" w:type="dxa"/>
          </w:tcPr>
          <w:p w14:paraId="3BFA2044" w14:textId="1F93C107" w:rsidR="00346C58" w:rsidRPr="00B802ED" w:rsidRDefault="00346C58" w:rsidP="00B802ED">
            <w:pPr>
              <w:pStyle w:val="Tabletext"/>
              <w:rPr>
                <w:rFonts w:eastAsia="Arial"/>
              </w:rPr>
            </w:pPr>
            <w:r>
              <w:rPr>
                <w:rFonts w:eastAsia="Arial"/>
              </w:rPr>
              <w:t xml:space="preserve">Additional </w:t>
            </w:r>
            <w:r w:rsidR="002D24A7">
              <w:rPr>
                <w:rFonts w:eastAsia="Arial"/>
              </w:rPr>
              <w:t>planned surgery</w:t>
            </w:r>
          </w:p>
        </w:tc>
        <w:tc>
          <w:tcPr>
            <w:tcW w:w="4800" w:type="dxa"/>
          </w:tcPr>
          <w:p w14:paraId="05B4A081" w14:textId="1B3790D2" w:rsidR="00346C58" w:rsidRPr="00B802ED" w:rsidRDefault="00346C58" w:rsidP="00B802ED">
            <w:pPr>
              <w:pStyle w:val="Tabletext"/>
              <w:rPr>
                <w:rFonts w:eastAsia="Arial"/>
              </w:rPr>
            </w:pPr>
            <w:r>
              <w:rPr>
                <w:rFonts w:eastAsia="Arial"/>
              </w:rPr>
              <w:t xml:space="preserve">Refer to section </w:t>
            </w:r>
            <w:r w:rsidR="009915B0">
              <w:rPr>
                <w:rFonts w:eastAsia="Arial"/>
              </w:rPr>
              <w:fldChar w:fldCharType="begin"/>
            </w:r>
            <w:r w:rsidR="009915B0">
              <w:rPr>
                <w:rFonts w:eastAsia="Arial"/>
              </w:rPr>
              <w:instrText xml:space="preserve"> REF _Ref148945696 \r \h </w:instrText>
            </w:r>
            <w:r w:rsidR="009915B0">
              <w:rPr>
                <w:rFonts w:eastAsia="Arial"/>
              </w:rPr>
            </w:r>
            <w:r w:rsidR="009915B0">
              <w:rPr>
                <w:rFonts w:eastAsia="Arial"/>
              </w:rPr>
              <w:fldChar w:fldCharType="separate"/>
            </w:r>
            <w:r w:rsidR="009915B0">
              <w:rPr>
                <w:rFonts w:eastAsia="Arial"/>
              </w:rPr>
              <w:t>1.19</w:t>
            </w:r>
            <w:r w:rsidR="009915B0">
              <w:rPr>
                <w:rFonts w:eastAsia="Arial"/>
              </w:rPr>
              <w:fldChar w:fldCharType="end"/>
            </w:r>
            <w:r>
              <w:rPr>
                <w:rFonts w:eastAsia="Arial"/>
              </w:rPr>
              <w:t xml:space="preserve"> </w:t>
            </w:r>
            <w:r w:rsidR="002D24A7">
              <w:rPr>
                <w:rFonts w:eastAsia="Arial"/>
              </w:rPr>
              <w:t>‘</w:t>
            </w:r>
            <w:r w:rsidR="009915B0">
              <w:t>Planned (elective) surgery</w:t>
            </w:r>
            <w:r w:rsidR="009915B0" w:rsidRPr="008975B4">
              <w:t xml:space="preserve"> </w:t>
            </w:r>
            <w:r>
              <w:rPr>
                <w:rFonts w:eastAsia="Arial"/>
              </w:rPr>
              <w:t>recall policy</w:t>
            </w:r>
            <w:r w:rsidR="002D24A7">
              <w:rPr>
                <w:rFonts w:eastAsia="Arial"/>
              </w:rPr>
              <w:t>’</w:t>
            </w:r>
          </w:p>
        </w:tc>
      </w:tr>
    </w:tbl>
    <w:p w14:paraId="13AAD392" w14:textId="594837C5" w:rsidR="00003355" w:rsidRPr="000244B9" w:rsidRDefault="00003355" w:rsidP="00081936">
      <w:pPr>
        <w:pStyle w:val="Heading4"/>
        <w:numPr>
          <w:ilvl w:val="3"/>
          <w:numId w:val="33"/>
        </w:numPr>
      </w:pPr>
      <w:r w:rsidRPr="000244B9">
        <w:t xml:space="preserve">Exceptional </w:t>
      </w:r>
      <w:r w:rsidR="002D24A7">
        <w:t>e</w:t>
      </w:r>
      <w:r w:rsidR="002D24A7" w:rsidRPr="000244B9">
        <w:t>vents</w:t>
      </w:r>
    </w:p>
    <w:p w14:paraId="1B833200" w14:textId="0926BD6D" w:rsidR="00003355" w:rsidRPr="000244B9" w:rsidRDefault="00003355" w:rsidP="00003355">
      <w:pPr>
        <w:pStyle w:val="Body"/>
      </w:pPr>
      <w:r w:rsidRPr="000244B9">
        <w:t xml:space="preserve">There may be circumstances (including industrial action and natural disasters) beyond the reasonable control of </w:t>
      </w:r>
      <w:r w:rsidRPr="008A7D13">
        <w:t>health</w:t>
      </w:r>
      <w:r w:rsidRPr="000244B9">
        <w:t xml:space="preserve"> service management that prevent targeted throughput being met. At its discretion, and on a case-by-case basis, the department will consider submissions to adjust funding to health services, irrespective of throughput, for </w:t>
      </w:r>
      <w:r>
        <w:t>as</w:t>
      </w:r>
      <w:r w:rsidRPr="000244B9">
        <w:t xml:space="preserve"> long as such events continue.</w:t>
      </w:r>
    </w:p>
    <w:p w14:paraId="1321F90D" w14:textId="77777777" w:rsidR="00003355" w:rsidRPr="000244B9" w:rsidRDefault="00003355" w:rsidP="00003355">
      <w:pPr>
        <w:pStyle w:val="Body"/>
      </w:pPr>
      <w:r w:rsidRPr="000244B9">
        <w:t>Health services are expected to actively mitigate their financial exposure and throughput decline during and following such events.</w:t>
      </w:r>
    </w:p>
    <w:p w14:paraId="195C3367" w14:textId="4BA11D69" w:rsidR="00003355" w:rsidRPr="000244B9" w:rsidRDefault="00003355" w:rsidP="00003355">
      <w:pPr>
        <w:pStyle w:val="Body"/>
      </w:pPr>
      <w:r w:rsidRPr="000244B9">
        <w:t>The department will take into consideration the net change to health service finances and resources caused by exceptional events. However, health services will not receive additional funding for catch-up throughput</w:t>
      </w:r>
      <w:r>
        <w:t>,</w:t>
      </w:r>
      <w:r w:rsidRPr="000244B9">
        <w:t xml:space="preserve"> nor will health services receive funding for additional throughput in service areas not directly affected by these events. The department assesses the net impact of such events by assessing the data it collects on health service performance and other indicators.</w:t>
      </w:r>
    </w:p>
    <w:p w14:paraId="012CBB6E" w14:textId="25AA7B2E" w:rsidR="00003355" w:rsidRDefault="00003355" w:rsidP="00081936">
      <w:pPr>
        <w:pStyle w:val="Heading3"/>
        <w:numPr>
          <w:ilvl w:val="2"/>
          <w:numId w:val="33"/>
        </w:numPr>
        <w:spacing w:before="240"/>
        <w:ind w:left="1134"/>
      </w:pPr>
      <w:bookmarkStart w:id="357" w:name="_Toc418694971"/>
      <w:bookmarkStart w:id="358" w:name="_Toc6215625"/>
      <w:bookmarkStart w:id="359" w:name="_Toc10199698"/>
      <w:bookmarkStart w:id="360" w:name="_Toc52892598"/>
      <w:bookmarkStart w:id="361" w:name="_Toc100263331"/>
      <w:bookmarkStart w:id="362" w:name="_Toc156569653"/>
      <w:r>
        <w:t xml:space="preserve">Funding for </w:t>
      </w:r>
      <w:r w:rsidR="00346C58">
        <w:t>t</w:t>
      </w:r>
      <w:r>
        <w:t xml:space="preserve">hroughput </w:t>
      </w:r>
      <w:r w:rsidR="00346C58">
        <w:t>a</w:t>
      </w:r>
      <w:r>
        <w:t xml:space="preserve">bove </w:t>
      </w:r>
      <w:r w:rsidR="00346C58">
        <w:t>t</w:t>
      </w:r>
      <w:r>
        <w:t>arget</w:t>
      </w:r>
      <w:bookmarkEnd w:id="357"/>
      <w:bookmarkEnd w:id="358"/>
      <w:bookmarkEnd w:id="359"/>
      <w:bookmarkEnd w:id="360"/>
      <w:bookmarkEnd w:id="361"/>
      <w:bookmarkEnd w:id="362"/>
    </w:p>
    <w:p w14:paraId="2C1F299A" w14:textId="6ED0976B" w:rsidR="00003355" w:rsidRDefault="00003355" w:rsidP="00003355">
      <w:pPr>
        <w:pStyle w:val="Body"/>
      </w:pPr>
      <w:r>
        <w:t>Funding for health service throughput above target will be based on a proportion of the funding rate (</w:t>
      </w:r>
      <w:r w:rsidR="00D45E11">
        <w:t xml:space="preserve">refer to </w:t>
      </w:r>
      <w:r w:rsidR="00545BFD">
        <w:fldChar w:fldCharType="begin"/>
      </w:r>
      <w:r w:rsidR="00545BFD">
        <w:instrText xml:space="preserve"> REF _Ref145407617 \h </w:instrText>
      </w:r>
      <w:r w:rsidR="00545BFD">
        <w:fldChar w:fldCharType="separate"/>
      </w:r>
      <w:r w:rsidR="00545BFD">
        <w:t xml:space="preserve">Table </w:t>
      </w:r>
      <w:r w:rsidR="00545BFD">
        <w:rPr>
          <w:noProof/>
        </w:rPr>
        <w:t>1</w:t>
      </w:r>
      <w:r w:rsidR="00545BFD">
        <w:t>.</w:t>
      </w:r>
      <w:r w:rsidR="00545BFD">
        <w:rPr>
          <w:noProof/>
        </w:rPr>
        <w:t>7</w:t>
      </w:r>
      <w:r w:rsidR="00545BFD">
        <w:t xml:space="preserve">: </w:t>
      </w:r>
      <w:r w:rsidR="00545BFD" w:rsidRPr="00592817">
        <w:t>Funding for throughput above target 2023–24</w:t>
      </w:r>
      <w:r w:rsidR="00545BFD">
        <w:fldChar w:fldCharType="end"/>
      </w:r>
      <w:r w:rsidR="00545BFD">
        <w:t>)</w:t>
      </w:r>
      <w:r w:rsidRPr="00801262">
        <w:t>.</w:t>
      </w:r>
    </w:p>
    <w:p w14:paraId="428BCD17" w14:textId="77777777" w:rsidR="00003355" w:rsidRDefault="00003355" w:rsidP="00003355">
      <w:pPr>
        <w:pStyle w:val="Body"/>
      </w:pPr>
      <w:r>
        <w:t xml:space="preserve">The </w:t>
      </w:r>
      <w:r w:rsidRPr="001A31E2">
        <w:t xml:space="preserve">Department of Veterans’ Affairs </w:t>
      </w:r>
      <w:r>
        <w:t>and the TAC will continue to be funded to actual activity and will therefore attract additional funding for throughout above target.</w:t>
      </w:r>
    </w:p>
    <w:p w14:paraId="0847D006" w14:textId="77777777" w:rsidR="00003355" w:rsidRDefault="00003355" w:rsidP="00003355">
      <w:pPr>
        <w:pStyle w:val="Body"/>
      </w:pPr>
      <w:r>
        <w:t>National Bowel Cancer Screening Program NWAU will be funded to actual activity and will therefore attract additional funding for throughout above target.</w:t>
      </w:r>
    </w:p>
    <w:p w14:paraId="297C83D2" w14:textId="071D357E" w:rsidR="00003355" w:rsidRDefault="00003355" w:rsidP="00003355">
      <w:pPr>
        <w:pStyle w:val="Bodyafterbullets"/>
      </w:pPr>
      <w:r>
        <w:t xml:space="preserve">Significant under- or over-activity should be discussed with the department. Transition Care Program, </w:t>
      </w:r>
      <w:r w:rsidR="00D45E11">
        <w:t>nursing</w:t>
      </w:r>
      <w:r w:rsidR="00522D3C">
        <w:t>-</w:t>
      </w:r>
      <w:r>
        <w:t>home</w:t>
      </w:r>
      <w:r w:rsidR="00D45E11">
        <w:t>-</w:t>
      </w:r>
      <w:r>
        <w:t>type activity and non-admitted services are not included in the subacute wrap.</w:t>
      </w:r>
    </w:p>
    <w:p w14:paraId="28D9D859" w14:textId="3D6C83E2" w:rsidR="00003355" w:rsidRDefault="00003355" w:rsidP="00003355">
      <w:pPr>
        <w:pStyle w:val="Body"/>
      </w:pPr>
      <w:r>
        <w:t>There is no funding for any over-activity for non-acute care (</w:t>
      </w:r>
      <w:r w:rsidR="0047067B">
        <w:t xml:space="preserve">Community Health Program, </w:t>
      </w:r>
      <w:r>
        <w:t>Home and Community Care Program for Younger People, Transition Care Program, or nursing home activity).</w:t>
      </w:r>
    </w:p>
    <w:p w14:paraId="07977CF7" w14:textId="2860ED90" w:rsidR="00425B49" w:rsidRDefault="00425B49" w:rsidP="00685B35">
      <w:pPr>
        <w:pStyle w:val="Tablecaption"/>
      </w:pPr>
      <w:bookmarkStart w:id="363" w:name="_Ref145407617"/>
      <w:bookmarkStart w:id="364" w:name="_Toc156568650"/>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7</w:t>
      </w:r>
      <w:r>
        <w:fldChar w:fldCharType="end"/>
      </w:r>
      <w:r>
        <w:t xml:space="preserve">: </w:t>
      </w:r>
      <w:r w:rsidRPr="00592817">
        <w:t>Funding for throughput above target 2023–24</w:t>
      </w:r>
      <w:bookmarkEnd w:id="363"/>
      <w:bookmarkEnd w:id="364"/>
    </w:p>
    <w:tbl>
      <w:tblPr>
        <w:tblStyle w:val="TableGrid1"/>
        <w:tblW w:w="9299" w:type="dxa"/>
        <w:tblLook w:val="06A0" w:firstRow="1" w:lastRow="0" w:firstColumn="1" w:lastColumn="0" w:noHBand="1" w:noVBand="1"/>
      </w:tblPr>
      <w:tblGrid>
        <w:gridCol w:w="4407"/>
        <w:gridCol w:w="4892"/>
      </w:tblGrid>
      <w:tr w:rsidR="00003355" w:rsidRPr="00CC47B2" w14:paraId="26EB76FC"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4407" w:type="dxa"/>
            <w:shd w:val="clear" w:color="auto" w:fill="auto"/>
          </w:tcPr>
          <w:p w14:paraId="610C4D46" w14:textId="77777777" w:rsidR="00003355" w:rsidRPr="00D45E11" w:rsidRDefault="00003355" w:rsidP="00685B35">
            <w:pPr>
              <w:pStyle w:val="Tablecolhead"/>
            </w:pPr>
            <w:r w:rsidRPr="00D45E11">
              <w:t>Service</w:t>
            </w:r>
          </w:p>
        </w:tc>
        <w:tc>
          <w:tcPr>
            <w:tcW w:w="4892" w:type="dxa"/>
            <w:shd w:val="clear" w:color="auto" w:fill="auto"/>
          </w:tcPr>
          <w:p w14:paraId="2FFD63D4" w14:textId="77777777" w:rsidR="00003355" w:rsidRPr="00D45E11" w:rsidRDefault="00003355" w:rsidP="00685B35">
            <w:pPr>
              <w:pStyle w:val="Tablecolhead"/>
            </w:pPr>
            <w:r w:rsidRPr="00D45E11">
              <w:t>Funding recall policy</w:t>
            </w:r>
          </w:p>
        </w:tc>
      </w:tr>
      <w:tr w:rsidR="00003355" w:rsidRPr="005D4304" w14:paraId="71C7C10D" w14:textId="77777777" w:rsidTr="00685B35">
        <w:tc>
          <w:tcPr>
            <w:tcW w:w="4407" w:type="dxa"/>
          </w:tcPr>
          <w:p w14:paraId="32407984" w14:textId="77777777" w:rsidR="00003355" w:rsidRPr="00881D12" w:rsidRDefault="00003355" w:rsidP="004E4F39">
            <w:pPr>
              <w:pStyle w:val="Tabletext"/>
            </w:pPr>
            <w:r w:rsidRPr="00881D12">
              <w:t>Acute admitted services</w:t>
            </w:r>
          </w:p>
          <w:p w14:paraId="6E8279DE" w14:textId="77777777" w:rsidR="00003355" w:rsidRPr="00881D12" w:rsidRDefault="00003355" w:rsidP="00F5747B">
            <w:pPr>
              <w:pStyle w:val="Tabletext"/>
            </w:pPr>
            <w:r w:rsidRPr="00881D12">
              <w:t>Subacute admitted services (wrap includes GEM, rehabilitation, and palliative care)</w:t>
            </w:r>
          </w:p>
          <w:p w14:paraId="1E8A2D57" w14:textId="59FE63E0" w:rsidR="00003355" w:rsidRPr="00881D12" w:rsidRDefault="00003355" w:rsidP="00F5747B">
            <w:pPr>
              <w:pStyle w:val="Tabletext"/>
            </w:pPr>
            <w:r w:rsidRPr="00881D12">
              <w:t>Non-admitted services (includes H</w:t>
            </w:r>
            <w:r w:rsidR="004A3F81">
              <w:t>I</w:t>
            </w:r>
            <w:r w:rsidRPr="00881D12">
              <w:t>P</w:t>
            </w:r>
            <w:r w:rsidR="003A2A52">
              <w:t xml:space="preserve">, Genomics </w:t>
            </w:r>
            <w:r w:rsidRPr="00881D12">
              <w:t xml:space="preserve">and Specialist Clinics) </w:t>
            </w:r>
          </w:p>
          <w:p w14:paraId="35FA2777" w14:textId="69631F78" w:rsidR="00003355" w:rsidRPr="00881D12" w:rsidRDefault="00003355" w:rsidP="00F5747B">
            <w:pPr>
              <w:pStyle w:val="Tabletext"/>
            </w:pPr>
            <w:r w:rsidRPr="09E24029">
              <w:rPr>
                <w:rFonts w:eastAsia="Times New Roman" w:cs="Times New Roman"/>
              </w:rPr>
              <w:t>Emergency non-</w:t>
            </w:r>
            <w:r w:rsidRPr="09E24029" w:rsidDel="00ED34E6">
              <w:rPr>
                <w:rFonts w:eastAsia="Times New Roman" w:cs="Times New Roman"/>
              </w:rPr>
              <w:t>admitted</w:t>
            </w:r>
            <w:r w:rsidR="00F5747B" w:rsidRPr="09E24029">
              <w:rPr>
                <w:rFonts w:eastAsia="Times New Roman" w:cs="Times New Roman"/>
              </w:rPr>
              <w:t xml:space="preserve"> </w:t>
            </w:r>
            <w:r w:rsidR="4D51F2BB" w:rsidRPr="09E24029">
              <w:rPr>
                <w:rFonts w:eastAsia="Times New Roman" w:cs="Times New Roman"/>
              </w:rPr>
              <w:t>p</w:t>
            </w:r>
            <w:r w:rsidR="00B01559" w:rsidRPr="09E24029">
              <w:rPr>
                <w:rFonts w:eastAsia="Times New Roman" w:cs="Times New Roman"/>
              </w:rPr>
              <w:t>lanned (</w:t>
            </w:r>
            <w:r w:rsidR="2B1866F3" w:rsidRPr="09E24029">
              <w:rPr>
                <w:rFonts w:eastAsia="Times New Roman" w:cs="Times New Roman"/>
              </w:rPr>
              <w:t>e</w:t>
            </w:r>
            <w:r w:rsidR="046BED8A" w:rsidRPr="09E24029">
              <w:rPr>
                <w:rFonts w:eastAsia="Times New Roman" w:cs="Times New Roman"/>
              </w:rPr>
              <w:t>lective</w:t>
            </w:r>
            <w:r w:rsidR="00B01559" w:rsidRPr="09E24029">
              <w:rPr>
                <w:rFonts w:eastAsia="Times New Roman" w:cs="Times New Roman"/>
              </w:rPr>
              <w:t>)</w:t>
            </w:r>
            <w:r w:rsidR="046BED8A" w:rsidRPr="09E24029">
              <w:rPr>
                <w:rFonts w:eastAsia="Times New Roman" w:cs="Times New Roman"/>
              </w:rPr>
              <w:t xml:space="preserve"> surgery base activity</w:t>
            </w:r>
          </w:p>
        </w:tc>
        <w:tc>
          <w:tcPr>
            <w:tcW w:w="4892" w:type="dxa"/>
          </w:tcPr>
          <w:p w14:paraId="58C8D74C" w14:textId="55252EEC" w:rsidR="00003355" w:rsidRPr="004E4F39" w:rsidRDefault="00B139CD" w:rsidP="004E4F39">
            <w:pPr>
              <w:pStyle w:val="Tabletext9pt"/>
              <w:keepNext/>
              <w:rPr>
                <w:sz w:val="21"/>
              </w:rPr>
            </w:pPr>
            <w:r>
              <w:rPr>
                <w:sz w:val="21"/>
              </w:rPr>
              <w:t>50</w:t>
            </w:r>
            <w:r w:rsidR="00887E93">
              <w:rPr>
                <w:sz w:val="21"/>
              </w:rPr>
              <w:t>%</w:t>
            </w:r>
            <w:r w:rsidR="00003355" w:rsidRPr="004E4F39">
              <w:rPr>
                <w:sz w:val="21"/>
              </w:rPr>
              <w:t xml:space="preserve"> of the VEP</w:t>
            </w:r>
          </w:p>
          <w:p w14:paraId="2BF85AFF" w14:textId="0E85FEBC" w:rsidR="00003355" w:rsidRPr="00881D12" w:rsidRDefault="00003355" w:rsidP="004E4F39">
            <w:pPr>
              <w:pStyle w:val="Tabletext"/>
            </w:pPr>
            <w:r w:rsidRPr="004E4F39">
              <w:t xml:space="preserve">Any activity above </w:t>
            </w:r>
            <w:r w:rsidR="00305793">
              <w:t>4</w:t>
            </w:r>
            <w:r w:rsidR="00887E93">
              <w:t>%</w:t>
            </w:r>
            <w:r w:rsidRPr="004E4F39">
              <w:t xml:space="preserve"> will not attract additional funds</w:t>
            </w:r>
          </w:p>
        </w:tc>
      </w:tr>
      <w:tr w:rsidR="68F9D2E4" w14:paraId="7A1F022A" w14:textId="77777777" w:rsidTr="00685B35">
        <w:trPr>
          <w:trHeight w:val="300"/>
        </w:trPr>
        <w:tc>
          <w:tcPr>
            <w:tcW w:w="4407" w:type="dxa"/>
          </w:tcPr>
          <w:p w14:paraId="716B927C" w14:textId="308B654D" w:rsidR="68F9D2E4" w:rsidRDefault="68F9D2E4" w:rsidP="68F9D2E4">
            <w:pPr>
              <w:pStyle w:val="Tabletext"/>
            </w:pPr>
            <w:r>
              <w:lastRenderedPageBreak/>
              <w:t>Acute admitted Hospital Acquired Complications</w:t>
            </w:r>
          </w:p>
        </w:tc>
        <w:tc>
          <w:tcPr>
            <w:tcW w:w="4892" w:type="dxa"/>
          </w:tcPr>
          <w:p w14:paraId="530BE34D" w14:textId="311C8A14" w:rsidR="68F9D2E4" w:rsidRDefault="68F9D2E4" w:rsidP="68F9D2E4">
            <w:pPr>
              <w:pStyle w:val="Tabletext"/>
            </w:pPr>
            <w:r>
              <w:t xml:space="preserve">Full </w:t>
            </w:r>
            <w:r w:rsidR="1294B477">
              <w:t>payment</w:t>
            </w:r>
            <w:r>
              <w:t xml:space="preserve"> at VEP for an annual </w:t>
            </w:r>
            <w:r w:rsidR="053501F9">
              <w:t xml:space="preserve">decrease </w:t>
            </w:r>
            <w:r>
              <w:t>in the HAC NWAU adjustment</w:t>
            </w:r>
          </w:p>
        </w:tc>
      </w:tr>
      <w:tr w:rsidR="00003355" w:rsidRPr="00E63D9B" w14:paraId="62EA4400" w14:textId="77777777" w:rsidTr="00685B35">
        <w:tc>
          <w:tcPr>
            <w:tcW w:w="4407" w:type="dxa"/>
          </w:tcPr>
          <w:p w14:paraId="1745F674" w14:textId="67D275E7" w:rsidR="00003355" w:rsidRPr="00881D12" w:rsidRDefault="00003355" w:rsidP="004E4F39">
            <w:pPr>
              <w:pStyle w:val="Tabletext"/>
            </w:pPr>
            <w:r w:rsidRPr="00881D12">
              <w:t xml:space="preserve">Nationally </w:t>
            </w:r>
            <w:r w:rsidR="00A27956">
              <w:t>f</w:t>
            </w:r>
            <w:r w:rsidR="003D6EEE" w:rsidRPr="00881D12">
              <w:t xml:space="preserve">unded </w:t>
            </w:r>
            <w:r w:rsidR="00A27956">
              <w:t>c</w:t>
            </w:r>
            <w:r w:rsidR="00A27956" w:rsidRPr="00881D12">
              <w:t xml:space="preserve">entres </w:t>
            </w:r>
            <w:r w:rsidRPr="00881D12">
              <w:t>(NFC)</w:t>
            </w:r>
          </w:p>
        </w:tc>
        <w:tc>
          <w:tcPr>
            <w:tcW w:w="4892" w:type="dxa"/>
          </w:tcPr>
          <w:p w14:paraId="720C74D0" w14:textId="77777777" w:rsidR="00003355" w:rsidRPr="00881D12" w:rsidRDefault="00003355" w:rsidP="004E4F39">
            <w:pPr>
              <w:pStyle w:val="Tabletext"/>
            </w:pPr>
            <w:r w:rsidRPr="00881D12">
              <w:t>Funding will be reconciled to actual activity.</w:t>
            </w:r>
          </w:p>
        </w:tc>
      </w:tr>
      <w:tr w:rsidR="00003355" w:rsidRPr="00E63D9B" w14:paraId="6B6ABFF2" w14:textId="77777777" w:rsidTr="00685B35">
        <w:tc>
          <w:tcPr>
            <w:tcW w:w="4407" w:type="dxa"/>
          </w:tcPr>
          <w:p w14:paraId="503F9854" w14:textId="12DD8EFA" w:rsidR="00003355" w:rsidRPr="00881D12" w:rsidRDefault="00003355" w:rsidP="00252924">
            <w:pPr>
              <w:pStyle w:val="Tabletext"/>
            </w:pPr>
            <w:r w:rsidRPr="00881D12">
              <w:t>TAC</w:t>
            </w:r>
          </w:p>
          <w:p w14:paraId="32C3B0AC" w14:textId="77777777" w:rsidR="00003355" w:rsidRPr="00674F20" w:rsidRDefault="00003355" w:rsidP="00252924">
            <w:pPr>
              <w:pStyle w:val="Tabletext"/>
            </w:pPr>
            <w:r w:rsidRPr="00881D12">
              <w:t>WorkSafe</w:t>
            </w:r>
          </w:p>
        </w:tc>
        <w:tc>
          <w:tcPr>
            <w:tcW w:w="4892" w:type="dxa"/>
          </w:tcPr>
          <w:p w14:paraId="185D8E61" w14:textId="77777777" w:rsidR="00003355" w:rsidRPr="00022E60" w:rsidRDefault="00003355" w:rsidP="00252924">
            <w:pPr>
              <w:pStyle w:val="Tabletext"/>
              <w:rPr>
                <w:color w:val="000000" w:themeColor="text1"/>
              </w:rPr>
            </w:pPr>
            <w:r>
              <w:t xml:space="preserve">Funding will be reconciled to actual activity </w:t>
            </w:r>
            <w:r w:rsidRPr="00022E60">
              <w:rPr>
                <w:color w:val="000000" w:themeColor="text1"/>
              </w:rPr>
              <w:t>for:</w:t>
            </w:r>
          </w:p>
          <w:p w14:paraId="582BD52F" w14:textId="7A688052" w:rsidR="00003355" w:rsidRPr="00252924" w:rsidRDefault="00881D12" w:rsidP="00252924">
            <w:pPr>
              <w:pStyle w:val="Tablebullet1"/>
            </w:pPr>
            <w:r>
              <w:t xml:space="preserve">acute </w:t>
            </w:r>
            <w:r w:rsidR="00003355">
              <w:t>admitted services</w:t>
            </w:r>
          </w:p>
          <w:p w14:paraId="249E63E3" w14:textId="2311C497" w:rsidR="00003355" w:rsidRPr="00252924" w:rsidRDefault="00881D12" w:rsidP="00252924">
            <w:pPr>
              <w:pStyle w:val="Tablebullet1"/>
            </w:pPr>
            <w:r>
              <w:t xml:space="preserve">subacute </w:t>
            </w:r>
            <w:r w:rsidR="00003355">
              <w:t>admitted services (wrap includes GEM, rehabilitation, and palliative care)</w:t>
            </w:r>
            <w:r w:rsidR="00FB46E5">
              <w:t>.</w:t>
            </w:r>
          </w:p>
        </w:tc>
      </w:tr>
      <w:tr w:rsidR="00003355" w:rsidRPr="00022E60" w14:paraId="0866A634" w14:textId="77777777" w:rsidTr="00685B35">
        <w:tc>
          <w:tcPr>
            <w:tcW w:w="4407" w:type="dxa"/>
          </w:tcPr>
          <w:p w14:paraId="7952A7DD" w14:textId="77777777" w:rsidR="00003355" w:rsidRPr="00252924" w:rsidRDefault="00003355" w:rsidP="00252924">
            <w:pPr>
              <w:pStyle w:val="Tabletext"/>
            </w:pPr>
            <w:r w:rsidRPr="00252924">
              <w:t>Department of Veterans’ Affairs</w:t>
            </w:r>
          </w:p>
          <w:p w14:paraId="72FEBA59" w14:textId="77777777" w:rsidR="00003355" w:rsidRPr="00022E60" w:rsidRDefault="00003355" w:rsidP="00594350">
            <w:pPr>
              <w:pStyle w:val="Tabletext9pt"/>
              <w:keepNext/>
              <w:rPr>
                <w:color w:val="000000" w:themeColor="text1"/>
              </w:rPr>
            </w:pPr>
          </w:p>
        </w:tc>
        <w:tc>
          <w:tcPr>
            <w:tcW w:w="4892" w:type="dxa"/>
          </w:tcPr>
          <w:p w14:paraId="313FEC48" w14:textId="77777777" w:rsidR="00003355" w:rsidRPr="00252924" w:rsidRDefault="00003355" w:rsidP="00252924">
            <w:pPr>
              <w:pStyle w:val="Tabletext"/>
            </w:pPr>
            <w:r w:rsidRPr="00252924">
              <w:t>Funding will be reconciled to actual activity for:</w:t>
            </w:r>
          </w:p>
          <w:p w14:paraId="7C585B0C" w14:textId="755217C6" w:rsidR="00003355" w:rsidRPr="00252924" w:rsidRDefault="00881D12" w:rsidP="00252924">
            <w:pPr>
              <w:pStyle w:val="Tablebullet1"/>
            </w:pPr>
            <w:r>
              <w:t xml:space="preserve">acute </w:t>
            </w:r>
            <w:r w:rsidR="00003355">
              <w:t>admitted services</w:t>
            </w:r>
          </w:p>
          <w:p w14:paraId="64A9D3D8" w14:textId="69670F26" w:rsidR="00003355" w:rsidRPr="00252924" w:rsidRDefault="00881D12" w:rsidP="00252924">
            <w:pPr>
              <w:pStyle w:val="Tablebullet1"/>
            </w:pPr>
            <w:r>
              <w:t xml:space="preserve">subacute </w:t>
            </w:r>
            <w:r w:rsidR="00003355">
              <w:t>admitted services (wrap includes GEM, rehabilitation, and palliative care)</w:t>
            </w:r>
          </w:p>
          <w:p w14:paraId="6230E24E" w14:textId="2FA279E9" w:rsidR="00003355" w:rsidRPr="00252924" w:rsidRDefault="00881D12" w:rsidP="00252924">
            <w:pPr>
              <w:pStyle w:val="Tablebullet1"/>
            </w:pPr>
            <w:r>
              <w:t>non</w:t>
            </w:r>
            <w:r w:rsidR="00003355">
              <w:t>-admitted (acute) services</w:t>
            </w:r>
            <w:r w:rsidR="00FB46E5">
              <w:t>.</w:t>
            </w:r>
          </w:p>
        </w:tc>
      </w:tr>
      <w:tr w:rsidR="00003355" w:rsidRPr="006F501A" w14:paraId="76950DF3" w14:textId="77777777" w:rsidTr="00685B35">
        <w:tc>
          <w:tcPr>
            <w:tcW w:w="4407" w:type="dxa"/>
          </w:tcPr>
          <w:p w14:paraId="6502C087" w14:textId="77777777" w:rsidR="00003355" w:rsidRPr="00674F20" w:rsidRDefault="00003355" w:rsidP="00252924">
            <w:pPr>
              <w:pStyle w:val="Tabletext"/>
            </w:pPr>
            <w:r>
              <w:t>National Bowel Cancer Screen Program NWAU</w:t>
            </w:r>
          </w:p>
        </w:tc>
        <w:tc>
          <w:tcPr>
            <w:tcW w:w="4892" w:type="dxa"/>
          </w:tcPr>
          <w:p w14:paraId="35A0D841" w14:textId="77777777" w:rsidR="00003355" w:rsidRPr="00AE6427" w:rsidRDefault="00003355" w:rsidP="00252924">
            <w:pPr>
              <w:pStyle w:val="Tabletext"/>
            </w:pPr>
            <w:r w:rsidRPr="00881D12">
              <w:t>Funding will be reconciled to actual activity.</w:t>
            </w:r>
          </w:p>
        </w:tc>
      </w:tr>
      <w:tr w:rsidR="00003355" w:rsidRPr="006F501A" w14:paraId="49B998CD" w14:textId="77777777" w:rsidTr="00685B35">
        <w:tc>
          <w:tcPr>
            <w:tcW w:w="4407" w:type="dxa"/>
          </w:tcPr>
          <w:p w14:paraId="4F452966" w14:textId="77777777" w:rsidR="00003355" w:rsidRPr="00674F20" w:rsidRDefault="00003355" w:rsidP="00252924">
            <w:pPr>
              <w:pStyle w:val="Tabletext"/>
            </w:pPr>
            <w:r w:rsidRPr="00674F20">
              <w:t>Dialysis services</w:t>
            </w:r>
          </w:p>
        </w:tc>
        <w:tc>
          <w:tcPr>
            <w:tcW w:w="4892" w:type="dxa"/>
          </w:tcPr>
          <w:p w14:paraId="2B520D4A" w14:textId="77777777" w:rsidR="00003355" w:rsidRPr="00881D12" w:rsidRDefault="00003355" w:rsidP="00252924">
            <w:pPr>
              <w:pStyle w:val="Tabletext"/>
            </w:pPr>
            <w:r w:rsidRPr="00AE6427">
              <w:t>Admitted dialysis activity is incorporated within the total health service acute admitted activity. Payment from the dialysis provider to specialist service (hub) should be adjusted to actual by the end of the year.</w:t>
            </w:r>
          </w:p>
          <w:p w14:paraId="05D4A48E" w14:textId="77777777" w:rsidR="00003355" w:rsidRPr="00881D12" w:rsidRDefault="00003355" w:rsidP="00252924">
            <w:pPr>
              <w:pStyle w:val="Tabletext"/>
            </w:pPr>
            <w:r w:rsidRPr="00AE6427">
              <w:t>Home dialysis activity (determined on a monthly basis) over target will be paid to actual activity.</w:t>
            </w:r>
          </w:p>
        </w:tc>
      </w:tr>
      <w:tr w:rsidR="00003355" w:rsidRPr="006F501A" w14:paraId="1582415A" w14:textId="77777777" w:rsidTr="00685B35">
        <w:tc>
          <w:tcPr>
            <w:tcW w:w="4407" w:type="dxa"/>
          </w:tcPr>
          <w:p w14:paraId="7027D9AB" w14:textId="77777777" w:rsidR="00003355" w:rsidRPr="00674F20" w:rsidRDefault="00003355" w:rsidP="00252924">
            <w:pPr>
              <w:pStyle w:val="Tabletext"/>
            </w:pPr>
            <w:r>
              <w:t>T</w:t>
            </w:r>
            <w:r w:rsidRPr="008446B2">
              <w:t>otal parenteral nutrition</w:t>
            </w:r>
            <w:r>
              <w:t xml:space="preserve"> (TPN)</w:t>
            </w:r>
          </w:p>
        </w:tc>
        <w:tc>
          <w:tcPr>
            <w:tcW w:w="4892" w:type="dxa"/>
          </w:tcPr>
          <w:p w14:paraId="43D67639" w14:textId="77777777" w:rsidR="00003355" w:rsidRPr="00AE6427" w:rsidRDefault="00003355" w:rsidP="00252924">
            <w:pPr>
              <w:pStyle w:val="Tabletext"/>
            </w:pPr>
            <w:r w:rsidRPr="00881D12">
              <w:t>Total parenteral nutrition</w:t>
            </w:r>
            <w:r w:rsidRPr="00AE6427">
              <w:t xml:space="preserve"> over target will be paid to actual activity.</w:t>
            </w:r>
          </w:p>
        </w:tc>
      </w:tr>
      <w:tr w:rsidR="00003355" w:rsidRPr="006F501A" w14:paraId="3A54E517" w14:textId="77777777" w:rsidTr="00685B35">
        <w:tc>
          <w:tcPr>
            <w:tcW w:w="4407" w:type="dxa"/>
          </w:tcPr>
          <w:p w14:paraId="4111C89A" w14:textId="77777777" w:rsidR="00003355" w:rsidRPr="00674F20" w:rsidRDefault="00003355" w:rsidP="00252924">
            <w:pPr>
              <w:pStyle w:val="Tabletext"/>
            </w:pPr>
            <w:r>
              <w:t>Home enteral</w:t>
            </w:r>
            <w:r w:rsidRPr="008446B2">
              <w:t xml:space="preserve"> nutrition</w:t>
            </w:r>
            <w:r>
              <w:t xml:space="preserve"> (HEN)</w:t>
            </w:r>
          </w:p>
        </w:tc>
        <w:tc>
          <w:tcPr>
            <w:tcW w:w="4892" w:type="dxa"/>
          </w:tcPr>
          <w:p w14:paraId="62498A8B" w14:textId="77777777" w:rsidR="00003355" w:rsidRPr="00AE6427" w:rsidRDefault="00003355" w:rsidP="00252924">
            <w:pPr>
              <w:pStyle w:val="Tabletext"/>
            </w:pPr>
            <w:r w:rsidRPr="00881D12">
              <w:t>Home enteral nutrition</w:t>
            </w:r>
            <w:r w:rsidRPr="00AE6427">
              <w:t xml:space="preserve"> over target will be paid to actual activity.</w:t>
            </w:r>
          </w:p>
        </w:tc>
      </w:tr>
      <w:tr w:rsidR="006F1923" w:rsidRPr="006F501A" w14:paraId="512A7B89" w14:textId="77777777" w:rsidTr="00685B35">
        <w:tc>
          <w:tcPr>
            <w:tcW w:w="4407" w:type="dxa"/>
          </w:tcPr>
          <w:p w14:paraId="382F2757" w14:textId="67EFBF5D" w:rsidR="006F1923" w:rsidRDefault="006F1923" w:rsidP="006F1923">
            <w:pPr>
              <w:pStyle w:val="Tabletext"/>
            </w:pPr>
            <w:r>
              <w:rPr>
                <w:rFonts w:eastAsia="Arial"/>
              </w:rPr>
              <w:t>Additional Planned Surgery</w:t>
            </w:r>
          </w:p>
        </w:tc>
        <w:tc>
          <w:tcPr>
            <w:tcW w:w="4892" w:type="dxa"/>
          </w:tcPr>
          <w:p w14:paraId="04050F59" w14:textId="3832B4B4" w:rsidR="006F1923" w:rsidRPr="00881D12" w:rsidRDefault="006F1923" w:rsidP="006F1923">
            <w:pPr>
              <w:pStyle w:val="Tabletext"/>
            </w:pPr>
            <w:r>
              <w:rPr>
                <w:rFonts w:eastAsia="Arial"/>
              </w:rPr>
              <w:t xml:space="preserve">Refer to section 1.19 </w:t>
            </w:r>
            <w:r w:rsidR="00FB46E5">
              <w:rPr>
                <w:rFonts w:eastAsia="Arial"/>
              </w:rPr>
              <w:t>‘</w:t>
            </w:r>
            <w:r>
              <w:rPr>
                <w:rFonts w:eastAsia="Arial"/>
              </w:rPr>
              <w:t>Elective surgery recall policy</w:t>
            </w:r>
            <w:r w:rsidR="00FB46E5">
              <w:rPr>
                <w:rFonts w:eastAsia="Arial"/>
              </w:rPr>
              <w:t>’</w:t>
            </w:r>
          </w:p>
        </w:tc>
      </w:tr>
    </w:tbl>
    <w:p w14:paraId="2BB94A8D" w14:textId="346ED2C8" w:rsidR="003738CC" w:rsidRDefault="003738CC" w:rsidP="00081936">
      <w:pPr>
        <w:pStyle w:val="Heading3"/>
        <w:numPr>
          <w:ilvl w:val="2"/>
          <w:numId w:val="33"/>
        </w:numPr>
        <w:spacing w:before="240"/>
        <w:ind w:left="1134"/>
      </w:pPr>
      <w:bookmarkStart w:id="365" w:name="_Toc156569654"/>
      <w:bookmarkStart w:id="366" w:name="_Toc455836075"/>
      <w:bookmarkStart w:id="367" w:name="_Toc6215626"/>
      <w:bookmarkStart w:id="368" w:name="_Toc10199699"/>
      <w:bookmarkStart w:id="369" w:name="_Toc52892599"/>
      <w:bookmarkStart w:id="370" w:name="_Toc100263332"/>
      <w:r>
        <w:t xml:space="preserve">Recall with </w:t>
      </w:r>
      <w:r w:rsidR="00FB46E5">
        <w:t>respect to public and private activity mix changes</w:t>
      </w:r>
      <w:bookmarkEnd w:id="365"/>
    </w:p>
    <w:p w14:paraId="0503876A" w14:textId="274AE38A" w:rsidR="003738CC" w:rsidRDefault="003738CC" w:rsidP="008B1B99">
      <w:pPr>
        <w:pStyle w:val="Body"/>
      </w:pPr>
      <w:r w:rsidRPr="00E05D10">
        <w:t>The</w:t>
      </w:r>
      <w:r w:rsidR="00830D9C">
        <w:t xml:space="preserve"> </w:t>
      </w:r>
      <w:r w:rsidRPr="00E05D10">
        <w:t xml:space="preserve">recall and throughput </w:t>
      </w:r>
      <w:r w:rsidR="005D0BE3">
        <w:t xml:space="preserve">adjustment </w:t>
      </w:r>
      <w:r w:rsidRPr="00E05D10">
        <w:t>will no longer explicit</w:t>
      </w:r>
      <w:r w:rsidR="003D5A77">
        <w:t>ly</w:t>
      </w:r>
      <w:r w:rsidRPr="00E05D10">
        <w:t xml:space="preserve"> account for </w:t>
      </w:r>
      <w:r w:rsidR="00F10CC9">
        <w:t>chang</w:t>
      </w:r>
      <w:r w:rsidR="007928B9">
        <w:t>e</w:t>
      </w:r>
      <w:r w:rsidR="002323FA">
        <w:t>d levels of</w:t>
      </w:r>
      <w:r w:rsidR="00F10CC9">
        <w:t xml:space="preserve"> private patient activity</w:t>
      </w:r>
      <w:r w:rsidR="002323FA">
        <w:t xml:space="preserve"> relative to public activity</w:t>
      </w:r>
      <w:r w:rsidR="00925D4A">
        <w:t>.</w:t>
      </w:r>
      <w:r w:rsidR="002323FA">
        <w:t xml:space="preserve"> </w:t>
      </w:r>
      <w:r w:rsidRPr="00E05D10">
        <w:t xml:space="preserve">There is no </w:t>
      </w:r>
      <w:r w:rsidR="00C42B49">
        <w:t xml:space="preserve">differentiation </w:t>
      </w:r>
      <w:r w:rsidR="00CB02AA">
        <w:t xml:space="preserve">for </w:t>
      </w:r>
      <w:r w:rsidRPr="00E05D10">
        <w:t xml:space="preserve">public </w:t>
      </w:r>
      <w:r w:rsidR="00CB02AA">
        <w:t xml:space="preserve">and </w:t>
      </w:r>
      <w:r w:rsidRPr="00E05D10">
        <w:t xml:space="preserve">private activity in the </w:t>
      </w:r>
      <w:r w:rsidR="008D2345">
        <w:t xml:space="preserve">NWAU </w:t>
      </w:r>
      <w:r w:rsidRPr="00E05D10">
        <w:t>activity target</w:t>
      </w:r>
      <w:r w:rsidR="00FB46E5">
        <w:t>. T</w:t>
      </w:r>
      <w:r w:rsidRPr="00E05D10">
        <w:t>herefore</w:t>
      </w:r>
      <w:r w:rsidR="00FB46E5">
        <w:t>,</w:t>
      </w:r>
      <w:r w:rsidRPr="00E05D10">
        <w:t xml:space="preserve"> a </w:t>
      </w:r>
      <w:r w:rsidR="00FB46E5" w:rsidRPr="00E05D10">
        <w:t>price</w:t>
      </w:r>
      <w:r w:rsidR="00FB46E5">
        <w:t>-</w:t>
      </w:r>
      <w:r w:rsidRPr="00E05D10">
        <w:t>based funding adjustment cannot apply.</w:t>
      </w:r>
    </w:p>
    <w:p w14:paraId="2A9EDE0C" w14:textId="122D25AA" w:rsidR="003738CC" w:rsidRDefault="003738CC" w:rsidP="008B1B99">
      <w:pPr>
        <w:pStyle w:val="Body"/>
      </w:pPr>
      <w:r w:rsidRPr="00E05D10">
        <w:t>If the public to private ratio of activity changes over the course of the year, the resultant impact is to the NWAU per separation yield. A change in yield will impact the speed at which a health services achieves thresholds associated with the throughput or recall policies.</w:t>
      </w:r>
      <w:bookmarkStart w:id="371" w:name="_Toc111713580"/>
      <w:bookmarkEnd w:id="371"/>
    </w:p>
    <w:p w14:paraId="65E58117" w14:textId="7F07E066" w:rsidR="00003355" w:rsidRDefault="425D520F" w:rsidP="00081936">
      <w:pPr>
        <w:pStyle w:val="Heading3"/>
        <w:numPr>
          <w:ilvl w:val="2"/>
          <w:numId w:val="33"/>
        </w:numPr>
        <w:spacing w:before="240"/>
        <w:ind w:left="1134"/>
      </w:pPr>
      <w:bookmarkStart w:id="372" w:name="_Toc156569655"/>
      <w:r>
        <w:t>Reconciliati</w:t>
      </w:r>
      <w:r w:rsidR="00323179">
        <w:t>o</w:t>
      </w:r>
      <w:r>
        <w:t xml:space="preserve">n of National Health Reform Commonwealth </w:t>
      </w:r>
      <w:bookmarkEnd w:id="366"/>
      <w:bookmarkEnd w:id="367"/>
      <w:bookmarkEnd w:id="368"/>
      <w:bookmarkEnd w:id="369"/>
      <w:bookmarkEnd w:id="370"/>
      <w:r w:rsidR="00FB46E5">
        <w:t>contributions</w:t>
      </w:r>
      <w:bookmarkEnd w:id="372"/>
      <w:r w:rsidR="00FB46E5">
        <w:t xml:space="preserve"> </w:t>
      </w:r>
    </w:p>
    <w:p w14:paraId="156EC6F8" w14:textId="0D4A1C17" w:rsidR="00003355" w:rsidRDefault="00003355" w:rsidP="00003355">
      <w:pPr>
        <w:pStyle w:val="Body"/>
      </w:pPr>
      <w:bookmarkStart w:id="373" w:name="_Toc100263333"/>
      <w:r>
        <w:t>The NHRA requires a six-month and annual reconciliation of Commonwealth contributions to activity-based funding. Monthly activity-based funding payments are based on estimated activity (</w:t>
      </w:r>
      <w:r w:rsidR="00881D12">
        <w:t xml:space="preserve">that is, </w:t>
      </w:r>
      <w:r>
        <w:t>LHN activity targets)</w:t>
      </w:r>
      <w:r w:rsidR="00FB46E5">
        <w:t>,</w:t>
      </w:r>
      <w:r>
        <w:t xml:space="preserve"> with the reconciliation process determining funding adjustments to align to actual activity delivered by each local hospital network.</w:t>
      </w:r>
    </w:p>
    <w:p w14:paraId="55D3C2F4" w14:textId="6F2445FD" w:rsidR="00003355" w:rsidRDefault="00003355" w:rsidP="00003355">
      <w:pPr>
        <w:pStyle w:val="Body"/>
      </w:pPr>
      <w:r>
        <w:t xml:space="preserve">The </w:t>
      </w:r>
      <w:r w:rsidR="00FB46E5">
        <w:t>a</w:t>
      </w:r>
      <w:r>
        <w:t>dministrator of the National Health Funding Pool calculates reconciliation adjustments and advises the Commonwealth Treasurer</w:t>
      </w:r>
      <w:r w:rsidR="00FB46E5">
        <w:t>,</w:t>
      </w:r>
      <w:r>
        <w:t xml:space="preserve"> who makes a final determination of Commonwealth national </w:t>
      </w:r>
      <w:r>
        <w:lastRenderedPageBreak/>
        <w:t>health reform funding entitlements. Adjustment of Commonwealth national health reform funding is spread equally across payments for a subsequent quarter.</w:t>
      </w:r>
    </w:p>
    <w:p w14:paraId="512E081F" w14:textId="51B67DA4" w:rsidR="00003355" w:rsidRDefault="47249A52" w:rsidP="00081936">
      <w:pPr>
        <w:pStyle w:val="Heading3"/>
        <w:numPr>
          <w:ilvl w:val="2"/>
          <w:numId w:val="33"/>
        </w:numPr>
        <w:spacing w:before="240"/>
        <w:ind w:left="1134"/>
      </w:pPr>
      <w:bookmarkStart w:id="374" w:name="_Toc455836076"/>
      <w:bookmarkStart w:id="375" w:name="_Toc6215627"/>
      <w:bookmarkStart w:id="376" w:name="_Toc10199700"/>
      <w:bookmarkStart w:id="377" w:name="_Toc52892600"/>
      <w:bookmarkStart w:id="378" w:name="_Toc156569656"/>
      <w:r>
        <w:t>Hospital</w:t>
      </w:r>
      <w:r w:rsidR="00323179">
        <w:t xml:space="preserve"> </w:t>
      </w:r>
      <w:r w:rsidR="00FB46E5">
        <w:t>activity</w:t>
      </w:r>
      <w:r>
        <w:t xml:space="preserve">, NWAU and </w:t>
      </w:r>
      <w:r w:rsidR="00FB46E5">
        <w:t xml:space="preserve">subacute </w:t>
      </w:r>
      <w:r>
        <w:t xml:space="preserve">NWAU </w:t>
      </w:r>
      <w:bookmarkEnd w:id="373"/>
      <w:bookmarkEnd w:id="374"/>
      <w:bookmarkEnd w:id="375"/>
      <w:bookmarkEnd w:id="376"/>
      <w:bookmarkEnd w:id="377"/>
      <w:r w:rsidR="00FB46E5">
        <w:t>reports</w:t>
      </w:r>
      <w:bookmarkEnd w:id="378"/>
    </w:p>
    <w:p w14:paraId="064A8E16" w14:textId="77777777" w:rsidR="0050093F" w:rsidRPr="0050093F" w:rsidRDefault="0050093F" w:rsidP="0050093F">
      <w:pPr>
        <w:rPr>
          <w:rFonts w:cs="Arial"/>
          <w:szCs w:val="21"/>
          <w:lang w:eastAsia="en-AU"/>
        </w:rPr>
      </w:pPr>
      <w:bookmarkStart w:id="379" w:name="_Toc418694972"/>
      <w:r w:rsidRPr="0050093F">
        <w:rPr>
          <w:rFonts w:cs="Arial"/>
          <w:szCs w:val="21"/>
          <w:lang w:eastAsia="en-AU"/>
        </w:rPr>
        <w:t>The hospital activity reports and the acute and subacute NWAU reports are provided to all public health services via secure data exchange (MFT portal) after the VAED consolidation on the 10th day of each month. The reports contain a financial year-to-date summary by month of admitted patient separations, patient days, acute NWAU and subacute NWAU.</w:t>
      </w:r>
    </w:p>
    <w:p w14:paraId="75398F65" w14:textId="18665B3E" w:rsidR="0050093F" w:rsidRPr="0050093F" w:rsidRDefault="0050093F" w:rsidP="0050093F">
      <w:pPr>
        <w:rPr>
          <w:rFonts w:cs="Arial"/>
          <w:szCs w:val="21"/>
          <w:lang w:eastAsia="en-AU"/>
        </w:rPr>
      </w:pPr>
      <w:r w:rsidRPr="0050093F">
        <w:rPr>
          <w:rFonts w:cs="Arial"/>
          <w:szCs w:val="21"/>
          <w:lang w:eastAsia="en-AU"/>
        </w:rPr>
        <w:t xml:space="preserve">Further information regarding NWAU reports are available at </w:t>
      </w:r>
      <w:hyperlink r:id="rId68" w:history="1">
        <w:r w:rsidRPr="0050093F">
          <w:rPr>
            <w:rStyle w:val="Hyperlink"/>
            <w:rFonts w:cs="Arial"/>
            <w:szCs w:val="21"/>
            <w:lang w:eastAsia="en-AU"/>
          </w:rPr>
          <w:t>National Funding Model implementation resources page</w:t>
        </w:r>
      </w:hyperlink>
      <w:r w:rsidRPr="0050093F">
        <w:rPr>
          <w:rFonts w:cs="Arial"/>
          <w:szCs w:val="21"/>
          <w:lang w:eastAsia="en-AU"/>
        </w:rPr>
        <w:t xml:space="preserve"> </w:t>
      </w:r>
      <w:r w:rsidR="00F20C48">
        <w:rPr>
          <w:rFonts w:cs="Arial"/>
          <w:szCs w:val="21"/>
          <w:lang w:eastAsia="en-AU"/>
        </w:rPr>
        <w:t>&lt;</w:t>
      </w:r>
      <w:r w:rsidR="00F20C48" w:rsidRPr="00F20C48">
        <w:rPr>
          <w:rFonts w:cs="Arial"/>
          <w:szCs w:val="21"/>
          <w:lang w:eastAsia="en-AU"/>
        </w:rPr>
        <w:t>https://www.health.vic.gov.au/data-reporting/national-funding-model-implementation-resources</w:t>
      </w:r>
      <w:r w:rsidR="00F20C48">
        <w:rPr>
          <w:rFonts w:cs="Arial"/>
          <w:szCs w:val="21"/>
          <w:lang w:eastAsia="en-AU"/>
        </w:rPr>
        <w:t>&gt;.</w:t>
      </w:r>
    </w:p>
    <w:p w14:paraId="03705D0C" w14:textId="77777777" w:rsidR="0050093F" w:rsidRDefault="0050093F" w:rsidP="00003355">
      <w:pPr>
        <w:pStyle w:val="Body"/>
      </w:pPr>
    </w:p>
    <w:p w14:paraId="2B75D1D0" w14:textId="0F3BD3EC" w:rsidR="006F79FC" w:rsidRDefault="006F79FC" w:rsidP="00003355">
      <w:pPr>
        <w:pStyle w:val="Body"/>
      </w:pPr>
      <w:r>
        <w:br w:type="page"/>
      </w:r>
    </w:p>
    <w:p w14:paraId="2A644493" w14:textId="509BB17C" w:rsidR="001B1D6D" w:rsidRDefault="00897887" w:rsidP="00685B35">
      <w:pPr>
        <w:pStyle w:val="Heading2"/>
      </w:pPr>
      <w:bookmarkStart w:id="380" w:name="_Toc113357815"/>
      <w:bookmarkStart w:id="381" w:name="_Ref148945696"/>
      <w:bookmarkStart w:id="382" w:name="_Toc156569657"/>
      <w:r>
        <w:lastRenderedPageBreak/>
        <w:t>Planned (e</w:t>
      </w:r>
      <w:r w:rsidR="6F328395">
        <w:t>lective</w:t>
      </w:r>
      <w:r>
        <w:t>)</w:t>
      </w:r>
      <w:r w:rsidR="6F328395">
        <w:t xml:space="preserve"> </w:t>
      </w:r>
      <w:r w:rsidR="00FB46E5">
        <w:t>s</w:t>
      </w:r>
      <w:r w:rsidR="6F328395">
        <w:t>urgery</w:t>
      </w:r>
      <w:r w:rsidR="6F328395" w:rsidRPr="008975B4">
        <w:t xml:space="preserve"> </w:t>
      </w:r>
      <w:r w:rsidR="00586DEA">
        <w:t>r</w:t>
      </w:r>
      <w:r w:rsidR="6F328395" w:rsidRPr="008975B4">
        <w:t>ecall</w:t>
      </w:r>
      <w:r w:rsidR="6F328395">
        <w:t xml:space="preserve"> </w:t>
      </w:r>
      <w:r w:rsidR="00586DEA">
        <w:t>p</w:t>
      </w:r>
      <w:r w:rsidR="6F328395">
        <w:t xml:space="preserve">olicy </w:t>
      </w:r>
      <w:r w:rsidR="009522D1">
        <w:br/>
      </w:r>
      <w:r w:rsidR="6F328395">
        <w:t xml:space="preserve">for </w:t>
      </w:r>
      <w:bookmarkEnd w:id="380"/>
      <w:r w:rsidR="6F328395">
        <w:t>202</w:t>
      </w:r>
      <w:r w:rsidR="006F2B61">
        <w:t>3</w:t>
      </w:r>
      <w:r w:rsidR="6F328395">
        <w:t>–2</w:t>
      </w:r>
      <w:r w:rsidR="006F2B61">
        <w:t>4</w:t>
      </w:r>
      <w:bookmarkEnd w:id="381"/>
      <w:bookmarkEnd w:id="382"/>
      <w:r w:rsidR="6F328395">
        <w:t xml:space="preserve"> </w:t>
      </w:r>
    </w:p>
    <w:p w14:paraId="63A79145" w14:textId="20F5F875" w:rsidR="001B1D6D" w:rsidRPr="00C71497" w:rsidRDefault="001B1D6D" w:rsidP="001B1D6D">
      <w:pPr>
        <w:pStyle w:val="Body"/>
      </w:pPr>
      <w:r>
        <w:t xml:space="preserve">Recall policy applied for additional </w:t>
      </w:r>
      <w:r w:rsidR="00473144">
        <w:t>planned (</w:t>
      </w:r>
      <w:r>
        <w:t>elective</w:t>
      </w:r>
      <w:r w:rsidR="00473144">
        <w:t>)</w:t>
      </w:r>
      <w:r>
        <w:t xml:space="preserve"> surgery </w:t>
      </w:r>
      <w:r w:rsidRPr="00AB19B6">
        <w:t>(ES)</w:t>
      </w:r>
      <w:r>
        <w:t xml:space="preserve"> activity funded through the </w:t>
      </w:r>
      <w:r w:rsidRPr="00685B35">
        <w:rPr>
          <w:i/>
          <w:iCs/>
        </w:rPr>
        <w:t xml:space="preserve">Surgery </w:t>
      </w:r>
      <w:r w:rsidR="00522D3C" w:rsidRPr="00522D3C">
        <w:rPr>
          <w:i/>
          <w:iCs/>
        </w:rPr>
        <w:t>recovery and reform strategy</w:t>
      </w:r>
      <w:r w:rsidR="00522D3C">
        <w:t xml:space="preserve"> </w:t>
      </w:r>
      <w:r>
        <w:t>in 202</w:t>
      </w:r>
      <w:r w:rsidR="00EB6627">
        <w:t>3</w:t>
      </w:r>
      <w:r>
        <w:t>–2</w:t>
      </w:r>
      <w:r w:rsidR="00EB6627">
        <w:t>4</w:t>
      </w:r>
      <w:r>
        <w:t xml:space="preserve"> will be distinct from the recall policy applied against the SOP Part C NWAU targets. This distinction is necessary to ensure accountability against government</w:t>
      </w:r>
      <w:r w:rsidR="00522D3C">
        <w:t>-</w:t>
      </w:r>
      <w:r>
        <w:t xml:space="preserve">specific investment to deliver additional </w:t>
      </w:r>
      <w:r w:rsidR="0014347E">
        <w:t>planned (</w:t>
      </w:r>
      <w:r>
        <w:t>elective</w:t>
      </w:r>
      <w:r w:rsidR="0014347E">
        <w:t>)</w:t>
      </w:r>
      <w:r>
        <w:t xml:space="preserve"> surgery over baseline </w:t>
      </w:r>
      <w:r w:rsidR="0014347E">
        <w:t>planned (</w:t>
      </w:r>
      <w:r>
        <w:t>elective</w:t>
      </w:r>
      <w:r w:rsidR="0014347E">
        <w:t>)</w:t>
      </w:r>
      <w:r>
        <w:t xml:space="preserve"> surgery.</w:t>
      </w:r>
    </w:p>
    <w:p w14:paraId="2E7CE40D" w14:textId="77777777" w:rsidR="001B1D6D" w:rsidRDefault="001B1D6D" w:rsidP="00081936">
      <w:pPr>
        <w:pStyle w:val="Heading4"/>
        <w:numPr>
          <w:ilvl w:val="3"/>
          <w:numId w:val="33"/>
        </w:numPr>
      </w:pPr>
      <w:r w:rsidRPr="00E84ECE">
        <w:t>Eligibility</w:t>
      </w:r>
    </w:p>
    <w:p w14:paraId="0845945A" w14:textId="17496B6F" w:rsidR="001B1D6D" w:rsidRDefault="001B1D6D" w:rsidP="001B1D6D">
      <w:pPr>
        <w:pStyle w:val="Body"/>
      </w:pPr>
      <w:r>
        <w:t xml:space="preserve">Health services </w:t>
      </w:r>
      <w:r w:rsidR="00D86725">
        <w:t>that receive</w:t>
      </w:r>
      <w:r>
        <w:t xml:space="preserve"> additional </w:t>
      </w:r>
      <w:r w:rsidR="00D85B01">
        <w:t>planned (</w:t>
      </w:r>
      <w:r>
        <w:t>elective</w:t>
      </w:r>
      <w:r w:rsidR="00D85B01">
        <w:t>)</w:t>
      </w:r>
      <w:r>
        <w:t xml:space="preserve"> surgery funding though the </w:t>
      </w:r>
      <w:r w:rsidRPr="00685B35">
        <w:rPr>
          <w:i/>
          <w:iCs/>
        </w:rPr>
        <w:t xml:space="preserve">Surgery </w:t>
      </w:r>
      <w:r w:rsidR="00522D3C" w:rsidRPr="00522D3C">
        <w:rPr>
          <w:i/>
          <w:iCs/>
        </w:rPr>
        <w:t>recovery and reform strategy</w:t>
      </w:r>
      <w:r w:rsidR="00522D3C">
        <w:t xml:space="preserve"> </w:t>
      </w:r>
      <w:r>
        <w:t>will:</w:t>
      </w:r>
    </w:p>
    <w:p w14:paraId="7058FB10" w14:textId="0A5E90BE" w:rsidR="001B1D6D" w:rsidRDefault="001B1D6D" w:rsidP="00081936">
      <w:pPr>
        <w:pStyle w:val="Bullet2"/>
        <w:numPr>
          <w:ilvl w:val="0"/>
          <w:numId w:val="36"/>
        </w:numPr>
      </w:pPr>
      <w:r>
        <w:t>have base and additional planned surgery targets separately identified in their SOPs as NWAU and P</w:t>
      </w:r>
      <w:r w:rsidR="5836C542">
        <w:t xml:space="preserve">lanned </w:t>
      </w:r>
      <w:r>
        <w:t>S</w:t>
      </w:r>
      <w:r w:rsidR="4F27EBFE">
        <w:t>urgery</w:t>
      </w:r>
      <w:r>
        <w:t xml:space="preserve"> separations</w:t>
      </w:r>
    </w:p>
    <w:p w14:paraId="20A481C3" w14:textId="77777777" w:rsidR="001B1D6D" w:rsidRDefault="001B1D6D" w:rsidP="00081936">
      <w:pPr>
        <w:pStyle w:val="Bullet2"/>
        <w:numPr>
          <w:ilvl w:val="0"/>
          <w:numId w:val="36"/>
        </w:numPr>
      </w:pPr>
      <w:r>
        <w:t>note that the additional activity targets may include an agreed number of procedures for public surgery completed in partnership with private providers.</w:t>
      </w:r>
    </w:p>
    <w:p w14:paraId="6212CD83" w14:textId="77777777" w:rsidR="001B1D6D" w:rsidRDefault="001B1D6D" w:rsidP="00081936">
      <w:pPr>
        <w:pStyle w:val="Heading4"/>
        <w:numPr>
          <w:ilvl w:val="3"/>
          <w:numId w:val="33"/>
        </w:numPr>
      </w:pPr>
      <w:r>
        <w:t>Structure</w:t>
      </w:r>
    </w:p>
    <w:p w14:paraId="0662F2DC" w14:textId="34CA2CE5" w:rsidR="001B1D6D" w:rsidRDefault="001B1D6D" w:rsidP="001B1D6D">
      <w:pPr>
        <w:pStyle w:val="Body"/>
      </w:pPr>
      <w:r>
        <w:t xml:space="preserve">Health services will be allocated a ‘growth </w:t>
      </w:r>
      <w:r w:rsidRPr="00AB19B6">
        <w:t>ES</w:t>
      </w:r>
      <w:r>
        <w:t xml:space="preserve"> NWAU target’ (reflective of the additional activity allocated). </w:t>
      </w:r>
    </w:p>
    <w:p w14:paraId="1D0B945A" w14:textId="77777777" w:rsidR="001B1D6D" w:rsidRPr="001A46B2" w:rsidRDefault="001B1D6D" w:rsidP="001B1D6D">
      <w:pPr>
        <w:pStyle w:val="Body"/>
      </w:pPr>
      <w:r>
        <w:t>As part of the end-</w:t>
      </w:r>
      <w:r w:rsidRPr="001A46B2">
        <w:t>of-year recall policy:</w:t>
      </w:r>
    </w:p>
    <w:p w14:paraId="6046FD89" w14:textId="2B228619" w:rsidR="001B1D6D" w:rsidRPr="001A46B2" w:rsidRDefault="001B1D6D" w:rsidP="00081936">
      <w:pPr>
        <w:pStyle w:val="Bullet2"/>
        <w:numPr>
          <w:ilvl w:val="0"/>
          <w:numId w:val="36"/>
        </w:numPr>
      </w:pPr>
      <w:r w:rsidRPr="001A46B2">
        <w:t xml:space="preserve">the department will recall base </w:t>
      </w:r>
      <w:r w:rsidRPr="00AB19B6">
        <w:t>planned elective surgery</w:t>
      </w:r>
      <w:r w:rsidRPr="001A46B2">
        <w:t xml:space="preserve"> NWAU not delivered in line with annual recall policy as outlined at </w:t>
      </w:r>
      <w:r w:rsidR="006F6CD2">
        <w:fldChar w:fldCharType="begin"/>
      </w:r>
      <w:r w:rsidR="006F6CD2">
        <w:instrText xml:space="preserve"> REF _Ref142493085 \r \h </w:instrText>
      </w:r>
      <w:r w:rsidR="006F6CD2">
        <w:fldChar w:fldCharType="separate"/>
      </w:r>
      <w:r w:rsidR="001208E4">
        <w:t>1.18</w:t>
      </w:r>
      <w:r w:rsidR="006F6CD2">
        <w:fldChar w:fldCharType="end"/>
      </w:r>
    </w:p>
    <w:p w14:paraId="1E795D7E" w14:textId="45073E6E" w:rsidR="001B1D6D" w:rsidRDefault="001B1D6D" w:rsidP="00081936">
      <w:pPr>
        <w:pStyle w:val="Bullet2"/>
        <w:numPr>
          <w:ilvl w:val="0"/>
          <w:numId w:val="36"/>
        </w:numPr>
        <w:spacing w:after="120"/>
        <w:ind w:left="357" w:hanging="357"/>
      </w:pPr>
      <w:r>
        <w:t xml:space="preserve">additional </w:t>
      </w:r>
      <w:r w:rsidRPr="00AB19B6">
        <w:t>planned elective surgery</w:t>
      </w:r>
      <w:r>
        <w:t xml:space="preserve"> activity, that is not delivered will be recallable at the rates outlined in</w:t>
      </w:r>
      <w:r w:rsidR="004E3AD2">
        <w:t xml:space="preserve"> </w:t>
      </w:r>
      <w:r w:rsidR="004E3AD2">
        <w:fldChar w:fldCharType="begin"/>
      </w:r>
      <w:r w:rsidR="004E3AD2">
        <w:instrText xml:space="preserve"> REF _Ref145407708 \h </w:instrText>
      </w:r>
      <w:r w:rsidR="004E3AD2">
        <w:fldChar w:fldCharType="separate"/>
      </w:r>
      <w:r w:rsidR="004E3AD2">
        <w:t xml:space="preserve">Table </w:t>
      </w:r>
      <w:r w:rsidR="004E3AD2">
        <w:rPr>
          <w:noProof/>
        </w:rPr>
        <w:t>1</w:t>
      </w:r>
      <w:r w:rsidR="004E3AD2">
        <w:t>.</w:t>
      </w:r>
      <w:r w:rsidR="004E3AD2">
        <w:rPr>
          <w:noProof/>
        </w:rPr>
        <w:t>8</w:t>
      </w:r>
      <w:r w:rsidR="004E3AD2">
        <w:t>: E</w:t>
      </w:r>
      <w:r w:rsidR="004E3AD2" w:rsidRPr="008D6307">
        <w:t xml:space="preserve">lective </w:t>
      </w:r>
      <w:r w:rsidR="004E3AD2">
        <w:t>s</w:t>
      </w:r>
      <w:r w:rsidR="004E3AD2" w:rsidRPr="008D6307">
        <w:t>urgery recall policy 2023–24</w:t>
      </w:r>
      <w:r w:rsidR="004E3AD2">
        <w:fldChar w:fldCharType="end"/>
      </w:r>
      <w:r w:rsidR="00AA7065">
        <w:t xml:space="preserve"> </w:t>
      </w:r>
      <w:r>
        <w:t>.</w:t>
      </w:r>
    </w:p>
    <w:p w14:paraId="310473C1" w14:textId="5FB8DF58" w:rsidR="006F79FC" w:rsidRPr="003E65B5" w:rsidRDefault="00522D3C" w:rsidP="001B1D6D">
      <w:pPr>
        <w:pStyle w:val="Body"/>
      </w:pPr>
      <w:r>
        <w:t>A</w:t>
      </w:r>
      <w:r w:rsidR="006F79FC">
        <w:t xml:space="preserve">dditional </w:t>
      </w:r>
      <w:r w:rsidR="006D5131">
        <w:t>planned (</w:t>
      </w:r>
      <w:r w:rsidR="006F79FC" w:rsidRPr="00AB19B6">
        <w:t>elective</w:t>
      </w:r>
      <w:r w:rsidR="006D5131" w:rsidRPr="00AB19B6">
        <w:t>)</w:t>
      </w:r>
      <w:r w:rsidR="006F79FC" w:rsidRPr="00AB19B6">
        <w:t xml:space="preserve"> surgery</w:t>
      </w:r>
      <w:r w:rsidR="006F79FC">
        <w:t xml:space="preserve"> targets will not be </w:t>
      </w:r>
      <w:r w:rsidR="006F79FC" w:rsidRPr="003E65B5">
        <w:t>considered to have been achieved unless base target has been delivered.</w:t>
      </w:r>
    </w:p>
    <w:p w14:paraId="12D989CF" w14:textId="7F410A2F" w:rsidR="001B1D6D" w:rsidRPr="003E65B5" w:rsidRDefault="00522D3C" w:rsidP="001B1D6D">
      <w:pPr>
        <w:pStyle w:val="Body"/>
      </w:pPr>
      <w:r>
        <w:t>H</w:t>
      </w:r>
      <w:r w:rsidR="001B1D6D" w:rsidRPr="00937873">
        <w:t xml:space="preserve">ealth services </w:t>
      </w:r>
      <w:r>
        <w:t xml:space="preserve">that </w:t>
      </w:r>
      <w:r w:rsidR="001B1D6D" w:rsidRPr="00937873">
        <w:t>are likely to exceed or fall below their additional activit</w:t>
      </w:r>
      <w:r w:rsidR="001B1D6D" w:rsidRPr="00321897">
        <w:t>y targets</w:t>
      </w:r>
      <w:r>
        <w:t xml:space="preserve"> should</w:t>
      </w:r>
      <w:r w:rsidR="001B1D6D" w:rsidRPr="00937873">
        <w:t xml:space="preserve"> </w:t>
      </w:r>
      <w:r w:rsidR="001B1D6D">
        <w:t xml:space="preserve">manage the additional activity </w:t>
      </w:r>
      <w:r w:rsidR="001B1D6D" w:rsidRPr="00B978AB">
        <w:t>at a health</w:t>
      </w:r>
      <w:r>
        <w:t>-</w:t>
      </w:r>
      <w:r w:rsidR="001B1D6D" w:rsidRPr="00B978AB">
        <w:t>service</w:t>
      </w:r>
      <w:r w:rsidR="00556817">
        <w:t>-</w:t>
      </w:r>
      <w:r w:rsidR="001B1D6D" w:rsidRPr="00B978AB">
        <w:t>partnership level in conjunction with the department.</w:t>
      </w:r>
    </w:p>
    <w:p w14:paraId="7861F08B" w14:textId="0F18BC53" w:rsidR="00425B49" w:rsidRDefault="00425B49" w:rsidP="00685B35">
      <w:pPr>
        <w:pStyle w:val="Tablecaption"/>
      </w:pPr>
      <w:bookmarkStart w:id="383" w:name="_Ref145407708"/>
      <w:bookmarkStart w:id="384" w:name="_Toc156568651"/>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8</w:t>
      </w:r>
      <w:r>
        <w:fldChar w:fldCharType="end"/>
      </w:r>
      <w:r>
        <w:t>: E</w:t>
      </w:r>
      <w:r w:rsidRPr="008D6307">
        <w:t xml:space="preserve">lective </w:t>
      </w:r>
      <w:r>
        <w:t>s</w:t>
      </w:r>
      <w:r w:rsidRPr="008D6307">
        <w:t>urgery recall policy 2023–24</w:t>
      </w:r>
      <w:bookmarkEnd w:id="383"/>
      <w:bookmarkEnd w:id="384"/>
    </w:p>
    <w:tbl>
      <w:tblPr>
        <w:tblStyle w:val="TableGrid"/>
        <w:tblW w:w="9615" w:type="dxa"/>
        <w:tblInd w:w="-118" w:type="dxa"/>
        <w:tblLayout w:type="fixed"/>
        <w:tblLook w:val="06A0" w:firstRow="1" w:lastRow="0" w:firstColumn="1" w:lastColumn="0" w:noHBand="1" w:noVBand="1"/>
      </w:tblPr>
      <w:tblGrid>
        <w:gridCol w:w="2994"/>
        <w:gridCol w:w="6612"/>
        <w:gridCol w:w="9"/>
      </w:tblGrid>
      <w:tr w:rsidR="00290512" w:rsidRPr="003E65B5" w14:paraId="3EF48596" w14:textId="77777777" w:rsidTr="00685B35">
        <w:trPr>
          <w:tblHeader/>
        </w:trPr>
        <w:tc>
          <w:tcPr>
            <w:tcW w:w="2994" w:type="dxa"/>
            <w:shd w:val="clear" w:color="auto" w:fill="auto"/>
          </w:tcPr>
          <w:p w14:paraId="6DC33867" w14:textId="77777777" w:rsidR="001B1D6D" w:rsidRPr="00D27448" w:rsidRDefault="001B1D6D" w:rsidP="00685B35">
            <w:pPr>
              <w:pStyle w:val="Tablecolhead"/>
              <w:rPr>
                <w:rFonts w:eastAsia="Arial"/>
              </w:rPr>
            </w:pPr>
            <w:r w:rsidRPr="007B446A">
              <w:rPr>
                <w:rFonts w:eastAsia="Arial"/>
              </w:rPr>
              <w:t>Service</w:t>
            </w:r>
          </w:p>
        </w:tc>
        <w:tc>
          <w:tcPr>
            <w:tcW w:w="6621" w:type="dxa"/>
            <w:gridSpan w:val="2"/>
            <w:shd w:val="clear" w:color="auto" w:fill="auto"/>
          </w:tcPr>
          <w:p w14:paraId="7557A8D2" w14:textId="77777777" w:rsidR="001B1D6D" w:rsidRPr="00D27448" w:rsidRDefault="001B1D6D" w:rsidP="00685B35">
            <w:pPr>
              <w:pStyle w:val="Tablecolhead"/>
              <w:rPr>
                <w:rFonts w:eastAsia="Arial"/>
              </w:rPr>
            </w:pPr>
            <w:r w:rsidRPr="007B446A">
              <w:rPr>
                <w:rFonts w:eastAsia="Arial"/>
                <w:bCs/>
              </w:rPr>
              <w:t xml:space="preserve">Recall </w:t>
            </w:r>
            <w:r>
              <w:rPr>
                <w:rFonts w:eastAsia="Arial"/>
                <w:bCs/>
              </w:rPr>
              <w:t>p</w:t>
            </w:r>
            <w:r w:rsidRPr="007B446A">
              <w:rPr>
                <w:rFonts w:eastAsia="Arial"/>
                <w:bCs/>
              </w:rPr>
              <w:t>olicy</w:t>
            </w:r>
          </w:p>
        </w:tc>
      </w:tr>
      <w:tr w:rsidR="00AD43FC" w14:paraId="03C49AD9" w14:textId="77777777" w:rsidTr="00685B35">
        <w:trPr>
          <w:gridAfter w:val="1"/>
          <w:wAfter w:w="9" w:type="dxa"/>
        </w:trPr>
        <w:tc>
          <w:tcPr>
            <w:tcW w:w="2994" w:type="dxa"/>
          </w:tcPr>
          <w:p w14:paraId="49820EA9" w14:textId="06D2BB29" w:rsidR="001B1D6D" w:rsidRPr="007C3555" w:rsidRDefault="00A8232B" w:rsidP="00522D3C">
            <w:pPr>
              <w:pStyle w:val="Tabletext"/>
              <w:rPr>
                <w:rFonts w:eastAsia="Arial"/>
              </w:rPr>
            </w:pPr>
            <w:r>
              <w:rPr>
                <w:rFonts w:eastAsia="Arial"/>
              </w:rPr>
              <w:t>Planned (</w:t>
            </w:r>
            <w:r w:rsidR="00522D3C">
              <w:rPr>
                <w:rFonts w:eastAsia="Arial"/>
              </w:rPr>
              <w:t>e</w:t>
            </w:r>
            <w:r w:rsidR="001B1D6D" w:rsidRPr="007C3555">
              <w:rPr>
                <w:rFonts w:eastAsia="Arial"/>
              </w:rPr>
              <w:t>lective</w:t>
            </w:r>
            <w:r>
              <w:rPr>
                <w:rFonts w:eastAsia="Arial"/>
              </w:rPr>
              <w:t>)</w:t>
            </w:r>
            <w:r w:rsidR="001B1D6D" w:rsidRPr="007C3555">
              <w:rPr>
                <w:rFonts w:eastAsia="Arial"/>
              </w:rPr>
              <w:t xml:space="preserve"> </w:t>
            </w:r>
            <w:r w:rsidR="00522D3C">
              <w:rPr>
                <w:rFonts w:eastAsia="Arial"/>
              </w:rPr>
              <w:t>s</w:t>
            </w:r>
            <w:r w:rsidR="001B1D6D" w:rsidRPr="007C3555">
              <w:rPr>
                <w:rFonts w:eastAsia="Arial"/>
              </w:rPr>
              <w:t xml:space="preserve">urgery </w:t>
            </w:r>
            <w:r w:rsidR="00522D3C">
              <w:rPr>
                <w:rFonts w:eastAsia="Arial"/>
              </w:rPr>
              <w:t>a</w:t>
            </w:r>
            <w:r w:rsidR="00522D3C" w:rsidRPr="007C3555">
              <w:rPr>
                <w:rFonts w:eastAsia="Arial"/>
              </w:rPr>
              <w:t xml:space="preserve">ctivity </w:t>
            </w:r>
            <w:r w:rsidR="001B1D6D" w:rsidRPr="007C3555">
              <w:rPr>
                <w:rFonts w:eastAsia="Arial"/>
              </w:rPr>
              <w:t xml:space="preserve">– </w:t>
            </w:r>
            <w:r w:rsidR="00522D3C">
              <w:rPr>
                <w:rFonts w:eastAsia="Arial"/>
              </w:rPr>
              <w:t>a</w:t>
            </w:r>
            <w:r w:rsidR="00522D3C" w:rsidRPr="007C3555">
              <w:rPr>
                <w:rFonts w:eastAsia="Arial"/>
              </w:rPr>
              <w:t xml:space="preserve">dditional </w:t>
            </w:r>
            <w:r w:rsidR="001B1D6D" w:rsidRPr="00D27448">
              <w:rPr>
                <w:rFonts w:eastAsia="Arial"/>
              </w:rPr>
              <w:t>(</w:t>
            </w:r>
            <w:r w:rsidR="00522D3C">
              <w:rPr>
                <w:rFonts w:eastAsia="Arial"/>
              </w:rPr>
              <w:t>e</w:t>
            </w:r>
            <w:r w:rsidR="00522D3C" w:rsidRPr="00D27448">
              <w:rPr>
                <w:rFonts w:eastAsia="Arial"/>
              </w:rPr>
              <w:t>nd</w:t>
            </w:r>
            <w:r w:rsidR="001B1D6D" w:rsidRPr="00D27448">
              <w:rPr>
                <w:rFonts w:eastAsia="Arial"/>
              </w:rPr>
              <w:t>-</w:t>
            </w:r>
            <w:r w:rsidR="00522D3C">
              <w:rPr>
                <w:rFonts w:eastAsia="Arial"/>
              </w:rPr>
              <w:t>y</w:t>
            </w:r>
            <w:r w:rsidR="00522D3C" w:rsidRPr="00D27448">
              <w:rPr>
                <w:rFonts w:eastAsia="Arial"/>
              </w:rPr>
              <w:t>ear</w:t>
            </w:r>
            <w:r w:rsidR="001B1D6D" w:rsidRPr="00D27448">
              <w:rPr>
                <w:rFonts w:eastAsia="Arial"/>
              </w:rPr>
              <w:t>)</w:t>
            </w:r>
          </w:p>
        </w:tc>
        <w:tc>
          <w:tcPr>
            <w:tcW w:w="6612" w:type="dxa"/>
          </w:tcPr>
          <w:p w14:paraId="1D7941F6" w14:textId="32E8E947" w:rsidR="001B1D6D" w:rsidRPr="00D27448" w:rsidRDefault="001B1D6D" w:rsidP="00081936">
            <w:pPr>
              <w:pStyle w:val="ListParagraph"/>
              <w:numPr>
                <w:ilvl w:val="0"/>
                <w:numId w:val="30"/>
              </w:numPr>
              <w:ind w:left="426"/>
              <w:contextualSpacing/>
              <w:rPr>
                <w:rFonts w:ascii="Arial" w:eastAsia="Arial" w:hAnsi="Arial" w:cs="Arial"/>
                <w:sz w:val="21"/>
                <w:szCs w:val="21"/>
              </w:rPr>
            </w:pPr>
            <w:r w:rsidRPr="00D27448">
              <w:rPr>
                <w:rFonts w:ascii="Arial" w:eastAsia="Arial" w:hAnsi="Arial" w:cs="Arial"/>
                <w:sz w:val="21"/>
                <w:szCs w:val="21"/>
              </w:rPr>
              <w:t>0–3</w:t>
            </w:r>
            <w:r w:rsidR="00887E93">
              <w:rPr>
                <w:rFonts w:ascii="Arial" w:eastAsia="Arial" w:hAnsi="Arial" w:cs="Arial"/>
                <w:sz w:val="21"/>
                <w:szCs w:val="21"/>
              </w:rPr>
              <w:t>%</w:t>
            </w:r>
            <w:r w:rsidRPr="00D27448">
              <w:rPr>
                <w:rFonts w:ascii="Arial" w:eastAsia="Arial" w:hAnsi="Arial" w:cs="Arial"/>
                <w:sz w:val="21"/>
                <w:szCs w:val="21"/>
              </w:rPr>
              <w:t xml:space="preserve"> below target</w:t>
            </w:r>
            <w:r w:rsidR="00522D3C">
              <w:rPr>
                <w:rFonts w:ascii="Arial" w:eastAsia="Arial" w:hAnsi="Arial" w:cs="Arial"/>
                <w:sz w:val="21"/>
                <w:szCs w:val="21"/>
              </w:rPr>
              <w:t xml:space="preserve"> –</w:t>
            </w:r>
            <w:r w:rsidR="00522D3C" w:rsidRPr="00D27448">
              <w:rPr>
                <w:rFonts w:ascii="Arial" w:eastAsia="Arial" w:hAnsi="Arial" w:cs="Arial"/>
                <w:sz w:val="21"/>
                <w:szCs w:val="21"/>
              </w:rPr>
              <w:t xml:space="preserve"> </w:t>
            </w:r>
            <w:r w:rsidRPr="00D27448">
              <w:rPr>
                <w:rFonts w:ascii="Arial" w:eastAsia="Arial" w:hAnsi="Arial" w:cs="Arial"/>
                <w:sz w:val="21"/>
                <w:szCs w:val="21"/>
              </w:rPr>
              <w:t>50</w:t>
            </w:r>
            <w:r w:rsidR="00887E93">
              <w:rPr>
                <w:rFonts w:ascii="Arial" w:eastAsia="Arial" w:hAnsi="Arial" w:cs="Arial"/>
                <w:sz w:val="21"/>
                <w:szCs w:val="21"/>
              </w:rPr>
              <w:t>%</w:t>
            </w:r>
            <w:r w:rsidRPr="00D27448">
              <w:rPr>
                <w:rFonts w:ascii="Arial" w:eastAsia="Arial" w:hAnsi="Arial" w:cs="Arial"/>
                <w:sz w:val="21"/>
                <w:szCs w:val="21"/>
              </w:rPr>
              <w:t xml:space="preserve"> of the </w:t>
            </w:r>
            <w:r w:rsidRPr="7BD059CA">
              <w:rPr>
                <w:rFonts w:ascii="Arial" w:eastAsia="Arial" w:hAnsi="Arial" w:cs="Arial"/>
                <w:sz w:val="21"/>
                <w:szCs w:val="21"/>
              </w:rPr>
              <w:t>VEP</w:t>
            </w:r>
          </w:p>
          <w:p w14:paraId="4FE448AB" w14:textId="4ED7C6A4" w:rsidR="001B1D6D" w:rsidRPr="00321897" w:rsidRDefault="001B1D6D" w:rsidP="00081936">
            <w:pPr>
              <w:pStyle w:val="ListParagraph"/>
              <w:numPr>
                <w:ilvl w:val="0"/>
                <w:numId w:val="30"/>
              </w:numPr>
              <w:ind w:left="426"/>
              <w:contextualSpacing/>
              <w:rPr>
                <w:rFonts w:ascii="Arial" w:eastAsia="Arial" w:hAnsi="Arial" w:cs="Arial"/>
                <w:sz w:val="21"/>
                <w:szCs w:val="21"/>
              </w:rPr>
            </w:pPr>
            <w:r w:rsidRPr="00584BF7">
              <w:rPr>
                <w:rFonts w:ascii="Arial" w:eastAsia="Arial" w:hAnsi="Arial" w:cs="Arial"/>
                <w:sz w:val="21"/>
                <w:szCs w:val="21"/>
              </w:rPr>
              <w:t>&gt; 3</w:t>
            </w:r>
            <w:r w:rsidR="00887E93">
              <w:rPr>
                <w:rFonts w:ascii="Arial" w:eastAsia="Arial" w:hAnsi="Arial" w:cs="Arial"/>
                <w:sz w:val="21"/>
                <w:szCs w:val="21"/>
              </w:rPr>
              <w:t>%</w:t>
            </w:r>
            <w:r w:rsidRPr="00584BF7">
              <w:rPr>
                <w:rFonts w:ascii="Arial" w:eastAsia="Arial" w:hAnsi="Arial" w:cs="Arial"/>
                <w:sz w:val="21"/>
                <w:szCs w:val="21"/>
              </w:rPr>
              <w:t xml:space="preserve"> below target</w:t>
            </w:r>
            <w:r w:rsidR="00522D3C">
              <w:rPr>
                <w:rFonts w:ascii="Arial" w:eastAsia="Arial" w:hAnsi="Arial" w:cs="Arial"/>
                <w:sz w:val="21"/>
                <w:szCs w:val="21"/>
              </w:rPr>
              <w:t xml:space="preserve"> –</w:t>
            </w:r>
            <w:r w:rsidR="00522D3C" w:rsidRPr="00584BF7">
              <w:rPr>
                <w:rFonts w:ascii="Arial" w:eastAsia="Arial" w:hAnsi="Arial" w:cs="Arial"/>
                <w:sz w:val="21"/>
                <w:szCs w:val="21"/>
              </w:rPr>
              <w:t xml:space="preserve"> </w:t>
            </w:r>
            <w:r w:rsidRPr="00584BF7">
              <w:rPr>
                <w:rFonts w:ascii="Arial" w:eastAsia="Arial" w:hAnsi="Arial" w:cs="Arial"/>
                <w:sz w:val="21"/>
                <w:szCs w:val="21"/>
              </w:rPr>
              <w:t>100</w:t>
            </w:r>
            <w:r w:rsidR="00887E93">
              <w:rPr>
                <w:rFonts w:ascii="Arial" w:eastAsia="Arial" w:hAnsi="Arial" w:cs="Arial"/>
                <w:sz w:val="21"/>
                <w:szCs w:val="21"/>
              </w:rPr>
              <w:t>%</w:t>
            </w:r>
            <w:r w:rsidRPr="00584BF7">
              <w:rPr>
                <w:rFonts w:ascii="Arial" w:eastAsia="Arial" w:hAnsi="Arial" w:cs="Arial"/>
                <w:sz w:val="21"/>
                <w:szCs w:val="21"/>
              </w:rPr>
              <w:t xml:space="preserve"> of the </w:t>
            </w:r>
            <w:r w:rsidRPr="7BD059CA">
              <w:rPr>
                <w:rFonts w:ascii="Arial" w:eastAsia="Arial" w:hAnsi="Arial" w:cs="Arial"/>
                <w:sz w:val="21"/>
                <w:szCs w:val="21"/>
              </w:rPr>
              <w:t>VEP</w:t>
            </w:r>
          </w:p>
        </w:tc>
      </w:tr>
      <w:tr w:rsidR="00AD43FC" w14:paraId="53FCD224" w14:textId="77777777" w:rsidTr="00685B35">
        <w:trPr>
          <w:gridAfter w:val="1"/>
          <w:wAfter w:w="9" w:type="dxa"/>
        </w:trPr>
        <w:tc>
          <w:tcPr>
            <w:tcW w:w="2994" w:type="dxa"/>
          </w:tcPr>
          <w:p w14:paraId="28751854" w14:textId="67AD347B" w:rsidR="001B1D6D" w:rsidRPr="007C3555" w:rsidRDefault="00A8232B" w:rsidP="00193D98">
            <w:pPr>
              <w:pStyle w:val="Tabletext"/>
            </w:pPr>
            <w:r>
              <w:t>Planned (</w:t>
            </w:r>
            <w:r w:rsidR="00522D3C">
              <w:t>e</w:t>
            </w:r>
            <w:r w:rsidR="001B1D6D" w:rsidRPr="007C3555">
              <w:t>lective</w:t>
            </w:r>
            <w:r>
              <w:t>)</w:t>
            </w:r>
            <w:r w:rsidR="001B1D6D" w:rsidRPr="007C3555">
              <w:t xml:space="preserve"> </w:t>
            </w:r>
            <w:r w:rsidR="00522D3C">
              <w:t>s</w:t>
            </w:r>
            <w:r w:rsidR="00522D3C" w:rsidRPr="007C3555">
              <w:t xml:space="preserve">urgery </w:t>
            </w:r>
            <w:r w:rsidR="00522D3C">
              <w:t>a</w:t>
            </w:r>
            <w:r w:rsidR="00522D3C" w:rsidRPr="007C3555">
              <w:t>ctivity</w:t>
            </w:r>
            <w:r w:rsidR="00522D3C">
              <w:t xml:space="preserve"> </w:t>
            </w:r>
            <w:r w:rsidR="001B1D6D" w:rsidRPr="007C3555">
              <w:rPr>
                <w:rFonts w:eastAsia="Arial"/>
              </w:rPr>
              <w:t xml:space="preserve">– </w:t>
            </w:r>
            <w:r w:rsidR="00522D3C">
              <w:t>b</w:t>
            </w:r>
            <w:r w:rsidR="001B1D6D" w:rsidRPr="007C3555">
              <w:t>ase</w:t>
            </w:r>
          </w:p>
        </w:tc>
        <w:tc>
          <w:tcPr>
            <w:tcW w:w="6612" w:type="dxa"/>
          </w:tcPr>
          <w:p w14:paraId="2F330969" w14:textId="71A94922" w:rsidR="001B1D6D" w:rsidRPr="00A83A84" w:rsidRDefault="001B1D6D" w:rsidP="00081936">
            <w:pPr>
              <w:pStyle w:val="ListParagraph"/>
              <w:numPr>
                <w:ilvl w:val="0"/>
                <w:numId w:val="30"/>
              </w:numPr>
              <w:ind w:left="426"/>
              <w:contextualSpacing/>
              <w:rPr>
                <w:rFonts w:eastAsia="Arial"/>
              </w:rPr>
            </w:pPr>
            <w:r w:rsidRPr="17ADC289">
              <w:rPr>
                <w:rFonts w:ascii="Arial" w:eastAsia="Arial" w:hAnsi="Arial" w:cs="Arial"/>
                <w:sz w:val="21"/>
                <w:szCs w:val="21"/>
              </w:rPr>
              <w:t>To be managed as</w:t>
            </w:r>
            <w:r>
              <w:rPr>
                <w:rFonts w:ascii="Arial" w:eastAsia="Arial" w:hAnsi="Arial" w:cs="Arial"/>
                <w:sz w:val="21"/>
                <w:szCs w:val="21"/>
              </w:rPr>
              <w:t xml:space="preserve"> outlined in section 1.16 </w:t>
            </w:r>
            <w:r w:rsidR="00522D3C">
              <w:rPr>
                <w:rFonts w:ascii="Arial" w:eastAsia="Arial" w:hAnsi="Arial" w:cs="Arial"/>
                <w:sz w:val="21"/>
                <w:szCs w:val="21"/>
              </w:rPr>
              <w:t>‘</w:t>
            </w:r>
            <w:r>
              <w:rPr>
                <w:rFonts w:ascii="Arial" w:eastAsia="Arial" w:hAnsi="Arial" w:cs="Arial"/>
                <w:sz w:val="21"/>
                <w:szCs w:val="21"/>
              </w:rPr>
              <w:t>Prior-</w:t>
            </w:r>
            <w:r w:rsidR="00522D3C">
              <w:rPr>
                <w:rFonts w:ascii="Arial" w:eastAsia="Arial" w:hAnsi="Arial" w:cs="Arial"/>
                <w:sz w:val="21"/>
                <w:szCs w:val="21"/>
              </w:rPr>
              <w:t>year adjustment: activity-based funding’</w:t>
            </w:r>
          </w:p>
        </w:tc>
      </w:tr>
    </w:tbl>
    <w:p w14:paraId="2516967B" w14:textId="77777777" w:rsidR="006F79FC" w:rsidRDefault="006D179F" w:rsidP="00081936">
      <w:pPr>
        <w:pStyle w:val="Heading4"/>
        <w:numPr>
          <w:ilvl w:val="3"/>
          <w:numId w:val="33"/>
        </w:numPr>
      </w:pPr>
      <w:r>
        <w:t>Throughput</w:t>
      </w:r>
    </w:p>
    <w:p w14:paraId="6E97B9A2" w14:textId="7CBF6D6C" w:rsidR="00E26158" w:rsidRDefault="00E26158" w:rsidP="00E26158">
      <w:r w:rsidRPr="435566E8">
        <w:rPr>
          <w:rFonts w:eastAsia="Times"/>
        </w:rPr>
        <w:t xml:space="preserve">Funding for </w:t>
      </w:r>
      <w:r w:rsidR="00522D3C">
        <w:rPr>
          <w:rFonts w:eastAsia="Times"/>
        </w:rPr>
        <w:t>ES</w:t>
      </w:r>
      <w:r w:rsidR="007C3555" w:rsidRPr="435566E8">
        <w:rPr>
          <w:rFonts w:eastAsia="Times"/>
        </w:rPr>
        <w:t xml:space="preserve"> </w:t>
      </w:r>
      <w:r w:rsidRPr="435566E8">
        <w:rPr>
          <w:rFonts w:eastAsia="Times"/>
        </w:rPr>
        <w:t xml:space="preserve">throughput will be consistent with standard policy. Health </w:t>
      </w:r>
      <w:r w:rsidR="007C3555" w:rsidRPr="435566E8">
        <w:rPr>
          <w:rFonts w:eastAsia="Times"/>
        </w:rPr>
        <w:t xml:space="preserve">services should engage with the department if they are </w:t>
      </w:r>
      <w:r w:rsidRPr="435566E8">
        <w:rPr>
          <w:rFonts w:eastAsia="Times"/>
        </w:rPr>
        <w:t>likely to exceed their overall target rather than rely on throughput policy.</w:t>
      </w:r>
    </w:p>
    <w:p w14:paraId="4DB96A98" w14:textId="77777777" w:rsidR="00C162B4" w:rsidRPr="00E8045D" w:rsidRDefault="00C162B4" w:rsidP="00081936">
      <w:pPr>
        <w:pStyle w:val="Heading4"/>
        <w:numPr>
          <w:ilvl w:val="3"/>
          <w:numId w:val="33"/>
        </w:numPr>
      </w:pPr>
      <w:r>
        <w:lastRenderedPageBreak/>
        <w:t>Conditions</w:t>
      </w:r>
    </w:p>
    <w:p w14:paraId="5D3B350A" w14:textId="476C50CA" w:rsidR="006F79FC" w:rsidRDefault="006F79FC" w:rsidP="006F79FC">
      <w:pPr>
        <w:pStyle w:val="Body"/>
      </w:pPr>
      <w:r>
        <w:t xml:space="preserve">A condition of acceptance of funding to deliver additional </w:t>
      </w:r>
      <w:r w:rsidR="00522D3C">
        <w:t>ES</w:t>
      </w:r>
      <w:r>
        <w:t xml:space="preserve"> is that health services </w:t>
      </w:r>
      <w:r w:rsidR="00522D3C">
        <w:t xml:space="preserve">must </w:t>
      </w:r>
      <w:r>
        <w:t xml:space="preserve">immediately </w:t>
      </w:r>
      <w:r w:rsidR="00522D3C">
        <w:t>notify</w:t>
      </w:r>
      <w:r>
        <w:t xml:space="preserve"> the department </w:t>
      </w:r>
      <w:r w:rsidR="00522D3C">
        <w:t>of operational risks ar</w:t>
      </w:r>
      <w:r w:rsidR="00530B5A">
        <w:t>i</w:t>
      </w:r>
      <w:r w:rsidR="00522D3C">
        <w:t>sing</w:t>
      </w:r>
      <w:r>
        <w:t xml:space="preserve"> during the year known to </w:t>
      </w:r>
      <w:r w:rsidR="00522D3C">
        <w:t xml:space="preserve">affect </w:t>
      </w:r>
      <w:r>
        <w:t xml:space="preserve">ability to deliver proposed targets. Adjustment to the target and funding may be more frequent on this basis. Health </w:t>
      </w:r>
      <w:r w:rsidR="007C3555">
        <w:t xml:space="preserve">services </w:t>
      </w:r>
      <w:r>
        <w:t>will also be required to provide monthly activity targets to support regular monitoring and review.</w:t>
      </w:r>
    </w:p>
    <w:p w14:paraId="053DCB65" w14:textId="71E0C3E0" w:rsidR="003D51BE" w:rsidRDefault="003D51BE">
      <w:pPr>
        <w:spacing w:after="0" w:line="240" w:lineRule="auto"/>
        <w:rPr>
          <w:rFonts w:eastAsia="Times"/>
        </w:rPr>
      </w:pPr>
      <w:r>
        <w:br w:type="page"/>
      </w:r>
    </w:p>
    <w:p w14:paraId="46AF024C" w14:textId="721306D0" w:rsidR="003D51BE" w:rsidRPr="00F96DD9" w:rsidRDefault="003D51BE" w:rsidP="00685B35">
      <w:pPr>
        <w:pStyle w:val="Heading2"/>
      </w:pPr>
      <w:bookmarkStart w:id="385" w:name="_Ref111538889"/>
      <w:bookmarkStart w:id="386" w:name="_Ref111538897"/>
      <w:bookmarkStart w:id="387" w:name="_Toc156569658"/>
      <w:r>
        <w:lastRenderedPageBreak/>
        <w:t>Calculating funding recall</w:t>
      </w:r>
      <w:bookmarkEnd w:id="385"/>
      <w:bookmarkEnd w:id="386"/>
      <w:bookmarkEnd w:id="387"/>
    </w:p>
    <w:p w14:paraId="42F804DC" w14:textId="0FDEA4D0" w:rsidR="003D51BE" w:rsidRDefault="003D51BE" w:rsidP="00081936">
      <w:pPr>
        <w:pStyle w:val="Heading3"/>
        <w:numPr>
          <w:ilvl w:val="2"/>
          <w:numId w:val="33"/>
        </w:numPr>
        <w:spacing w:before="240"/>
        <w:ind w:left="1134"/>
      </w:pPr>
      <w:bookmarkStart w:id="388" w:name="_Toc487742054"/>
      <w:bookmarkStart w:id="389" w:name="_Toc14172285"/>
      <w:bookmarkStart w:id="390" w:name="_Toc55381149"/>
      <w:bookmarkStart w:id="391" w:name="_Toc100263356"/>
      <w:bookmarkStart w:id="392" w:name="_Toc156569659"/>
      <w:r>
        <w:t xml:space="preserve">Calculating NWAU </w:t>
      </w:r>
      <w:r w:rsidR="00522D3C">
        <w:t xml:space="preserve">funding </w:t>
      </w:r>
      <w:bookmarkEnd w:id="388"/>
      <w:bookmarkEnd w:id="389"/>
      <w:bookmarkEnd w:id="390"/>
      <w:bookmarkEnd w:id="391"/>
      <w:r w:rsidR="00522D3C">
        <w:t>recall</w:t>
      </w:r>
      <w:bookmarkEnd w:id="392"/>
    </w:p>
    <w:p w14:paraId="3FDF514D" w14:textId="77777777" w:rsidR="003D51BE" w:rsidRPr="00AC7D3A" w:rsidRDefault="003D51BE" w:rsidP="003D51BE">
      <w:pPr>
        <w:pStyle w:val="Body"/>
      </w:pPr>
      <w:r w:rsidRPr="00AC7D3A">
        <w:t>Funding adjustments are calculated as follows</w:t>
      </w:r>
      <w:r>
        <w:t>.</w:t>
      </w:r>
    </w:p>
    <w:p w14:paraId="753EC798" w14:textId="77777777" w:rsidR="003D51BE" w:rsidRPr="00631BCD" w:rsidRDefault="003D51BE" w:rsidP="003D51BE">
      <w:pPr>
        <w:pStyle w:val="Bodyaftertablefigure"/>
      </w:pPr>
      <w:r w:rsidRPr="779427B2">
        <w:rPr>
          <w:b/>
          <w:bCs/>
        </w:rPr>
        <w:t>Step 1: Calculate the full-year total NWAU activity.</w:t>
      </w:r>
    </w:p>
    <w:p w14:paraId="047BFD25" w14:textId="729A4C31" w:rsidR="003D51BE" w:rsidRPr="00631BCD" w:rsidRDefault="003D51BE" w:rsidP="003D51BE">
      <w:pPr>
        <w:pStyle w:val="Bodyaftertablefigure"/>
      </w:pPr>
      <w:r w:rsidRPr="779427B2">
        <w:rPr>
          <w:b/>
          <w:bCs/>
        </w:rPr>
        <w:t>Step 2: Calculate full-year NWAU activity targets</w:t>
      </w:r>
    </w:p>
    <w:p w14:paraId="23AB2FB6" w14:textId="77777777" w:rsidR="003D51BE" w:rsidRPr="00631BCD" w:rsidRDefault="003D51BE" w:rsidP="003D51BE">
      <w:pPr>
        <w:pStyle w:val="Bodyaftertablefigure"/>
      </w:pPr>
      <w:r w:rsidRPr="00631BCD" w:rsidDel="00F65C42">
        <w:rPr>
          <w:b/>
          <w:bCs/>
        </w:rPr>
        <w:t xml:space="preserve">Step 3: Calculate the </w:t>
      </w:r>
      <w:r w:rsidRPr="00631BCD">
        <w:rPr>
          <w:b/>
          <w:bCs/>
        </w:rPr>
        <w:t>total performance percentage.</w:t>
      </w:r>
    </w:p>
    <w:p w14:paraId="79522697" w14:textId="77777777" w:rsidR="003D51BE" w:rsidRPr="00AC7D3A" w:rsidRDefault="003D51BE" w:rsidP="003D51BE">
      <w:pPr>
        <w:pStyle w:val="Bullet1"/>
      </w:pPr>
      <w:r>
        <w:t>Express the actual value as a percentage of the revised target value. This will show the extent to which the health service has performed above or below target.</w:t>
      </w:r>
    </w:p>
    <w:p w14:paraId="5F9F6803" w14:textId="7B46EE80" w:rsidR="003D51BE" w:rsidRPr="00631BCD" w:rsidRDefault="003D51BE" w:rsidP="003D51BE">
      <w:pPr>
        <w:pStyle w:val="Bodyaftertablefigure"/>
      </w:pPr>
      <w:r w:rsidRPr="00631BCD" w:rsidDel="00F65C42">
        <w:rPr>
          <w:b/>
          <w:bCs/>
        </w:rPr>
        <w:t xml:space="preserve">Step </w:t>
      </w:r>
      <w:r>
        <w:rPr>
          <w:b/>
          <w:bCs/>
        </w:rPr>
        <w:t>4</w:t>
      </w:r>
      <w:r w:rsidRPr="00631BCD">
        <w:rPr>
          <w:b/>
          <w:bCs/>
        </w:rPr>
        <w:t>: Calculate the adjustment.</w:t>
      </w:r>
    </w:p>
    <w:p w14:paraId="0166305B" w14:textId="77777777" w:rsidR="003D51BE" w:rsidRPr="00AC7D3A" w:rsidRDefault="003D51BE" w:rsidP="003D51BE">
      <w:pPr>
        <w:pStyle w:val="Body"/>
      </w:pPr>
      <w:r w:rsidRPr="00AC7D3A">
        <w:t xml:space="preserve">To calculate the dollar amount of the </w:t>
      </w:r>
      <w:r>
        <w:t xml:space="preserve">throughput recall/payment </w:t>
      </w:r>
      <w:r w:rsidRPr="00AC7D3A">
        <w:t>adjustment:</w:t>
      </w:r>
    </w:p>
    <w:p w14:paraId="4859D0CD" w14:textId="7745F7C9" w:rsidR="003D51BE" w:rsidRDefault="003D51BE" w:rsidP="003D51BE">
      <w:pPr>
        <w:pStyle w:val="Bullet1"/>
      </w:pPr>
      <w:r>
        <w:t xml:space="preserve">Multiply the performance percentage falling within the recall/payment threshold (in section </w:t>
      </w:r>
      <w:r>
        <w:fldChar w:fldCharType="begin"/>
      </w:r>
      <w:r>
        <w:instrText xml:space="preserve"> REF _Ref111538488 \r \h </w:instrText>
      </w:r>
      <w:r>
        <w:fldChar w:fldCharType="separate"/>
      </w:r>
      <w:r w:rsidR="00892F13">
        <w:t>1.1</w:t>
      </w:r>
      <w:r w:rsidR="009428D6">
        <w:t>8</w:t>
      </w:r>
      <w:r w:rsidR="00892F13">
        <w:t>.1</w:t>
      </w:r>
      <w:r>
        <w:fldChar w:fldCharType="end"/>
      </w:r>
      <w:r>
        <w:t xml:space="preserve"> ‘</w:t>
      </w:r>
      <w:r>
        <w:fldChar w:fldCharType="begin"/>
      </w:r>
      <w:r>
        <w:instrText xml:space="preserve"> REF _Ref111538507 \h </w:instrText>
      </w:r>
      <w:r>
        <w:fldChar w:fldCharType="separate"/>
      </w:r>
      <w:r w:rsidR="00892F13">
        <w:t>Victorian funding recall policy</w:t>
      </w:r>
      <w:r>
        <w:fldChar w:fldCharType="end"/>
      </w:r>
      <w:r>
        <w:t xml:space="preserve">’) by the target value (calculated in step 2). </w:t>
      </w:r>
    </w:p>
    <w:p w14:paraId="38AC15BA" w14:textId="77A545A2" w:rsidR="003D51BE" w:rsidRPr="00AC7D3A" w:rsidRDefault="003D51BE" w:rsidP="003D51BE">
      <w:pPr>
        <w:pStyle w:val="Bullet1"/>
      </w:pPr>
      <w:r>
        <w:t>Multiply by this by the VEP.</w:t>
      </w:r>
    </w:p>
    <w:p w14:paraId="3CCA49ED" w14:textId="5ADA7924" w:rsidR="003D51BE" w:rsidRDefault="003D51BE" w:rsidP="003D51BE">
      <w:pPr>
        <w:pStyle w:val="Bullet1"/>
      </w:pPr>
      <w:r>
        <w:t>Multiply that amount by the recall/payment percentage</w:t>
      </w:r>
      <w:r w:rsidR="00544696">
        <w:t>.</w:t>
      </w:r>
    </w:p>
    <w:p w14:paraId="3782DC45" w14:textId="1B1407F7" w:rsidR="003D51BE" w:rsidRPr="00AC7D3A" w:rsidRDefault="003D51BE" w:rsidP="00081936">
      <w:pPr>
        <w:pStyle w:val="Heading3"/>
        <w:numPr>
          <w:ilvl w:val="2"/>
          <w:numId w:val="33"/>
        </w:numPr>
        <w:spacing w:before="240"/>
        <w:ind w:left="1134"/>
      </w:pPr>
      <w:bookmarkStart w:id="393" w:name="_Ref143004077"/>
      <w:bookmarkStart w:id="394" w:name="_Toc156569660"/>
      <w:r w:rsidRPr="0084197D">
        <w:t xml:space="preserve">Calculating </w:t>
      </w:r>
      <w:r w:rsidR="00522D3C">
        <w:t>HAC</w:t>
      </w:r>
      <w:r w:rsidRPr="0084197D">
        <w:t xml:space="preserve"> NWAU</w:t>
      </w:r>
      <w:r>
        <w:t xml:space="preserve"> growth</w:t>
      </w:r>
      <w:r w:rsidR="00522D3C">
        <w:t>-</w:t>
      </w:r>
      <w:r>
        <w:t>funding adjustment</w:t>
      </w:r>
      <w:bookmarkEnd w:id="393"/>
      <w:bookmarkEnd w:id="394"/>
    </w:p>
    <w:p w14:paraId="32490E5F" w14:textId="77777777" w:rsidR="003D51BE" w:rsidRPr="00AC7D3A" w:rsidRDefault="003D51BE" w:rsidP="003D51BE">
      <w:pPr>
        <w:pStyle w:val="Bullet1"/>
        <w:numPr>
          <w:ilvl w:val="0"/>
          <w:numId w:val="0"/>
        </w:numPr>
      </w:pPr>
      <w:r>
        <w:t>Funding adjustments are calculated as follows:</w:t>
      </w:r>
    </w:p>
    <w:p w14:paraId="534F483E" w14:textId="24662394" w:rsidR="003D51BE" w:rsidRDefault="003D51BE" w:rsidP="003D51BE">
      <w:pPr>
        <w:pStyle w:val="Bodyaftertablefigure"/>
        <w:rPr>
          <w:b/>
          <w:bCs/>
        </w:rPr>
      </w:pPr>
      <w:r w:rsidRPr="68F9D2E4">
        <w:rPr>
          <w:b/>
          <w:bCs/>
        </w:rPr>
        <w:t xml:space="preserve">Step 1: </w:t>
      </w:r>
      <w:r>
        <w:rPr>
          <w:b/>
          <w:bCs/>
        </w:rPr>
        <w:t>For the current year, c</w:t>
      </w:r>
      <w:r w:rsidRPr="68F9D2E4">
        <w:rPr>
          <w:b/>
          <w:bCs/>
        </w:rPr>
        <w:t xml:space="preserve">alculate the full-year total </w:t>
      </w:r>
      <w:r w:rsidR="00522D3C">
        <w:rPr>
          <w:b/>
          <w:bCs/>
        </w:rPr>
        <w:t>HAC</w:t>
      </w:r>
      <w:r w:rsidRPr="68F9D2E4">
        <w:rPr>
          <w:b/>
          <w:bCs/>
        </w:rPr>
        <w:t xml:space="preserve"> NWAU adjustment</w:t>
      </w:r>
      <w:r w:rsidR="00522D3C">
        <w:rPr>
          <w:b/>
          <w:bCs/>
        </w:rPr>
        <w:t>.</w:t>
      </w:r>
    </w:p>
    <w:p w14:paraId="239344CC" w14:textId="6994934A" w:rsidR="003D51BE" w:rsidRDefault="003D51BE" w:rsidP="003D51BE">
      <w:pPr>
        <w:pStyle w:val="Bodyaftertablefigure"/>
        <w:rPr>
          <w:b/>
          <w:bCs/>
        </w:rPr>
      </w:pPr>
      <w:r w:rsidRPr="68F9D2E4">
        <w:rPr>
          <w:b/>
          <w:bCs/>
        </w:rPr>
        <w:t xml:space="preserve">Step 2: </w:t>
      </w:r>
      <w:r>
        <w:rPr>
          <w:b/>
          <w:bCs/>
        </w:rPr>
        <w:t>For the prior year, c</w:t>
      </w:r>
      <w:r w:rsidRPr="68F9D2E4">
        <w:rPr>
          <w:b/>
          <w:bCs/>
        </w:rPr>
        <w:t xml:space="preserve">alculate </w:t>
      </w:r>
      <w:r>
        <w:rPr>
          <w:b/>
          <w:bCs/>
        </w:rPr>
        <w:t>the full</w:t>
      </w:r>
      <w:r w:rsidR="00556817">
        <w:rPr>
          <w:b/>
          <w:bCs/>
        </w:rPr>
        <w:t>-</w:t>
      </w:r>
      <w:r>
        <w:rPr>
          <w:b/>
          <w:bCs/>
        </w:rPr>
        <w:t xml:space="preserve">year </w:t>
      </w:r>
      <w:r w:rsidR="00CF7683">
        <w:rPr>
          <w:b/>
          <w:bCs/>
        </w:rPr>
        <w:t>HAC</w:t>
      </w:r>
      <w:r w:rsidRPr="68F9D2E4">
        <w:rPr>
          <w:b/>
          <w:bCs/>
        </w:rPr>
        <w:t xml:space="preserve"> NWAU adjustment</w:t>
      </w:r>
      <w:r>
        <w:rPr>
          <w:b/>
          <w:bCs/>
        </w:rPr>
        <w:t xml:space="preserve"> and</w:t>
      </w:r>
      <w:r w:rsidRPr="68F9D2E4">
        <w:rPr>
          <w:b/>
          <w:bCs/>
        </w:rPr>
        <w:t xml:space="preserve"> backcast to </w:t>
      </w:r>
      <w:r>
        <w:rPr>
          <w:b/>
          <w:bCs/>
        </w:rPr>
        <w:t>align NWAU between the current and prior year</w:t>
      </w:r>
      <w:r w:rsidR="00CF7683">
        <w:rPr>
          <w:b/>
          <w:bCs/>
        </w:rPr>
        <w:t>.</w:t>
      </w:r>
    </w:p>
    <w:p w14:paraId="63C30A84" w14:textId="4F29751A" w:rsidR="003D51BE" w:rsidRDefault="003D51BE" w:rsidP="003D51BE">
      <w:pPr>
        <w:pStyle w:val="Bodyaftertablefigure"/>
        <w:rPr>
          <w:b/>
          <w:bCs/>
        </w:rPr>
      </w:pPr>
      <w:r w:rsidRPr="68F9D2E4">
        <w:rPr>
          <w:b/>
          <w:bCs/>
        </w:rPr>
        <w:t xml:space="preserve">Step 3: Calculate the </w:t>
      </w:r>
      <w:r>
        <w:rPr>
          <w:b/>
          <w:bCs/>
        </w:rPr>
        <w:t xml:space="preserve">change </w:t>
      </w:r>
      <w:r w:rsidRPr="68F9D2E4">
        <w:rPr>
          <w:b/>
          <w:bCs/>
        </w:rPr>
        <w:t>in the HAC NWAU adjustment as the difference between Step 1 and Step 2</w:t>
      </w:r>
      <w:r w:rsidR="00CF7683">
        <w:rPr>
          <w:b/>
          <w:bCs/>
        </w:rPr>
        <w:t>.</w:t>
      </w:r>
    </w:p>
    <w:p w14:paraId="4C7763F0" w14:textId="2A9D16F8" w:rsidR="003D51BE" w:rsidRDefault="003D51BE" w:rsidP="003D51BE">
      <w:pPr>
        <w:pStyle w:val="Bullet1"/>
        <w:numPr>
          <w:ilvl w:val="0"/>
          <w:numId w:val="0"/>
        </w:numPr>
      </w:pPr>
      <w:r w:rsidRPr="68F9D2E4">
        <w:rPr>
          <w:b/>
          <w:bCs/>
        </w:rPr>
        <w:t xml:space="preserve">Step 4: Calculate the HAC </w:t>
      </w:r>
      <w:r w:rsidR="00CF7683">
        <w:rPr>
          <w:b/>
          <w:bCs/>
        </w:rPr>
        <w:t>growth-</w:t>
      </w:r>
      <w:r>
        <w:rPr>
          <w:b/>
          <w:bCs/>
        </w:rPr>
        <w:t>funding</w:t>
      </w:r>
      <w:r w:rsidRPr="68F9D2E4">
        <w:rPr>
          <w:b/>
          <w:bCs/>
        </w:rPr>
        <w:t xml:space="preserve"> adjustment.</w:t>
      </w:r>
    </w:p>
    <w:p w14:paraId="1B41BCF1" w14:textId="0B374B12" w:rsidR="003D51BE" w:rsidRDefault="003D51BE" w:rsidP="002F446F">
      <w:pPr>
        <w:pStyle w:val="Bullet1"/>
      </w:pPr>
      <w:r>
        <w:t>Multiply Step 3 by VEP to derive the HAC NWAU funding adjustment</w:t>
      </w:r>
      <w:r w:rsidR="002F446F">
        <w:t>.</w:t>
      </w:r>
    </w:p>
    <w:p w14:paraId="43FA195B" w14:textId="77C4F1F0" w:rsidR="003D51BE" w:rsidRDefault="003D51BE" w:rsidP="00081936">
      <w:pPr>
        <w:pStyle w:val="Heading3"/>
        <w:numPr>
          <w:ilvl w:val="2"/>
          <w:numId w:val="33"/>
        </w:numPr>
        <w:spacing w:before="240"/>
        <w:ind w:left="1134"/>
      </w:pPr>
      <w:bookmarkStart w:id="395" w:name="_Toc487742055"/>
      <w:bookmarkStart w:id="396" w:name="_Toc14172286"/>
      <w:bookmarkStart w:id="397" w:name="_Toc55381150"/>
      <w:bookmarkStart w:id="398" w:name="_Toc100263357"/>
      <w:bookmarkStart w:id="399" w:name="_Toc156569661"/>
      <w:r>
        <w:t xml:space="preserve">Calculating </w:t>
      </w:r>
      <w:r w:rsidR="00CF7683">
        <w:t xml:space="preserve">TAC or </w:t>
      </w:r>
      <w:r>
        <w:t xml:space="preserve">Department of Veterans’ Affairs NWAU </w:t>
      </w:r>
      <w:r w:rsidR="00CF7683">
        <w:t xml:space="preserve">funding </w:t>
      </w:r>
      <w:bookmarkEnd w:id="395"/>
      <w:bookmarkEnd w:id="396"/>
      <w:bookmarkEnd w:id="397"/>
      <w:bookmarkEnd w:id="398"/>
      <w:r w:rsidR="00CF7683">
        <w:t>recall</w:t>
      </w:r>
      <w:bookmarkEnd w:id="399"/>
    </w:p>
    <w:p w14:paraId="6CAB8D8D" w14:textId="77777777" w:rsidR="003D51BE" w:rsidRDefault="003D51BE" w:rsidP="003D51BE">
      <w:pPr>
        <w:pStyle w:val="Body"/>
      </w:pPr>
      <w:r w:rsidRPr="00AC7D3A">
        <w:t>Funding adjustments are calculated as follows</w:t>
      </w:r>
      <w:r>
        <w:t>.</w:t>
      </w:r>
    </w:p>
    <w:p w14:paraId="0C623DBB" w14:textId="4857ADBC" w:rsidR="003D51BE" w:rsidRPr="00631BCD" w:rsidRDefault="003D51BE" w:rsidP="003D51BE">
      <w:pPr>
        <w:pStyle w:val="Bodyaftertablefigure"/>
      </w:pPr>
      <w:r w:rsidRPr="00572AF9">
        <w:rPr>
          <w:b/>
          <w:bCs/>
        </w:rPr>
        <w:t>Step 1: Calculate the over</w:t>
      </w:r>
      <w:r w:rsidR="00CF7683">
        <w:rPr>
          <w:b/>
          <w:bCs/>
        </w:rPr>
        <w:t xml:space="preserve">- </w:t>
      </w:r>
      <w:r w:rsidRPr="00572AF9">
        <w:rPr>
          <w:b/>
          <w:bCs/>
        </w:rPr>
        <w:t>or under</w:t>
      </w:r>
      <w:r>
        <w:rPr>
          <w:b/>
          <w:bCs/>
        </w:rPr>
        <w:t>-</w:t>
      </w:r>
      <w:r w:rsidRPr="00572AF9">
        <w:rPr>
          <w:b/>
          <w:bCs/>
        </w:rPr>
        <w:t>activity.</w:t>
      </w:r>
    </w:p>
    <w:p w14:paraId="2FE6EACD" w14:textId="7613B4D2" w:rsidR="003D51BE" w:rsidRDefault="003D51BE" w:rsidP="003D51BE">
      <w:pPr>
        <w:pStyle w:val="Body"/>
      </w:pPr>
      <w:r w:rsidRPr="00DB4B48">
        <w:t>Calculate the over</w:t>
      </w:r>
      <w:r w:rsidR="00CF7683">
        <w:t>-</w:t>
      </w:r>
      <w:r w:rsidRPr="00DB4B48">
        <w:t xml:space="preserve"> or under</w:t>
      </w:r>
      <w:r>
        <w:t>-</w:t>
      </w:r>
      <w:r w:rsidRPr="00DB4B48">
        <w:t>activity</w:t>
      </w:r>
      <w:r w:rsidRPr="00DB4B48">
        <w:rPr>
          <w:b/>
        </w:rPr>
        <w:t xml:space="preserve"> </w:t>
      </w:r>
      <w:r>
        <w:t>by subtracting the total full-year target from total full-year activity.</w:t>
      </w:r>
    </w:p>
    <w:p w14:paraId="48CA9955" w14:textId="77777777" w:rsidR="003D51BE" w:rsidRDefault="003D51BE" w:rsidP="003D51BE">
      <w:pPr>
        <w:pStyle w:val="Body"/>
      </w:pPr>
      <w:r>
        <w:t>A negative variance indicates that actual activity is less than the funded target (under-performance), and a positive variance indicated activity is greater than funded performance (over-activity).</w:t>
      </w:r>
    </w:p>
    <w:p w14:paraId="1F692A12" w14:textId="77777777" w:rsidR="003D51BE" w:rsidRPr="00631BCD" w:rsidRDefault="003D51BE" w:rsidP="00685B35">
      <w:pPr>
        <w:pStyle w:val="Bodyaftertablefigure"/>
        <w:keepNext/>
        <w:keepLines/>
      </w:pPr>
      <w:r w:rsidRPr="00631BCD">
        <w:rPr>
          <w:b/>
          <w:bCs/>
        </w:rPr>
        <w:t>Step 2: Calculate the amount of funding to be recalled or paid.</w:t>
      </w:r>
    </w:p>
    <w:p w14:paraId="207FC65D" w14:textId="259BC734" w:rsidR="003D51BE" w:rsidRDefault="003D51BE" w:rsidP="003D51BE">
      <w:pPr>
        <w:pStyle w:val="Body"/>
      </w:pPr>
      <w:r>
        <w:t xml:space="preserve">Calculate the amount of funding to be recalled (health service liability to department) or paid (department liability to health service) by multiplying the variance calculated in step 1 by the </w:t>
      </w:r>
      <w:r w:rsidR="00CF7683">
        <w:t>TAC / Department of Veterans’ Affairs</w:t>
      </w:r>
      <w:r>
        <w:t xml:space="preserve"> NWAU unit rate.</w:t>
      </w:r>
    </w:p>
    <w:p w14:paraId="60E99EBF" w14:textId="6435E3F7" w:rsidR="003D51BE" w:rsidRDefault="003D51BE" w:rsidP="00081936">
      <w:pPr>
        <w:pStyle w:val="Heading3"/>
        <w:numPr>
          <w:ilvl w:val="2"/>
          <w:numId w:val="33"/>
        </w:numPr>
        <w:spacing w:before="240"/>
        <w:ind w:left="1134"/>
      </w:pPr>
      <w:bookmarkStart w:id="400" w:name="_Toc487742056"/>
      <w:bookmarkStart w:id="401" w:name="_Toc14172287"/>
      <w:bookmarkStart w:id="402" w:name="_Toc55381151"/>
      <w:bookmarkStart w:id="403" w:name="_Toc100263358"/>
      <w:bookmarkStart w:id="404" w:name="_Toc156569662"/>
      <w:r>
        <w:lastRenderedPageBreak/>
        <w:t xml:space="preserve">Calculating National Bowel Cancer Screening Program </w:t>
      </w:r>
      <w:r w:rsidR="00CF7683">
        <w:t>c</w:t>
      </w:r>
      <w:r>
        <w:t>olonoscopy NWAU recall</w:t>
      </w:r>
      <w:bookmarkEnd w:id="400"/>
      <w:bookmarkEnd w:id="401"/>
      <w:bookmarkEnd w:id="402"/>
      <w:bookmarkEnd w:id="403"/>
      <w:bookmarkEnd w:id="404"/>
    </w:p>
    <w:p w14:paraId="7D7BF1BB" w14:textId="77777777" w:rsidR="003D51BE" w:rsidRPr="00AC7D3A" w:rsidRDefault="003D51BE" w:rsidP="003D51BE">
      <w:pPr>
        <w:pStyle w:val="Body"/>
      </w:pPr>
      <w:r w:rsidRPr="00AC7D3A">
        <w:t>Funding adjustments are calculated as follows</w:t>
      </w:r>
      <w:r>
        <w:t>.</w:t>
      </w:r>
    </w:p>
    <w:p w14:paraId="16F585CD" w14:textId="77777777" w:rsidR="003D51BE" w:rsidRPr="00631BCD" w:rsidRDefault="003D51BE" w:rsidP="003D51BE">
      <w:pPr>
        <w:pStyle w:val="Bodyaftertablefigure"/>
      </w:pPr>
      <w:r w:rsidRPr="00572AF9">
        <w:rPr>
          <w:b/>
          <w:bCs/>
        </w:rPr>
        <w:t>Step 1: Calculate the over or under</w:t>
      </w:r>
      <w:r>
        <w:rPr>
          <w:b/>
          <w:bCs/>
        </w:rPr>
        <w:t>-</w:t>
      </w:r>
      <w:r w:rsidRPr="00572AF9">
        <w:rPr>
          <w:b/>
          <w:bCs/>
        </w:rPr>
        <w:t>activity.</w:t>
      </w:r>
    </w:p>
    <w:p w14:paraId="641ACE7B" w14:textId="1CE0BDCC" w:rsidR="003D51BE" w:rsidRDefault="003D51BE" w:rsidP="003D51BE">
      <w:pPr>
        <w:pStyle w:val="Body"/>
      </w:pPr>
      <w:r w:rsidRPr="00DB4B48">
        <w:t>Calculate the over</w:t>
      </w:r>
      <w:r w:rsidR="00CF7683">
        <w:t>-</w:t>
      </w:r>
      <w:r w:rsidRPr="00DB4B48">
        <w:t xml:space="preserve"> or under</w:t>
      </w:r>
      <w:r>
        <w:t>-</w:t>
      </w:r>
      <w:r w:rsidRPr="00DB4B48">
        <w:t>activity</w:t>
      </w:r>
      <w:r w:rsidRPr="00DB4B48">
        <w:rPr>
          <w:b/>
        </w:rPr>
        <w:t xml:space="preserve"> </w:t>
      </w:r>
      <w:r>
        <w:t>by subtracting the total full-year target from total full-year activity.</w:t>
      </w:r>
    </w:p>
    <w:p w14:paraId="737029AF" w14:textId="77777777" w:rsidR="003D51BE" w:rsidRDefault="003D51BE" w:rsidP="003D51BE">
      <w:pPr>
        <w:pStyle w:val="Body"/>
      </w:pPr>
      <w:r>
        <w:t>A negative variance indicates that actual activity is less than the funded target (under-performance), and a positive variance indicated activity is greater than funded performance (over-activity).</w:t>
      </w:r>
    </w:p>
    <w:p w14:paraId="30FC1915" w14:textId="77777777" w:rsidR="003D51BE" w:rsidRPr="00631BCD" w:rsidRDefault="003D51BE" w:rsidP="003D51BE">
      <w:pPr>
        <w:pStyle w:val="Bodyaftertablefigure"/>
      </w:pPr>
      <w:r w:rsidRPr="00631BCD">
        <w:rPr>
          <w:b/>
          <w:bCs/>
        </w:rPr>
        <w:t>Step 2: Calculate the amount of funding to be recalled or paid.</w:t>
      </w:r>
    </w:p>
    <w:p w14:paraId="525B13DE" w14:textId="77777777" w:rsidR="003D51BE" w:rsidRDefault="003D51BE" w:rsidP="003D51BE">
      <w:pPr>
        <w:pStyle w:val="Body"/>
      </w:pPr>
      <w:r>
        <w:t>Calculate the amount of funding to be recalled (health service liability to department) or paid (department liability to health service) by multiplying the variance calculated in step 1 by the NWAU VEP unit rate.</w:t>
      </w:r>
    </w:p>
    <w:p w14:paraId="0B16124E" w14:textId="700D456F" w:rsidR="003D51BE" w:rsidRDefault="003D51BE" w:rsidP="00081936">
      <w:pPr>
        <w:pStyle w:val="Heading3"/>
        <w:numPr>
          <w:ilvl w:val="2"/>
          <w:numId w:val="33"/>
        </w:numPr>
        <w:spacing w:before="240"/>
        <w:ind w:left="1134"/>
      </w:pPr>
      <w:bookmarkStart w:id="405" w:name="_Toc487742059"/>
      <w:bookmarkStart w:id="406" w:name="_Toc14172290"/>
      <w:bookmarkStart w:id="407" w:name="_Toc55381154"/>
      <w:bookmarkStart w:id="408" w:name="_Toc100263360"/>
      <w:bookmarkStart w:id="409" w:name="_Toc156569663"/>
      <w:r>
        <w:t xml:space="preserve">Calculating </w:t>
      </w:r>
      <w:r w:rsidR="00CF7683">
        <w:t>h</w:t>
      </w:r>
      <w:r>
        <w:t xml:space="preserve">ome </w:t>
      </w:r>
      <w:r w:rsidR="00CF7683">
        <w:t xml:space="preserve">dialysis funding </w:t>
      </w:r>
      <w:bookmarkEnd w:id="405"/>
      <w:bookmarkEnd w:id="406"/>
      <w:bookmarkEnd w:id="407"/>
      <w:bookmarkEnd w:id="408"/>
      <w:r w:rsidR="00CF7683">
        <w:t>recall</w:t>
      </w:r>
      <w:bookmarkEnd w:id="409"/>
    </w:p>
    <w:p w14:paraId="68C8E7F7" w14:textId="77777777" w:rsidR="003D51BE" w:rsidRPr="00AC7D3A" w:rsidRDefault="003D51BE" w:rsidP="003D51BE">
      <w:pPr>
        <w:pStyle w:val="Body"/>
      </w:pPr>
      <w:r w:rsidRPr="00AC7D3A">
        <w:t>Funding adjustments are calculated as follows</w:t>
      </w:r>
      <w:r>
        <w:t>.</w:t>
      </w:r>
    </w:p>
    <w:p w14:paraId="5F3F92D6" w14:textId="77777777" w:rsidR="00B954BC" w:rsidRDefault="00B954BC" w:rsidP="00B954BC">
      <w:pPr>
        <w:pStyle w:val="Bodyaftertablefigure"/>
        <w:rPr>
          <w:b/>
          <w:bCs/>
        </w:rPr>
      </w:pPr>
      <w:bookmarkStart w:id="410" w:name="_Toc452819097"/>
      <w:bookmarkStart w:id="411" w:name="_Toc452822067"/>
      <w:bookmarkStart w:id="412" w:name="_Toc452819098"/>
      <w:bookmarkStart w:id="413" w:name="_Toc452822068"/>
      <w:bookmarkStart w:id="414" w:name="_Toc452819099"/>
      <w:bookmarkStart w:id="415" w:name="_Toc452822069"/>
      <w:bookmarkStart w:id="416" w:name="_Toc452819100"/>
      <w:bookmarkStart w:id="417" w:name="_Toc452822070"/>
      <w:bookmarkStart w:id="418" w:name="_Toc452819101"/>
      <w:bookmarkStart w:id="419" w:name="_Toc452822071"/>
      <w:bookmarkStart w:id="420" w:name="_Toc452819102"/>
      <w:bookmarkStart w:id="421" w:name="_Toc452822072"/>
      <w:bookmarkStart w:id="422" w:name="_Toc452819103"/>
      <w:bookmarkStart w:id="423" w:name="_Toc452822073"/>
      <w:bookmarkStart w:id="424" w:name="_Toc452819104"/>
      <w:bookmarkStart w:id="425" w:name="_Toc452822074"/>
      <w:bookmarkStart w:id="426" w:name="_Toc452819105"/>
      <w:bookmarkStart w:id="427" w:name="_Toc452822075"/>
      <w:bookmarkStart w:id="428" w:name="_Toc452819106"/>
      <w:bookmarkStart w:id="429" w:name="_Toc452822076"/>
      <w:bookmarkStart w:id="430" w:name="_Toc452819107"/>
      <w:bookmarkStart w:id="431" w:name="_Toc452822077"/>
      <w:bookmarkStart w:id="432" w:name="_Toc452819108"/>
      <w:bookmarkStart w:id="433" w:name="_Toc452822078"/>
      <w:bookmarkStart w:id="434" w:name="_Toc452819109"/>
      <w:bookmarkStart w:id="435" w:name="_Toc452822079"/>
      <w:bookmarkStart w:id="436" w:name="_Toc452819110"/>
      <w:bookmarkStart w:id="437" w:name="_Toc452822080"/>
      <w:bookmarkStart w:id="438" w:name="_Toc452819111"/>
      <w:bookmarkStart w:id="439" w:name="_Toc452822081"/>
      <w:bookmarkStart w:id="440" w:name="_Toc452819112"/>
      <w:bookmarkStart w:id="441" w:name="_Toc452822082"/>
      <w:bookmarkStart w:id="442" w:name="_Toc484327540"/>
      <w:bookmarkStart w:id="443" w:name="_Toc484327542"/>
      <w:bookmarkStart w:id="444" w:name="_Toc484327544"/>
      <w:bookmarkStart w:id="445" w:name="_Toc484327545"/>
      <w:bookmarkStart w:id="446" w:name="_Toc484327547"/>
      <w:bookmarkStart w:id="447" w:name="_Toc487742060"/>
      <w:bookmarkStart w:id="448" w:name="_Toc14172291"/>
      <w:bookmarkStart w:id="449" w:name="_Toc55381155"/>
      <w:bookmarkStart w:id="450" w:name="_Toc100263361"/>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17A1FEF1">
        <w:rPr>
          <w:b/>
          <w:bCs/>
        </w:rPr>
        <w:t>Step 1: Calculate the over or under-activity.</w:t>
      </w:r>
    </w:p>
    <w:p w14:paraId="0648E3D7" w14:textId="77777777" w:rsidR="007C6C78" w:rsidRDefault="00B954BC" w:rsidP="00B954BC">
      <w:pPr>
        <w:pStyle w:val="Bodyaftertablefigure"/>
      </w:pPr>
      <w:r>
        <w:t>Calculate the over- or under-activity</w:t>
      </w:r>
      <w:r w:rsidRPr="17A1FEF1">
        <w:rPr>
          <w:b/>
          <w:bCs/>
        </w:rPr>
        <w:t xml:space="preserve"> </w:t>
      </w:r>
      <w:r>
        <w:t>by subtracting the total full-year target from total full-year activity.</w:t>
      </w:r>
    </w:p>
    <w:p w14:paraId="24F0FDC0" w14:textId="08DC4B7E" w:rsidR="00B954BC" w:rsidRPr="00631BCD" w:rsidRDefault="00B954BC" w:rsidP="00B954BC">
      <w:pPr>
        <w:pStyle w:val="Bodyaftertablefigure"/>
      </w:pPr>
      <w:r w:rsidRPr="00631BCD">
        <w:rPr>
          <w:b/>
          <w:bCs/>
        </w:rPr>
        <w:t xml:space="preserve">Step </w:t>
      </w:r>
      <w:r w:rsidRPr="17A1FEF1">
        <w:rPr>
          <w:b/>
          <w:bCs/>
        </w:rPr>
        <w:t>2:</w:t>
      </w:r>
      <w:r w:rsidRPr="00631BCD">
        <w:rPr>
          <w:b/>
          <w:bCs/>
        </w:rPr>
        <w:t xml:space="preserve"> Calculate the amount of funding to be recalled or paid.</w:t>
      </w:r>
    </w:p>
    <w:p w14:paraId="4C4378B4" w14:textId="77777777" w:rsidR="00B954BC" w:rsidRDefault="00B954BC" w:rsidP="00B954BC">
      <w:pPr>
        <w:pStyle w:val="Body"/>
      </w:pPr>
      <w:r>
        <w:t>Calculate the amount of funding to be recalled (health service liability to the department) or paid (department liability to the health service) by multiplying the variance calculated in step 2 by the unit rate.</w:t>
      </w:r>
    </w:p>
    <w:p w14:paraId="167812FE" w14:textId="58ABBB35" w:rsidR="003D51BE" w:rsidRDefault="003D51BE" w:rsidP="00081936">
      <w:pPr>
        <w:pStyle w:val="Heading3"/>
        <w:numPr>
          <w:ilvl w:val="2"/>
          <w:numId w:val="33"/>
        </w:numPr>
        <w:spacing w:before="240"/>
        <w:ind w:left="1134"/>
      </w:pPr>
      <w:bookmarkStart w:id="451" w:name="_Toc156569664"/>
      <w:r>
        <w:t xml:space="preserve">Calculating </w:t>
      </w:r>
      <w:r w:rsidR="006B28FD">
        <w:t xml:space="preserve">total </w:t>
      </w:r>
      <w:r w:rsidR="00A05425">
        <w:t xml:space="preserve">parenteral </w:t>
      </w:r>
      <w:r w:rsidR="006B28FD">
        <w:t>nutrition recall</w:t>
      </w:r>
      <w:bookmarkEnd w:id="447"/>
      <w:bookmarkEnd w:id="448"/>
      <w:bookmarkEnd w:id="449"/>
      <w:bookmarkEnd w:id="450"/>
      <w:bookmarkEnd w:id="451"/>
    </w:p>
    <w:p w14:paraId="177D462F" w14:textId="77777777" w:rsidR="003D51BE" w:rsidRPr="00AC7D3A" w:rsidRDefault="003D51BE" w:rsidP="003D51BE">
      <w:pPr>
        <w:pStyle w:val="Body"/>
      </w:pPr>
      <w:r w:rsidRPr="00AC7D3A">
        <w:t>Funding adjustments are calculated as follows</w:t>
      </w:r>
      <w:r>
        <w:t>.</w:t>
      </w:r>
    </w:p>
    <w:p w14:paraId="78821BDE" w14:textId="7677944F" w:rsidR="003D51BE" w:rsidRPr="00631BCD" w:rsidRDefault="003D51BE" w:rsidP="00685B35">
      <w:pPr>
        <w:pStyle w:val="Bodyaftertablefigure"/>
        <w:keepNext/>
        <w:keepLines/>
      </w:pPr>
      <w:r w:rsidRPr="00631BCD">
        <w:rPr>
          <w:b/>
          <w:bCs/>
        </w:rPr>
        <w:t xml:space="preserve">Step </w:t>
      </w:r>
      <w:r w:rsidR="00FD137F">
        <w:rPr>
          <w:b/>
          <w:bCs/>
        </w:rPr>
        <w:t>1</w:t>
      </w:r>
      <w:r w:rsidRPr="00631BCD">
        <w:rPr>
          <w:b/>
          <w:bCs/>
        </w:rPr>
        <w:t>: Calculate the over or under</w:t>
      </w:r>
      <w:r>
        <w:rPr>
          <w:b/>
          <w:bCs/>
        </w:rPr>
        <w:t>-</w:t>
      </w:r>
      <w:r w:rsidRPr="00631BCD">
        <w:rPr>
          <w:b/>
          <w:bCs/>
        </w:rPr>
        <w:t>activity.</w:t>
      </w:r>
    </w:p>
    <w:p w14:paraId="348AC09E" w14:textId="77777777" w:rsidR="009D5C16" w:rsidRDefault="009D5C16" w:rsidP="009D5C16">
      <w:pPr>
        <w:pStyle w:val="Body"/>
      </w:pPr>
      <w:r>
        <w:t>Calculate the over- or under-activity</w:t>
      </w:r>
      <w:r w:rsidRPr="17A1FEF1">
        <w:rPr>
          <w:b/>
          <w:bCs/>
        </w:rPr>
        <w:t xml:space="preserve"> </w:t>
      </w:r>
      <w:r>
        <w:t>by subtracting the total full-year target from total full-year activity.</w:t>
      </w:r>
    </w:p>
    <w:p w14:paraId="299D8A5B" w14:textId="77777777" w:rsidR="003D51BE" w:rsidRPr="0039197F" w:rsidRDefault="003D51BE" w:rsidP="003D51BE">
      <w:pPr>
        <w:pStyle w:val="Body"/>
      </w:pPr>
      <w:r>
        <w:t>A negative variance indicates that the average activity is less than the funded target (under-performance), and a positive variance indicates that activity is greater than the funded performance (over-activity).</w:t>
      </w:r>
    </w:p>
    <w:p w14:paraId="1BD19024" w14:textId="1565C797" w:rsidR="003D51BE" w:rsidRPr="00631BCD" w:rsidRDefault="003D51BE" w:rsidP="003D51BE">
      <w:pPr>
        <w:pStyle w:val="Bodyaftertablefigure"/>
      </w:pPr>
      <w:r w:rsidRPr="00631BCD">
        <w:rPr>
          <w:b/>
          <w:bCs/>
        </w:rPr>
        <w:t xml:space="preserve">Step </w:t>
      </w:r>
      <w:r w:rsidR="009D5C16">
        <w:rPr>
          <w:b/>
          <w:bCs/>
        </w:rPr>
        <w:t>2</w:t>
      </w:r>
      <w:r w:rsidRPr="00631BCD">
        <w:rPr>
          <w:b/>
          <w:bCs/>
        </w:rPr>
        <w:t>: Calculate the amount of funding to be recalled or paid.</w:t>
      </w:r>
    </w:p>
    <w:p w14:paraId="519368B4" w14:textId="77777777" w:rsidR="003D51BE" w:rsidRDefault="003D51BE" w:rsidP="003D51BE">
      <w:pPr>
        <w:pStyle w:val="Body"/>
      </w:pPr>
      <w:r>
        <w:t>Calculate the amount of funding to be recalled (health service liability to the department) or paid (department liability to the health service) by multiplying the variance calculated in step 2 by the NWAU unit rate.</w:t>
      </w:r>
    </w:p>
    <w:p w14:paraId="1F24A100" w14:textId="363E00AE" w:rsidR="003D51BE" w:rsidRDefault="003D51BE" w:rsidP="00081936">
      <w:pPr>
        <w:pStyle w:val="Heading3"/>
        <w:numPr>
          <w:ilvl w:val="2"/>
          <w:numId w:val="33"/>
        </w:numPr>
        <w:spacing w:before="240"/>
        <w:ind w:left="1134"/>
      </w:pPr>
      <w:bookmarkStart w:id="452" w:name="_Toc487742061"/>
      <w:bookmarkStart w:id="453" w:name="_Toc14172292"/>
      <w:bookmarkStart w:id="454" w:name="_Toc55381156"/>
      <w:bookmarkStart w:id="455" w:name="_Toc100263362"/>
      <w:bookmarkStart w:id="456" w:name="_Toc156569665"/>
      <w:r>
        <w:t xml:space="preserve">Calculating </w:t>
      </w:r>
      <w:r w:rsidR="006B28FD">
        <w:t>home enteral nutrition recall</w:t>
      </w:r>
      <w:bookmarkEnd w:id="452"/>
      <w:bookmarkEnd w:id="453"/>
      <w:bookmarkEnd w:id="454"/>
      <w:bookmarkEnd w:id="455"/>
      <w:bookmarkEnd w:id="456"/>
    </w:p>
    <w:p w14:paraId="5B414E25" w14:textId="77777777" w:rsidR="003D51BE" w:rsidRPr="00AC7D3A" w:rsidRDefault="003D51BE" w:rsidP="003D51BE">
      <w:pPr>
        <w:pStyle w:val="Body"/>
      </w:pPr>
      <w:r w:rsidRPr="00AC7D3A">
        <w:t>Funding adjustments are calculated as follows</w:t>
      </w:r>
      <w:r>
        <w:t>.</w:t>
      </w:r>
    </w:p>
    <w:p w14:paraId="2232D2E9" w14:textId="77777777" w:rsidR="00C300D8" w:rsidRDefault="00C300D8" w:rsidP="00C300D8">
      <w:pPr>
        <w:pStyle w:val="Bodyaftertablefigure"/>
        <w:rPr>
          <w:b/>
          <w:bCs/>
        </w:rPr>
      </w:pPr>
      <w:r w:rsidRPr="00631BCD">
        <w:rPr>
          <w:b/>
          <w:bCs/>
        </w:rPr>
        <w:t xml:space="preserve">Step </w:t>
      </w:r>
      <w:r w:rsidRPr="17A1FEF1">
        <w:rPr>
          <w:b/>
          <w:bCs/>
        </w:rPr>
        <w:t>1: Calculate the over or under-activity.</w:t>
      </w:r>
    </w:p>
    <w:p w14:paraId="616EF55F" w14:textId="62E69E86" w:rsidR="009C4D56" w:rsidRDefault="00C300D8" w:rsidP="00C300D8">
      <w:pPr>
        <w:pStyle w:val="Body"/>
      </w:pPr>
      <w:r>
        <w:lastRenderedPageBreak/>
        <w:t>Calculate the over- or under-activity</w:t>
      </w:r>
      <w:r w:rsidRPr="17A1FEF1">
        <w:rPr>
          <w:b/>
          <w:bCs/>
        </w:rPr>
        <w:t xml:space="preserve"> </w:t>
      </w:r>
      <w:r>
        <w:t>by subtracting the total full-year target from total full-year activity.</w:t>
      </w:r>
    </w:p>
    <w:p w14:paraId="402FD536" w14:textId="77777777" w:rsidR="009C4D56" w:rsidRPr="00631BCD" w:rsidRDefault="009C4D56" w:rsidP="009C4D56">
      <w:pPr>
        <w:pStyle w:val="Bodyaftertablefigure"/>
      </w:pPr>
      <w:r w:rsidRPr="17A1FEF1">
        <w:rPr>
          <w:b/>
          <w:bCs/>
        </w:rPr>
        <w:t>Step 2</w:t>
      </w:r>
      <w:r w:rsidRPr="00631BCD">
        <w:rPr>
          <w:b/>
          <w:bCs/>
        </w:rPr>
        <w:t>: Calculate the amount of funding to be recalled or paid.</w:t>
      </w:r>
    </w:p>
    <w:p w14:paraId="06133D55" w14:textId="53B0EA89" w:rsidR="009C4D56" w:rsidRDefault="009C4D56" w:rsidP="009C4D56">
      <w:pPr>
        <w:pStyle w:val="Body"/>
      </w:pPr>
      <w:r>
        <w:t>Calculate the amount of funding to be recalled (health service liability to the department) or paid (department liability to the health service) by multiplying the variance calculated in step 2 by the unit rate.</w:t>
      </w:r>
    </w:p>
    <w:p w14:paraId="5E1F2254" w14:textId="0C2985C8" w:rsidR="009C4D56" w:rsidRDefault="009C4D56" w:rsidP="00C300D8">
      <w:pPr>
        <w:pStyle w:val="Body"/>
        <w:sectPr w:rsidR="009C4D56" w:rsidSect="00482D0F">
          <w:footerReference w:type="even" r:id="rId69"/>
          <w:pgSz w:w="11906" w:h="16838" w:code="9"/>
          <w:pgMar w:top="1134" w:right="1304" w:bottom="1021" w:left="1304" w:header="680" w:footer="567" w:gutter="0"/>
          <w:cols w:space="340"/>
          <w:docGrid w:linePitch="360"/>
        </w:sectPr>
      </w:pPr>
    </w:p>
    <w:p w14:paraId="6419C0CB" w14:textId="7649FE26" w:rsidR="000B27B9" w:rsidRDefault="5F235F04" w:rsidP="00685B35">
      <w:pPr>
        <w:pStyle w:val="Heading2"/>
      </w:pPr>
      <w:bookmarkStart w:id="457" w:name="_Toc52892601"/>
      <w:bookmarkStart w:id="458" w:name="_Toc100263334"/>
      <w:bookmarkStart w:id="459" w:name="_Toc156569666"/>
      <w:bookmarkEnd w:id="335"/>
      <w:bookmarkEnd w:id="336"/>
      <w:bookmarkEnd w:id="337"/>
      <w:bookmarkEnd w:id="338"/>
      <w:bookmarkEnd w:id="339"/>
      <w:bookmarkEnd w:id="340"/>
      <w:bookmarkEnd w:id="341"/>
      <w:bookmarkEnd w:id="379"/>
      <w:r>
        <w:lastRenderedPageBreak/>
        <w:t xml:space="preserve">Funding for </w:t>
      </w:r>
      <w:r w:rsidR="006B28FD">
        <w:t>interstate and international patients</w:t>
      </w:r>
      <w:bookmarkEnd w:id="457"/>
      <w:bookmarkEnd w:id="458"/>
      <w:bookmarkEnd w:id="459"/>
    </w:p>
    <w:p w14:paraId="4B060848" w14:textId="1ABD85B2" w:rsidR="000B27B9" w:rsidRDefault="000B27B9" w:rsidP="00081936">
      <w:pPr>
        <w:pStyle w:val="Heading3"/>
        <w:numPr>
          <w:ilvl w:val="2"/>
          <w:numId w:val="33"/>
        </w:numPr>
        <w:spacing w:before="240"/>
        <w:ind w:left="1134"/>
      </w:pPr>
      <w:bookmarkStart w:id="460" w:name="_Toc418694977"/>
      <w:bookmarkStart w:id="461" w:name="_Toc6215631"/>
      <w:bookmarkStart w:id="462" w:name="_Toc10199704"/>
      <w:bookmarkStart w:id="463" w:name="_Toc52892602"/>
      <w:bookmarkStart w:id="464" w:name="_Toc100263335"/>
      <w:bookmarkStart w:id="465" w:name="_Toc156569667"/>
      <w:r>
        <w:t xml:space="preserve">Compensable </w:t>
      </w:r>
      <w:bookmarkEnd w:id="460"/>
      <w:bookmarkEnd w:id="461"/>
      <w:bookmarkEnd w:id="462"/>
      <w:bookmarkEnd w:id="463"/>
      <w:bookmarkEnd w:id="464"/>
      <w:r w:rsidR="006B28FD">
        <w:t>patients</w:t>
      </w:r>
      <w:bookmarkEnd w:id="465"/>
    </w:p>
    <w:p w14:paraId="304B50C4" w14:textId="66E3AE02" w:rsidR="00E678A6" w:rsidRDefault="000B27B9" w:rsidP="00081936">
      <w:pPr>
        <w:pStyle w:val="Heading4"/>
        <w:numPr>
          <w:ilvl w:val="3"/>
          <w:numId w:val="33"/>
        </w:numPr>
      </w:pPr>
      <w:bookmarkStart w:id="466" w:name="_Toc418694978"/>
      <w:bookmarkStart w:id="467" w:name="_Ref9932284"/>
      <w:bookmarkStart w:id="468" w:name="_Ref9932289"/>
      <w:r w:rsidRPr="001E7F44">
        <w:t xml:space="preserve">Department of Veterans’ </w:t>
      </w:r>
      <w:bookmarkEnd w:id="466"/>
      <w:bookmarkEnd w:id="467"/>
      <w:bookmarkEnd w:id="468"/>
      <w:r w:rsidR="00E678A6">
        <w:t>Affairs</w:t>
      </w:r>
    </w:p>
    <w:p w14:paraId="745AF3EB" w14:textId="4FCE6BF5" w:rsidR="00E678A6" w:rsidRDefault="00E678A6" w:rsidP="00E678A6">
      <w:pPr>
        <w:pStyle w:val="Body"/>
      </w:pPr>
      <w:r>
        <w:t>In March 2017</w:t>
      </w:r>
      <w:r w:rsidR="007C3555">
        <w:t>,</w:t>
      </w:r>
      <w:r>
        <w:t xml:space="preserve"> the Secretary to the Department of Veterans’ Affairs, delegates from the Military Rehabilitation and Compensation Commission and Repatriation Commission, and the Victorian Minister for Health, signed the Hospital Services Arrangement between the Commonwealth of Australia</w:t>
      </w:r>
      <w:r w:rsidR="3D070B9D">
        <w:t xml:space="preserve">, </w:t>
      </w:r>
      <w:r>
        <w:t>the Repatriation Commission and the Military Rehabilitation and compensation Commission</w:t>
      </w:r>
      <w:r w:rsidR="3D070B9D">
        <w:t>,</w:t>
      </w:r>
      <w:r>
        <w:t xml:space="preserve"> and the State of Victoria. The arrangement implement</w:t>
      </w:r>
      <w:r w:rsidR="3D070B9D">
        <w:t>ed</w:t>
      </w:r>
      <w:r>
        <w:t xml:space="preserve"> a uniform national purchasing arrangement for public hospital services provided to eligible veterans.</w:t>
      </w:r>
    </w:p>
    <w:p w14:paraId="604C6D90" w14:textId="01EA6281" w:rsidR="00E678A6" w:rsidRPr="00546F54" w:rsidRDefault="00E678A6" w:rsidP="00E678A6">
      <w:pPr>
        <w:pStyle w:val="Body"/>
      </w:pPr>
      <w:r w:rsidRPr="00E446BC">
        <w:t xml:space="preserve">The </w:t>
      </w:r>
      <w:r w:rsidRPr="00546F54">
        <w:t xml:space="preserve">arrangement </w:t>
      </w:r>
      <w:r w:rsidR="3D070B9D">
        <w:t>has seen</w:t>
      </w:r>
      <w:r w:rsidRPr="00546F54">
        <w:t xml:space="preserve"> the Department of Veterans’ Affairs pay Victoria according to </w:t>
      </w:r>
      <w:r w:rsidR="006B28FD">
        <w:t>IH</w:t>
      </w:r>
      <w:r w:rsidR="00FD67E2">
        <w:t>AC</w:t>
      </w:r>
      <w:r w:rsidR="006B28FD">
        <w:t>PA</w:t>
      </w:r>
      <w:r w:rsidRPr="00546F54">
        <w:t>’s funding models, with modifications to reflect the contribution that the Department of Veterans’ Affairs makes separately to medical practitioners. As a result of th</w:t>
      </w:r>
      <w:r>
        <w:t>o</w:t>
      </w:r>
      <w:r w:rsidRPr="00546F54">
        <w:t xml:space="preserve">se new funding arrangements, the Department of Veterans’ Affairs </w:t>
      </w:r>
      <w:r>
        <w:t>now</w:t>
      </w:r>
      <w:r w:rsidRPr="00546F54">
        <w:t xml:space="preserve"> pay</w:t>
      </w:r>
      <w:r>
        <w:t>s</w:t>
      </w:r>
      <w:r w:rsidRPr="00546F54">
        <w:t xml:space="preserve"> the department </w:t>
      </w:r>
      <w:r>
        <w:t xml:space="preserve">based on </w:t>
      </w:r>
      <w:r w:rsidRPr="00546F54">
        <w:t xml:space="preserve">the </w:t>
      </w:r>
      <w:r w:rsidR="006B28FD">
        <w:t>NEP</w:t>
      </w:r>
      <w:r w:rsidR="0074176B">
        <w:t xml:space="preserve"> </w:t>
      </w:r>
      <w:r>
        <w:t>on an NWAU basis</w:t>
      </w:r>
      <w:r w:rsidR="00B52718">
        <w:t>.</w:t>
      </w:r>
    </w:p>
    <w:p w14:paraId="6F141C6E" w14:textId="77777777" w:rsidR="00E678A6" w:rsidRDefault="00E678A6" w:rsidP="00E678A6">
      <w:pPr>
        <w:pStyle w:val="Body"/>
      </w:pPr>
      <w:r>
        <w:t>Funding for admitted acute and subacute services will continue to be paid to actuals, while the funding for emergency departments, acute non-admitted services and the Health Independence Program will continue to be provided on a block basis, with the available revenue from</w:t>
      </w:r>
      <w:r w:rsidRPr="453891C7">
        <w:t xml:space="preserve"> </w:t>
      </w:r>
      <w:r>
        <w:t>Department of Veterans’ Affairs allocated based on a health service’s share of the total weighted activity.</w:t>
      </w:r>
    </w:p>
    <w:p w14:paraId="7193901C" w14:textId="483913E1" w:rsidR="00ED32DF" w:rsidRPr="00AF169A" w:rsidRDefault="00ED32DF" w:rsidP="00CE39B6">
      <w:pPr>
        <w:pStyle w:val="Heading5"/>
        <w:numPr>
          <w:ilvl w:val="0"/>
          <w:numId w:val="0"/>
        </w:numPr>
        <w:ind w:left="964" w:hanging="964"/>
      </w:pPr>
      <w:r>
        <w:t xml:space="preserve">Department of Veterans’ Affairs </w:t>
      </w:r>
      <w:r w:rsidR="009F04A4">
        <w:t>patients</w:t>
      </w:r>
    </w:p>
    <w:p w14:paraId="450C6E98" w14:textId="5C10940F" w:rsidR="000C621B" w:rsidRDefault="00E36220" w:rsidP="00ED32DF">
      <w:pPr>
        <w:pStyle w:val="Body"/>
      </w:pPr>
      <w:r>
        <w:t xml:space="preserve">The Department of Veterans’ Affairs </w:t>
      </w:r>
      <w:r w:rsidR="006315B9">
        <w:t xml:space="preserve">Hospital Services Arrangements is an intergovernmental agreement between </w:t>
      </w:r>
      <w:r w:rsidR="00133EF1">
        <w:t>Victoria and the Commonwealth</w:t>
      </w:r>
      <w:r w:rsidR="006315B9">
        <w:t xml:space="preserve">. The current agreement is in effect </w:t>
      </w:r>
      <w:r w:rsidR="00A2097F">
        <w:t>from 1</w:t>
      </w:r>
      <w:r w:rsidR="006315B9">
        <w:t> </w:t>
      </w:r>
      <w:r w:rsidR="00A2097F">
        <w:t>July</w:t>
      </w:r>
      <w:r w:rsidR="006315B9">
        <w:t> </w:t>
      </w:r>
      <w:r w:rsidR="00A2097F">
        <w:t xml:space="preserve">2019 to </w:t>
      </w:r>
      <w:r w:rsidR="00654CE3">
        <w:t>30 June 202</w:t>
      </w:r>
      <w:r w:rsidR="00C834A3">
        <w:t>4</w:t>
      </w:r>
      <w:r w:rsidR="00A2097F">
        <w:t xml:space="preserve"> </w:t>
      </w:r>
      <w:r w:rsidR="006315B9">
        <w:t xml:space="preserve">and sets out </w:t>
      </w:r>
      <w:r w:rsidR="00A2097F">
        <w:t xml:space="preserve">arrangements </w:t>
      </w:r>
      <w:r w:rsidR="00352EC1">
        <w:t xml:space="preserve">for </w:t>
      </w:r>
      <w:r w:rsidR="006315B9">
        <w:t xml:space="preserve">provision of hospital services to </w:t>
      </w:r>
      <w:r w:rsidR="00352EC1">
        <w:t>eligible patients who elect to be treated under</w:t>
      </w:r>
      <w:r w:rsidR="006315B9">
        <w:t xml:space="preserve"> their</w:t>
      </w:r>
      <w:r w:rsidR="00352EC1">
        <w:t xml:space="preserve"> </w:t>
      </w:r>
      <w:r w:rsidR="00A2097F">
        <w:t xml:space="preserve">Department of Veterans’ Affairs </w:t>
      </w:r>
      <w:r w:rsidR="00EA0C08">
        <w:t>entitlements</w:t>
      </w:r>
      <w:r w:rsidR="00A2097F">
        <w:t>.</w:t>
      </w:r>
    </w:p>
    <w:p w14:paraId="08FB90C4" w14:textId="77777777" w:rsidR="000B27B9" w:rsidRPr="00D17F68" w:rsidRDefault="000B27B9" w:rsidP="00CE39B6">
      <w:pPr>
        <w:pStyle w:val="Heading5"/>
        <w:numPr>
          <w:ilvl w:val="0"/>
          <w:numId w:val="0"/>
        </w:numPr>
        <w:ind w:left="964" w:hanging="964"/>
      </w:pPr>
      <w:r w:rsidRPr="00D17F68">
        <w:t>Eligibility</w:t>
      </w:r>
    </w:p>
    <w:p w14:paraId="35ED76FC" w14:textId="730073E8" w:rsidR="000B27B9" w:rsidRDefault="000B27B9" w:rsidP="00B92CD4">
      <w:pPr>
        <w:pStyle w:val="Body"/>
      </w:pPr>
      <w:r>
        <w:t>Eligible veterans and war widows or widowers have access to a wide range of benefits and services through the Department of Veterans’ Affairs</w:t>
      </w:r>
      <w:r w:rsidR="006B28FD">
        <w:t>.</w:t>
      </w:r>
      <w:r>
        <w:t xml:space="preserve"> </w:t>
      </w:r>
      <w:r w:rsidR="006B28FD">
        <w:t xml:space="preserve">These include </w:t>
      </w:r>
      <w:r>
        <w:t>hospital</w:t>
      </w:r>
      <w:r w:rsidR="006B28FD">
        <w:t xml:space="preserve">, </w:t>
      </w:r>
      <w:r>
        <w:t>medical and allied health services</w:t>
      </w:r>
      <w:r w:rsidR="006B28FD">
        <w:t xml:space="preserve">, </w:t>
      </w:r>
      <w:r>
        <w:t>respite and convalescent care</w:t>
      </w:r>
      <w:r w:rsidR="006B28FD">
        <w:t xml:space="preserve">, </w:t>
      </w:r>
      <w:r>
        <w:t>rehabilitation aids and appliances</w:t>
      </w:r>
      <w:r w:rsidR="006B28FD">
        <w:t xml:space="preserve">, </w:t>
      </w:r>
      <w:r>
        <w:t>and assistance with transport and accommodation.</w:t>
      </w:r>
    </w:p>
    <w:p w14:paraId="71FA7BD5" w14:textId="77777777" w:rsidR="000B27B9" w:rsidRDefault="000B27B9" w:rsidP="00B92CD4">
      <w:pPr>
        <w:pStyle w:val="Body"/>
      </w:pPr>
      <w:r>
        <w:t>Organisations must ensure that patients formally elect to be treated as a veteran at each admission and that they collect and provide to the department the eligible veteran’s name, their Department of Veterans’ Affairs unique identifier, their date of birth and their sex. Final payment will only be authorised after the veteran’s eligibility has been confirmed by the Department of Veterans’ Affairs.</w:t>
      </w:r>
    </w:p>
    <w:p w14:paraId="316D95DD" w14:textId="77777777" w:rsidR="000B27B9" w:rsidRDefault="000B27B9" w:rsidP="00B92CD4">
      <w:pPr>
        <w:pStyle w:val="Body"/>
      </w:pPr>
      <w:r>
        <w:t>Eligible veterans will not be covered under the Department of Veterans’ Affairs arrangement if they:</w:t>
      </w:r>
    </w:p>
    <w:p w14:paraId="541AFFF3" w14:textId="77777777" w:rsidR="000B27B9" w:rsidRPr="0074176B" w:rsidRDefault="0A1BEBA3" w:rsidP="00D27448">
      <w:pPr>
        <w:pStyle w:val="Bullet1"/>
      </w:pPr>
      <w:r>
        <w:t>do not elect to be treated as a Department of Veterans’ Affairs’ patient</w:t>
      </w:r>
    </w:p>
    <w:p w14:paraId="2AD9DDC0" w14:textId="77777777" w:rsidR="000B27B9" w:rsidRPr="0074176B" w:rsidRDefault="0A1BEBA3" w:rsidP="00D27448">
      <w:pPr>
        <w:pStyle w:val="Bullet1"/>
      </w:pPr>
      <w:r>
        <w:t>elect to be treated as a public patient</w:t>
      </w:r>
    </w:p>
    <w:p w14:paraId="031CEBBD" w14:textId="77777777" w:rsidR="000B27B9" w:rsidRPr="0074176B" w:rsidRDefault="0A1BEBA3" w:rsidP="00D27448">
      <w:pPr>
        <w:pStyle w:val="Bullet1"/>
      </w:pPr>
      <w:r>
        <w:t xml:space="preserve">are </w:t>
      </w:r>
      <w:r w:rsidR="615E6A76">
        <w:t>eligible under</w:t>
      </w:r>
      <w:r>
        <w:t xml:space="preserve"> another category of compensable patient, such as a </w:t>
      </w:r>
      <w:r w:rsidR="615E6A76">
        <w:t xml:space="preserve">Traffic Accident Commission </w:t>
      </w:r>
      <w:r>
        <w:t xml:space="preserve">or Victorian WorkCover Authority </w:t>
      </w:r>
    </w:p>
    <w:p w14:paraId="078C7519" w14:textId="77777777" w:rsidR="000B27B9" w:rsidRPr="0074176B" w:rsidRDefault="0A1BEBA3" w:rsidP="00D27448">
      <w:pPr>
        <w:pStyle w:val="Bullet1"/>
      </w:pPr>
      <w:r>
        <w:t xml:space="preserve">elect to </w:t>
      </w:r>
      <w:r w:rsidR="615E6A76">
        <w:t>be treated as a private patient</w:t>
      </w:r>
      <w:r>
        <w:t>.</w:t>
      </w:r>
    </w:p>
    <w:p w14:paraId="327505D8" w14:textId="5CB64248" w:rsidR="000B27B9" w:rsidRDefault="000B27B9" w:rsidP="00B92CD4">
      <w:pPr>
        <w:pStyle w:val="Bodyafterbullets"/>
      </w:pPr>
      <w:r>
        <w:lastRenderedPageBreak/>
        <w:t xml:space="preserve">Health services will need to retrospectively reclassify patients as public patients </w:t>
      </w:r>
      <w:r w:rsidR="003B3F70">
        <w:t>if</w:t>
      </w:r>
      <w:r>
        <w:t xml:space="preserve"> Department of Veterans’ Affairs eligibility criteria are not met</w:t>
      </w:r>
      <w:r w:rsidR="003B3F70">
        <w:t xml:space="preserve">. They will then need to </w:t>
      </w:r>
      <w:r>
        <w:t>resubmit the rejected records to the department. The department will not accept any risk for assumed revenue lost because Department of Veterans’ Affairs eligibility requirements have not been met.</w:t>
      </w:r>
    </w:p>
    <w:p w14:paraId="4E6DFE0F" w14:textId="5719BA2B" w:rsidR="000B27B9" w:rsidRDefault="000B27B9" w:rsidP="00B92CD4">
      <w:pPr>
        <w:pStyle w:val="Body"/>
      </w:pPr>
      <w:r>
        <w:t xml:space="preserve">Experience </w:t>
      </w:r>
      <w:r w:rsidR="003B3F70">
        <w:t>shows</w:t>
      </w:r>
      <w:r>
        <w:t xml:space="preserve"> that those health services that actively develop service quality and marketing plans and employ veteran or patient liaison officers are more likely to retain Department of Veterans’ Affairs patients.</w:t>
      </w:r>
    </w:p>
    <w:p w14:paraId="6CB864CB" w14:textId="764363FA" w:rsidR="000B27B9" w:rsidRDefault="000B27B9" w:rsidP="00CE39B6">
      <w:pPr>
        <w:pStyle w:val="Heading5"/>
        <w:numPr>
          <w:ilvl w:val="0"/>
          <w:numId w:val="0"/>
        </w:numPr>
        <w:ind w:left="964" w:hanging="964"/>
      </w:pPr>
      <w:r>
        <w:t xml:space="preserve">Admission </w:t>
      </w:r>
      <w:r w:rsidR="009F04A4">
        <w:t>requirements</w:t>
      </w:r>
    </w:p>
    <w:p w14:paraId="78FFB215" w14:textId="77777777" w:rsidR="000B27B9" w:rsidRDefault="000B27B9" w:rsidP="00B92CD4">
      <w:pPr>
        <w:pStyle w:val="Body"/>
      </w:pPr>
      <w:r w:rsidRPr="004B0AC8">
        <w:t xml:space="preserve">Within two days of admission to hospital, health services should complete a </w:t>
      </w:r>
      <w:r w:rsidRPr="00C956A4">
        <w:t>Department of Veterans’ Affairs</w:t>
      </w:r>
      <w:r w:rsidRPr="004B0AC8">
        <w:t xml:space="preserve"> Hospital Admission Voucher (or form </w:t>
      </w:r>
      <w:r>
        <w:t>that</w:t>
      </w:r>
      <w:r w:rsidRPr="004B0AC8">
        <w:t xml:space="preserve"> captures equivalent information) for each admitted </w:t>
      </w:r>
      <w:r>
        <w:t>eligible veteran</w:t>
      </w:r>
      <w:r w:rsidRPr="004B0AC8">
        <w:t xml:space="preserve">. Health services should ensure that the admission of </w:t>
      </w:r>
      <w:r>
        <w:t xml:space="preserve">eligible veterans </w:t>
      </w:r>
      <w:r w:rsidRPr="004B0AC8">
        <w:t>is in accordance with Victoria’s admission policy and other relevant policies and procedures.</w:t>
      </w:r>
    </w:p>
    <w:p w14:paraId="045FD707" w14:textId="77777777" w:rsidR="000B27B9" w:rsidRDefault="000B27B9" w:rsidP="00B92CD4">
      <w:pPr>
        <w:pStyle w:val="Body"/>
      </w:pPr>
      <w:r>
        <w:t>Eligible veterans will continue to be provided public health services on a private patient basis, which entitles them to a minimum of:</w:t>
      </w:r>
    </w:p>
    <w:p w14:paraId="6BC8E3B5" w14:textId="77777777" w:rsidR="000B27B9" w:rsidRDefault="0A1BEBA3" w:rsidP="00E05C4E">
      <w:pPr>
        <w:pStyle w:val="Bullet1"/>
      </w:pPr>
      <w:r>
        <w:t>choice of doctor (subject to the doctor having rights of private practice)</w:t>
      </w:r>
    </w:p>
    <w:p w14:paraId="14D4917D" w14:textId="77777777" w:rsidR="000B27B9" w:rsidRDefault="0A1BEBA3" w:rsidP="00E05C4E">
      <w:pPr>
        <w:pStyle w:val="Bullet1"/>
      </w:pPr>
      <w:r>
        <w:t>shared accommodation</w:t>
      </w:r>
    </w:p>
    <w:p w14:paraId="39DE3044" w14:textId="77777777" w:rsidR="000B27B9" w:rsidRDefault="0A1BEBA3" w:rsidP="00E05C4E">
      <w:pPr>
        <w:pStyle w:val="Bullet1"/>
      </w:pPr>
      <w:r>
        <w:t>if medically necessary, private accommodation</w:t>
      </w:r>
    </w:p>
    <w:p w14:paraId="1BEE81F6" w14:textId="77777777" w:rsidR="000B27B9" w:rsidRDefault="0A1BEBA3" w:rsidP="00E05C4E">
      <w:pPr>
        <w:pStyle w:val="Bullet1"/>
      </w:pPr>
      <w:r>
        <w:t>private accommodation, if available, where the patient or their private health insurer agrees to pay the difference between the shared and private accommodation.</w:t>
      </w:r>
    </w:p>
    <w:p w14:paraId="27FC8B5E" w14:textId="125F55D3" w:rsidR="000B27B9" w:rsidRPr="00CA47B9" w:rsidRDefault="000B27B9" w:rsidP="00B92CD4">
      <w:pPr>
        <w:pStyle w:val="Bodyafterbullets"/>
      </w:pPr>
      <w:r>
        <w:t xml:space="preserve">Eligible veterans </w:t>
      </w:r>
      <w:r w:rsidR="003B3F70">
        <w:t>can</w:t>
      </w:r>
      <w:r>
        <w:t xml:space="preserve"> access convalescent care or respite care in public health services following an acute or subacute stay without the need for financial authorisation from Department of Veterans’ Affairs.</w:t>
      </w:r>
    </w:p>
    <w:p w14:paraId="1E7B5630" w14:textId="77777777" w:rsidR="000B27B9" w:rsidRDefault="000B27B9" w:rsidP="00CE39B6">
      <w:pPr>
        <w:pStyle w:val="Heading5"/>
        <w:numPr>
          <w:ilvl w:val="0"/>
          <w:numId w:val="0"/>
        </w:numPr>
        <w:ind w:left="964" w:hanging="964"/>
      </w:pPr>
      <w:r>
        <w:t>Pharmaceuticals</w:t>
      </w:r>
    </w:p>
    <w:p w14:paraId="7CA63C63" w14:textId="77777777" w:rsidR="000B27B9" w:rsidRDefault="000B27B9" w:rsidP="00B92CD4">
      <w:pPr>
        <w:pStyle w:val="Body"/>
      </w:pPr>
      <w:r>
        <w:t>Health services should ensure medication reviews (including self-management) are completed before discharge by the clinical pharmacist or doctor for patients:</w:t>
      </w:r>
    </w:p>
    <w:p w14:paraId="106790B6" w14:textId="77777777" w:rsidR="000B27B9" w:rsidRDefault="0A1BEBA3" w:rsidP="00E05C4E">
      <w:pPr>
        <w:pStyle w:val="Bullet1"/>
      </w:pPr>
      <w:r>
        <w:t>who require administration of four or more different medications or more than 12 doses of medication daily</w:t>
      </w:r>
    </w:p>
    <w:p w14:paraId="70275B93" w14:textId="77777777" w:rsidR="000B27B9" w:rsidRDefault="0A1BEBA3" w:rsidP="00E05C4E">
      <w:pPr>
        <w:pStyle w:val="Bullet1"/>
      </w:pPr>
      <w:r>
        <w:t>where a change in medication has occurred during the admission</w:t>
      </w:r>
    </w:p>
    <w:p w14:paraId="30F0FEDB" w14:textId="4CA51EE9" w:rsidR="000B27B9" w:rsidRDefault="0A1BEBA3" w:rsidP="00E05C4E">
      <w:pPr>
        <w:pStyle w:val="Bullet1"/>
      </w:pPr>
      <w:r>
        <w:t>where anticoagulant therapy has commenced during the admission.</w:t>
      </w:r>
    </w:p>
    <w:p w14:paraId="286DD321" w14:textId="77777777" w:rsidR="000B27B9" w:rsidRDefault="000B27B9" w:rsidP="00B92CD4">
      <w:pPr>
        <w:pStyle w:val="Bodyafterbullets"/>
      </w:pPr>
      <w:r>
        <w:t>Medication reviews are to be documented on an appropriate approved form, be available to the patient and care providers on discharge and involve education as a component.</w:t>
      </w:r>
    </w:p>
    <w:p w14:paraId="18495BFA" w14:textId="489EC2E6" w:rsidR="000B27B9" w:rsidRDefault="003B3F70" w:rsidP="00B92CD4">
      <w:pPr>
        <w:pStyle w:val="Body"/>
      </w:pPr>
      <w:r>
        <w:t xml:space="preserve">Contact the </w:t>
      </w:r>
      <w:r w:rsidR="000B27B9">
        <w:t>Veteran Affairs Pharmaceutical Advisory Centre on 1800 552 580.</w:t>
      </w:r>
    </w:p>
    <w:p w14:paraId="515A4822" w14:textId="7C578F26" w:rsidR="000B27B9" w:rsidRDefault="000B27B9" w:rsidP="00CE39B6">
      <w:pPr>
        <w:pStyle w:val="Heading5"/>
        <w:numPr>
          <w:ilvl w:val="0"/>
          <w:numId w:val="0"/>
        </w:numPr>
        <w:ind w:left="964" w:hanging="964"/>
      </w:pPr>
      <w:r>
        <w:t xml:space="preserve">Long </w:t>
      </w:r>
      <w:r w:rsidR="003B3F70">
        <w:t>stay</w:t>
      </w:r>
    </w:p>
    <w:p w14:paraId="0F8E10AE" w14:textId="2D11D56C" w:rsidR="000B27B9" w:rsidRDefault="000B27B9" w:rsidP="00B92CD4">
      <w:pPr>
        <w:pStyle w:val="Body"/>
      </w:pPr>
      <w:r>
        <w:t>I</w:t>
      </w:r>
      <w:r w:rsidRPr="00C33741">
        <w:t xml:space="preserve">f the hospitalisation of an eligible veteran is likely to exceed a continuous period of 35 days in any care type other than </w:t>
      </w:r>
      <w:r w:rsidR="003B3F70" w:rsidRPr="00C33741">
        <w:t>nursing</w:t>
      </w:r>
      <w:r w:rsidR="003B3F70">
        <w:t>-</w:t>
      </w:r>
      <w:r w:rsidR="003B3F70" w:rsidRPr="00C33741">
        <w:t>home</w:t>
      </w:r>
      <w:r w:rsidR="003B3F70">
        <w:t>-</w:t>
      </w:r>
      <w:r w:rsidRPr="00C33741">
        <w:t>type and palliative care, the Department of Veterans’ Affairs requires that health services ensure the veteran’s status is reviewed and that either:</w:t>
      </w:r>
    </w:p>
    <w:p w14:paraId="58228BE5" w14:textId="77777777" w:rsidR="000B27B9" w:rsidRDefault="0A1BEBA3" w:rsidP="00E05C4E">
      <w:pPr>
        <w:pStyle w:val="Bullet1"/>
      </w:pPr>
      <w:r>
        <w:t xml:space="preserve">a certificate similar to that previously required under s. 3B of the </w:t>
      </w:r>
      <w:r w:rsidRPr="23E5A96B">
        <w:rPr>
          <w:i/>
          <w:iCs/>
        </w:rPr>
        <w:t>Health Insurance Act 1973</w:t>
      </w:r>
      <w:r>
        <w:t xml:space="preserve"> is completed by a medical practitioner and held on the patients file for audit purposes</w:t>
      </w:r>
    </w:p>
    <w:p w14:paraId="405DC23C" w14:textId="774D813D" w:rsidR="000B27B9" w:rsidRDefault="003B3F70" w:rsidP="00E05C4E">
      <w:pPr>
        <w:pStyle w:val="Bullet1"/>
      </w:pPr>
      <w:r>
        <w:t xml:space="preserve">reclassify </w:t>
      </w:r>
      <w:r w:rsidR="0A1BEBA3">
        <w:t xml:space="preserve">the patient as either maintenance or, in the case of small rural health services, the eligible veteran is reclassified to a </w:t>
      </w:r>
      <w:r>
        <w:t>nursing-home-</w:t>
      </w:r>
      <w:r w:rsidR="0A1BEBA3">
        <w:t xml:space="preserve">type patient and the changed status and </w:t>
      </w:r>
      <w:r w:rsidR="0A1BEBA3">
        <w:lastRenderedPageBreak/>
        <w:t xml:space="preserve">payment adjusted accordingly. </w:t>
      </w:r>
      <w:r>
        <w:t xml:space="preserve">If </w:t>
      </w:r>
      <w:r w:rsidR="0A1BEBA3">
        <w:t>the patient is reclassified, hospitals should use their best endeavours to ensure the patient is assessed and a discharge plan is developed.</w:t>
      </w:r>
    </w:p>
    <w:p w14:paraId="67F13CCE" w14:textId="65033160" w:rsidR="000B27B9" w:rsidRDefault="000B27B9" w:rsidP="00B92CD4">
      <w:pPr>
        <w:pStyle w:val="Bodyafterbullets"/>
      </w:pPr>
      <w:r>
        <w:t xml:space="preserve">Under </w:t>
      </w:r>
      <w:r w:rsidR="5A312A85">
        <w:t>current arrangements</w:t>
      </w:r>
      <w:r>
        <w:t xml:space="preserve">, the </w:t>
      </w:r>
      <w:r w:rsidRPr="00C33741">
        <w:t>Acute Care Certificate or equivalent</w:t>
      </w:r>
      <w:r>
        <w:t xml:space="preserve"> is no longer required to be sent to the Department of Veterans’ Affairs.</w:t>
      </w:r>
    </w:p>
    <w:p w14:paraId="2CB68FD7" w14:textId="450E1E87" w:rsidR="000B27B9" w:rsidRDefault="003B3F70" w:rsidP="00CE39B6">
      <w:pPr>
        <w:pStyle w:val="Heading5"/>
        <w:numPr>
          <w:ilvl w:val="0"/>
          <w:numId w:val="0"/>
        </w:numPr>
        <w:ind w:left="964" w:hanging="964"/>
      </w:pPr>
      <w:r>
        <w:t>Nursing-home-type patients</w:t>
      </w:r>
    </w:p>
    <w:p w14:paraId="72B8FF3F" w14:textId="07EA4A91" w:rsidR="000B27B9" w:rsidRDefault="000B27B9" w:rsidP="00B92CD4">
      <w:pPr>
        <w:pStyle w:val="Body"/>
      </w:pPr>
      <w:r>
        <w:t xml:space="preserve">If eligible veterans are assessed as needing </w:t>
      </w:r>
      <w:r w:rsidR="003B3F70">
        <w:t>nursing-home-</w:t>
      </w:r>
      <w:r>
        <w:t xml:space="preserve">type or respite care and are at a multipurpose service (facilities that receive Commonwealth funding to operate residential care beds), then the health service must attempt to reclassify the patient from a hospital patient to a residential aged care recipient. If there are no residential aged care beds available, the patient should be reclassified as a </w:t>
      </w:r>
      <w:r w:rsidR="003B3F70">
        <w:t>nursing-home-</w:t>
      </w:r>
      <w:r>
        <w:t xml:space="preserve">type patient and Department of Veterans’ Affairs charged at the </w:t>
      </w:r>
      <w:r w:rsidR="003B3F70">
        <w:t>nursing-home-</w:t>
      </w:r>
      <w:r>
        <w:t>type patient rate. Department of Veterans’ Affairs will not pay for residential aged care under the arrangement.</w:t>
      </w:r>
    </w:p>
    <w:p w14:paraId="3E25136A" w14:textId="7ACBFF53" w:rsidR="000B27B9" w:rsidRDefault="000B27B9" w:rsidP="00B92CD4">
      <w:pPr>
        <w:pStyle w:val="Body"/>
      </w:pPr>
      <w:r>
        <w:t xml:space="preserve">Health services should collect any co-payment for </w:t>
      </w:r>
      <w:r w:rsidR="00807361">
        <w:t>nursing-home-</w:t>
      </w:r>
      <w:r>
        <w:t xml:space="preserve">type patient from the patient with the exception of Victoria Cross or </w:t>
      </w:r>
      <w:r w:rsidR="0074176B">
        <w:t>prisoners of war recipients</w:t>
      </w:r>
      <w:r>
        <w:t>. For this group, health services should make a claim directly based on prior approval to the Department of Veterans’ Affairs for reimbursement using MBS item number NH05.</w:t>
      </w:r>
    </w:p>
    <w:p w14:paraId="2F66A958" w14:textId="00357E15" w:rsidR="000B27B9" w:rsidRDefault="000B27B9" w:rsidP="00CE39B6">
      <w:pPr>
        <w:pStyle w:val="Heading5"/>
        <w:numPr>
          <w:ilvl w:val="0"/>
          <w:numId w:val="0"/>
        </w:numPr>
        <w:ind w:left="964" w:hanging="964"/>
      </w:pPr>
      <w:r>
        <w:t xml:space="preserve">Discharge </w:t>
      </w:r>
      <w:r w:rsidR="003B3F70">
        <w:t>planning</w:t>
      </w:r>
    </w:p>
    <w:p w14:paraId="107B54A9" w14:textId="77777777" w:rsidR="000B27B9" w:rsidRDefault="000B27B9" w:rsidP="00B92CD4">
      <w:pPr>
        <w:pStyle w:val="Body"/>
      </w:pPr>
      <w:r>
        <w:t>Health services will use their best endeavours to demonstrate effective discharge planning for Department of Veterans’ Affairs patients including the regular contribution of a multidisciplinary team, supporting documentation, discharge follow-up and communication with care providers and family and carers (with permission from the patient).</w:t>
      </w:r>
    </w:p>
    <w:p w14:paraId="666B9A01" w14:textId="75171495" w:rsidR="000B27B9" w:rsidRDefault="00807361" w:rsidP="00B92CD4">
      <w:pPr>
        <w:pStyle w:val="Body"/>
      </w:pPr>
      <w:r>
        <w:t>The patient or carer should be given w</w:t>
      </w:r>
      <w:r w:rsidR="000B27B9">
        <w:t xml:space="preserve">ritten documentation in the form of a discharge plan on the day of discharge. </w:t>
      </w:r>
      <w:r w:rsidR="00504638">
        <w:t xml:space="preserve">Use </w:t>
      </w:r>
      <w:r w:rsidR="000B27B9">
        <w:t>e</w:t>
      </w:r>
      <w:r w:rsidR="00504638">
        <w:t xml:space="preserve">lectronic discharge </w:t>
      </w:r>
      <w:r w:rsidR="000B27B9">
        <w:t xml:space="preserve">summaries </w:t>
      </w:r>
      <w:r w:rsidR="00504638">
        <w:t xml:space="preserve">if they are </w:t>
      </w:r>
      <w:r w:rsidR="000B27B9">
        <w:t xml:space="preserve">available. The Department of Veterans’ Affairs may request to see documentation of hospital discharge policies and procedures, as well as copies of the patient and hospital discharge plans. If the patient is enrolled in a Coordinated Veterans’ Care program, then the local medical officer or nurse coordinator must also receive a copy of the patient discharge plan (and </w:t>
      </w:r>
      <w:r w:rsidR="00504638">
        <w:t xml:space="preserve">be </w:t>
      </w:r>
      <w:r w:rsidR="000B27B9">
        <w:t>involved as appropriate).</w:t>
      </w:r>
    </w:p>
    <w:p w14:paraId="4900048F" w14:textId="77777777" w:rsidR="000B27B9" w:rsidRDefault="000B27B9" w:rsidP="00B92CD4">
      <w:pPr>
        <w:pStyle w:val="Body"/>
      </w:pPr>
      <w:r>
        <w:t>Health services should coordinate for a health professional to assess eligible veterans before discharge for community nursing, personal care, aids and appliances, home modifications or convalescent care. Any aids, equipment or modifications will be arranged through Department of Veterans’ Affairs services in a timely manner and be available to the patient prior to discharge. Public hospitals must provide a summary of discharge to the original referring doctor and local medical officer at, or within, 48 hours of discharge.</w:t>
      </w:r>
    </w:p>
    <w:p w14:paraId="20BBC6E1" w14:textId="174D2907" w:rsidR="000B27B9" w:rsidRDefault="000B27B9" w:rsidP="00B92CD4">
      <w:pPr>
        <w:pStyle w:val="Body"/>
      </w:pPr>
      <w:r>
        <w:t>Referrals for community nursing services for Department of Veterans’ Affairs patients may be made to a</w:t>
      </w:r>
      <w:r w:rsidR="00807361">
        <w:t xml:space="preserve"> program funded by the</w:t>
      </w:r>
      <w:r>
        <w:t xml:space="preserve"> Victorian </w:t>
      </w:r>
      <w:r w:rsidR="00807361">
        <w:t>Government or</w:t>
      </w:r>
      <w:r>
        <w:t xml:space="preserve"> Commonwealth Government</w:t>
      </w:r>
      <w:r w:rsidR="00807361">
        <w:t xml:space="preserve">, </w:t>
      </w:r>
      <w:r>
        <w:t>or to a Department of Veterans’ Affairs contracted provider.</w:t>
      </w:r>
    </w:p>
    <w:p w14:paraId="5EC972EA" w14:textId="098E0FB3" w:rsidR="000B27B9" w:rsidRDefault="000B27B9" w:rsidP="00B92CD4">
      <w:pPr>
        <w:pStyle w:val="Body"/>
      </w:pPr>
      <w:r>
        <w:t>To arrange home and personal care services for eligible veterans, health services must contact the National Veterans’ Home Care assessment agency (1300 550 450). Discharge aids and equipment for veteran patients must be provided to facilitate safe discharge for a period of 30 days after discharge. For further information</w:t>
      </w:r>
      <w:r w:rsidR="00504638">
        <w:t>,</w:t>
      </w:r>
      <w:r>
        <w:t xml:space="preserve"> visit the </w:t>
      </w:r>
      <w:hyperlink r:id="rId70" w:history="1">
        <w:r w:rsidR="001B38D6">
          <w:rPr>
            <w:rStyle w:val="Hyperlink"/>
          </w:rPr>
          <w:t>Aids, appliances and home modifications webpage</w:t>
        </w:r>
      </w:hyperlink>
      <w:r>
        <w:t xml:space="preserve"> &lt;</w:t>
      </w:r>
      <w:r w:rsidRPr="00C91C6A">
        <w:t>https://www.dva.gov.au/health-and-wellbeing/home-and-care/rehabilitation-appliances-program-rap</w:t>
      </w:r>
      <w:r>
        <w:t>&gt; or</w:t>
      </w:r>
      <w:r w:rsidR="00B229F3">
        <w:t xml:space="preserve"> </w:t>
      </w:r>
      <w:r>
        <w:t>call 1300 550 457 (metro) or 1800 550 457 (rural).</w:t>
      </w:r>
    </w:p>
    <w:p w14:paraId="714A584A" w14:textId="57ADB137" w:rsidR="000B27B9" w:rsidRDefault="000B27B9" w:rsidP="00CE39B6">
      <w:pPr>
        <w:pStyle w:val="Heading5"/>
        <w:numPr>
          <w:ilvl w:val="0"/>
          <w:numId w:val="0"/>
        </w:numPr>
        <w:ind w:left="964" w:hanging="964"/>
      </w:pPr>
      <w:r w:rsidRPr="00D17F68">
        <w:lastRenderedPageBreak/>
        <w:t xml:space="preserve">Funding </w:t>
      </w:r>
      <w:r w:rsidR="00807361">
        <w:t>a</w:t>
      </w:r>
      <w:r w:rsidR="00807361" w:rsidRPr="00D17F68">
        <w:t>rrangements</w:t>
      </w:r>
    </w:p>
    <w:p w14:paraId="4C2A148E" w14:textId="4F8AF9FD" w:rsidR="000B27B9" w:rsidRDefault="000B27B9" w:rsidP="00B92CD4">
      <w:pPr>
        <w:pStyle w:val="Body"/>
      </w:pPr>
      <w:r>
        <w:t xml:space="preserve">The </w:t>
      </w:r>
      <w:r w:rsidR="00BE0818">
        <w:t>Department of Veteran</w:t>
      </w:r>
      <w:r w:rsidR="00AB725C">
        <w:t xml:space="preserve">s’ Affairs </w:t>
      </w:r>
      <w:r w:rsidR="00807361">
        <w:t xml:space="preserve">hospital services arrangements </w:t>
      </w:r>
      <w:r>
        <w:t>will be based on the national funding model developed by the IH</w:t>
      </w:r>
      <w:r w:rsidR="006548D4">
        <w:t>AC</w:t>
      </w:r>
      <w:r>
        <w:t>PA, with modifications to reflect the contribution that the Department of Veterans’ Affairs provides to medical practitioners.</w:t>
      </w:r>
    </w:p>
    <w:p w14:paraId="0563673A" w14:textId="17C230A9" w:rsidR="000B27B9" w:rsidRDefault="000B27B9" w:rsidP="00B92CD4">
      <w:pPr>
        <w:pStyle w:val="Body"/>
      </w:pPr>
      <w:r w:rsidRPr="00FD0743">
        <w:t xml:space="preserve">Victoria will fund eligible veterans in alignment with revised Commonwealth revenue in </w:t>
      </w:r>
      <w:r w:rsidR="0097705A" w:rsidRPr="001B38D6">
        <w:rPr>
          <w:szCs w:val="21"/>
        </w:rPr>
        <w:t>202</w:t>
      </w:r>
      <w:r w:rsidR="001E64A5">
        <w:rPr>
          <w:szCs w:val="21"/>
        </w:rPr>
        <w:t>3</w:t>
      </w:r>
      <w:r w:rsidR="00504638">
        <w:rPr>
          <w:szCs w:val="21"/>
        </w:rPr>
        <w:t>–</w:t>
      </w:r>
      <w:r w:rsidR="0097705A" w:rsidRPr="001B38D6">
        <w:rPr>
          <w:szCs w:val="21"/>
        </w:rPr>
        <w:t>2</w:t>
      </w:r>
      <w:r w:rsidR="001E64A5">
        <w:rPr>
          <w:szCs w:val="21"/>
        </w:rPr>
        <w:t>4</w:t>
      </w:r>
      <w:r>
        <w:t xml:space="preserve">. Funding for admitted acute and subacute services will continue to be paid to actual throughput based on the Victorian </w:t>
      </w:r>
      <w:r w:rsidR="765BB0B6">
        <w:t xml:space="preserve">NWAU </w:t>
      </w:r>
      <w:r>
        <w:t xml:space="preserve">and subacute </w:t>
      </w:r>
      <w:r w:rsidR="2BA3E1B6">
        <w:t xml:space="preserve">NWAU </w:t>
      </w:r>
      <w:r>
        <w:t>funding models. Funding for emergency departments (non-admitted presentations), acute non-admitted and HIP will be paid as a block grant and based on the health service’s activity share of total weighted activity.</w:t>
      </w:r>
    </w:p>
    <w:p w14:paraId="517BD52A" w14:textId="59459D84" w:rsidR="000B27B9" w:rsidRDefault="000B27B9" w:rsidP="00B92CD4">
      <w:pPr>
        <w:pStyle w:val="Body"/>
      </w:pPr>
      <w:r>
        <w:t>Funding arrangements for Department of Veterans’ Affairs patients are detailed in</w:t>
      </w:r>
      <w:r w:rsidR="00326253">
        <w:t xml:space="preserve"> </w:t>
      </w:r>
      <w:r w:rsidR="00807361">
        <w:fldChar w:fldCharType="begin"/>
      </w:r>
      <w:r w:rsidR="00807361">
        <w:instrText xml:space="preserve"> REF _Ref144127765 \h </w:instrText>
      </w:r>
      <w:r w:rsidR="00807361">
        <w:fldChar w:fldCharType="separate"/>
      </w:r>
      <w:r w:rsidR="00892F13">
        <w:t xml:space="preserve">Table </w:t>
      </w:r>
      <w:r w:rsidR="00892F13">
        <w:rPr>
          <w:noProof/>
        </w:rPr>
        <w:t>1</w:t>
      </w:r>
      <w:r w:rsidR="00892F13">
        <w:t>.</w:t>
      </w:r>
      <w:r w:rsidR="00892F13">
        <w:rPr>
          <w:noProof/>
        </w:rPr>
        <w:t xml:space="preserve">9: </w:t>
      </w:r>
      <w:r w:rsidR="00892F13" w:rsidRPr="009E6E16">
        <w:t>Funding arrangements for Department of Veterans’ Affairs patients</w:t>
      </w:r>
      <w:r w:rsidR="00807361">
        <w:fldChar w:fldCharType="end"/>
      </w:r>
      <w:r w:rsidR="00CA556A">
        <w:t xml:space="preserve"> </w:t>
      </w:r>
      <w:r>
        <w:t>Throughput-based services will continue to attract a premium from the department for eligible veterans in recognition of the cost of treating these patients. Payment will be made on a reconcilable basis.</w:t>
      </w:r>
    </w:p>
    <w:p w14:paraId="16AD95D6" w14:textId="717F313F" w:rsidR="000B27B9" w:rsidRDefault="000B27B9" w:rsidP="00B92CD4">
      <w:pPr>
        <w:pStyle w:val="Bodyafterbullets"/>
      </w:pPr>
      <w:r>
        <w:t xml:space="preserve">Payment for interfacility transport (excluding </w:t>
      </w:r>
      <w:r w:rsidR="00807361">
        <w:t xml:space="preserve">secondary seromedical </w:t>
      </w:r>
      <w:r>
        <w:t>retrieval) is included in the payment arrangements for services.</w:t>
      </w:r>
    </w:p>
    <w:p w14:paraId="29EB8D98" w14:textId="20A03D9E" w:rsidR="00937214" w:rsidRDefault="00937214" w:rsidP="00937214">
      <w:pPr>
        <w:pStyle w:val="Tablecaption"/>
      </w:pPr>
      <w:bookmarkStart w:id="469" w:name="_Ref144127765"/>
      <w:bookmarkStart w:id="470" w:name="_Toc156568652"/>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9</w:t>
      </w:r>
      <w:r>
        <w:fldChar w:fldCharType="end"/>
      </w:r>
      <w:r w:rsidR="00425B49">
        <w:rPr>
          <w:noProof/>
        </w:rPr>
        <w:t xml:space="preserve">: </w:t>
      </w:r>
      <w:r w:rsidRPr="009E6E16">
        <w:t>Funding arrangements for Department of Veterans’ Affairs patients</w:t>
      </w:r>
      <w:bookmarkEnd w:id="469"/>
      <w:bookmarkEnd w:id="470"/>
    </w:p>
    <w:tbl>
      <w:tblPr>
        <w:tblStyle w:val="TableGrid1"/>
        <w:tblW w:w="9299" w:type="dxa"/>
        <w:tblLook w:val="06A0" w:firstRow="1" w:lastRow="0" w:firstColumn="1" w:lastColumn="0" w:noHBand="1" w:noVBand="1"/>
      </w:tblPr>
      <w:tblGrid>
        <w:gridCol w:w="3080"/>
        <w:gridCol w:w="6219"/>
      </w:tblGrid>
      <w:tr w:rsidR="000B27B9" w:rsidRPr="0090298C" w14:paraId="6CC70EF1"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0" w:type="dxa"/>
            <w:shd w:val="clear" w:color="auto" w:fill="auto"/>
          </w:tcPr>
          <w:p w14:paraId="3B784775" w14:textId="77777777" w:rsidR="000B27B9" w:rsidRPr="006A7FA6" w:rsidRDefault="000B27B9" w:rsidP="00807361">
            <w:pPr>
              <w:pStyle w:val="Tablecolhead"/>
            </w:pPr>
            <w:r w:rsidRPr="006A7FA6">
              <w:t>Service</w:t>
            </w:r>
          </w:p>
        </w:tc>
        <w:tc>
          <w:tcPr>
            <w:tcW w:w="0" w:type="dxa"/>
            <w:shd w:val="clear" w:color="auto" w:fill="auto"/>
          </w:tcPr>
          <w:p w14:paraId="105A2195" w14:textId="77777777" w:rsidR="000B27B9" w:rsidRPr="006A7FA6" w:rsidRDefault="000B27B9" w:rsidP="00807361">
            <w:pPr>
              <w:pStyle w:val="Tablecolhead"/>
            </w:pPr>
            <w:r w:rsidRPr="006A7FA6">
              <w:t>Funding arrangements</w:t>
            </w:r>
          </w:p>
        </w:tc>
      </w:tr>
      <w:tr w:rsidR="000B27B9" w:rsidRPr="0066144B" w14:paraId="746CD5F7" w14:textId="77777777" w:rsidTr="00685B35">
        <w:tc>
          <w:tcPr>
            <w:tcW w:w="0" w:type="dxa"/>
          </w:tcPr>
          <w:p w14:paraId="2B952E23" w14:textId="77777777" w:rsidR="000B27B9" w:rsidRPr="00674F20" w:rsidRDefault="000B27B9" w:rsidP="006A7FA6">
            <w:pPr>
              <w:pStyle w:val="Tabletext"/>
            </w:pPr>
            <w:r w:rsidRPr="00674F20">
              <w:t>Admitted patient services</w:t>
            </w:r>
          </w:p>
        </w:tc>
        <w:tc>
          <w:tcPr>
            <w:tcW w:w="0" w:type="dxa"/>
          </w:tcPr>
          <w:p w14:paraId="1517AE7D" w14:textId="77777777" w:rsidR="000B27B9" w:rsidRPr="00674F20" w:rsidRDefault="000B27B9" w:rsidP="006A7FA6">
            <w:pPr>
              <w:pStyle w:val="Tabletext"/>
            </w:pPr>
            <w:r w:rsidRPr="00674F20">
              <w:t>Funding for the following services is based on throughput:</w:t>
            </w:r>
          </w:p>
          <w:p w14:paraId="488DA69C" w14:textId="3E68A958" w:rsidR="000B27B9" w:rsidRPr="00674F20" w:rsidRDefault="000B27B9" w:rsidP="006A7FA6">
            <w:pPr>
              <w:pStyle w:val="Tablebullet1"/>
            </w:pPr>
            <w:r>
              <w:t>acute</w:t>
            </w:r>
            <w:r w:rsidR="00807361">
              <w:t xml:space="preserve"> – </w:t>
            </w:r>
            <w:r>
              <w:t xml:space="preserve">health services receive the Department of Veterans’ Affairs </w:t>
            </w:r>
            <w:r w:rsidR="46C5A237">
              <w:t xml:space="preserve">NWAU </w:t>
            </w:r>
            <w:r>
              <w:t>throughput payments from the department</w:t>
            </w:r>
          </w:p>
          <w:p w14:paraId="7D3D8729" w14:textId="503571BB" w:rsidR="000B27B9" w:rsidRPr="00674F20" w:rsidRDefault="000B27B9" w:rsidP="006A7FA6">
            <w:pPr>
              <w:pStyle w:val="Tablebullet1"/>
            </w:pPr>
            <w:r>
              <w:t>subacute</w:t>
            </w:r>
            <w:r w:rsidR="00807361">
              <w:t xml:space="preserve"> – </w:t>
            </w:r>
            <w:r>
              <w:t>categories for funding are palliative care, rehabilitation, GEM and maintenance care, and mirror funding and reporting arrangements for public patients</w:t>
            </w:r>
          </w:p>
          <w:p w14:paraId="3C771D97" w14:textId="77777777" w:rsidR="000B27B9" w:rsidRDefault="000B27B9" w:rsidP="006A7FA6">
            <w:pPr>
              <w:pStyle w:val="Tablebullet1"/>
            </w:pPr>
            <w:r>
              <w:t>maintenance</w:t>
            </w:r>
          </w:p>
          <w:p w14:paraId="40B700B3" w14:textId="77777777" w:rsidR="000B27B9" w:rsidRPr="00674F20" w:rsidRDefault="000B27B9" w:rsidP="006A7FA6">
            <w:pPr>
              <w:pStyle w:val="Tablebullet1"/>
            </w:pPr>
            <w:r>
              <w:t>admitted dialysis</w:t>
            </w:r>
          </w:p>
          <w:p w14:paraId="47A29A82" w14:textId="77777777" w:rsidR="000B27B9" w:rsidRPr="00674F20" w:rsidRDefault="000B27B9" w:rsidP="006A7FA6">
            <w:pPr>
              <w:pStyle w:val="Tablebullet1"/>
            </w:pPr>
            <w:r>
              <w:t>admitted mental health services.</w:t>
            </w:r>
          </w:p>
          <w:p w14:paraId="440E5201" w14:textId="77777777" w:rsidR="000B27B9" w:rsidRPr="00674F20" w:rsidRDefault="000B27B9" w:rsidP="006A7FA6">
            <w:pPr>
              <w:pStyle w:val="Tabletext"/>
            </w:pPr>
            <w:r w:rsidRPr="00674F20">
              <w:t xml:space="preserve">Hospitals should bill </w:t>
            </w:r>
            <w:r>
              <w:t xml:space="preserve">the </w:t>
            </w:r>
            <w:r w:rsidRPr="00674F20">
              <w:t xml:space="preserve">Department of </w:t>
            </w:r>
            <w:r w:rsidRPr="00DA3183">
              <w:t>Veterans’</w:t>
            </w:r>
            <w:r w:rsidRPr="00674F20">
              <w:t xml:space="preserve"> Affairs separately for medical and diagnostic costs for admitted patients.</w:t>
            </w:r>
          </w:p>
        </w:tc>
      </w:tr>
      <w:tr w:rsidR="000B27B9" w:rsidRPr="0066144B" w14:paraId="38F1DE52" w14:textId="77777777" w:rsidTr="00685B35">
        <w:tc>
          <w:tcPr>
            <w:tcW w:w="0" w:type="dxa"/>
          </w:tcPr>
          <w:p w14:paraId="0E594A43" w14:textId="77777777" w:rsidR="000B27B9" w:rsidRPr="00674F20" w:rsidRDefault="000B27B9" w:rsidP="006A7FA6">
            <w:pPr>
              <w:pStyle w:val="Tabletext"/>
            </w:pPr>
            <w:r w:rsidRPr="00674F20">
              <w:t>E</w:t>
            </w:r>
            <w:r>
              <w:t>mergency department</w:t>
            </w:r>
            <w:r w:rsidRPr="00674F20">
              <w:t xml:space="preserve"> attendances</w:t>
            </w:r>
          </w:p>
        </w:tc>
        <w:tc>
          <w:tcPr>
            <w:tcW w:w="0" w:type="dxa"/>
          </w:tcPr>
          <w:p w14:paraId="1282A49D" w14:textId="77777777" w:rsidR="000B27B9" w:rsidRPr="00674F20" w:rsidRDefault="000B27B9" w:rsidP="006A7FA6">
            <w:pPr>
              <w:pStyle w:val="Tabletext"/>
            </w:pPr>
            <w:r w:rsidRPr="00674F20">
              <w:t>E</w:t>
            </w:r>
            <w:r>
              <w:t>mergency department</w:t>
            </w:r>
            <w:r w:rsidRPr="00674F20">
              <w:t xml:space="preserve"> services </w:t>
            </w:r>
            <w:r>
              <w:t xml:space="preserve">will receive a block grant that is based on the </w:t>
            </w:r>
            <w:r w:rsidRPr="00706F17">
              <w:t xml:space="preserve">health service’s proportionate share of the </w:t>
            </w:r>
            <w:r>
              <w:t xml:space="preserve">total non-admitted emergency </w:t>
            </w:r>
            <w:r w:rsidRPr="00706F17">
              <w:t>weighted activity.</w:t>
            </w:r>
            <w:r>
              <w:t xml:space="preserve"> </w:t>
            </w:r>
            <w:r w:rsidRPr="00674F20">
              <w:t>There will be no separate billing of medical and diagnostic costs.</w:t>
            </w:r>
            <w:r>
              <w:t xml:space="preserve"> </w:t>
            </w:r>
            <w:r w:rsidRPr="00674F20">
              <w:t>Veteran patients</w:t>
            </w:r>
            <w:r>
              <w:t xml:space="preserve"> who are subsequently admitted will be funded under the </w:t>
            </w:r>
            <w:r w:rsidR="6D11D871">
              <w:t xml:space="preserve">NWAU </w:t>
            </w:r>
            <w:r>
              <w:t>model.</w:t>
            </w:r>
          </w:p>
        </w:tc>
      </w:tr>
      <w:tr w:rsidR="000B27B9" w:rsidRPr="0066144B" w14:paraId="6E1BB6F1" w14:textId="77777777" w:rsidTr="00685B35">
        <w:tc>
          <w:tcPr>
            <w:tcW w:w="0" w:type="dxa"/>
          </w:tcPr>
          <w:p w14:paraId="31EACDFA" w14:textId="77777777" w:rsidR="000B27B9" w:rsidRPr="00DA3183" w:rsidRDefault="000B27B9" w:rsidP="006A7FA6">
            <w:pPr>
              <w:pStyle w:val="Tabletext"/>
            </w:pPr>
            <w:r w:rsidRPr="00DA3183">
              <w:t>Acute non-admitted</w:t>
            </w:r>
          </w:p>
        </w:tc>
        <w:tc>
          <w:tcPr>
            <w:tcW w:w="0" w:type="dxa"/>
          </w:tcPr>
          <w:p w14:paraId="17ECAFA9" w14:textId="2EAB7330" w:rsidR="000B27B9" w:rsidRPr="00DA3183" w:rsidRDefault="000B27B9" w:rsidP="006A7FA6">
            <w:pPr>
              <w:pStyle w:val="Tabletext"/>
            </w:pPr>
            <w:r w:rsidRPr="00DA3183">
              <w:t>Acute non-admitted</w:t>
            </w:r>
            <w:r w:rsidRPr="00DA3183" w:rsidDel="00265950">
              <w:t xml:space="preserve"> </w:t>
            </w:r>
            <w:r w:rsidRPr="00DA3183">
              <w:t xml:space="preserve">services will receive a block grant that is based on the health service’s proportionate share of the total acute non-admitted weighted activity. Veteran patients may access all services, and funding and reporting arrangements mirror those for public patients. Where eligible veterans have been privately referred as a </w:t>
            </w:r>
            <w:r w:rsidR="00807361" w:rsidRPr="00DA3183">
              <w:t xml:space="preserve">privately referred non-inpatient </w:t>
            </w:r>
            <w:r w:rsidRPr="00DA3183">
              <w:t>(PRNI) to a named specialist and consents to be treated as a private outpatient, the Department of Veterans’ Affairs will pay separately for specialist consultations and procedures, and associated pathology and radiology services.</w:t>
            </w:r>
          </w:p>
        </w:tc>
      </w:tr>
      <w:tr w:rsidR="000B27B9" w:rsidRPr="0066144B" w14:paraId="5369C35F" w14:textId="77777777" w:rsidTr="00685B35">
        <w:trPr>
          <w:cantSplit/>
        </w:trPr>
        <w:tc>
          <w:tcPr>
            <w:tcW w:w="0" w:type="dxa"/>
          </w:tcPr>
          <w:p w14:paraId="38461F82" w14:textId="77777777" w:rsidR="000B27B9" w:rsidRPr="00DA3183" w:rsidRDefault="000B27B9" w:rsidP="006A7FA6">
            <w:pPr>
              <w:pStyle w:val="Tabletext"/>
            </w:pPr>
            <w:r w:rsidRPr="00DA3183">
              <w:lastRenderedPageBreak/>
              <w:t>Subacute non-admitted</w:t>
            </w:r>
          </w:p>
        </w:tc>
        <w:tc>
          <w:tcPr>
            <w:tcW w:w="0" w:type="dxa"/>
          </w:tcPr>
          <w:p w14:paraId="75337DB0" w14:textId="77777777" w:rsidR="000B27B9" w:rsidRPr="00DA3183" w:rsidRDefault="000B27B9" w:rsidP="006A7FA6">
            <w:pPr>
              <w:pStyle w:val="Tabletext"/>
            </w:pPr>
            <w:r w:rsidRPr="00DA3183">
              <w:t>Subacute non-admitted</w:t>
            </w:r>
            <w:r w:rsidRPr="00DA3183" w:rsidDel="00265950">
              <w:t xml:space="preserve"> </w:t>
            </w:r>
            <w:r w:rsidRPr="00DA3183">
              <w:t>services will receive a block grant that is based on the health service’s proportionate share of the total subacute non-admitted weighted activity. Veteran patients may access all services, and funding and reporting arrangements mirror those for public patients. Where eligible veterans have been privately referred as a PRNI to a named specialist and consents to be treated as a private outpatient, the Department of Veterans’ Affairs will pay separately for specialist consultations and procedures, and associated pathology and radiology services.</w:t>
            </w:r>
          </w:p>
        </w:tc>
      </w:tr>
      <w:tr w:rsidR="000B27B9" w:rsidRPr="0066144B" w14:paraId="73A6FD78" w14:textId="77777777" w:rsidTr="00685B35">
        <w:tc>
          <w:tcPr>
            <w:tcW w:w="0" w:type="dxa"/>
          </w:tcPr>
          <w:p w14:paraId="1B78E5DC" w14:textId="77777777" w:rsidR="000B27B9" w:rsidRPr="00DA3183" w:rsidRDefault="000B27B9" w:rsidP="006A7FA6">
            <w:pPr>
              <w:pStyle w:val="Tabletext"/>
            </w:pPr>
            <w:r w:rsidRPr="00DA3183">
              <w:t>Non-admitted radiotherapy</w:t>
            </w:r>
          </w:p>
        </w:tc>
        <w:tc>
          <w:tcPr>
            <w:tcW w:w="0" w:type="dxa"/>
          </w:tcPr>
          <w:p w14:paraId="0816F44E" w14:textId="77777777" w:rsidR="000B27B9" w:rsidRPr="00DA3183" w:rsidRDefault="000B27B9" w:rsidP="006A7FA6">
            <w:pPr>
              <w:pStyle w:val="Tabletext"/>
            </w:pPr>
            <w:r w:rsidRPr="00DA3183">
              <w:t>Weighted activity units are funded on a throughput basis. Where eligible veterans have been privately referred as a PRNI to a named specialist and consents to be treated as a private outpatient, the Department of Veterans’ Affairs will pay separately for specialist consultations and procedures, and associated pathology and radiology services.</w:t>
            </w:r>
          </w:p>
        </w:tc>
      </w:tr>
      <w:tr w:rsidR="000B27B9" w:rsidRPr="0066144B" w14:paraId="7FD7A6AD" w14:textId="77777777" w:rsidTr="00685B35">
        <w:tc>
          <w:tcPr>
            <w:tcW w:w="0" w:type="dxa"/>
          </w:tcPr>
          <w:p w14:paraId="6856DA14" w14:textId="77777777" w:rsidR="000B27B9" w:rsidRPr="00DA3183" w:rsidRDefault="000B27B9" w:rsidP="006A7FA6">
            <w:pPr>
              <w:pStyle w:val="Tabletext"/>
            </w:pPr>
            <w:r w:rsidRPr="00DA3183">
              <w:t>Specialist mental health acute care</w:t>
            </w:r>
          </w:p>
        </w:tc>
        <w:tc>
          <w:tcPr>
            <w:tcW w:w="0" w:type="dxa"/>
          </w:tcPr>
          <w:p w14:paraId="66F92A46" w14:textId="77777777" w:rsidR="000B27B9" w:rsidRPr="00DA3183" w:rsidRDefault="000B27B9" w:rsidP="006A7FA6">
            <w:pPr>
              <w:pStyle w:val="Tabletext"/>
            </w:pPr>
            <w:r w:rsidRPr="00DA3183">
              <w:t>Funding for mental health services to eligible Veterans are funded within the total funding provided to services. Veteran patients may access all services, and funding and reporting arrangements mirror those for public patients.</w:t>
            </w:r>
          </w:p>
        </w:tc>
      </w:tr>
      <w:tr w:rsidR="000B27B9" w:rsidRPr="0066144B" w14:paraId="235F161E" w14:textId="77777777" w:rsidTr="00685B35">
        <w:tc>
          <w:tcPr>
            <w:tcW w:w="0" w:type="dxa"/>
          </w:tcPr>
          <w:p w14:paraId="0F224698" w14:textId="77777777" w:rsidR="000B27B9" w:rsidRPr="00DA3183" w:rsidRDefault="000B27B9" w:rsidP="006A7FA6">
            <w:pPr>
              <w:pStyle w:val="Tabletext"/>
            </w:pPr>
            <w:r w:rsidRPr="00DA3183">
              <w:t>Non-specialist mental health acute care</w:t>
            </w:r>
          </w:p>
        </w:tc>
        <w:tc>
          <w:tcPr>
            <w:tcW w:w="0" w:type="dxa"/>
          </w:tcPr>
          <w:p w14:paraId="30FADF8E" w14:textId="77777777" w:rsidR="000B27B9" w:rsidRPr="00DA3183" w:rsidRDefault="000B27B9" w:rsidP="006A7FA6">
            <w:pPr>
              <w:pStyle w:val="Tabletext"/>
            </w:pPr>
            <w:r w:rsidRPr="00DA3183">
              <w:t>Funding for mental health services to eligible Veterans are funded within the total funding provided to services. Veteran patients may access all services, and funding and reporting arrangements mirror those for public patients.</w:t>
            </w:r>
          </w:p>
        </w:tc>
      </w:tr>
      <w:tr w:rsidR="000B27B9" w:rsidRPr="0066144B" w14:paraId="07654301" w14:textId="77777777" w:rsidTr="00685B35">
        <w:tc>
          <w:tcPr>
            <w:tcW w:w="0" w:type="dxa"/>
          </w:tcPr>
          <w:p w14:paraId="11E033F9" w14:textId="77777777" w:rsidR="000B27B9" w:rsidRDefault="000B27B9" w:rsidP="006A7FA6">
            <w:pPr>
              <w:pStyle w:val="Tabletext"/>
            </w:pPr>
            <w:r>
              <w:t>Transition Care Program</w:t>
            </w:r>
          </w:p>
        </w:tc>
        <w:tc>
          <w:tcPr>
            <w:tcW w:w="0" w:type="dxa"/>
          </w:tcPr>
          <w:p w14:paraId="61369E56" w14:textId="09D2FBB8" w:rsidR="000B27B9" w:rsidRPr="00674F20" w:rsidRDefault="000B27B9" w:rsidP="006A7FA6">
            <w:pPr>
              <w:pStyle w:val="Tabletext"/>
            </w:pPr>
            <w:r w:rsidRPr="00674F20">
              <w:t>The T</w:t>
            </w:r>
            <w:r>
              <w:t>ransition Care Program</w:t>
            </w:r>
            <w:r w:rsidRPr="00674F20">
              <w:t xml:space="preserve"> is available to all members of the Australian community, including </w:t>
            </w:r>
            <w:r w:rsidRPr="00DA3183">
              <w:t>veterans</w:t>
            </w:r>
            <w:r w:rsidRPr="00674F20">
              <w:t xml:space="preserve">. However, </w:t>
            </w:r>
            <w:r>
              <w:t xml:space="preserve">the </w:t>
            </w:r>
            <w:r w:rsidRPr="00674F20">
              <w:t xml:space="preserve">Department of Veterans’ Affairs will only fund the patient contribution for veterans who are former prisoners of war. Further details are available on the </w:t>
            </w:r>
            <w:hyperlink r:id="rId71" w:history="1">
              <w:r w:rsidR="00B90B10" w:rsidRPr="00FA43F8">
                <w:rPr>
                  <w:rStyle w:val="Hyperlink"/>
                </w:rPr>
                <w:t>Department of Veterans’ Affairs website</w:t>
              </w:r>
            </w:hyperlink>
            <w:r w:rsidRPr="00674F20">
              <w:t xml:space="preserve"> &lt;</w:t>
            </w:r>
            <w:r w:rsidRPr="00FA43F8">
              <w:t>http</w:t>
            </w:r>
            <w:r>
              <w:t>s</w:t>
            </w:r>
            <w:r w:rsidRPr="00FA43F8">
              <w:t>://www.dva.gov.au</w:t>
            </w:r>
            <w:r w:rsidRPr="00674F20">
              <w:t>&gt;.</w:t>
            </w:r>
          </w:p>
        </w:tc>
      </w:tr>
      <w:tr w:rsidR="000B27B9" w:rsidRPr="0066144B" w14:paraId="61DBC963" w14:textId="77777777" w:rsidTr="00685B35">
        <w:tc>
          <w:tcPr>
            <w:tcW w:w="0" w:type="dxa"/>
          </w:tcPr>
          <w:p w14:paraId="52C83735" w14:textId="77777777" w:rsidR="000B27B9" w:rsidRPr="00082CAB" w:rsidRDefault="000B27B9" w:rsidP="006A7FA6">
            <w:pPr>
              <w:pStyle w:val="Tabletext"/>
            </w:pPr>
            <w:r w:rsidRPr="00F43635">
              <w:t xml:space="preserve">Community </w:t>
            </w:r>
            <w:r w:rsidRPr="00DA3183">
              <w:t>Health</w:t>
            </w:r>
            <w:r w:rsidRPr="00F43635">
              <w:t xml:space="preserve"> Program</w:t>
            </w:r>
          </w:p>
        </w:tc>
        <w:tc>
          <w:tcPr>
            <w:tcW w:w="0" w:type="dxa"/>
          </w:tcPr>
          <w:p w14:paraId="65FACEC8" w14:textId="77777777" w:rsidR="000B27B9" w:rsidRPr="00082CAB" w:rsidRDefault="000B27B9" w:rsidP="006A7FA6">
            <w:pPr>
              <w:pStyle w:val="Tabletext"/>
            </w:pPr>
            <w:r w:rsidRPr="00F43635">
              <w:t xml:space="preserve">Community </w:t>
            </w:r>
            <w:r>
              <w:t>h</w:t>
            </w:r>
            <w:r w:rsidRPr="00F43635">
              <w:t>ealth services should bill the Department of Veterans’ Affairs directly for allied health and nursing services provided under the Community Health Program.</w:t>
            </w:r>
          </w:p>
        </w:tc>
      </w:tr>
    </w:tbl>
    <w:p w14:paraId="560B7D91" w14:textId="77777777" w:rsidR="000B27B9" w:rsidRDefault="000B27B9" w:rsidP="009B3B4B">
      <w:pPr>
        <w:pStyle w:val="Heading6"/>
      </w:pPr>
      <w:bookmarkStart w:id="471" w:name="_Toc418694979"/>
      <w:r w:rsidRPr="00D110BA">
        <w:t>Payments</w:t>
      </w:r>
    </w:p>
    <w:p w14:paraId="11DD01F0" w14:textId="6B07EF38" w:rsidR="000B27B9" w:rsidRDefault="000B27B9" w:rsidP="00B92CD4">
      <w:pPr>
        <w:pStyle w:val="Body"/>
      </w:pPr>
      <w:r>
        <w:t>If a claim is not accepted by the Department of Veterans’ Affairs</w:t>
      </w:r>
      <w:r w:rsidR="00807361">
        <w:t>,</w:t>
      </w:r>
      <w:r>
        <w:t xml:space="preserve"> either:</w:t>
      </w:r>
    </w:p>
    <w:p w14:paraId="66A01AFE" w14:textId="77777777" w:rsidR="000B27B9" w:rsidRPr="00C574D3" w:rsidRDefault="0A1BEBA3" w:rsidP="006A7FA6">
      <w:pPr>
        <w:pStyle w:val="Bullet1"/>
      </w:pPr>
      <w:r>
        <w:t>health services must transmit additional or corrected information to allow the claim to be accepted</w:t>
      </w:r>
    </w:p>
    <w:p w14:paraId="27387511" w14:textId="77777777" w:rsidR="000B27B9" w:rsidRPr="00C574D3" w:rsidRDefault="0A1BEBA3" w:rsidP="006A7FA6">
      <w:pPr>
        <w:pStyle w:val="Bullet1"/>
      </w:pPr>
      <w:r>
        <w:t>claims should be retrospectively reclassified to reflect the patient’s changed care type or preferences.</w:t>
      </w:r>
    </w:p>
    <w:p w14:paraId="3BEFCB24" w14:textId="77777777" w:rsidR="000B27B9" w:rsidRDefault="000B27B9" w:rsidP="00B92CD4">
      <w:pPr>
        <w:pStyle w:val="Bodyafterbullets"/>
      </w:pPr>
      <w:r>
        <w:t xml:space="preserve">Health services are required to make changes before consolidating the VAED, otherwise funding will not be paid at either the </w:t>
      </w:r>
      <w:r w:rsidRPr="00674F20">
        <w:t xml:space="preserve">Department of Veterans’ Affairs </w:t>
      </w:r>
      <w:r>
        <w:t>or public rate.</w:t>
      </w:r>
    </w:p>
    <w:p w14:paraId="7951063B" w14:textId="17358366" w:rsidR="000B27B9" w:rsidRPr="00566453" w:rsidRDefault="000B27B9" w:rsidP="00B92CD4">
      <w:pPr>
        <w:pStyle w:val="Bodyafterbullets"/>
      </w:pPr>
      <w:r w:rsidRPr="00566453">
        <w:t>The Department of Veterans’ Affairs agreement prohibits organisations from raising any charges directly on an eligible veteran</w:t>
      </w:r>
      <w:r w:rsidR="00E05E4C">
        <w:t>,</w:t>
      </w:r>
      <w:r w:rsidRPr="00566453">
        <w:t xml:space="preserve"> except where provided for under </w:t>
      </w:r>
      <w:r>
        <w:t>C</w:t>
      </w:r>
      <w:r w:rsidRPr="00566453">
        <w:t>ommonwealth legislation. This prohibition does not, however, prevent organisations from charging a cost for providing personal services such as television access or telephone services at the facility.</w:t>
      </w:r>
    </w:p>
    <w:p w14:paraId="346903B0" w14:textId="77777777" w:rsidR="000B27B9" w:rsidRPr="009834E9" w:rsidRDefault="000B27B9" w:rsidP="00B92CD4">
      <w:pPr>
        <w:pStyle w:val="Bodyafterbullets"/>
      </w:pPr>
      <w:r w:rsidRPr="009834E9">
        <w:lastRenderedPageBreak/>
        <w:t xml:space="preserve">The Department of Veterans’ Affairs agreement recognises that treatment </w:t>
      </w:r>
      <w:r>
        <w:t>for</w:t>
      </w:r>
      <w:r w:rsidRPr="009834E9">
        <w:t xml:space="preserve"> Department of Veterans’ Affairs patients may occasionally be subcontracted to a private hospital or facility. Where that private hospital or facility is contracted to the Department of Veterans’ Affairs, and claims for the service, the Department of Veterans’ Affairs will pay the facility directly through their payment arrangements with Medicare Australia. Under these circumstances</w:t>
      </w:r>
      <w:r>
        <w:t>,</w:t>
      </w:r>
      <w:r w:rsidRPr="009834E9">
        <w:t xml:space="preserve"> the public hospital cannot also claim payment separately for the treatment provided.</w:t>
      </w:r>
    </w:p>
    <w:p w14:paraId="7D1F0FB0" w14:textId="4CB13229" w:rsidR="000B27B9" w:rsidRPr="00566453" w:rsidRDefault="000B27B9" w:rsidP="00B92CD4">
      <w:pPr>
        <w:pStyle w:val="Bodyafterbullets"/>
      </w:pPr>
      <w:r w:rsidRPr="00566453">
        <w:t xml:space="preserve">Subcontracting for </w:t>
      </w:r>
      <w:r>
        <w:t>T</w:t>
      </w:r>
      <w:r w:rsidRPr="00566453">
        <w:t xml:space="preserve">ransition </w:t>
      </w:r>
      <w:r>
        <w:t>C</w:t>
      </w:r>
      <w:r w:rsidRPr="00566453">
        <w:t>are is exempt from this requirement</w:t>
      </w:r>
      <w:r>
        <w:t>, as public hospitals do not directly bill the Department of Veteran’s Affairs for this service</w:t>
      </w:r>
      <w:r w:rsidDel="00DD4958">
        <w:t xml:space="preserve"> </w:t>
      </w:r>
      <w:r w:rsidRPr="00566453">
        <w:t xml:space="preserve">(see </w:t>
      </w:r>
      <w:r w:rsidR="008069B6">
        <w:fldChar w:fldCharType="begin"/>
      </w:r>
      <w:r w:rsidR="008069B6">
        <w:instrText xml:space="preserve"> REF _Ref144127765 \h </w:instrText>
      </w:r>
      <w:r w:rsidR="008069B6">
        <w:fldChar w:fldCharType="separate"/>
      </w:r>
      <w:r w:rsidR="008069B6">
        <w:t xml:space="preserve">Table </w:t>
      </w:r>
      <w:r w:rsidR="008069B6">
        <w:rPr>
          <w:noProof/>
        </w:rPr>
        <w:t>1</w:t>
      </w:r>
      <w:r w:rsidR="008069B6">
        <w:t>.</w:t>
      </w:r>
      <w:r w:rsidR="008069B6">
        <w:rPr>
          <w:noProof/>
        </w:rPr>
        <w:t xml:space="preserve">9: </w:t>
      </w:r>
      <w:r w:rsidR="008069B6" w:rsidRPr="009E6E16">
        <w:t>Funding arrangements for Department of Veterans’ Affairs patients</w:t>
      </w:r>
      <w:r w:rsidR="008069B6">
        <w:fldChar w:fldCharType="end"/>
      </w:r>
      <w:r w:rsidR="000F75D0">
        <w:t>)</w:t>
      </w:r>
      <w:r>
        <w:t>.</w:t>
      </w:r>
    </w:p>
    <w:p w14:paraId="2BA9D983" w14:textId="15AD3CE1" w:rsidR="000B27B9" w:rsidRDefault="000B27B9" w:rsidP="00081936">
      <w:pPr>
        <w:pStyle w:val="Heading4"/>
        <w:numPr>
          <w:ilvl w:val="3"/>
          <w:numId w:val="33"/>
        </w:numPr>
      </w:pPr>
      <w:bookmarkStart w:id="472" w:name="_Hlk96978637"/>
      <w:r w:rsidRPr="001E7F44">
        <w:t xml:space="preserve">Transport </w:t>
      </w:r>
      <w:r w:rsidRPr="00E00A19">
        <w:t>A</w:t>
      </w:r>
      <w:r w:rsidRPr="000F0FC6">
        <w:t xml:space="preserve">ccident </w:t>
      </w:r>
      <w:r w:rsidRPr="00B42EEE">
        <w:t>C</w:t>
      </w:r>
      <w:r w:rsidRPr="00B74A4E">
        <w:t>ommission patients</w:t>
      </w:r>
      <w:bookmarkEnd w:id="471"/>
    </w:p>
    <w:bookmarkEnd w:id="472"/>
    <w:p w14:paraId="2E0A32C2" w14:textId="77777777" w:rsidR="000B27B9" w:rsidRPr="004D4780" w:rsidRDefault="000B27B9" w:rsidP="00F470B0">
      <w:pPr>
        <w:pStyle w:val="Heading5"/>
        <w:numPr>
          <w:ilvl w:val="0"/>
          <w:numId w:val="0"/>
        </w:numPr>
      </w:pPr>
      <w:r w:rsidRPr="004D4780">
        <w:t>Eligibility</w:t>
      </w:r>
    </w:p>
    <w:p w14:paraId="584A10D8" w14:textId="42421EB9" w:rsidR="000B27B9" w:rsidRDefault="000B27B9" w:rsidP="00B92CD4">
      <w:pPr>
        <w:pStyle w:val="Body"/>
      </w:pPr>
      <w:r>
        <w:t xml:space="preserve">Patients are required to complete and sign </w:t>
      </w:r>
      <w:r w:rsidR="00974B9F">
        <w:t>TAC</w:t>
      </w:r>
      <w:r>
        <w:t xml:space="preserve"> claim form before the TAC will accept responsibility for payment. Health services should make themselves aware of the form’s specific requirements. If health services’ data does not exactly match the details a patient has entered on a claim form, there will be significant delays in payment from the TAC while the errors are addressed by health services, the </w:t>
      </w:r>
      <w:r w:rsidR="00E05DFC">
        <w:t>TAC,</w:t>
      </w:r>
      <w:r>
        <w:t xml:space="preserve"> and the department.</w:t>
      </w:r>
    </w:p>
    <w:p w14:paraId="2C751C8A" w14:textId="3776C9FB" w:rsidR="000B27B9" w:rsidRDefault="000B27B9" w:rsidP="00F470B0">
      <w:pPr>
        <w:pStyle w:val="Heading5"/>
        <w:numPr>
          <w:ilvl w:val="0"/>
          <w:numId w:val="0"/>
        </w:numPr>
        <w:ind w:left="964" w:hanging="964"/>
        <w:rPr>
          <w:szCs w:val="24"/>
        </w:rPr>
      </w:pPr>
      <w:r w:rsidRPr="004D4780">
        <w:t xml:space="preserve">Funding </w:t>
      </w:r>
      <w:r w:rsidR="00BF1707">
        <w:t>a</w:t>
      </w:r>
      <w:r w:rsidR="00BF1707" w:rsidRPr="004D4780">
        <w:t>rrangements</w:t>
      </w:r>
    </w:p>
    <w:p w14:paraId="23D4AD75" w14:textId="1B2B11DC" w:rsidR="000B27B9" w:rsidRDefault="39EEE182" w:rsidP="00B92CD4">
      <w:pPr>
        <w:pStyle w:val="Body"/>
      </w:pPr>
      <w:r>
        <w:t xml:space="preserve">View </w:t>
      </w:r>
      <w:r w:rsidRPr="00863D12">
        <w:t>TAC rates</w:t>
      </w:r>
      <w:r>
        <w:t xml:space="preserve"> </w:t>
      </w:r>
      <w:r w:rsidR="3C4E282B">
        <w:t>at</w:t>
      </w:r>
      <w:r w:rsidRPr="00674F20">
        <w:t xml:space="preserve"> the </w:t>
      </w:r>
      <w:hyperlink r:id="rId72">
        <w:r w:rsidR="3C4E282B" w:rsidRPr="1E17C801">
          <w:rPr>
            <w:rStyle w:val="Hyperlink"/>
          </w:rPr>
          <w:t>Transport Accident Commission patients webpage</w:t>
        </w:r>
      </w:hyperlink>
      <w:r w:rsidRPr="00EF2996">
        <w:t xml:space="preserve"> &lt;</w:t>
      </w:r>
      <w:r w:rsidR="00BB305A" w:rsidRPr="00BB305A">
        <w:t>https://www.health.vic.gov.au/patient-fees-charges/transport-accident-commission-patients</w:t>
      </w:r>
      <w:r w:rsidRPr="00EF2996">
        <w:t>&gt;.</w:t>
      </w:r>
    </w:p>
    <w:p w14:paraId="0AAD03C9" w14:textId="77777777" w:rsidR="000B27B9" w:rsidRDefault="000B27B9" w:rsidP="00F470B0">
      <w:pPr>
        <w:pStyle w:val="Heading5"/>
        <w:numPr>
          <w:ilvl w:val="0"/>
          <w:numId w:val="0"/>
        </w:numPr>
        <w:ind w:left="964" w:hanging="964"/>
        <w:rPr>
          <w:szCs w:val="24"/>
        </w:rPr>
      </w:pPr>
      <w:r w:rsidRPr="00EF2996">
        <w:t>Payments</w:t>
      </w:r>
    </w:p>
    <w:p w14:paraId="2A76E932" w14:textId="4072DB76" w:rsidR="000B27B9" w:rsidRDefault="000B27B9" w:rsidP="00B92CD4">
      <w:pPr>
        <w:pStyle w:val="Body"/>
      </w:pPr>
      <w:r>
        <w:t xml:space="preserve">The department will continue to provide health services payments based on </w:t>
      </w:r>
      <w:r w:rsidR="26A6B840">
        <w:t xml:space="preserve">NWAU </w:t>
      </w:r>
      <w:r>
        <w:t>throughput.</w:t>
      </w:r>
    </w:p>
    <w:p w14:paraId="2EDCFF54" w14:textId="632F67A4" w:rsidR="000B27B9" w:rsidRDefault="000B27B9" w:rsidP="00B92CD4">
      <w:pPr>
        <w:pStyle w:val="Body"/>
      </w:pPr>
      <w:r>
        <w:t>Funding for TAC patients is provided to the department by the TAC. This is cash</w:t>
      </w:r>
      <w:r w:rsidR="00D9542F">
        <w:t>-</w:t>
      </w:r>
      <w:r>
        <w:t xml:space="preserve">flowed to health services throughout the year and adjusted to actual at year end based on data reconciled with the TAC. Separate uncapped TAC </w:t>
      </w:r>
      <w:r w:rsidR="2FACB545">
        <w:t xml:space="preserve">NWAU </w:t>
      </w:r>
      <w:r>
        <w:t xml:space="preserve">targets are incorporated into health service budgets for </w:t>
      </w:r>
      <w:r w:rsidR="0097705A" w:rsidRPr="000709F3">
        <w:t>202</w:t>
      </w:r>
      <w:r w:rsidR="00E264EC">
        <w:t>3</w:t>
      </w:r>
      <w:r w:rsidR="00BF1707">
        <w:t>–</w:t>
      </w:r>
      <w:r w:rsidR="0097705A" w:rsidRPr="000709F3">
        <w:t>2</w:t>
      </w:r>
      <w:r w:rsidR="00E264EC">
        <w:t>4</w:t>
      </w:r>
      <w:r w:rsidR="000709F3">
        <w:t>,</w:t>
      </w:r>
      <w:r>
        <w:t xml:space="preserve"> based on the latest available 12-month throughput reported.</w:t>
      </w:r>
    </w:p>
    <w:p w14:paraId="6F3BFD06" w14:textId="23FAF79A" w:rsidR="000B27B9" w:rsidRDefault="000B27B9" w:rsidP="00B92CD4">
      <w:pPr>
        <w:pStyle w:val="Body"/>
      </w:pPr>
      <w:r>
        <w:t>The department will only pay a rate applicable for all accepted TAC patients matched with TAC records including numbers in excess of the target. If health services do not achieve the TAC target, any funding that has been cash</w:t>
      </w:r>
      <w:r w:rsidR="00D9542F">
        <w:t>-</w:t>
      </w:r>
      <w:r>
        <w:t xml:space="preserve">flowed will be recalled at the full TAC rate. It is imperative that health services ensure their own records are complete, </w:t>
      </w:r>
      <w:r w:rsidR="00E05DFC">
        <w:t>comprehensive,</w:t>
      </w:r>
      <w:r>
        <w:t xml:space="preserve"> and timely.</w:t>
      </w:r>
    </w:p>
    <w:p w14:paraId="6B66C244" w14:textId="3D479F9B" w:rsidR="000B27B9" w:rsidRDefault="000B27B9" w:rsidP="00B92CD4">
      <w:pPr>
        <w:pStyle w:val="Body"/>
      </w:pPr>
      <w:r>
        <w:t>For the department to receive payment from the TAC, the TAC must accept the claim and issue a claim number. The patient information reported by health services to the department must match those held by the TAC for each admitted patient separation.</w:t>
      </w:r>
    </w:p>
    <w:p w14:paraId="6037AAE7" w14:textId="7FC2D1C0" w:rsidR="000B27B9" w:rsidRDefault="000B27B9" w:rsidP="00B92CD4">
      <w:pPr>
        <w:pStyle w:val="Body"/>
      </w:pPr>
      <w:r>
        <w:t>Health services should ensure their TAC records are updated, with TAC remittance advice fed back by the department. This will ensure updated records are accepted by the TAC and that delays in reconciling activity and payment for records are minimised.</w:t>
      </w:r>
    </w:p>
    <w:p w14:paraId="52A45807" w14:textId="1AF89949" w:rsidR="000B27B9" w:rsidRDefault="000B27B9" w:rsidP="00B92CD4">
      <w:pPr>
        <w:pStyle w:val="Body"/>
      </w:pPr>
      <w:r>
        <w:t xml:space="preserve">The department will </w:t>
      </w:r>
      <w:r w:rsidR="00C574D3">
        <w:t>cash-</w:t>
      </w:r>
      <w:r>
        <w:t xml:space="preserve">flow TAC funding to accepted TAC cases. If a TAC claim is later rejected, the department will automatically fund the claim using public </w:t>
      </w:r>
      <w:r w:rsidR="30230464">
        <w:t xml:space="preserve">NWAU </w:t>
      </w:r>
      <w:r>
        <w:t>in the prior</w:t>
      </w:r>
      <w:r w:rsidR="006B4DBF">
        <w:t>-</w:t>
      </w:r>
      <w:r>
        <w:t xml:space="preserve">year adjustment process unless the health service has exceeded its </w:t>
      </w:r>
      <w:r w:rsidR="4D3C9456">
        <w:t xml:space="preserve">NWAU </w:t>
      </w:r>
      <w:r>
        <w:t>target.</w:t>
      </w:r>
    </w:p>
    <w:p w14:paraId="05D1E4E8" w14:textId="2CA7E708" w:rsidR="000B27B9" w:rsidRDefault="000B27B9" w:rsidP="00B92CD4">
      <w:pPr>
        <w:pStyle w:val="Body"/>
      </w:pPr>
      <w:r>
        <w:t xml:space="preserve">To minimise errors and delays, health services are required to ensure that the information is entered accurately and to proactively identify and resolve errors before sending the data to the TAC or to the department. Errors that are not accurately corrected by health services, such as an incorrect date of </w:t>
      </w:r>
      <w:r>
        <w:lastRenderedPageBreak/>
        <w:t>birth, continually cycle through both the department and the TAC databases and remain unmatched and consequently unfunded. This requires additional review, reconciliation and problem</w:t>
      </w:r>
      <w:r w:rsidR="00700C1A">
        <w:t>-</w:t>
      </w:r>
      <w:r>
        <w:t xml:space="preserve">solving by the health services, the </w:t>
      </w:r>
      <w:r w:rsidR="00E05DFC">
        <w:t>department,</w:t>
      </w:r>
      <w:r>
        <w:t xml:space="preserve"> and the TAC.</w:t>
      </w:r>
    </w:p>
    <w:p w14:paraId="60473C05" w14:textId="77777777" w:rsidR="000B27B9" w:rsidRDefault="000B27B9" w:rsidP="00B92CD4">
      <w:pPr>
        <w:pStyle w:val="Body"/>
      </w:pPr>
      <w:r>
        <w:t>If a claim is not accepted by the TAC, either:</w:t>
      </w:r>
    </w:p>
    <w:p w14:paraId="27D67E4F" w14:textId="77777777" w:rsidR="000B27B9" w:rsidRDefault="0A1BEBA3" w:rsidP="00E05C4E">
      <w:pPr>
        <w:pStyle w:val="Bullet1"/>
      </w:pPr>
      <w:r>
        <w:t>health services must transmit additional or corrected information to allow the claim to be accepted</w:t>
      </w:r>
    </w:p>
    <w:p w14:paraId="6AB86527" w14:textId="77777777" w:rsidR="000B27B9" w:rsidRDefault="0A1BEBA3" w:rsidP="00E05C4E">
      <w:pPr>
        <w:pStyle w:val="Bullet1"/>
      </w:pPr>
      <w:r>
        <w:t>claims should be retrospectively reclassified to reflect the patient’s changed care type or preferences.</w:t>
      </w:r>
    </w:p>
    <w:p w14:paraId="3F0D7BCF" w14:textId="4E1D3B64" w:rsidR="000B27B9" w:rsidRDefault="000B27B9" w:rsidP="00B92CD4">
      <w:pPr>
        <w:pStyle w:val="Bodyafterbullets"/>
      </w:pPr>
      <w:r>
        <w:t>The department will not make changes for denied or rejected claims after consolidation through the prior</w:t>
      </w:r>
      <w:r w:rsidR="006B4DBF">
        <w:t>-</w:t>
      </w:r>
      <w:r>
        <w:t xml:space="preserve">year’s adjustment. Health services are required to make changes before </w:t>
      </w:r>
      <w:r w:rsidR="3B5B08E1">
        <w:t>consolidation</w:t>
      </w:r>
      <w:r>
        <w:t>, otherwise funding will not be paid at either the TAC or public rate.</w:t>
      </w:r>
    </w:p>
    <w:p w14:paraId="03538A98" w14:textId="5EDC2090" w:rsidR="000B27B9" w:rsidRDefault="000B27B9" w:rsidP="00F470B0">
      <w:pPr>
        <w:pStyle w:val="Heading5"/>
        <w:numPr>
          <w:ilvl w:val="0"/>
          <w:numId w:val="0"/>
        </w:numPr>
        <w:ind w:left="964" w:hanging="964"/>
        <w:rPr>
          <w:szCs w:val="24"/>
        </w:rPr>
      </w:pPr>
      <w:r w:rsidRPr="004D4780">
        <w:t xml:space="preserve">Additional </w:t>
      </w:r>
      <w:r w:rsidR="00BF1707">
        <w:t>i</w:t>
      </w:r>
      <w:r w:rsidR="00BF1707" w:rsidRPr="004D4780">
        <w:t>nformation</w:t>
      </w:r>
    </w:p>
    <w:p w14:paraId="36F8AD41" w14:textId="3DDA253B" w:rsidR="000B27B9" w:rsidRDefault="000B27B9" w:rsidP="00B92CD4">
      <w:pPr>
        <w:pStyle w:val="Body"/>
      </w:pPr>
      <w:r>
        <w:t>More detailed information on the TAC’s</w:t>
      </w:r>
      <w:r w:rsidRPr="001D6BD3">
        <w:t xml:space="preserve"> policy</w:t>
      </w:r>
      <w:r>
        <w:t xml:space="preserve">, services and funding is available at </w:t>
      </w:r>
      <w:hyperlink r:id="rId73" w:history="1">
        <w:r w:rsidR="00EF2996">
          <w:rPr>
            <w:rStyle w:val="Hyperlink"/>
          </w:rPr>
          <w:t>TAC</w:t>
        </w:r>
        <w:r w:rsidR="00BF1707">
          <w:rPr>
            <w:rStyle w:val="Hyperlink"/>
          </w:rPr>
          <w:t>’s</w:t>
        </w:r>
        <w:r w:rsidR="00EF2996">
          <w:rPr>
            <w:rStyle w:val="Hyperlink"/>
          </w:rPr>
          <w:t xml:space="preserve"> </w:t>
        </w:r>
        <w:r w:rsidR="00BF1707">
          <w:rPr>
            <w:rStyle w:val="Hyperlink"/>
          </w:rPr>
          <w:t>‘</w:t>
        </w:r>
        <w:r w:rsidR="00EF2996">
          <w:rPr>
            <w:rStyle w:val="Hyperlink"/>
          </w:rPr>
          <w:t>For providers</w:t>
        </w:r>
      </w:hyperlink>
      <w:r w:rsidR="00BF1707">
        <w:rPr>
          <w:rStyle w:val="Hyperlink"/>
        </w:rPr>
        <w:t>’ webpage</w:t>
      </w:r>
      <w:r>
        <w:t xml:space="preserve"> &lt;</w:t>
      </w:r>
      <w:r w:rsidRPr="00F472F9">
        <w:t>http</w:t>
      </w:r>
      <w:r>
        <w:t>s</w:t>
      </w:r>
      <w:r w:rsidRPr="00F472F9">
        <w:t>://www.tac.vic.gov.au/providers</w:t>
      </w:r>
      <w:r>
        <w:t>&gt;.</w:t>
      </w:r>
    </w:p>
    <w:p w14:paraId="7D1B6DC1" w14:textId="685F9C8B" w:rsidR="000B27B9" w:rsidRDefault="000B27B9" w:rsidP="00B92CD4">
      <w:pPr>
        <w:pStyle w:val="Body"/>
      </w:pPr>
      <w:r>
        <w:t>Agreed amendments to the current services and prices will be documented on the department’s fees and charges website</w:t>
      </w:r>
      <w:r w:rsidR="5A312A85">
        <w:t>.</w:t>
      </w:r>
    </w:p>
    <w:p w14:paraId="204E7F79" w14:textId="614CDAD1" w:rsidR="000B27B9" w:rsidRDefault="000B27B9" w:rsidP="00081936">
      <w:pPr>
        <w:pStyle w:val="Heading4"/>
        <w:numPr>
          <w:ilvl w:val="3"/>
          <w:numId w:val="33"/>
        </w:numPr>
      </w:pPr>
      <w:bookmarkStart w:id="473" w:name="_Toc418694980"/>
      <w:r w:rsidRPr="001E7F44">
        <w:t>Victorian WorkCover</w:t>
      </w:r>
      <w:r w:rsidRPr="00E00A19">
        <w:t xml:space="preserve"> Au</w:t>
      </w:r>
      <w:r w:rsidRPr="000F0FC6">
        <w:t>t</w:t>
      </w:r>
      <w:r w:rsidRPr="00B42EEE">
        <w:t>h</w:t>
      </w:r>
      <w:r w:rsidRPr="00B74A4E">
        <w:t>ority</w:t>
      </w:r>
      <w:r w:rsidRPr="00FE7B18">
        <w:t xml:space="preserve"> </w:t>
      </w:r>
      <w:bookmarkEnd w:id="473"/>
      <w:r w:rsidR="00BF1707">
        <w:t>p</w:t>
      </w:r>
      <w:r w:rsidR="00BF1707" w:rsidRPr="00FE7B18">
        <w:t>atients</w:t>
      </w:r>
    </w:p>
    <w:p w14:paraId="7E7D1042" w14:textId="54F18B0F" w:rsidR="000B27B9" w:rsidRDefault="000B27B9" w:rsidP="00B92CD4">
      <w:pPr>
        <w:pStyle w:val="Body"/>
      </w:pPr>
      <w:bookmarkStart w:id="474" w:name="_Toc418694981"/>
      <w:r>
        <w:t xml:space="preserve">Victorian WorkCover Authority patients treated in Victorian health services are directly funded by Victorian WorkCover Authority insurers. This process will continue in </w:t>
      </w:r>
      <w:r w:rsidR="5A312A85">
        <w:t>202</w:t>
      </w:r>
      <w:r w:rsidR="006C4B33">
        <w:t>3</w:t>
      </w:r>
      <w:r w:rsidR="5A312A85">
        <w:t>–2</w:t>
      </w:r>
      <w:r w:rsidR="006C4B33">
        <w:t>4</w:t>
      </w:r>
      <w:r>
        <w:t xml:space="preserve"> at the rates agreed between the authority and the department on behalf of health services.</w:t>
      </w:r>
    </w:p>
    <w:p w14:paraId="1EE5A2DF" w14:textId="77777777" w:rsidR="000B27B9" w:rsidRDefault="000B27B9" w:rsidP="00B92CD4">
      <w:pPr>
        <w:pStyle w:val="Body"/>
      </w:pPr>
      <w:r>
        <w:t>Patients treated in an emergency department only will continue to be directly billed to the Victorian WorkCover Authority at a flat rate per attendance. This rate will apply to all emergency department attendances (in lieu of the previously charged facility fee). Health services should also bill the Victorian WorkCover Authority directly for medical and diagnostic costs.</w:t>
      </w:r>
    </w:p>
    <w:p w14:paraId="6AA61841" w14:textId="5D46B76F" w:rsidR="000B27B9" w:rsidRDefault="000B27B9" w:rsidP="00B92CD4">
      <w:pPr>
        <w:pStyle w:val="Body"/>
      </w:pPr>
      <w:r>
        <w:t xml:space="preserve">Read more about the </w:t>
      </w:r>
      <w:r w:rsidRPr="00863D12">
        <w:t>current services and prices</w:t>
      </w:r>
      <w:r>
        <w:t xml:space="preserve"> </w:t>
      </w:r>
      <w:r w:rsidR="00572AF9">
        <w:t>at</w:t>
      </w:r>
      <w:r>
        <w:t xml:space="preserve"> the </w:t>
      </w:r>
      <w:hyperlink r:id="rId74" w:history="1">
        <w:r w:rsidR="00572AF9" w:rsidRPr="00572AF9">
          <w:rPr>
            <w:rStyle w:val="Hyperlink"/>
          </w:rPr>
          <w:t>Worksafe patients webpage</w:t>
        </w:r>
      </w:hyperlink>
      <w:r>
        <w:t xml:space="preserve"> &lt;</w:t>
      </w:r>
      <w:r w:rsidR="00790F74" w:rsidRPr="00790F74">
        <w:t>https://www.health.vic.gov.au/patient-fees-charges/worksafe-patients</w:t>
      </w:r>
      <w:r>
        <w:t>&gt;.</w:t>
      </w:r>
    </w:p>
    <w:p w14:paraId="00FD6E41" w14:textId="77777777" w:rsidR="000B27B9" w:rsidRDefault="000B27B9" w:rsidP="00081936">
      <w:pPr>
        <w:pStyle w:val="Heading4"/>
        <w:numPr>
          <w:ilvl w:val="3"/>
          <w:numId w:val="33"/>
        </w:numPr>
      </w:pPr>
      <w:r>
        <w:t>Prisoners</w:t>
      </w:r>
      <w:bookmarkEnd w:id="474"/>
    </w:p>
    <w:p w14:paraId="157B51AA" w14:textId="77777777" w:rsidR="000B27B9" w:rsidRDefault="000B27B9" w:rsidP="00B92CD4">
      <w:pPr>
        <w:pStyle w:val="Body"/>
      </w:pPr>
      <w:bookmarkStart w:id="475" w:name="_Toc418694982"/>
      <w:r>
        <w:t>Prisoners receiving admitted, emergency department and specialist clinic services in Victorian public hospitals are treated and funded as public patients. The following arrangements apply:</w:t>
      </w:r>
    </w:p>
    <w:p w14:paraId="36F89404" w14:textId="0DB24C96" w:rsidR="000B27B9" w:rsidRPr="00A526A8" w:rsidRDefault="30B09769" w:rsidP="00E05C4E">
      <w:pPr>
        <w:pStyle w:val="Bullet1"/>
      </w:pPr>
      <w:r>
        <w:t xml:space="preserve">acute </w:t>
      </w:r>
      <w:r w:rsidR="0A1BEBA3">
        <w:t xml:space="preserve">admitted activity is funded </w:t>
      </w:r>
      <w:r w:rsidR="006F6237">
        <w:t xml:space="preserve">through </w:t>
      </w:r>
      <w:r w:rsidR="0A1BEBA3">
        <w:t xml:space="preserve">the </w:t>
      </w:r>
      <w:r w:rsidR="574E89C6">
        <w:t>NWAU</w:t>
      </w:r>
      <w:r w:rsidR="0A1BEBA3">
        <w:t xml:space="preserve"> price</w:t>
      </w:r>
    </w:p>
    <w:p w14:paraId="795337B3" w14:textId="4CD6CE3E" w:rsidR="000B27B9" w:rsidRPr="00A3032F" w:rsidRDefault="30B09769" w:rsidP="00E05C4E">
      <w:pPr>
        <w:pStyle w:val="Bullet1"/>
      </w:pPr>
      <w:r>
        <w:t xml:space="preserve">admitted </w:t>
      </w:r>
      <w:r w:rsidR="0A1BEBA3">
        <w:t xml:space="preserve">subacute services are funded </w:t>
      </w:r>
      <w:r w:rsidR="00920A07">
        <w:t xml:space="preserve">through </w:t>
      </w:r>
      <w:r w:rsidR="0A1BEBA3">
        <w:t xml:space="preserve">the </w:t>
      </w:r>
      <w:r w:rsidR="1FF4CAA7">
        <w:t>NWAU</w:t>
      </w:r>
      <w:r w:rsidR="0A1BEBA3">
        <w:t xml:space="preserve"> price</w:t>
      </w:r>
    </w:p>
    <w:p w14:paraId="088CD93F" w14:textId="08FD9713" w:rsidR="000B27B9" w:rsidRPr="00A3032F" w:rsidRDefault="30B09769" w:rsidP="00E05C4E">
      <w:pPr>
        <w:pStyle w:val="Bullet1"/>
      </w:pPr>
      <w:r>
        <w:t xml:space="preserve">emergency </w:t>
      </w:r>
      <w:r w:rsidR="0A1BEBA3">
        <w:t xml:space="preserve">department services are funded through the </w:t>
      </w:r>
      <w:r w:rsidR="5C5DB34B">
        <w:t>NWAU price</w:t>
      </w:r>
    </w:p>
    <w:p w14:paraId="1E770C3F" w14:textId="7668CE82" w:rsidR="000B27B9" w:rsidRPr="00A3032F" w:rsidRDefault="30B09769" w:rsidP="00E05C4E">
      <w:pPr>
        <w:pStyle w:val="Bullet1"/>
      </w:pPr>
      <w:r>
        <w:t xml:space="preserve">specialist </w:t>
      </w:r>
      <w:r w:rsidR="0A1BEBA3">
        <w:t xml:space="preserve">clinic services are funded </w:t>
      </w:r>
      <w:r w:rsidR="00920A07">
        <w:t xml:space="preserve">through </w:t>
      </w:r>
      <w:r w:rsidR="00CF119D">
        <w:t>the</w:t>
      </w:r>
      <w:r w:rsidR="00920A07">
        <w:t xml:space="preserve"> </w:t>
      </w:r>
      <w:r w:rsidR="00CF119D">
        <w:t>NWAU price</w:t>
      </w:r>
    </w:p>
    <w:p w14:paraId="581D95DE" w14:textId="2D5F5A16" w:rsidR="000B27B9" w:rsidRPr="00A3032F" w:rsidRDefault="30B09769" w:rsidP="00E05C4E">
      <w:pPr>
        <w:pStyle w:val="Bullet1"/>
      </w:pPr>
      <w:r>
        <w:t xml:space="preserve">health </w:t>
      </w:r>
      <w:r w:rsidR="0A1BEBA3">
        <w:t>services should not bill the Department of Justice and Regulation via primary care providers for these services provided to prisoners.</w:t>
      </w:r>
    </w:p>
    <w:p w14:paraId="020B3C58" w14:textId="77777777" w:rsidR="000B27B9" w:rsidRDefault="000B27B9" w:rsidP="00B92CD4">
      <w:pPr>
        <w:pStyle w:val="Bodyafterbullets"/>
      </w:pPr>
      <w:r>
        <w:t>Health services should ensure they:</w:t>
      </w:r>
    </w:p>
    <w:p w14:paraId="0416B585" w14:textId="6172284C" w:rsidR="000B27B9" w:rsidRPr="00A3032F" w:rsidRDefault="0A1BEBA3" w:rsidP="00E05C4E">
      <w:pPr>
        <w:pStyle w:val="Bullet1"/>
      </w:pPr>
      <w:r>
        <w:t xml:space="preserve">report all prisoners to the VAED with the account class ‘JP – </w:t>
      </w:r>
      <w:r w:rsidR="00105FB4">
        <w:t xml:space="preserve">prisoner’ </w:t>
      </w:r>
      <w:r>
        <w:t xml:space="preserve">or ‘JN – </w:t>
      </w:r>
      <w:r w:rsidR="009150FB">
        <w:t xml:space="preserve">prisoner </w:t>
      </w:r>
      <w:r w:rsidR="00105FB4">
        <w:t>non</w:t>
      </w:r>
      <w:r>
        <w:t>-</w:t>
      </w:r>
      <w:r w:rsidR="00105FB4">
        <w:t xml:space="preserve">acute’ </w:t>
      </w:r>
      <w:r>
        <w:t>as relevant and a Medicare Suffix of P-N</w:t>
      </w:r>
    </w:p>
    <w:p w14:paraId="763E4F9C" w14:textId="77777777" w:rsidR="000B27B9" w:rsidRPr="00A3032F" w:rsidRDefault="0A1BEBA3" w:rsidP="00E05C4E">
      <w:pPr>
        <w:pStyle w:val="Bullet1"/>
      </w:pPr>
      <w:r>
        <w:lastRenderedPageBreak/>
        <w:t>record the ‘type of usual accommodation’ data element in the VEMD as ‘prison/remand centre/youth training centre’ and a Medicare Suffix of P-N</w:t>
      </w:r>
    </w:p>
    <w:p w14:paraId="4F810F85" w14:textId="401E936C" w:rsidR="000B27B9" w:rsidRDefault="0A1BEBA3" w:rsidP="00E05C4E">
      <w:pPr>
        <w:pStyle w:val="Bullet1"/>
      </w:pPr>
      <w:r>
        <w:t xml:space="preserve">report all prisoners to </w:t>
      </w:r>
      <w:r w:rsidR="7FD63D7D">
        <w:t>the VINAH minimum dataset</w:t>
      </w:r>
      <w:r>
        <w:t xml:space="preserve"> with the contact account class ‘JP – </w:t>
      </w:r>
      <w:r w:rsidR="00105FB4">
        <w:t xml:space="preserve">prisoner’ </w:t>
      </w:r>
      <w:r>
        <w:t xml:space="preserve">and </w:t>
      </w:r>
      <w:r w:rsidR="00105FB4">
        <w:t xml:space="preserve">contact client </w:t>
      </w:r>
      <w:r>
        <w:t xml:space="preserve">Medicare </w:t>
      </w:r>
      <w:r w:rsidR="00105FB4">
        <w:t xml:space="preserve">suffix </w:t>
      </w:r>
      <w:r>
        <w:t>of P-N.</w:t>
      </w:r>
    </w:p>
    <w:p w14:paraId="253D359D" w14:textId="2500BFDB" w:rsidR="000B27B9" w:rsidRPr="00FE3A80" w:rsidRDefault="000B27B9" w:rsidP="00B92CD4">
      <w:pPr>
        <w:pStyle w:val="Bodyafterbullets"/>
      </w:pPr>
      <w:r>
        <w:t xml:space="preserve">Health services are not permitted to raise additional fees or charges for pharmaceuticals or other items described in </w:t>
      </w:r>
      <w:r w:rsidRPr="008424C9">
        <w:t>section</w:t>
      </w:r>
      <w:r w:rsidR="00105FB4">
        <w:t xml:space="preserve"> </w:t>
      </w:r>
      <w:r w:rsidR="00105FB4">
        <w:fldChar w:fldCharType="begin"/>
      </w:r>
      <w:r w:rsidR="00105FB4">
        <w:instrText xml:space="preserve"> REF _Ref144128947 \r \h </w:instrText>
      </w:r>
      <w:r w:rsidR="00105FB4">
        <w:fldChar w:fldCharType="separate"/>
      </w:r>
      <w:r w:rsidR="00E50E75">
        <w:t>1.23.3</w:t>
      </w:r>
      <w:r w:rsidR="00105FB4">
        <w:fldChar w:fldCharType="end"/>
      </w:r>
      <w:r w:rsidRPr="008424C9">
        <w:t xml:space="preserve"> ‘</w:t>
      </w:r>
      <w:r>
        <w:rPr>
          <w:color w:val="2B579A"/>
          <w:shd w:val="clear" w:color="auto" w:fill="E6E6E6"/>
        </w:rPr>
        <w:fldChar w:fldCharType="begin"/>
      </w:r>
      <w:r>
        <w:instrText xml:space="preserve"> REF _Ref9933651 \h </w:instrText>
      </w:r>
      <w:r>
        <w:rPr>
          <w:color w:val="2B579A"/>
          <w:shd w:val="clear" w:color="auto" w:fill="E6E6E6"/>
        </w:rPr>
      </w:r>
      <w:r>
        <w:rPr>
          <w:color w:val="2B579A"/>
          <w:shd w:val="clear" w:color="auto" w:fill="E6E6E6"/>
        </w:rPr>
        <w:fldChar w:fldCharType="separate"/>
      </w:r>
      <w:r w:rsidR="00892F13">
        <w:t>Health service fees and charges</w:t>
      </w:r>
      <w:r>
        <w:rPr>
          <w:color w:val="2B579A"/>
          <w:shd w:val="clear" w:color="auto" w:fill="E6E6E6"/>
        </w:rPr>
        <w:fldChar w:fldCharType="end"/>
      </w:r>
      <w:r w:rsidRPr="008424C9">
        <w:t>’.</w:t>
      </w:r>
    </w:p>
    <w:p w14:paraId="383E88C6" w14:textId="2ABD6E43" w:rsidR="000B27B9" w:rsidRDefault="00105FB4" w:rsidP="00081936">
      <w:pPr>
        <w:pStyle w:val="Heading4"/>
        <w:numPr>
          <w:ilvl w:val="3"/>
          <w:numId w:val="33"/>
        </w:numPr>
      </w:pPr>
      <w:r>
        <w:t xml:space="preserve">Direct-billing-compensable </w:t>
      </w:r>
      <w:bookmarkEnd w:id="475"/>
      <w:r>
        <w:t>patients</w:t>
      </w:r>
    </w:p>
    <w:p w14:paraId="5211EB5F" w14:textId="77777777" w:rsidR="000B27B9" w:rsidRDefault="000B27B9" w:rsidP="00B92CD4">
      <w:pPr>
        <w:pStyle w:val="Body"/>
      </w:pPr>
      <w:r>
        <w:t>For compensable patients who are directly billed, the following arrangements are in place:</w:t>
      </w:r>
    </w:p>
    <w:p w14:paraId="147F7461" w14:textId="432C7E52" w:rsidR="000B27B9" w:rsidRDefault="0A1BEBA3" w:rsidP="00E05C4E">
      <w:pPr>
        <w:pStyle w:val="Bullet1"/>
      </w:pPr>
      <w:r>
        <w:t>armed services – paid by the Department of Defence and billed through BUPA – paid by private health insurers that cover care for international seafarers</w:t>
      </w:r>
    </w:p>
    <w:p w14:paraId="78A0710C" w14:textId="77777777" w:rsidR="000B27B9" w:rsidRDefault="0A1BEBA3" w:rsidP="00E05C4E">
      <w:pPr>
        <w:pStyle w:val="Bullet1"/>
      </w:pPr>
      <w:r>
        <w:t>common law recoveries – paid by a third party where health costs are provided for under a common law damages claim</w:t>
      </w:r>
    </w:p>
    <w:p w14:paraId="3E1DC1F6" w14:textId="45FCC072" w:rsidR="000B27B9" w:rsidRDefault="0A1BEBA3" w:rsidP="00E05C4E">
      <w:pPr>
        <w:pStyle w:val="Bullet1"/>
      </w:pPr>
      <w:r>
        <w:t xml:space="preserve">other </w:t>
      </w:r>
      <w:r w:rsidR="0D382ECF">
        <w:t>compensable</w:t>
      </w:r>
      <w:r>
        <w:t xml:space="preserve"> </w:t>
      </w:r>
      <w:r w:rsidR="0D382ECF">
        <w:t>patients</w:t>
      </w:r>
      <w:r>
        <w:t>– paid by a third party where health costs are provided for under a public liability claim.</w:t>
      </w:r>
    </w:p>
    <w:p w14:paraId="16A6C3BA" w14:textId="44BDC5D3" w:rsidR="000B27B9" w:rsidRDefault="000B27B9" w:rsidP="00B92CD4">
      <w:pPr>
        <w:pStyle w:val="Bodyafterbullets"/>
      </w:pPr>
      <w:r>
        <w:t xml:space="preserve">For these patients, health services should directly bill the relevant organisation responsible for payment. Billing rates are as determined by health services and should be set to provide for full cost recovery. Recommended fees are outlined in the </w:t>
      </w:r>
      <w:r w:rsidR="00117767">
        <w:t xml:space="preserve">policies </w:t>
      </w:r>
      <w:r w:rsidR="00C369DB">
        <w:t>on the</w:t>
      </w:r>
      <w:r w:rsidR="00117767">
        <w:t xml:space="preserve"> </w:t>
      </w:r>
      <w:hyperlink r:id="rId75" w:history="1">
        <w:r w:rsidR="00117767" w:rsidRPr="00B75888">
          <w:rPr>
            <w:rStyle w:val="Hyperlink"/>
          </w:rPr>
          <w:t>Patient fees and charges for public health services</w:t>
        </w:r>
      </w:hyperlink>
      <w:r>
        <w:t xml:space="preserve"> </w:t>
      </w:r>
      <w:r w:rsidR="00C369DB">
        <w:t xml:space="preserve">website </w:t>
      </w:r>
      <w:r>
        <w:t>&lt;</w:t>
      </w:r>
      <w:r w:rsidR="00B71843" w:rsidRPr="00B71843">
        <w:t>https://www.health.vic.gov.au/hospitals-and-health-services/patient-fees-and-charges-for-public-health-services</w:t>
      </w:r>
      <w:r>
        <w:t>&gt;.</w:t>
      </w:r>
    </w:p>
    <w:p w14:paraId="202FE72E" w14:textId="77777777" w:rsidR="006A39E9" w:rsidRDefault="006A39E9" w:rsidP="00B92CD4">
      <w:pPr>
        <w:pStyle w:val="Bodyafterbullets"/>
      </w:pPr>
    </w:p>
    <w:p w14:paraId="1C294F84" w14:textId="0892DAEA" w:rsidR="005743DF" w:rsidRDefault="1350DF47" w:rsidP="00685B35">
      <w:pPr>
        <w:pStyle w:val="Heading2"/>
        <w:rPr>
          <w:rFonts w:eastAsia="Arial"/>
        </w:rPr>
      </w:pPr>
      <w:bookmarkStart w:id="476" w:name="_Toc100263336"/>
      <w:bookmarkStart w:id="477" w:name="_Toc156569668"/>
      <w:r>
        <w:lastRenderedPageBreak/>
        <w:t xml:space="preserve">Improving </w:t>
      </w:r>
      <w:r w:rsidR="00105FB4">
        <w:t xml:space="preserve">health outcomes </w:t>
      </w:r>
      <w:r w:rsidR="67C2F286">
        <w:t xml:space="preserve">for Aboriginal and Torres Strait Islander </w:t>
      </w:r>
      <w:r w:rsidR="00105FB4">
        <w:t>patients</w:t>
      </w:r>
      <w:bookmarkEnd w:id="476"/>
      <w:bookmarkEnd w:id="477"/>
    </w:p>
    <w:p w14:paraId="3A0489A4" w14:textId="3409819B" w:rsidR="00AC250F" w:rsidRPr="00A8503C" w:rsidRDefault="00D80976" w:rsidP="00685B35">
      <w:r w:rsidRPr="00D80976">
        <w:t>All health services receive a pricing adjustment of 4 per cent using NWAU to support the provision of culturally safe services to Aboriginal patients</w:t>
      </w:r>
      <w:r>
        <w:t>.</w:t>
      </w:r>
      <w:r>
        <w:rPr>
          <w:i/>
          <w:iCs/>
        </w:rPr>
        <w:t xml:space="preserve"> </w:t>
      </w:r>
      <w:r w:rsidR="0729AFF2" w:rsidRPr="00AE6427">
        <w:t>In addition to this, health services with larger Ab</w:t>
      </w:r>
      <w:r w:rsidR="0729AFF2" w:rsidRPr="009E5137">
        <w:t xml:space="preserve">original populations across their catchment receive an </w:t>
      </w:r>
      <w:hyperlink r:id="rId76" w:history="1">
        <w:r w:rsidR="0729AFF2" w:rsidRPr="00C369DB">
          <w:rPr>
            <w:rStyle w:val="Hyperlink"/>
          </w:rPr>
          <w:t>Aboriginal cultural safety fixed grant</w:t>
        </w:r>
      </w:hyperlink>
      <w:r w:rsidR="0729AFF2" w:rsidRPr="00AE6427">
        <w:t xml:space="preserve"> </w:t>
      </w:r>
      <w:r w:rsidR="00A875A9" w:rsidRPr="009E5137">
        <w:t>&lt;https://</w:t>
      </w:r>
      <w:r w:rsidR="00C75D1B" w:rsidRPr="000F3F7F">
        <w:t>www</w:t>
      </w:r>
      <w:r w:rsidR="00A875A9" w:rsidRPr="00AA2842">
        <w:t>.health.vic.gov.au/publications/</w:t>
      </w:r>
      <w:r w:rsidR="00C75D1B" w:rsidRPr="00AA2842">
        <w:t>aboriginal-cultural-safety-fixed-grant-guidelines-cultural-safety-planning-and</w:t>
      </w:r>
      <w:r w:rsidR="00A875A9" w:rsidRPr="006214A1">
        <w:t>&gt;.</w:t>
      </w:r>
      <w:r w:rsidR="00DB71D3" w:rsidRPr="00F91AB2">
        <w:t xml:space="preserve"> This Aboriginal cultural safety funding </w:t>
      </w:r>
      <w:r w:rsidR="003A3AB0">
        <w:t>aims</w:t>
      </w:r>
      <w:r w:rsidR="00DB71D3" w:rsidRPr="00F91AB2">
        <w:t xml:space="preserve"> to build health services’ responses to cultural safety</w:t>
      </w:r>
      <w:r w:rsidR="4EDA2ADB" w:rsidRPr="00F91AB2">
        <w:t xml:space="preserve"> and</w:t>
      </w:r>
      <w:r w:rsidR="00DB71D3" w:rsidRPr="001472D4">
        <w:t xml:space="preserve"> improve health outcomes for Aboriginal people attending Victorian public hospitals</w:t>
      </w:r>
      <w:r w:rsidR="4EDA2ADB" w:rsidRPr="005960F1">
        <w:t>.</w:t>
      </w:r>
    </w:p>
    <w:p w14:paraId="3448D19E" w14:textId="1D927B29" w:rsidR="003A3AB0" w:rsidRDefault="0EDBA812" w:rsidP="006A39E9">
      <w:pPr>
        <w:pStyle w:val="Body"/>
      </w:pPr>
      <w:r>
        <w:t xml:space="preserve">All health services, regardless of funding arrangements, </w:t>
      </w:r>
      <w:r w:rsidR="001E020D">
        <w:t>must</w:t>
      </w:r>
      <w:r>
        <w:t xml:space="preserve"> deliver culturally safe services as articulated in the Statement of Priorities. This requires health services to build</w:t>
      </w:r>
      <w:r w:rsidR="003D63C2">
        <w:t xml:space="preserve"> stronger</w:t>
      </w:r>
      <w:r>
        <w:t xml:space="preserve"> </w:t>
      </w:r>
      <w:r w:rsidR="00AB23DA" w:rsidRPr="00AB23DA">
        <w:t>relationships with Aboriginal</w:t>
      </w:r>
      <w:r w:rsidR="003D63C2">
        <w:t xml:space="preserve"> Victorians and the organisations that represent </w:t>
      </w:r>
      <w:r w:rsidR="002768F2">
        <w:t xml:space="preserve">so self-determined, culturally safe health care is delivered as a matter of course in public hospitals. </w:t>
      </w:r>
    </w:p>
    <w:p w14:paraId="74DCC335" w14:textId="671245D4" w:rsidR="00AB23DA" w:rsidRPr="00AB23DA" w:rsidRDefault="00AB23DA" w:rsidP="006A39E9">
      <w:pPr>
        <w:pStyle w:val="Body"/>
      </w:pPr>
      <w:r w:rsidRPr="00AB23DA">
        <w:t xml:space="preserve">Health services </w:t>
      </w:r>
      <w:r w:rsidR="0EDBA812">
        <w:t xml:space="preserve">in receipt of the Aboriginal cultural safety fixed grant </w:t>
      </w:r>
      <w:r w:rsidRPr="00AB23DA">
        <w:t>are required to</w:t>
      </w:r>
      <w:r w:rsidR="0EDBA812">
        <w:t xml:space="preserve"> provide </w:t>
      </w:r>
      <w:r w:rsidRPr="00AB23DA">
        <w:t>cultural safety plans and progress reports</w:t>
      </w:r>
      <w:r w:rsidR="0EDBA812">
        <w:t xml:space="preserve"> annually to the department. The p</w:t>
      </w:r>
      <w:r w:rsidRPr="00AB23DA">
        <w:t xml:space="preserve">lans and progress reports outline cultural safety activity, outcomes and </w:t>
      </w:r>
      <w:r w:rsidR="0EDBA812">
        <w:t>acquittal of</w:t>
      </w:r>
      <w:r w:rsidRPr="00AB23DA">
        <w:t xml:space="preserve"> the cultural safety funding</w:t>
      </w:r>
      <w:r w:rsidR="0EDBA812">
        <w:t>.</w:t>
      </w:r>
      <w:r w:rsidR="00B3600E">
        <w:t xml:space="preserve"> </w:t>
      </w:r>
      <w:r w:rsidR="004316E8">
        <w:t xml:space="preserve">Participation is also required in the Victorian Aboriginal Health and Wellbeing Partnership Forum. </w:t>
      </w:r>
    </w:p>
    <w:p w14:paraId="5439CFB9" w14:textId="178B9A54" w:rsidR="00AB23DA" w:rsidRPr="00AB23DA" w:rsidRDefault="00AB23DA" w:rsidP="006A39E9">
      <w:pPr>
        <w:pStyle w:val="Body"/>
      </w:pPr>
      <w:r>
        <w:t xml:space="preserve">The funding </w:t>
      </w:r>
      <w:r w:rsidR="00B3600E">
        <w:t xml:space="preserve">will </w:t>
      </w:r>
      <w:r w:rsidR="008026BC">
        <w:t xml:space="preserve">support </w:t>
      </w:r>
      <w:r>
        <w:t>cultural safety across the whole health service organisation</w:t>
      </w:r>
      <w:r w:rsidR="003A3AB0">
        <w:t>,</w:t>
      </w:r>
      <w:r>
        <w:t xml:space="preserve"> as well as support the Improving Care for Aboriginal Patients program and the Koori Mental Health Liaison Officer programs.</w:t>
      </w:r>
    </w:p>
    <w:p w14:paraId="336394F1" w14:textId="0711FFB5" w:rsidR="000528E1" w:rsidRPr="00AB23DA" w:rsidRDefault="00705817" w:rsidP="006A39E9">
      <w:pPr>
        <w:pStyle w:val="Body"/>
      </w:pPr>
      <w:r>
        <w:t>There is recurrent</w:t>
      </w:r>
      <w:r w:rsidR="00781D1F">
        <w:t xml:space="preserve"> </w:t>
      </w:r>
      <w:r w:rsidR="00A97B64">
        <w:t xml:space="preserve">funding </w:t>
      </w:r>
      <w:r w:rsidR="00D95779">
        <w:t xml:space="preserve">from </w:t>
      </w:r>
      <w:r w:rsidR="00635314">
        <w:t xml:space="preserve">the </w:t>
      </w:r>
      <w:r w:rsidR="00D95779">
        <w:t>202</w:t>
      </w:r>
      <w:r w:rsidR="00635314">
        <w:t>1</w:t>
      </w:r>
      <w:r w:rsidR="003A3AB0">
        <w:t>–</w:t>
      </w:r>
      <w:r w:rsidR="00D95779">
        <w:t>2</w:t>
      </w:r>
      <w:r w:rsidR="00635314">
        <w:t>2 State Budget</w:t>
      </w:r>
      <w:r w:rsidR="00FA36D8">
        <w:t xml:space="preserve"> </w:t>
      </w:r>
      <w:r w:rsidR="00723B3E">
        <w:t xml:space="preserve">for phased recruitment of </w:t>
      </w:r>
      <w:r w:rsidR="005C7ADE">
        <w:t>dedicated</w:t>
      </w:r>
      <w:r w:rsidR="00781D1F">
        <w:t xml:space="preserve"> Koori Mental </w:t>
      </w:r>
      <w:r w:rsidR="009E08A6">
        <w:t>Health</w:t>
      </w:r>
      <w:r w:rsidR="00781D1F">
        <w:t xml:space="preserve"> </w:t>
      </w:r>
      <w:r w:rsidR="009E08A6">
        <w:t>Liaison Officers</w:t>
      </w:r>
      <w:r w:rsidR="00EB71D3">
        <w:t xml:space="preserve"> </w:t>
      </w:r>
      <w:r w:rsidR="00CB0BF0">
        <w:t>in Infant, Child and Youth Area Mental and Health Services</w:t>
      </w:r>
      <w:r w:rsidR="00661FCC">
        <w:t xml:space="preserve"> </w:t>
      </w:r>
      <w:r w:rsidR="001C79DD">
        <w:t>that will assist in support</w:t>
      </w:r>
      <w:r w:rsidR="00B31BCF">
        <w:t>ing Aboriginal children</w:t>
      </w:r>
      <w:r w:rsidR="007B1DFD">
        <w:t>,</w:t>
      </w:r>
      <w:r w:rsidR="00B31BCF">
        <w:t xml:space="preserve"> young people and families</w:t>
      </w:r>
      <w:r w:rsidR="00FF7742">
        <w:t xml:space="preserve"> with access to culturally safe services. </w:t>
      </w:r>
    </w:p>
    <w:p w14:paraId="48E2D5A2" w14:textId="3AA4DE70" w:rsidR="00AB23DA" w:rsidRPr="00AB23DA" w:rsidRDefault="003A3AB0" w:rsidP="006A39E9">
      <w:pPr>
        <w:pStyle w:val="Body"/>
      </w:pPr>
      <w:r>
        <w:t>Employing</w:t>
      </w:r>
      <w:r w:rsidR="00AB23DA">
        <w:t xml:space="preserve"> Aboriginal health staff is an </w:t>
      </w:r>
      <w:r w:rsidR="002247A2">
        <w:t>important</w:t>
      </w:r>
      <w:r w:rsidR="00AB23DA" w:rsidRPr="00AB23DA">
        <w:t xml:space="preserve"> </w:t>
      </w:r>
      <w:r w:rsidR="008026BC">
        <w:t xml:space="preserve">first step in </w:t>
      </w:r>
      <w:r w:rsidR="00CC7AA5">
        <w:t xml:space="preserve">delivering </w:t>
      </w:r>
      <w:r w:rsidR="00AB23DA">
        <w:t>cultural</w:t>
      </w:r>
      <w:r w:rsidR="00CC7AA5">
        <w:t>ly</w:t>
      </w:r>
      <w:r w:rsidR="00AB23DA">
        <w:t xml:space="preserve"> safety</w:t>
      </w:r>
      <w:r w:rsidR="00CC7AA5">
        <w:t xml:space="preserve"> health services</w:t>
      </w:r>
      <w:r w:rsidR="00AB23DA">
        <w:t xml:space="preserve">. Aboriginal health staff includes </w:t>
      </w:r>
      <w:r>
        <w:t xml:space="preserve">people </w:t>
      </w:r>
      <w:r w:rsidR="00AB23DA">
        <w:t xml:space="preserve">in </w:t>
      </w:r>
      <w:r w:rsidR="0EDBA812">
        <w:t xml:space="preserve">both </w:t>
      </w:r>
      <w:r w:rsidR="00AB23DA">
        <w:t xml:space="preserve">leadership and </w:t>
      </w:r>
      <w:r>
        <w:t>client-</w:t>
      </w:r>
      <w:r w:rsidR="00AB23DA">
        <w:t xml:space="preserve">facing roles across the organisation. Health services are required to identify opportunities to employ Aboriginal health staff to meet patient and community demand including </w:t>
      </w:r>
      <w:r w:rsidR="3B535CF4">
        <w:t xml:space="preserve">for </w:t>
      </w:r>
      <w:r>
        <w:t>out-of-</w:t>
      </w:r>
      <w:r w:rsidR="00AB23DA">
        <w:t>hours presentations.</w:t>
      </w:r>
    </w:p>
    <w:p w14:paraId="0D1F3F46" w14:textId="62327536" w:rsidR="005743DF" w:rsidRDefault="00AB23DA" w:rsidP="006A39E9">
      <w:pPr>
        <w:pStyle w:val="Body"/>
      </w:pPr>
      <w:r w:rsidRPr="00AB23DA">
        <w:t>The role of Aboriginal staff is crucial to enhancing the cultural safety of Aboriginal patients and their families</w:t>
      </w:r>
      <w:r w:rsidR="0064535C">
        <w:t>;</w:t>
      </w:r>
      <w:r w:rsidRPr="00AB23DA">
        <w:t xml:space="preserve"> however</w:t>
      </w:r>
      <w:r w:rsidR="0064535C">
        <w:t>,</w:t>
      </w:r>
      <w:r w:rsidRPr="00AB23DA">
        <w:t xml:space="preserve"> every area across the health service has responsibilities to providing culturally safe services.</w:t>
      </w:r>
      <w:bookmarkStart w:id="478" w:name="_Toc450303701"/>
      <w:bookmarkStart w:id="479" w:name="_Toc451364919"/>
      <w:bookmarkStart w:id="480" w:name="_Toc451453982"/>
      <w:bookmarkStart w:id="481" w:name="_Toc451516740"/>
      <w:bookmarkStart w:id="482" w:name="_Toc451800494"/>
      <w:bookmarkStart w:id="483" w:name="_Toc451801385"/>
      <w:bookmarkStart w:id="484" w:name="_Toc451802974"/>
      <w:bookmarkEnd w:id="478"/>
      <w:bookmarkEnd w:id="479"/>
      <w:bookmarkEnd w:id="480"/>
      <w:bookmarkEnd w:id="481"/>
      <w:bookmarkEnd w:id="482"/>
      <w:bookmarkEnd w:id="483"/>
      <w:bookmarkEnd w:id="484"/>
    </w:p>
    <w:p w14:paraId="2044D579" w14:textId="48A723A1" w:rsidR="0048052F" w:rsidRPr="0048052F" w:rsidRDefault="2EB9143A" w:rsidP="00081936">
      <w:pPr>
        <w:pStyle w:val="Heading3"/>
        <w:numPr>
          <w:ilvl w:val="2"/>
          <w:numId w:val="33"/>
        </w:numPr>
        <w:ind w:left="1134"/>
        <w:rPr>
          <w:rFonts w:eastAsia="Arial" w:cs="Arial"/>
        </w:rPr>
      </w:pPr>
      <w:bookmarkStart w:id="485" w:name="_Toc100263337"/>
      <w:bookmarkStart w:id="486" w:name="_Toc156569669"/>
      <w:r>
        <w:t xml:space="preserve">Aboriginal </w:t>
      </w:r>
      <w:r w:rsidR="003A3AB0">
        <w:t>cultural safety planning and reporting requirements</w:t>
      </w:r>
      <w:bookmarkEnd w:id="485"/>
      <w:bookmarkEnd w:id="486"/>
    </w:p>
    <w:p w14:paraId="0367EE9D" w14:textId="5031318C" w:rsidR="47F5C204" w:rsidRPr="00B75888" w:rsidRDefault="57E75C99" w:rsidP="00B75888">
      <w:pPr>
        <w:pStyle w:val="Body"/>
      </w:pPr>
      <w:r w:rsidRPr="00B75888">
        <w:t>Hospitals in receipt of the Aboriginal cultural safety fixed grant are required to submit an annual cultural safety plan and progress report</w:t>
      </w:r>
      <w:r w:rsidR="47F5C204" w:rsidRPr="00B75888">
        <w:t xml:space="preserve"> to the department. </w:t>
      </w:r>
    </w:p>
    <w:p w14:paraId="5BE7C9D0" w14:textId="28B9BBD0" w:rsidR="47F5C204" w:rsidRDefault="57E75C99" w:rsidP="73F6B7D2">
      <w:pPr>
        <w:pStyle w:val="Bodyafterbullets"/>
        <w:rPr>
          <w:rFonts w:eastAsia="Arial" w:cs="Arial"/>
          <w:color w:val="000000" w:themeColor="text1"/>
        </w:rPr>
      </w:pPr>
      <w:r w:rsidRPr="435566E8">
        <w:rPr>
          <w:rFonts w:eastAsia="Arial" w:cs="Arial"/>
          <w:color w:val="000000" w:themeColor="text1"/>
        </w:rPr>
        <w:t>Compliance with the planning and reporting requirements is an obligation of the funding</w:t>
      </w:r>
      <w:r w:rsidR="003A3AB0">
        <w:rPr>
          <w:rFonts w:eastAsia="Arial" w:cs="Arial"/>
          <w:color w:val="000000" w:themeColor="text1"/>
        </w:rPr>
        <w:t>.</w:t>
      </w:r>
      <w:r w:rsidR="748B0196" w:rsidRPr="435566E8">
        <w:rPr>
          <w:rFonts w:eastAsia="Arial" w:cs="Arial"/>
          <w:color w:val="000000" w:themeColor="text1"/>
        </w:rPr>
        <w:t xml:space="preserve"> </w:t>
      </w:r>
      <w:r w:rsidR="003A3AB0">
        <w:rPr>
          <w:rFonts w:eastAsia="Arial" w:cs="Arial"/>
          <w:color w:val="000000" w:themeColor="text1"/>
        </w:rPr>
        <w:t>T</w:t>
      </w:r>
      <w:r w:rsidR="772D967E" w:rsidRPr="435566E8">
        <w:rPr>
          <w:rFonts w:eastAsia="Arial" w:cs="Arial"/>
          <w:color w:val="000000" w:themeColor="text1"/>
        </w:rPr>
        <w:t xml:space="preserve">he </w:t>
      </w:r>
      <w:hyperlink r:id="rId77">
        <w:r w:rsidR="772D967E" w:rsidRPr="00685B35">
          <w:rPr>
            <w:rStyle w:val="Hyperlink"/>
            <w:rFonts w:eastAsia="Arial" w:cs="Arial"/>
            <w:i/>
            <w:iCs/>
          </w:rPr>
          <w:t xml:space="preserve">Aboriginal </w:t>
        </w:r>
        <w:r w:rsidR="003A3AB0" w:rsidRPr="00685B35">
          <w:rPr>
            <w:rStyle w:val="Hyperlink"/>
            <w:rFonts w:eastAsia="Arial" w:cs="Arial"/>
            <w:i/>
            <w:iCs/>
          </w:rPr>
          <w:t>c</w:t>
        </w:r>
        <w:r w:rsidR="772D967E" w:rsidRPr="00685B35">
          <w:rPr>
            <w:rStyle w:val="Hyperlink"/>
            <w:rFonts w:eastAsia="Arial" w:cs="Arial"/>
            <w:i/>
            <w:iCs/>
          </w:rPr>
          <w:t xml:space="preserve">ultural </w:t>
        </w:r>
        <w:r w:rsidR="003A3AB0" w:rsidRPr="00685B35">
          <w:rPr>
            <w:rStyle w:val="Hyperlink"/>
            <w:rFonts w:eastAsia="Arial" w:cs="Arial"/>
            <w:i/>
            <w:iCs/>
          </w:rPr>
          <w:t>s</w:t>
        </w:r>
        <w:r w:rsidR="772D967E" w:rsidRPr="00685B35">
          <w:rPr>
            <w:rStyle w:val="Hyperlink"/>
            <w:rFonts w:eastAsia="Arial" w:cs="Arial"/>
            <w:i/>
            <w:iCs/>
          </w:rPr>
          <w:t xml:space="preserve">afety </w:t>
        </w:r>
        <w:r w:rsidR="003A3AB0" w:rsidRPr="00685B35">
          <w:rPr>
            <w:rStyle w:val="Hyperlink"/>
            <w:rFonts w:eastAsia="Arial" w:cs="Arial"/>
            <w:i/>
            <w:iCs/>
          </w:rPr>
          <w:t>f</w:t>
        </w:r>
        <w:r w:rsidR="772D967E" w:rsidRPr="00685B35">
          <w:rPr>
            <w:rStyle w:val="Hyperlink"/>
            <w:rFonts w:eastAsia="Arial" w:cs="Arial"/>
            <w:i/>
            <w:iCs/>
          </w:rPr>
          <w:t xml:space="preserve">ixed </w:t>
        </w:r>
        <w:r w:rsidR="003A3AB0" w:rsidRPr="00685B35">
          <w:rPr>
            <w:rStyle w:val="Hyperlink"/>
            <w:rFonts w:eastAsia="Arial" w:cs="Arial"/>
            <w:i/>
            <w:iCs/>
          </w:rPr>
          <w:t>g</w:t>
        </w:r>
        <w:r w:rsidR="772D967E" w:rsidRPr="00685B35">
          <w:rPr>
            <w:rStyle w:val="Hyperlink"/>
            <w:rFonts w:eastAsia="Arial" w:cs="Arial"/>
            <w:i/>
            <w:iCs/>
          </w:rPr>
          <w:t xml:space="preserve">rant </w:t>
        </w:r>
        <w:r w:rsidR="003A3AB0" w:rsidRPr="00685B35">
          <w:rPr>
            <w:rStyle w:val="Hyperlink"/>
            <w:rFonts w:eastAsia="Arial" w:cs="Arial"/>
            <w:i/>
            <w:iCs/>
          </w:rPr>
          <w:t>g</w:t>
        </w:r>
        <w:r w:rsidR="772D967E" w:rsidRPr="00685B35">
          <w:rPr>
            <w:rStyle w:val="Hyperlink"/>
            <w:rFonts w:eastAsia="Arial" w:cs="Arial"/>
            <w:i/>
            <w:iCs/>
          </w:rPr>
          <w:t>uidelines</w:t>
        </w:r>
      </w:hyperlink>
      <w:r w:rsidR="47F5C204" w:rsidRPr="435566E8">
        <w:rPr>
          <w:rFonts w:eastAsia="Arial" w:cs="Arial"/>
          <w:color w:val="000000" w:themeColor="text1"/>
        </w:rPr>
        <w:t xml:space="preserve"> </w:t>
      </w:r>
      <w:r w:rsidR="00427D29" w:rsidRPr="435566E8">
        <w:rPr>
          <w:rFonts w:eastAsia="Arial" w:cs="Arial"/>
          <w:color w:val="000000" w:themeColor="text1"/>
        </w:rPr>
        <w:t>&lt;</w:t>
      </w:r>
      <w:r w:rsidR="00EE391C" w:rsidRPr="435566E8">
        <w:rPr>
          <w:rFonts w:eastAsia="Arial" w:cs="Arial"/>
          <w:color w:val="000000" w:themeColor="text1"/>
        </w:rPr>
        <w:t>https://</w:t>
      </w:r>
      <w:r w:rsidR="009B4099" w:rsidRPr="435566E8">
        <w:rPr>
          <w:rFonts w:eastAsia="Arial" w:cs="Arial"/>
          <w:color w:val="000000" w:themeColor="text1"/>
        </w:rPr>
        <w:t>www</w:t>
      </w:r>
      <w:r w:rsidR="00EE391C" w:rsidRPr="435566E8">
        <w:rPr>
          <w:rFonts w:eastAsia="Arial" w:cs="Arial"/>
          <w:color w:val="000000" w:themeColor="text1"/>
        </w:rPr>
        <w:t>.health.vic.gov.au/publications/</w:t>
      </w:r>
      <w:r w:rsidR="009B4099" w:rsidRPr="435566E8">
        <w:rPr>
          <w:rFonts w:eastAsia="Arial" w:cs="Arial"/>
          <w:color w:val="000000" w:themeColor="text1"/>
        </w:rPr>
        <w:t>aboriginal-cultural-safety-fixed-grant-guidelines-cultural-</w:t>
      </w:r>
      <w:r w:rsidR="009B4099" w:rsidRPr="435566E8">
        <w:rPr>
          <w:rFonts w:eastAsia="Arial" w:cs="Arial"/>
          <w:color w:val="000000" w:themeColor="text1"/>
        </w:rPr>
        <w:lastRenderedPageBreak/>
        <w:t>safety-planning-and</w:t>
      </w:r>
      <w:r w:rsidR="00427D29" w:rsidRPr="435566E8">
        <w:rPr>
          <w:rFonts w:eastAsia="Arial" w:cs="Arial"/>
          <w:color w:val="000000" w:themeColor="text1"/>
        </w:rPr>
        <w:t>&gt;</w:t>
      </w:r>
      <w:r w:rsidR="00EE391C" w:rsidRPr="435566E8">
        <w:rPr>
          <w:rFonts w:eastAsia="Arial" w:cs="Arial"/>
          <w:color w:val="000000" w:themeColor="text1"/>
        </w:rPr>
        <w:t xml:space="preserve"> </w:t>
      </w:r>
      <w:r w:rsidR="003A3AB0">
        <w:rPr>
          <w:rFonts w:eastAsia="Arial" w:cs="Arial"/>
          <w:color w:val="000000" w:themeColor="text1"/>
        </w:rPr>
        <w:t>set out</w:t>
      </w:r>
      <w:r w:rsidR="003A3AB0" w:rsidRPr="435566E8">
        <w:rPr>
          <w:rFonts w:eastAsia="Arial" w:cs="Arial"/>
          <w:color w:val="000000" w:themeColor="text1"/>
        </w:rPr>
        <w:t xml:space="preserve"> </w:t>
      </w:r>
      <w:r w:rsidR="47F5C204" w:rsidRPr="435566E8">
        <w:rPr>
          <w:rFonts w:eastAsia="Arial" w:cs="Arial"/>
          <w:color w:val="000000" w:themeColor="text1"/>
        </w:rPr>
        <w:t xml:space="preserve">the requirements and provide guidance for appropriate expenditure of funds towards improving Aboriginal cultural safety. </w:t>
      </w:r>
    </w:p>
    <w:p w14:paraId="7B53D282" w14:textId="76C7D2F2" w:rsidR="003B5014" w:rsidRDefault="00CB5503" w:rsidP="000471E2">
      <w:pPr>
        <w:pStyle w:val="Bodyafterbullets"/>
        <w:rPr>
          <w:rFonts w:asciiTheme="minorHAnsi" w:eastAsiaTheme="minorEastAsia" w:hAnsiTheme="minorHAnsi" w:cstheme="minorBidi"/>
          <w:color w:val="000000" w:themeColor="text1"/>
        </w:rPr>
      </w:pPr>
      <w:r>
        <w:rPr>
          <w:rFonts w:eastAsia="Arial" w:cs="Arial"/>
          <w:color w:val="000000" w:themeColor="text1"/>
          <w:szCs w:val="21"/>
        </w:rPr>
        <w:t xml:space="preserve">Refer to </w:t>
      </w:r>
      <w:r w:rsidR="002A5529">
        <w:rPr>
          <w:rFonts w:eastAsia="Arial" w:cs="Arial"/>
          <w:color w:val="000000" w:themeColor="text1"/>
          <w:szCs w:val="21"/>
        </w:rPr>
        <w:t>s</w:t>
      </w:r>
      <w:r w:rsidR="006D4600">
        <w:rPr>
          <w:rFonts w:eastAsia="Arial" w:cs="Arial"/>
          <w:color w:val="000000" w:themeColor="text1"/>
          <w:szCs w:val="21"/>
        </w:rPr>
        <w:t>ection 15.4</w:t>
      </w:r>
      <w:r w:rsidR="00682661">
        <w:rPr>
          <w:rFonts w:eastAsia="Arial" w:cs="Arial"/>
          <w:color w:val="000000" w:themeColor="text1"/>
          <w:szCs w:val="21"/>
        </w:rPr>
        <w:t xml:space="preserve"> of the </w:t>
      </w:r>
      <w:r w:rsidR="00682661" w:rsidRPr="00B75888">
        <w:rPr>
          <w:i/>
          <w:color w:val="000000" w:themeColor="text1"/>
        </w:rPr>
        <w:t xml:space="preserve">Policy </w:t>
      </w:r>
      <w:r w:rsidR="003A3AB0">
        <w:rPr>
          <w:rFonts w:eastAsia="Arial" w:cs="Arial"/>
          <w:i/>
          <w:iCs/>
          <w:color w:val="000000" w:themeColor="text1"/>
          <w:szCs w:val="21"/>
        </w:rPr>
        <w:t>g</w:t>
      </w:r>
      <w:r w:rsidR="003A3AB0" w:rsidRPr="00AE6427">
        <w:rPr>
          <w:rFonts w:eastAsia="Arial" w:cs="Arial"/>
          <w:i/>
          <w:iCs/>
          <w:color w:val="000000" w:themeColor="text1"/>
          <w:szCs w:val="21"/>
        </w:rPr>
        <w:t>uide</w:t>
      </w:r>
      <w:r w:rsidR="003A3AB0">
        <w:rPr>
          <w:rFonts w:eastAsia="Arial" w:cs="Arial"/>
          <w:color w:val="000000" w:themeColor="text1"/>
          <w:szCs w:val="21"/>
        </w:rPr>
        <w:t xml:space="preserve"> </w:t>
      </w:r>
      <w:r w:rsidR="00682661">
        <w:rPr>
          <w:rFonts w:eastAsia="Arial" w:cs="Arial"/>
          <w:color w:val="000000" w:themeColor="text1"/>
          <w:szCs w:val="21"/>
        </w:rPr>
        <w:t xml:space="preserve">for </w:t>
      </w:r>
      <w:r w:rsidR="002E54C3">
        <w:rPr>
          <w:rFonts w:eastAsia="Arial" w:cs="Arial"/>
          <w:color w:val="000000" w:themeColor="text1"/>
          <w:szCs w:val="21"/>
        </w:rPr>
        <w:t>additional</w:t>
      </w:r>
      <w:r w:rsidR="00682661">
        <w:rPr>
          <w:rFonts w:eastAsia="Arial" w:cs="Arial"/>
          <w:color w:val="000000" w:themeColor="text1"/>
          <w:szCs w:val="21"/>
        </w:rPr>
        <w:t xml:space="preserve"> reporting requirements</w:t>
      </w:r>
      <w:r w:rsidR="002E54C3">
        <w:rPr>
          <w:rFonts w:eastAsia="Arial" w:cs="Arial"/>
          <w:color w:val="000000" w:themeColor="text1"/>
          <w:szCs w:val="21"/>
        </w:rPr>
        <w:t xml:space="preserve"> </w:t>
      </w:r>
      <w:r w:rsidR="00BF2053">
        <w:rPr>
          <w:rFonts w:eastAsia="Arial" w:cs="Arial"/>
          <w:color w:val="000000" w:themeColor="text1"/>
          <w:szCs w:val="21"/>
        </w:rPr>
        <w:t>in relation to</w:t>
      </w:r>
      <w:r w:rsidR="47F5C204" w:rsidRPr="7659ABB4">
        <w:rPr>
          <w:rFonts w:eastAsia="Arial" w:cs="Arial"/>
          <w:color w:val="000000" w:themeColor="text1"/>
        </w:rPr>
        <w:t xml:space="preserve"> cultural safety action areas</w:t>
      </w:r>
      <w:r w:rsidR="00BF2053">
        <w:rPr>
          <w:rFonts w:eastAsia="Arial" w:cs="Arial"/>
          <w:color w:val="000000" w:themeColor="text1"/>
        </w:rPr>
        <w:t>.</w:t>
      </w:r>
    </w:p>
    <w:p w14:paraId="34C3A3A5" w14:textId="42928B81" w:rsidR="54D6F9E6" w:rsidRDefault="46AE798A" w:rsidP="00081936">
      <w:pPr>
        <w:pStyle w:val="Heading3"/>
        <w:numPr>
          <w:ilvl w:val="2"/>
          <w:numId w:val="33"/>
        </w:numPr>
        <w:ind w:left="1134"/>
      </w:pPr>
      <w:bookmarkStart w:id="487" w:name="_Toc100263338"/>
      <w:bookmarkStart w:id="488" w:name="_Toc156569670"/>
      <w:r>
        <w:t xml:space="preserve">Indicators and </w:t>
      </w:r>
      <w:bookmarkEnd w:id="487"/>
      <w:r w:rsidR="003A3AB0">
        <w:t>monitoring</w:t>
      </w:r>
      <w:bookmarkEnd w:id="488"/>
      <w:r w:rsidR="003A3AB0">
        <w:t xml:space="preserve"> </w:t>
      </w:r>
    </w:p>
    <w:p w14:paraId="047461F7" w14:textId="5C30E0A4" w:rsidR="00A90C61" w:rsidRPr="00A90C61" w:rsidRDefault="00A90C61" w:rsidP="000471E2">
      <w:pPr>
        <w:pStyle w:val="Body"/>
      </w:pPr>
      <w:r w:rsidRPr="00A90C61">
        <w:t xml:space="preserve">Aboriginal cultural safety proxy indicators for the acute setting include </w:t>
      </w:r>
      <w:r w:rsidR="003A3AB0">
        <w:t>‘</w:t>
      </w:r>
      <w:r w:rsidR="003A3AB0" w:rsidRPr="00A90C61">
        <w:t xml:space="preserve">Discharge </w:t>
      </w:r>
      <w:r w:rsidRPr="00A90C61">
        <w:t>against medical advic</w:t>
      </w:r>
      <w:r w:rsidR="003A3AB0">
        <w:t>e’</w:t>
      </w:r>
      <w:r w:rsidR="00AD74CD" w:rsidRPr="00077FFD">
        <w:rPr>
          <w:vertAlign w:val="superscript"/>
        </w:rPr>
        <w:footnoteReference w:id="6"/>
      </w:r>
      <w:r w:rsidRPr="00A90C61">
        <w:t xml:space="preserve"> (DAMA) for inpatients and </w:t>
      </w:r>
      <w:r w:rsidR="003A3AB0">
        <w:t>‘</w:t>
      </w:r>
      <w:r w:rsidR="003A3AB0" w:rsidRPr="00A90C61">
        <w:t xml:space="preserve">Did </w:t>
      </w:r>
      <w:r w:rsidR="00C369DB">
        <w:t xml:space="preserve">not </w:t>
      </w:r>
      <w:r w:rsidR="003A3AB0">
        <w:t xml:space="preserve">wait’ </w:t>
      </w:r>
      <w:r w:rsidRPr="00A90C61">
        <w:t>(DNW) for emergency department presentations.</w:t>
      </w:r>
    </w:p>
    <w:p w14:paraId="7457D298" w14:textId="06F6FCE8" w:rsidR="73F6B7D2" w:rsidRDefault="7557EE76" w:rsidP="000471E2">
      <w:pPr>
        <w:pStyle w:val="Body"/>
      </w:pPr>
      <w:r w:rsidRPr="00CD1FC3">
        <w:t>In</w:t>
      </w:r>
      <w:r>
        <w:t xml:space="preserve"> </w:t>
      </w:r>
      <w:r w:rsidR="36520B13" w:rsidRPr="00CD1FC3">
        <w:t>2022</w:t>
      </w:r>
      <w:r w:rsidR="00C369DB">
        <w:t>–</w:t>
      </w:r>
      <w:r w:rsidR="36520B13" w:rsidRPr="00CD1FC3">
        <w:t>23</w:t>
      </w:r>
      <w:r>
        <w:t>, these measures shift</w:t>
      </w:r>
      <w:r w:rsidR="00072351">
        <w:t>ed</w:t>
      </w:r>
      <w:r>
        <w:t xml:space="preserve"> from shadow measures into the </w:t>
      </w:r>
      <w:r w:rsidRPr="00B75888">
        <w:rPr>
          <w:i/>
        </w:rPr>
        <w:t xml:space="preserve">Performance </w:t>
      </w:r>
      <w:r w:rsidR="003A3AB0" w:rsidRPr="00B75888">
        <w:rPr>
          <w:i/>
        </w:rPr>
        <w:t xml:space="preserve">monitoring framework </w:t>
      </w:r>
      <w:r w:rsidR="00733AE0" w:rsidRPr="00B75888">
        <w:rPr>
          <w:i/>
        </w:rPr>
        <w:t>2022</w:t>
      </w:r>
      <w:r w:rsidR="00C369DB" w:rsidRPr="00AE6427">
        <w:rPr>
          <w:i/>
          <w:iCs/>
        </w:rPr>
        <w:t>–</w:t>
      </w:r>
      <w:r w:rsidR="00733AE0" w:rsidRPr="00B75888">
        <w:rPr>
          <w:i/>
        </w:rPr>
        <w:t>23</w:t>
      </w:r>
      <w:r w:rsidR="00733AE0">
        <w:t xml:space="preserve"> </w:t>
      </w:r>
      <w:r>
        <w:t xml:space="preserve">with established targets. </w:t>
      </w:r>
      <w:r w:rsidR="00A90C61" w:rsidRPr="00A90C61">
        <w:t xml:space="preserve">Additional </w:t>
      </w:r>
      <w:r>
        <w:t>measures</w:t>
      </w:r>
      <w:r w:rsidR="00833073">
        <w:t>, including</w:t>
      </w:r>
      <w:r>
        <w:t xml:space="preserve"> Aboriginal health workforce and outpatient data will </w:t>
      </w:r>
      <w:r w:rsidR="00833073">
        <w:t xml:space="preserve">continue to be explored </w:t>
      </w:r>
      <w:r w:rsidR="00C752B8">
        <w:t xml:space="preserve">as supplements to existing cultural safety measures. </w:t>
      </w:r>
      <w:r>
        <w:t xml:space="preserve"> </w:t>
      </w:r>
    </w:p>
    <w:p w14:paraId="67A9D94A" w14:textId="4FFA360D" w:rsidR="73F6B7D2" w:rsidRDefault="7557EE76" w:rsidP="000471E2">
      <w:pPr>
        <w:pStyle w:val="Body"/>
      </w:pPr>
      <w:r>
        <w:t xml:space="preserve">Aboriginal </w:t>
      </w:r>
      <w:r w:rsidR="00A90C61" w:rsidRPr="00A90C61">
        <w:t xml:space="preserve">cultural safety </w:t>
      </w:r>
      <w:r>
        <w:t>data will inform quarter 1 and 3</w:t>
      </w:r>
      <w:r w:rsidR="00A90C61" w:rsidRPr="00A90C61">
        <w:t xml:space="preserve"> performance meetings between the department and health services</w:t>
      </w:r>
      <w:r>
        <w:t>.</w:t>
      </w:r>
    </w:p>
    <w:p w14:paraId="7570FEBE" w14:textId="729B9755" w:rsidR="000B27B9" w:rsidRDefault="5F235F04" w:rsidP="00685B35">
      <w:pPr>
        <w:pStyle w:val="Heading2"/>
      </w:pPr>
      <w:bookmarkStart w:id="489" w:name="_Toc59472682"/>
      <w:bookmarkStart w:id="490" w:name="_Toc5810315"/>
      <w:bookmarkStart w:id="491" w:name="_Toc5810484"/>
      <w:bookmarkStart w:id="492" w:name="_Toc5871391"/>
      <w:bookmarkStart w:id="493" w:name="_Toc5871662"/>
      <w:bookmarkStart w:id="494" w:name="_Toc5810316"/>
      <w:bookmarkStart w:id="495" w:name="_Toc5810485"/>
      <w:bookmarkStart w:id="496" w:name="_Toc5871392"/>
      <w:bookmarkStart w:id="497" w:name="_Toc5871663"/>
      <w:bookmarkStart w:id="498" w:name="_Toc5810317"/>
      <w:bookmarkStart w:id="499" w:name="_Toc5810486"/>
      <w:bookmarkStart w:id="500" w:name="_Toc5871393"/>
      <w:bookmarkStart w:id="501" w:name="_Toc5871664"/>
      <w:bookmarkStart w:id="502" w:name="_Toc5810318"/>
      <w:bookmarkStart w:id="503" w:name="_Toc5810487"/>
      <w:bookmarkStart w:id="504" w:name="_Toc5871394"/>
      <w:bookmarkStart w:id="505" w:name="_Toc5871665"/>
      <w:bookmarkStart w:id="506" w:name="_Toc51061162"/>
      <w:bookmarkStart w:id="507" w:name="_Toc51062423"/>
      <w:bookmarkStart w:id="508" w:name="_Toc51082066"/>
      <w:bookmarkStart w:id="509" w:name="_Toc52897457"/>
      <w:bookmarkStart w:id="510" w:name="_Toc52898836"/>
      <w:bookmarkStart w:id="511" w:name="_Toc52900291"/>
      <w:bookmarkStart w:id="512" w:name="_Toc52901634"/>
      <w:bookmarkStart w:id="513" w:name="_Toc52903097"/>
      <w:bookmarkStart w:id="514" w:name="_Toc53058074"/>
      <w:bookmarkStart w:id="515" w:name="_Toc53059418"/>
      <w:bookmarkStart w:id="516" w:name="_Toc53060760"/>
      <w:bookmarkStart w:id="517" w:name="_Toc53062223"/>
      <w:bookmarkStart w:id="518" w:name="_Toc53063600"/>
      <w:bookmarkStart w:id="519" w:name="_Toc53064978"/>
      <w:bookmarkStart w:id="520" w:name="_Toc54261562"/>
      <w:bookmarkStart w:id="521" w:name="_Toc54615378"/>
      <w:bookmarkStart w:id="522" w:name="_Toc55380961"/>
      <w:bookmarkStart w:id="523" w:name="_Toc51061230"/>
      <w:bookmarkStart w:id="524" w:name="_Toc51062491"/>
      <w:bookmarkStart w:id="525" w:name="_Toc51082134"/>
      <w:bookmarkStart w:id="526" w:name="_Toc51061313"/>
      <w:bookmarkStart w:id="527" w:name="_Toc51062574"/>
      <w:bookmarkStart w:id="528" w:name="_Toc51082217"/>
      <w:bookmarkStart w:id="529" w:name="_Toc52897600"/>
      <w:bookmarkStart w:id="530" w:name="_Toc52898979"/>
      <w:bookmarkStart w:id="531" w:name="_Toc52900434"/>
      <w:bookmarkStart w:id="532" w:name="_Toc52901777"/>
      <w:bookmarkStart w:id="533" w:name="_Toc52903240"/>
      <w:bookmarkStart w:id="534" w:name="_Toc53058217"/>
      <w:bookmarkStart w:id="535" w:name="_Toc53059561"/>
      <w:bookmarkStart w:id="536" w:name="_Toc53060903"/>
      <w:bookmarkStart w:id="537" w:name="_Toc53062366"/>
      <w:bookmarkStart w:id="538" w:name="_Toc53063743"/>
      <w:bookmarkStart w:id="539" w:name="_Toc53065121"/>
      <w:bookmarkStart w:id="540" w:name="_Toc53387630"/>
      <w:bookmarkStart w:id="541" w:name="_Toc51062183"/>
      <w:bookmarkStart w:id="542" w:name="_Toc51063444"/>
      <w:bookmarkStart w:id="543" w:name="_Toc51083087"/>
      <w:bookmarkStart w:id="544" w:name="_Toc52898470"/>
      <w:bookmarkStart w:id="545" w:name="_Toc52899849"/>
      <w:bookmarkStart w:id="546" w:name="_Toc52901304"/>
      <w:bookmarkStart w:id="547" w:name="_Toc52902647"/>
      <w:bookmarkStart w:id="548" w:name="_Toc52904110"/>
      <w:bookmarkStart w:id="549" w:name="_Toc53059087"/>
      <w:bookmarkStart w:id="550" w:name="_Toc53060431"/>
      <w:bookmarkStart w:id="551" w:name="_Toc53061773"/>
      <w:bookmarkStart w:id="552" w:name="_Toc53063236"/>
      <w:bookmarkStart w:id="553" w:name="_Toc53064613"/>
      <w:bookmarkStart w:id="554" w:name="_Toc53065991"/>
      <w:bookmarkStart w:id="555" w:name="_Toc6408403"/>
      <w:bookmarkStart w:id="556" w:name="_Toc10199774"/>
      <w:bookmarkStart w:id="557" w:name="_Toc37862571"/>
      <w:bookmarkStart w:id="558" w:name="_Toc52892655"/>
      <w:bookmarkStart w:id="559" w:name="_Toc100263339"/>
      <w:bookmarkStart w:id="560" w:name="_Toc156569671"/>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lastRenderedPageBreak/>
        <w:t xml:space="preserve">Payments and </w:t>
      </w:r>
      <w:r w:rsidR="003A3AB0">
        <w:t xml:space="preserve">cash </w:t>
      </w:r>
      <w:bookmarkEnd w:id="555"/>
      <w:bookmarkEnd w:id="556"/>
      <w:bookmarkEnd w:id="557"/>
      <w:bookmarkEnd w:id="558"/>
      <w:bookmarkEnd w:id="559"/>
      <w:r w:rsidR="003A3AB0">
        <w:t>flow</w:t>
      </w:r>
      <w:bookmarkEnd w:id="560"/>
    </w:p>
    <w:p w14:paraId="0AE9C839" w14:textId="274FF715" w:rsidR="000B27B9" w:rsidRDefault="000B27B9" w:rsidP="00081936">
      <w:pPr>
        <w:pStyle w:val="Heading3"/>
        <w:numPr>
          <w:ilvl w:val="2"/>
          <w:numId w:val="33"/>
        </w:numPr>
        <w:ind w:left="1418" w:hanging="1418"/>
      </w:pPr>
      <w:bookmarkStart w:id="561" w:name="_Toc100263340"/>
      <w:bookmarkStart w:id="562" w:name="_Toc156569672"/>
      <w:r>
        <w:t xml:space="preserve">Interim </w:t>
      </w:r>
      <w:r w:rsidR="003A3AB0">
        <w:t>payments for long-stay, high-cost patients</w:t>
      </w:r>
      <w:bookmarkEnd w:id="561"/>
      <w:bookmarkEnd w:id="562"/>
    </w:p>
    <w:p w14:paraId="45B2D64C" w14:textId="0D5A4153" w:rsidR="000B27B9" w:rsidRPr="00ED7452" w:rsidRDefault="000B27B9" w:rsidP="00B92CD4">
      <w:pPr>
        <w:pStyle w:val="Body"/>
      </w:pPr>
      <w:r w:rsidRPr="00B61A4E">
        <w:t xml:space="preserve">The department will consider interim payments (both cash flow and recorded </w:t>
      </w:r>
      <w:r w:rsidR="00E678A6">
        <w:t>NWAU</w:t>
      </w:r>
      <w:r w:rsidRPr="00B61A4E">
        <w:t xml:space="preserve"> revenue) for long-stay </w:t>
      </w:r>
      <w:r w:rsidRPr="00ED7452">
        <w:t xml:space="preserve">patients who have accumulated significant amounts of </w:t>
      </w:r>
      <w:r w:rsidR="00E678A6" w:rsidRPr="00ED7452">
        <w:t>NWAU</w:t>
      </w:r>
      <w:r w:rsidRPr="00ED7452">
        <w:t>, and who remain admitted at 30 June 202</w:t>
      </w:r>
      <w:r w:rsidR="00615DFD">
        <w:t>4</w:t>
      </w:r>
      <w:r w:rsidRPr="00ED7452">
        <w:t>.</w:t>
      </w:r>
    </w:p>
    <w:p w14:paraId="30E33C8F" w14:textId="477E4200" w:rsidR="00E678A6" w:rsidRPr="00ED7452" w:rsidRDefault="00E678A6" w:rsidP="00E678A6">
      <w:pPr>
        <w:pStyle w:val="Body"/>
      </w:pPr>
      <w:r w:rsidRPr="00ED7452">
        <w:t>Health services may apply to the department for special consideration for individual admitted patient episodes. Applications for special consideration must indicate the number of NWAU</w:t>
      </w:r>
      <w:r w:rsidR="0039467C" w:rsidRPr="00ED7452">
        <w:t>.</w:t>
      </w:r>
      <w:r w:rsidRPr="00ED7452">
        <w:t xml:space="preserve"> For </w:t>
      </w:r>
      <w:r w:rsidR="1BA12B9F" w:rsidRPr="00ED7452">
        <w:t>NWAU</w:t>
      </w:r>
      <w:r w:rsidRPr="00ED7452">
        <w:t xml:space="preserve">-funded episodes, the interim </w:t>
      </w:r>
      <w:r w:rsidR="003B5FC9">
        <w:t>diagnosis</w:t>
      </w:r>
      <w:r w:rsidR="00556817">
        <w:t>-</w:t>
      </w:r>
      <w:r w:rsidRPr="00ED7452">
        <w:t xml:space="preserve">related group (DRG) must also be indicated. For </w:t>
      </w:r>
      <w:r w:rsidR="003E56D6">
        <w:t>s</w:t>
      </w:r>
      <w:r w:rsidR="003E56D6" w:rsidRPr="00ED7452">
        <w:t xml:space="preserve">ubacute </w:t>
      </w:r>
      <w:r w:rsidR="7731BB95" w:rsidRPr="00ED7452">
        <w:t>NWAU</w:t>
      </w:r>
      <w:r w:rsidRPr="00ED7452">
        <w:t>-funded episodes, the AN-SNAP V4.0 must also be indicated. Under no circumstances should agreement to fund an interim payment result in a statistical separation.</w:t>
      </w:r>
    </w:p>
    <w:p w14:paraId="18970EFF" w14:textId="77777777" w:rsidR="00E678A6" w:rsidRPr="00ED7452" w:rsidRDefault="00E678A6" w:rsidP="00E678A6">
      <w:pPr>
        <w:pStyle w:val="Body"/>
      </w:pPr>
      <w:r w:rsidRPr="00ED7452">
        <w:t>If the department agrees to provide an interim payment, the health service will be asked to designate the episode as a contracted patient using a specific contract/spoke identification code. When the patient is finally separated, the payment will be adjusted accordingly. For example, the interim amount will be deducted from the final payment. The final DRG may differ from the interim DRG, due to the addition of further complications, comorbidities and procedures, in which case the payments will be adjusted to reflect actual activity.</w:t>
      </w:r>
    </w:p>
    <w:p w14:paraId="280B079C" w14:textId="3D357D77" w:rsidR="000B27B9" w:rsidRPr="00ED7452" w:rsidRDefault="00E678A6" w:rsidP="00E678A6">
      <w:pPr>
        <w:pStyle w:val="Body"/>
      </w:pPr>
      <w:r w:rsidRPr="00ED7452">
        <w:t xml:space="preserve">Interim payments for long-stay, high-cost patients will be considered on a case-by-case basis. While interim payments are not governed by strict length of stay (LOS) or </w:t>
      </w:r>
      <w:r w:rsidR="20BF0297" w:rsidRPr="00ED7452">
        <w:t xml:space="preserve">NWAU </w:t>
      </w:r>
      <w:r w:rsidRPr="00ED7452">
        <w:t xml:space="preserve">criteria, a patient might be recognised as a long-stay, high-cost patient if the patient </w:t>
      </w:r>
      <w:r w:rsidR="000B27B9" w:rsidRPr="00ED7452">
        <w:t>is:</w:t>
      </w:r>
    </w:p>
    <w:p w14:paraId="4A2FA9CA" w14:textId="5A88B5C3" w:rsidR="000B27B9" w:rsidRPr="00ED7452" w:rsidRDefault="0A1BEBA3" w:rsidP="00E05C4E">
      <w:pPr>
        <w:pStyle w:val="Bullet1"/>
      </w:pPr>
      <w:r>
        <w:t xml:space="preserve">still admitted at 30 June </w:t>
      </w:r>
      <w:r w:rsidR="780490B7">
        <w:t>202</w:t>
      </w:r>
      <w:r w:rsidR="001152AC">
        <w:t>4</w:t>
      </w:r>
      <w:r w:rsidR="3DB51246">
        <w:t>,</w:t>
      </w:r>
      <w:r>
        <w:t xml:space="preserve"> and their LOS already exceeds a year</w:t>
      </w:r>
    </w:p>
    <w:p w14:paraId="2191741D" w14:textId="48A7AE23" w:rsidR="000B27B9" w:rsidRPr="00ED7452" w:rsidRDefault="0A1BEBA3" w:rsidP="00E05C4E">
      <w:pPr>
        <w:pStyle w:val="Bullet1"/>
      </w:pPr>
      <w:r>
        <w:t xml:space="preserve">still admitted at 30 June </w:t>
      </w:r>
      <w:r w:rsidR="780490B7">
        <w:t>202</w:t>
      </w:r>
      <w:r w:rsidR="001152AC">
        <w:t>4</w:t>
      </w:r>
      <w:r>
        <w:t xml:space="preserve">, their LOS already exceeds six months and the patient might reasonably be expected to still be in the hospital at 31 December </w:t>
      </w:r>
      <w:r w:rsidR="3DB51246">
        <w:t>202</w:t>
      </w:r>
      <w:r w:rsidR="00B12850">
        <w:t>4</w:t>
      </w:r>
    </w:p>
    <w:p w14:paraId="64204C2F" w14:textId="63D05957" w:rsidR="000B27B9" w:rsidRPr="00ED7452" w:rsidRDefault="0A1BEBA3" w:rsidP="00E05C4E">
      <w:pPr>
        <w:pStyle w:val="Bullet1"/>
      </w:pPr>
      <w:r>
        <w:t xml:space="preserve">still admitted at 30 June </w:t>
      </w:r>
      <w:r w:rsidR="780490B7">
        <w:t>202</w:t>
      </w:r>
      <w:r w:rsidR="001152AC">
        <w:t>4</w:t>
      </w:r>
      <w:r>
        <w:t>, their LOS already exceeds six months and the patient is receiving significant mechanical ventilation.</w:t>
      </w:r>
    </w:p>
    <w:p w14:paraId="46178423" w14:textId="104E614A" w:rsidR="000B27B9" w:rsidRDefault="000B27B9" w:rsidP="00081936">
      <w:pPr>
        <w:pStyle w:val="Heading3"/>
        <w:numPr>
          <w:ilvl w:val="2"/>
          <w:numId w:val="33"/>
        </w:numPr>
        <w:spacing w:before="240"/>
        <w:ind w:left="1134"/>
      </w:pPr>
      <w:bookmarkStart w:id="563" w:name="_Toc100263341"/>
      <w:bookmarkStart w:id="564" w:name="_Toc6408406"/>
      <w:bookmarkStart w:id="565" w:name="_Toc10199777"/>
      <w:bookmarkStart w:id="566" w:name="_Toc37862574"/>
      <w:bookmarkStart w:id="567" w:name="_Toc52892658"/>
      <w:bookmarkStart w:id="568" w:name="_Toc156569673"/>
      <w:r>
        <w:t xml:space="preserve">Use of </w:t>
      </w:r>
      <w:bookmarkEnd w:id="563"/>
      <w:bookmarkEnd w:id="564"/>
      <w:bookmarkEnd w:id="565"/>
      <w:bookmarkEnd w:id="566"/>
      <w:bookmarkEnd w:id="567"/>
      <w:r w:rsidR="003E56D6">
        <w:t>contracts</w:t>
      </w:r>
      <w:bookmarkEnd w:id="568"/>
      <w:r w:rsidR="003E56D6">
        <w:t xml:space="preserve"> </w:t>
      </w:r>
    </w:p>
    <w:p w14:paraId="0F34FD1F" w14:textId="29F71EF6" w:rsidR="000B27B9" w:rsidRDefault="000B27B9" w:rsidP="00B92CD4">
      <w:pPr>
        <w:pStyle w:val="Body"/>
      </w:pPr>
      <w:r>
        <w:t>On occasion, where a health service has reduced capacity (for example, due to workforce shortages or capital works) it may contract with another service to undertake activity for a time-limited period. Contract arrangements of this type must be approved in advance by the health service</w:t>
      </w:r>
      <w:r w:rsidR="003E56D6">
        <w:t>’s</w:t>
      </w:r>
      <w:r>
        <w:t xml:space="preserve"> Performance Lead</w:t>
      </w:r>
      <w:r w:rsidR="003E56D6">
        <w:t xml:space="preserve"> or </w:t>
      </w:r>
      <w:r>
        <w:t>Regional Manager.</w:t>
      </w:r>
    </w:p>
    <w:p w14:paraId="7EDF4FE5" w14:textId="3D313A5C" w:rsidR="000B27B9" w:rsidRDefault="000B27B9" w:rsidP="00B92CD4">
      <w:pPr>
        <w:pStyle w:val="Body"/>
      </w:pPr>
      <w:r>
        <w:t xml:space="preserve">Applications can be received by </w:t>
      </w:r>
      <w:hyperlink r:id="rId78" w:history="1">
        <w:r>
          <w:rPr>
            <w:rStyle w:val="Hyperlink"/>
          </w:rPr>
          <w:t>emailing the HDSS helpdesk</w:t>
        </w:r>
      </w:hyperlink>
      <w:r>
        <w:t xml:space="preserve"> &lt;</w:t>
      </w:r>
      <w:r w:rsidR="00CD4BC1" w:rsidRPr="00CD4BC1">
        <w:t>hdss.helpdesk@health.vic.gov.au</w:t>
      </w:r>
      <w:r>
        <w:t>&gt;.</w:t>
      </w:r>
    </w:p>
    <w:p w14:paraId="580908E3" w14:textId="62488A84" w:rsidR="000B27B9" w:rsidRDefault="00E678A6" w:rsidP="00B92CD4">
      <w:pPr>
        <w:pStyle w:val="Body"/>
      </w:pPr>
      <w:r w:rsidRPr="00E678A6">
        <w:t>Approval will only be granted where the health service can demonstrate that the capacity reduction is temporary and that the contract is an appropriate use of allocated NWAU, taking into account local demand for services. Technical information for recording and reporting contract NWAU is available in the VAED manual</w:t>
      </w:r>
      <w:r w:rsidR="000B27B9">
        <w:t>.</w:t>
      </w:r>
    </w:p>
    <w:p w14:paraId="6DA6E0AD" w14:textId="26A0251F" w:rsidR="000B27B9" w:rsidRDefault="000B27B9" w:rsidP="00081936">
      <w:pPr>
        <w:pStyle w:val="Heading3"/>
        <w:numPr>
          <w:ilvl w:val="2"/>
          <w:numId w:val="33"/>
        </w:numPr>
        <w:spacing w:before="240"/>
        <w:ind w:left="1134"/>
      </w:pPr>
      <w:bookmarkStart w:id="569" w:name="_Toc6408407"/>
      <w:bookmarkStart w:id="570" w:name="_Ref9933651"/>
      <w:bookmarkStart w:id="571" w:name="_Ref9933660"/>
      <w:bookmarkStart w:id="572" w:name="_Toc10199778"/>
      <w:bookmarkStart w:id="573" w:name="_Toc37862575"/>
      <w:bookmarkStart w:id="574" w:name="_Toc52892659"/>
      <w:bookmarkStart w:id="575" w:name="_Toc100263342"/>
      <w:bookmarkStart w:id="576" w:name="_Ref144128947"/>
      <w:bookmarkStart w:id="577" w:name="_Toc156569674"/>
      <w:r>
        <w:t xml:space="preserve">Health </w:t>
      </w:r>
      <w:r w:rsidR="003E56D6">
        <w:t>service fees and charge</w:t>
      </w:r>
      <w:r w:rsidR="00C81C80">
        <w:t>s</w:t>
      </w:r>
      <w:bookmarkEnd w:id="569"/>
      <w:bookmarkEnd w:id="570"/>
      <w:bookmarkEnd w:id="571"/>
      <w:bookmarkEnd w:id="572"/>
      <w:bookmarkEnd w:id="573"/>
      <w:bookmarkEnd w:id="574"/>
      <w:bookmarkEnd w:id="575"/>
      <w:bookmarkEnd w:id="576"/>
      <w:bookmarkEnd w:id="577"/>
    </w:p>
    <w:p w14:paraId="3606427C" w14:textId="77777777" w:rsidR="000B27B9" w:rsidRPr="00D20B88" w:rsidRDefault="000B27B9" w:rsidP="00B92CD4">
      <w:pPr>
        <w:pStyle w:val="Body"/>
        <w:rPr>
          <w:rStyle w:val="Emphasis"/>
        </w:rPr>
      </w:pPr>
      <w:r w:rsidRPr="00B61A4E">
        <w:t xml:space="preserve">Any fees and charges raised by health services must be in accordance with the department’s manual, </w:t>
      </w:r>
      <w:r w:rsidRPr="00D20B88">
        <w:rPr>
          <w:rStyle w:val="Emphasis"/>
        </w:rPr>
        <w:t>Fees and charges for acute health services in Victoria: a handbook for public hospitals.</w:t>
      </w:r>
    </w:p>
    <w:p w14:paraId="29316FC8" w14:textId="131DC99E" w:rsidR="000B27B9" w:rsidRPr="00B61A4E" w:rsidRDefault="000B27B9" w:rsidP="00B92CD4">
      <w:pPr>
        <w:pStyle w:val="Body"/>
      </w:pPr>
      <w:r w:rsidRPr="00B61A4E">
        <w:t xml:space="preserve">The fees are available in the </w:t>
      </w:r>
      <w:r w:rsidRPr="0038163D">
        <w:t xml:space="preserve">department’s </w:t>
      </w:r>
      <w:hyperlink r:id="rId79" w:history="1">
        <w:r w:rsidRPr="00940EE5">
          <w:rPr>
            <w:rStyle w:val="Hyperlinkitalic"/>
          </w:rPr>
          <w:t>Fees manual</w:t>
        </w:r>
      </w:hyperlink>
      <w:r w:rsidRPr="00940EE5">
        <w:rPr>
          <w:rStyle w:val="Hyperlinkitalic"/>
        </w:rPr>
        <w:t xml:space="preserve"> </w:t>
      </w:r>
      <w:r w:rsidRPr="00940EE5">
        <w:t>&lt;</w:t>
      </w:r>
      <w:r w:rsidR="000878F4" w:rsidRPr="00940EE5">
        <w:t>https://www.health.vic.gov.au/hospitals-and-health-services/patient-fees-and-charges-for-public-health-services</w:t>
      </w:r>
      <w:r w:rsidRPr="00940EE5">
        <w:t>&gt;.</w:t>
      </w:r>
    </w:p>
    <w:p w14:paraId="689A123D" w14:textId="77777777" w:rsidR="000B27B9" w:rsidRPr="00B61A4E" w:rsidRDefault="000B27B9" w:rsidP="000F22A3">
      <w:pPr>
        <w:pStyle w:val="Body"/>
        <w:keepNext/>
      </w:pPr>
      <w:r w:rsidRPr="00B61A4E">
        <w:lastRenderedPageBreak/>
        <w:t>Health services are permitted to raise fees for the following non-admitted patient services:</w:t>
      </w:r>
    </w:p>
    <w:p w14:paraId="79BA8C0B" w14:textId="77777777" w:rsidR="000B27B9" w:rsidRPr="00B61A4E" w:rsidRDefault="0A1BEBA3" w:rsidP="00E05C4E">
      <w:pPr>
        <w:pStyle w:val="Bullet1"/>
      </w:pPr>
      <w:r>
        <w:t>dental services</w:t>
      </w:r>
    </w:p>
    <w:p w14:paraId="049B72B1" w14:textId="77777777" w:rsidR="000B27B9" w:rsidRPr="00B61A4E" w:rsidRDefault="0A1BEBA3" w:rsidP="00E05C4E">
      <w:pPr>
        <w:pStyle w:val="Bullet1"/>
      </w:pPr>
      <w:r>
        <w:t>spectacles and hearing aids</w:t>
      </w:r>
    </w:p>
    <w:p w14:paraId="5A8BAAF8" w14:textId="77777777" w:rsidR="000B27B9" w:rsidRPr="00B61A4E" w:rsidRDefault="0A1BEBA3" w:rsidP="00E05C4E">
      <w:pPr>
        <w:pStyle w:val="Bullet1"/>
      </w:pPr>
      <w:r>
        <w:t>surgical supplies</w:t>
      </w:r>
    </w:p>
    <w:p w14:paraId="3B2ACE8D" w14:textId="086B9D5C" w:rsidR="000B27B9" w:rsidRPr="00B61A4E" w:rsidRDefault="0A1BEBA3" w:rsidP="00E05C4E">
      <w:pPr>
        <w:pStyle w:val="Bullet1"/>
      </w:pPr>
      <w:r>
        <w:t>prostheses</w:t>
      </w:r>
      <w:r w:rsidR="003E56D6">
        <w:t xml:space="preserve"> –</w:t>
      </w:r>
      <w:r>
        <w:t xml:space="preserve"> however, the following categories of prostheses must be provided free of charge:</w:t>
      </w:r>
    </w:p>
    <w:p w14:paraId="7442C49F" w14:textId="77777777" w:rsidR="000B27B9" w:rsidRPr="00AE6427" w:rsidRDefault="000B27B9" w:rsidP="00B75888">
      <w:pPr>
        <w:pStyle w:val="Bullet2"/>
      </w:pPr>
      <w:r w:rsidRPr="00C369DB">
        <w:t>artificial limbs</w:t>
      </w:r>
    </w:p>
    <w:p w14:paraId="407DF9F4" w14:textId="77777777" w:rsidR="000B27B9" w:rsidRPr="00AE6427" w:rsidRDefault="000B27B9" w:rsidP="00B75888">
      <w:pPr>
        <w:pStyle w:val="Bullet2"/>
      </w:pPr>
      <w:r w:rsidRPr="00C369DB">
        <w:t>prostheses that are surgically implanted, either permanently or temporarily, or are directly related to a clinically necessary surgical procedure</w:t>
      </w:r>
    </w:p>
    <w:p w14:paraId="3BEAD896" w14:textId="77777777" w:rsidR="000B27B9" w:rsidRPr="00B61A4E" w:rsidRDefault="0A1BEBA3" w:rsidP="00E05C4E">
      <w:pPr>
        <w:pStyle w:val="Bullet1"/>
      </w:pPr>
      <w:r>
        <w:t>external breast prostheses funded by the National External Breast Prostheses Reimbursement Program</w:t>
      </w:r>
    </w:p>
    <w:p w14:paraId="3B83CF41" w14:textId="3BEFE6FC" w:rsidR="000B27B9" w:rsidRPr="000B2822" w:rsidRDefault="0A1BEBA3" w:rsidP="00E05C4E">
      <w:pPr>
        <w:pStyle w:val="Bullet1"/>
      </w:pPr>
      <w:r>
        <w:t>pharmaceuticals at a level consistent with the PBS statutory co-payments</w:t>
      </w:r>
    </w:p>
    <w:p w14:paraId="4AB2C582" w14:textId="23808BAB" w:rsidR="000B27B9" w:rsidRPr="000B2822" w:rsidRDefault="0A1BEBA3" w:rsidP="00E05C4E">
      <w:pPr>
        <w:pStyle w:val="Bullet1"/>
      </w:pPr>
      <w:r>
        <w:t xml:space="preserve">aids, </w:t>
      </w:r>
      <w:r w:rsidR="318DA964">
        <w:t>appliances,</w:t>
      </w:r>
      <w:r>
        <w:t xml:space="preserve"> and home modifications </w:t>
      </w:r>
    </w:p>
    <w:p w14:paraId="474FDE59" w14:textId="77777777" w:rsidR="000B27B9" w:rsidRPr="000B2822" w:rsidRDefault="0A1BEBA3" w:rsidP="00E05C4E">
      <w:pPr>
        <w:pStyle w:val="Bullet1"/>
      </w:pPr>
      <w:r>
        <w:t>other services, as agreed between the Commonwealth and Victoria.</w:t>
      </w:r>
    </w:p>
    <w:p w14:paraId="5E11D92B" w14:textId="1041F0E3" w:rsidR="000B27B9" w:rsidRPr="000B2822" w:rsidRDefault="000B27B9" w:rsidP="0043627E">
      <w:pPr>
        <w:pStyle w:val="Bodyafterbullets"/>
      </w:pPr>
      <w:r w:rsidRPr="000B2822">
        <w:t>This is set out in the business rules schedule of the NHRA.</w:t>
      </w:r>
    </w:p>
    <w:p w14:paraId="6DC5227B" w14:textId="709BEE3C" w:rsidR="000B27B9" w:rsidRDefault="000B27B9" w:rsidP="00081936">
      <w:pPr>
        <w:pStyle w:val="Heading3"/>
        <w:numPr>
          <w:ilvl w:val="2"/>
          <w:numId w:val="33"/>
        </w:numPr>
        <w:spacing w:before="240"/>
        <w:ind w:left="1134"/>
      </w:pPr>
      <w:bookmarkStart w:id="578" w:name="_Toc37862576"/>
      <w:bookmarkStart w:id="579" w:name="_Toc37862577"/>
      <w:bookmarkStart w:id="580" w:name="_Toc37862578"/>
      <w:bookmarkStart w:id="581" w:name="_Toc37862579"/>
      <w:bookmarkStart w:id="582" w:name="_Toc37862580"/>
      <w:bookmarkStart w:id="583" w:name="_Toc6408408"/>
      <w:bookmarkStart w:id="584" w:name="_Toc10199779"/>
      <w:bookmarkStart w:id="585" w:name="_Toc37862581"/>
      <w:bookmarkStart w:id="586" w:name="_Toc52892660"/>
      <w:bookmarkStart w:id="587" w:name="_Toc100263343"/>
      <w:bookmarkStart w:id="588" w:name="_Toc156569675"/>
      <w:bookmarkEnd w:id="578"/>
      <w:bookmarkEnd w:id="579"/>
      <w:bookmarkEnd w:id="580"/>
      <w:bookmarkEnd w:id="581"/>
      <w:bookmarkEnd w:id="582"/>
      <w:r>
        <w:t xml:space="preserve">Private </w:t>
      </w:r>
      <w:r w:rsidR="003E56D6">
        <w:t>patient accommodation charges</w:t>
      </w:r>
      <w:bookmarkEnd w:id="583"/>
      <w:bookmarkEnd w:id="584"/>
      <w:bookmarkEnd w:id="585"/>
      <w:bookmarkEnd w:id="586"/>
      <w:bookmarkEnd w:id="587"/>
      <w:bookmarkEnd w:id="588"/>
    </w:p>
    <w:p w14:paraId="3EC8BD0C" w14:textId="77777777" w:rsidR="000B27B9" w:rsidRPr="00B61A4E" w:rsidRDefault="000B27B9" w:rsidP="00B92CD4">
      <w:pPr>
        <w:pStyle w:val="Body"/>
      </w:pPr>
      <w:r w:rsidRPr="00B61A4E">
        <w:t xml:space="preserve">Section 72.1(2) of the </w:t>
      </w:r>
      <w:r w:rsidRPr="00D20B88">
        <w:rPr>
          <w:rStyle w:val="Emphasis"/>
        </w:rPr>
        <w:t>Private Health Insurance Act 2007</w:t>
      </w:r>
      <w:r w:rsidRPr="00B61A4E">
        <w:t xml:space="preserve"> states that an insurance policy covering hospital treatment must provide at least the ‘minimum benefit’ for that treatment. The Commonwealth Minister for Health stipulates the minimum benefits payable by private health insurers for shared ward accommodation in public hospitals through the private health insurance (benefit requirements) rules. The </w:t>
      </w:r>
      <w:r>
        <w:t>C</w:t>
      </w:r>
      <w:r w:rsidRPr="00B61A4E">
        <w:t>ommonwealth does not set a minimum benefit for single room accommodation.</w:t>
      </w:r>
    </w:p>
    <w:p w14:paraId="360952A5" w14:textId="77777777" w:rsidR="000B27B9" w:rsidRPr="00B61A4E" w:rsidRDefault="000B27B9" w:rsidP="00B92CD4">
      <w:pPr>
        <w:pStyle w:val="Body"/>
      </w:pPr>
      <w:r w:rsidRPr="00B61A4E">
        <w:t>Health services are able to make their own determination on accommodation fees to be charged to private patients who receive treatment at their campuses. In coming to this decision, health services should consider:</w:t>
      </w:r>
    </w:p>
    <w:p w14:paraId="1EB46341" w14:textId="77777777" w:rsidR="000B27B9" w:rsidRPr="00B61A4E" w:rsidRDefault="0A1BEBA3" w:rsidP="00E05C4E">
      <w:pPr>
        <w:pStyle w:val="Bullet1"/>
      </w:pPr>
      <w:r>
        <w:t>the benefit that private health insurance funds will assign to the public hospital in their health insurance products</w:t>
      </w:r>
    </w:p>
    <w:p w14:paraId="095069E4" w14:textId="77777777" w:rsidR="000B27B9" w:rsidRPr="00B61A4E" w:rsidRDefault="0A1BEBA3" w:rsidP="00E05C4E">
      <w:pPr>
        <w:pStyle w:val="Bullet1"/>
      </w:pPr>
      <w:r>
        <w:t>any co-payment a patient may be willing to pay as a private patient</w:t>
      </w:r>
    </w:p>
    <w:p w14:paraId="6CFB08EC" w14:textId="77777777" w:rsidR="000B27B9" w:rsidRPr="00B61A4E" w:rsidRDefault="0A1BEBA3" w:rsidP="00E05C4E">
      <w:pPr>
        <w:pStyle w:val="Bullet1"/>
      </w:pPr>
      <w:r>
        <w:t>the amount of any co-payment or excess the hospital can viably forego.</w:t>
      </w:r>
    </w:p>
    <w:p w14:paraId="75922F4E" w14:textId="53B51C53" w:rsidR="000B27B9" w:rsidRPr="00B61A4E" w:rsidRDefault="000B27B9" w:rsidP="00B92CD4">
      <w:pPr>
        <w:pStyle w:val="Bodyafterbullets"/>
      </w:pPr>
      <w:r w:rsidRPr="00B61A4E">
        <w:t xml:space="preserve">To assist health services with this decision, the department provides a guide to average costs and nominal cost recovery rates for private patient accommodation in the </w:t>
      </w:r>
      <w:r w:rsidRPr="0038163D">
        <w:t xml:space="preserve">department’s </w:t>
      </w:r>
      <w:hyperlink r:id="rId80" w:history="1">
        <w:r w:rsidRPr="0003441E">
          <w:rPr>
            <w:rStyle w:val="Hyperlinkitalic"/>
          </w:rPr>
          <w:t>Fees manual</w:t>
        </w:r>
      </w:hyperlink>
      <w:r w:rsidRPr="00B61A4E">
        <w:t xml:space="preserve"> &lt;</w:t>
      </w:r>
      <w:r w:rsidR="00FD7C25" w:rsidRPr="0003441E">
        <w:t>https</w:t>
      </w:r>
      <w:r w:rsidRPr="003513C7">
        <w:t>://www.hea</w:t>
      </w:r>
      <w:r>
        <w:t>lth.vic.gov.au/</w:t>
      </w:r>
      <w:r w:rsidR="00FD7C25" w:rsidRPr="0003441E">
        <w:t>patient-fees-charges/private-patients</w:t>
      </w:r>
      <w:r w:rsidRPr="00B61A4E">
        <w:t>&gt;.</w:t>
      </w:r>
    </w:p>
    <w:p w14:paraId="042DC0FF" w14:textId="77777777" w:rsidR="000B27B9" w:rsidRPr="00B61A4E" w:rsidRDefault="000B27B9" w:rsidP="00B92CD4">
      <w:pPr>
        <w:pStyle w:val="Body"/>
      </w:pPr>
      <w:r w:rsidRPr="00B61A4E">
        <w:t>At a minimum, these rates would be reasonable to apply to private patient charges.</w:t>
      </w:r>
    </w:p>
    <w:p w14:paraId="6A519B46" w14:textId="0EBBB78A" w:rsidR="000B27B9" w:rsidRPr="00B61A4E" w:rsidRDefault="000B27B9" w:rsidP="00B92CD4">
      <w:pPr>
        <w:pStyle w:val="Body"/>
      </w:pPr>
      <w:r w:rsidRPr="00B61A4E">
        <w:t>Health services should note the</w:t>
      </w:r>
      <w:r w:rsidRPr="00D20B88">
        <w:rPr>
          <w:rStyle w:val="Emphasis"/>
        </w:rPr>
        <w:t xml:space="preserve"> </w:t>
      </w:r>
      <w:r w:rsidRPr="00685B35">
        <w:rPr>
          <w:rStyle w:val="Emphasis"/>
          <w:i w:val="0"/>
          <w:iCs w:val="0"/>
        </w:rPr>
        <w:t xml:space="preserve">Private </w:t>
      </w:r>
      <w:r w:rsidR="00390309">
        <w:rPr>
          <w:rStyle w:val="Emphasis"/>
          <w:i w:val="0"/>
          <w:iCs w:val="0"/>
        </w:rPr>
        <w:t>H</w:t>
      </w:r>
      <w:r w:rsidR="00390309" w:rsidRPr="00685B35">
        <w:rPr>
          <w:rStyle w:val="Emphasis"/>
          <w:i w:val="0"/>
          <w:iCs w:val="0"/>
        </w:rPr>
        <w:t xml:space="preserve">ealth </w:t>
      </w:r>
      <w:r w:rsidR="00390309">
        <w:rPr>
          <w:rStyle w:val="Emphasis"/>
          <w:i w:val="0"/>
          <w:iCs w:val="0"/>
        </w:rPr>
        <w:t>I</w:t>
      </w:r>
      <w:r w:rsidR="00390309" w:rsidRPr="00685B35">
        <w:rPr>
          <w:rStyle w:val="Emphasis"/>
          <w:i w:val="0"/>
          <w:iCs w:val="0"/>
        </w:rPr>
        <w:t xml:space="preserve">nsurance </w:t>
      </w:r>
      <w:r w:rsidRPr="00685B35">
        <w:rPr>
          <w:rStyle w:val="Emphasis"/>
          <w:i w:val="0"/>
          <w:iCs w:val="0"/>
        </w:rPr>
        <w:t>(</w:t>
      </w:r>
      <w:r w:rsidR="00390309">
        <w:rPr>
          <w:rStyle w:val="Emphasis"/>
          <w:i w:val="0"/>
          <w:iCs w:val="0"/>
        </w:rPr>
        <w:t>H</w:t>
      </w:r>
      <w:r w:rsidR="00390309" w:rsidRPr="00685B35">
        <w:rPr>
          <w:rStyle w:val="Emphasis"/>
          <w:i w:val="0"/>
          <w:iCs w:val="0"/>
        </w:rPr>
        <w:t xml:space="preserve">ealth </w:t>
      </w:r>
      <w:r w:rsidR="00390309">
        <w:rPr>
          <w:rStyle w:val="Emphasis"/>
          <w:i w:val="0"/>
          <w:iCs w:val="0"/>
        </w:rPr>
        <w:t>I</w:t>
      </w:r>
      <w:r w:rsidR="00390309" w:rsidRPr="00685B35">
        <w:rPr>
          <w:rStyle w:val="Emphasis"/>
          <w:i w:val="0"/>
          <w:iCs w:val="0"/>
        </w:rPr>
        <w:t xml:space="preserve">nsurance </w:t>
      </w:r>
      <w:r w:rsidR="00390309">
        <w:rPr>
          <w:rStyle w:val="Emphasis"/>
          <w:i w:val="0"/>
          <w:iCs w:val="0"/>
        </w:rPr>
        <w:t>B</w:t>
      </w:r>
      <w:r w:rsidR="00390309" w:rsidRPr="00685B35">
        <w:rPr>
          <w:rStyle w:val="Emphasis"/>
          <w:i w:val="0"/>
          <w:iCs w:val="0"/>
        </w:rPr>
        <w:t>usiness</w:t>
      </w:r>
      <w:r w:rsidRPr="00685B35">
        <w:rPr>
          <w:rStyle w:val="Emphasis"/>
          <w:i w:val="0"/>
          <w:iCs w:val="0"/>
        </w:rPr>
        <w:t xml:space="preserve">) </w:t>
      </w:r>
      <w:r w:rsidR="00390309">
        <w:rPr>
          <w:rStyle w:val="Emphasis"/>
          <w:i w:val="0"/>
          <w:iCs w:val="0"/>
        </w:rPr>
        <w:t>R</w:t>
      </w:r>
      <w:r w:rsidRPr="00685B35">
        <w:rPr>
          <w:rStyle w:val="Emphasis"/>
          <w:i w:val="0"/>
          <w:iCs w:val="0"/>
        </w:rPr>
        <w:t>ules 2007</w:t>
      </w:r>
      <w:r w:rsidR="00390309">
        <w:rPr>
          <w:rStyle w:val="Emphasis"/>
          <w:i w:val="0"/>
          <w:iCs w:val="0"/>
        </w:rPr>
        <w:t>,</w:t>
      </w:r>
      <w:r w:rsidRPr="00B61A4E">
        <w:t xml:space="preserve"> Part 3</w:t>
      </w:r>
      <w:r w:rsidR="00390309">
        <w:t>,</w:t>
      </w:r>
      <w:r w:rsidRPr="00B61A4E">
        <w:t xml:space="preserve"> s. 8(b), which </w:t>
      </w:r>
      <w:r w:rsidR="00C369DB">
        <w:t>s</w:t>
      </w:r>
      <w:r w:rsidR="00C369DB" w:rsidRPr="00B61A4E">
        <w:t>tate</w:t>
      </w:r>
      <w:r w:rsidR="00390309">
        <w:t>s</w:t>
      </w:r>
      <w:r w:rsidR="00C369DB" w:rsidRPr="00B61A4E">
        <w:t xml:space="preserve"> </w:t>
      </w:r>
      <w:r w:rsidRPr="00B61A4E">
        <w:t>that treatment provided to a person at an emergency department is excluded treatment for the purposes of private health insurance. Health services should ensure that private health funds are not billed for accommodation or services provided to admitted private patients at an emergency department.</w:t>
      </w:r>
    </w:p>
    <w:p w14:paraId="57BEC5D0" w14:textId="1C758F58" w:rsidR="000B27B9" w:rsidRDefault="000B27B9" w:rsidP="00081936">
      <w:pPr>
        <w:pStyle w:val="Heading3"/>
        <w:numPr>
          <w:ilvl w:val="2"/>
          <w:numId w:val="33"/>
        </w:numPr>
        <w:spacing w:before="240"/>
        <w:ind w:left="1134"/>
      </w:pPr>
      <w:bookmarkStart w:id="589" w:name="_Redirection_of_Funds"/>
      <w:bookmarkStart w:id="590" w:name="_Toc6408409"/>
      <w:bookmarkStart w:id="591" w:name="_Toc10199780"/>
      <w:bookmarkStart w:id="592" w:name="_Toc37862582"/>
      <w:bookmarkStart w:id="593" w:name="_Toc52892661"/>
      <w:bookmarkStart w:id="594" w:name="_Toc100263344"/>
      <w:bookmarkStart w:id="595" w:name="_Toc156569676"/>
      <w:bookmarkEnd w:id="589"/>
      <w:r>
        <w:t xml:space="preserve">Redirection of </w:t>
      </w:r>
      <w:bookmarkEnd w:id="590"/>
      <w:bookmarkEnd w:id="591"/>
      <w:bookmarkEnd w:id="592"/>
      <w:bookmarkEnd w:id="593"/>
      <w:bookmarkEnd w:id="594"/>
      <w:r w:rsidR="00390309">
        <w:t>funds</w:t>
      </w:r>
      <w:bookmarkEnd w:id="595"/>
    </w:p>
    <w:p w14:paraId="4CB7A04B" w14:textId="77777777" w:rsidR="000B27B9" w:rsidRPr="00B61A4E" w:rsidRDefault="000B27B9" w:rsidP="00B92CD4">
      <w:pPr>
        <w:pStyle w:val="Body"/>
      </w:pPr>
      <w:r w:rsidRPr="00B61A4E">
        <w:t xml:space="preserve">If </w:t>
      </w:r>
      <w:r>
        <w:t xml:space="preserve">the </w:t>
      </w:r>
      <w:r w:rsidRPr="00B61A4E">
        <w:t xml:space="preserve">total revenue for a funded program exceeds the expenses incurred in delivering the full quantity of services specified in the </w:t>
      </w:r>
      <w:r>
        <w:t>SOP</w:t>
      </w:r>
      <w:r w:rsidRPr="00B61A4E">
        <w:t xml:space="preserve"> or service agreement, the surplus may be used by the funded organisation for any purpose connected with its agreed function. This clause does not apply </w:t>
      </w:r>
      <w:r w:rsidRPr="00B61A4E">
        <w:lastRenderedPageBreak/>
        <w:t>if there is a contrary arrangement regarding unexpended funding provided for a specially identified purpose.</w:t>
      </w:r>
    </w:p>
    <w:p w14:paraId="5DEECF3A" w14:textId="221FC22C" w:rsidR="00490E4D" w:rsidRPr="00B61A4E" w:rsidRDefault="00490E4D" w:rsidP="00B92CD4">
      <w:pPr>
        <w:pStyle w:val="Body"/>
      </w:pPr>
      <w:r w:rsidRPr="00490E4D">
        <w:t xml:space="preserve">One such specially identified purpose is the operation of a local public health unit (LPHU). Unexpended funding provided to lead health services in connection with LPHU </w:t>
      </w:r>
      <w:r w:rsidR="00390309">
        <w:t>o</w:t>
      </w:r>
      <w:r w:rsidR="00390309" w:rsidRPr="00490E4D">
        <w:t xml:space="preserve">perations </w:t>
      </w:r>
      <w:r w:rsidRPr="00490E4D">
        <w:t xml:space="preserve">and LPHU </w:t>
      </w:r>
      <w:r w:rsidR="00390309">
        <w:t>p</w:t>
      </w:r>
      <w:r w:rsidR="00390309" w:rsidRPr="00490E4D">
        <w:t xml:space="preserve">revention </w:t>
      </w:r>
      <w:r w:rsidRPr="00490E4D">
        <w:t>functions may not be used for any purpose beyond that for which it was granted</w:t>
      </w:r>
      <w:r w:rsidR="00A472C6">
        <w:t xml:space="preserve">, unless </w:t>
      </w:r>
      <w:r w:rsidR="00F67E7F">
        <w:t xml:space="preserve">clearly defined </w:t>
      </w:r>
      <w:r w:rsidR="00A472C6" w:rsidRPr="00A472C6">
        <w:t>and approved by the department</w:t>
      </w:r>
      <w:r w:rsidRPr="00490E4D">
        <w:t>.</w:t>
      </w:r>
    </w:p>
    <w:p w14:paraId="3B8D2E05" w14:textId="291E3955" w:rsidR="000B27B9" w:rsidRDefault="000B27B9" w:rsidP="00081936">
      <w:pPr>
        <w:pStyle w:val="Heading3"/>
        <w:numPr>
          <w:ilvl w:val="2"/>
          <w:numId w:val="33"/>
        </w:numPr>
        <w:spacing w:before="240"/>
        <w:ind w:left="1134"/>
      </w:pPr>
      <w:bookmarkStart w:id="596" w:name="_Toc6408410"/>
      <w:bookmarkStart w:id="597" w:name="_Toc10199781"/>
      <w:bookmarkStart w:id="598" w:name="_Toc37862583"/>
      <w:bookmarkStart w:id="599" w:name="_Toc52892662"/>
      <w:bookmarkStart w:id="600" w:name="_Toc100263345"/>
      <w:bookmarkStart w:id="601" w:name="_Toc156569677"/>
      <w:r>
        <w:t xml:space="preserve">Doctors in </w:t>
      </w:r>
      <w:r w:rsidR="00390309">
        <w:t>training secondment arrangements</w:t>
      </w:r>
      <w:bookmarkEnd w:id="596"/>
      <w:bookmarkEnd w:id="597"/>
      <w:bookmarkEnd w:id="598"/>
      <w:bookmarkEnd w:id="599"/>
      <w:bookmarkEnd w:id="600"/>
      <w:bookmarkEnd w:id="601"/>
    </w:p>
    <w:p w14:paraId="322B4850" w14:textId="5FB66565" w:rsidR="000B27B9" w:rsidRPr="00B61A4E" w:rsidRDefault="000B27B9" w:rsidP="00B92CD4">
      <w:pPr>
        <w:pStyle w:val="Body"/>
        <w:rPr>
          <w:lang w:eastAsia="en-AU"/>
        </w:rPr>
      </w:pPr>
      <w:r w:rsidRPr="66DFC114">
        <w:rPr>
          <w:lang w:eastAsia="en-AU"/>
        </w:rPr>
        <w:t>Many training programs for junior doctors involve a rotation to a site other than their parent hospital. The parent hospital is responsible for managing and paying the annual leave of doctors in training while on rotation</w:t>
      </w:r>
      <w:r w:rsidR="00390309">
        <w:rPr>
          <w:lang w:eastAsia="en-AU"/>
        </w:rPr>
        <w:t>.</w:t>
      </w:r>
      <w:r w:rsidR="00390309" w:rsidRPr="66DFC114">
        <w:rPr>
          <w:lang w:eastAsia="en-AU"/>
        </w:rPr>
        <w:t xml:space="preserve"> </w:t>
      </w:r>
      <w:r w:rsidR="00390309">
        <w:rPr>
          <w:lang w:eastAsia="en-AU"/>
        </w:rPr>
        <w:t>W</w:t>
      </w:r>
      <w:r w:rsidRPr="66DFC114">
        <w:rPr>
          <w:lang w:eastAsia="en-AU"/>
        </w:rPr>
        <w:t xml:space="preserve">here annual (or other) leave is planned within the rotation period, both hospitals should approve this leave. Only the parent hospital is to pay out annual leave, as this is included in the overheads paid to the parent hospital (refer to </w:t>
      </w:r>
      <w:r w:rsidRPr="008A7660">
        <w:rPr>
          <w:rStyle w:val="Emphasis"/>
          <w:iCs w:val="0"/>
        </w:rPr>
        <w:t xml:space="preserve">Hospital </w:t>
      </w:r>
      <w:r w:rsidR="00390309" w:rsidRPr="008A7660">
        <w:rPr>
          <w:rStyle w:val="Emphasis"/>
          <w:iCs w:val="0"/>
        </w:rPr>
        <w:t>c</w:t>
      </w:r>
      <w:r w:rsidRPr="008A7660">
        <w:rPr>
          <w:rStyle w:val="Emphasis"/>
          <w:iCs w:val="0"/>
        </w:rPr>
        <w:t>ircular</w:t>
      </w:r>
      <w:r w:rsidR="005A4D8B" w:rsidRPr="008A7660">
        <w:rPr>
          <w:rStyle w:val="FootnoteReference"/>
        </w:rPr>
        <w:footnoteReference w:id="7"/>
      </w:r>
      <w:r w:rsidRPr="008A7660">
        <w:rPr>
          <w:i/>
          <w:lang w:eastAsia="en-AU"/>
        </w:rPr>
        <w:t xml:space="preserve"> </w:t>
      </w:r>
      <w:r w:rsidRPr="008A7660">
        <w:rPr>
          <w:lang w:eastAsia="en-AU"/>
        </w:rPr>
        <w:t>6/</w:t>
      </w:r>
      <w:r w:rsidRPr="66DFC114">
        <w:rPr>
          <w:lang w:eastAsia="en-AU"/>
        </w:rPr>
        <w:t>2013 or a successor circular where relevant).</w:t>
      </w:r>
    </w:p>
    <w:p w14:paraId="4181FE61" w14:textId="735CC548" w:rsidR="000B27B9" w:rsidRDefault="000B27B9" w:rsidP="00B92CD4">
      <w:pPr>
        <w:pStyle w:val="Body"/>
        <w:rPr>
          <w:lang w:eastAsia="en-AU"/>
        </w:rPr>
      </w:pPr>
      <w:r w:rsidRPr="00B61A4E">
        <w:rPr>
          <w:lang w:eastAsia="en-AU"/>
        </w:rPr>
        <w:t>The parent hospital will make every endeavour to organise suitable relief when a doctor in training takes other leave (either planned or unexpected) for a period longer than one week. The parent hospital should also make every endeavour to ensure the relieving doctor has commensurate experience and skills to ensure the expected level of service in the external hospital can continue to be provided.</w:t>
      </w:r>
    </w:p>
    <w:p w14:paraId="23E18891" w14:textId="77777777" w:rsidR="00F208E0" w:rsidRPr="00B61A4E" w:rsidRDefault="00F208E0" w:rsidP="00B92CD4">
      <w:pPr>
        <w:pStyle w:val="Body"/>
        <w:rPr>
          <w:lang w:eastAsia="en-AU"/>
        </w:rPr>
      </w:pPr>
      <w:bookmarkStart w:id="602" w:name="_Toc450839104"/>
      <w:bookmarkStart w:id="603" w:name="_Toc451801406"/>
      <w:bookmarkStart w:id="604" w:name="_Toc451802013"/>
      <w:bookmarkStart w:id="605" w:name="_Toc452211490"/>
      <w:bookmarkStart w:id="606" w:name="_Toc452227856"/>
      <w:bookmarkEnd w:id="602"/>
      <w:bookmarkEnd w:id="603"/>
      <w:bookmarkEnd w:id="604"/>
      <w:bookmarkEnd w:id="605"/>
      <w:bookmarkEnd w:id="606"/>
    </w:p>
    <w:p w14:paraId="6B825602" w14:textId="7491D9DD" w:rsidR="000B27B9" w:rsidRDefault="5F235F04" w:rsidP="00685B35">
      <w:pPr>
        <w:pStyle w:val="Heading2"/>
      </w:pPr>
      <w:bookmarkStart w:id="607" w:name="_Toc13040179"/>
      <w:bookmarkStart w:id="608" w:name="_Toc13040180"/>
      <w:bookmarkStart w:id="609" w:name="_Toc13040181"/>
      <w:bookmarkStart w:id="610" w:name="_Toc13040182"/>
      <w:bookmarkStart w:id="611" w:name="_Toc13040183"/>
      <w:bookmarkStart w:id="612" w:name="_Toc13040184"/>
      <w:bookmarkStart w:id="613" w:name="_Toc13040185"/>
      <w:bookmarkStart w:id="614" w:name="_Toc13040186"/>
      <w:bookmarkStart w:id="615" w:name="_Toc13040187"/>
      <w:bookmarkStart w:id="616" w:name="_Toc13040188"/>
      <w:bookmarkStart w:id="617" w:name="_Toc13040189"/>
      <w:bookmarkStart w:id="618" w:name="_Toc13040190"/>
      <w:bookmarkStart w:id="619" w:name="_Toc13040191"/>
      <w:bookmarkStart w:id="620" w:name="_Toc13040192"/>
      <w:bookmarkStart w:id="621" w:name="_Toc13040193"/>
      <w:bookmarkStart w:id="622" w:name="_Toc13040194"/>
      <w:bookmarkStart w:id="623" w:name="_Toc13040195"/>
      <w:bookmarkStart w:id="624" w:name="_Toc13040196"/>
      <w:bookmarkStart w:id="625" w:name="_Toc13040197"/>
      <w:bookmarkStart w:id="626" w:name="_Toc13040198"/>
      <w:bookmarkStart w:id="627" w:name="_Toc13040199"/>
      <w:bookmarkStart w:id="628" w:name="_Toc13040200"/>
      <w:bookmarkStart w:id="629" w:name="_Toc13040201"/>
      <w:bookmarkStart w:id="630" w:name="_Toc13040202"/>
      <w:bookmarkStart w:id="631" w:name="_Toc13040203"/>
      <w:bookmarkStart w:id="632" w:name="_Toc13040204"/>
      <w:bookmarkStart w:id="633" w:name="_Toc13040205"/>
      <w:bookmarkStart w:id="634" w:name="_Toc13040206"/>
      <w:bookmarkStart w:id="635" w:name="_Toc13040213"/>
      <w:bookmarkStart w:id="636" w:name="_Toc13040214"/>
      <w:bookmarkStart w:id="637" w:name="_Toc13040215"/>
      <w:bookmarkStart w:id="638" w:name="_Toc13040216"/>
      <w:bookmarkStart w:id="639" w:name="_Toc13040217"/>
      <w:bookmarkStart w:id="640" w:name="_Toc13040218"/>
      <w:bookmarkStart w:id="641" w:name="_Toc13040219"/>
      <w:bookmarkStart w:id="642" w:name="_Toc13040220"/>
      <w:bookmarkStart w:id="643" w:name="_Toc13040271"/>
      <w:bookmarkStart w:id="644" w:name="_Toc13040272"/>
      <w:bookmarkStart w:id="645" w:name="_Toc13040273"/>
      <w:bookmarkStart w:id="646" w:name="_Toc13040274"/>
      <w:bookmarkStart w:id="647" w:name="_Toc13040275"/>
      <w:bookmarkStart w:id="648" w:name="_Toc13040276"/>
      <w:bookmarkStart w:id="649" w:name="_Toc13040277"/>
      <w:bookmarkStart w:id="650" w:name="_Toc13040278"/>
      <w:bookmarkStart w:id="651" w:name="_Toc13040279"/>
      <w:bookmarkStart w:id="652" w:name="_Toc13040280"/>
      <w:bookmarkStart w:id="653" w:name="_Toc13040281"/>
      <w:bookmarkStart w:id="654" w:name="_Toc13040282"/>
      <w:bookmarkStart w:id="655" w:name="_Toc13040283"/>
      <w:bookmarkStart w:id="656" w:name="_Toc13040284"/>
      <w:bookmarkStart w:id="657" w:name="_Toc13040285"/>
      <w:bookmarkStart w:id="658" w:name="_Toc13040286"/>
      <w:bookmarkStart w:id="659" w:name="_Toc13040287"/>
      <w:bookmarkStart w:id="660" w:name="_Toc13040288"/>
      <w:bookmarkStart w:id="661" w:name="_Toc13040289"/>
      <w:bookmarkStart w:id="662" w:name="_Toc13040290"/>
      <w:bookmarkStart w:id="663" w:name="_Toc13040291"/>
      <w:bookmarkStart w:id="664" w:name="_Toc13040292"/>
      <w:bookmarkStart w:id="665" w:name="_Toc13040293"/>
      <w:bookmarkStart w:id="666" w:name="_Toc13040294"/>
      <w:bookmarkStart w:id="667" w:name="_Toc13040295"/>
      <w:bookmarkStart w:id="668" w:name="_Toc13040296"/>
      <w:bookmarkStart w:id="669" w:name="_Toc13040297"/>
      <w:bookmarkStart w:id="670" w:name="_Toc13040298"/>
      <w:bookmarkStart w:id="671" w:name="_Toc13040299"/>
      <w:bookmarkStart w:id="672" w:name="_Toc13040300"/>
      <w:bookmarkStart w:id="673" w:name="_Toc13040301"/>
      <w:bookmarkStart w:id="674" w:name="_Toc13040302"/>
      <w:bookmarkStart w:id="675" w:name="_Toc13040303"/>
      <w:bookmarkStart w:id="676" w:name="_Toc13040304"/>
      <w:bookmarkStart w:id="677" w:name="_Toc13040305"/>
      <w:bookmarkStart w:id="678" w:name="_Toc13040306"/>
      <w:bookmarkStart w:id="679" w:name="_Toc13040307"/>
      <w:bookmarkStart w:id="680" w:name="_Toc13040308"/>
      <w:bookmarkStart w:id="681" w:name="_Toc13040309"/>
      <w:bookmarkStart w:id="682" w:name="_Toc13040310"/>
      <w:bookmarkStart w:id="683" w:name="_Toc13040311"/>
      <w:bookmarkStart w:id="684" w:name="_Toc13040312"/>
      <w:bookmarkStart w:id="685" w:name="_Toc13040313"/>
      <w:bookmarkStart w:id="686" w:name="_Toc13040314"/>
      <w:bookmarkStart w:id="687" w:name="_Toc13040315"/>
      <w:bookmarkStart w:id="688" w:name="_Toc13040316"/>
      <w:bookmarkStart w:id="689" w:name="_Toc13040317"/>
      <w:bookmarkStart w:id="690" w:name="_Toc13040318"/>
      <w:bookmarkStart w:id="691" w:name="_Toc13040376"/>
      <w:bookmarkStart w:id="692" w:name="_Toc13040385"/>
      <w:bookmarkStart w:id="693" w:name="_Toc13040398"/>
      <w:bookmarkStart w:id="694" w:name="_Toc13040407"/>
      <w:bookmarkStart w:id="695" w:name="_Toc13040416"/>
      <w:bookmarkStart w:id="696" w:name="_Toc13040417"/>
      <w:bookmarkStart w:id="697" w:name="_Toc13040418"/>
      <w:bookmarkStart w:id="698" w:name="_Toc13040419"/>
      <w:bookmarkStart w:id="699" w:name="_Toc13040420"/>
      <w:bookmarkStart w:id="700" w:name="_Toc418694984"/>
      <w:bookmarkStart w:id="701" w:name="_Ref423019815"/>
      <w:bookmarkStart w:id="702" w:name="_Ref423019825"/>
      <w:bookmarkStart w:id="703" w:name="_Ref423019949"/>
      <w:bookmarkStart w:id="704" w:name="_Ref423019957"/>
      <w:bookmarkStart w:id="705" w:name="_Ref423020094"/>
      <w:bookmarkStart w:id="706" w:name="_Ref423020103"/>
      <w:bookmarkStart w:id="707" w:name="_Toc487742005"/>
      <w:bookmarkStart w:id="708" w:name="_Ref12022946"/>
      <w:bookmarkStart w:id="709" w:name="_Ref12022951"/>
      <w:bookmarkStart w:id="710" w:name="_Ref12023799"/>
      <w:bookmarkStart w:id="711" w:name="_Toc14172235"/>
      <w:bookmarkStart w:id="712" w:name="_Ref70881789"/>
      <w:bookmarkStart w:id="713" w:name="_Ref70881795"/>
      <w:bookmarkStart w:id="714" w:name="_Ref70881989"/>
      <w:bookmarkStart w:id="715" w:name="_Ref70881998"/>
      <w:bookmarkStart w:id="716" w:name="_Ref70882094"/>
      <w:bookmarkStart w:id="717" w:name="_Ref70882107"/>
      <w:bookmarkStart w:id="718" w:name="_Ref70882154"/>
      <w:bookmarkStart w:id="719" w:name="_Ref70882163"/>
      <w:bookmarkStart w:id="720" w:name="_Ref70960639"/>
      <w:bookmarkStart w:id="721" w:name="_Ref70960640"/>
      <w:bookmarkStart w:id="722" w:name="_Ref77777659"/>
      <w:bookmarkStart w:id="723" w:name="_Ref77777682"/>
      <w:bookmarkStart w:id="724" w:name="_Ref88483663"/>
      <w:bookmarkStart w:id="725" w:name="_Ref96635540"/>
      <w:bookmarkStart w:id="726" w:name="_Toc100263346"/>
      <w:bookmarkStart w:id="727" w:name="_Ref144043389"/>
      <w:bookmarkStart w:id="728" w:name="_Toc156569678"/>
      <w:bookmarkEnd w:id="29"/>
      <w:bookmarkEnd w:id="30"/>
      <w:bookmarkEnd w:id="31"/>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r>
        <w:lastRenderedPageBreak/>
        <w:t xml:space="preserve">Price </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rsidR="00390309">
        <w:t>tables</w:t>
      </w:r>
      <w:bookmarkEnd w:id="728"/>
    </w:p>
    <w:p w14:paraId="022A7CB2" w14:textId="1A5FFA9C" w:rsidR="000B27B9" w:rsidRPr="007E1AE2" w:rsidRDefault="08708749" w:rsidP="00081936">
      <w:pPr>
        <w:pStyle w:val="Heading3"/>
        <w:numPr>
          <w:ilvl w:val="2"/>
          <w:numId w:val="33"/>
        </w:numPr>
        <w:spacing w:before="240"/>
        <w:ind w:left="1134"/>
      </w:pPr>
      <w:bookmarkStart w:id="729" w:name="_Toc100263347"/>
      <w:bookmarkStart w:id="730" w:name="_Toc156569679"/>
      <w:r>
        <w:t xml:space="preserve">NWAU </w:t>
      </w:r>
      <w:r w:rsidR="73346351">
        <w:t>202</w:t>
      </w:r>
      <w:r w:rsidR="0E596436">
        <w:t>3</w:t>
      </w:r>
      <w:bookmarkEnd w:id="729"/>
      <w:r w:rsidR="00390309">
        <w:t>–</w:t>
      </w:r>
      <w:r w:rsidR="0E596436">
        <w:t>24</w:t>
      </w:r>
      <w:bookmarkEnd w:id="730"/>
    </w:p>
    <w:p w14:paraId="671FA063" w14:textId="3B245D19" w:rsidR="000B27B9" w:rsidRPr="007E1AE2" w:rsidRDefault="00584A1F" w:rsidP="00584A1F">
      <w:pPr>
        <w:pStyle w:val="Tablecaption"/>
      </w:pPr>
      <w:bookmarkStart w:id="731" w:name="_Ref144903720"/>
      <w:bookmarkStart w:id="732" w:name="_Toc419644509"/>
      <w:bookmarkStart w:id="733" w:name="_Toc487742065"/>
      <w:bookmarkStart w:id="734" w:name="_Toc14194731"/>
      <w:bookmarkStart w:id="735" w:name="_Toc54261388"/>
      <w:bookmarkStart w:id="736" w:name="_Toc54616262"/>
      <w:bookmarkStart w:id="737" w:name="_Ref108526914"/>
      <w:bookmarkStart w:id="738" w:name="_Toc109894103"/>
      <w:bookmarkStart w:id="739" w:name="_Toc156568653"/>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10</w:t>
      </w:r>
      <w:r>
        <w:fldChar w:fldCharType="end"/>
      </w:r>
      <w:bookmarkEnd w:id="731"/>
      <w:r w:rsidR="00425B49">
        <w:rPr>
          <w:noProof/>
        </w:rPr>
        <w:t xml:space="preserve">: </w:t>
      </w:r>
      <w:r w:rsidR="2639C362">
        <w:t xml:space="preserve">NWAU </w:t>
      </w:r>
      <w:r w:rsidR="00390309">
        <w:t>VEP</w:t>
      </w:r>
      <w:r w:rsidR="436342A2">
        <w:t xml:space="preserve"> for growth </w:t>
      </w:r>
      <w:bookmarkEnd w:id="732"/>
      <w:bookmarkEnd w:id="733"/>
      <w:bookmarkEnd w:id="734"/>
      <w:bookmarkEnd w:id="735"/>
      <w:bookmarkEnd w:id="736"/>
      <w:r w:rsidR="73346351">
        <w:t>202</w:t>
      </w:r>
      <w:r w:rsidR="07CC02AA">
        <w:t>3</w:t>
      </w:r>
      <w:r w:rsidR="00390309">
        <w:t>–</w:t>
      </w:r>
      <w:r w:rsidR="07CC02AA">
        <w:t>24</w:t>
      </w:r>
      <w:bookmarkEnd w:id="737"/>
      <w:bookmarkEnd w:id="738"/>
      <w:bookmarkEnd w:id="739"/>
    </w:p>
    <w:tbl>
      <w:tblPr>
        <w:tblStyle w:val="TableGrid"/>
        <w:tblW w:w="0" w:type="auto"/>
        <w:tblLayout w:type="fixed"/>
        <w:tblLook w:val="06A0" w:firstRow="1" w:lastRow="0" w:firstColumn="1" w:lastColumn="0" w:noHBand="1" w:noVBand="1"/>
      </w:tblPr>
      <w:tblGrid>
        <w:gridCol w:w="2825"/>
        <w:gridCol w:w="1701"/>
        <w:gridCol w:w="1560"/>
        <w:gridCol w:w="1559"/>
      </w:tblGrid>
      <w:tr w:rsidR="00AE6427" w:rsidRPr="00DA49B0" w14:paraId="0D800720" w14:textId="77777777" w:rsidTr="00685B35">
        <w:trPr>
          <w:trHeight w:val="623"/>
          <w:tblHeader/>
        </w:trPr>
        <w:tc>
          <w:tcPr>
            <w:tcW w:w="2825" w:type="dxa"/>
            <w:shd w:val="clear" w:color="auto" w:fill="auto"/>
          </w:tcPr>
          <w:p w14:paraId="6C31D075" w14:textId="0D5D5249" w:rsidR="139BB5A8" w:rsidRPr="00390309" w:rsidRDefault="139BB5A8" w:rsidP="00685B35">
            <w:pPr>
              <w:pStyle w:val="Tablecolhead"/>
            </w:pPr>
            <w:r w:rsidRPr="00390309">
              <w:rPr>
                <w:rFonts w:eastAsia="Arial"/>
              </w:rPr>
              <w:t>Payment</w:t>
            </w:r>
          </w:p>
        </w:tc>
        <w:tc>
          <w:tcPr>
            <w:tcW w:w="1701" w:type="dxa"/>
            <w:shd w:val="clear" w:color="auto" w:fill="auto"/>
          </w:tcPr>
          <w:p w14:paraId="7421A5ED" w14:textId="77EA0FE8" w:rsidR="139BB5A8" w:rsidRPr="00390309" w:rsidRDefault="139BB5A8" w:rsidP="00685B35">
            <w:pPr>
              <w:pStyle w:val="Tablecolhead"/>
              <w:rPr>
                <w:rFonts w:eastAsia="Arial"/>
              </w:rPr>
            </w:pPr>
            <w:r w:rsidRPr="00390309">
              <w:rPr>
                <w:rFonts w:eastAsia="Arial"/>
              </w:rPr>
              <w:t xml:space="preserve">Metropolitan ($) </w:t>
            </w:r>
          </w:p>
        </w:tc>
        <w:tc>
          <w:tcPr>
            <w:tcW w:w="1560" w:type="dxa"/>
            <w:shd w:val="clear" w:color="auto" w:fill="auto"/>
          </w:tcPr>
          <w:p w14:paraId="3DC0AC14" w14:textId="4E3A56C8" w:rsidR="139BB5A8" w:rsidRPr="00390309" w:rsidRDefault="139BB5A8" w:rsidP="00685B35">
            <w:pPr>
              <w:pStyle w:val="Tablecolhead"/>
              <w:rPr>
                <w:rFonts w:eastAsia="Arial"/>
              </w:rPr>
            </w:pPr>
            <w:r w:rsidRPr="00390309">
              <w:rPr>
                <w:rFonts w:eastAsia="Arial"/>
              </w:rPr>
              <w:t>Regional ($)</w:t>
            </w:r>
          </w:p>
        </w:tc>
        <w:tc>
          <w:tcPr>
            <w:tcW w:w="1559" w:type="dxa"/>
            <w:shd w:val="clear" w:color="auto" w:fill="auto"/>
          </w:tcPr>
          <w:p w14:paraId="6796BF9A" w14:textId="2F7CDAFC" w:rsidR="139BB5A8" w:rsidRPr="00390309" w:rsidRDefault="139BB5A8" w:rsidP="00685B35">
            <w:pPr>
              <w:pStyle w:val="Tablecolhead"/>
              <w:rPr>
                <w:rFonts w:eastAsia="Arial"/>
              </w:rPr>
            </w:pPr>
            <w:r w:rsidRPr="00390309">
              <w:rPr>
                <w:rFonts w:eastAsia="Arial"/>
              </w:rPr>
              <w:t>Subregional ($)</w:t>
            </w:r>
          </w:p>
        </w:tc>
      </w:tr>
      <w:tr w:rsidR="00F74554" w:rsidRPr="00DA49B0" w14:paraId="3F00D85C" w14:textId="77777777" w:rsidTr="00685B35">
        <w:tc>
          <w:tcPr>
            <w:tcW w:w="2825" w:type="dxa"/>
          </w:tcPr>
          <w:p w14:paraId="7BE05872" w14:textId="2A67B172" w:rsidR="139BB5A8" w:rsidRPr="00390309" w:rsidRDefault="00390309" w:rsidP="00390309">
            <w:pPr>
              <w:pStyle w:val="Tabletext9pt"/>
            </w:pPr>
            <w:r w:rsidRPr="00390309">
              <w:rPr>
                <w:rFonts w:eastAsia="Arial"/>
              </w:rPr>
              <w:t>VEP</w:t>
            </w:r>
            <w:r w:rsidR="00C369DB" w:rsidRPr="00390309">
              <w:rPr>
                <w:rFonts w:eastAsia="Arial"/>
              </w:rPr>
              <w:t xml:space="preserve"> </w:t>
            </w:r>
            <w:r w:rsidR="139BB5A8" w:rsidRPr="00390309">
              <w:rPr>
                <w:rFonts w:eastAsia="Arial"/>
              </w:rPr>
              <w:t>NWAU</w:t>
            </w:r>
          </w:p>
        </w:tc>
        <w:tc>
          <w:tcPr>
            <w:tcW w:w="1701" w:type="dxa"/>
          </w:tcPr>
          <w:p w14:paraId="5A489AB1" w14:textId="4546A5B0" w:rsidR="139BB5A8" w:rsidRPr="00390309" w:rsidRDefault="00C526BA" w:rsidP="00685B35">
            <w:pPr>
              <w:pStyle w:val="Tabletext9pt"/>
              <w:jc w:val="right"/>
              <w:rPr>
                <w:rFonts w:eastAsia="Arial"/>
                <w:highlight w:val="yellow"/>
              </w:rPr>
            </w:pPr>
            <w:r w:rsidRPr="00390309">
              <w:rPr>
                <w:rFonts w:eastAsia="Arial"/>
              </w:rPr>
              <w:t>4</w:t>
            </w:r>
            <w:r w:rsidR="00952C0E" w:rsidRPr="00390309">
              <w:rPr>
                <w:rFonts w:eastAsia="Arial"/>
              </w:rPr>
              <w:t>,</w:t>
            </w:r>
            <w:r w:rsidR="79C78263" w:rsidRPr="00390309">
              <w:rPr>
                <w:rFonts w:eastAsia="Arial"/>
              </w:rPr>
              <w:t>607</w:t>
            </w:r>
          </w:p>
        </w:tc>
        <w:tc>
          <w:tcPr>
            <w:tcW w:w="1560" w:type="dxa"/>
          </w:tcPr>
          <w:p w14:paraId="3B06840A" w14:textId="424F30EC" w:rsidR="139BB5A8" w:rsidRPr="00390309" w:rsidRDefault="00714B02" w:rsidP="00685B35">
            <w:pPr>
              <w:pStyle w:val="Tabletext9pt"/>
              <w:jc w:val="right"/>
              <w:rPr>
                <w:rFonts w:eastAsia="Arial"/>
                <w:highlight w:val="yellow"/>
              </w:rPr>
            </w:pPr>
            <w:r w:rsidRPr="00390309">
              <w:rPr>
                <w:rFonts w:eastAsia="Arial"/>
              </w:rPr>
              <w:t>4,</w:t>
            </w:r>
            <w:r w:rsidR="330F459B" w:rsidRPr="00390309">
              <w:rPr>
                <w:rFonts w:eastAsia="Arial"/>
              </w:rPr>
              <w:t>649</w:t>
            </w:r>
          </w:p>
        </w:tc>
        <w:tc>
          <w:tcPr>
            <w:tcW w:w="1559" w:type="dxa"/>
          </w:tcPr>
          <w:p w14:paraId="77D8F9D5" w14:textId="73149B5B" w:rsidR="139BB5A8" w:rsidRPr="00390309" w:rsidRDefault="00EC7AD8" w:rsidP="00685B35">
            <w:pPr>
              <w:pStyle w:val="Tabletext9pt"/>
              <w:jc w:val="right"/>
              <w:rPr>
                <w:rFonts w:eastAsia="Arial"/>
                <w:highlight w:val="yellow"/>
              </w:rPr>
            </w:pPr>
            <w:r w:rsidRPr="00390309">
              <w:rPr>
                <w:rFonts w:eastAsia="Arial"/>
              </w:rPr>
              <w:t>4,</w:t>
            </w:r>
            <w:r w:rsidR="602226AD" w:rsidRPr="00390309">
              <w:rPr>
                <w:rFonts w:eastAsia="Arial"/>
              </w:rPr>
              <w:t>941</w:t>
            </w:r>
          </w:p>
        </w:tc>
      </w:tr>
    </w:tbl>
    <w:p w14:paraId="26B21C0C" w14:textId="5FE4A345" w:rsidR="00EC0825" w:rsidRDefault="00584A1F" w:rsidP="00584A1F">
      <w:pPr>
        <w:pStyle w:val="Tablecaption"/>
      </w:pPr>
      <w:bookmarkStart w:id="740" w:name="_Toc110944644"/>
      <w:bookmarkStart w:id="741" w:name="_Toc156568654"/>
      <w:bookmarkEnd w:id="740"/>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11</w:t>
      </w:r>
      <w:r>
        <w:fldChar w:fldCharType="end"/>
      </w:r>
      <w:r w:rsidR="00425B49">
        <w:rPr>
          <w:noProof/>
        </w:rPr>
        <w:t xml:space="preserve">: </w:t>
      </w:r>
      <w:r w:rsidR="00EC0825" w:rsidRPr="00C14F8D">
        <w:t xml:space="preserve">NWAU </w:t>
      </w:r>
      <w:r w:rsidR="00390309">
        <w:t>c</w:t>
      </w:r>
      <w:r w:rsidR="00390309" w:rsidRPr="00C14F8D">
        <w:t xml:space="preserve">ompensable </w:t>
      </w:r>
      <w:r w:rsidR="00390309">
        <w:t>p</w:t>
      </w:r>
      <w:r w:rsidR="00390309" w:rsidRPr="00C14F8D">
        <w:t xml:space="preserve">rice </w:t>
      </w:r>
      <w:r w:rsidR="00390309">
        <w:t>r</w:t>
      </w:r>
      <w:r w:rsidR="00390309" w:rsidRPr="00C14F8D">
        <w:t xml:space="preserve">ates </w:t>
      </w:r>
      <w:r w:rsidR="00EC0825" w:rsidRPr="00C14F8D">
        <w:t>2023–24</w:t>
      </w:r>
      <w:bookmarkEnd w:id="741"/>
    </w:p>
    <w:tbl>
      <w:tblPr>
        <w:tblStyle w:val="TableGrid1"/>
        <w:tblW w:w="6784" w:type="dxa"/>
        <w:tblLook w:val="06A0" w:firstRow="1" w:lastRow="0" w:firstColumn="1" w:lastColumn="0" w:noHBand="1" w:noVBand="1"/>
      </w:tblPr>
      <w:tblGrid>
        <w:gridCol w:w="5949"/>
        <w:gridCol w:w="995"/>
      </w:tblGrid>
      <w:tr w:rsidR="00285E8F" w:rsidRPr="0090298C" w14:paraId="0FBB40EE"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0" w:type="dxa"/>
            <w:shd w:val="clear" w:color="auto" w:fill="auto"/>
          </w:tcPr>
          <w:p w14:paraId="322313FB" w14:textId="77777777" w:rsidR="00285E8F" w:rsidRPr="00C57315" w:rsidRDefault="00285E8F" w:rsidP="00685B35">
            <w:pPr>
              <w:pStyle w:val="Tablecolhead"/>
            </w:pPr>
            <w:r w:rsidRPr="00C57315">
              <w:t>Payment</w:t>
            </w:r>
          </w:p>
        </w:tc>
        <w:tc>
          <w:tcPr>
            <w:tcW w:w="0" w:type="dxa"/>
            <w:shd w:val="clear" w:color="auto" w:fill="auto"/>
          </w:tcPr>
          <w:p w14:paraId="06C263A5" w14:textId="77777777" w:rsidR="00285E8F" w:rsidRPr="00C57315" w:rsidRDefault="00285E8F" w:rsidP="00685B35">
            <w:pPr>
              <w:pStyle w:val="Tablecolhead"/>
            </w:pPr>
            <w:r w:rsidRPr="00C57315">
              <w:t>All health services ($)</w:t>
            </w:r>
          </w:p>
        </w:tc>
      </w:tr>
      <w:tr w:rsidR="001F505A" w:rsidRPr="00100C88" w14:paraId="19DB7D8C" w14:textId="77777777" w:rsidTr="00EC0825">
        <w:tc>
          <w:tcPr>
            <w:tcW w:w="5949" w:type="dxa"/>
            <w:noWrap/>
          </w:tcPr>
          <w:p w14:paraId="56C922BD" w14:textId="2CE51EA8" w:rsidR="001F505A" w:rsidRDefault="001F505A" w:rsidP="001F505A">
            <w:pPr>
              <w:pStyle w:val="Tabletext9pt"/>
            </w:pPr>
            <w:r w:rsidRPr="31E98B47">
              <w:rPr>
                <w:rFonts w:eastAsia="Arial" w:cs="Arial"/>
                <w:szCs w:val="18"/>
              </w:rPr>
              <w:t>Department of Veterans’ Affairs</w:t>
            </w:r>
            <w:r w:rsidR="003366A0">
              <w:rPr>
                <w:rFonts w:eastAsia="Arial" w:cs="Arial"/>
                <w:szCs w:val="18"/>
              </w:rPr>
              <w:t xml:space="preserve">: </w:t>
            </w:r>
            <w:r w:rsidR="00913A1A">
              <w:rPr>
                <w:rFonts w:eastAsia="Arial" w:cs="Arial"/>
                <w:szCs w:val="18"/>
              </w:rPr>
              <w:t xml:space="preserve">acute </w:t>
            </w:r>
            <w:r w:rsidR="003366A0">
              <w:rPr>
                <w:rFonts w:eastAsia="Arial" w:cs="Arial"/>
                <w:szCs w:val="18"/>
              </w:rPr>
              <w:t xml:space="preserve">and </w:t>
            </w:r>
            <w:r w:rsidR="00913A1A">
              <w:rPr>
                <w:rFonts w:eastAsia="Arial" w:cs="Arial"/>
                <w:szCs w:val="18"/>
              </w:rPr>
              <w:t>subacute</w:t>
            </w:r>
            <w:r w:rsidR="00913A1A" w:rsidRPr="31E98B47">
              <w:rPr>
                <w:rFonts w:eastAsia="Arial" w:cs="Arial"/>
                <w:szCs w:val="18"/>
              </w:rPr>
              <w:t xml:space="preserve"> </w:t>
            </w:r>
            <w:r w:rsidRPr="31E98B47">
              <w:rPr>
                <w:rFonts w:eastAsia="Arial" w:cs="Arial"/>
                <w:szCs w:val="18"/>
              </w:rPr>
              <w:t xml:space="preserve">NWAU </w:t>
            </w:r>
          </w:p>
        </w:tc>
        <w:tc>
          <w:tcPr>
            <w:tcW w:w="835" w:type="dxa"/>
          </w:tcPr>
          <w:p w14:paraId="7D46A2AB" w14:textId="76D0D0AD" w:rsidR="001F505A" w:rsidRPr="139BB5A8" w:rsidRDefault="001C3AD4" w:rsidP="001F505A">
            <w:pPr>
              <w:pStyle w:val="Tabletext9pt"/>
              <w:jc w:val="right"/>
              <w:rPr>
                <w:rFonts w:eastAsia="Arial" w:cs="Arial"/>
                <w:sz w:val="21"/>
                <w:szCs w:val="21"/>
              </w:rPr>
            </w:pPr>
            <w:r>
              <w:rPr>
                <w:rFonts w:eastAsia="Arial" w:cs="Arial"/>
              </w:rPr>
              <w:t>6,032</w:t>
            </w:r>
          </w:p>
        </w:tc>
      </w:tr>
      <w:tr w:rsidR="001F505A" w:rsidRPr="00100C88" w14:paraId="5990080A" w14:textId="77777777" w:rsidTr="00EC0825">
        <w:tc>
          <w:tcPr>
            <w:tcW w:w="5949" w:type="dxa"/>
            <w:noWrap/>
          </w:tcPr>
          <w:p w14:paraId="02BCBA53" w14:textId="54206E0E" w:rsidR="001F505A" w:rsidRPr="003A53CD" w:rsidRDefault="001F505A" w:rsidP="001F505A">
            <w:pPr>
              <w:pStyle w:val="Tabletext9pt"/>
              <w:rPr>
                <w:szCs w:val="18"/>
                <w:lang w:eastAsia="en-AU"/>
              </w:rPr>
            </w:pPr>
            <w:r w:rsidRPr="31E98B47">
              <w:rPr>
                <w:rFonts w:eastAsia="Arial" w:cs="Arial"/>
                <w:szCs w:val="18"/>
              </w:rPr>
              <w:t xml:space="preserve">TAC </w:t>
            </w:r>
            <w:r w:rsidR="00913A1A">
              <w:rPr>
                <w:rFonts w:eastAsia="Arial" w:cs="Arial"/>
                <w:szCs w:val="18"/>
              </w:rPr>
              <w:t>a</w:t>
            </w:r>
            <w:r w:rsidR="00913A1A" w:rsidRPr="31E98B47">
              <w:rPr>
                <w:rFonts w:eastAsia="Arial" w:cs="Arial"/>
                <w:szCs w:val="18"/>
              </w:rPr>
              <w:t xml:space="preserve">dmitted </w:t>
            </w:r>
            <w:r w:rsidRPr="31E98B47">
              <w:rPr>
                <w:rFonts w:eastAsia="Arial" w:cs="Arial"/>
                <w:szCs w:val="18"/>
              </w:rPr>
              <w:t xml:space="preserve">NWAU </w:t>
            </w:r>
          </w:p>
        </w:tc>
        <w:tc>
          <w:tcPr>
            <w:tcW w:w="835" w:type="dxa"/>
          </w:tcPr>
          <w:p w14:paraId="1D44B5A1" w14:textId="0ADBE1E4" w:rsidR="001F505A" w:rsidRPr="00AA4546" w:rsidRDefault="001F505A" w:rsidP="001F505A">
            <w:pPr>
              <w:pStyle w:val="Tabletext9pt"/>
              <w:jc w:val="right"/>
              <w:rPr>
                <w:rFonts w:eastAsia="Arial" w:cs="Arial"/>
                <w:lang w:eastAsia="en-AU"/>
              </w:rPr>
            </w:pPr>
            <w:r w:rsidRPr="0FEE2278">
              <w:rPr>
                <w:rFonts w:eastAsia="Arial" w:cs="Arial"/>
              </w:rPr>
              <w:t>5,</w:t>
            </w:r>
            <w:r w:rsidR="3E8FCF70" w:rsidRPr="334F4DE5">
              <w:rPr>
                <w:rFonts w:eastAsia="Arial" w:cs="Arial"/>
              </w:rPr>
              <w:t>4</w:t>
            </w:r>
            <w:r w:rsidR="00850AEA">
              <w:rPr>
                <w:rFonts w:eastAsia="Arial" w:cs="Arial"/>
              </w:rPr>
              <w:t>53</w:t>
            </w:r>
          </w:p>
        </w:tc>
      </w:tr>
      <w:tr w:rsidR="008F7C04" w:rsidRPr="00100C88" w14:paraId="23CF3FFD" w14:textId="77777777" w:rsidTr="00EC0825">
        <w:tc>
          <w:tcPr>
            <w:tcW w:w="5949" w:type="dxa"/>
            <w:noWrap/>
          </w:tcPr>
          <w:p w14:paraId="32902452" w14:textId="583256E0" w:rsidR="008F7C04" w:rsidRPr="31E98B47" w:rsidRDefault="008F7C04" w:rsidP="001F505A">
            <w:pPr>
              <w:pStyle w:val="Tabletext9pt"/>
              <w:rPr>
                <w:rFonts w:eastAsia="Arial" w:cs="Arial"/>
                <w:szCs w:val="18"/>
              </w:rPr>
            </w:pPr>
            <w:r>
              <w:rPr>
                <w:rFonts w:eastAsia="Arial" w:cs="Arial"/>
                <w:szCs w:val="18"/>
              </w:rPr>
              <w:t>Work</w:t>
            </w:r>
            <w:r w:rsidR="000B1C45">
              <w:rPr>
                <w:rFonts w:eastAsia="Arial" w:cs="Arial"/>
                <w:szCs w:val="18"/>
              </w:rPr>
              <w:t>S</w:t>
            </w:r>
            <w:r>
              <w:rPr>
                <w:rFonts w:eastAsia="Arial" w:cs="Arial"/>
                <w:szCs w:val="18"/>
              </w:rPr>
              <w:t>afe NWAU</w:t>
            </w:r>
          </w:p>
        </w:tc>
        <w:tc>
          <w:tcPr>
            <w:tcW w:w="835" w:type="dxa"/>
          </w:tcPr>
          <w:p w14:paraId="5ECE1A2E" w14:textId="2D2F8CD8" w:rsidR="008F7C04" w:rsidRPr="61404400" w:rsidRDefault="00A85526" w:rsidP="001F505A">
            <w:pPr>
              <w:pStyle w:val="Tabletext9pt"/>
              <w:jc w:val="right"/>
              <w:rPr>
                <w:rFonts w:eastAsia="Arial" w:cs="Arial"/>
              </w:rPr>
            </w:pPr>
            <w:r>
              <w:rPr>
                <w:rFonts w:eastAsia="Arial" w:cs="Arial"/>
              </w:rPr>
              <w:t>5,125</w:t>
            </w:r>
          </w:p>
        </w:tc>
      </w:tr>
    </w:tbl>
    <w:p w14:paraId="415F7771" w14:textId="748CF057" w:rsidR="00425B49" w:rsidRDefault="00425B49" w:rsidP="00685B35">
      <w:pPr>
        <w:pStyle w:val="Tablecaption"/>
      </w:pPr>
      <w:bookmarkStart w:id="742" w:name="_Toc156568655"/>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12</w:t>
      </w:r>
      <w:r>
        <w:fldChar w:fldCharType="end"/>
      </w:r>
      <w:r>
        <w:t xml:space="preserve">: </w:t>
      </w:r>
      <w:r w:rsidRPr="00A510B3">
        <w:t xml:space="preserve">Transitional Care </w:t>
      </w:r>
      <w:r w:rsidRPr="007E1AE2">
        <w:t>Program 202</w:t>
      </w:r>
      <w:r>
        <w:t>3</w:t>
      </w:r>
      <w:r w:rsidRPr="00DA49B0">
        <w:t>–</w:t>
      </w:r>
      <w:r w:rsidRPr="007E1AE2">
        <w:t>2</w:t>
      </w:r>
      <w:r>
        <w:t>4</w:t>
      </w:r>
      <w:bookmarkEnd w:id="742"/>
    </w:p>
    <w:tbl>
      <w:tblPr>
        <w:tblStyle w:val="TableGrid1"/>
        <w:tblW w:w="4313" w:type="dxa"/>
        <w:tblLook w:val="06A0" w:firstRow="1" w:lastRow="0" w:firstColumn="1" w:lastColumn="0" w:noHBand="1" w:noVBand="1"/>
      </w:tblPr>
      <w:tblGrid>
        <w:gridCol w:w="2972"/>
        <w:gridCol w:w="1341"/>
      </w:tblGrid>
      <w:tr w:rsidR="00B53A8B" w14:paraId="2515DBB3"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6ED9FA3A" w14:textId="77777777" w:rsidR="00B53A8B" w:rsidRPr="00C57315" w:rsidRDefault="00B53A8B" w:rsidP="00685B35">
            <w:pPr>
              <w:pStyle w:val="Tablecolhead"/>
            </w:pPr>
            <w:r w:rsidRPr="00C57315">
              <w:t>Payment</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3B6176C3" w14:textId="77777777" w:rsidR="00B53A8B" w:rsidRPr="00C57315" w:rsidRDefault="00B53A8B" w:rsidP="00685B35">
            <w:pPr>
              <w:pStyle w:val="Tablecolhead"/>
            </w:pPr>
            <w:r w:rsidRPr="00C57315">
              <w:t>All health services ($)</w:t>
            </w:r>
          </w:p>
        </w:tc>
      </w:tr>
      <w:tr w:rsidR="00B53A8B" w14:paraId="1F95263A" w14:textId="77777777" w:rsidTr="00204BA0">
        <w:tc>
          <w:tcPr>
            <w:tcW w:w="2972" w:type="dxa"/>
            <w:tcBorders>
              <w:top w:val="single" w:sz="4" w:space="0" w:color="auto"/>
              <w:left w:val="single" w:sz="4" w:space="0" w:color="auto"/>
              <w:bottom w:val="single" w:sz="4" w:space="0" w:color="auto"/>
              <w:right w:val="single" w:sz="4" w:space="0" w:color="auto"/>
            </w:tcBorders>
            <w:noWrap/>
            <w:hideMark/>
          </w:tcPr>
          <w:p w14:paraId="529A3918" w14:textId="77777777" w:rsidR="00B53A8B" w:rsidRDefault="00B53A8B">
            <w:pPr>
              <w:pStyle w:val="Tabletext9pt"/>
              <w:rPr>
                <w:lang w:eastAsia="en-AU"/>
              </w:rPr>
            </w:pPr>
            <w:r>
              <w:rPr>
                <w:lang w:eastAsia="en-AU"/>
              </w:rPr>
              <w:t>TCP bed places</w:t>
            </w:r>
            <w:r>
              <w:rPr>
                <w:rStyle w:val="FootnoteReference"/>
                <w:szCs w:val="18"/>
                <w:lang w:eastAsia="en-AU"/>
              </w:rPr>
              <w:footnoteReference w:id="8"/>
            </w:r>
            <w:r>
              <w:rPr>
                <w:lang w:eastAsia="en-AU"/>
              </w:rPr>
              <w:t xml:space="preserve"> (per diem rate)</w:t>
            </w:r>
          </w:p>
        </w:tc>
        <w:tc>
          <w:tcPr>
            <w:tcW w:w="1341" w:type="dxa"/>
            <w:tcBorders>
              <w:top w:val="single" w:sz="4" w:space="0" w:color="auto"/>
              <w:left w:val="single" w:sz="4" w:space="0" w:color="auto"/>
              <w:bottom w:val="single" w:sz="4" w:space="0" w:color="auto"/>
              <w:right w:val="single" w:sz="4" w:space="0" w:color="auto"/>
            </w:tcBorders>
            <w:hideMark/>
          </w:tcPr>
          <w:p w14:paraId="018D2A1C" w14:textId="0B12394A" w:rsidR="00B53A8B" w:rsidRDefault="25D13096">
            <w:pPr>
              <w:pStyle w:val="Tabletext9pt"/>
              <w:jc w:val="right"/>
            </w:pPr>
            <w:r w:rsidRPr="334F4DE5">
              <w:rPr>
                <w:rFonts w:eastAsia="Times New Roman" w:cs="Times New Roman"/>
              </w:rPr>
              <w:t>16</w:t>
            </w:r>
            <w:r w:rsidR="2A5901C0" w:rsidRPr="334F4DE5">
              <w:rPr>
                <w:rFonts w:eastAsia="Times New Roman" w:cs="Times New Roman"/>
              </w:rPr>
              <w:t>9.56</w:t>
            </w:r>
          </w:p>
        </w:tc>
      </w:tr>
      <w:tr w:rsidR="00B53A8B" w14:paraId="33F1FA1A" w14:textId="77777777" w:rsidTr="00204BA0">
        <w:tc>
          <w:tcPr>
            <w:tcW w:w="2972" w:type="dxa"/>
            <w:tcBorders>
              <w:top w:val="single" w:sz="4" w:space="0" w:color="auto"/>
              <w:left w:val="single" w:sz="4" w:space="0" w:color="auto"/>
              <w:bottom w:val="single" w:sz="4" w:space="0" w:color="auto"/>
              <w:right w:val="single" w:sz="4" w:space="0" w:color="auto"/>
            </w:tcBorders>
            <w:noWrap/>
            <w:hideMark/>
          </w:tcPr>
          <w:p w14:paraId="37E83F70" w14:textId="7F156A85" w:rsidR="00B53A8B" w:rsidRDefault="00B53A8B">
            <w:pPr>
              <w:pStyle w:val="Tabletext9pt"/>
              <w:rPr>
                <w:lang w:eastAsia="en-AU"/>
              </w:rPr>
            </w:pPr>
            <w:r>
              <w:rPr>
                <w:lang w:eastAsia="en-AU"/>
              </w:rPr>
              <w:t>TCP home places (per diem rate)</w:t>
            </w:r>
          </w:p>
        </w:tc>
        <w:tc>
          <w:tcPr>
            <w:tcW w:w="1341" w:type="dxa"/>
            <w:tcBorders>
              <w:top w:val="single" w:sz="4" w:space="0" w:color="auto"/>
              <w:left w:val="single" w:sz="4" w:space="0" w:color="auto"/>
              <w:bottom w:val="single" w:sz="4" w:space="0" w:color="auto"/>
              <w:right w:val="single" w:sz="4" w:space="0" w:color="auto"/>
            </w:tcBorders>
            <w:hideMark/>
          </w:tcPr>
          <w:p w14:paraId="63D66BC9" w14:textId="2901A85E" w:rsidR="00B53A8B" w:rsidRDefault="25D13096">
            <w:pPr>
              <w:pStyle w:val="Tabletext9pt"/>
              <w:jc w:val="right"/>
            </w:pPr>
            <w:r w:rsidRPr="45154A06">
              <w:rPr>
                <w:rFonts w:eastAsia="Times New Roman" w:cs="Times New Roman"/>
              </w:rPr>
              <w:t>6</w:t>
            </w:r>
            <w:r w:rsidR="440A7DD4" w:rsidRPr="45154A06">
              <w:rPr>
                <w:rFonts w:eastAsia="Times New Roman" w:cs="Times New Roman"/>
              </w:rPr>
              <w:t>2.18</w:t>
            </w:r>
          </w:p>
        </w:tc>
      </w:tr>
    </w:tbl>
    <w:p w14:paraId="5769CB11" w14:textId="3498DE16" w:rsidR="00425B49" w:rsidRDefault="00425B49" w:rsidP="00685B35">
      <w:pPr>
        <w:pStyle w:val="Tablecaption"/>
      </w:pPr>
      <w:bookmarkStart w:id="743" w:name="_Toc110944646"/>
      <w:bookmarkStart w:id="744" w:name="_Toc156568656"/>
      <w:bookmarkStart w:id="745" w:name="_Toc419644511"/>
      <w:bookmarkStart w:id="746" w:name="_Toc487742067"/>
      <w:bookmarkEnd w:id="743"/>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13</w:t>
      </w:r>
      <w:r>
        <w:fldChar w:fldCharType="end"/>
      </w:r>
      <w:r>
        <w:t xml:space="preserve">: </w:t>
      </w:r>
      <w:r w:rsidRPr="007E1AE2">
        <w:t>Non-admitted radiotherapy 202</w:t>
      </w:r>
      <w:r>
        <w:t>3</w:t>
      </w:r>
      <w:r w:rsidRPr="00DA49B0">
        <w:rPr>
          <w:szCs w:val="21"/>
        </w:rPr>
        <w:t>–</w:t>
      </w:r>
      <w:r w:rsidRPr="007E1AE2">
        <w:t>2</w:t>
      </w:r>
      <w:r>
        <w:t>4</w:t>
      </w:r>
      <w:bookmarkEnd w:id="744"/>
    </w:p>
    <w:tbl>
      <w:tblPr>
        <w:tblStyle w:val="TableGrid"/>
        <w:tblW w:w="5565" w:type="dxa"/>
        <w:tblLayout w:type="fixed"/>
        <w:tblLook w:val="06A0" w:firstRow="1" w:lastRow="0" w:firstColumn="1" w:lastColumn="0" w:noHBand="1" w:noVBand="1"/>
      </w:tblPr>
      <w:tblGrid>
        <w:gridCol w:w="3905"/>
        <w:gridCol w:w="1660"/>
      </w:tblGrid>
      <w:tr w:rsidR="004609B6" w14:paraId="38CA9DEF" w14:textId="77777777" w:rsidTr="00685B35">
        <w:trPr>
          <w:tblHeader/>
        </w:trPr>
        <w:tc>
          <w:tcPr>
            <w:tcW w:w="3905" w:type="dxa"/>
            <w:shd w:val="clear" w:color="auto" w:fill="auto"/>
            <w:hideMark/>
          </w:tcPr>
          <w:p w14:paraId="4AE386FB" w14:textId="77777777" w:rsidR="004609B6" w:rsidRPr="00813E73" w:rsidRDefault="004609B6" w:rsidP="00685B35">
            <w:pPr>
              <w:pStyle w:val="Tablecolhead"/>
            </w:pPr>
            <w:r w:rsidRPr="00813E73">
              <w:rPr>
                <w:rFonts w:eastAsia="Arial"/>
              </w:rPr>
              <w:t>Payment</w:t>
            </w:r>
          </w:p>
        </w:tc>
        <w:tc>
          <w:tcPr>
            <w:tcW w:w="1660" w:type="dxa"/>
            <w:shd w:val="clear" w:color="auto" w:fill="auto"/>
            <w:hideMark/>
          </w:tcPr>
          <w:p w14:paraId="15BE18D0" w14:textId="77777777" w:rsidR="004609B6" w:rsidRPr="00813E73" w:rsidRDefault="004609B6" w:rsidP="00685B35">
            <w:pPr>
              <w:pStyle w:val="Tablecolhead"/>
              <w:rPr>
                <w:rFonts w:eastAsia="Arial"/>
              </w:rPr>
            </w:pPr>
            <w:r w:rsidRPr="00813E73">
              <w:rPr>
                <w:rFonts w:eastAsia="Arial"/>
              </w:rPr>
              <w:t>All health services ($)</w:t>
            </w:r>
          </w:p>
        </w:tc>
      </w:tr>
      <w:tr w:rsidR="004609B6" w14:paraId="5CCCD173" w14:textId="77777777" w:rsidTr="00685B35">
        <w:tc>
          <w:tcPr>
            <w:tcW w:w="3905" w:type="dxa"/>
            <w:hideMark/>
          </w:tcPr>
          <w:p w14:paraId="5019A068" w14:textId="77777777" w:rsidR="004609B6" w:rsidRDefault="004609B6">
            <w:pPr>
              <w:pStyle w:val="Tabletext9pt"/>
            </w:pPr>
            <w:r>
              <w:rPr>
                <w:rFonts w:eastAsia="Arial"/>
              </w:rPr>
              <w:t>WAU</w:t>
            </w:r>
          </w:p>
        </w:tc>
        <w:tc>
          <w:tcPr>
            <w:tcW w:w="1660" w:type="dxa"/>
            <w:hideMark/>
          </w:tcPr>
          <w:p w14:paraId="022B93AC" w14:textId="3FA4F5BD" w:rsidR="004609B6" w:rsidRDefault="11DC75EC">
            <w:pPr>
              <w:pStyle w:val="Tabletext9pt"/>
              <w:jc w:val="right"/>
              <w:rPr>
                <w:rFonts w:eastAsia="Arial"/>
              </w:rPr>
            </w:pPr>
            <w:r w:rsidRPr="334F4DE5">
              <w:rPr>
                <w:rFonts w:eastAsia="Arial"/>
              </w:rPr>
              <w:t>25</w:t>
            </w:r>
            <w:r w:rsidR="4FFE2DC1" w:rsidRPr="334F4DE5">
              <w:rPr>
                <w:rFonts w:eastAsia="Arial"/>
              </w:rPr>
              <w:t>8.87</w:t>
            </w:r>
          </w:p>
        </w:tc>
      </w:tr>
      <w:tr w:rsidR="004609B6" w14:paraId="016D6EBC" w14:textId="77777777" w:rsidTr="00685B35">
        <w:tc>
          <w:tcPr>
            <w:tcW w:w="3905" w:type="dxa"/>
            <w:hideMark/>
          </w:tcPr>
          <w:p w14:paraId="388C09D0" w14:textId="77777777" w:rsidR="004609B6" w:rsidRDefault="004609B6">
            <w:pPr>
              <w:pStyle w:val="Tabletext9pt"/>
            </w:pPr>
            <w:r>
              <w:rPr>
                <w:rFonts w:eastAsia="Arial"/>
              </w:rPr>
              <w:t>Department of Veterans’ Affairs WAU</w:t>
            </w:r>
          </w:p>
        </w:tc>
        <w:tc>
          <w:tcPr>
            <w:tcW w:w="1660" w:type="dxa"/>
            <w:hideMark/>
          </w:tcPr>
          <w:p w14:paraId="6F6143A8" w14:textId="36743A76" w:rsidR="004609B6" w:rsidRDefault="4B47748D">
            <w:pPr>
              <w:pStyle w:val="Tabletext9pt"/>
              <w:jc w:val="right"/>
              <w:rPr>
                <w:rFonts w:eastAsia="Arial"/>
              </w:rPr>
            </w:pPr>
            <w:r w:rsidRPr="334F4DE5">
              <w:rPr>
                <w:rFonts w:eastAsia="Arial"/>
              </w:rPr>
              <w:t>31</w:t>
            </w:r>
            <w:r w:rsidR="2B3F85CE" w:rsidRPr="334F4DE5">
              <w:rPr>
                <w:rFonts w:eastAsia="Arial"/>
              </w:rPr>
              <w:t>9.91</w:t>
            </w:r>
          </w:p>
        </w:tc>
      </w:tr>
      <w:tr w:rsidR="004609B6" w14:paraId="0785D20C" w14:textId="77777777" w:rsidTr="00685B35">
        <w:tc>
          <w:tcPr>
            <w:tcW w:w="3905" w:type="dxa"/>
            <w:hideMark/>
          </w:tcPr>
          <w:p w14:paraId="5E3DC895" w14:textId="77777777" w:rsidR="004609B6" w:rsidRDefault="004609B6">
            <w:pPr>
              <w:pStyle w:val="Tabletext9pt"/>
            </w:pPr>
            <w:r>
              <w:rPr>
                <w:rFonts w:eastAsia="Arial"/>
              </w:rPr>
              <w:t>Shared care</w:t>
            </w:r>
          </w:p>
        </w:tc>
        <w:tc>
          <w:tcPr>
            <w:tcW w:w="1660" w:type="dxa"/>
            <w:hideMark/>
          </w:tcPr>
          <w:p w14:paraId="0344F55E" w14:textId="6510522D" w:rsidR="004609B6" w:rsidRDefault="004609B6">
            <w:pPr>
              <w:pStyle w:val="Tabletext9pt"/>
              <w:jc w:val="right"/>
              <w:rPr>
                <w:rFonts w:eastAsia="Arial"/>
              </w:rPr>
            </w:pPr>
            <w:r>
              <w:rPr>
                <w:rFonts w:eastAsia="Arial"/>
              </w:rPr>
              <w:t>1,</w:t>
            </w:r>
            <w:r w:rsidR="4ECEEF54" w:rsidRPr="334F4DE5">
              <w:rPr>
                <w:rFonts w:eastAsia="Arial"/>
              </w:rPr>
              <w:t>842</w:t>
            </w:r>
          </w:p>
        </w:tc>
      </w:tr>
    </w:tbl>
    <w:p w14:paraId="0E66F198" w14:textId="2284963A" w:rsidR="00425B49" w:rsidRDefault="00425B49" w:rsidP="00685B35">
      <w:pPr>
        <w:pStyle w:val="Tablecaption"/>
      </w:pPr>
      <w:bookmarkStart w:id="747" w:name="_Toc110944648"/>
      <w:bookmarkStart w:id="748" w:name="_Toc110944649"/>
      <w:bookmarkStart w:id="749" w:name="_Toc156568657"/>
      <w:bookmarkStart w:id="750" w:name="_Toc487742069"/>
      <w:bookmarkStart w:id="751" w:name="_Toc418694986"/>
      <w:bookmarkEnd w:id="745"/>
      <w:bookmarkEnd w:id="746"/>
      <w:bookmarkEnd w:id="747"/>
      <w:bookmarkEnd w:id="748"/>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14</w:t>
      </w:r>
      <w:r>
        <w:fldChar w:fldCharType="end"/>
      </w:r>
      <w:r>
        <w:t>:</w:t>
      </w:r>
      <w:r w:rsidRPr="00425B49">
        <w:t xml:space="preserve"> </w:t>
      </w:r>
      <w:r w:rsidRPr="005D4343">
        <w:t>Nationally</w:t>
      </w:r>
      <w:r>
        <w:t xml:space="preserve"> Funded Centres Program </w:t>
      </w:r>
      <w:r w:rsidRPr="008F2ED0">
        <w:t>202</w:t>
      </w:r>
      <w:r>
        <w:t>3</w:t>
      </w:r>
      <w:r w:rsidRPr="008F2ED0">
        <w:rPr>
          <w:szCs w:val="21"/>
        </w:rPr>
        <w:t>–</w:t>
      </w:r>
      <w:r w:rsidRPr="008F2ED0">
        <w:t>2</w:t>
      </w:r>
      <w:r>
        <w:t>4</w:t>
      </w:r>
      <w:bookmarkEnd w:id="749"/>
    </w:p>
    <w:tbl>
      <w:tblPr>
        <w:tblStyle w:val="TableGrid1"/>
        <w:tblW w:w="8217" w:type="dxa"/>
        <w:tblLook w:val="06A0" w:firstRow="1" w:lastRow="0" w:firstColumn="1" w:lastColumn="0" w:noHBand="1" w:noVBand="1"/>
      </w:tblPr>
      <w:tblGrid>
        <w:gridCol w:w="5524"/>
        <w:gridCol w:w="2693"/>
      </w:tblGrid>
      <w:tr w:rsidR="004609B6" w14:paraId="46DBC959"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73F4E920" w14:textId="77777777" w:rsidR="004609B6" w:rsidRDefault="004609B6" w:rsidP="00685B35">
            <w:pPr>
              <w:pStyle w:val="Tablecolhead"/>
              <w:rPr>
                <w:szCs w:val="18"/>
              </w:rPr>
            </w:pPr>
            <w:r>
              <w:t>Payment</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15A06F55" w14:textId="6F103CB9" w:rsidR="004609B6" w:rsidRDefault="004609B6" w:rsidP="00685B35">
            <w:pPr>
              <w:pStyle w:val="Tablecolhead"/>
              <w:rPr>
                <w:szCs w:val="18"/>
              </w:rPr>
            </w:pPr>
            <w:r>
              <w:t>Hosting health service ($)</w:t>
            </w:r>
            <w:r w:rsidR="00672E12">
              <w:t>*</w:t>
            </w:r>
          </w:p>
        </w:tc>
      </w:tr>
      <w:tr w:rsidR="004609B6" w14:paraId="38F134AD" w14:textId="77777777" w:rsidTr="004F60C7">
        <w:tc>
          <w:tcPr>
            <w:tcW w:w="5524" w:type="dxa"/>
            <w:tcBorders>
              <w:top w:val="single" w:sz="4" w:space="0" w:color="auto"/>
              <w:left w:val="single" w:sz="4" w:space="0" w:color="auto"/>
              <w:bottom w:val="single" w:sz="4" w:space="0" w:color="auto"/>
              <w:right w:val="single" w:sz="4" w:space="0" w:color="auto"/>
            </w:tcBorders>
            <w:noWrap/>
            <w:hideMark/>
          </w:tcPr>
          <w:p w14:paraId="78C84162" w14:textId="77777777" w:rsidR="004609B6" w:rsidRDefault="004609B6">
            <w:pPr>
              <w:pStyle w:val="Tabletext9pt"/>
              <w:rPr>
                <w:szCs w:val="18"/>
                <w:lang w:eastAsia="en-AU"/>
              </w:rPr>
            </w:pPr>
            <w:r>
              <w:rPr>
                <w:szCs w:val="18"/>
              </w:rPr>
              <w:t>Islet cell transplantation</w:t>
            </w:r>
          </w:p>
        </w:tc>
        <w:tc>
          <w:tcPr>
            <w:tcW w:w="2693" w:type="dxa"/>
            <w:tcBorders>
              <w:top w:val="single" w:sz="4" w:space="0" w:color="auto"/>
              <w:left w:val="single" w:sz="4" w:space="0" w:color="auto"/>
              <w:bottom w:val="single" w:sz="4" w:space="0" w:color="auto"/>
              <w:right w:val="single" w:sz="4" w:space="0" w:color="auto"/>
            </w:tcBorders>
            <w:hideMark/>
          </w:tcPr>
          <w:p w14:paraId="35813594" w14:textId="3E2D7F09" w:rsidR="004609B6" w:rsidRDefault="682F3D5D">
            <w:pPr>
              <w:pStyle w:val="Tabletext9pt"/>
              <w:jc w:val="right"/>
              <w:rPr>
                <w:lang w:eastAsia="en-AU"/>
              </w:rPr>
            </w:pPr>
            <w:r w:rsidRPr="334F4DE5">
              <w:rPr>
                <w:lang w:eastAsia="en-AU"/>
              </w:rPr>
              <w:t>2</w:t>
            </w:r>
            <w:r w:rsidR="1484726F" w:rsidRPr="334F4DE5">
              <w:rPr>
                <w:lang w:eastAsia="en-AU"/>
              </w:rPr>
              <w:t>20,092</w:t>
            </w:r>
          </w:p>
        </w:tc>
      </w:tr>
      <w:tr w:rsidR="004609B6" w14:paraId="221268B2" w14:textId="77777777" w:rsidTr="004F60C7">
        <w:tc>
          <w:tcPr>
            <w:tcW w:w="5524" w:type="dxa"/>
            <w:tcBorders>
              <w:top w:val="single" w:sz="4" w:space="0" w:color="auto"/>
              <w:left w:val="single" w:sz="4" w:space="0" w:color="auto"/>
              <w:bottom w:val="single" w:sz="4" w:space="0" w:color="auto"/>
              <w:right w:val="single" w:sz="4" w:space="0" w:color="auto"/>
            </w:tcBorders>
            <w:noWrap/>
            <w:hideMark/>
          </w:tcPr>
          <w:p w14:paraId="187E9662" w14:textId="77777777" w:rsidR="004609B6" w:rsidRDefault="004609B6">
            <w:pPr>
              <w:pStyle w:val="Tabletext9pt"/>
              <w:rPr>
                <w:szCs w:val="18"/>
                <w:lang w:eastAsia="en-AU"/>
              </w:rPr>
            </w:pPr>
            <w:r>
              <w:rPr>
                <w:szCs w:val="18"/>
              </w:rPr>
              <w:t>Paediatric heart transplantation – no ventricular assist device</w:t>
            </w:r>
          </w:p>
        </w:tc>
        <w:tc>
          <w:tcPr>
            <w:tcW w:w="2693" w:type="dxa"/>
            <w:tcBorders>
              <w:top w:val="single" w:sz="4" w:space="0" w:color="auto"/>
              <w:left w:val="single" w:sz="4" w:space="0" w:color="auto"/>
              <w:bottom w:val="single" w:sz="4" w:space="0" w:color="auto"/>
              <w:right w:val="single" w:sz="4" w:space="0" w:color="auto"/>
            </w:tcBorders>
            <w:hideMark/>
          </w:tcPr>
          <w:p w14:paraId="4B5BF6A8" w14:textId="726F4B51" w:rsidR="004609B6" w:rsidRDefault="682F3D5D">
            <w:pPr>
              <w:pStyle w:val="Tabletext9pt"/>
              <w:jc w:val="right"/>
              <w:rPr>
                <w:lang w:eastAsia="en-AU"/>
              </w:rPr>
            </w:pPr>
            <w:r w:rsidRPr="334F4DE5">
              <w:rPr>
                <w:lang w:eastAsia="en-AU"/>
              </w:rPr>
              <w:t>4</w:t>
            </w:r>
            <w:r w:rsidR="4EA295E3" w:rsidRPr="334F4DE5">
              <w:rPr>
                <w:lang w:eastAsia="en-AU"/>
              </w:rPr>
              <w:t>52,452</w:t>
            </w:r>
          </w:p>
        </w:tc>
      </w:tr>
      <w:tr w:rsidR="004609B6" w14:paraId="1F58664D" w14:textId="77777777" w:rsidTr="004F60C7">
        <w:tc>
          <w:tcPr>
            <w:tcW w:w="5524" w:type="dxa"/>
            <w:tcBorders>
              <w:top w:val="single" w:sz="4" w:space="0" w:color="auto"/>
              <w:left w:val="single" w:sz="4" w:space="0" w:color="auto"/>
              <w:bottom w:val="single" w:sz="4" w:space="0" w:color="auto"/>
              <w:right w:val="single" w:sz="4" w:space="0" w:color="auto"/>
            </w:tcBorders>
            <w:noWrap/>
            <w:hideMark/>
          </w:tcPr>
          <w:p w14:paraId="37472A17" w14:textId="77777777" w:rsidR="004609B6" w:rsidRDefault="004609B6">
            <w:pPr>
              <w:pStyle w:val="Tabletext9pt"/>
              <w:rPr>
                <w:szCs w:val="18"/>
                <w:lang w:eastAsia="en-AU"/>
              </w:rPr>
            </w:pPr>
            <w:r>
              <w:rPr>
                <w:szCs w:val="18"/>
              </w:rPr>
              <w:t>Paediatric heart transplantation – with ventricular assist device</w:t>
            </w:r>
          </w:p>
        </w:tc>
        <w:tc>
          <w:tcPr>
            <w:tcW w:w="2693" w:type="dxa"/>
            <w:tcBorders>
              <w:top w:val="single" w:sz="4" w:space="0" w:color="auto"/>
              <w:left w:val="single" w:sz="4" w:space="0" w:color="auto"/>
              <w:bottom w:val="single" w:sz="4" w:space="0" w:color="auto"/>
              <w:right w:val="single" w:sz="4" w:space="0" w:color="auto"/>
            </w:tcBorders>
            <w:hideMark/>
          </w:tcPr>
          <w:p w14:paraId="40267B63" w14:textId="251A44C1" w:rsidR="004609B6" w:rsidRDefault="004609B6">
            <w:pPr>
              <w:pStyle w:val="Tabletext9pt"/>
              <w:jc w:val="right"/>
              <w:rPr>
                <w:lang w:eastAsia="en-AU"/>
              </w:rPr>
            </w:pPr>
            <w:r>
              <w:rPr>
                <w:lang w:eastAsia="en-AU"/>
              </w:rPr>
              <w:t>1,</w:t>
            </w:r>
            <w:r w:rsidR="682F3D5D" w:rsidRPr="334F4DE5">
              <w:rPr>
                <w:lang w:eastAsia="en-AU"/>
              </w:rPr>
              <w:t>0</w:t>
            </w:r>
            <w:r w:rsidR="2D4FB742" w:rsidRPr="334F4DE5">
              <w:rPr>
                <w:lang w:eastAsia="en-AU"/>
              </w:rPr>
              <w:t>48,914</w:t>
            </w:r>
          </w:p>
        </w:tc>
      </w:tr>
      <w:tr w:rsidR="004609B6" w14:paraId="129159E7" w14:textId="77777777" w:rsidTr="004F60C7">
        <w:tc>
          <w:tcPr>
            <w:tcW w:w="5524" w:type="dxa"/>
            <w:tcBorders>
              <w:top w:val="single" w:sz="4" w:space="0" w:color="auto"/>
              <w:left w:val="single" w:sz="4" w:space="0" w:color="auto"/>
              <w:bottom w:val="single" w:sz="4" w:space="0" w:color="auto"/>
              <w:right w:val="single" w:sz="4" w:space="0" w:color="auto"/>
            </w:tcBorders>
            <w:noWrap/>
            <w:hideMark/>
          </w:tcPr>
          <w:p w14:paraId="1D594994" w14:textId="77777777" w:rsidR="004609B6" w:rsidRDefault="004609B6">
            <w:pPr>
              <w:pStyle w:val="Tabletext9pt"/>
              <w:rPr>
                <w:szCs w:val="18"/>
                <w:lang w:eastAsia="en-AU"/>
              </w:rPr>
            </w:pPr>
            <w:r>
              <w:rPr>
                <w:szCs w:val="18"/>
              </w:rPr>
              <w:t>Paediatric liver transplantation</w:t>
            </w:r>
          </w:p>
        </w:tc>
        <w:tc>
          <w:tcPr>
            <w:tcW w:w="2693" w:type="dxa"/>
            <w:tcBorders>
              <w:top w:val="single" w:sz="4" w:space="0" w:color="auto"/>
              <w:left w:val="single" w:sz="4" w:space="0" w:color="auto"/>
              <w:bottom w:val="single" w:sz="4" w:space="0" w:color="auto"/>
              <w:right w:val="single" w:sz="4" w:space="0" w:color="auto"/>
            </w:tcBorders>
            <w:hideMark/>
          </w:tcPr>
          <w:p w14:paraId="05686FB0" w14:textId="7BCC6CB0" w:rsidR="004609B6" w:rsidRDefault="682F3D5D">
            <w:pPr>
              <w:pStyle w:val="Tabletext9pt"/>
              <w:jc w:val="right"/>
              <w:rPr>
                <w:lang w:eastAsia="en-AU"/>
              </w:rPr>
            </w:pPr>
            <w:r w:rsidRPr="334F4DE5">
              <w:rPr>
                <w:lang w:eastAsia="en-AU"/>
              </w:rPr>
              <w:t>3</w:t>
            </w:r>
            <w:r w:rsidR="76258258" w:rsidRPr="334F4DE5">
              <w:rPr>
                <w:lang w:eastAsia="en-AU"/>
              </w:rPr>
              <w:t>69,490</w:t>
            </w:r>
          </w:p>
        </w:tc>
      </w:tr>
      <w:tr w:rsidR="004609B6" w14:paraId="059CB9F6" w14:textId="77777777" w:rsidTr="004F60C7">
        <w:tc>
          <w:tcPr>
            <w:tcW w:w="5524" w:type="dxa"/>
            <w:tcBorders>
              <w:top w:val="single" w:sz="4" w:space="0" w:color="auto"/>
              <w:left w:val="single" w:sz="4" w:space="0" w:color="auto"/>
              <w:bottom w:val="single" w:sz="4" w:space="0" w:color="auto"/>
              <w:right w:val="single" w:sz="4" w:space="0" w:color="auto"/>
            </w:tcBorders>
            <w:noWrap/>
            <w:hideMark/>
          </w:tcPr>
          <w:p w14:paraId="6D32B7C6" w14:textId="77777777" w:rsidR="004609B6" w:rsidRDefault="004609B6">
            <w:pPr>
              <w:pStyle w:val="Tabletext9pt"/>
              <w:rPr>
                <w:szCs w:val="18"/>
              </w:rPr>
            </w:pPr>
            <w:r>
              <w:rPr>
                <w:szCs w:val="18"/>
              </w:rPr>
              <w:t>Paediatric lung/heart-lung transplantation</w:t>
            </w:r>
          </w:p>
        </w:tc>
        <w:tc>
          <w:tcPr>
            <w:tcW w:w="2693" w:type="dxa"/>
            <w:tcBorders>
              <w:top w:val="single" w:sz="4" w:space="0" w:color="auto"/>
              <w:left w:val="single" w:sz="4" w:space="0" w:color="auto"/>
              <w:bottom w:val="single" w:sz="4" w:space="0" w:color="auto"/>
              <w:right w:val="single" w:sz="4" w:space="0" w:color="auto"/>
            </w:tcBorders>
            <w:hideMark/>
          </w:tcPr>
          <w:p w14:paraId="4DC1245C" w14:textId="6C728E33" w:rsidR="004609B6" w:rsidRDefault="682F3D5D">
            <w:pPr>
              <w:pStyle w:val="Tabletext9pt"/>
              <w:jc w:val="right"/>
              <w:rPr>
                <w:lang w:eastAsia="en-AU"/>
              </w:rPr>
            </w:pPr>
            <w:r w:rsidRPr="334F4DE5">
              <w:rPr>
                <w:lang w:eastAsia="en-AU"/>
              </w:rPr>
              <w:t>3</w:t>
            </w:r>
            <w:r w:rsidR="51CEC488" w:rsidRPr="334F4DE5">
              <w:rPr>
                <w:lang w:eastAsia="en-AU"/>
              </w:rPr>
              <w:t>22,602</w:t>
            </w:r>
          </w:p>
        </w:tc>
      </w:tr>
      <w:tr w:rsidR="004609B6" w14:paraId="085D6F36" w14:textId="77777777" w:rsidTr="004F60C7">
        <w:tc>
          <w:tcPr>
            <w:tcW w:w="5524" w:type="dxa"/>
            <w:tcBorders>
              <w:top w:val="single" w:sz="4" w:space="0" w:color="auto"/>
              <w:left w:val="single" w:sz="4" w:space="0" w:color="auto"/>
              <w:bottom w:val="single" w:sz="4" w:space="0" w:color="auto"/>
              <w:right w:val="single" w:sz="4" w:space="0" w:color="auto"/>
            </w:tcBorders>
            <w:noWrap/>
            <w:hideMark/>
          </w:tcPr>
          <w:p w14:paraId="6896D25B" w14:textId="77777777" w:rsidR="004609B6" w:rsidRDefault="004609B6">
            <w:pPr>
              <w:pStyle w:val="Tabletext9pt"/>
              <w:rPr>
                <w:szCs w:val="18"/>
              </w:rPr>
            </w:pPr>
            <w:r>
              <w:rPr>
                <w:szCs w:val="18"/>
              </w:rPr>
              <w:lastRenderedPageBreak/>
              <w:t>Pancreas transplantation</w:t>
            </w:r>
          </w:p>
        </w:tc>
        <w:tc>
          <w:tcPr>
            <w:tcW w:w="2693" w:type="dxa"/>
            <w:tcBorders>
              <w:top w:val="single" w:sz="4" w:space="0" w:color="auto"/>
              <w:left w:val="single" w:sz="4" w:space="0" w:color="auto"/>
              <w:bottom w:val="single" w:sz="4" w:space="0" w:color="auto"/>
              <w:right w:val="single" w:sz="4" w:space="0" w:color="auto"/>
            </w:tcBorders>
            <w:hideMark/>
          </w:tcPr>
          <w:p w14:paraId="7D10CB8A" w14:textId="2CCDA96C" w:rsidR="004609B6" w:rsidRDefault="00AF098C">
            <w:pPr>
              <w:pStyle w:val="Tabletext9pt"/>
              <w:jc w:val="right"/>
              <w:rPr>
                <w:lang w:eastAsia="en-AU"/>
              </w:rPr>
            </w:pPr>
            <w:r>
              <w:rPr>
                <w:lang w:eastAsia="en-AU"/>
              </w:rPr>
              <w:t>203,</w:t>
            </w:r>
            <w:r w:rsidR="00146E0D">
              <w:rPr>
                <w:lang w:eastAsia="en-AU"/>
              </w:rPr>
              <w:t>116</w:t>
            </w:r>
          </w:p>
        </w:tc>
      </w:tr>
    </w:tbl>
    <w:p w14:paraId="0E046147" w14:textId="53B156FD" w:rsidR="0F71FB16" w:rsidRDefault="0F71FB16"/>
    <w:p w14:paraId="72A4E29B" w14:textId="4BEAD29A" w:rsidR="00672E12" w:rsidRDefault="00672E12" w:rsidP="00672E12">
      <w:pPr>
        <w:rPr>
          <w:rFonts w:ascii="Calibri" w:hAnsi="Calibri"/>
          <w:sz w:val="22"/>
        </w:rPr>
      </w:pPr>
      <w:r w:rsidRPr="00672E12">
        <w:t>* Prices shown are 2022-23 ones, Funding Rules 2024-25 will show 2023-24 prices.</w:t>
      </w:r>
      <w:r>
        <w:t xml:space="preserve"> </w:t>
      </w:r>
    </w:p>
    <w:p w14:paraId="455F52AF" w14:textId="77777777" w:rsidR="00672E12" w:rsidRDefault="00672E12"/>
    <w:p w14:paraId="3E417275" w14:textId="1EEB8460" w:rsidR="000B27B9" w:rsidRPr="00C70724" w:rsidRDefault="000B27B9" w:rsidP="00081936">
      <w:pPr>
        <w:pStyle w:val="Heading3"/>
        <w:numPr>
          <w:ilvl w:val="2"/>
          <w:numId w:val="33"/>
        </w:numPr>
        <w:spacing w:before="240"/>
        <w:ind w:left="1134"/>
      </w:pPr>
      <w:bookmarkStart w:id="752" w:name="_Toc487742007"/>
      <w:bookmarkStart w:id="753" w:name="_Toc14172237"/>
      <w:bookmarkStart w:id="754" w:name="_Toc100263348"/>
      <w:bookmarkStart w:id="755" w:name="_Toc156569680"/>
      <w:bookmarkEnd w:id="750"/>
      <w:r w:rsidRPr="00C70724">
        <w:t xml:space="preserve">Mental </w:t>
      </w:r>
      <w:r w:rsidR="00813E73">
        <w:t>h</w:t>
      </w:r>
      <w:r w:rsidR="00813E73" w:rsidRPr="00C70724">
        <w:t xml:space="preserve">ealth </w:t>
      </w:r>
      <w:bookmarkEnd w:id="751"/>
      <w:bookmarkEnd w:id="752"/>
      <w:bookmarkEnd w:id="753"/>
      <w:bookmarkEnd w:id="754"/>
      <w:r w:rsidR="00813E73">
        <w:t>s</w:t>
      </w:r>
      <w:r w:rsidR="00813E73" w:rsidRPr="00C70724">
        <w:t>ervices</w:t>
      </w:r>
      <w:bookmarkEnd w:id="755"/>
    </w:p>
    <w:p w14:paraId="72DE9A12" w14:textId="044E3A92" w:rsidR="00425B49" w:rsidRDefault="00425B49" w:rsidP="00685B35">
      <w:pPr>
        <w:pStyle w:val="Tablecaption"/>
      </w:pPr>
      <w:bookmarkStart w:id="756" w:name="_Toc156568658"/>
      <w:bookmarkStart w:id="757" w:name="_Toc419644512"/>
      <w:bookmarkStart w:id="758" w:name="_Toc487742070"/>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15</w:t>
      </w:r>
      <w:r>
        <w:fldChar w:fldCharType="end"/>
      </w:r>
      <w:bookmarkStart w:id="759" w:name="_Ref14204260"/>
      <w:r>
        <w:t>:</w:t>
      </w:r>
      <w:r w:rsidRPr="00425B49">
        <w:t xml:space="preserve"> </w:t>
      </w:r>
      <w:r w:rsidRPr="004B2BBB">
        <w:t xml:space="preserve">Mental health – funded units </w:t>
      </w:r>
      <w:r w:rsidRPr="00710043">
        <w:t>applicable to clinical bed-based services 202</w:t>
      </w:r>
      <w:r>
        <w:t>3</w:t>
      </w:r>
      <w:r w:rsidRPr="00710043">
        <w:rPr>
          <w:szCs w:val="21"/>
        </w:rPr>
        <w:t>–</w:t>
      </w:r>
      <w:r w:rsidRPr="004B2BBB">
        <w:t>2</w:t>
      </w:r>
      <w:r>
        <w:t>4</w:t>
      </w:r>
      <w:r w:rsidRPr="004B2BBB">
        <w:t xml:space="preserve"> </w:t>
      </w:r>
      <w:r w:rsidRPr="00710043">
        <w:t>– a</w:t>
      </w:r>
      <w:r w:rsidRPr="00710043">
        <w:rPr>
          <w:lang w:eastAsia="en-AU"/>
        </w:rPr>
        <w:t>dmitted care</w:t>
      </w:r>
      <w:bookmarkEnd w:id="756"/>
      <w:bookmarkEnd w:id="759"/>
    </w:p>
    <w:tbl>
      <w:tblPr>
        <w:tblStyle w:val="TableGrid"/>
        <w:tblW w:w="0" w:type="auto"/>
        <w:tblLayout w:type="fixed"/>
        <w:tblLook w:val="06A0" w:firstRow="1" w:lastRow="0" w:firstColumn="1" w:lastColumn="0" w:noHBand="1" w:noVBand="1"/>
      </w:tblPr>
      <w:tblGrid>
        <w:gridCol w:w="4268"/>
        <w:gridCol w:w="2531"/>
        <w:gridCol w:w="2486"/>
      </w:tblGrid>
      <w:tr w:rsidR="004609B6" w14:paraId="6C52CE9C" w14:textId="77777777" w:rsidTr="00685B35">
        <w:trPr>
          <w:tblHeader/>
        </w:trPr>
        <w:tc>
          <w:tcPr>
            <w:tcW w:w="4268" w:type="dxa"/>
            <w:shd w:val="clear" w:color="auto" w:fill="auto"/>
            <w:hideMark/>
          </w:tcPr>
          <w:p w14:paraId="676BE9E5" w14:textId="77777777" w:rsidR="004609B6" w:rsidRDefault="004609B6" w:rsidP="00685B35">
            <w:pPr>
              <w:pStyle w:val="Tablecolhead"/>
            </w:pPr>
            <w:bookmarkStart w:id="760" w:name="_Hlk12609501"/>
            <w:r>
              <w:rPr>
                <w:rFonts w:eastAsia="Arial"/>
              </w:rPr>
              <w:t>Service element</w:t>
            </w:r>
          </w:p>
        </w:tc>
        <w:tc>
          <w:tcPr>
            <w:tcW w:w="2531" w:type="dxa"/>
            <w:shd w:val="clear" w:color="auto" w:fill="auto"/>
            <w:hideMark/>
          </w:tcPr>
          <w:p w14:paraId="31F8D9FF" w14:textId="77777777" w:rsidR="004609B6" w:rsidRDefault="004609B6" w:rsidP="00685B35">
            <w:pPr>
              <w:pStyle w:val="Tablecolhead"/>
            </w:pPr>
            <w:r>
              <w:rPr>
                <w:rFonts w:eastAsia="Arial"/>
              </w:rPr>
              <w:t>Funded unit</w:t>
            </w:r>
          </w:p>
        </w:tc>
        <w:tc>
          <w:tcPr>
            <w:tcW w:w="2486" w:type="dxa"/>
            <w:shd w:val="clear" w:color="auto" w:fill="auto"/>
            <w:hideMark/>
          </w:tcPr>
          <w:p w14:paraId="32CFE361" w14:textId="77777777" w:rsidR="004609B6" w:rsidRDefault="004609B6" w:rsidP="00685B35">
            <w:pPr>
              <w:pStyle w:val="Tablecolhead"/>
              <w:rPr>
                <w:rFonts w:eastAsia="Arial"/>
              </w:rPr>
            </w:pPr>
            <w:r>
              <w:rPr>
                <w:rFonts w:eastAsia="Arial"/>
              </w:rPr>
              <w:t>All health services ($)</w:t>
            </w:r>
          </w:p>
        </w:tc>
      </w:tr>
      <w:tr w:rsidR="004609B6" w14:paraId="0A5C1777" w14:textId="77777777" w:rsidTr="00685B35">
        <w:tc>
          <w:tcPr>
            <w:tcW w:w="4268" w:type="dxa"/>
            <w:hideMark/>
          </w:tcPr>
          <w:p w14:paraId="3FCD36BA" w14:textId="7E4E992D" w:rsidR="004609B6" w:rsidRDefault="004609B6">
            <w:pPr>
              <w:pStyle w:val="Tabletext9pt"/>
            </w:pPr>
            <w:r>
              <w:rPr>
                <w:rFonts w:eastAsia="Arial"/>
              </w:rPr>
              <w:t>Acute care – child/adolescent, adult, aged</w:t>
            </w:r>
            <w:hyperlink r:id="rId81" w:anchor="_ftn1" w:history="1">
              <w:r>
                <w:rPr>
                  <w:rStyle w:val="Hyperlink"/>
                  <w:rFonts w:eastAsia="Arial"/>
                  <w:vertAlign w:val="superscript"/>
                </w:rPr>
                <w:t>[1]</w:t>
              </w:r>
            </w:hyperlink>
          </w:p>
        </w:tc>
        <w:tc>
          <w:tcPr>
            <w:tcW w:w="2531" w:type="dxa"/>
            <w:hideMark/>
          </w:tcPr>
          <w:p w14:paraId="3EB94161" w14:textId="77777777" w:rsidR="004609B6" w:rsidRDefault="004609B6">
            <w:pPr>
              <w:pStyle w:val="Tabletext9pt"/>
            </w:pPr>
            <w:r>
              <w:rPr>
                <w:rFonts w:eastAsia="Arial"/>
              </w:rPr>
              <w:t>Available bed day</w:t>
            </w:r>
          </w:p>
        </w:tc>
        <w:tc>
          <w:tcPr>
            <w:tcW w:w="2486" w:type="dxa"/>
            <w:hideMark/>
          </w:tcPr>
          <w:p w14:paraId="640E0ED6" w14:textId="1200ADFD" w:rsidR="004609B6" w:rsidRDefault="009941FD">
            <w:pPr>
              <w:jc w:val="right"/>
              <w:rPr>
                <w:rFonts w:eastAsia="Arial" w:cs="Arial"/>
                <w:sz w:val="18"/>
                <w:szCs w:val="18"/>
              </w:rPr>
            </w:pPr>
            <w:r>
              <w:rPr>
                <w:rFonts w:eastAsia="Arial" w:cs="Arial"/>
                <w:sz w:val="18"/>
                <w:szCs w:val="18"/>
              </w:rPr>
              <w:t>903.99</w:t>
            </w:r>
          </w:p>
        </w:tc>
      </w:tr>
      <w:tr w:rsidR="004609B6" w14:paraId="1EAA3417" w14:textId="77777777" w:rsidTr="00685B35">
        <w:tc>
          <w:tcPr>
            <w:tcW w:w="4268" w:type="dxa"/>
            <w:hideMark/>
          </w:tcPr>
          <w:p w14:paraId="09FCDD0B" w14:textId="77777777" w:rsidR="004609B6" w:rsidRDefault="004609B6">
            <w:pPr>
              <w:pStyle w:val="Tabletext9pt"/>
            </w:pPr>
            <w:r>
              <w:rPr>
                <w:rFonts w:eastAsia="Arial"/>
              </w:rPr>
              <w:t>Acute care specialist5</w:t>
            </w:r>
          </w:p>
        </w:tc>
        <w:tc>
          <w:tcPr>
            <w:tcW w:w="2531" w:type="dxa"/>
            <w:hideMark/>
          </w:tcPr>
          <w:p w14:paraId="44B893F0" w14:textId="77777777" w:rsidR="004609B6" w:rsidRDefault="004609B6">
            <w:pPr>
              <w:pStyle w:val="Tabletext9pt"/>
            </w:pPr>
            <w:r>
              <w:rPr>
                <w:rFonts w:eastAsia="Arial"/>
              </w:rPr>
              <w:t>Available bed day</w:t>
            </w:r>
          </w:p>
        </w:tc>
        <w:tc>
          <w:tcPr>
            <w:tcW w:w="2486" w:type="dxa"/>
            <w:hideMark/>
          </w:tcPr>
          <w:p w14:paraId="781026B7" w14:textId="37214DB6" w:rsidR="004609B6" w:rsidRDefault="009941FD">
            <w:pPr>
              <w:jc w:val="right"/>
              <w:rPr>
                <w:rFonts w:eastAsia="Arial" w:cs="Arial"/>
                <w:sz w:val="18"/>
                <w:szCs w:val="18"/>
              </w:rPr>
            </w:pPr>
            <w:r>
              <w:rPr>
                <w:rFonts w:eastAsia="Arial" w:cs="Arial"/>
                <w:sz w:val="18"/>
                <w:szCs w:val="18"/>
              </w:rPr>
              <w:t>903.99</w:t>
            </w:r>
          </w:p>
        </w:tc>
      </w:tr>
      <w:tr w:rsidR="004609B6" w14:paraId="784CFF4D" w14:textId="77777777" w:rsidTr="00685B35">
        <w:tc>
          <w:tcPr>
            <w:tcW w:w="4268" w:type="dxa"/>
            <w:hideMark/>
          </w:tcPr>
          <w:p w14:paraId="029D28B5" w14:textId="77777777" w:rsidR="004609B6" w:rsidRDefault="004609B6">
            <w:pPr>
              <w:pStyle w:val="Tabletext9pt"/>
            </w:pPr>
            <w:r>
              <w:rPr>
                <w:rFonts w:eastAsia="Arial"/>
              </w:rPr>
              <w:t>Extended care – adult</w:t>
            </w:r>
          </w:p>
        </w:tc>
        <w:tc>
          <w:tcPr>
            <w:tcW w:w="2531" w:type="dxa"/>
            <w:hideMark/>
          </w:tcPr>
          <w:p w14:paraId="622F4CC4" w14:textId="77777777" w:rsidR="004609B6" w:rsidRDefault="004609B6">
            <w:pPr>
              <w:pStyle w:val="Tabletext9pt"/>
            </w:pPr>
            <w:r>
              <w:rPr>
                <w:rFonts w:eastAsia="Arial"/>
              </w:rPr>
              <w:t>Available bed day</w:t>
            </w:r>
          </w:p>
        </w:tc>
        <w:tc>
          <w:tcPr>
            <w:tcW w:w="2486" w:type="dxa"/>
            <w:hideMark/>
          </w:tcPr>
          <w:p w14:paraId="4BA0F111" w14:textId="13AF1D61" w:rsidR="004609B6" w:rsidRDefault="009941FD">
            <w:pPr>
              <w:jc w:val="right"/>
              <w:rPr>
                <w:rFonts w:eastAsia="Arial" w:cs="Arial"/>
                <w:sz w:val="18"/>
                <w:szCs w:val="18"/>
              </w:rPr>
            </w:pPr>
            <w:r>
              <w:rPr>
                <w:rFonts w:eastAsia="Arial" w:cs="Arial"/>
                <w:sz w:val="18"/>
                <w:szCs w:val="18"/>
              </w:rPr>
              <w:t>626.25</w:t>
            </w:r>
          </w:p>
        </w:tc>
      </w:tr>
      <w:tr w:rsidR="004609B6" w14:paraId="2B041D43" w14:textId="77777777" w:rsidTr="00685B35">
        <w:tc>
          <w:tcPr>
            <w:tcW w:w="4268" w:type="dxa"/>
            <w:hideMark/>
          </w:tcPr>
          <w:p w14:paraId="3CEB1CEB" w14:textId="77777777" w:rsidR="004609B6" w:rsidRDefault="004609B6">
            <w:pPr>
              <w:pStyle w:val="Tabletext9pt"/>
            </w:pPr>
            <w:r>
              <w:rPr>
                <w:rFonts w:eastAsia="Arial"/>
              </w:rPr>
              <w:t>Transition support unit</w:t>
            </w:r>
          </w:p>
        </w:tc>
        <w:tc>
          <w:tcPr>
            <w:tcW w:w="2531" w:type="dxa"/>
            <w:hideMark/>
          </w:tcPr>
          <w:p w14:paraId="22C1253C" w14:textId="77777777" w:rsidR="004609B6" w:rsidRDefault="004609B6">
            <w:pPr>
              <w:pStyle w:val="Tabletext9pt"/>
            </w:pPr>
            <w:r>
              <w:rPr>
                <w:rFonts w:eastAsia="Arial"/>
              </w:rPr>
              <w:t>Available bed day</w:t>
            </w:r>
          </w:p>
        </w:tc>
        <w:tc>
          <w:tcPr>
            <w:tcW w:w="2486" w:type="dxa"/>
            <w:hideMark/>
          </w:tcPr>
          <w:p w14:paraId="66BE3BAC" w14:textId="4006D90C" w:rsidR="004609B6" w:rsidRDefault="008938DD">
            <w:pPr>
              <w:jc w:val="right"/>
              <w:rPr>
                <w:rFonts w:eastAsia="Arial" w:cs="Arial"/>
                <w:sz w:val="18"/>
                <w:szCs w:val="18"/>
              </w:rPr>
            </w:pPr>
            <w:r>
              <w:rPr>
                <w:rFonts w:eastAsia="Arial" w:cs="Arial"/>
                <w:sz w:val="18"/>
                <w:szCs w:val="18"/>
              </w:rPr>
              <w:t>626.25</w:t>
            </w:r>
          </w:p>
        </w:tc>
      </w:tr>
    </w:tbl>
    <w:p w14:paraId="5654C05E" w14:textId="38866179" w:rsidR="0F71FB16" w:rsidRDefault="00000000">
      <w:hyperlink r:id="rId82" w:anchor="_ftnref1" w:history="1">
        <w:r w:rsidR="2012C161" w:rsidRPr="139BB5A8">
          <w:rPr>
            <w:rStyle w:val="Hyperlink"/>
            <w:rFonts w:eastAsia="Arial" w:cs="Arial"/>
            <w:sz w:val="18"/>
            <w:szCs w:val="18"/>
            <w:vertAlign w:val="superscript"/>
          </w:rPr>
          <w:t>[1]</w:t>
        </w:r>
      </w:hyperlink>
      <w:r w:rsidR="2012C161" w:rsidRPr="139BB5A8">
        <w:rPr>
          <w:rFonts w:eastAsia="Arial" w:cs="Arial"/>
          <w:sz w:val="18"/>
          <w:szCs w:val="18"/>
        </w:rPr>
        <w:t xml:space="preserve"> </w:t>
      </w:r>
      <w:r w:rsidR="2012C161" w:rsidRPr="139BB5A8">
        <w:rPr>
          <w:rFonts w:eastAsia="Arial" w:cs="Arial"/>
          <w:sz w:val="16"/>
          <w:szCs w:val="16"/>
        </w:rPr>
        <w:t>Supplement grant provided to support the acute care unit price.</w:t>
      </w:r>
    </w:p>
    <w:p w14:paraId="784559E3" w14:textId="736A5A62" w:rsidR="00AC6840" w:rsidRDefault="00AC6840" w:rsidP="00685B35">
      <w:pPr>
        <w:pStyle w:val="Tablecaption"/>
      </w:pPr>
      <w:bookmarkStart w:id="761" w:name="_Toc110944652"/>
      <w:bookmarkStart w:id="762" w:name="_Toc156568659"/>
      <w:bookmarkEnd w:id="761"/>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16</w:t>
      </w:r>
      <w:r>
        <w:fldChar w:fldCharType="end"/>
      </w:r>
      <w:r>
        <w:t xml:space="preserve">: </w:t>
      </w:r>
      <w:r w:rsidRPr="004B2BBB">
        <w:t xml:space="preserve">Mental health – funded units </w:t>
      </w:r>
      <w:r w:rsidRPr="00710043">
        <w:t>applicable to clinical bed-based services 202</w:t>
      </w:r>
      <w:r>
        <w:t>3</w:t>
      </w:r>
      <w:r w:rsidRPr="00710043">
        <w:rPr>
          <w:szCs w:val="21"/>
        </w:rPr>
        <w:t>–</w:t>
      </w:r>
      <w:r w:rsidRPr="004B2BBB">
        <w:t>2</w:t>
      </w:r>
      <w:r>
        <w:t>4</w:t>
      </w:r>
      <w:r w:rsidRPr="00710043">
        <w:rPr>
          <w:szCs w:val="21"/>
        </w:rPr>
        <w:t xml:space="preserve"> </w:t>
      </w:r>
      <w:r w:rsidRPr="00710043">
        <w:t>– n</w:t>
      </w:r>
      <w:r w:rsidRPr="00710043">
        <w:rPr>
          <w:lang w:eastAsia="en-AU"/>
        </w:rPr>
        <w:t>on-admitted care</w:t>
      </w:r>
      <w:bookmarkEnd w:id="762"/>
    </w:p>
    <w:tbl>
      <w:tblPr>
        <w:tblStyle w:val="TableGrid"/>
        <w:tblW w:w="9285" w:type="dxa"/>
        <w:tblLayout w:type="fixed"/>
        <w:tblLook w:val="06A0" w:firstRow="1" w:lastRow="0" w:firstColumn="1" w:lastColumn="0" w:noHBand="1" w:noVBand="1"/>
      </w:tblPr>
      <w:tblGrid>
        <w:gridCol w:w="4268"/>
        <w:gridCol w:w="2526"/>
        <w:gridCol w:w="2491"/>
      </w:tblGrid>
      <w:tr w:rsidR="001F628C" w14:paraId="6193F641" w14:textId="77777777" w:rsidTr="00685B35">
        <w:tc>
          <w:tcPr>
            <w:tcW w:w="4268" w:type="dxa"/>
            <w:shd w:val="clear" w:color="auto" w:fill="auto"/>
            <w:hideMark/>
          </w:tcPr>
          <w:p w14:paraId="2BC9DF9D" w14:textId="77777777" w:rsidR="001F628C" w:rsidRDefault="001F628C" w:rsidP="00685B35">
            <w:pPr>
              <w:pStyle w:val="Tablecolhead"/>
            </w:pPr>
            <w:r>
              <w:rPr>
                <w:rFonts w:eastAsia="Arial"/>
              </w:rPr>
              <w:t>Service element</w:t>
            </w:r>
          </w:p>
        </w:tc>
        <w:tc>
          <w:tcPr>
            <w:tcW w:w="2526" w:type="dxa"/>
            <w:shd w:val="clear" w:color="auto" w:fill="auto"/>
            <w:hideMark/>
          </w:tcPr>
          <w:p w14:paraId="7A94441A" w14:textId="77777777" w:rsidR="001F628C" w:rsidRDefault="001F628C" w:rsidP="00685B35">
            <w:pPr>
              <w:pStyle w:val="Tablecolhead"/>
            </w:pPr>
            <w:r>
              <w:rPr>
                <w:rFonts w:eastAsia="Arial"/>
              </w:rPr>
              <w:t>Funded unit</w:t>
            </w:r>
          </w:p>
        </w:tc>
        <w:tc>
          <w:tcPr>
            <w:tcW w:w="2491" w:type="dxa"/>
            <w:shd w:val="clear" w:color="auto" w:fill="auto"/>
            <w:hideMark/>
          </w:tcPr>
          <w:p w14:paraId="250590E2" w14:textId="77777777" w:rsidR="001F628C" w:rsidRDefault="001F628C" w:rsidP="00685B35">
            <w:pPr>
              <w:pStyle w:val="Tablecolhead"/>
              <w:rPr>
                <w:rFonts w:eastAsia="Arial"/>
              </w:rPr>
            </w:pPr>
            <w:r>
              <w:rPr>
                <w:rFonts w:eastAsia="Arial"/>
              </w:rPr>
              <w:t>All health services ($)</w:t>
            </w:r>
          </w:p>
        </w:tc>
      </w:tr>
      <w:tr w:rsidR="001F628C" w14:paraId="4BBA365E" w14:textId="77777777" w:rsidTr="00685B35">
        <w:tc>
          <w:tcPr>
            <w:tcW w:w="4268" w:type="dxa"/>
            <w:hideMark/>
          </w:tcPr>
          <w:p w14:paraId="045B18BF" w14:textId="77777777" w:rsidR="001F628C" w:rsidRDefault="001F628C">
            <w:pPr>
              <w:pStyle w:val="Tabletext9pt"/>
            </w:pPr>
            <w:r>
              <w:rPr>
                <w:rFonts w:eastAsia="Arial"/>
              </w:rPr>
              <w:t>Community care unit</w:t>
            </w:r>
          </w:p>
        </w:tc>
        <w:tc>
          <w:tcPr>
            <w:tcW w:w="2526" w:type="dxa"/>
            <w:hideMark/>
          </w:tcPr>
          <w:p w14:paraId="35D117E7" w14:textId="77777777" w:rsidR="001F628C" w:rsidRDefault="001F628C">
            <w:pPr>
              <w:pStyle w:val="Tabletext9pt"/>
            </w:pPr>
            <w:r>
              <w:rPr>
                <w:rFonts w:eastAsia="Arial"/>
              </w:rPr>
              <w:t>Available bed day</w:t>
            </w:r>
          </w:p>
        </w:tc>
        <w:tc>
          <w:tcPr>
            <w:tcW w:w="2491" w:type="dxa"/>
            <w:hideMark/>
          </w:tcPr>
          <w:p w14:paraId="318EBB75" w14:textId="549D9C59" w:rsidR="001F628C" w:rsidRDefault="00803F06">
            <w:pPr>
              <w:jc w:val="right"/>
              <w:rPr>
                <w:rFonts w:eastAsia="Arial" w:cs="Arial"/>
                <w:sz w:val="18"/>
                <w:szCs w:val="18"/>
              </w:rPr>
            </w:pPr>
            <w:r>
              <w:rPr>
                <w:rFonts w:eastAsia="Arial" w:cs="Arial"/>
                <w:sz w:val="18"/>
                <w:szCs w:val="18"/>
              </w:rPr>
              <w:t>431.80</w:t>
            </w:r>
          </w:p>
        </w:tc>
      </w:tr>
      <w:tr w:rsidR="001F628C" w14:paraId="2EFC42B4" w14:textId="77777777" w:rsidTr="00685B35">
        <w:tc>
          <w:tcPr>
            <w:tcW w:w="4268" w:type="dxa"/>
            <w:hideMark/>
          </w:tcPr>
          <w:p w14:paraId="41C49D33" w14:textId="77777777" w:rsidR="001F628C" w:rsidRDefault="001F628C">
            <w:pPr>
              <w:pStyle w:val="Tabletext9pt"/>
            </w:pPr>
            <w:r>
              <w:rPr>
                <w:rFonts w:eastAsia="Arial"/>
              </w:rPr>
              <w:t>Adult PARC</w:t>
            </w:r>
          </w:p>
        </w:tc>
        <w:tc>
          <w:tcPr>
            <w:tcW w:w="2526" w:type="dxa"/>
            <w:hideMark/>
          </w:tcPr>
          <w:p w14:paraId="2ECF7A55" w14:textId="77777777" w:rsidR="001F628C" w:rsidRDefault="001F628C">
            <w:pPr>
              <w:pStyle w:val="Tabletext9pt"/>
            </w:pPr>
            <w:r>
              <w:rPr>
                <w:rFonts w:eastAsia="Arial"/>
              </w:rPr>
              <w:t>Available bed day</w:t>
            </w:r>
          </w:p>
        </w:tc>
        <w:tc>
          <w:tcPr>
            <w:tcW w:w="2491" w:type="dxa"/>
            <w:hideMark/>
          </w:tcPr>
          <w:p w14:paraId="6894C952" w14:textId="07E1674E" w:rsidR="001F628C" w:rsidRDefault="00FC4351">
            <w:pPr>
              <w:jc w:val="right"/>
              <w:rPr>
                <w:rFonts w:eastAsia="Arial" w:cs="Arial"/>
                <w:sz w:val="18"/>
                <w:szCs w:val="18"/>
              </w:rPr>
            </w:pPr>
            <w:r>
              <w:rPr>
                <w:rFonts w:eastAsia="Arial" w:cs="Arial"/>
                <w:sz w:val="18"/>
                <w:szCs w:val="18"/>
              </w:rPr>
              <w:t>568.64</w:t>
            </w:r>
          </w:p>
        </w:tc>
      </w:tr>
      <w:tr w:rsidR="001F628C" w14:paraId="6FCF058C" w14:textId="77777777" w:rsidTr="00685B35">
        <w:tc>
          <w:tcPr>
            <w:tcW w:w="4268" w:type="dxa"/>
            <w:hideMark/>
          </w:tcPr>
          <w:p w14:paraId="1E97CD28" w14:textId="77777777" w:rsidR="001F628C" w:rsidRDefault="001F628C">
            <w:pPr>
              <w:pStyle w:val="Tabletext9pt"/>
            </w:pPr>
            <w:r>
              <w:rPr>
                <w:rFonts w:eastAsia="Arial"/>
              </w:rPr>
              <w:t>Youth PARC</w:t>
            </w:r>
          </w:p>
        </w:tc>
        <w:tc>
          <w:tcPr>
            <w:tcW w:w="2526" w:type="dxa"/>
            <w:hideMark/>
          </w:tcPr>
          <w:p w14:paraId="40A6423C" w14:textId="77777777" w:rsidR="001F628C" w:rsidRDefault="001F628C">
            <w:pPr>
              <w:pStyle w:val="Tabletext9pt"/>
            </w:pPr>
            <w:r>
              <w:rPr>
                <w:rFonts w:eastAsia="Arial"/>
              </w:rPr>
              <w:t>Available bed day</w:t>
            </w:r>
          </w:p>
        </w:tc>
        <w:tc>
          <w:tcPr>
            <w:tcW w:w="2491" w:type="dxa"/>
            <w:hideMark/>
          </w:tcPr>
          <w:p w14:paraId="4547D54F" w14:textId="041DAEF8" w:rsidR="001F628C" w:rsidRDefault="00AD3AE9">
            <w:pPr>
              <w:jc w:val="right"/>
              <w:rPr>
                <w:rFonts w:eastAsia="Arial" w:cs="Arial"/>
                <w:sz w:val="18"/>
                <w:szCs w:val="18"/>
              </w:rPr>
            </w:pPr>
            <w:r>
              <w:rPr>
                <w:rFonts w:eastAsia="Arial" w:cs="Arial"/>
                <w:sz w:val="18"/>
                <w:szCs w:val="18"/>
              </w:rPr>
              <w:t>6</w:t>
            </w:r>
            <w:r w:rsidR="0021758C">
              <w:rPr>
                <w:rFonts w:eastAsia="Arial" w:cs="Arial"/>
                <w:sz w:val="18"/>
                <w:szCs w:val="18"/>
              </w:rPr>
              <w:t>78.33</w:t>
            </w:r>
          </w:p>
        </w:tc>
      </w:tr>
      <w:tr w:rsidR="001F628C" w14:paraId="56B93EF9" w14:textId="77777777" w:rsidTr="00685B35">
        <w:tc>
          <w:tcPr>
            <w:tcW w:w="4268" w:type="dxa"/>
            <w:hideMark/>
          </w:tcPr>
          <w:p w14:paraId="7414C17E" w14:textId="77777777" w:rsidR="001F628C" w:rsidRDefault="001F628C">
            <w:pPr>
              <w:pStyle w:val="Tabletext9pt"/>
            </w:pPr>
            <w:r>
              <w:rPr>
                <w:rFonts w:eastAsia="Arial"/>
              </w:rPr>
              <w:t>Aged persons nursing home supplement</w:t>
            </w:r>
          </w:p>
        </w:tc>
        <w:tc>
          <w:tcPr>
            <w:tcW w:w="2526" w:type="dxa"/>
            <w:hideMark/>
          </w:tcPr>
          <w:p w14:paraId="5B5005DE" w14:textId="77777777" w:rsidR="001F628C" w:rsidRDefault="001F628C">
            <w:pPr>
              <w:pStyle w:val="Tabletext9pt"/>
            </w:pPr>
            <w:r>
              <w:rPr>
                <w:rFonts w:eastAsia="Arial"/>
              </w:rPr>
              <w:t>Available bed day</w:t>
            </w:r>
          </w:p>
        </w:tc>
        <w:tc>
          <w:tcPr>
            <w:tcW w:w="2491" w:type="dxa"/>
            <w:hideMark/>
          </w:tcPr>
          <w:p w14:paraId="27FE02AC" w14:textId="0FB90395" w:rsidR="001F628C" w:rsidRDefault="00C62AA1">
            <w:pPr>
              <w:jc w:val="right"/>
              <w:rPr>
                <w:rFonts w:eastAsia="Arial" w:cs="Arial"/>
                <w:sz w:val="18"/>
                <w:szCs w:val="18"/>
              </w:rPr>
            </w:pPr>
            <w:r>
              <w:rPr>
                <w:rFonts w:eastAsia="Arial" w:cs="Arial"/>
                <w:sz w:val="18"/>
                <w:szCs w:val="18"/>
              </w:rPr>
              <w:t>110.77</w:t>
            </w:r>
          </w:p>
        </w:tc>
      </w:tr>
      <w:tr w:rsidR="001F628C" w14:paraId="498B5FC7" w14:textId="77777777" w:rsidTr="00685B35">
        <w:tc>
          <w:tcPr>
            <w:tcW w:w="4268" w:type="dxa"/>
            <w:hideMark/>
          </w:tcPr>
          <w:p w14:paraId="1BB1C308" w14:textId="77777777" w:rsidR="001F628C" w:rsidRDefault="001F628C">
            <w:pPr>
              <w:pStyle w:val="Tabletext9pt"/>
            </w:pPr>
            <w:r>
              <w:rPr>
                <w:rFonts w:eastAsia="Arial"/>
              </w:rPr>
              <w:t>Aged persons hostel supplement</w:t>
            </w:r>
          </w:p>
        </w:tc>
        <w:tc>
          <w:tcPr>
            <w:tcW w:w="2526" w:type="dxa"/>
            <w:hideMark/>
          </w:tcPr>
          <w:p w14:paraId="0D93C4F4" w14:textId="77777777" w:rsidR="001F628C" w:rsidRDefault="001F628C">
            <w:pPr>
              <w:pStyle w:val="Tabletext9pt"/>
            </w:pPr>
            <w:r>
              <w:rPr>
                <w:rFonts w:eastAsia="Arial"/>
              </w:rPr>
              <w:t>Available bed day</w:t>
            </w:r>
          </w:p>
        </w:tc>
        <w:tc>
          <w:tcPr>
            <w:tcW w:w="2491" w:type="dxa"/>
            <w:hideMark/>
          </w:tcPr>
          <w:p w14:paraId="78F77D35" w14:textId="59644F52" w:rsidR="001F628C" w:rsidRDefault="00D02E40">
            <w:pPr>
              <w:jc w:val="right"/>
              <w:rPr>
                <w:rFonts w:eastAsia="Arial" w:cs="Arial"/>
                <w:sz w:val="18"/>
                <w:szCs w:val="18"/>
              </w:rPr>
            </w:pPr>
            <w:r>
              <w:rPr>
                <w:rFonts w:eastAsia="Arial" w:cs="Arial"/>
                <w:sz w:val="18"/>
                <w:szCs w:val="18"/>
              </w:rPr>
              <w:t>98.36</w:t>
            </w:r>
          </w:p>
        </w:tc>
      </w:tr>
    </w:tbl>
    <w:p w14:paraId="51DF11B7" w14:textId="521A5913" w:rsidR="000B27B9" w:rsidRPr="00251766" w:rsidRDefault="00AC6840" w:rsidP="00685B35">
      <w:pPr>
        <w:pStyle w:val="Tablecaption"/>
      </w:pPr>
      <w:bookmarkStart w:id="763" w:name="_Toc109894109"/>
      <w:bookmarkStart w:id="764" w:name="_Toc156568660"/>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17</w:t>
      </w:r>
      <w:r>
        <w:fldChar w:fldCharType="end"/>
      </w:r>
      <w:r>
        <w:t xml:space="preserve">: </w:t>
      </w:r>
      <w:r w:rsidR="000B27B9" w:rsidRPr="00251766">
        <w:t xml:space="preserve">Mental health – funded units applicable to clinical bed-based services </w:t>
      </w:r>
      <w:r w:rsidR="005D1FCB" w:rsidRPr="00251766">
        <w:rPr>
          <w:szCs w:val="21"/>
        </w:rPr>
        <w:t>202</w:t>
      </w:r>
      <w:r w:rsidR="00F97A4D">
        <w:rPr>
          <w:szCs w:val="21"/>
        </w:rPr>
        <w:t>3</w:t>
      </w:r>
      <w:r w:rsidR="00DF6273">
        <w:rPr>
          <w:szCs w:val="21"/>
        </w:rPr>
        <w:t>–</w:t>
      </w:r>
      <w:r w:rsidR="005D1FCB" w:rsidRPr="00251766">
        <w:rPr>
          <w:szCs w:val="21"/>
        </w:rPr>
        <w:t>2</w:t>
      </w:r>
      <w:r w:rsidR="00F97A4D">
        <w:rPr>
          <w:szCs w:val="21"/>
        </w:rPr>
        <w:t>4</w:t>
      </w:r>
      <w:r w:rsidR="00EA68DE" w:rsidRPr="00251766">
        <w:t xml:space="preserve"> </w:t>
      </w:r>
      <w:r w:rsidR="000B27B9" w:rsidRPr="00251766">
        <w:t>– c</w:t>
      </w:r>
      <w:r w:rsidR="000B27B9" w:rsidRPr="00251766">
        <w:rPr>
          <w:lang w:eastAsia="en-AU"/>
        </w:rPr>
        <w:t xml:space="preserve">linical </w:t>
      </w:r>
      <w:r w:rsidR="000B27B9" w:rsidRPr="00251766">
        <w:t>community</w:t>
      </w:r>
      <w:r w:rsidR="000B27B9" w:rsidRPr="00251766">
        <w:rPr>
          <w:lang w:eastAsia="en-AU"/>
        </w:rPr>
        <w:t xml:space="preserve"> care</w:t>
      </w:r>
      <w:bookmarkEnd w:id="763"/>
      <w:bookmarkEnd w:id="764"/>
    </w:p>
    <w:tbl>
      <w:tblPr>
        <w:tblStyle w:val="TableGrid1"/>
        <w:tblW w:w="9299" w:type="dxa"/>
        <w:tblLook w:val="06A0" w:firstRow="1" w:lastRow="0" w:firstColumn="1" w:lastColumn="0" w:noHBand="1" w:noVBand="1"/>
      </w:tblPr>
      <w:tblGrid>
        <w:gridCol w:w="4106"/>
        <w:gridCol w:w="2126"/>
        <w:gridCol w:w="3067"/>
      </w:tblGrid>
      <w:tr w:rsidR="00E8141B" w14:paraId="42FD3F84" w14:textId="77777777" w:rsidTr="00685B35">
        <w:trPr>
          <w:cnfStyle w:val="100000000000" w:firstRow="1" w:lastRow="0" w:firstColumn="0" w:lastColumn="0" w:oddVBand="0" w:evenVBand="0" w:oddHBand="0" w:evenHBand="0" w:firstRowFirstColumn="0" w:firstRowLastColumn="0" w:lastRowFirstColumn="0" w:lastRowLastColumn="0"/>
          <w:trHeight w:val="133"/>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54FCC45A" w14:textId="1C9F59CD" w:rsidR="00E8141B" w:rsidRPr="00E8141B" w:rsidRDefault="00E8141B" w:rsidP="00685B35">
            <w:pPr>
              <w:pStyle w:val="Tablecolhead"/>
            </w:pPr>
            <w:r w:rsidRPr="00E8141B">
              <w:t>Service element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005A06B" w14:textId="3CB62EE9" w:rsidR="00E8141B" w:rsidRPr="00685B35" w:rsidRDefault="00E8141B" w:rsidP="00685B35">
            <w:pPr>
              <w:pStyle w:val="Tablecolhead"/>
            </w:pPr>
            <w:r w:rsidRPr="00685B35">
              <w:rPr>
                <w:sz w:val="20"/>
                <w:szCs w:val="20"/>
              </w:rPr>
              <w:t xml:space="preserve">Funded unit </w:t>
            </w:r>
          </w:p>
        </w:tc>
        <w:tc>
          <w:tcPr>
            <w:tcW w:w="3067" w:type="dxa"/>
            <w:tcBorders>
              <w:top w:val="single" w:sz="4" w:space="0" w:color="auto"/>
              <w:left w:val="single" w:sz="4" w:space="0" w:color="auto"/>
              <w:bottom w:val="single" w:sz="4" w:space="0" w:color="auto"/>
              <w:right w:val="single" w:sz="4" w:space="0" w:color="auto"/>
            </w:tcBorders>
            <w:shd w:val="clear" w:color="auto" w:fill="auto"/>
          </w:tcPr>
          <w:p w14:paraId="72E7D5AD" w14:textId="69F14170" w:rsidR="00E8141B" w:rsidRPr="00685B35" w:rsidRDefault="00E8141B" w:rsidP="00685B35">
            <w:pPr>
              <w:pStyle w:val="Tablecolhead"/>
            </w:pPr>
            <w:r w:rsidRPr="00685B35">
              <w:rPr>
                <w:sz w:val="20"/>
              </w:rPr>
              <w:t>All health services ($)</w:t>
            </w:r>
          </w:p>
        </w:tc>
      </w:tr>
      <w:tr w:rsidR="00B93455" w14:paraId="1F8C8100" w14:textId="77777777" w:rsidTr="00685B35">
        <w:trPr>
          <w:trHeight w:val="133"/>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1B6CB80A" w14:textId="110E190E" w:rsidR="001F628C" w:rsidRDefault="001F628C" w:rsidP="00B93455">
            <w:pPr>
              <w:pStyle w:val="Tabletext9pt"/>
              <w:spacing w:before="70" w:after="50"/>
            </w:pPr>
            <w:r>
              <w:t>Ambulatory</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4DD0797" w14:textId="5B613DD7" w:rsidR="001F628C" w:rsidRDefault="001F628C" w:rsidP="00B93455">
            <w:pPr>
              <w:pStyle w:val="Tabletext9pt"/>
              <w:spacing w:before="70" w:after="50"/>
            </w:pPr>
            <w:r>
              <w:rPr>
                <w:szCs w:val="18"/>
                <w:lang w:eastAsia="en-AU"/>
              </w:rPr>
              <w:t>Community service hour</w:t>
            </w:r>
          </w:p>
        </w:tc>
        <w:tc>
          <w:tcPr>
            <w:tcW w:w="3067" w:type="dxa"/>
            <w:tcBorders>
              <w:top w:val="single" w:sz="4" w:space="0" w:color="auto"/>
              <w:left w:val="single" w:sz="4" w:space="0" w:color="auto"/>
              <w:bottom w:val="single" w:sz="4" w:space="0" w:color="auto"/>
              <w:right w:val="single" w:sz="4" w:space="0" w:color="auto"/>
            </w:tcBorders>
            <w:shd w:val="clear" w:color="auto" w:fill="auto"/>
            <w:hideMark/>
          </w:tcPr>
          <w:p w14:paraId="1E78E8ED" w14:textId="5EB2E2F8" w:rsidR="001F628C" w:rsidRPr="00B93455" w:rsidRDefault="00AC53A0" w:rsidP="00B93455">
            <w:pPr>
              <w:pStyle w:val="Tabletext9pt"/>
              <w:spacing w:before="70" w:after="50"/>
              <w:jc w:val="right"/>
            </w:pPr>
            <w:r>
              <w:rPr>
                <w:lang w:eastAsia="en-AU"/>
              </w:rPr>
              <w:t>440.86</w:t>
            </w:r>
          </w:p>
        </w:tc>
      </w:tr>
    </w:tbl>
    <w:p w14:paraId="58FB4EEE" w14:textId="250FC139" w:rsidR="00DF6273" w:rsidRDefault="00DF6273" w:rsidP="00685B35">
      <w:pPr>
        <w:pStyle w:val="Tablecaption"/>
      </w:pPr>
      <w:bookmarkStart w:id="765" w:name="_Toc110944654"/>
      <w:bookmarkStart w:id="766" w:name="_Toc156568661"/>
      <w:bookmarkEnd w:id="765"/>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18</w:t>
      </w:r>
      <w:r>
        <w:fldChar w:fldCharType="end"/>
      </w:r>
      <w:r>
        <w:t xml:space="preserve">: </w:t>
      </w:r>
      <w:r w:rsidRPr="00E7554A">
        <w:t xml:space="preserve">Mental health </w:t>
      </w:r>
      <w:r w:rsidRPr="00251766">
        <w:t>community support</w:t>
      </w:r>
      <w:r w:rsidRPr="00E7554A">
        <w:t xml:space="preserve"> services </w:t>
      </w:r>
      <w:r w:rsidRPr="00251766">
        <w:t xml:space="preserve">unit prices </w:t>
      </w:r>
      <w:r w:rsidRPr="00AF0023">
        <w:t>202</w:t>
      </w:r>
      <w:r>
        <w:t>3</w:t>
      </w:r>
      <w:r>
        <w:rPr>
          <w:szCs w:val="21"/>
        </w:rPr>
        <w:t>–</w:t>
      </w:r>
      <w:r w:rsidRPr="00AF0023">
        <w:t>2</w:t>
      </w:r>
      <w:r>
        <w:t xml:space="preserve">4 – </w:t>
      </w:r>
      <w:r w:rsidRPr="00FC1466">
        <w:t>community</w:t>
      </w:r>
      <w:r w:rsidRPr="00FC1466">
        <w:rPr>
          <w:lang w:eastAsia="en-AU"/>
        </w:rPr>
        <w:t xml:space="preserve"> </w:t>
      </w:r>
      <w:r w:rsidRPr="00251766">
        <w:rPr>
          <w:lang w:eastAsia="en-AU"/>
        </w:rPr>
        <w:t>support services</w:t>
      </w:r>
      <w:bookmarkEnd w:id="766"/>
    </w:p>
    <w:tbl>
      <w:tblPr>
        <w:tblStyle w:val="TableGrid"/>
        <w:tblW w:w="9285" w:type="dxa"/>
        <w:tblLayout w:type="fixed"/>
        <w:tblLook w:val="06A0" w:firstRow="1" w:lastRow="0" w:firstColumn="1" w:lastColumn="0" w:noHBand="1" w:noVBand="1"/>
      </w:tblPr>
      <w:tblGrid>
        <w:gridCol w:w="4106"/>
        <w:gridCol w:w="2084"/>
        <w:gridCol w:w="3095"/>
      </w:tblGrid>
      <w:tr w:rsidR="00E8141B" w14:paraId="7D7905EA" w14:textId="77777777" w:rsidTr="00685B35">
        <w:tc>
          <w:tcPr>
            <w:tcW w:w="4106" w:type="dxa"/>
          </w:tcPr>
          <w:p w14:paraId="4200507B" w14:textId="138B9029" w:rsidR="00E8141B" w:rsidRPr="00E8141B" w:rsidRDefault="00E8141B" w:rsidP="00685B35">
            <w:pPr>
              <w:pStyle w:val="Tablecolhead"/>
              <w:rPr>
                <w:rFonts w:eastAsia="Arial"/>
              </w:rPr>
            </w:pPr>
            <w:r w:rsidRPr="00E8141B">
              <w:t>Service element</w:t>
            </w:r>
          </w:p>
        </w:tc>
        <w:tc>
          <w:tcPr>
            <w:tcW w:w="2084" w:type="dxa"/>
          </w:tcPr>
          <w:p w14:paraId="211C693C" w14:textId="0FF00A4A" w:rsidR="00E8141B" w:rsidRPr="00E8141B" w:rsidRDefault="00E8141B" w:rsidP="00685B35">
            <w:pPr>
              <w:pStyle w:val="Tablecolhead"/>
              <w:rPr>
                <w:rFonts w:eastAsia="Arial"/>
              </w:rPr>
            </w:pPr>
            <w:r w:rsidRPr="00E8141B">
              <w:t xml:space="preserve">Funded unit </w:t>
            </w:r>
          </w:p>
        </w:tc>
        <w:tc>
          <w:tcPr>
            <w:tcW w:w="3095" w:type="dxa"/>
          </w:tcPr>
          <w:p w14:paraId="59FDECFA" w14:textId="06C7708F" w:rsidR="00E8141B" w:rsidRPr="00E8141B" w:rsidRDefault="00E8141B" w:rsidP="00685B35">
            <w:pPr>
              <w:pStyle w:val="Tablecolhead"/>
              <w:rPr>
                <w:rFonts w:eastAsia="Arial"/>
              </w:rPr>
            </w:pPr>
            <w:r w:rsidRPr="00E8141B">
              <w:t>All health services ($)</w:t>
            </w:r>
          </w:p>
        </w:tc>
      </w:tr>
      <w:tr w:rsidR="00AD03A1" w14:paraId="38685622" w14:textId="77777777" w:rsidTr="00685B35">
        <w:tc>
          <w:tcPr>
            <w:tcW w:w="4106" w:type="dxa"/>
            <w:hideMark/>
          </w:tcPr>
          <w:p w14:paraId="345D9DCA" w14:textId="77777777" w:rsidR="00AD03A1" w:rsidRDefault="00AD03A1">
            <w:pPr>
              <w:pStyle w:val="Tabletext9pt"/>
            </w:pPr>
            <w:r>
              <w:rPr>
                <w:rFonts w:eastAsia="Arial"/>
              </w:rPr>
              <w:t>Individualised client support packages</w:t>
            </w:r>
          </w:p>
        </w:tc>
        <w:tc>
          <w:tcPr>
            <w:tcW w:w="2084" w:type="dxa"/>
            <w:hideMark/>
          </w:tcPr>
          <w:p w14:paraId="067B0E86" w14:textId="77777777" w:rsidR="00AD03A1" w:rsidRDefault="00AD03A1">
            <w:pPr>
              <w:pStyle w:val="Tabletext9pt"/>
            </w:pPr>
            <w:r>
              <w:rPr>
                <w:rFonts w:eastAsia="Arial"/>
              </w:rPr>
              <w:t>Client support unit</w:t>
            </w:r>
          </w:p>
        </w:tc>
        <w:tc>
          <w:tcPr>
            <w:tcW w:w="3095" w:type="dxa"/>
            <w:hideMark/>
          </w:tcPr>
          <w:p w14:paraId="39E8F0BD" w14:textId="7249296D" w:rsidR="00AD03A1" w:rsidRDefault="009731F2">
            <w:pPr>
              <w:pStyle w:val="Tabletext9pt"/>
              <w:jc w:val="right"/>
              <w:rPr>
                <w:rFonts w:eastAsia="Arial"/>
              </w:rPr>
            </w:pPr>
            <w:r>
              <w:rPr>
                <w:rFonts w:eastAsia="Arial"/>
              </w:rPr>
              <w:t>114.71</w:t>
            </w:r>
          </w:p>
        </w:tc>
      </w:tr>
      <w:tr w:rsidR="00AF0023" w14:paraId="38293EC8" w14:textId="77777777" w:rsidTr="00685B35">
        <w:tc>
          <w:tcPr>
            <w:tcW w:w="4106" w:type="dxa"/>
            <w:hideMark/>
          </w:tcPr>
          <w:p w14:paraId="15DE4330" w14:textId="6352A616" w:rsidR="001F628C" w:rsidRDefault="00AD03A1" w:rsidP="00AF0023">
            <w:pPr>
              <w:pStyle w:val="Tabletext9pt"/>
            </w:pPr>
            <w:r>
              <w:rPr>
                <w:rFonts w:eastAsia="Arial"/>
              </w:rPr>
              <w:t>Youth residential rehabilitation – 24-hour</w:t>
            </w:r>
          </w:p>
        </w:tc>
        <w:tc>
          <w:tcPr>
            <w:tcW w:w="2084" w:type="dxa"/>
            <w:hideMark/>
          </w:tcPr>
          <w:p w14:paraId="0AC44CED" w14:textId="3C8E352D" w:rsidR="001F628C" w:rsidRDefault="00AD03A1" w:rsidP="00AF0023">
            <w:pPr>
              <w:pStyle w:val="Tabletext9pt"/>
              <w:rPr>
                <w:szCs w:val="18"/>
                <w:lang w:eastAsia="en-AU"/>
              </w:rPr>
            </w:pPr>
            <w:r>
              <w:rPr>
                <w:rFonts w:eastAsia="Arial"/>
              </w:rPr>
              <w:t>Bed day</w:t>
            </w:r>
          </w:p>
        </w:tc>
        <w:tc>
          <w:tcPr>
            <w:tcW w:w="3095" w:type="dxa"/>
            <w:hideMark/>
          </w:tcPr>
          <w:p w14:paraId="27C7D453" w14:textId="20F48C97" w:rsidR="001F628C" w:rsidRDefault="001823ED" w:rsidP="00AF0023">
            <w:pPr>
              <w:pStyle w:val="Tabletext9pt"/>
              <w:jc w:val="right"/>
              <w:rPr>
                <w:lang w:eastAsia="en-AU"/>
              </w:rPr>
            </w:pPr>
            <w:r>
              <w:rPr>
                <w:rFonts w:eastAsia="Arial"/>
              </w:rPr>
              <w:t>275.93</w:t>
            </w:r>
          </w:p>
        </w:tc>
      </w:tr>
      <w:tr w:rsidR="00AD03A1" w14:paraId="02D6D972" w14:textId="77777777" w:rsidTr="00685B35">
        <w:tc>
          <w:tcPr>
            <w:tcW w:w="4106" w:type="dxa"/>
            <w:hideMark/>
          </w:tcPr>
          <w:p w14:paraId="4757D0D5" w14:textId="77777777" w:rsidR="00AD03A1" w:rsidRDefault="00AD03A1">
            <w:pPr>
              <w:pStyle w:val="Tabletext9pt"/>
            </w:pPr>
            <w:bookmarkStart w:id="767" w:name="_Toc110944656"/>
            <w:bookmarkStart w:id="768" w:name="_Toc14194739"/>
            <w:bookmarkStart w:id="769" w:name="_Toc54261396"/>
            <w:bookmarkStart w:id="770" w:name="_Toc54616270"/>
            <w:bookmarkStart w:id="771" w:name="_Toc419623619"/>
            <w:bookmarkStart w:id="772" w:name="_Toc419623731"/>
            <w:bookmarkStart w:id="773" w:name="_Toc419644513"/>
            <w:bookmarkStart w:id="774" w:name="_Toc487742071"/>
            <w:bookmarkEnd w:id="757"/>
            <w:bookmarkEnd w:id="758"/>
            <w:bookmarkEnd w:id="760"/>
            <w:bookmarkEnd w:id="767"/>
            <w:r>
              <w:rPr>
                <w:rFonts w:eastAsia="Arial"/>
              </w:rPr>
              <w:t>Youth residential rehabilitation – non-24-hour</w:t>
            </w:r>
          </w:p>
        </w:tc>
        <w:tc>
          <w:tcPr>
            <w:tcW w:w="2084" w:type="dxa"/>
            <w:hideMark/>
          </w:tcPr>
          <w:p w14:paraId="0EF36076" w14:textId="77777777" w:rsidR="00AD03A1" w:rsidRDefault="00AD03A1">
            <w:pPr>
              <w:pStyle w:val="Tabletext9pt"/>
            </w:pPr>
            <w:r>
              <w:rPr>
                <w:rFonts w:eastAsia="Arial"/>
              </w:rPr>
              <w:t>Bed day</w:t>
            </w:r>
          </w:p>
        </w:tc>
        <w:tc>
          <w:tcPr>
            <w:tcW w:w="3095" w:type="dxa"/>
            <w:hideMark/>
          </w:tcPr>
          <w:p w14:paraId="29C8439E" w14:textId="16C4A789" w:rsidR="00AD03A1" w:rsidRDefault="007C2D91">
            <w:pPr>
              <w:pStyle w:val="Tabletext9pt"/>
              <w:jc w:val="right"/>
              <w:rPr>
                <w:rFonts w:eastAsia="Arial"/>
              </w:rPr>
            </w:pPr>
            <w:r>
              <w:rPr>
                <w:rFonts w:eastAsia="Arial"/>
              </w:rPr>
              <w:t>236.91</w:t>
            </w:r>
          </w:p>
        </w:tc>
      </w:tr>
      <w:tr w:rsidR="00AD03A1" w14:paraId="5E868E34" w14:textId="77777777" w:rsidTr="00685B35">
        <w:tc>
          <w:tcPr>
            <w:tcW w:w="4106" w:type="dxa"/>
            <w:hideMark/>
          </w:tcPr>
          <w:p w14:paraId="0760A41D" w14:textId="77777777" w:rsidR="00AD03A1" w:rsidRDefault="00AD03A1">
            <w:pPr>
              <w:pStyle w:val="Tabletext9pt"/>
            </w:pPr>
            <w:r>
              <w:rPr>
                <w:rFonts w:eastAsia="Arial"/>
              </w:rPr>
              <w:t>Continuity of support</w:t>
            </w:r>
          </w:p>
        </w:tc>
        <w:tc>
          <w:tcPr>
            <w:tcW w:w="2084" w:type="dxa"/>
            <w:hideMark/>
          </w:tcPr>
          <w:p w14:paraId="21849AC5" w14:textId="77777777" w:rsidR="00AD03A1" w:rsidRDefault="00AD03A1">
            <w:pPr>
              <w:pStyle w:val="Tabletext9pt"/>
            </w:pPr>
            <w:r>
              <w:rPr>
                <w:rFonts w:eastAsia="Arial"/>
              </w:rPr>
              <w:t>Client support unit</w:t>
            </w:r>
          </w:p>
        </w:tc>
        <w:tc>
          <w:tcPr>
            <w:tcW w:w="3095" w:type="dxa"/>
            <w:hideMark/>
          </w:tcPr>
          <w:p w14:paraId="773244CE" w14:textId="0CD9595B" w:rsidR="00AD03A1" w:rsidRDefault="007C2D91">
            <w:pPr>
              <w:pStyle w:val="Tabletext9pt"/>
              <w:jc w:val="right"/>
              <w:rPr>
                <w:rFonts w:eastAsia="Arial"/>
              </w:rPr>
            </w:pPr>
            <w:r>
              <w:rPr>
                <w:rFonts w:eastAsia="Arial"/>
              </w:rPr>
              <w:t>114.71</w:t>
            </w:r>
          </w:p>
        </w:tc>
      </w:tr>
    </w:tbl>
    <w:p w14:paraId="4B5E850D" w14:textId="2AFE5EAB" w:rsidR="00DF6273" w:rsidRDefault="00DF6273" w:rsidP="00685B35">
      <w:pPr>
        <w:pStyle w:val="Tablecaption"/>
      </w:pPr>
      <w:bookmarkStart w:id="775" w:name="_Toc156568662"/>
      <w:r>
        <w:lastRenderedPageBreak/>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19</w:t>
      </w:r>
      <w:r>
        <w:fldChar w:fldCharType="end"/>
      </w:r>
      <w:r>
        <w:t xml:space="preserve">: </w:t>
      </w:r>
      <w:r w:rsidRPr="00FC1466">
        <w:t xml:space="preserve">Mental health community support services unit prices </w:t>
      </w:r>
      <w:r w:rsidRPr="005B31BC">
        <w:t>202</w:t>
      </w:r>
      <w:r>
        <w:t>3</w:t>
      </w:r>
      <w:r>
        <w:rPr>
          <w:szCs w:val="21"/>
        </w:rPr>
        <w:t>–</w:t>
      </w:r>
      <w:r w:rsidRPr="005B31BC">
        <w:t>2</w:t>
      </w:r>
      <w:r>
        <w:t xml:space="preserve">4 – </w:t>
      </w:r>
      <w:r w:rsidRPr="00251766">
        <w:t>m</w:t>
      </w:r>
      <w:r w:rsidRPr="00251766">
        <w:rPr>
          <w:lang w:eastAsia="en-AU"/>
        </w:rPr>
        <w:t>utual</w:t>
      </w:r>
      <w:r w:rsidRPr="00C127A3">
        <w:rPr>
          <w:lang w:eastAsia="en-AU"/>
        </w:rPr>
        <w:t xml:space="preserve"> </w:t>
      </w:r>
      <w:r>
        <w:rPr>
          <w:lang w:eastAsia="en-AU"/>
        </w:rPr>
        <w:t>s</w:t>
      </w:r>
      <w:r w:rsidRPr="00C127A3">
        <w:rPr>
          <w:lang w:eastAsia="en-AU"/>
        </w:rPr>
        <w:t xml:space="preserve">upport </w:t>
      </w:r>
      <w:r w:rsidRPr="00251766">
        <w:rPr>
          <w:lang w:eastAsia="en-AU"/>
        </w:rPr>
        <w:t>and self-help</w:t>
      </w:r>
      <w:r>
        <w:rPr>
          <w:lang w:eastAsia="en-AU"/>
        </w:rPr>
        <w:t xml:space="preserve"> services</w:t>
      </w:r>
      <w:bookmarkEnd w:id="775"/>
    </w:p>
    <w:tbl>
      <w:tblPr>
        <w:tblStyle w:val="TableGrid"/>
        <w:tblW w:w="9285" w:type="dxa"/>
        <w:tblLayout w:type="fixed"/>
        <w:tblLook w:val="06A0" w:firstRow="1" w:lastRow="0" w:firstColumn="1" w:lastColumn="0" w:noHBand="1" w:noVBand="1"/>
      </w:tblPr>
      <w:tblGrid>
        <w:gridCol w:w="4957"/>
        <w:gridCol w:w="2321"/>
        <w:gridCol w:w="2007"/>
      </w:tblGrid>
      <w:tr w:rsidR="00E8141B" w14:paraId="1010E9EE" w14:textId="77777777" w:rsidTr="00685B35">
        <w:trPr>
          <w:tblHeader/>
        </w:trPr>
        <w:tc>
          <w:tcPr>
            <w:tcW w:w="4957" w:type="dxa"/>
            <w:shd w:val="clear" w:color="auto" w:fill="auto"/>
            <w:hideMark/>
          </w:tcPr>
          <w:p w14:paraId="745EA95A" w14:textId="7B8287C1" w:rsidR="00E8141B" w:rsidRDefault="00E8141B" w:rsidP="00685B35">
            <w:pPr>
              <w:pStyle w:val="Tablecolhead"/>
            </w:pPr>
            <w:r w:rsidRPr="00E8141B">
              <w:t>Service element</w:t>
            </w:r>
          </w:p>
        </w:tc>
        <w:tc>
          <w:tcPr>
            <w:tcW w:w="2321" w:type="dxa"/>
            <w:shd w:val="clear" w:color="auto" w:fill="auto"/>
            <w:hideMark/>
          </w:tcPr>
          <w:p w14:paraId="6E93CDAA" w14:textId="599EFBCF" w:rsidR="00E8141B" w:rsidRDefault="00E8141B" w:rsidP="00685B35">
            <w:pPr>
              <w:pStyle w:val="Tablecolhead"/>
            </w:pPr>
            <w:r w:rsidRPr="00E8141B">
              <w:t xml:space="preserve">Funded unit </w:t>
            </w:r>
          </w:p>
        </w:tc>
        <w:tc>
          <w:tcPr>
            <w:tcW w:w="2007" w:type="dxa"/>
            <w:shd w:val="clear" w:color="auto" w:fill="auto"/>
            <w:hideMark/>
          </w:tcPr>
          <w:p w14:paraId="3745E938" w14:textId="432F286A" w:rsidR="00E8141B" w:rsidRPr="002406C5" w:rsidRDefault="00E8141B" w:rsidP="00685B35">
            <w:pPr>
              <w:pStyle w:val="Tablecolhead"/>
              <w:rPr>
                <w:rFonts w:eastAsia="Arial"/>
              </w:rPr>
            </w:pPr>
            <w:r w:rsidRPr="00E8141B">
              <w:t>All health services ($)</w:t>
            </w:r>
          </w:p>
        </w:tc>
      </w:tr>
      <w:tr w:rsidR="002406C5" w14:paraId="74BA4262" w14:textId="77777777" w:rsidTr="00685B35">
        <w:tc>
          <w:tcPr>
            <w:tcW w:w="4957" w:type="dxa"/>
            <w:hideMark/>
          </w:tcPr>
          <w:p w14:paraId="74E0EF29" w14:textId="77777777" w:rsidR="002406C5" w:rsidRDefault="002406C5" w:rsidP="00983C73">
            <w:pPr>
              <w:pStyle w:val="Tabletext9pt"/>
            </w:pPr>
            <w:r>
              <w:rPr>
                <w:rFonts w:eastAsia="Arial"/>
              </w:rPr>
              <w:t>Stand-alone (high availability)</w:t>
            </w:r>
          </w:p>
        </w:tc>
        <w:tc>
          <w:tcPr>
            <w:tcW w:w="2321" w:type="dxa"/>
            <w:hideMark/>
          </w:tcPr>
          <w:p w14:paraId="7443FA31" w14:textId="77777777" w:rsidR="002406C5" w:rsidRDefault="002406C5" w:rsidP="00983C73">
            <w:pPr>
              <w:pStyle w:val="Tabletext9pt"/>
            </w:pPr>
            <w:r>
              <w:rPr>
                <w:rFonts w:eastAsia="Arial"/>
              </w:rPr>
              <w:t>Weighted block grant</w:t>
            </w:r>
          </w:p>
        </w:tc>
        <w:tc>
          <w:tcPr>
            <w:tcW w:w="2007" w:type="dxa"/>
            <w:hideMark/>
          </w:tcPr>
          <w:p w14:paraId="6EE22535" w14:textId="0945B6C7" w:rsidR="002406C5" w:rsidRDefault="00AC007B" w:rsidP="00983C73">
            <w:pPr>
              <w:pStyle w:val="Tabletext9pt"/>
              <w:jc w:val="right"/>
              <w:rPr>
                <w:rFonts w:eastAsia="Arial"/>
              </w:rPr>
            </w:pPr>
            <w:r>
              <w:rPr>
                <w:rFonts w:eastAsia="Arial"/>
              </w:rPr>
              <w:t>290,729</w:t>
            </w:r>
          </w:p>
        </w:tc>
      </w:tr>
      <w:tr w:rsidR="002406C5" w14:paraId="47E66B88" w14:textId="77777777" w:rsidTr="00685B35">
        <w:tc>
          <w:tcPr>
            <w:tcW w:w="4957" w:type="dxa"/>
            <w:hideMark/>
          </w:tcPr>
          <w:p w14:paraId="2891AB9B" w14:textId="77777777" w:rsidR="002406C5" w:rsidRDefault="002406C5" w:rsidP="00983C73">
            <w:pPr>
              <w:pStyle w:val="Tabletext9pt"/>
            </w:pPr>
            <w:r>
              <w:rPr>
                <w:rFonts w:eastAsia="Arial"/>
              </w:rPr>
              <w:t>Stand-alone (high availability)</w:t>
            </w:r>
          </w:p>
        </w:tc>
        <w:tc>
          <w:tcPr>
            <w:tcW w:w="2321" w:type="dxa"/>
            <w:hideMark/>
          </w:tcPr>
          <w:p w14:paraId="7771127A" w14:textId="77777777" w:rsidR="002406C5" w:rsidRDefault="002406C5" w:rsidP="00983C73">
            <w:pPr>
              <w:pStyle w:val="Tabletext9pt"/>
            </w:pPr>
            <w:r>
              <w:rPr>
                <w:rFonts w:eastAsia="Arial"/>
              </w:rPr>
              <w:t>Weighted block grant</w:t>
            </w:r>
          </w:p>
        </w:tc>
        <w:tc>
          <w:tcPr>
            <w:tcW w:w="2007" w:type="dxa"/>
            <w:hideMark/>
          </w:tcPr>
          <w:p w14:paraId="47DEC2DD" w14:textId="77777777" w:rsidR="002406C5" w:rsidRDefault="002406C5" w:rsidP="00983C73">
            <w:pPr>
              <w:pStyle w:val="Tabletext9pt"/>
              <w:jc w:val="right"/>
              <w:rPr>
                <w:rFonts w:eastAsia="Arial"/>
              </w:rPr>
            </w:pPr>
            <w:r>
              <w:rPr>
                <w:rFonts w:eastAsia="Arial"/>
              </w:rPr>
              <w:t>Variable</w:t>
            </w:r>
          </w:p>
        </w:tc>
      </w:tr>
      <w:tr w:rsidR="002406C5" w14:paraId="181B323A" w14:textId="77777777" w:rsidTr="00685B35">
        <w:tc>
          <w:tcPr>
            <w:tcW w:w="4957" w:type="dxa"/>
            <w:hideMark/>
          </w:tcPr>
          <w:p w14:paraId="6DB812AD" w14:textId="77777777" w:rsidR="002406C5" w:rsidRDefault="002406C5" w:rsidP="00983C73">
            <w:pPr>
              <w:pStyle w:val="Tabletext9pt"/>
            </w:pPr>
            <w:r>
              <w:rPr>
                <w:rFonts w:eastAsia="Arial"/>
              </w:rPr>
              <w:t>Individual support referral and advocacy</w:t>
            </w:r>
          </w:p>
        </w:tc>
        <w:tc>
          <w:tcPr>
            <w:tcW w:w="2321" w:type="dxa"/>
            <w:hideMark/>
          </w:tcPr>
          <w:p w14:paraId="49B1619F" w14:textId="77777777" w:rsidR="002406C5" w:rsidRDefault="002406C5" w:rsidP="00983C73">
            <w:pPr>
              <w:pStyle w:val="Tabletext9pt"/>
            </w:pPr>
            <w:r>
              <w:rPr>
                <w:rFonts w:eastAsia="Arial"/>
              </w:rPr>
              <w:t>Contact hour</w:t>
            </w:r>
          </w:p>
        </w:tc>
        <w:tc>
          <w:tcPr>
            <w:tcW w:w="2007" w:type="dxa"/>
            <w:hideMark/>
          </w:tcPr>
          <w:p w14:paraId="34FAE475" w14:textId="5281A50B" w:rsidR="002406C5" w:rsidRDefault="00D46225" w:rsidP="00983C73">
            <w:pPr>
              <w:pStyle w:val="Tabletext9pt"/>
              <w:jc w:val="right"/>
              <w:rPr>
                <w:rFonts w:eastAsia="Arial"/>
              </w:rPr>
            </w:pPr>
            <w:r>
              <w:rPr>
                <w:rFonts w:eastAsia="Arial"/>
              </w:rPr>
              <w:t>50</w:t>
            </w:r>
            <w:r w:rsidR="007C268C">
              <w:rPr>
                <w:rFonts w:eastAsia="Arial"/>
              </w:rPr>
              <w:t>.31</w:t>
            </w:r>
          </w:p>
        </w:tc>
      </w:tr>
      <w:tr w:rsidR="002406C5" w14:paraId="0BDACF53" w14:textId="77777777" w:rsidTr="00685B35">
        <w:tc>
          <w:tcPr>
            <w:tcW w:w="4957" w:type="dxa"/>
            <w:hideMark/>
          </w:tcPr>
          <w:p w14:paraId="666286C0" w14:textId="032E39C9" w:rsidR="002406C5" w:rsidRDefault="00CC2D9D" w:rsidP="00983C73">
            <w:pPr>
              <w:pStyle w:val="Tabletext9pt"/>
            </w:pPr>
            <w:r>
              <w:rPr>
                <w:rFonts w:eastAsia="Arial"/>
              </w:rPr>
              <w:t xml:space="preserve">Mutual support and self-help (MSSH) </w:t>
            </w:r>
            <w:r w:rsidR="002406C5">
              <w:rPr>
                <w:rFonts w:eastAsia="Arial"/>
              </w:rPr>
              <w:t>group support</w:t>
            </w:r>
          </w:p>
        </w:tc>
        <w:tc>
          <w:tcPr>
            <w:tcW w:w="2321" w:type="dxa"/>
            <w:hideMark/>
          </w:tcPr>
          <w:p w14:paraId="6CD86FFB" w14:textId="77777777" w:rsidR="002406C5" w:rsidRDefault="002406C5" w:rsidP="00983C73">
            <w:pPr>
              <w:pStyle w:val="Tabletext9pt"/>
            </w:pPr>
            <w:r>
              <w:rPr>
                <w:rFonts w:eastAsia="Arial"/>
              </w:rPr>
              <w:t>Contact hour (group)</w:t>
            </w:r>
          </w:p>
        </w:tc>
        <w:tc>
          <w:tcPr>
            <w:tcW w:w="2007" w:type="dxa"/>
            <w:hideMark/>
          </w:tcPr>
          <w:p w14:paraId="464CD02B" w14:textId="52A56C0A" w:rsidR="002406C5" w:rsidRDefault="00DF59D8" w:rsidP="00983C73">
            <w:pPr>
              <w:pStyle w:val="Tabletext9pt"/>
              <w:jc w:val="right"/>
              <w:rPr>
                <w:rFonts w:eastAsia="Arial"/>
              </w:rPr>
            </w:pPr>
            <w:r>
              <w:rPr>
                <w:rFonts w:eastAsia="Arial"/>
              </w:rPr>
              <w:t>133.13</w:t>
            </w:r>
          </w:p>
        </w:tc>
      </w:tr>
      <w:tr w:rsidR="002406C5" w14:paraId="6445AA68" w14:textId="77777777" w:rsidTr="00685B35">
        <w:tc>
          <w:tcPr>
            <w:tcW w:w="4957" w:type="dxa"/>
            <w:hideMark/>
          </w:tcPr>
          <w:p w14:paraId="6450647D" w14:textId="77777777" w:rsidR="002406C5" w:rsidRDefault="002406C5" w:rsidP="00983C73">
            <w:pPr>
              <w:pStyle w:val="Tabletext9pt"/>
            </w:pPr>
            <w:r>
              <w:rPr>
                <w:rFonts w:eastAsia="Arial"/>
              </w:rPr>
              <w:t>Group education and training</w:t>
            </w:r>
          </w:p>
        </w:tc>
        <w:tc>
          <w:tcPr>
            <w:tcW w:w="2321" w:type="dxa"/>
            <w:hideMark/>
          </w:tcPr>
          <w:p w14:paraId="7B2BF83B" w14:textId="77777777" w:rsidR="002406C5" w:rsidRDefault="002406C5" w:rsidP="00983C73">
            <w:pPr>
              <w:pStyle w:val="Tabletext9pt"/>
            </w:pPr>
            <w:r>
              <w:rPr>
                <w:rFonts w:eastAsia="Arial"/>
              </w:rPr>
              <w:t>Contact hour (group)</w:t>
            </w:r>
          </w:p>
        </w:tc>
        <w:tc>
          <w:tcPr>
            <w:tcW w:w="2007" w:type="dxa"/>
            <w:hideMark/>
          </w:tcPr>
          <w:p w14:paraId="60DEF40E" w14:textId="2F2E9BB1" w:rsidR="002406C5" w:rsidRDefault="009C6E18" w:rsidP="00983C73">
            <w:pPr>
              <w:pStyle w:val="Tabletext9pt"/>
              <w:jc w:val="right"/>
              <w:rPr>
                <w:rFonts w:eastAsia="Arial"/>
              </w:rPr>
            </w:pPr>
            <w:r>
              <w:rPr>
                <w:rFonts w:eastAsia="Arial"/>
              </w:rPr>
              <w:t>453.68</w:t>
            </w:r>
          </w:p>
        </w:tc>
      </w:tr>
      <w:tr w:rsidR="002406C5" w14:paraId="44589D20" w14:textId="77777777" w:rsidTr="00685B35">
        <w:tc>
          <w:tcPr>
            <w:tcW w:w="4957" w:type="dxa"/>
            <w:hideMark/>
          </w:tcPr>
          <w:p w14:paraId="5FA73225" w14:textId="77777777" w:rsidR="002406C5" w:rsidRDefault="002406C5" w:rsidP="00983C73">
            <w:pPr>
              <w:pStyle w:val="Tabletext9pt"/>
            </w:pPr>
            <w:r>
              <w:rPr>
                <w:rFonts w:eastAsia="Arial"/>
              </w:rPr>
              <w:t>Volunteer coordination</w:t>
            </w:r>
          </w:p>
        </w:tc>
        <w:tc>
          <w:tcPr>
            <w:tcW w:w="2321" w:type="dxa"/>
            <w:hideMark/>
          </w:tcPr>
          <w:p w14:paraId="2C3B9188" w14:textId="77777777" w:rsidR="002406C5" w:rsidRDefault="002406C5" w:rsidP="00983C73">
            <w:pPr>
              <w:pStyle w:val="Tabletext9pt"/>
            </w:pPr>
            <w:r>
              <w:rPr>
                <w:rFonts w:eastAsia="Arial"/>
              </w:rPr>
              <w:t>Hour</w:t>
            </w:r>
          </w:p>
        </w:tc>
        <w:tc>
          <w:tcPr>
            <w:tcW w:w="2007" w:type="dxa"/>
            <w:hideMark/>
          </w:tcPr>
          <w:p w14:paraId="044ACAF4" w14:textId="2A17A9E6" w:rsidR="002406C5" w:rsidRDefault="001472D5" w:rsidP="00983C73">
            <w:pPr>
              <w:pStyle w:val="Tabletext9pt"/>
              <w:jc w:val="right"/>
              <w:rPr>
                <w:rFonts w:eastAsia="Arial"/>
              </w:rPr>
            </w:pPr>
            <w:r>
              <w:rPr>
                <w:rFonts w:eastAsia="Arial"/>
              </w:rPr>
              <w:t>58.31</w:t>
            </w:r>
          </w:p>
        </w:tc>
      </w:tr>
    </w:tbl>
    <w:p w14:paraId="67753AD6" w14:textId="350479C4" w:rsidR="00DF6273" w:rsidRDefault="00DF6273" w:rsidP="00685B35">
      <w:pPr>
        <w:pStyle w:val="Tablecaption"/>
      </w:pPr>
      <w:bookmarkStart w:id="776" w:name="_Toc110944658"/>
      <w:bookmarkStart w:id="777" w:name="_Toc110944660"/>
      <w:bookmarkStart w:id="778" w:name="_Toc156568663"/>
      <w:bookmarkStart w:id="779" w:name="_Hlk12612393"/>
      <w:bookmarkEnd w:id="768"/>
      <w:bookmarkEnd w:id="769"/>
      <w:bookmarkEnd w:id="770"/>
      <w:bookmarkEnd w:id="776"/>
      <w:bookmarkEnd w:id="777"/>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20</w:t>
      </w:r>
      <w:r>
        <w:fldChar w:fldCharType="end"/>
      </w:r>
      <w:r>
        <w:t>:</w:t>
      </w:r>
      <w:r w:rsidRPr="00DF6273">
        <w:t xml:space="preserve"> </w:t>
      </w:r>
      <w:r w:rsidRPr="00D02BA0">
        <w:t xml:space="preserve">Mental health </w:t>
      </w:r>
      <w:r w:rsidRPr="00D02BA0">
        <w:rPr>
          <w:noProof/>
        </w:rPr>
        <w:t>community</w:t>
      </w:r>
      <w:r w:rsidRPr="00D02BA0">
        <w:t xml:space="preserve"> support services unit prices 202</w:t>
      </w:r>
      <w:r>
        <w:t>3</w:t>
      </w:r>
      <w:r w:rsidRPr="004B7C0B">
        <w:rPr>
          <w:szCs w:val="21"/>
        </w:rPr>
        <w:t>–</w:t>
      </w:r>
      <w:r w:rsidRPr="00D02BA0">
        <w:t>2</w:t>
      </w:r>
      <w:r>
        <w:t>4</w:t>
      </w:r>
      <w:r w:rsidRPr="00D02BA0">
        <w:t xml:space="preserve"> – planned respite</w:t>
      </w:r>
      <w:bookmarkEnd w:id="778"/>
    </w:p>
    <w:tbl>
      <w:tblPr>
        <w:tblStyle w:val="TableGrid"/>
        <w:tblW w:w="9285" w:type="dxa"/>
        <w:tblLayout w:type="fixed"/>
        <w:tblLook w:val="06A0" w:firstRow="1" w:lastRow="0" w:firstColumn="1" w:lastColumn="0" w:noHBand="1" w:noVBand="1"/>
      </w:tblPr>
      <w:tblGrid>
        <w:gridCol w:w="4957"/>
        <w:gridCol w:w="2321"/>
        <w:gridCol w:w="2007"/>
      </w:tblGrid>
      <w:tr w:rsidR="00F55A44" w14:paraId="0DA10F22" w14:textId="77777777" w:rsidTr="00685B35">
        <w:trPr>
          <w:tblHeader/>
        </w:trPr>
        <w:tc>
          <w:tcPr>
            <w:tcW w:w="4957" w:type="dxa"/>
            <w:shd w:val="clear" w:color="auto" w:fill="auto"/>
            <w:hideMark/>
          </w:tcPr>
          <w:p w14:paraId="2287562C" w14:textId="77777777" w:rsidR="00F55A44" w:rsidRDefault="00F55A44" w:rsidP="00685B35">
            <w:pPr>
              <w:pStyle w:val="Tablecolhead"/>
            </w:pPr>
            <w:r>
              <w:rPr>
                <w:rFonts w:eastAsia="Arial"/>
              </w:rPr>
              <w:t>Service element</w:t>
            </w:r>
          </w:p>
        </w:tc>
        <w:tc>
          <w:tcPr>
            <w:tcW w:w="2321" w:type="dxa"/>
            <w:shd w:val="clear" w:color="auto" w:fill="auto"/>
            <w:hideMark/>
          </w:tcPr>
          <w:p w14:paraId="3D01A316" w14:textId="77777777" w:rsidR="00F55A44" w:rsidRDefault="00F55A44" w:rsidP="00685B35">
            <w:pPr>
              <w:pStyle w:val="Tablecolhead"/>
            </w:pPr>
            <w:r>
              <w:rPr>
                <w:rFonts w:eastAsia="Arial"/>
              </w:rPr>
              <w:t>Funded unit</w:t>
            </w:r>
          </w:p>
        </w:tc>
        <w:tc>
          <w:tcPr>
            <w:tcW w:w="2007" w:type="dxa"/>
            <w:shd w:val="clear" w:color="auto" w:fill="auto"/>
            <w:hideMark/>
          </w:tcPr>
          <w:p w14:paraId="02DA5950" w14:textId="77777777" w:rsidR="00F55A44" w:rsidRDefault="00F55A44" w:rsidP="00685B35">
            <w:pPr>
              <w:pStyle w:val="Tablecolhead"/>
              <w:rPr>
                <w:rFonts w:eastAsia="Arial"/>
              </w:rPr>
            </w:pPr>
            <w:r>
              <w:rPr>
                <w:rFonts w:eastAsia="Arial"/>
              </w:rPr>
              <w:t>All health services ($)</w:t>
            </w:r>
          </w:p>
        </w:tc>
      </w:tr>
      <w:tr w:rsidR="00F55A44" w14:paraId="7F210606" w14:textId="77777777" w:rsidTr="00685B35">
        <w:tc>
          <w:tcPr>
            <w:tcW w:w="4957" w:type="dxa"/>
            <w:hideMark/>
          </w:tcPr>
          <w:p w14:paraId="76CE4040" w14:textId="77777777" w:rsidR="00F55A44" w:rsidRDefault="00F55A44">
            <w:pPr>
              <w:pStyle w:val="Tabletext9pt"/>
            </w:pPr>
            <w:r>
              <w:rPr>
                <w:rFonts w:eastAsia="Arial"/>
              </w:rPr>
              <w:t>In home</w:t>
            </w:r>
          </w:p>
        </w:tc>
        <w:tc>
          <w:tcPr>
            <w:tcW w:w="2321" w:type="dxa"/>
            <w:hideMark/>
          </w:tcPr>
          <w:p w14:paraId="6183D13B" w14:textId="77777777" w:rsidR="00F55A44" w:rsidRDefault="00F55A44">
            <w:pPr>
              <w:pStyle w:val="Tabletext9pt"/>
            </w:pPr>
            <w:r>
              <w:rPr>
                <w:rFonts w:eastAsia="Arial"/>
              </w:rPr>
              <w:t>Client contact hour</w:t>
            </w:r>
          </w:p>
        </w:tc>
        <w:tc>
          <w:tcPr>
            <w:tcW w:w="2007" w:type="dxa"/>
            <w:hideMark/>
          </w:tcPr>
          <w:p w14:paraId="18FEB98D" w14:textId="1755AFCC" w:rsidR="00F55A44" w:rsidRDefault="00FE18AC">
            <w:pPr>
              <w:pStyle w:val="Tabletext9pt"/>
              <w:jc w:val="right"/>
              <w:rPr>
                <w:rFonts w:eastAsia="Arial"/>
              </w:rPr>
            </w:pPr>
            <w:r>
              <w:rPr>
                <w:rFonts w:eastAsia="Arial"/>
              </w:rPr>
              <w:t>45.46</w:t>
            </w:r>
          </w:p>
        </w:tc>
      </w:tr>
      <w:tr w:rsidR="00F55A44" w14:paraId="36916FA5" w14:textId="77777777" w:rsidTr="00685B35">
        <w:tc>
          <w:tcPr>
            <w:tcW w:w="4957" w:type="dxa"/>
            <w:hideMark/>
          </w:tcPr>
          <w:p w14:paraId="30F1100A" w14:textId="77777777" w:rsidR="00F55A44" w:rsidRDefault="00F55A44">
            <w:pPr>
              <w:pStyle w:val="Tabletext9pt"/>
            </w:pPr>
            <w:r>
              <w:rPr>
                <w:rFonts w:eastAsia="Arial"/>
              </w:rPr>
              <w:t>Community</w:t>
            </w:r>
          </w:p>
        </w:tc>
        <w:tc>
          <w:tcPr>
            <w:tcW w:w="2321" w:type="dxa"/>
            <w:hideMark/>
          </w:tcPr>
          <w:p w14:paraId="2B010CDA" w14:textId="77777777" w:rsidR="00F55A44" w:rsidRDefault="00F55A44">
            <w:pPr>
              <w:pStyle w:val="Tabletext9pt"/>
            </w:pPr>
            <w:r>
              <w:rPr>
                <w:rFonts w:eastAsia="Arial"/>
              </w:rPr>
              <w:t>Client contact hour</w:t>
            </w:r>
          </w:p>
        </w:tc>
        <w:tc>
          <w:tcPr>
            <w:tcW w:w="2007" w:type="dxa"/>
            <w:hideMark/>
          </w:tcPr>
          <w:p w14:paraId="6256CA08" w14:textId="0BA6E343" w:rsidR="00F55A44" w:rsidRDefault="00FE18AC">
            <w:pPr>
              <w:pStyle w:val="Tabletext9pt"/>
              <w:jc w:val="right"/>
              <w:rPr>
                <w:rFonts w:eastAsia="Arial"/>
              </w:rPr>
            </w:pPr>
            <w:r>
              <w:rPr>
                <w:rFonts w:eastAsia="Arial"/>
              </w:rPr>
              <w:t>45.46</w:t>
            </w:r>
          </w:p>
        </w:tc>
      </w:tr>
      <w:tr w:rsidR="00F55A44" w14:paraId="1F88AA10" w14:textId="77777777" w:rsidTr="00685B35">
        <w:tc>
          <w:tcPr>
            <w:tcW w:w="4957" w:type="dxa"/>
            <w:hideMark/>
          </w:tcPr>
          <w:p w14:paraId="0474E583" w14:textId="77777777" w:rsidR="00F55A44" w:rsidRDefault="00F55A44">
            <w:pPr>
              <w:pStyle w:val="Tabletext9pt"/>
            </w:pPr>
            <w:r>
              <w:rPr>
                <w:rFonts w:eastAsia="Arial"/>
              </w:rPr>
              <w:t>Residential</w:t>
            </w:r>
          </w:p>
        </w:tc>
        <w:tc>
          <w:tcPr>
            <w:tcW w:w="2321" w:type="dxa"/>
            <w:hideMark/>
          </w:tcPr>
          <w:p w14:paraId="13957A88" w14:textId="77777777" w:rsidR="00F55A44" w:rsidRDefault="00F55A44">
            <w:pPr>
              <w:pStyle w:val="Tabletext9pt"/>
            </w:pPr>
            <w:r>
              <w:rPr>
                <w:rFonts w:eastAsia="Arial"/>
              </w:rPr>
              <w:t>Client contact hour</w:t>
            </w:r>
          </w:p>
        </w:tc>
        <w:tc>
          <w:tcPr>
            <w:tcW w:w="2007" w:type="dxa"/>
            <w:hideMark/>
          </w:tcPr>
          <w:p w14:paraId="688A5FC3" w14:textId="0C77D7F4" w:rsidR="00F55A44" w:rsidRDefault="00FE18AC">
            <w:pPr>
              <w:pStyle w:val="Tabletext9pt"/>
              <w:jc w:val="right"/>
              <w:rPr>
                <w:rFonts w:eastAsia="Arial"/>
              </w:rPr>
            </w:pPr>
            <w:r>
              <w:rPr>
                <w:rFonts w:eastAsia="Arial"/>
              </w:rPr>
              <w:t>45.46</w:t>
            </w:r>
          </w:p>
        </w:tc>
      </w:tr>
    </w:tbl>
    <w:p w14:paraId="2C8A4041" w14:textId="6D44AC2D" w:rsidR="00906655" w:rsidRDefault="00906655" w:rsidP="00685B35">
      <w:pPr>
        <w:pStyle w:val="Tablecaption"/>
      </w:pPr>
      <w:bookmarkStart w:id="780" w:name="_Toc110944662"/>
      <w:bookmarkStart w:id="781" w:name="_Toc156568664"/>
      <w:bookmarkEnd w:id="780"/>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21</w:t>
      </w:r>
      <w:r>
        <w:fldChar w:fldCharType="end"/>
      </w:r>
      <w:r>
        <w:t>:</w:t>
      </w:r>
      <w:r w:rsidRPr="00906655">
        <w:t xml:space="preserve"> </w:t>
      </w:r>
      <w:r w:rsidRPr="00FC1466">
        <w:t xml:space="preserve">Mental health community support services unit prices </w:t>
      </w:r>
      <w:r w:rsidRPr="004B7C0B">
        <w:t>202</w:t>
      </w:r>
      <w:r>
        <w:t>3</w:t>
      </w:r>
      <w:r>
        <w:rPr>
          <w:szCs w:val="21"/>
        </w:rPr>
        <w:t>–</w:t>
      </w:r>
      <w:r w:rsidRPr="004B7C0B">
        <w:t>2</w:t>
      </w:r>
      <w:r>
        <w:t>4</w:t>
      </w:r>
      <w:r>
        <w:rPr>
          <w:szCs w:val="21"/>
        </w:rPr>
        <w:t xml:space="preserve"> </w:t>
      </w:r>
      <w:r>
        <w:t>– supported accommodation</w:t>
      </w:r>
      <w:bookmarkEnd w:id="781"/>
    </w:p>
    <w:tbl>
      <w:tblPr>
        <w:tblStyle w:val="TableGrid"/>
        <w:tblW w:w="9285" w:type="dxa"/>
        <w:tblLayout w:type="fixed"/>
        <w:tblLook w:val="06A0" w:firstRow="1" w:lastRow="0" w:firstColumn="1" w:lastColumn="0" w:noHBand="1" w:noVBand="1"/>
      </w:tblPr>
      <w:tblGrid>
        <w:gridCol w:w="4957"/>
        <w:gridCol w:w="2321"/>
        <w:gridCol w:w="2007"/>
      </w:tblGrid>
      <w:tr w:rsidR="00F55A44" w14:paraId="36AD0A40" w14:textId="77777777" w:rsidTr="00685B35">
        <w:trPr>
          <w:tblHeader/>
        </w:trPr>
        <w:tc>
          <w:tcPr>
            <w:tcW w:w="4957" w:type="dxa"/>
            <w:shd w:val="clear" w:color="auto" w:fill="auto"/>
            <w:hideMark/>
          </w:tcPr>
          <w:bookmarkEnd w:id="779"/>
          <w:p w14:paraId="1C6FFE5B" w14:textId="77777777" w:rsidR="00F55A44" w:rsidRPr="00E8141B" w:rsidRDefault="00F55A44" w:rsidP="00685B35">
            <w:pPr>
              <w:pStyle w:val="Tablecolhead"/>
            </w:pPr>
            <w:r w:rsidRPr="00E8141B">
              <w:rPr>
                <w:rFonts w:eastAsia="Arial"/>
              </w:rPr>
              <w:t>Service element</w:t>
            </w:r>
          </w:p>
        </w:tc>
        <w:tc>
          <w:tcPr>
            <w:tcW w:w="2321" w:type="dxa"/>
            <w:shd w:val="clear" w:color="auto" w:fill="auto"/>
            <w:hideMark/>
          </w:tcPr>
          <w:p w14:paraId="0F7DB08B" w14:textId="77777777" w:rsidR="00F55A44" w:rsidRPr="00E8141B" w:rsidRDefault="00F55A44" w:rsidP="00685B35">
            <w:pPr>
              <w:pStyle w:val="Tablecolhead"/>
            </w:pPr>
            <w:r w:rsidRPr="00E8141B">
              <w:rPr>
                <w:rFonts w:eastAsia="Arial"/>
              </w:rPr>
              <w:t>Funded unit</w:t>
            </w:r>
          </w:p>
        </w:tc>
        <w:tc>
          <w:tcPr>
            <w:tcW w:w="2007" w:type="dxa"/>
            <w:shd w:val="clear" w:color="auto" w:fill="auto"/>
            <w:hideMark/>
          </w:tcPr>
          <w:p w14:paraId="63EA82E9" w14:textId="77777777" w:rsidR="00F55A44" w:rsidRPr="00E8141B" w:rsidRDefault="00F55A44" w:rsidP="00685B35">
            <w:pPr>
              <w:pStyle w:val="Tablecolhead"/>
              <w:rPr>
                <w:rFonts w:eastAsia="Arial"/>
              </w:rPr>
            </w:pPr>
            <w:r w:rsidRPr="00E8141B">
              <w:rPr>
                <w:rFonts w:eastAsia="Arial"/>
              </w:rPr>
              <w:t>All health services ($)</w:t>
            </w:r>
          </w:p>
        </w:tc>
      </w:tr>
      <w:tr w:rsidR="00F55A44" w14:paraId="1C180ADE" w14:textId="77777777" w:rsidTr="00685B35">
        <w:tc>
          <w:tcPr>
            <w:tcW w:w="4957" w:type="dxa"/>
            <w:hideMark/>
          </w:tcPr>
          <w:p w14:paraId="276EF86B" w14:textId="77777777" w:rsidR="00F55A44" w:rsidRDefault="00F55A44">
            <w:pPr>
              <w:pStyle w:val="Tabletext9pt"/>
            </w:pPr>
            <w:r>
              <w:rPr>
                <w:rFonts w:eastAsia="Arial"/>
              </w:rPr>
              <w:t>24-hour on-site small facilities (0–11 beds)</w:t>
            </w:r>
          </w:p>
        </w:tc>
        <w:tc>
          <w:tcPr>
            <w:tcW w:w="2321" w:type="dxa"/>
            <w:hideMark/>
          </w:tcPr>
          <w:p w14:paraId="673CD911" w14:textId="77777777" w:rsidR="00F55A44" w:rsidRDefault="00F55A44">
            <w:pPr>
              <w:pStyle w:val="Tabletext9pt"/>
            </w:pPr>
            <w:r>
              <w:rPr>
                <w:rFonts w:eastAsia="Arial"/>
              </w:rPr>
              <w:t>Available bed day</w:t>
            </w:r>
          </w:p>
        </w:tc>
        <w:tc>
          <w:tcPr>
            <w:tcW w:w="2007" w:type="dxa"/>
            <w:hideMark/>
          </w:tcPr>
          <w:p w14:paraId="246043DC" w14:textId="78D37437" w:rsidR="00F55A44" w:rsidRDefault="006147CF">
            <w:pPr>
              <w:pStyle w:val="Tabletext9pt"/>
              <w:jc w:val="right"/>
              <w:rPr>
                <w:rFonts w:eastAsia="Arial"/>
              </w:rPr>
            </w:pPr>
            <w:r>
              <w:rPr>
                <w:rFonts w:eastAsia="Arial"/>
              </w:rPr>
              <w:t>190</w:t>
            </w:r>
            <w:r w:rsidR="00E9253E">
              <w:rPr>
                <w:rFonts w:eastAsia="Arial"/>
              </w:rPr>
              <w:t>.49</w:t>
            </w:r>
          </w:p>
        </w:tc>
      </w:tr>
      <w:tr w:rsidR="00F55A44" w14:paraId="35A45EAB" w14:textId="77777777" w:rsidTr="00685B35">
        <w:tc>
          <w:tcPr>
            <w:tcW w:w="4957" w:type="dxa"/>
            <w:hideMark/>
          </w:tcPr>
          <w:p w14:paraId="6165A61C" w14:textId="77777777" w:rsidR="00F55A44" w:rsidRDefault="00F55A44">
            <w:pPr>
              <w:pStyle w:val="Tabletext9pt"/>
            </w:pPr>
            <w:r>
              <w:rPr>
                <w:rFonts w:eastAsia="Arial"/>
              </w:rPr>
              <w:t>24-hour on-site small facilities (&gt; 11 beds)</w:t>
            </w:r>
          </w:p>
        </w:tc>
        <w:tc>
          <w:tcPr>
            <w:tcW w:w="2321" w:type="dxa"/>
            <w:hideMark/>
          </w:tcPr>
          <w:p w14:paraId="13A27A9C" w14:textId="77777777" w:rsidR="00F55A44" w:rsidRDefault="00F55A44">
            <w:pPr>
              <w:pStyle w:val="Tabletext9pt"/>
            </w:pPr>
            <w:r>
              <w:rPr>
                <w:rFonts w:eastAsia="Arial"/>
              </w:rPr>
              <w:t>Available bed day</w:t>
            </w:r>
          </w:p>
        </w:tc>
        <w:tc>
          <w:tcPr>
            <w:tcW w:w="2007" w:type="dxa"/>
            <w:hideMark/>
          </w:tcPr>
          <w:p w14:paraId="5B465E81" w14:textId="1CF1D61F" w:rsidR="00F55A44" w:rsidRDefault="00316B58">
            <w:pPr>
              <w:pStyle w:val="Tabletext9pt"/>
              <w:jc w:val="right"/>
              <w:rPr>
                <w:rFonts w:eastAsia="Arial"/>
              </w:rPr>
            </w:pPr>
            <w:r>
              <w:rPr>
                <w:rFonts w:eastAsia="Arial"/>
              </w:rPr>
              <w:t>66.67</w:t>
            </w:r>
          </w:p>
        </w:tc>
      </w:tr>
    </w:tbl>
    <w:p w14:paraId="2D0FC357" w14:textId="2B05A593" w:rsidR="00906655" w:rsidRDefault="00906655" w:rsidP="00685B35">
      <w:pPr>
        <w:pStyle w:val="Tablecaption"/>
      </w:pPr>
      <w:bookmarkStart w:id="782" w:name="_Toc110944664"/>
      <w:bookmarkStart w:id="783" w:name="_Toc156568665"/>
      <w:bookmarkStart w:id="784" w:name="_Toc419623620"/>
      <w:bookmarkStart w:id="785" w:name="_Toc419623732"/>
      <w:bookmarkStart w:id="786" w:name="_Toc419644514"/>
      <w:bookmarkStart w:id="787" w:name="_Toc487742072"/>
      <w:bookmarkEnd w:id="771"/>
      <w:bookmarkEnd w:id="772"/>
      <w:bookmarkEnd w:id="773"/>
      <w:bookmarkEnd w:id="774"/>
      <w:bookmarkEnd w:id="782"/>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22</w:t>
      </w:r>
      <w:r>
        <w:fldChar w:fldCharType="end"/>
      </w:r>
      <w:r>
        <w:t>:</w:t>
      </w:r>
      <w:r w:rsidRPr="00906655">
        <w:t xml:space="preserve"> </w:t>
      </w:r>
      <w:r>
        <w:t xml:space="preserve">Drug services – unit prices </w:t>
      </w:r>
      <w:r w:rsidRPr="004B7C0B">
        <w:t>202</w:t>
      </w:r>
      <w:r>
        <w:t>3</w:t>
      </w:r>
      <w:r>
        <w:rPr>
          <w:szCs w:val="21"/>
        </w:rPr>
        <w:t>–</w:t>
      </w:r>
      <w:r w:rsidRPr="004B7C0B">
        <w:t>2</w:t>
      </w:r>
      <w:r>
        <w:t>4</w:t>
      </w:r>
      <w:bookmarkEnd w:id="783"/>
    </w:p>
    <w:tbl>
      <w:tblPr>
        <w:tblStyle w:val="TableGrid1"/>
        <w:tblW w:w="9299" w:type="dxa"/>
        <w:tblLook w:val="06A0" w:firstRow="1" w:lastRow="0" w:firstColumn="1" w:lastColumn="0" w:noHBand="1" w:noVBand="1"/>
      </w:tblPr>
      <w:tblGrid>
        <w:gridCol w:w="3694"/>
        <w:gridCol w:w="2216"/>
        <w:gridCol w:w="1738"/>
        <w:gridCol w:w="1651"/>
      </w:tblGrid>
      <w:tr w:rsidR="00D073DB" w:rsidRPr="0090298C" w14:paraId="36812A2A"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3694" w:type="dxa"/>
            <w:shd w:val="clear" w:color="auto" w:fill="auto"/>
          </w:tcPr>
          <w:p w14:paraId="68B337B3" w14:textId="77777777" w:rsidR="00D073DB" w:rsidRPr="004E24E9" w:rsidRDefault="00D073DB" w:rsidP="00685B35">
            <w:pPr>
              <w:pStyle w:val="Tablecolhead"/>
              <w:rPr>
                <w:szCs w:val="18"/>
              </w:rPr>
            </w:pPr>
            <w:bookmarkStart w:id="788" w:name="_Toc418694987"/>
            <w:bookmarkStart w:id="789" w:name="_Ref419741277"/>
            <w:bookmarkStart w:id="790" w:name="_Ref419741290"/>
            <w:bookmarkStart w:id="791" w:name="_Ref425436162"/>
            <w:bookmarkEnd w:id="784"/>
            <w:bookmarkEnd w:id="785"/>
            <w:bookmarkEnd w:id="786"/>
            <w:bookmarkEnd w:id="787"/>
            <w:r w:rsidRPr="00D0520C">
              <w:t>Service element</w:t>
            </w:r>
          </w:p>
        </w:tc>
        <w:tc>
          <w:tcPr>
            <w:tcW w:w="2216" w:type="dxa"/>
            <w:shd w:val="clear" w:color="auto" w:fill="auto"/>
          </w:tcPr>
          <w:p w14:paraId="3E6CBC3F" w14:textId="77777777" w:rsidR="00D073DB" w:rsidRPr="004E24E9" w:rsidRDefault="00D073DB" w:rsidP="00685B35">
            <w:pPr>
              <w:pStyle w:val="Tablecolhead"/>
              <w:rPr>
                <w:szCs w:val="18"/>
              </w:rPr>
            </w:pPr>
            <w:r w:rsidRPr="00D0520C">
              <w:t>Funded unit</w:t>
            </w:r>
          </w:p>
        </w:tc>
        <w:tc>
          <w:tcPr>
            <w:tcW w:w="1738" w:type="dxa"/>
            <w:shd w:val="clear" w:color="auto" w:fill="auto"/>
          </w:tcPr>
          <w:p w14:paraId="6C7E9E24" w14:textId="77777777" w:rsidR="00D073DB" w:rsidRPr="004E24E9" w:rsidRDefault="00D073DB" w:rsidP="00685B35">
            <w:pPr>
              <w:pStyle w:val="Tablecolhead"/>
              <w:rPr>
                <w:szCs w:val="18"/>
              </w:rPr>
            </w:pPr>
            <w:r w:rsidRPr="00D0520C">
              <w:t xml:space="preserve">Metro unit price </w:t>
            </w:r>
            <w:r>
              <w:t>($)</w:t>
            </w:r>
          </w:p>
        </w:tc>
        <w:tc>
          <w:tcPr>
            <w:tcW w:w="1651" w:type="dxa"/>
            <w:shd w:val="clear" w:color="auto" w:fill="auto"/>
          </w:tcPr>
          <w:p w14:paraId="5085C270" w14:textId="77777777" w:rsidR="00D073DB" w:rsidRPr="004E24E9" w:rsidRDefault="00D073DB" w:rsidP="00685B35">
            <w:pPr>
              <w:pStyle w:val="Tablecolhead"/>
              <w:rPr>
                <w:szCs w:val="18"/>
              </w:rPr>
            </w:pPr>
            <w:r w:rsidRPr="00D0520C">
              <w:t xml:space="preserve">Rural unit price </w:t>
            </w:r>
            <w:r>
              <w:t>($)</w:t>
            </w:r>
          </w:p>
        </w:tc>
      </w:tr>
      <w:tr w:rsidR="00D073DB" w:rsidRPr="00C127A3" w14:paraId="474C1308" w14:textId="77777777" w:rsidTr="00685B35">
        <w:tc>
          <w:tcPr>
            <w:tcW w:w="3694" w:type="dxa"/>
          </w:tcPr>
          <w:p w14:paraId="143B612E" w14:textId="77777777" w:rsidR="00D073DB" w:rsidRPr="008E71A0" w:rsidRDefault="00D073DB" w:rsidP="008E71A0">
            <w:pPr>
              <w:pStyle w:val="Tabletext9pt"/>
            </w:pPr>
            <w:r w:rsidRPr="008E71A0">
              <w:t xml:space="preserve">Drug treatment services – intake </w:t>
            </w:r>
          </w:p>
        </w:tc>
        <w:tc>
          <w:tcPr>
            <w:tcW w:w="2216" w:type="dxa"/>
          </w:tcPr>
          <w:p w14:paraId="450BE5F8" w14:textId="77777777" w:rsidR="00D073DB" w:rsidRPr="008E71A0" w:rsidRDefault="00D073DB" w:rsidP="008E71A0">
            <w:pPr>
              <w:pStyle w:val="Tabletext9pt"/>
            </w:pPr>
            <w:r w:rsidRPr="008E71A0">
              <w:t>Drug treatment activity unit</w:t>
            </w:r>
          </w:p>
        </w:tc>
        <w:tc>
          <w:tcPr>
            <w:tcW w:w="1738" w:type="dxa"/>
          </w:tcPr>
          <w:p w14:paraId="74824723" w14:textId="04B01D1C" w:rsidR="00D073DB" w:rsidRPr="00C127A3" w:rsidRDefault="00A76E8C" w:rsidP="00081936">
            <w:pPr>
              <w:pStyle w:val="Tabletext9pt"/>
              <w:numPr>
                <w:ilvl w:val="0"/>
                <w:numId w:val="28"/>
              </w:numPr>
              <w:jc w:val="right"/>
              <w:rPr>
                <w:lang w:eastAsia="en-AU"/>
              </w:rPr>
            </w:pPr>
            <w:r>
              <w:rPr>
                <w:lang w:eastAsia="en-AU"/>
              </w:rPr>
              <w:t>934.50</w:t>
            </w:r>
          </w:p>
        </w:tc>
        <w:tc>
          <w:tcPr>
            <w:tcW w:w="1651" w:type="dxa"/>
          </w:tcPr>
          <w:p w14:paraId="44F00712" w14:textId="77777777" w:rsidR="00D073DB" w:rsidRPr="00C127A3" w:rsidRDefault="00D073DB" w:rsidP="00081936">
            <w:pPr>
              <w:pStyle w:val="Tabletext9pt"/>
              <w:numPr>
                <w:ilvl w:val="0"/>
                <w:numId w:val="28"/>
              </w:numPr>
              <w:jc w:val="right"/>
              <w:rPr>
                <w:lang w:eastAsia="en-AU"/>
              </w:rPr>
            </w:pPr>
          </w:p>
        </w:tc>
      </w:tr>
      <w:tr w:rsidR="00D073DB" w:rsidRPr="00C127A3" w14:paraId="5DBBAD3B" w14:textId="77777777" w:rsidTr="00685B35">
        <w:tc>
          <w:tcPr>
            <w:tcW w:w="3694" w:type="dxa"/>
          </w:tcPr>
          <w:p w14:paraId="4C82FD69" w14:textId="77777777" w:rsidR="00D073DB" w:rsidRPr="008E71A0" w:rsidRDefault="00D073DB" w:rsidP="008E71A0">
            <w:pPr>
              <w:pStyle w:val="Tabletext9pt"/>
            </w:pPr>
            <w:r w:rsidRPr="008E71A0">
              <w:t>Drug treatment services – assessment</w:t>
            </w:r>
          </w:p>
        </w:tc>
        <w:tc>
          <w:tcPr>
            <w:tcW w:w="2216" w:type="dxa"/>
          </w:tcPr>
          <w:p w14:paraId="58408760" w14:textId="77777777" w:rsidR="00D073DB" w:rsidRPr="008E71A0" w:rsidRDefault="00D073DB" w:rsidP="008E71A0">
            <w:pPr>
              <w:pStyle w:val="Tabletext9pt"/>
            </w:pPr>
            <w:r w:rsidRPr="008E71A0">
              <w:t>Drug treatment activity unit</w:t>
            </w:r>
          </w:p>
        </w:tc>
        <w:tc>
          <w:tcPr>
            <w:tcW w:w="1738" w:type="dxa"/>
          </w:tcPr>
          <w:p w14:paraId="3E964CBC" w14:textId="73597756" w:rsidR="00D073DB" w:rsidRPr="00C127A3" w:rsidRDefault="004735A2" w:rsidP="00081936">
            <w:pPr>
              <w:pStyle w:val="Tabletext9pt"/>
              <w:numPr>
                <w:ilvl w:val="0"/>
                <w:numId w:val="28"/>
              </w:numPr>
              <w:jc w:val="right"/>
              <w:rPr>
                <w:lang w:eastAsia="en-AU"/>
              </w:rPr>
            </w:pPr>
            <w:r>
              <w:rPr>
                <w:lang w:eastAsia="en-AU"/>
              </w:rPr>
              <w:t>934.50</w:t>
            </w:r>
          </w:p>
        </w:tc>
        <w:tc>
          <w:tcPr>
            <w:tcW w:w="1651" w:type="dxa"/>
          </w:tcPr>
          <w:p w14:paraId="270AA07D" w14:textId="77777777" w:rsidR="00D073DB" w:rsidRPr="00C127A3" w:rsidRDefault="00D073DB" w:rsidP="00081936">
            <w:pPr>
              <w:pStyle w:val="Tabletext9pt"/>
              <w:numPr>
                <w:ilvl w:val="0"/>
                <w:numId w:val="28"/>
              </w:numPr>
              <w:jc w:val="right"/>
              <w:rPr>
                <w:lang w:eastAsia="en-AU"/>
              </w:rPr>
            </w:pPr>
          </w:p>
        </w:tc>
      </w:tr>
      <w:tr w:rsidR="00D073DB" w:rsidRPr="00C127A3" w14:paraId="2BFFCA44" w14:textId="77777777" w:rsidTr="00685B35">
        <w:tc>
          <w:tcPr>
            <w:tcW w:w="3694" w:type="dxa"/>
          </w:tcPr>
          <w:p w14:paraId="03F197C4" w14:textId="77777777" w:rsidR="00D073DB" w:rsidRPr="008E71A0" w:rsidRDefault="00D073DB" w:rsidP="008E71A0">
            <w:pPr>
              <w:pStyle w:val="Tabletext9pt"/>
            </w:pPr>
            <w:r w:rsidRPr="008E71A0">
              <w:t>Drug treatment services – care and recovery coordination</w:t>
            </w:r>
          </w:p>
        </w:tc>
        <w:tc>
          <w:tcPr>
            <w:tcW w:w="2216" w:type="dxa"/>
          </w:tcPr>
          <w:p w14:paraId="6657D9D2" w14:textId="77777777" w:rsidR="00D073DB" w:rsidRPr="008E71A0" w:rsidRDefault="00D073DB" w:rsidP="008E71A0">
            <w:pPr>
              <w:pStyle w:val="Tabletext9pt"/>
            </w:pPr>
            <w:r w:rsidRPr="008E71A0">
              <w:t>Drug treatment activity unit</w:t>
            </w:r>
          </w:p>
        </w:tc>
        <w:tc>
          <w:tcPr>
            <w:tcW w:w="1738" w:type="dxa"/>
          </w:tcPr>
          <w:p w14:paraId="534C4027" w14:textId="4A4418F9" w:rsidR="00D073DB" w:rsidRPr="00C127A3" w:rsidRDefault="004E12B3" w:rsidP="00081936">
            <w:pPr>
              <w:pStyle w:val="Tabletext9pt"/>
              <w:numPr>
                <w:ilvl w:val="0"/>
                <w:numId w:val="28"/>
              </w:numPr>
              <w:spacing w:line="259" w:lineRule="auto"/>
              <w:jc w:val="right"/>
            </w:pPr>
            <w:r>
              <w:rPr>
                <w:lang w:eastAsia="en-AU"/>
              </w:rPr>
              <w:t>934.50</w:t>
            </w:r>
          </w:p>
        </w:tc>
        <w:tc>
          <w:tcPr>
            <w:tcW w:w="1651" w:type="dxa"/>
          </w:tcPr>
          <w:p w14:paraId="2F460377" w14:textId="77777777" w:rsidR="00D073DB" w:rsidRPr="00C127A3" w:rsidRDefault="00D073DB" w:rsidP="00081936">
            <w:pPr>
              <w:pStyle w:val="Tabletext9pt"/>
              <w:numPr>
                <w:ilvl w:val="0"/>
                <w:numId w:val="28"/>
              </w:numPr>
              <w:jc w:val="right"/>
              <w:rPr>
                <w:lang w:eastAsia="en-AU"/>
              </w:rPr>
            </w:pPr>
          </w:p>
        </w:tc>
      </w:tr>
      <w:tr w:rsidR="00D073DB" w:rsidRPr="00C127A3" w14:paraId="77362E6D" w14:textId="77777777" w:rsidTr="00685B35">
        <w:tc>
          <w:tcPr>
            <w:tcW w:w="3694" w:type="dxa"/>
          </w:tcPr>
          <w:p w14:paraId="0EFF6AF9" w14:textId="77777777" w:rsidR="00D073DB" w:rsidRPr="008E71A0" w:rsidRDefault="00D073DB" w:rsidP="008E71A0">
            <w:pPr>
              <w:pStyle w:val="Tabletext9pt"/>
            </w:pPr>
            <w:r w:rsidRPr="008E71A0">
              <w:t>Drug treatment services – counselling</w:t>
            </w:r>
          </w:p>
        </w:tc>
        <w:tc>
          <w:tcPr>
            <w:tcW w:w="2216" w:type="dxa"/>
          </w:tcPr>
          <w:p w14:paraId="77B784E1" w14:textId="77777777" w:rsidR="00D073DB" w:rsidRPr="008E71A0" w:rsidRDefault="00D073DB" w:rsidP="008E71A0">
            <w:pPr>
              <w:pStyle w:val="Tabletext9pt"/>
            </w:pPr>
            <w:r w:rsidRPr="008E71A0">
              <w:t>Drug treatment activity unit</w:t>
            </w:r>
          </w:p>
        </w:tc>
        <w:tc>
          <w:tcPr>
            <w:tcW w:w="1738" w:type="dxa"/>
          </w:tcPr>
          <w:p w14:paraId="5671B54E" w14:textId="317EF6AE" w:rsidR="00D073DB" w:rsidRPr="00C127A3" w:rsidRDefault="001B0DFC" w:rsidP="00081936">
            <w:pPr>
              <w:pStyle w:val="Tabletext9pt"/>
              <w:numPr>
                <w:ilvl w:val="0"/>
                <w:numId w:val="28"/>
              </w:numPr>
              <w:jc w:val="right"/>
              <w:rPr>
                <w:lang w:eastAsia="en-AU"/>
              </w:rPr>
            </w:pPr>
            <w:r>
              <w:rPr>
                <w:lang w:eastAsia="en-AU"/>
              </w:rPr>
              <w:t>934.50</w:t>
            </w:r>
          </w:p>
        </w:tc>
        <w:tc>
          <w:tcPr>
            <w:tcW w:w="1651" w:type="dxa"/>
          </w:tcPr>
          <w:p w14:paraId="63455E0E" w14:textId="77777777" w:rsidR="00D073DB" w:rsidRPr="00C127A3" w:rsidRDefault="00D073DB" w:rsidP="00081936">
            <w:pPr>
              <w:pStyle w:val="Tabletext9pt"/>
              <w:numPr>
                <w:ilvl w:val="0"/>
                <w:numId w:val="28"/>
              </w:numPr>
              <w:jc w:val="right"/>
              <w:rPr>
                <w:lang w:eastAsia="en-AU"/>
              </w:rPr>
            </w:pPr>
          </w:p>
        </w:tc>
      </w:tr>
      <w:tr w:rsidR="00D073DB" w:rsidRPr="00C127A3" w14:paraId="2F0CD0A8" w14:textId="77777777" w:rsidTr="00685B35">
        <w:tc>
          <w:tcPr>
            <w:tcW w:w="3694" w:type="dxa"/>
          </w:tcPr>
          <w:p w14:paraId="74A008A6" w14:textId="77777777" w:rsidR="00D073DB" w:rsidRPr="008E71A0" w:rsidRDefault="00D073DB" w:rsidP="008E71A0">
            <w:pPr>
              <w:pStyle w:val="Tabletext9pt"/>
            </w:pPr>
            <w:r w:rsidRPr="008E71A0">
              <w:t>Drug treatment services – non-residential withdrawal</w:t>
            </w:r>
          </w:p>
        </w:tc>
        <w:tc>
          <w:tcPr>
            <w:tcW w:w="2216" w:type="dxa"/>
          </w:tcPr>
          <w:p w14:paraId="3A78CEA7" w14:textId="77777777" w:rsidR="00D073DB" w:rsidRPr="008E71A0" w:rsidRDefault="00D073DB" w:rsidP="008E71A0">
            <w:pPr>
              <w:pStyle w:val="Tabletext9pt"/>
            </w:pPr>
            <w:r w:rsidRPr="008E71A0">
              <w:t>Drug treatment activity unit</w:t>
            </w:r>
          </w:p>
        </w:tc>
        <w:tc>
          <w:tcPr>
            <w:tcW w:w="1738" w:type="dxa"/>
          </w:tcPr>
          <w:p w14:paraId="479CAA5E" w14:textId="6ECA2C1A" w:rsidR="00D073DB" w:rsidRPr="00C127A3" w:rsidRDefault="00D073DB" w:rsidP="00D313FF">
            <w:pPr>
              <w:pStyle w:val="Tabletext9pt"/>
              <w:jc w:val="right"/>
              <w:rPr>
                <w:lang w:eastAsia="en-AU"/>
              </w:rPr>
            </w:pPr>
            <w:r w:rsidRPr="31E98B47">
              <w:rPr>
                <w:lang w:eastAsia="en-AU"/>
              </w:rPr>
              <w:t xml:space="preserve"> </w:t>
            </w:r>
            <w:r w:rsidR="001E544D">
              <w:rPr>
                <w:lang w:eastAsia="en-AU"/>
              </w:rPr>
              <w:t>934.50</w:t>
            </w:r>
          </w:p>
        </w:tc>
        <w:tc>
          <w:tcPr>
            <w:tcW w:w="1651" w:type="dxa"/>
          </w:tcPr>
          <w:p w14:paraId="6040BFD9" w14:textId="77777777" w:rsidR="00D073DB" w:rsidRPr="00C127A3" w:rsidRDefault="00D073DB" w:rsidP="00081936">
            <w:pPr>
              <w:pStyle w:val="Tabletext9pt"/>
              <w:numPr>
                <w:ilvl w:val="0"/>
                <w:numId w:val="28"/>
              </w:numPr>
              <w:jc w:val="right"/>
              <w:rPr>
                <w:lang w:eastAsia="en-AU"/>
              </w:rPr>
            </w:pPr>
          </w:p>
        </w:tc>
      </w:tr>
      <w:tr w:rsidR="00D073DB" w:rsidRPr="00C127A3" w14:paraId="2931D69B" w14:textId="77777777" w:rsidTr="00685B35">
        <w:tc>
          <w:tcPr>
            <w:tcW w:w="3694" w:type="dxa"/>
          </w:tcPr>
          <w:p w14:paraId="19AD9B4B" w14:textId="77777777" w:rsidR="00D073DB" w:rsidRPr="008E71A0" w:rsidRDefault="00D073DB" w:rsidP="008E71A0">
            <w:pPr>
              <w:pStyle w:val="Tabletext9pt"/>
            </w:pPr>
            <w:r w:rsidRPr="008E71A0">
              <w:t>Drug treatment services – therapeutic day rehabilitation</w:t>
            </w:r>
          </w:p>
        </w:tc>
        <w:tc>
          <w:tcPr>
            <w:tcW w:w="2216" w:type="dxa"/>
          </w:tcPr>
          <w:p w14:paraId="342B530E" w14:textId="77777777" w:rsidR="00D073DB" w:rsidRPr="008E71A0" w:rsidRDefault="00D073DB" w:rsidP="008E71A0">
            <w:pPr>
              <w:pStyle w:val="Tabletext9pt"/>
            </w:pPr>
            <w:r w:rsidRPr="008E71A0">
              <w:t>Drug treatment activity unit</w:t>
            </w:r>
          </w:p>
        </w:tc>
        <w:tc>
          <w:tcPr>
            <w:tcW w:w="1738" w:type="dxa"/>
          </w:tcPr>
          <w:p w14:paraId="7D1E0C82" w14:textId="5D0AD8CE" w:rsidR="00D073DB" w:rsidRPr="00C127A3" w:rsidRDefault="00891CCA" w:rsidP="00081936">
            <w:pPr>
              <w:pStyle w:val="Tabletext9pt"/>
              <w:numPr>
                <w:ilvl w:val="0"/>
                <w:numId w:val="28"/>
              </w:numPr>
              <w:jc w:val="right"/>
              <w:rPr>
                <w:lang w:eastAsia="en-AU"/>
              </w:rPr>
            </w:pPr>
            <w:r>
              <w:rPr>
                <w:lang w:eastAsia="en-AU"/>
              </w:rPr>
              <w:t>934.50</w:t>
            </w:r>
          </w:p>
        </w:tc>
        <w:tc>
          <w:tcPr>
            <w:tcW w:w="1651" w:type="dxa"/>
          </w:tcPr>
          <w:p w14:paraId="04D2E1EC" w14:textId="77777777" w:rsidR="00D073DB" w:rsidRPr="00C127A3" w:rsidRDefault="00D073DB" w:rsidP="00081936">
            <w:pPr>
              <w:pStyle w:val="Tabletext9pt"/>
              <w:numPr>
                <w:ilvl w:val="0"/>
                <w:numId w:val="28"/>
              </w:numPr>
              <w:jc w:val="right"/>
              <w:rPr>
                <w:lang w:eastAsia="en-AU"/>
              </w:rPr>
            </w:pPr>
          </w:p>
        </w:tc>
      </w:tr>
      <w:tr w:rsidR="00D073DB" w:rsidRPr="00C127A3" w14:paraId="0D9F346A" w14:textId="77777777" w:rsidTr="00685B35">
        <w:tc>
          <w:tcPr>
            <w:tcW w:w="3694" w:type="dxa"/>
          </w:tcPr>
          <w:p w14:paraId="7802B0CD" w14:textId="77777777" w:rsidR="00D073DB" w:rsidRPr="008E71A0" w:rsidRDefault="00D073DB" w:rsidP="008E71A0">
            <w:pPr>
              <w:pStyle w:val="Tabletext9pt"/>
            </w:pPr>
            <w:r w:rsidRPr="008E71A0">
              <w:t>Adult residential drug withdrawal</w:t>
            </w:r>
          </w:p>
        </w:tc>
        <w:tc>
          <w:tcPr>
            <w:tcW w:w="2216" w:type="dxa"/>
          </w:tcPr>
          <w:p w14:paraId="1A45A707" w14:textId="77777777" w:rsidR="00D073DB" w:rsidRPr="008E71A0" w:rsidRDefault="00D073DB" w:rsidP="008E71A0">
            <w:pPr>
              <w:pStyle w:val="Tabletext9pt"/>
            </w:pPr>
            <w:r w:rsidRPr="008E71A0">
              <w:t>Drug treatment activity unit</w:t>
            </w:r>
          </w:p>
        </w:tc>
        <w:tc>
          <w:tcPr>
            <w:tcW w:w="1738" w:type="dxa"/>
          </w:tcPr>
          <w:p w14:paraId="7D258970" w14:textId="042C3E51" w:rsidR="00D073DB" w:rsidRDefault="00BA6108" w:rsidP="00081936">
            <w:pPr>
              <w:pStyle w:val="Tabletext9pt"/>
              <w:numPr>
                <w:ilvl w:val="0"/>
                <w:numId w:val="28"/>
              </w:numPr>
              <w:jc w:val="right"/>
              <w:rPr>
                <w:lang w:eastAsia="en-AU"/>
              </w:rPr>
            </w:pPr>
            <w:r>
              <w:rPr>
                <w:lang w:eastAsia="en-AU"/>
              </w:rPr>
              <w:t>934.50</w:t>
            </w:r>
          </w:p>
        </w:tc>
        <w:tc>
          <w:tcPr>
            <w:tcW w:w="1651" w:type="dxa"/>
          </w:tcPr>
          <w:p w14:paraId="24167BFC" w14:textId="77777777" w:rsidR="00D073DB" w:rsidRDefault="00D073DB" w:rsidP="00081936">
            <w:pPr>
              <w:pStyle w:val="Tabletext9pt"/>
              <w:numPr>
                <w:ilvl w:val="0"/>
                <w:numId w:val="28"/>
              </w:numPr>
              <w:jc w:val="right"/>
              <w:rPr>
                <w:lang w:eastAsia="en-AU"/>
              </w:rPr>
            </w:pPr>
          </w:p>
        </w:tc>
      </w:tr>
      <w:tr w:rsidR="00D073DB" w:rsidRPr="00C127A3" w14:paraId="0464BE9A" w14:textId="77777777" w:rsidTr="00685B35">
        <w:tc>
          <w:tcPr>
            <w:tcW w:w="3694" w:type="dxa"/>
          </w:tcPr>
          <w:p w14:paraId="2FAA6D06" w14:textId="77777777" w:rsidR="00D073DB" w:rsidRPr="00C127A3" w:rsidRDefault="00D073DB" w:rsidP="00081936">
            <w:pPr>
              <w:pStyle w:val="Tabletext9pt"/>
              <w:numPr>
                <w:ilvl w:val="0"/>
                <w:numId w:val="28"/>
              </w:numPr>
              <w:rPr>
                <w:lang w:eastAsia="en-AU"/>
              </w:rPr>
            </w:pPr>
            <w:r w:rsidRPr="31E98B47">
              <w:rPr>
                <w:lang w:eastAsia="en-AU"/>
              </w:rPr>
              <w:t>Adult residential rehabilitation</w:t>
            </w:r>
          </w:p>
        </w:tc>
        <w:tc>
          <w:tcPr>
            <w:tcW w:w="2216" w:type="dxa"/>
          </w:tcPr>
          <w:p w14:paraId="38254098" w14:textId="77777777" w:rsidR="00D073DB" w:rsidRDefault="00D073DB" w:rsidP="00081936">
            <w:pPr>
              <w:pStyle w:val="Tabletext9pt"/>
              <w:numPr>
                <w:ilvl w:val="0"/>
                <w:numId w:val="28"/>
              </w:numPr>
              <w:rPr>
                <w:lang w:eastAsia="en-AU"/>
              </w:rPr>
            </w:pPr>
            <w:r w:rsidRPr="31E98B47">
              <w:rPr>
                <w:lang w:eastAsia="en-AU"/>
              </w:rPr>
              <w:t>Drug treatment activity unit</w:t>
            </w:r>
          </w:p>
        </w:tc>
        <w:tc>
          <w:tcPr>
            <w:tcW w:w="1738" w:type="dxa"/>
          </w:tcPr>
          <w:p w14:paraId="082BD0A7" w14:textId="305F56FC" w:rsidR="00D073DB" w:rsidRDefault="00BA6108" w:rsidP="00081936">
            <w:pPr>
              <w:pStyle w:val="Tabletext9pt"/>
              <w:numPr>
                <w:ilvl w:val="0"/>
                <w:numId w:val="28"/>
              </w:numPr>
              <w:jc w:val="right"/>
              <w:rPr>
                <w:lang w:eastAsia="en-AU"/>
              </w:rPr>
            </w:pPr>
            <w:r>
              <w:rPr>
                <w:lang w:eastAsia="en-AU"/>
              </w:rPr>
              <w:t>934.50</w:t>
            </w:r>
          </w:p>
        </w:tc>
        <w:tc>
          <w:tcPr>
            <w:tcW w:w="1651" w:type="dxa"/>
          </w:tcPr>
          <w:p w14:paraId="13F04A72" w14:textId="77777777" w:rsidR="00D073DB" w:rsidRDefault="00D073DB" w:rsidP="00081936">
            <w:pPr>
              <w:pStyle w:val="Tabletext9pt"/>
              <w:numPr>
                <w:ilvl w:val="0"/>
                <w:numId w:val="28"/>
              </w:numPr>
              <w:jc w:val="right"/>
              <w:rPr>
                <w:lang w:eastAsia="en-AU"/>
              </w:rPr>
            </w:pPr>
          </w:p>
        </w:tc>
      </w:tr>
      <w:tr w:rsidR="00D073DB" w:rsidRPr="00C127A3" w14:paraId="481456A0" w14:textId="77777777" w:rsidTr="00685B35">
        <w:tc>
          <w:tcPr>
            <w:tcW w:w="3694" w:type="dxa"/>
          </w:tcPr>
          <w:p w14:paraId="27F0BC7D" w14:textId="77777777" w:rsidR="00D073DB" w:rsidRPr="00C127A3" w:rsidRDefault="00D073DB" w:rsidP="00081936">
            <w:pPr>
              <w:pStyle w:val="Tabletext9pt"/>
              <w:numPr>
                <w:ilvl w:val="0"/>
                <w:numId w:val="28"/>
              </w:numPr>
              <w:rPr>
                <w:lang w:eastAsia="en-AU"/>
              </w:rPr>
            </w:pPr>
            <w:r w:rsidRPr="31E98B47">
              <w:rPr>
                <w:lang w:eastAsia="en-AU"/>
              </w:rPr>
              <w:lastRenderedPageBreak/>
              <w:t>Youth residential drug withdrawal</w:t>
            </w:r>
          </w:p>
        </w:tc>
        <w:tc>
          <w:tcPr>
            <w:tcW w:w="2216" w:type="dxa"/>
          </w:tcPr>
          <w:p w14:paraId="597BD722" w14:textId="77777777" w:rsidR="00D073DB" w:rsidRDefault="00D073DB" w:rsidP="00081936">
            <w:pPr>
              <w:pStyle w:val="Tabletext9pt"/>
              <w:numPr>
                <w:ilvl w:val="0"/>
                <w:numId w:val="28"/>
              </w:numPr>
              <w:rPr>
                <w:lang w:eastAsia="en-AU"/>
              </w:rPr>
            </w:pPr>
            <w:r w:rsidRPr="31E98B47">
              <w:rPr>
                <w:lang w:eastAsia="en-AU"/>
              </w:rPr>
              <w:t>Drug treatment activity unit</w:t>
            </w:r>
          </w:p>
        </w:tc>
        <w:tc>
          <w:tcPr>
            <w:tcW w:w="1738" w:type="dxa"/>
          </w:tcPr>
          <w:p w14:paraId="7EF91761" w14:textId="5498C5CE" w:rsidR="00D073DB" w:rsidRDefault="00BA6108" w:rsidP="00081936">
            <w:pPr>
              <w:pStyle w:val="Tabletext9pt"/>
              <w:numPr>
                <w:ilvl w:val="0"/>
                <w:numId w:val="28"/>
              </w:numPr>
              <w:jc w:val="right"/>
              <w:rPr>
                <w:lang w:eastAsia="en-AU"/>
              </w:rPr>
            </w:pPr>
            <w:r>
              <w:rPr>
                <w:lang w:eastAsia="en-AU"/>
              </w:rPr>
              <w:t>934.50</w:t>
            </w:r>
          </w:p>
        </w:tc>
        <w:tc>
          <w:tcPr>
            <w:tcW w:w="1651" w:type="dxa"/>
          </w:tcPr>
          <w:p w14:paraId="3502D0E3" w14:textId="77777777" w:rsidR="00D073DB" w:rsidRDefault="00D073DB" w:rsidP="00081936">
            <w:pPr>
              <w:pStyle w:val="Tabletext9pt"/>
              <w:numPr>
                <w:ilvl w:val="0"/>
                <w:numId w:val="28"/>
              </w:numPr>
              <w:jc w:val="right"/>
              <w:rPr>
                <w:lang w:eastAsia="en-AU"/>
              </w:rPr>
            </w:pPr>
          </w:p>
        </w:tc>
      </w:tr>
      <w:tr w:rsidR="00D073DB" w:rsidRPr="00C127A3" w14:paraId="0210C4C9" w14:textId="77777777" w:rsidTr="00685B35">
        <w:tc>
          <w:tcPr>
            <w:tcW w:w="3694" w:type="dxa"/>
          </w:tcPr>
          <w:p w14:paraId="4F4C20E0" w14:textId="77777777" w:rsidR="00D073DB" w:rsidRPr="00C127A3" w:rsidRDefault="00D073DB" w:rsidP="00081936">
            <w:pPr>
              <w:pStyle w:val="Tabletext9pt"/>
              <w:numPr>
                <w:ilvl w:val="0"/>
                <w:numId w:val="28"/>
              </w:numPr>
              <w:rPr>
                <w:lang w:eastAsia="en-AU"/>
              </w:rPr>
            </w:pPr>
            <w:r w:rsidRPr="31E98B47">
              <w:rPr>
                <w:lang w:eastAsia="en-AU"/>
              </w:rPr>
              <w:t>Youth residential rehabilitation</w:t>
            </w:r>
          </w:p>
        </w:tc>
        <w:tc>
          <w:tcPr>
            <w:tcW w:w="2216" w:type="dxa"/>
          </w:tcPr>
          <w:p w14:paraId="369608AB" w14:textId="77777777" w:rsidR="00D073DB" w:rsidRDefault="00D073DB" w:rsidP="00081936">
            <w:pPr>
              <w:pStyle w:val="Tabletext9pt"/>
              <w:numPr>
                <w:ilvl w:val="0"/>
                <w:numId w:val="28"/>
              </w:numPr>
              <w:rPr>
                <w:lang w:eastAsia="en-AU"/>
              </w:rPr>
            </w:pPr>
            <w:r w:rsidRPr="31E98B47">
              <w:rPr>
                <w:lang w:eastAsia="en-AU"/>
              </w:rPr>
              <w:t>Drug treatment activity unit</w:t>
            </w:r>
          </w:p>
        </w:tc>
        <w:tc>
          <w:tcPr>
            <w:tcW w:w="1738" w:type="dxa"/>
          </w:tcPr>
          <w:p w14:paraId="34D7530D" w14:textId="03E95BE3" w:rsidR="00D073DB" w:rsidRDefault="00BA6108" w:rsidP="00081936">
            <w:pPr>
              <w:pStyle w:val="Tabletext9pt"/>
              <w:numPr>
                <w:ilvl w:val="0"/>
                <w:numId w:val="28"/>
              </w:numPr>
              <w:jc w:val="right"/>
              <w:rPr>
                <w:lang w:eastAsia="en-AU"/>
              </w:rPr>
            </w:pPr>
            <w:r>
              <w:rPr>
                <w:lang w:eastAsia="en-AU"/>
              </w:rPr>
              <w:t>934.50</w:t>
            </w:r>
          </w:p>
        </w:tc>
        <w:tc>
          <w:tcPr>
            <w:tcW w:w="1651" w:type="dxa"/>
          </w:tcPr>
          <w:p w14:paraId="4399E5C6" w14:textId="77777777" w:rsidR="00D073DB" w:rsidRDefault="00D073DB" w:rsidP="00081936">
            <w:pPr>
              <w:pStyle w:val="Tabletext9pt"/>
              <w:numPr>
                <w:ilvl w:val="0"/>
                <w:numId w:val="28"/>
              </w:numPr>
              <w:jc w:val="right"/>
              <w:rPr>
                <w:lang w:eastAsia="en-AU"/>
              </w:rPr>
            </w:pPr>
          </w:p>
        </w:tc>
      </w:tr>
      <w:tr w:rsidR="00D073DB" w:rsidRPr="00C127A3" w14:paraId="6D17B152" w14:textId="77777777" w:rsidTr="00685B35">
        <w:tc>
          <w:tcPr>
            <w:tcW w:w="3694" w:type="dxa"/>
          </w:tcPr>
          <w:p w14:paraId="5859FD0E" w14:textId="77777777" w:rsidR="00D073DB" w:rsidRPr="00C127A3" w:rsidRDefault="00D073DB" w:rsidP="00081936">
            <w:pPr>
              <w:pStyle w:val="Tabletext9pt"/>
              <w:numPr>
                <w:ilvl w:val="0"/>
                <w:numId w:val="28"/>
              </w:numPr>
              <w:rPr>
                <w:lang w:eastAsia="en-AU"/>
              </w:rPr>
            </w:pPr>
            <w:r w:rsidRPr="31E98B47">
              <w:rPr>
                <w:lang w:eastAsia="en-AU"/>
              </w:rPr>
              <w:t>Aboriginal residential rehabilitation</w:t>
            </w:r>
          </w:p>
        </w:tc>
        <w:tc>
          <w:tcPr>
            <w:tcW w:w="2216" w:type="dxa"/>
          </w:tcPr>
          <w:p w14:paraId="0F4DD81C" w14:textId="77777777" w:rsidR="00D073DB" w:rsidRDefault="00D073DB" w:rsidP="00081936">
            <w:pPr>
              <w:pStyle w:val="Tabletext9pt"/>
              <w:numPr>
                <w:ilvl w:val="0"/>
                <w:numId w:val="28"/>
              </w:numPr>
              <w:rPr>
                <w:lang w:eastAsia="en-AU"/>
              </w:rPr>
            </w:pPr>
            <w:r w:rsidRPr="31E98B47">
              <w:rPr>
                <w:lang w:eastAsia="en-AU"/>
              </w:rPr>
              <w:t>Drug treatment activity unit</w:t>
            </w:r>
          </w:p>
        </w:tc>
        <w:tc>
          <w:tcPr>
            <w:tcW w:w="1738" w:type="dxa"/>
          </w:tcPr>
          <w:p w14:paraId="3868625E" w14:textId="2A76C418" w:rsidR="00D073DB" w:rsidRDefault="00BA6108" w:rsidP="00081936">
            <w:pPr>
              <w:pStyle w:val="Tabletext9pt"/>
              <w:numPr>
                <w:ilvl w:val="0"/>
                <w:numId w:val="28"/>
              </w:numPr>
              <w:jc w:val="right"/>
              <w:rPr>
                <w:lang w:eastAsia="en-AU"/>
              </w:rPr>
            </w:pPr>
            <w:r>
              <w:rPr>
                <w:lang w:eastAsia="en-AU"/>
              </w:rPr>
              <w:t>934.50</w:t>
            </w:r>
          </w:p>
        </w:tc>
        <w:tc>
          <w:tcPr>
            <w:tcW w:w="1651" w:type="dxa"/>
          </w:tcPr>
          <w:p w14:paraId="179292D5" w14:textId="77777777" w:rsidR="00D073DB" w:rsidRDefault="00D073DB" w:rsidP="00081936">
            <w:pPr>
              <w:pStyle w:val="Tabletext9pt"/>
              <w:numPr>
                <w:ilvl w:val="0"/>
                <w:numId w:val="28"/>
              </w:numPr>
              <w:jc w:val="right"/>
              <w:rPr>
                <w:lang w:eastAsia="en-AU"/>
              </w:rPr>
            </w:pPr>
          </w:p>
        </w:tc>
      </w:tr>
      <w:tr w:rsidR="00D073DB" w:rsidRPr="00C127A3" w14:paraId="148DF462" w14:textId="77777777" w:rsidTr="00685B35">
        <w:tc>
          <w:tcPr>
            <w:tcW w:w="3694" w:type="dxa"/>
          </w:tcPr>
          <w:p w14:paraId="40FA7C9E" w14:textId="77777777" w:rsidR="00D073DB" w:rsidRPr="00C127A3" w:rsidRDefault="00D073DB" w:rsidP="00081936">
            <w:pPr>
              <w:pStyle w:val="Tabletext9pt"/>
              <w:numPr>
                <w:ilvl w:val="0"/>
                <w:numId w:val="28"/>
              </w:numPr>
              <w:rPr>
                <w:lang w:eastAsia="en-AU"/>
              </w:rPr>
            </w:pPr>
            <w:r w:rsidRPr="31E98B47">
              <w:rPr>
                <w:lang w:eastAsia="en-AU"/>
              </w:rPr>
              <w:t>Youth alcohol and drug supported accommodation</w:t>
            </w:r>
          </w:p>
        </w:tc>
        <w:tc>
          <w:tcPr>
            <w:tcW w:w="2216" w:type="dxa"/>
          </w:tcPr>
          <w:p w14:paraId="648B8D8A" w14:textId="77777777" w:rsidR="00D073DB" w:rsidRPr="00C127A3" w:rsidRDefault="00D073DB" w:rsidP="00081936">
            <w:pPr>
              <w:pStyle w:val="Tabletext9pt"/>
              <w:numPr>
                <w:ilvl w:val="0"/>
                <w:numId w:val="28"/>
              </w:numPr>
              <w:rPr>
                <w:lang w:eastAsia="en-AU"/>
              </w:rPr>
            </w:pPr>
            <w:r w:rsidRPr="31E98B47">
              <w:rPr>
                <w:lang w:eastAsia="en-AU"/>
              </w:rPr>
              <w:t>Episodes of care</w:t>
            </w:r>
          </w:p>
        </w:tc>
        <w:tc>
          <w:tcPr>
            <w:tcW w:w="1738" w:type="dxa"/>
          </w:tcPr>
          <w:p w14:paraId="58C1E6A9" w14:textId="2251F541" w:rsidR="00D073DB" w:rsidRPr="0038691C" w:rsidRDefault="00D6481A" w:rsidP="00081936">
            <w:pPr>
              <w:pStyle w:val="Tabletext9pt"/>
              <w:numPr>
                <w:ilvl w:val="0"/>
                <w:numId w:val="28"/>
              </w:numPr>
              <w:jc w:val="right"/>
              <w:rPr>
                <w:lang w:eastAsia="en-AU"/>
              </w:rPr>
            </w:pPr>
            <w:r>
              <w:rPr>
                <w:lang w:eastAsia="en-AU"/>
              </w:rPr>
              <w:t>7,184</w:t>
            </w:r>
          </w:p>
        </w:tc>
        <w:tc>
          <w:tcPr>
            <w:tcW w:w="1651" w:type="dxa"/>
          </w:tcPr>
          <w:p w14:paraId="21BAC115" w14:textId="0817B86F" w:rsidR="00D073DB" w:rsidRPr="003C65E0" w:rsidRDefault="00A02F17" w:rsidP="00081936">
            <w:pPr>
              <w:pStyle w:val="Tabletext9pt"/>
              <w:numPr>
                <w:ilvl w:val="0"/>
                <w:numId w:val="28"/>
              </w:numPr>
              <w:jc w:val="right"/>
              <w:rPr>
                <w:lang w:eastAsia="en-AU"/>
              </w:rPr>
            </w:pPr>
            <w:r>
              <w:rPr>
                <w:lang w:eastAsia="en-AU"/>
              </w:rPr>
              <w:t>9,577</w:t>
            </w:r>
          </w:p>
        </w:tc>
      </w:tr>
      <w:tr w:rsidR="00D073DB" w:rsidRPr="00C127A3" w14:paraId="45AE9D27" w14:textId="77777777" w:rsidTr="00685B35">
        <w:tc>
          <w:tcPr>
            <w:tcW w:w="3694" w:type="dxa"/>
          </w:tcPr>
          <w:p w14:paraId="24E51E75" w14:textId="77777777" w:rsidR="00D073DB" w:rsidRPr="00C127A3" w:rsidRDefault="00D073DB" w:rsidP="00081936">
            <w:pPr>
              <w:pStyle w:val="Tabletext9pt"/>
              <w:numPr>
                <w:ilvl w:val="0"/>
                <w:numId w:val="28"/>
              </w:numPr>
              <w:rPr>
                <w:lang w:eastAsia="en-AU"/>
              </w:rPr>
            </w:pPr>
            <w:r w:rsidRPr="31E98B47">
              <w:rPr>
                <w:lang w:eastAsia="en-AU"/>
              </w:rPr>
              <w:t>Aboriginal alcohol and drug worker</w:t>
            </w:r>
          </w:p>
        </w:tc>
        <w:tc>
          <w:tcPr>
            <w:tcW w:w="2216" w:type="dxa"/>
          </w:tcPr>
          <w:p w14:paraId="04CE3397" w14:textId="77777777" w:rsidR="00D073DB" w:rsidRPr="00C127A3" w:rsidRDefault="00D073DB" w:rsidP="00081936">
            <w:pPr>
              <w:pStyle w:val="Tabletext9pt"/>
              <w:numPr>
                <w:ilvl w:val="0"/>
                <w:numId w:val="28"/>
              </w:numPr>
              <w:rPr>
                <w:lang w:eastAsia="en-AU"/>
              </w:rPr>
            </w:pPr>
            <w:r w:rsidRPr="31E98B47">
              <w:rPr>
                <w:lang w:eastAsia="en-AU"/>
              </w:rPr>
              <w:t>Episodes of care</w:t>
            </w:r>
          </w:p>
        </w:tc>
        <w:tc>
          <w:tcPr>
            <w:tcW w:w="1738" w:type="dxa"/>
          </w:tcPr>
          <w:p w14:paraId="759DED76" w14:textId="7530BFE9" w:rsidR="00D073DB" w:rsidRPr="00C127A3" w:rsidRDefault="00AE03B8" w:rsidP="00081936">
            <w:pPr>
              <w:pStyle w:val="Tabletext9pt"/>
              <w:numPr>
                <w:ilvl w:val="0"/>
                <w:numId w:val="28"/>
              </w:numPr>
              <w:jc w:val="right"/>
              <w:rPr>
                <w:lang w:eastAsia="en-AU"/>
              </w:rPr>
            </w:pPr>
            <w:r>
              <w:rPr>
                <w:lang w:eastAsia="en-AU"/>
              </w:rPr>
              <w:t>2,418</w:t>
            </w:r>
          </w:p>
        </w:tc>
        <w:tc>
          <w:tcPr>
            <w:tcW w:w="1651" w:type="dxa"/>
          </w:tcPr>
          <w:p w14:paraId="46ABBE41" w14:textId="77777777" w:rsidR="00D073DB" w:rsidRPr="00C127A3" w:rsidRDefault="00D073DB" w:rsidP="00081936">
            <w:pPr>
              <w:pStyle w:val="Tabletext9pt"/>
              <w:numPr>
                <w:ilvl w:val="0"/>
                <w:numId w:val="28"/>
              </w:numPr>
              <w:jc w:val="right"/>
              <w:rPr>
                <w:lang w:eastAsia="en-AU"/>
              </w:rPr>
            </w:pPr>
          </w:p>
        </w:tc>
      </w:tr>
      <w:tr w:rsidR="00D073DB" w:rsidRPr="00C127A3" w14:paraId="72E3DDC4" w14:textId="77777777" w:rsidTr="00685B35">
        <w:tc>
          <w:tcPr>
            <w:tcW w:w="3694" w:type="dxa"/>
          </w:tcPr>
          <w:p w14:paraId="56CFBD54" w14:textId="77777777" w:rsidR="00D073DB" w:rsidRPr="00C127A3" w:rsidRDefault="00D073DB" w:rsidP="00001367">
            <w:pPr>
              <w:pStyle w:val="Tabletext9pt"/>
            </w:pPr>
            <w:r w:rsidRPr="31E98B47">
              <w:t>Youth outreach</w:t>
            </w:r>
          </w:p>
        </w:tc>
        <w:tc>
          <w:tcPr>
            <w:tcW w:w="2216" w:type="dxa"/>
          </w:tcPr>
          <w:p w14:paraId="7A9F2963" w14:textId="77777777" w:rsidR="00D073DB" w:rsidRPr="00C127A3" w:rsidRDefault="00D073DB" w:rsidP="00001367">
            <w:pPr>
              <w:pStyle w:val="Tabletext9pt"/>
            </w:pPr>
            <w:r w:rsidRPr="31E98B47">
              <w:t>Episodes of care</w:t>
            </w:r>
          </w:p>
        </w:tc>
        <w:tc>
          <w:tcPr>
            <w:tcW w:w="1738" w:type="dxa"/>
          </w:tcPr>
          <w:p w14:paraId="4703AE0E" w14:textId="15981DD3" w:rsidR="00D073DB" w:rsidRPr="00C127A3" w:rsidRDefault="00AE25E2" w:rsidP="00685B35">
            <w:pPr>
              <w:pStyle w:val="Tabletext9pt"/>
              <w:jc w:val="right"/>
            </w:pPr>
            <w:r>
              <w:t>2,139</w:t>
            </w:r>
          </w:p>
        </w:tc>
        <w:tc>
          <w:tcPr>
            <w:tcW w:w="1651" w:type="dxa"/>
          </w:tcPr>
          <w:p w14:paraId="733928EC" w14:textId="77777777" w:rsidR="00D073DB" w:rsidRPr="00C127A3" w:rsidRDefault="00D073DB" w:rsidP="00001367">
            <w:pPr>
              <w:pStyle w:val="Tabletext9pt"/>
            </w:pPr>
          </w:p>
        </w:tc>
      </w:tr>
      <w:tr w:rsidR="00D073DB" w:rsidRPr="00C127A3" w14:paraId="0D579656" w14:textId="77777777" w:rsidTr="00685B35">
        <w:tc>
          <w:tcPr>
            <w:tcW w:w="3694" w:type="dxa"/>
          </w:tcPr>
          <w:p w14:paraId="2ABFA81B" w14:textId="77777777" w:rsidR="00D073DB" w:rsidRPr="00C127A3" w:rsidRDefault="00D073DB" w:rsidP="00001367">
            <w:pPr>
              <w:pStyle w:val="Tabletext9pt"/>
            </w:pPr>
            <w:r w:rsidRPr="31E98B47">
              <w:t>Specialist pharmacotherapy program</w:t>
            </w:r>
          </w:p>
        </w:tc>
        <w:tc>
          <w:tcPr>
            <w:tcW w:w="2216" w:type="dxa"/>
          </w:tcPr>
          <w:p w14:paraId="15A0F00C" w14:textId="77777777" w:rsidR="00D073DB" w:rsidRPr="00C127A3" w:rsidRDefault="00D073DB" w:rsidP="00001367">
            <w:pPr>
              <w:pStyle w:val="Tabletext9pt"/>
            </w:pPr>
            <w:r w:rsidRPr="31E98B47">
              <w:t>Episodes of care</w:t>
            </w:r>
          </w:p>
        </w:tc>
        <w:tc>
          <w:tcPr>
            <w:tcW w:w="1738" w:type="dxa"/>
          </w:tcPr>
          <w:p w14:paraId="5A25C6D6" w14:textId="7737443B" w:rsidR="00D073DB" w:rsidRPr="00C127A3" w:rsidRDefault="00BD3C9B" w:rsidP="00685B35">
            <w:pPr>
              <w:pStyle w:val="Tabletext9pt"/>
              <w:jc w:val="right"/>
            </w:pPr>
            <w:r>
              <w:t>3,915</w:t>
            </w:r>
          </w:p>
        </w:tc>
        <w:tc>
          <w:tcPr>
            <w:tcW w:w="1651" w:type="dxa"/>
          </w:tcPr>
          <w:p w14:paraId="7649EEB5" w14:textId="77777777" w:rsidR="00D073DB" w:rsidRPr="00C127A3" w:rsidRDefault="00D073DB" w:rsidP="00001367">
            <w:pPr>
              <w:pStyle w:val="Tabletext9pt"/>
            </w:pPr>
          </w:p>
        </w:tc>
      </w:tr>
      <w:tr w:rsidR="00D073DB" w:rsidRPr="00C127A3" w14:paraId="71A3D722" w14:textId="77777777" w:rsidTr="00685B35">
        <w:tc>
          <w:tcPr>
            <w:tcW w:w="3694" w:type="dxa"/>
          </w:tcPr>
          <w:p w14:paraId="742F0907" w14:textId="77777777" w:rsidR="00D073DB" w:rsidRDefault="00D073DB" w:rsidP="00001367">
            <w:pPr>
              <w:pStyle w:val="Tabletext9pt"/>
            </w:pPr>
            <w:r w:rsidRPr="31E98B47">
              <w:t>Mobile overdose response</w:t>
            </w:r>
          </w:p>
        </w:tc>
        <w:tc>
          <w:tcPr>
            <w:tcW w:w="2216" w:type="dxa"/>
          </w:tcPr>
          <w:p w14:paraId="4B7A3CB1" w14:textId="77777777" w:rsidR="00D073DB" w:rsidRDefault="00D073DB" w:rsidP="00001367">
            <w:pPr>
              <w:pStyle w:val="Tabletext9pt"/>
            </w:pPr>
            <w:r w:rsidRPr="31E98B47">
              <w:t>Episodes of care</w:t>
            </w:r>
          </w:p>
        </w:tc>
        <w:tc>
          <w:tcPr>
            <w:tcW w:w="1738" w:type="dxa"/>
          </w:tcPr>
          <w:p w14:paraId="2B77228D" w14:textId="1E417589" w:rsidR="00D073DB" w:rsidRPr="00001367" w:rsidRDefault="00304A07" w:rsidP="00685B35">
            <w:pPr>
              <w:pStyle w:val="Tabletext9pt"/>
              <w:jc w:val="right"/>
            </w:pPr>
            <w:r>
              <w:t>8,441</w:t>
            </w:r>
          </w:p>
        </w:tc>
        <w:tc>
          <w:tcPr>
            <w:tcW w:w="1651" w:type="dxa"/>
          </w:tcPr>
          <w:p w14:paraId="1475434F" w14:textId="77777777" w:rsidR="00D073DB" w:rsidRPr="00C127A3" w:rsidRDefault="00D073DB" w:rsidP="00001367">
            <w:pPr>
              <w:pStyle w:val="Tabletext9pt"/>
            </w:pPr>
          </w:p>
        </w:tc>
      </w:tr>
      <w:tr w:rsidR="00D073DB" w:rsidRPr="00C127A3" w14:paraId="7F7F7233" w14:textId="77777777" w:rsidTr="00685B35">
        <w:tc>
          <w:tcPr>
            <w:tcW w:w="3694" w:type="dxa"/>
          </w:tcPr>
          <w:p w14:paraId="35811E5A" w14:textId="77777777" w:rsidR="00D073DB" w:rsidRDefault="00D073DB" w:rsidP="00001367">
            <w:pPr>
              <w:pStyle w:val="Tabletext9pt"/>
            </w:pPr>
            <w:r w:rsidRPr="31E98B47">
              <w:t>Rural withdrawal</w:t>
            </w:r>
          </w:p>
        </w:tc>
        <w:tc>
          <w:tcPr>
            <w:tcW w:w="2216" w:type="dxa"/>
          </w:tcPr>
          <w:p w14:paraId="357624DC" w14:textId="77777777" w:rsidR="00D073DB" w:rsidRDefault="00D073DB" w:rsidP="00001367">
            <w:pPr>
              <w:pStyle w:val="Tabletext9pt"/>
            </w:pPr>
            <w:r w:rsidRPr="31E98B47">
              <w:t>Episodes of care</w:t>
            </w:r>
          </w:p>
        </w:tc>
        <w:tc>
          <w:tcPr>
            <w:tcW w:w="1738" w:type="dxa"/>
          </w:tcPr>
          <w:p w14:paraId="1070CE50" w14:textId="45DB811C" w:rsidR="00D073DB" w:rsidRDefault="00824C16" w:rsidP="00685B35">
            <w:pPr>
              <w:pStyle w:val="Tabletext9pt"/>
              <w:jc w:val="right"/>
            </w:pPr>
            <w:r>
              <w:t>2,167</w:t>
            </w:r>
          </w:p>
        </w:tc>
        <w:tc>
          <w:tcPr>
            <w:tcW w:w="1651" w:type="dxa"/>
          </w:tcPr>
          <w:p w14:paraId="52A783FD" w14:textId="77777777" w:rsidR="00D073DB" w:rsidRPr="00C127A3" w:rsidRDefault="00D073DB" w:rsidP="00001367">
            <w:pPr>
              <w:pStyle w:val="Tabletext9pt"/>
            </w:pPr>
          </w:p>
        </w:tc>
      </w:tr>
      <w:tr w:rsidR="00D073DB" w:rsidRPr="00C127A3" w14:paraId="63BC16AC" w14:textId="77777777" w:rsidTr="00685B35">
        <w:tc>
          <w:tcPr>
            <w:tcW w:w="3694" w:type="dxa"/>
          </w:tcPr>
          <w:p w14:paraId="574D00F1" w14:textId="77777777" w:rsidR="00D073DB" w:rsidRDefault="00D073DB" w:rsidP="00001367">
            <w:pPr>
              <w:pStyle w:val="Tabletext9pt"/>
            </w:pPr>
            <w:r w:rsidRPr="31E98B47">
              <w:t>Women’s alcohol and drug supported accommodation</w:t>
            </w:r>
          </w:p>
        </w:tc>
        <w:tc>
          <w:tcPr>
            <w:tcW w:w="2216" w:type="dxa"/>
          </w:tcPr>
          <w:p w14:paraId="402A057A" w14:textId="77777777" w:rsidR="00D073DB" w:rsidRDefault="00D073DB" w:rsidP="00001367">
            <w:pPr>
              <w:pStyle w:val="Tabletext9pt"/>
            </w:pPr>
            <w:r w:rsidRPr="31E98B47">
              <w:t>Episodes of care</w:t>
            </w:r>
          </w:p>
        </w:tc>
        <w:tc>
          <w:tcPr>
            <w:tcW w:w="1738" w:type="dxa"/>
          </w:tcPr>
          <w:p w14:paraId="2720F0B0" w14:textId="1D8DB5EC" w:rsidR="00D073DB" w:rsidRPr="00001367" w:rsidRDefault="00C64CDD" w:rsidP="00685B35">
            <w:pPr>
              <w:pStyle w:val="Tabletext9pt"/>
              <w:jc w:val="right"/>
            </w:pPr>
            <w:r>
              <w:t>7,184</w:t>
            </w:r>
          </w:p>
        </w:tc>
        <w:tc>
          <w:tcPr>
            <w:tcW w:w="1651" w:type="dxa"/>
          </w:tcPr>
          <w:p w14:paraId="35BE61D6" w14:textId="77777777" w:rsidR="00D073DB" w:rsidRPr="00C127A3" w:rsidRDefault="00D073DB" w:rsidP="00001367">
            <w:pPr>
              <w:pStyle w:val="Tabletext9pt"/>
            </w:pPr>
          </w:p>
        </w:tc>
      </w:tr>
      <w:tr w:rsidR="00D073DB" w:rsidRPr="00C127A3" w14:paraId="33287C4F" w14:textId="77777777" w:rsidTr="00685B35">
        <w:tc>
          <w:tcPr>
            <w:tcW w:w="3694" w:type="dxa"/>
          </w:tcPr>
          <w:p w14:paraId="41BEACB6" w14:textId="77777777" w:rsidR="00D073DB" w:rsidRPr="00C127A3" w:rsidRDefault="00D073DB" w:rsidP="00001367">
            <w:pPr>
              <w:pStyle w:val="Tabletext9pt"/>
            </w:pPr>
            <w:r w:rsidRPr="31E98B47">
              <w:t xml:space="preserve">ACCO services – community model 1 </w:t>
            </w:r>
          </w:p>
        </w:tc>
        <w:tc>
          <w:tcPr>
            <w:tcW w:w="2216" w:type="dxa"/>
          </w:tcPr>
          <w:p w14:paraId="4AF48EFE" w14:textId="77777777" w:rsidR="00D073DB" w:rsidRPr="00C127A3" w:rsidRDefault="00D073DB" w:rsidP="00001367">
            <w:pPr>
              <w:pStyle w:val="Tabletext9pt"/>
            </w:pPr>
            <w:r w:rsidRPr="31E98B47">
              <w:t>Episodes of care</w:t>
            </w:r>
          </w:p>
        </w:tc>
        <w:tc>
          <w:tcPr>
            <w:tcW w:w="1738" w:type="dxa"/>
          </w:tcPr>
          <w:p w14:paraId="231E8E0D" w14:textId="7C73AD98" w:rsidR="00D073DB" w:rsidRPr="00C127A3" w:rsidRDefault="003E72C4" w:rsidP="00685B35">
            <w:pPr>
              <w:pStyle w:val="Tabletext9pt"/>
              <w:jc w:val="right"/>
            </w:pPr>
            <w:r>
              <w:t>880.84</w:t>
            </w:r>
          </w:p>
        </w:tc>
        <w:tc>
          <w:tcPr>
            <w:tcW w:w="1651" w:type="dxa"/>
          </w:tcPr>
          <w:p w14:paraId="663C5226" w14:textId="77777777" w:rsidR="00D073DB" w:rsidRPr="00C127A3" w:rsidRDefault="00D073DB" w:rsidP="00001367">
            <w:pPr>
              <w:pStyle w:val="Tabletext9pt"/>
            </w:pPr>
          </w:p>
        </w:tc>
      </w:tr>
      <w:tr w:rsidR="00D073DB" w:rsidRPr="00C127A3" w14:paraId="61DD467B" w14:textId="77777777" w:rsidTr="00685B35">
        <w:tc>
          <w:tcPr>
            <w:tcW w:w="3694" w:type="dxa"/>
          </w:tcPr>
          <w:p w14:paraId="3335A9E2" w14:textId="77777777" w:rsidR="00D073DB" w:rsidRPr="00C127A3" w:rsidRDefault="00D073DB" w:rsidP="00001367">
            <w:pPr>
              <w:pStyle w:val="Tabletext9pt"/>
            </w:pPr>
            <w:r w:rsidRPr="31E98B47">
              <w:t>ACCO services – community models 2 and 3</w:t>
            </w:r>
          </w:p>
        </w:tc>
        <w:tc>
          <w:tcPr>
            <w:tcW w:w="2216" w:type="dxa"/>
          </w:tcPr>
          <w:p w14:paraId="2CC30C02" w14:textId="77777777" w:rsidR="00D073DB" w:rsidRPr="00C127A3" w:rsidRDefault="00D073DB" w:rsidP="00001367">
            <w:pPr>
              <w:pStyle w:val="Tabletext9pt"/>
            </w:pPr>
            <w:r w:rsidRPr="31E98B47">
              <w:t>Episodes of care</w:t>
            </w:r>
          </w:p>
        </w:tc>
        <w:tc>
          <w:tcPr>
            <w:tcW w:w="1738" w:type="dxa"/>
          </w:tcPr>
          <w:p w14:paraId="51B07873" w14:textId="78B34FA6" w:rsidR="00D073DB" w:rsidRPr="00C127A3" w:rsidRDefault="0056463F" w:rsidP="00685B35">
            <w:pPr>
              <w:pStyle w:val="Tabletext9pt"/>
              <w:jc w:val="right"/>
            </w:pPr>
            <w:r>
              <w:t>2,721</w:t>
            </w:r>
          </w:p>
        </w:tc>
        <w:tc>
          <w:tcPr>
            <w:tcW w:w="1651" w:type="dxa"/>
          </w:tcPr>
          <w:p w14:paraId="7A09B7CE" w14:textId="77777777" w:rsidR="00D073DB" w:rsidRPr="00C127A3" w:rsidRDefault="00D073DB" w:rsidP="00001367">
            <w:pPr>
              <w:pStyle w:val="Tabletext9pt"/>
            </w:pPr>
          </w:p>
        </w:tc>
      </w:tr>
      <w:tr w:rsidR="00D073DB" w:rsidRPr="00C127A3" w14:paraId="00EC5C89" w14:textId="77777777" w:rsidTr="00685B35">
        <w:tc>
          <w:tcPr>
            <w:tcW w:w="3694" w:type="dxa"/>
          </w:tcPr>
          <w:p w14:paraId="00E5C536" w14:textId="77777777" w:rsidR="00D073DB" w:rsidRPr="00C127A3" w:rsidRDefault="00D073DB" w:rsidP="00001367">
            <w:pPr>
              <w:pStyle w:val="Tabletext9pt"/>
            </w:pPr>
            <w:r w:rsidRPr="31E98B47">
              <w:t>ACCO services – community alcohol and drug worker</w:t>
            </w:r>
          </w:p>
        </w:tc>
        <w:tc>
          <w:tcPr>
            <w:tcW w:w="2216" w:type="dxa"/>
          </w:tcPr>
          <w:p w14:paraId="09CB6B02" w14:textId="77777777" w:rsidR="00D073DB" w:rsidRPr="00C127A3" w:rsidRDefault="00D073DB" w:rsidP="00001367">
            <w:pPr>
              <w:pStyle w:val="Tabletext9pt"/>
            </w:pPr>
            <w:r w:rsidRPr="31E98B47">
              <w:t>Episodes of care</w:t>
            </w:r>
          </w:p>
        </w:tc>
        <w:tc>
          <w:tcPr>
            <w:tcW w:w="1738" w:type="dxa"/>
          </w:tcPr>
          <w:p w14:paraId="5BD4DCA8" w14:textId="2CF702B8" w:rsidR="00D073DB" w:rsidRPr="00C127A3" w:rsidRDefault="00CA2FD4" w:rsidP="00685B35">
            <w:pPr>
              <w:pStyle w:val="Tabletext9pt"/>
              <w:jc w:val="right"/>
            </w:pPr>
            <w:r>
              <w:t>2,418</w:t>
            </w:r>
          </w:p>
        </w:tc>
        <w:tc>
          <w:tcPr>
            <w:tcW w:w="1651" w:type="dxa"/>
          </w:tcPr>
          <w:p w14:paraId="1021EF77" w14:textId="77777777" w:rsidR="00D073DB" w:rsidRPr="00C127A3" w:rsidRDefault="00D073DB" w:rsidP="00001367">
            <w:pPr>
              <w:pStyle w:val="Tabletext9pt"/>
            </w:pPr>
          </w:p>
        </w:tc>
      </w:tr>
    </w:tbl>
    <w:p w14:paraId="32982696" w14:textId="72AABCE1" w:rsidR="000B27B9" w:rsidRDefault="000B27B9" w:rsidP="00081936">
      <w:pPr>
        <w:pStyle w:val="Heading3"/>
        <w:numPr>
          <w:ilvl w:val="2"/>
          <w:numId w:val="33"/>
        </w:numPr>
        <w:spacing w:before="240" w:line="240" w:lineRule="auto"/>
        <w:ind w:left="1134"/>
      </w:pPr>
      <w:bookmarkStart w:id="792" w:name="_Toc110950040"/>
      <w:bookmarkStart w:id="793" w:name="_Toc38365181"/>
      <w:bookmarkStart w:id="794" w:name="_Toc38365306"/>
      <w:bookmarkStart w:id="795" w:name="_Toc51058185"/>
      <w:bookmarkStart w:id="796" w:name="_Toc52898482"/>
      <w:bookmarkStart w:id="797" w:name="_Toc52899860"/>
      <w:bookmarkStart w:id="798" w:name="_Toc52901315"/>
      <w:bookmarkStart w:id="799" w:name="_Toc52902658"/>
      <w:bookmarkStart w:id="800" w:name="_Toc52904121"/>
      <w:bookmarkStart w:id="801" w:name="_Toc53059098"/>
      <w:bookmarkStart w:id="802" w:name="_Toc53060442"/>
      <w:bookmarkStart w:id="803" w:name="_Toc53061784"/>
      <w:bookmarkStart w:id="804" w:name="_Toc53063247"/>
      <w:bookmarkStart w:id="805" w:name="_Toc53064624"/>
      <w:bookmarkStart w:id="806" w:name="_Toc53066002"/>
      <w:bookmarkStart w:id="807" w:name="_Toc54261573"/>
      <w:bookmarkStart w:id="808" w:name="_Toc54615389"/>
      <w:bookmarkStart w:id="809" w:name="_Toc55380972"/>
      <w:bookmarkStart w:id="810" w:name="_Toc38365182"/>
      <w:bookmarkStart w:id="811" w:name="_Toc38365307"/>
      <w:bookmarkStart w:id="812" w:name="_Toc51058186"/>
      <w:bookmarkStart w:id="813" w:name="_Toc52898483"/>
      <w:bookmarkStart w:id="814" w:name="_Toc52899861"/>
      <w:bookmarkStart w:id="815" w:name="_Toc52901316"/>
      <w:bookmarkStart w:id="816" w:name="_Toc52902659"/>
      <w:bookmarkStart w:id="817" w:name="_Toc52904122"/>
      <w:bookmarkStart w:id="818" w:name="_Toc53059099"/>
      <w:bookmarkStart w:id="819" w:name="_Toc53060443"/>
      <w:bookmarkStart w:id="820" w:name="_Toc53061785"/>
      <w:bookmarkStart w:id="821" w:name="_Toc53063248"/>
      <w:bookmarkStart w:id="822" w:name="_Toc53064625"/>
      <w:bookmarkStart w:id="823" w:name="_Toc53066003"/>
      <w:bookmarkStart w:id="824" w:name="_Toc54261574"/>
      <w:bookmarkStart w:id="825" w:name="_Toc54615390"/>
      <w:bookmarkStart w:id="826" w:name="_Toc55380973"/>
      <w:bookmarkStart w:id="827" w:name="_Toc38365183"/>
      <w:bookmarkStart w:id="828" w:name="_Toc38365308"/>
      <w:bookmarkStart w:id="829" w:name="_Toc51058187"/>
      <w:bookmarkStart w:id="830" w:name="_Toc52898484"/>
      <w:bookmarkStart w:id="831" w:name="_Toc52899862"/>
      <w:bookmarkStart w:id="832" w:name="_Toc52901317"/>
      <w:bookmarkStart w:id="833" w:name="_Toc52902660"/>
      <w:bookmarkStart w:id="834" w:name="_Toc52904123"/>
      <w:bookmarkStart w:id="835" w:name="_Toc53059100"/>
      <w:bookmarkStart w:id="836" w:name="_Toc53060444"/>
      <w:bookmarkStart w:id="837" w:name="_Toc53061786"/>
      <w:bookmarkStart w:id="838" w:name="_Toc53063249"/>
      <w:bookmarkStart w:id="839" w:name="_Toc53064626"/>
      <w:bookmarkStart w:id="840" w:name="_Toc53066004"/>
      <w:bookmarkStart w:id="841" w:name="_Toc54261575"/>
      <w:bookmarkStart w:id="842" w:name="_Toc54615391"/>
      <w:bookmarkStart w:id="843" w:name="_Toc55380974"/>
      <w:bookmarkStart w:id="844" w:name="_Toc38365232"/>
      <w:bookmarkStart w:id="845" w:name="_Toc38365357"/>
      <w:bookmarkStart w:id="846" w:name="_Toc51058236"/>
      <w:bookmarkStart w:id="847" w:name="_Toc54261624"/>
      <w:bookmarkStart w:id="848" w:name="_Toc55381023"/>
      <w:bookmarkStart w:id="849" w:name="_Ref423020194"/>
      <w:bookmarkStart w:id="850" w:name="_Ref423020203"/>
      <w:bookmarkStart w:id="851" w:name="_Toc487742009"/>
      <w:bookmarkStart w:id="852" w:name="_Toc14172239"/>
      <w:bookmarkStart w:id="853" w:name="_Toc100263349"/>
      <w:bookmarkStart w:id="854" w:name="_Toc156569681"/>
      <w:bookmarkStart w:id="855" w:name="_Toc418694988"/>
      <w:bookmarkStart w:id="856" w:name="_Ref419741590"/>
      <w:bookmarkStart w:id="857" w:name="_Ref419741598"/>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r>
        <w:t xml:space="preserve">Ageing, </w:t>
      </w:r>
      <w:r w:rsidR="00D313FF">
        <w:t xml:space="preserve">aged </w:t>
      </w:r>
      <w:r>
        <w:t xml:space="preserve">and </w:t>
      </w:r>
      <w:r w:rsidR="00D313FF">
        <w:t xml:space="preserve">home </w:t>
      </w:r>
      <w:bookmarkEnd w:id="849"/>
      <w:bookmarkEnd w:id="850"/>
      <w:bookmarkEnd w:id="851"/>
      <w:bookmarkEnd w:id="852"/>
      <w:bookmarkEnd w:id="853"/>
      <w:r w:rsidR="00D313FF">
        <w:t>care</w:t>
      </w:r>
      <w:bookmarkEnd w:id="854"/>
    </w:p>
    <w:p w14:paraId="05BFEABC" w14:textId="17B27241" w:rsidR="00340749" w:rsidRDefault="00340749" w:rsidP="00340749">
      <w:pPr>
        <w:pStyle w:val="Tablecaption"/>
      </w:pPr>
      <w:bookmarkStart w:id="858" w:name="_Toc156568666"/>
      <w:bookmarkStart w:id="859" w:name="_Toc487742074"/>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23</w:t>
      </w:r>
      <w:r>
        <w:fldChar w:fldCharType="end"/>
      </w:r>
      <w:r>
        <w:t xml:space="preserve">: Ageing, aged and home care </w:t>
      </w:r>
      <w:r w:rsidRPr="005A35A1">
        <w:t>202</w:t>
      </w:r>
      <w:r>
        <w:t>3–</w:t>
      </w:r>
      <w:r w:rsidRPr="005A35A1">
        <w:t>2</w:t>
      </w:r>
      <w:r>
        <w:t>4</w:t>
      </w:r>
      <w:r>
        <w:rPr>
          <w:rStyle w:val="FootnoteReference"/>
        </w:rPr>
        <w:footnoteReference w:id="9"/>
      </w:r>
      <w:bookmarkEnd w:id="858"/>
    </w:p>
    <w:p w14:paraId="72601D55" w14:textId="5A04FE71" w:rsidR="00340749" w:rsidRPr="00340749" w:rsidRDefault="00340749" w:rsidP="00685B35">
      <w:pPr>
        <w:pStyle w:val="Body"/>
        <w:keepNext/>
        <w:spacing w:line="240" w:lineRule="auto"/>
      </w:pPr>
      <w:r>
        <w:rPr>
          <w:szCs w:val="18"/>
          <w:lang w:eastAsia="en-AU"/>
        </w:rPr>
        <w:t>Program area: Residential aged care</w:t>
      </w:r>
      <w:r>
        <w:rPr>
          <w:rStyle w:val="FootnoteReference"/>
          <w:szCs w:val="18"/>
          <w:lang w:eastAsia="en-AU"/>
        </w:rPr>
        <w:footnoteReference w:id="10"/>
      </w:r>
      <w:r>
        <w:rPr>
          <w:szCs w:val="18"/>
          <w:lang w:eastAsia="en-AU"/>
        </w:rPr>
        <w:t xml:space="preserve"> </w:t>
      </w:r>
      <w:r>
        <w:rPr>
          <w:szCs w:val="18"/>
        </w:rPr>
        <w:t>–</w:t>
      </w:r>
      <w:r>
        <w:rPr>
          <w:szCs w:val="18"/>
          <w:lang w:eastAsia="en-AU"/>
        </w:rPr>
        <w:t xml:space="preserve"> public sector residential aged care supplements</w:t>
      </w:r>
    </w:p>
    <w:tbl>
      <w:tblPr>
        <w:tblStyle w:val="TableGrid1"/>
        <w:tblW w:w="9359" w:type="dxa"/>
        <w:tblLook w:val="06A0" w:firstRow="1" w:lastRow="0" w:firstColumn="1" w:lastColumn="0" w:noHBand="1" w:noVBand="1"/>
      </w:tblPr>
      <w:tblGrid>
        <w:gridCol w:w="4815"/>
        <w:gridCol w:w="1843"/>
        <w:gridCol w:w="2689"/>
        <w:gridCol w:w="12"/>
      </w:tblGrid>
      <w:tr w:rsidR="002E0941" w14:paraId="6537974A"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28EF6C68" w14:textId="77777777" w:rsidR="002E0941" w:rsidRPr="00D313FF" w:rsidRDefault="002E0941" w:rsidP="00685B35">
            <w:pPr>
              <w:pStyle w:val="Tablecolhead"/>
            </w:pPr>
            <w:r w:rsidRPr="00D313FF">
              <w:t>Service</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041EA7CE" w14:textId="77777777" w:rsidR="002E0941" w:rsidRPr="00D313FF" w:rsidRDefault="002E0941" w:rsidP="00685B35">
            <w:pPr>
              <w:pStyle w:val="Tablecolhead"/>
            </w:pPr>
            <w:r w:rsidRPr="00D313FF">
              <w:t>Funded unit</w:t>
            </w:r>
          </w:p>
        </w:tc>
        <w:tc>
          <w:tcPr>
            <w:tcW w:w="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182B08" w14:textId="77777777" w:rsidR="002E0941" w:rsidRPr="00D313FF" w:rsidRDefault="002E0941" w:rsidP="00685B35">
            <w:pPr>
              <w:pStyle w:val="Tablecolhead"/>
            </w:pPr>
            <w:r w:rsidRPr="00D313FF">
              <w:t>Estimated unit price ($)</w:t>
            </w:r>
          </w:p>
        </w:tc>
      </w:tr>
      <w:tr w:rsidR="002E0941" w14:paraId="79CADF5E" w14:textId="77777777" w:rsidTr="00F2005B">
        <w:trPr>
          <w:cantSplit/>
        </w:trPr>
        <w:tc>
          <w:tcPr>
            <w:tcW w:w="4815" w:type="dxa"/>
            <w:tcBorders>
              <w:top w:val="single" w:sz="4" w:space="0" w:color="auto"/>
              <w:left w:val="single" w:sz="4" w:space="0" w:color="auto"/>
              <w:bottom w:val="single" w:sz="4" w:space="0" w:color="auto"/>
              <w:right w:val="single" w:sz="4" w:space="0" w:color="auto"/>
            </w:tcBorders>
            <w:hideMark/>
          </w:tcPr>
          <w:p w14:paraId="20B3D35E" w14:textId="34C2F480" w:rsidR="002E0941" w:rsidRDefault="002E0941" w:rsidP="00001367">
            <w:pPr>
              <w:pStyle w:val="Tabletext9pt"/>
              <w:rPr>
                <w:lang w:eastAsia="en-AU"/>
              </w:rPr>
            </w:pPr>
            <w:r>
              <w:rPr>
                <w:lang w:eastAsia="en-AU"/>
              </w:rPr>
              <w:t xml:space="preserve">Rural </w:t>
            </w:r>
            <w:r w:rsidR="00D313FF">
              <w:rPr>
                <w:lang w:eastAsia="en-AU"/>
              </w:rPr>
              <w:t>small high-care supplement</w:t>
            </w:r>
          </w:p>
          <w:p w14:paraId="2DC07CB0" w14:textId="77777777" w:rsidR="002E0941" w:rsidRDefault="002E0941" w:rsidP="00001367">
            <w:pPr>
              <w:pStyle w:val="Tabletext9pt"/>
              <w:rPr>
                <w:lang w:eastAsia="en-AU"/>
              </w:rPr>
            </w:pPr>
            <w:r>
              <w:rPr>
                <w:lang w:eastAsia="en-AU"/>
              </w:rPr>
              <w:t>1</w:t>
            </w:r>
            <w:r>
              <w:t>–</w:t>
            </w:r>
            <w:r>
              <w:rPr>
                <w:lang w:eastAsia="en-AU"/>
              </w:rPr>
              <w:t>10 places</w:t>
            </w:r>
          </w:p>
        </w:tc>
        <w:tc>
          <w:tcPr>
            <w:tcW w:w="1843" w:type="dxa"/>
            <w:tcBorders>
              <w:top w:val="single" w:sz="4" w:space="0" w:color="auto"/>
              <w:left w:val="single" w:sz="4" w:space="0" w:color="auto"/>
              <w:bottom w:val="single" w:sz="4" w:space="0" w:color="auto"/>
              <w:right w:val="single" w:sz="4" w:space="0" w:color="auto"/>
            </w:tcBorders>
            <w:hideMark/>
          </w:tcPr>
          <w:p w14:paraId="4C7C46FA" w14:textId="77777777" w:rsidR="002E0941" w:rsidRDefault="002E0941" w:rsidP="00001367">
            <w:pPr>
              <w:pStyle w:val="Tabletext9pt"/>
              <w:rPr>
                <w:lang w:eastAsia="en-AU"/>
              </w:rPr>
            </w:pPr>
            <w:r>
              <w:rPr>
                <w:lang w:eastAsia="en-AU"/>
              </w:rPr>
              <w:t>Bed day</w:t>
            </w:r>
          </w:p>
        </w:tc>
        <w:tc>
          <w:tcPr>
            <w:tcW w:w="2701" w:type="dxa"/>
            <w:gridSpan w:val="2"/>
            <w:tcBorders>
              <w:top w:val="single" w:sz="4" w:space="0" w:color="auto"/>
              <w:left w:val="single" w:sz="4" w:space="0" w:color="auto"/>
              <w:bottom w:val="single" w:sz="4" w:space="0" w:color="auto"/>
              <w:right w:val="single" w:sz="4" w:space="0" w:color="auto"/>
            </w:tcBorders>
            <w:hideMark/>
          </w:tcPr>
          <w:p w14:paraId="56BBB2E5" w14:textId="1DED5FEB" w:rsidR="002E0941" w:rsidRDefault="00575301" w:rsidP="00685B35">
            <w:pPr>
              <w:pStyle w:val="Tabletext9pt"/>
              <w:jc w:val="right"/>
              <w:rPr>
                <w:lang w:eastAsia="en-AU"/>
              </w:rPr>
            </w:pPr>
            <w:r>
              <w:rPr>
                <w:lang w:eastAsia="en-AU"/>
              </w:rPr>
              <w:t>11.65</w:t>
            </w:r>
          </w:p>
        </w:tc>
      </w:tr>
      <w:tr w:rsidR="002E0941" w14:paraId="5B6B8864" w14:textId="77777777" w:rsidTr="00F2005B">
        <w:trPr>
          <w:gridAfter w:val="1"/>
          <w:wAfter w:w="12" w:type="dxa"/>
          <w:cantSplit/>
        </w:trPr>
        <w:tc>
          <w:tcPr>
            <w:tcW w:w="4815" w:type="dxa"/>
            <w:tcBorders>
              <w:top w:val="single" w:sz="4" w:space="0" w:color="auto"/>
              <w:left w:val="single" w:sz="4" w:space="0" w:color="auto"/>
              <w:bottom w:val="single" w:sz="4" w:space="0" w:color="auto"/>
              <w:right w:val="single" w:sz="4" w:space="0" w:color="auto"/>
            </w:tcBorders>
            <w:hideMark/>
          </w:tcPr>
          <w:p w14:paraId="76E813BA" w14:textId="362A9112" w:rsidR="002E0941" w:rsidRDefault="002E0941" w:rsidP="00001367">
            <w:pPr>
              <w:pStyle w:val="Tabletext9pt"/>
              <w:rPr>
                <w:lang w:eastAsia="en-AU"/>
              </w:rPr>
            </w:pPr>
            <w:r>
              <w:rPr>
                <w:lang w:eastAsia="en-AU"/>
              </w:rPr>
              <w:t xml:space="preserve">Rural </w:t>
            </w:r>
            <w:r w:rsidR="00D313FF">
              <w:rPr>
                <w:lang w:eastAsia="en-AU"/>
              </w:rPr>
              <w:t>small high-care supplement</w:t>
            </w:r>
          </w:p>
          <w:p w14:paraId="4049CD11" w14:textId="77777777" w:rsidR="002E0941" w:rsidRDefault="002E0941" w:rsidP="00001367">
            <w:pPr>
              <w:pStyle w:val="Tabletext9pt"/>
              <w:rPr>
                <w:lang w:eastAsia="en-AU"/>
              </w:rPr>
            </w:pPr>
            <w:r>
              <w:rPr>
                <w:lang w:eastAsia="en-AU"/>
              </w:rPr>
              <w:t>11</w:t>
            </w:r>
            <w:r>
              <w:t>–</w:t>
            </w:r>
            <w:r>
              <w:rPr>
                <w:lang w:eastAsia="en-AU"/>
              </w:rPr>
              <w:t>20 places</w:t>
            </w:r>
          </w:p>
        </w:tc>
        <w:tc>
          <w:tcPr>
            <w:tcW w:w="1843" w:type="dxa"/>
            <w:tcBorders>
              <w:top w:val="single" w:sz="4" w:space="0" w:color="auto"/>
              <w:left w:val="single" w:sz="4" w:space="0" w:color="auto"/>
              <w:bottom w:val="single" w:sz="4" w:space="0" w:color="auto"/>
              <w:right w:val="single" w:sz="4" w:space="0" w:color="auto"/>
            </w:tcBorders>
            <w:hideMark/>
          </w:tcPr>
          <w:p w14:paraId="6A4CE0D0" w14:textId="77777777" w:rsidR="002E0941" w:rsidRDefault="002E0941" w:rsidP="00001367">
            <w:pPr>
              <w:pStyle w:val="Tabletext9pt"/>
              <w:rPr>
                <w:lang w:eastAsia="en-AU"/>
              </w:rPr>
            </w:pPr>
            <w:r>
              <w:rPr>
                <w:lang w:eastAsia="en-AU"/>
              </w:rPr>
              <w:t>Bed day</w:t>
            </w:r>
          </w:p>
        </w:tc>
        <w:tc>
          <w:tcPr>
            <w:tcW w:w="2689" w:type="dxa"/>
            <w:tcBorders>
              <w:top w:val="single" w:sz="4" w:space="0" w:color="auto"/>
              <w:left w:val="single" w:sz="4" w:space="0" w:color="auto"/>
              <w:bottom w:val="single" w:sz="4" w:space="0" w:color="auto"/>
              <w:right w:val="single" w:sz="4" w:space="0" w:color="auto"/>
            </w:tcBorders>
            <w:hideMark/>
          </w:tcPr>
          <w:p w14:paraId="22596B06" w14:textId="38720864" w:rsidR="002E0941" w:rsidRDefault="00A42D8A" w:rsidP="00685B35">
            <w:pPr>
              <w:pStyle w:val="Tabletext9pt"/>
              <w:jc w:val="right"/>
              <w:rPr>
                <w:lang w:eastAsia="en-AU"/>
              </w:rPr>
            </w:pPr>
            <w:r>
              <w:rPr>
                <w:lang w:eastAsia="en-AU"/>
              </w:rPr>
              <w:t>8.73</w:t>
            </w:r>
          </w:p>
        </w:tc>
      </w:tr>
      <w:tr w:rsidR="002E0941" w14:paraId="7A88EAE3" w14:textId="77777777" w:rsidTr="00F2005B">
        <w:trPr>
          <w:gridAfter w:val="1"/>
          <w:wAfter w:w="12" w:type="dxa"/>
          <w:cantSplit/>
        </w:trPr>
        <w:tc>
          <w:tcPr>
            <w:tcW w:w="4815" w:type="dxa"/>
            <w:tcBorders>
              <w:top w:val="single" w:sz="4" w:space="0" w:color="auto"/>
              <w:left w:val="single" w:sz="4" w:space="0" w:color="auto"/>
              <w:bottom w:val="single" w:sz="4" w:space="0" w:color="auto"/>
              <w:right w:val="single" w:sz="4" w:space="0" w:color="auto"/>
            </w:tcBorders>
            <w:hideMark/>
          </w:tcPr>
          <w:p w14:paraId="475C3B8B" w14:textId="1A0C1D5C" w:rsidR="002E0941" w:rsidRDefault="002E0941" w:rsidP="00001367">
            <w:pPr>
              <w:pStyle w:val="Tabletext9pt"/>
              <w:rPr>
                <w:lang w:eastAsia="en-AU"/>
              </w:rPr>
            </w:pPr>
            <w:r>
              <w:rPr>
                <w:lang w:eastAsia="en-AU"/>
              </w:rPr>
              <w:t xml:space="preserve">Rural </w:t>
            </w:r>
            <w:r w:rsidR="00D313FF">
              <w:rPr>
                <w:lang w:eastAsia="en-AU"/>
              </w:rPr>
              <w:t>small high-care supplement</w:t>
            </w:r>
          </w:p>
          <w:p w14:paraId="38652DD2" w14:textId="77777777" w:rsidR="002E0941" w:rsidRDefault="002E0941" w:rsidP="00001367">
            <w:pPr>
              <w:pStyle w:val="Tabletext9pt"/>
              <w:rPr>
                <w:lang w:eastAsia="en-AU"/>
              </w:rPr>
            </w:pPr>
            <w:r>
              <w:rPr>
                <w:lang w:eastAsia="en-AU"/>
              </w:rPr>
              <w:t>21</w:t>
            </w:r>
            <w:r>
              <w:t>–</w:t>
            </w:r>
            <w:r>
              <w:rPr>
                <w:lang w:eastAsia="en-AU"/>
              </w:rPr>
              <w:t>30 places</w:t>
            </w:r>
          </w:p>
        </w:tc>
        <w:tc>
          <w:tcPr>
            <w:tcW w:w="1843" w:type="dxa"/>
            <w:tcBorders>
              <w:top w:val="single" w:sz="4" w:space="0" w:color="auto"/>
              <w:left w:val="single" w:sz="4" w:space="0" w:color="auto"/>
              <w:bottom w:val="single" w:sz="4" w:space="0" w:color="auto"/>
              <w:right w:val="single" w:sz="4" w:space="0" w:color="auto"/>
            </w:tcBorders>
            <w:hideMark/>
          </w:tcPr>
          <w:p w14:paraId="1C9BA177" w14:textId="77777777" w:rsidR="002E0941" w:rsidRDefault="002E0941" w:rsidP="00001367">
            <w:pPr>
              <w:pStyle w:val="Tabletext9pt"/>
              <w:rPr>
                <w:lang w:eastAsia="en-AU"/>
              </w:rPr>
            </w:pPr>
            <w:r>
              <w:rPr>
                <w:lang w:eastAsia="en-AU"/>
              </w:rPr>
              <w:t>Bed day</w:t>
            </w:r>
          </w:p>
        </w:tc>
        <w:tc>
          <w:tcPr>
            <w:tcW w:w="2689" w:type="dxa"/>
            <w:tcBorders>
              <w:top w:val="single" w:sz="4" w:space="0" w:color="auto"/>
              <w:left w:val="single" w:sz="4" w:space="0" w:color="auto"/>
              <w:bottom w:val="single" w:sz="4" w:space="0" w:color="auto"/>
              <w:right w:val="single" w:sz="4" w:space="0" w:color="auto"/>
            </w:tcBorders>
            <w:hideMark/>
          </w:tcPr>
          <w:p w14:paraId="198E1359" w14:textId="09B8C13E" w:rsidR="002E0941" w:rsidRDefault="00B577FA" w:rsidP="00685B35">
            <w:pPr>
              <w:pStyle w:val="Tabletext9pt"/>
              <w:jc w:val="right"/>
              <w:rPr>
                <w:lang w:eastAsia="en-AU"/>
              </w:rPr>
            </w:pPr>
            <w:r>
              <w:rPr>
                <w:lang w:eastAsia="en-AU"/>
              </w:rPr>
              <w:t>7.29</w:t>
            </w:r>
          </w:p>
        </w:tc>
      </w:tr>
      <w:tr w:rsidR="002E0941" w14:paraId="0F0B044F" w14:textId="77777777" w:rsidTr="00F2005B">
        <w:trPr>
          <w:gridAfter w:val="1"/>
          <w:wAfter w:w="12" w:type="dxa"/>
          <w:cantSplit/>
        </w:trPr>
        <w:tc>
          <w:tcPr>
            <w:tcW w:w="4815" w:type="dxa"/>
            <w:tcBorders>
              <w:top w:val="single" w:sz="4" w:space="0" w:color="auto"/>
              <w:left w:val="single" w:sz="4" w:space="0" w:color="auto"/>
              <w:bottom w:val="single" w:sz="4" w:space="0" w:color="auto"/>
              <w:right w:val="single" w:sz="4" w:space="0" w:color="auto"/>
            </w:tcBorders>
            <w:hideMark/>
          </w:tcPr>
          <w:p w14:paraId="71A7F116" w14:textId="5DCF0047" w:rsidR="002E0941" w:rsidRDefault="002E0941" w:rsidP="00001367">
            <w:pPr>
              <w:pStyle w:val="Tabletext9pt"/>
              <w:rPr>
                <w:lang w:eastAsia="en-AU"/>
              </w:rPr>
            </w:pPr>
            <w:r>
              <w:rPr>
                <w:lang w:eastAsia="en-AU"/>
              </w:rPr>
              <w:t>Low</w:t>
            </w:r>
            <w:r w:rsidR="00D313FF">
              <w:rPr>
                <w:lang w:eastAsia="en-AU"/>
              </w:rPr>
              <w:t>-care supp</w:t>
            </w:r>
            <w:r>
              <w:rPr>
                <w:lang w:eastAsia="en-AU"/>
              </w:rPr>
              <w:t>lement</w:t>
            </w:r>
            <w:r>
              <w:rPr>
                <w:rStyle w:val="FootnoteReference"/>
                <w:szCs w:val="18"/>
                <w:lang w:eastAsia="en-AU"/>
              </w:rPr>
              <w:footnoteReference w:id="11"/>
            </w:r>
          </w:p>
        </w:tc>
        <w:tc>
          <w:tcPr>
            <w:tcW w:w="1843" w:type="dxa"/>
            <w:tcBorders>
              <w:top w:val="single" w:sz="4" w:space="0" w:color="auto"/>
              <w:left w:val="single" w:sz="4" w:space="0" w:color="auto"/>
              <w:bottom w:val="single" w:sz="4" w:space="0" w:color="auto"/>
              <w:right w:val="single" w:sz="4" w:space="0" w:color="auto"/>
            </w:tcBorders>
            <w:hideMark/>
          </w:tcPr>
          <w:p w14:paraId="52D8C51D" w14:textId="77777777" w:rsidR="002E0941" w:rsidRDefault="002E0941" w:rsidP="00001367">
            <w:pPr>
              <w:pStyle w:val="Tabletext9pt"/>
              <w:rPr>
                <w:lang w:eastAsia="en-AU"/>
              </w:rPr>
            </w:pPr>
            <w:r>
              <w:rPr>
                <w:lang w:eastAsia="en-AU"/>
              </w:rPr>
              <w:t>Bed day</w:t>
            </w:r>
          </w:p>
        </w:tc>
        <w:tc>
          <w:tcPr>
            <w:tcW w:w="2689" w:type="dxa"/>
            <w:tcBorders>
              <w:top w:val="single" w:sz="4" w:space="0" w:color="auto"/>
              <w:left w:val="single" w:sz="4" w:space="0" w:color="auto"/>
              <w:bottom w:val="single" w:sz="4" w:space="0" w:color="auto"/>
              <w:right w:val="single" w:sz="4" w:space="0" w:color="auto"/>
            </w:tcBorders>
            <w:hideMark/>
          </w:tcPr>
          <w:p w14:paraId="610EC792" w14:textId="3EA39127" w:rsidR="002E0941" w:rsidRDefault="00A97BFD" w:rsidP="00685B35">
            <w:pPr>
              <w:pStyle w:val="Tabletext9pt"/>
              <w:jc w:val="right"/>
              <w:rPr>
                <w:lang w:eastAsia="en-AU"/>
              </w:rPr>
            </w:pPr>
            <w:r>
              <w:rPr>
                <w:lang w:eastAsia="en-AU"/>
              </w:rPr>
              <w:t>6.67</w:t>
            </w:r>
          </w:p>
        </w:tc>
      </w:tr>
      <w:tr w:rsidR="002E0941" w14:paraId="111FF7A5" w14:textId="77777777" w:rsidTr="00F2005B">
        <w:trPr>
          <w:gridAfter w:val="1"/>
          <w:wAfter w:w="12" w:type="dxa"/>
          <w:cantSplit/>
        </w:trPr>
        <w:tc>
          <w:tcPr>
            <w:tcW w:w="4815" w:type="dxa"/>
            <w:tcBorders>
              <w:top w:val="single" w:sz="4" w:space="0" w:color="auto"/>
              <w:left w:val="single" w:sz="4" w:space="0" w:color="auto"/>
              <w:bottom w:val="single" w:sz="4" w:space="0" w:color="auto"/>
              <w:right w:val="single" w:sz="4" w:space="0" w:color="auto"/>
            </w:tcBorders>
            <w:hideMark/>
          </w:tcPr>
          <w:p w14:paraId="34B0FD21" w14:textId="694A83EC" w:rsidR="002E0941" w:rsidRDefault="002E0941" w:rsidP="00001367">
            <w:pPr>
              <w:pStyle w:val="Tabletext9pt"/>
              <w:rPr>
                <w:lang w:eastAsia="en-AU"/>
              </w:rPr>
            </w:pPr>
            <w:r>
              <w:rPr>
                <w:lang w:eastAsia="en-AU"/>
              </w:rPr>
              <w:lastRenderedPageBreak/>
              <w:t>High</w:t>
            </w:r>
            <w:r w:rsidR="00556817">
              <w:rPr>
                <w:lang w:eastAsia="en-AU"/>
              </w:rPr>
              <w:t>-</w:t>
            </w:r>
            <w:r w:rsidR="00D313FF">
              <w:rPr>
                <w:lang w:eastAsia="en-AU"/>
              </w:rPr>
              <w:t>care supplement</w:t>
            </w:r>
          </w:p>
        </w:tc>
        <w:tc>
          <w:tcPr>
            <w:tcW w:w="1843" w:type="dxa"/>
            <w:tcBorders>
              <w:top w:val="single" w:sz="4" w:space="0" w:color="auto"/>
              <w:left w:val="single" w:sz="4" w:space="0" w:color="auto"/>
              <w:bottom w:val="single" w:sz="4" w:space="0" w:color="auto"/>
              <w:right w:val="single" w:sz="4" w:space="0" w:color="auto"/>
            </w:tcBorders>
            <w:hideMark/>
          </w:tcPr>
          <w:p w14:paraId="04EB97D6" w14:textId="77777777" w:rsidR="002E0941" w:rsidRDefault="002E0941" w:rsidP="00001367">
            <w:pPr>
              <w:pStyle w:val="Tabletext9pt"/>
              <w:rPr>
                <w:lang w:eastAsia="en-AU"/>
              </w:rPr>
            </w:pPr>
            <w:r>
              <w:rPr>
                <w:lang w:eastAsia="en-AU"/>
              </w:rPr>
              <w:t>Bed day</w:t>
            </w:r>
          </w:p>
        </w:tc>
        <w:tc>
          <w:tcPr>
            <w:tcW w:w="2689" w:type="dxa"/>
            <w:tcBorders>
              <w:top w:val="single" w:sz="4" w:space="0" w:color="auto"/>
              <w:left w:val="single" w:sz="4" w:space="0" w:color="auto"/>
              <w:bottom w:val="single" w:sz="4" w:space="0" w:color="auto"/>
              <w:right w:val="single" w:sz="4" w:space="0" w:color="auto"/>
            </w:tcBorders>
            <w:hideMark/>
          </w:tcPr>
          <w:p w14:paraId="5D2C8CBC" w14:textId="240462C1" w:rsidR="002E0941" w:rsidRDefault="00823022" w:rsidP="00685B35">
            <w:pPr>
              <w:pStyle w:val="Tabletext9pt"/>
              <w:jc w:val="right"/>
              <w:rPr>
                <w:lang w:eastAsia="en-AU"/>
              </w:rPr>
            </w:pPr>
            <w:r>
              <w:rPr>
                <w:lang w:eastAsia="en-AU"/>
              </w:rPr>
              <w:t>72.07</w:t>
            </w:r>
          </w:p>
        </w:tc>
      </w:tr>
      <w:tr w:rsidR="002E0941" w14:paraId="7B89752C" w14:textId="77777777" w:rsidTr="00F2005B">
        <w:trPr>
          <w:gridAfter w:val="1"/>
          <w:wAfter w:w="12" w:type="dxa"/>
          <w:cantSplit/>
        </w:trPr>
        <w:tc>
          <w:tcPr>
            <w:tcW w:w="4815" w:type="dxa"/>
            <w:tcBorders>
              <w:top w:val="single" w:sz="4" w:space="0" w:color="auto"/>
              <w:left w:val="single" w:sz="4" w:space="0" w:color="auto"/>
              <w:bottom w:val="single" w:sz="4" w:space="0" w:color="auto"/>
              <w:right w:val="single" w:sz="4" w:space="0" w:color="auto"/>
            </w:tcBorders>
            <w:hideMark/>
          </w:tcPr>
          <w:p w14:paraId="126C2546" w14:textId="5ED0CD73" w:rsidR="002E0941" w:rsidRDefault="002E0941" w:rsidP="00001367">
            <w:pPr>
              <w:pStyle w:val="Tabletext9pt"/>
              <w:rPr>
                <w:lang w:eastAsia="en-AU"/>
              </w:rPr>
            </w:pPr>
            <w:r>
              <w:rPr>
                <w:lang w:eastAsia="en-AU"/>
              </w:rPr>
              <w:t xml:space="preserve">Public </w:t>
            </w:r>
            <w:r w:rsidR="00D313FF">
              <w:rPr>
                <w:lang w:eastAsia="en-AU"/>
              </w:rPr>
              <w:t>sector residential aged care supplement</w:t>
            </w:r>
          </w:p>
        </w:tc>
        <w:tc>
          <w:tcPr>
            <w:tcW w:w="1843" w:type="dxa"/>
            <w:tcBorders>
              <w:top w:val="single" w:sz="4" w:space="0" w:color="auto"/>
              <w:left w:val="single" w:sz="4" w:space="0" w:color="auto"/>
              <w:bottom w:val="single" w:sz="4" w:space="0" w:color="auto"/>
              <w:right w:val="single" w:sz="4" w:space="0" w:color="auto"/>
            </w:tcBorders>
            <w:hideMark/>
          </w:tcPr>
          <w:p w14:paraId="59DEA7F9" w14:textId="77777777" w:rsidR="002E0941" w:rsidRDefault="002E0941" w:rsidP="00001367">
            <w:pPr>
              <w:pStyle w:val="Tabletext9pt"/>
              <w:rPr>
                <w:lang w:eastAsia="en-AU"/>
              </w:rPr>
            </w:pPr>
            <w:r>
              <w:rPr>
                <w:lang w:eastAsia="en-AU"/>
              </w:rPr>
              <w:t>Bed day</w:t>
            </w:r>
          </w:p>
        </w:tc>
        <w:tc>
          <w:tcPr>
            <w:tcW w:w="2689" w:type="dxa"/>
            <w:tcBorders>
              <w:top w:val="single" w:sz="4" w:space="0" w:color="auto"/>
              <w:left w:val="single" w:sz="4" w:space="0" w:color="auto"/>
              <w:bottom w:val="single" w:sz="4" w:space="0" w:color="auto"/>
              <w:right w:val="single" w:sz="4" w:space="0" w:color="auto"/>
            </w:tcBorders>
            <w:hideMark/>
          </w:tcPr>
          <w:p w14:paraId="4DDEE87A" w14:textId="6B13CEFC" w:rsidR="002E0941" w:rsidRDefault="002E0941" w:rsidP="00685B35">
            <w:pPr>
              <w:pStyle w:val="Tabletext9pt"/>
              <w:jc w:val="right"/>
              <w:rPr>
                <w:lang w:eastAsia="en-AU"/>
              </w:rPr>
            </w:pPr>
            <w:r>
              <w:t>13.</w:t>
            </w:r>
            <w:r w:rsidR="00B64ED5">
              <w:t>98</w:t>
            </w:r>
          </w:p>
        </w:tc>
      </w:tr>
      <w:tr w:rsidR="002E0941" w14:paraId="337C8E4E" w14:textId="77777777" w:rsidTr="00F2005B">
        <w:trPr>
          <w:gridAfter w:val="1"/>
          <w:wAfter w:w="12" w:type="dxa"/>
          <w:cantSplit/>
        </w:trPr>
        <w:tc>
          <w:tcPr>
            <w:tcW w:w="4815" w:type="dxa"/>
            <w:tcBorders>
              <w:top w:val="single" w:sz="4" w:space="0" w:color="auto"/>
              <w:left w:val="single" w:sz="4" w:space="0" w:color="auto"/>
              <w:bottom w:val="single" w:sz="4" w:space="0" w:color="auto"/>
              <w:right w:val="single" w:sz="4" w:space="0" w:color="auto"/>
            </w:tcBorders>
            <w:hideMark/>
          </w:tcPr>
          <w:p w14:paraId="6361058E" w14:textId="1AA07FA3" w:rsidR="002E0941" w:rsidRDefault="002E0941" w:rsidP="00001367">
            <w:pPr>
              <w:pStyle w:val="Tabletext9pt"/>
              <w:rPr>
                <w:lang w:eastAsia="en-AU"/>
              </w:rPr>
            </w:pPr>
            <w:r>
              <w:rPr>
                <w:lang w:eastAsia="en-AU"/>
              </w:rPr>
              <w:t xml:space="preserve">Complex </w:t>
            </w:r>
            <w:r w:rsidR="00D313FF">
              <w:rPr>
                <w:lang w:eastAsia="en-AU"/>
              </w:rPr>
              <w:t>care supplement</w:t>
            </w:r>
          </w:p>
        </w:tc>
        <w:tc>
          <w:tcPr>
            <w:tcW w:w="1843" w:type="dxa"/>
            <w:tcBorders>
              <w:top w:val="single" w:sz="4" w:space="0" w:color="auto"/>
              <w:left w:val="single" w:sz="4" w:space="0" w:color="auto"/>
              <w:bottom w:val="single" w:sz="4" w:space="0" w:color="auto"/>
              <w:right w:val="single" w:sz="4" w:space="0" w:color="auto"/>
            </w:tcBorders>
            <w:hideMark/>
          </w:tcPr>
          <w:p w14:paraId="1C1EFA12" w14:textId="77777777" w:rsidR="002E0941" w:rsidRDefault="002E0941" w:rsidP="00001367">
            <w:pPr>
              <w:pStyle w:val="Tabletext9pt"/>
              <w:rPr>
                <w:lang w:eastAsia="en-AU"/>
              </w:rPr>
            </w:pPr>
            <w:r>
              <w:rPr>
                <w:lang w:eastAsia="en-AU"/>
              </w:rPr>
              <w:t>Bed day</w:t>
            </w:r>
          </w:p>
        </w:tc>
        <w:tc>
          <w:tcPr>
            <w:tcW w:w="2689" w:type="dxa"/>
            <w:tcBorders>
              <w:top w:val="single" w:sz="4" w:space="0" w:color="auto"/>
              <w:left w:val="single" w:sz="4" w:space="0" w:color="auto"/>
              <w:bottom w:val="single" w:sz="4" w:space="0" w:color="auto"/>
              <w:right w:val="single" w:sz="4" w:space="0" w:color="auto"/>
            </w:tcBorders>
            <w:hideMark/>
          </w:tcPr>
          <w:p w14:paraId="6B6C4413" w14:textId="4DA64DFA" w:rsidR="002E0941" w:rsidRDefault="007958C6" w:rsidP="00685B35">
            <w:pPr>
              <w:pStyle w:val="Tabletext9pt"/>
              <w:jc w:val="right"/>
              <w:rPr>
                <w:lang w:eastAsia="en-AU"/>
              </w:rPr>
            </w:pPr>
            <w:r>
              <w:rPr>
                <w:lang w:eastAsia="en-AU"/>
              </w:rPr>
              <w:t>43.72</w:t>
            </w:r>
            <w:r w:rsidR="002E0941">
              <w:rPr>
                <w:lang w:eastAsia="en-AU"/>
              </w:rPr>
              <w:t xml:space="preserve"> </w:t>
            </w:r>
          </w:p>
        </w:tc>
      </w:tr>
    </w:tbl>
    <w:p w14:paraId="4C6C147C" w14:textId="44F31CD0" w:rsidR="002E0941" w:rsidRDefault="002E0941" w:rsidP="002E0941">
      <w:pPr>
        <w:pStyle w:val="Bodyaftertablefigure"/>
        <w:keepNext/>
        <w:keepLines/>
        <w:spacing w:line="240" w:lineRule="auto"/>
      </w:pPr>
      <w:r>
        <w:rPr>
          <w:lang w:eastAsia="en-AU"/>
        </w:rPr>
        <w:t xml:space="preserve">Program area: </w:t>
      </w:r>
      <w:r w:rsidR="00D135B9" w:rsidRPr="00204BA0">
        <w:t>Home and Community Care Program for Younger</w:t>
      </w:r>
      <w:r w:rsidR="00D135B9">
        <w:t xml:space="preserve"> People</w:t>
      </w:r>
    </w:p>
    <w:tbl>
      <w:tblPr>
        <w:tblStyle w:val="TableGrid1"/>
        <w:tblW w:w="9359" w:type="dxa"/>
        <w:tblLook w:val="06A0" w:firstRow="1" w:lastRow="0" w:firstColumn="1" w:lastColumn="0" w:noHBand="1" w:noVBand="1"/>
      </w:tblPr>
      <w:tblGrid>
        <w:gridCol w:w="4815"/>
        <w:gridCol w:w="1843"/>
        <w:gridCol w:w="2701"/>
      </w:tblGrid>
      <w:tr w:rsidR="002E0941" w14:paraId="4FA970DF"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695AC431" w14:textId="77777777" w:rsidR="002E0941" w:rsidRDefault="002E0941" w:rsidP="00685B35">
            <w:pPr>
              <w:pStyle w:val="Tablecolhead"/>
              <w:rPr>
                <w:szCs w:val="18"/>
              </w:rPr>
            </w:pPr>
            <w:r>
              <w:t>Service</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5A258243" w14:textId="77777777" w:rsidR="002E0941" w:rsidRDefault="002E0941" w:rsidP="00685B35">
            <w:pPr>
              <w:pStyle w:val="Tablecolhead"/>
              <w:rPr>
                <w:szCs w:val="18"/>
              </w:rPr>
            </w:pPr>
            <w:r>
              <w:t>Funded unit</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6C0324D8" w14:textId="77777777" w:rsidR="002E0941" w:rsidRDefault="002E0941" w:rsidP="00685B35">
            <w:pPr>
              <w:pStyle w:val="Tablecolhead"/>
              <w:rPr>
                <w:szCs w:val="18"/>
              </w:rPr>
            </w:pPr>
            <w:r>
              <w:t>Estimated unit price ($)</w:t>
            </w:r>
          </w:p>
        </w:tc>
      </w:tr>
      <w:tr w:rsidR="002E0941" w14:paraId="06864078" w14:textId="77777777" w:rsidTr="00F2005B">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5C0556" w14:textId="77777777" w:rsidR="002E0941" w:rsidRPr="00001367" w:rsidRDefault="002E0941" w:rsidP="00001367">
            <w:pPr>
              <w:pStyle w:val="Tabletext9pt"/>
            </w:pPr>
            <w:r w:rsidRPr="00001367">
              <w:t>HACC-PYP Access and Support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45846B" w14:textId="77777777" w:rsidR="002E0941" w:rsidRPr="00001367" w:rsidRDefault="002E0941" w:rsidP="00001367">
            <w:pPr>
              <w:pStyle w:val="Tabletext9pt"/>
            </w:pPr>
            <w:r w:rsidRPr="00001367">
              <w:t>Hour</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8F5BDFB" w14:textId="000A50C8" w:rsidR="002E0941" w:rsidRPr="00001367" w:rsidRDefault="00683170" w:rsidP="00685B35">
            <w:pPr>
              <w:pStyle w:val="Tabletext9pt"/>
              <w:jc w:val="right"/>
            </w:pPr>
            <w:r w:rsidRPr="00001367">
              <w:t>76.42</w:t>
            </w:r>
          </w:p>
        </w:tc>
      </w:tr>
      <w:tr w:rsidR="002E0941" w14:paraId="34832460" w14:textId="77777777" w:rsidTr="00F2005B">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63FFDA" w14:textId="77777777" w:rsidR="002E0941" w:rsidRPr="00001367" w:rsidRDefault="002E0941" w:rsidP="00001367">
            <w:pPr>
              <w:pStyle w:val="Tabletext9pt"/>
            </w:pPr>
            <w:r w:rsidRPr="00001367">
              <w:t>HACC-PYP Assessment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5B3A3F" w14:textId="77777777" w:rsidR="002E0941" w:rsidRPr="00001367" w:rsidRDefault="002E0941" w:rsidP="00001367">
            <w:pPr>
              <w:pStyle w:val="Tabletext9pt"/>
            </w:pPr>
            <w:r w:rsidRPr="00001367">
              <w:t>Hour</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0D63385" w14:textId="2482732E" w:rsidR="002E0941" w:rsidRPr="00001367" w:rsidRDefault="003276E7" w:rsidP="00685B35">
            <w:pPr>
              <w:pStyle w:val="Tabletext9pt"/>
              <w:jc w:val="right"/>
            </w:pPr>
            <w:r w:rsidRPr="00001367">
              <w:t>104.01</w:t>
            </w:r>
          </w:p>
        </w:tc>
      </w:tr>
      <w:tr w:rsidR="002E0941" w14:paraId="1D0A5DDD" w14:textId="77777777" w:rsidTr="00F2005B">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17440C" w14:textId="77777777" w:rsidR="002E0941" w:rsidRPr="00001367" w:rsidRDefault="002E0941" w:rsidP="00001367">
            <w:pPr>
              <w:pStyle w:val="Tabletext9pt"/>
            </w:pPr>
            <w:r w:rsidRPr="00001367">
              <w:t>HACC-PYP Counselling</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9A4A80" w14:textId="77777777" w:rsidR="002E0941" w:rsidRPr="00001367" w:rsidRDefault="002E0941" w:rsidP="00001367">
            <w:pPr>
              <w:pStyle w:val="Tabletext9pt"/>
            </w:pPr>
            <w:r w:rsidRPr="00001367">
              <w:t>Hour</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B28F34A" w14:textId="3B8984CD" w:rsidR="002E0941" w:rsidRPr="00001367" w:rsidRDefault="001846E4" w:rsidP="00685B35">
            <w:pPr>
              <w:pStyle w:val="Tabletext9pt"/>
              <w:jc w:val="right"/>
            </w:pPr>
            <w:r w:rsidRPr="00001367">
              <w:t>113.48</w:t>
            </w:r>
          </w:p>
        </w:tc>
      </w:tr>
      <w:tr w:rsidR="002E0941" w14:paraId="4B83728D" w14:textId="77777777" w:rsidTr="00F2005B">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BFA40E" w14:textId="77777777" w:rsidR="002E0941" w:rsidRDefault="002E0941">
            <w:pPr>
              <w:pStyle w:val="Tabletext9pt"/>
            </w:pPr>
            <w:r>
              <w:t>HACC-PYP Delivered Meals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56C7A" w14:textId="77777777" w:rsidR="002E0941" w:rsidRDefault="002E0941">
            <w:pPr>
              <w:pStyle w:val="Tabletext9pt"/>
            </w:pPr>
            <w:r>
              <w:rPr>
                <w:szCs w:val="20"/>
              </w:rPr>
              <w:t>Meal</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B1F516D" w14:textId="25B88531" w:rsidR="002E0941" w:rsidRDefault="004944A5">
            <w:pPr>
              <w:pStyle w:val="Tabletext9pt"/>
              <w:jc w:val="right"/>
            </w:pPr>
            <w:r>
              <w:t>3.77</w:t>
            </w:r>
          </w:p>
        </w:tc>
      </w:tr>
      <w:tr w:rsidR="002E0941" w14:paraId="0781CEDF" w14:textId="77777777" w:rsidTr="00F2005B">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E6EA8" w14:textId="77777777" w:rsidR="002E0941" w:rsidRDefault="002E0941">
            <w:pPr>
              <w:pStyle w:val="Tabletext9pt"/>
            </w:pPr>
            <w:r>
              <w:t>HACC-PYP Dietetics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77D7EE" w14:textId="77777777" w:rsidR="002E0941" w:rsidRDefault="002E0941">
            <w:pPr>
              <w:pStyle w:val="Tabletext9pt"/>
            </w:pPr>
            <w:r>
              <w:rPr>
                <w:szCs w:val="20"/>
              </w:rPr>
              <w:t>Hour</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A3A872" w14:textId="32DA5EAD" w:rsidR="002E0941" w:rsidRDefault="00EA106D">
            <w:pPr>
              <w:pStyle w:val="Tabletext9pt"/>
              <w:jc w:val="right"/>
            </w:pPr>
            <w:r>
              <w:t>113.48</w:t>
            </w:r>
          </w:p>
        </w:tc>
      </w:tr>
      <w:tr w:rsidR="002E0941" w14:paraId="37E4DDE0" w14:textId="77777777" w:rsidTr="00F2005B">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E9EFFF" w14:textId="77777777" w:rsidR="002E0941" w:rsidRDefault="002E0941">
            <w:pPr>
              <w:pStyle w:val="Tabletext9pt"/>
            </w:pPr>
            <w:r>
              <w:t>HACC-PYP Community Care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A8B8D8" w14:textId="77777777" w:rsidR="002E0941" w:rsidRDefault="002E0941">
            <w:pPr>
              <w:pStyle w:val="Tabletext9pt"/>
            </w:pPr>
            <w:r>
              <w:rPr>
                <w:szCs w:val="20"/>
              </w:rPr>
              <w:t>Hour</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9C7FA94" w14:textId="7E6EDD53" w:rsidR="002E0941" w:rsidRDefault="003B051E">
            <w:pPr>
              <w:pStyle w:val="Tabletext9pt"/>
              <w:jc w:val="right"/>
            </w:pPr>
            <w:r>
              <w:t>52.42</w:t>
            </w:r>
          </w:p>
        </w:tc>
      </w:tr>
      <w:tr w:rsidR="002E0941" w14:paraId="58674746" w14:textId="77777777" w:rsidTr="00F2005B">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20B99B" w14:textId="77777777" w:rsidR="002E0941" w:rsidRDefault="002E0941">
            <w:pPr>
              <w:pStyle w:val="Tabletext9pt"/>
            </w:pPr>
            <w:r>
              <w:t>HACC-PYP Nursing</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D6A58" w14:textId="77777777" w:rsidR="002E0941" w:rsidRDefault="002E0941">
            <w:pPr>
              <w:pStyle w:val="Tabletext9pt"/>
            </w:pPr>
            <w:r>
              <w:rPr>
                <w:szCs w:val="20"/>
              </w:rPr>
              <w:t>Hour</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2656F30" w14:textId="7E2DA81E" w:rsidR="002E0941" w:rsidRDefault="003B051E">
            <w:pPr>
              <w:pStyle w:val="Tabletext9pt"/>
              <w:jc w:val="right"/>
            </w:pPr>
            <w:r>
              <w:t>104.01</w:t>
            </w:r>
          </w:p>
        </w:tc>
      </w:tr>
      <w:tr w:rsidR="002E0941" w14:paraId="05249163" w14:textId="77777777" w:rsidTr="00F2005B">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26232C" w14:textId="77777777" w:rsidR="002E0941" w:rsidRDefault="002E0941">
            <w:pPr>
              <w:pStyle w:val="Tabletext9pt"/>
            </w:pPr>
            <w:r>
              <w:t>HACC-PYP Occupational Therapy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200131" w14:textId="77777777" w:rsidR="002E0941" w:rsidRDefault="002E0941">
            <w:pPr>
              <w:pStyle w:val="Tabletext9pt"/>
            </w:pPr>
            <w:r>
              <w:rPr>
                <w:szCs w:val="20"/>
              </w:rPr>
              <w:t>Hour</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DA5CBC" w14:textId="3897878D" w:rsidR="002E0941" w:rsidRDefault="00663296">
            <w:pPr>
              <w:pStyle w:val="Tabletext9pt"/>
              <w:jc w:val="right"/>
            </w:pPr>
            <w:r>
              <w:t>113.48</w:t>
            </w:r>
          </w:p>
        </w:tc>
      </w:tr>
      <w:tr w:rsidR="002E0941" w14:paraId="66E06324" w14:textId="77777777" w:rsidTr="00F2005B">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EA2475" w14:textId="77777777" w:rsidR="002E0941" w:rsidRDefault="002E0941">
            <w:pPr>
              <w:pStyle w:val="Tabletext9pt"/>
            </w:pPr>
            <w:r>
              <w:t>HACC-PYP Physiotherapy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857DC3" w14:textId="77777777" w:rsidR="002E0941" w:rsidRDefault="002E0941">
            <w:pPr>
              <w:pStyle w:val="Tabletext9pt"/>
            </w:pPr>
            <w:r>
              <w:rPr>
                <w:szCs w:val="20"/>
              </w:rPr>
              <w:t>Hour</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F3672D5" w14:textId="2838016B" w:rsidR="002E0941" w:rsidRDefault="00570917">
            <w:pPr>
              <w:pStyle w:val="Tabletext9pt"/>
              <w:jc w:val="right"/>
            </w:pPr>
            <w:r>
              <w:t>113.48</w:t>
            </w:r>
          </w:p>
        </w:tc>
      </w:tr>
      <w:tr w:rsidR="002E0941" w14:paraId="04C16636" w14:textId="77777777" w:rsidTr="00F2005B">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84F64" w14:textId="77777777" w:rsidR="002E0941" w:rsidRDefault="002E0941">
            <w:pPr>
              <w:pStyle w:val="Tabletext9pt"/>
            </w:pPr>
            <w:r>
              <w:t>HACC-PYP Planned Activity Group</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1A9E12" w14:textId="77777777" w:rsidR="002E0941" w:rsidRDefault="002E0941">
            <w:pPr>
              <w:pStyle w:val="Tabletext9pt"/>
            </w:pPr>
            <w:r>
              <w:rPr>
                <w:szCs w:val="20"/>
              </w:rPr>
              <w:t>Per person</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2F0435" w14:textId="079B2D82" w:rsidR="002E0941" w:rsidRDefault="009F60EF">
            <w:pPr>
              <w:pStyle w:val="Tabletext9pt"/>
              <w:jc w:val="right"/>
            </w:pPr>
            <w:r>
              <w:t>18.03</w:t>
            </w:r>
          </w:p>
        </w:tc>
      </w:tr>
      <w:tr w:rsidR="002E0941" w14:paraId="78BEF01B" w14:textId="77777777" w:rsidTr="00F2005B">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7AC9F6" w14:textId="77777777" w:rsidR="002E0941" w:rsidRDefault="002E0941">
            <w:pPr>
              <w:pStyle w:val="Tabletext9pt"/>
            </w:pPr>
            <w:r>
              <w:rPr>
                <w:szCs w:val="20"/>
              </w:rPr>
              <w:t>HACC-PYP Podiatry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A29984" w14:textId="77777777" w:rsidR="002E0941" w:rsidRDefault="002E0941">
            <w:pPr>
              <w:pStyle w:val="Tabletext9pt"/>
            </w:pPr>
            <w:r>
              <w:rPr>
                <w:szCs w:val="20"/>
              </w:rPr>
              <w:t>Hour</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E82ACE" w14:textId="672D7A37" w:rsidR="002E0941" w:rsidRDefault="00663296">
            <w:pPr>
              <w:pStyle w:val="Tabletext9pt"/>
              <w:jc w:val="right"/>
            </w:pPr>
            <w:r>
              <w:t>113.48</w:t>
            </w:r>
          </w:p>
        </w:tc>
      </w:tr>
      <w:tr w:rsidR="002E0941" w14:paraId="36EA5BCD" w14:textId="77777777" w:rsidTr="00F2005B">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0E42C1" w14:textId="77777777" w:rsidR="002E0941" w:rsidRDefault="002E0941">
            <w:pPr>
              <w:pStyle w:val="Tabletext9pt"/>
            </w:pPr>
            <w:r>
              <w:rPr>
                <w:szCs w:val="20"/>
              </w:rPr>
              <w:t>HACC-PYP Property Maintenance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23C532" w14:textId="77777777" w:rsidR="002E0941" w:rsidRDefault="002E0941">
            <w:pPr>
              <w:pStyle w:val="Tabletext9pt"/>
            </w:pPr>
            <w:r>
              <w:rPr>
                <w:szCs w:val="20"/>
              </w:rPr>
              <w:t>Hour</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D50FC42" w14:textId="56B66D57" w:rsidR="002E0941" w:rsidRDefault="00022E57">
            <w:pPr>
              <w:pStyle w:val="Tabletext9pt"/>
              <w:jc w:val="right"/>
            </w:pPr>
            <w:r>
              <w:t>54.36</w:t>
            </w:r>
          </w:p>
        </w:tc>
      </w:tr>
      <w:tr w:rsidR="002E0941" w14:paraId="2AB791E3" w14:textId="77777777" w:rsidTr="00F2005B">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D0898F" w14:textId="77777777" w:rsidR="002E0941" w:rsidRDefault="002E0941">
            <w:pPr>
              <w:pStyle w:val="Tabletext9pt"/>
            </w:pPr>
            <w:r>
              <w:rPr>
                <w:szCs w:val="20"/>
              </w:rPr>
              <w:t>HACC-PYP Speech Therapy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3A14BA" w14:textId="77777777" w:rsidR="002E0941" w:rsidRDefault="002E0941">
            <w:pPr>
              <w:pStyle w:val="Tabletext9pt"/>
            </w:pPr>
            <w:r>
              <w:rPr>
                <w:szCs w:val="20"/>
              </w:rPr>
              <w:t>Hour</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D3A2559" w14:textId="2F8D88E2" w:rsidR="002E0941" w:rsidRDefault="00807554">
            <w:pPr>
              <w:pStyle w:val="Tabletext9pt"/>
              <w:jc w:val="right"/>
            </w:pPr>
            <w:r>
              <w:t>113.48</w:t>
            </w:r>
          </w:p>
        </w:tc>
      </w:tr>
      <w:tr w:rsidR="002E0941" w14:paraId="756BF857" w14:textId="77777777" w:rsidTr="00F2005B">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48109" w14:textId="77777777" w:rsidR="002E0941" w:rsidRDefault="002E0941">
            <w:pPr>
              <w:pStyle w:val="Tabletext9pt"/>
            </w:pPr>
            <w:r>
              <w:rPr>
                <w:szCs w:val="20"/>
              </w:rPr>
              <w:t>HACC-PYP Volunteer Coordination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B732BA" w14:textId="77777777" w:rsidR="002E0941" w:rsidRDefault="002E0941">
            <w:pPr>
              <w:pStyle w:val="Tabletext9pt"/>
            </w:pPr>
            <w:r>
              <w:rPr>
                <w:szCs w:val="20"/>
              </w:rPr>
              <w:t>Hour</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21D818" w14:textId="63C91D9E" w:rsidR="002E0941" w:rsidRDefault="00486B3A">
            <w:pPr>
              <w:pStyle w:val="Tabletext9pt"/>
              <w:jc w:val="right"/>
            </w:pPr>
            <w:r>
              <w:t>44.33</w:t>
            </w:r>
          </w:p>
        </w:tc>
      </w:tr>
    </w:tbl>
    <w:p w14:paraId="4A2329D3" w14:textId="3582163C" w:rsidR="002E0941" w:rsidRDefault="002E0941" w:rsidP="00685B35">
      <w:pPr>
        <w:pStyle w:val="Bodyaftertablefigure"/>
        <w:keepNext/>
        <w:keepLines/>
        <w:rPr>
          <w:lang w:eastAsia="en-AU"/>
        </w:rPr>
      </w:pPr>
      <w:r w:rsidRPr="00D24593">
        <w:t xml:space="preserve">Program area: </w:t>
      </w:r>
      <w:r w:rsidRPr="00D24593">
        <w:rPr>
          <w:lang w:eastAsia="en-AU"/>
        </w:rPr>
        <w:t>HACC-PYP ACCO services</w:t>
      </w:r>
    </w:p>
    <w:tbl>
      <w:tblPr>
        <w:tblStyle w:val="TableGrid1"/>
        <w:tblW w:w="9359" w:type="dxa"/>
        <w:tblLook w:val="06A0" w:firstRow="1" w:lastRow="0" w:firstColumn="1" w:lastColumn="0" w:noHBand="1" w:noVBand="1"/>
      </w:tblPr>
      <w:tblGrid>
        <w:gridCol w:w="3527"/>
        <w:gridCol w:w="2555"/>
        <w:gridCol w:w="3277"/>
      </w:tblGrid>
      <w:tr w:rsidR="002E0941" w14:paraId="1ECFD696" w14:textId="77777777" w:rsidTr="00685B35">
        <w:trPr>
          <w:cnfStyle w:val="100000000000" w:firstRow="1" w:lastRow="0" w:firstColumn="0" w:lastColumn="0" w:oddVBand="0" w:evenVBand="0" w:oddHBand="0" w:evenHBand="0" w:firstRowFirstColumn="0" w:firstRowLastColumn="0" w:lastRowFirstColumn="0" w:lastRowLastColumn="0"/>
          <w:cantSplit/>
          <w:tblHeader/>
        </w:trPr>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4208662F" w14:textId="77777777" w:rsidR="002E0941" w:rsidRPr="00685B35" w:rsidRDefault="002E0941" w:rsidP="00685B35">
            <w:pPr>
              <w:pStyle w:val="Tablecolhead"/>
            </w:pPr>
            <w:r w:rsidRPr="00D313FF">
              <w:t>Service</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5744ED71" w14:textId="77777777" w:rsidR="002E0941" w:rsidRPr="00685B35" w:rsidRDefault="002E0941" w:rsidP="00685B35">
            <w:pPr>
              <w:pStyle w:val="Tablecolhead"/>
            </w:pPr>
            <w:r w:rsidRPr="00D313FF">
              <w:t>Funded unit</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0A55F620" w14:textId="77777777" w:rsidR="002E0941" w:rsidRPr="00685B35" w:rsidRDefault="002E0941" w:rsidP="00685B35">
            <w:pPr>
              <w:pStyle w:val="Tablecolhead"/>
            </w:pPr>
            <w:r w:rsidRPr="00D313FF">
              <w:t>Estimated unit price ($)</w:t>
            </w:r>
          </w:p>
        </w:tc>
      </w:tr>
      <w:tr w:rsidR="002E0941" w14:paraId="499415E5" w14:textId="77777777" w:rsidTr="008B2386">
        <w:trPr>
          <w:cantSplit/>
        </w:trPr>
        <w:tc>
          <w:tcPr>
            <w:tcW w:w="0" w:type="dxa"/>
            <w:tcBorders>
              <w:top w:val="single" w:sz="4" w:space="0" w:color="auto"/>
              <w:left w:val="single" w:sz="4" w:space="0" w:color="auto"/>
              <w:bottom w:val="single" w:sz="4" w:space="0" w:color="auto"/>
              <w:right w:val="single" w:sz="4" w:space="0" w:color="auto"/>
            </w:tcBorders>
            <w:hideMark/>
          </w:tcPr>
          <w:p w14:paraId="2667EB5F" w14:textId="77777777" w:rsidR="002E0941" w:rsidRDefault="002E0941" w:rsidP="00685B35">
            <w:pPr>
              <w:pStyle w:val="Tabletext9pt"/>
              <w:rPr>
                <w:szCs w:val="18"/>
                <w:lang w:eastAsia="en-AU"/>
              </w:rPr>
            </w:pPr>
            <w:r>
              <w:rPr>
                <w:szCs w:val="18"/>
                <w:lang w:eastAsia="en-AU"/>
              </w:rPr>
              <w:t>HACC-PYP Access and Support</w:t>
            </w:r>
          </w:p>
        </w:tc>
        <w:tc>
          <w:tcPr>
            <w:tcW w:w="0" w:type="dxa"/>
            <w:tcBorders>
              <w:top w:val="single" w:sz="4" w:space="0" w:color="auto"/>
              <w:left w:val="single" w:sz="4" w:space="0" w:color="auto"/>
              <w:bottom w:val="single" w:sz="4" w:space="0" w:color="auto"/>
              <w:right w:val="single" w:sz="4" w:space="0" w:color="auto"/>
            </w:tcBorders>
            <w:hideMark/>
          </w:tcPr>
          <w:p w14:paraId="7BBD5BCC" w14:textId="77777777" w:rsidR="002E0941" w:rsidRDefault="002E0941" w:rsidP="00685B35">
            <w:pPr>
              <w:pStyle w:val="Tabletext9pt"/>
              <w:rPr>
                <w:szCs w:val="18"/>
                <w:lang w:eastAsia="en-AU"/>
              </w:rPr>
            </w:pPr>
            <w:r>
              <w:rPr>
                <w:szCs w:val="18"/>
                <w:lang w:eastAsia="en-AU"/>
              </w:rPr>
              <w:t>Hour</w:t>
            </w:r>
          </w:p>
        </w:tc>
        <w:tc>
          <w:tcPr>
            <w:tcW w:w="0" w:type="dxa"/>
            <w:tcBorders>
              <w:top w:val="single" w:sz="4" w:space="0" w:color="auto"/>
              <w:left w:val="single" w:sz="4" w:space="0" w:color="auto"/>
              <w:bottom w:val="single" w:sz="4" w:space="0" w:color="auto"/>
              <w:right w:val="single" w:sz="4" w:space="0" w:color="auto"/>
            </w:tcBorders>
          </w:tcPr>
          <w:p w14:paraId="2A779B78" w14:textId="44874503" w:rsidR="002E0941" w:rsidRDefault="00B1730A" w:rsidP="00685B35">
            <w:pPr>
              <w:pStyle w:val="Tabletext9pt"/>
              <w:jc w:val="right"/>
            </w:pPr>
            <w:r>
              <w:rPr>
                <w:lang w:eastAsia="en-AU"/>
              </w:rPr>
              <w:t>80.09</w:t>
            </w:r>
          </w:p>
        </w:tc>
      </w:tr>
      <w:tr w:rsidR="002E0941" w14:paraId="746B80BB" w14:textId="77777777" w:rsidTr="008B2386">
        <w:trPr>
          <w:cantSplit/>
        </w:trPr>
        <w:tc>
          <w:tcPr>
            <w:tcW w:w="0" w:type="dxa"/>
            <w:tcBorders>
              <w:top w:val="single" w:sz="4" w:space="0" w:color="auto"/>
              <w:left w:val="single" w:sz="4" w:space="0" w:color="auto"/>
              <w:bottom w:val="single" w:sz="4" w:space="0" w:color="auto"/>
              <w:right w:val="single" w:sz="4" w:space="0" w:color="auto"/>
            </w:tcBorders>
            <w:hideMark/>
          </w:tcPr>
          <w:p w14:paraId="5118E116" w14:textId="77777777" w:rsidR="002E0941" w:rsidRDefault="002E0941" w:rsidP="00685B35">
            <w:pPr>
              <w:pStyle w:val="Tabletext9pt"/>
              <w:rPr>
                <w:szCs w:val="18"/>
                <w:lang w:eastAsia="en-AU"/>
              </w:rPr>
            </w:pPr>
            <w:r>
              <w:rPr>
                <w:szCs w:val="18"/>
                <w:lang w:eastAsia="en-AU"/>
              </w:rPr>
              <w:t>HACC-PYP Occupational Therapy</w:t>
            </w:r>
          </w:p>
        </w:tc>
        <w:tc>
          <w:tcPr>
            <w:tcW w:w="0" w:type="dxa"/>
            <w:tcBorders>
              <w:top w:val="single" w:sz="4" w:space="0" w:color="auto"/>
              <w:left w:val="single" w:sz="4" w:space="0" w:color="auto"/>
              <w:bottom w:val="single" w:sz="4" w:space="0" w:color="auto"/>
              <w:right w:val="single" w:sz="4" w:space="0" w:color="auto"/>
            </w:tcBorders>
            <w:hideMark/>
          </w:tcPr>
          <w:p w14:paraId="427FDC3D" w14:textId="77777777" w:rsidR="002E0941" w:rsidRDefault="002E0941" w:rsidP="00685B35">
            <w:pPr>
              <w:pStyle w:val="Tabletext9pt"/>
              <w:rPr>
                <w:szCs w:val="18"/>
                <w:lang w:eastAsia="en-AU"/>
              </w:rPr>
            </w:pPr>
            <w:r>
              <w:rPr>
                <w:szCs w:val="18"/>
                <w:lang w:eastAsia="en-AU"/>
              </w:rPr>
              <w:t>Hour</w:t>
            </w:r>
          </w:p>
        </w:tc>
        <w:tc>
          <w:tcPr>
            <w:tcW w:w="0" w:type="dxa"/>
            <w:tcBorders>
              <w:top w:val="single" w:sz="4" w:space="0" w:color="auto"/>
              <w:left w:val="single" w:sz="4" w:space="0" w:color="auto"/>
              <w:bottom w:val="single" w:sz="4" w:space="0" w:color="auto"/>
              <w:right w:val="single" w:sz="4" w:space="0" w:color="auto"/>
            </w:tcBorders>
          </w:tcPr>
          <w:p w14:paraId="3E30E26F" w14:textId="146F6905" w:rsidR="002E0941" w:rsidRPr="00016A88" w:rsidRDefault="00BA6F49" w:rsidP="00685B35">
            <w:pPr>
              <w:pStyle w:val="Tabletext9pt"/>
              <w:jc w:val="right"/>
              <w:rPr>
                <w:color w:val="000000" w:themeColor="text1"/>
                <w:lang w:eastAsia="en-AU"/>
              </w:rPr>
            </w:pPr>
            <w:r>
              <w:rPr>
                <w:color w:val="000000" w:themeColor="text1"/>
                <w:lang w:eastAsia="en-AU"/>
              </w:rPr>
              <w:t>118.96</w:t>
            </w:r>
          </w:p>
        </w:tc>
      </w:tr>
      <w:tr w:rsidR="002E0941" w14:paraId="58243174" w14:textId="77777777" w:rsidTr="008B2386">
        <w:trPr>
          <w:cantSplit/>
        </w:trPr>
        <w:tc>
          <w:tcPr>
            <w:tcW w:w="0" w:type="dxa"/>
            <w:tcBorders>
              <w:top w:val="single" w:sz="4" w:space="0" w:color="auto"/>
              <w:left w:val="single" w:sz="4" w:space="0" w:color="auto"/>
              <w:bottom w:val="single" w:sz="4" w:space="0" w:color="auto"/>
              <w:right w:val="single" w:sz="4" w:space="0" w:color="auto"/>
            </w:tcBorders>
            <w:hideMark/>
          </w:tcPr>
          <w:p w14:paraId="5B367FEA" w14:textId="77777777" w:rsidR="002E0941" w:rsidRDefault="002E0941" w:rsidP="00685B35">
            <w:pPr>
              <w:pStyle w:val="Tabletext9pt"/>
              <w:rPr>
                <w:szCs w:val="18"/>
                <w:lang w:eastAsia="en-AU"/>
              </w:rPr>
            </w:pPr>
            <w:r>
              <w:rPr>
                <w:szCs w:val="18"/>
                <w:lang w:eastAsia="en-AU"/>
              </w:rPr>
              <w:t>HACC-PYP Podiatry</w:t>
            </w:r>
          </w:p>
        </w:tc>
        <w:tc>
          <w:tcPr>
            <w:tcW w:w="0" w:type="dxa"/>
            <w:tcBorders>
              <w:top w:val="single" w:sz="4" w:space="0" w:color="auto"/>
              <w:left w:val="single" w:sz="4" w:space="0" w:color="auto"/>
              <w:bottom w:val="single" w:sz="4" w:space="0" w:color="auto"/>
              <w:right w:val="single" w:sz="4" w:space="0" w:color="auto"/>
            </w:tcBorders>
            <w:hideMark/>
          </w:tcPr>
          <w:p w14:paraId="54D6291F" w14:textId="77777777" w:rsidR="002E0941" w:rsidRDefault="002E0941" w:rsidP="00685B35">
            <w:pPr>
              <w:pStyle w:val="Tabletext9pt"/>
              <w:rPr>
                <w:szCs w:val="18"/>
                <w:lang w:eastAsia="en-AU"/>
              </w:rPr>
            </w:pPr>
            <w:r>
              <w:rPr>
                <w:szCs w:val="18"/>
                <w:lang w:eastAsia="en-AU"/>
              </w:rPr>
              <w:t>Hour</w:t>
            </w:r>
          </w:p>
        </w:tc>
        <w:tc>
          <w:tcPr>
            <w:tcW w:w="0" w:type="dxa"/>
            <w:tcBorders>
              <w:top w:val="single" w:sz="4" w:space="0" w:color="auto"/>
              <w:left w:val="single" w:sz="4" w:space="0" w:color="auto"/>
              <w:bottom w:val="single" w:sz="4" w:space="0" w:color="auto"/>
              <w:right w:val="single" w:sz="4" w:space="0" w:color="auto"/>
            </w:tcBorders>
          </w:tcPr>
          <w:p w14:paraId="36F4606E" w14:textId="111CB1FF" w:rsidR="002E0941" w:rsidRPr="00016A88" w:rsidRDefault="00F87DB6" w:rsidP="00685B35">
            <w:pPr>
              <w:pStyle w:val="Tabletext9pt"/>
              <w:jc w:val="right"/>
              <w:rPr>
                <w:color w:val="000000" w:themeColor="text1"/>
                <w:lang w:eastAsia="en-AU"/>
              </w:rPr>
            </w:pPr>
            <w:r>
              <w:rPr>
                <w:color w:val="000000" w:themeColor="text1"/>
                <w:lang w:eastAsia="en-AU"/>
              </w:rPr>
              <w:t>118.96</w:t>
            </w:r>
          </w:p>
        </w:tc>
      </w:tr>
      <w:tr w:rsidR="002E0941" w14:paraId="7F3BCA9A" w14:textId="77777777" w:rsidTr="008B2386">
        <w:trPr>
          <w:cantSplit/>
        </w:trPr>
        <w:tc>
          <w:tcPr>
            <w:tcW w:w="0" w:type="dxa"/>
            <w:tcBorders>
              <w:top w:val="single" w:sz="4" w:space="0" w:color="auto"/>
              <w:left w:val="single" w:sz="4" w:space="0" w:color="auto"/>
              <w:bottom w:val="single" w:sz="4" w:space="0" w:color="auto"/>
              <w:right w:val="single" w:sz="4" w:space="0" w:color="auto"/>
            </w:tcBorders>
            <w:hideMark/>
          </w:tcPr>
          <w:p w14:paraId="7F8A12A4" w14:textId="77777777" w:rsidR="002E0941" w:rsidRDefault="002E0941" w:rsidP="00685B35">
            <w:pPr>
              <w:pStyle w:val="Tabletext9pt"/>
              <w:rPr>
                <w:szCs w:val="18"/>
                <w:lang w:eastAsia="en-AU"/>
              </w:rPr>
            </w:pPr>
            <w:r>
              <w:rPr>
                <w:szCs w:val="18"/>
                <w:lang w:eastAsia="en-AU"/>
              </w:rPr>
              <w:t>HACC-PYP Dietetics</w:t>
            </w:r>
          </w:p>
        </w:tc>
        <w:tc>
          <w:tcPr>
            <w:tcW w:w="0" w:type="dxa"/>
            <w:tcBorders>
              <w:top w:val="single" w:sz="4" w:space="0" w:color="auto"/>
              <w:left w:val="single" w:sz="4" w:space="0" w:color="auto"/>
              <w:bottom w:val="single" w:sz="4" w:space="0" w:color="auto"/>
              <w:right w:val="single" w:sz="4" w:space="0" w:color="auto"/>
            </w:tcBorders>
            <w:hideMark/>
          </w:tcPr>
          <w:p w14:paraId="6EFA262B" w14:textId="77777777" w:rsidR="002E0941" w:rsidRDefault="002E0941" w:rsidP="00685B35">
            <w:pPr>
              <w:pStyle w:val="Tabletext9pt"/>
              <w:rPr>
                <w:szCs w:val="18"/>
                <w:lang w:eastAsia="en-AU"/>
              </w:rPr>
            </w:pPr>
            <w:r>
              <w:rPr>
                <w:szCs w:val="18"/>
                <w:lang w:eastAsia="en-AU"/>
              </w:rPr>
              <w:t>Hour</w:t>
            </w:r>
          </w:p>
        </w:tc>
        <w:tc>
          <w:tcPr>
            <w:tcW w:w="0" w:type="dxa"/>
            <w:tcBorders>
              <w:top w:val="single" w:sz="4" w:space="0" w:color="auto"/>
              <w:left w:val="single" w:sz="4" w:space="0" w:color="auto"/>
              <w:bottom w:val="single" w:sz="4" w:space="0" w:color="auto"/>
              <w:right w:val="single" w:sz="4" w:space="0" w:color="auto"/>
            </w:tcBorders>
          </w:tcPr>
          <w:p w14:paraId="0D9744EC" w14:textId="14E53A90" w:rsidR="002E0941" w:rsidRPr="00016A88" w:rsidRDefault="00D302C1" w:rsidP="00685B35">
            <w:pPr>
              <w:pStyle w:val="Tabletext9pt"/>
              <w:jc w:val="right"/>
              <w:rPr>
                <w:color w:val="000000" w:themeColor="text1"/>
                <w:lang w:eastAsia="en-AU"/>
              </w:rPr>
            </w:pPr>
            <w:r>
              <w:rPr>
                <w:color w:val="000000" w:themeColor="text1"/>
                <w:lang w:eastAsia="en-AU"/>
              </w:rPr>
              <w:t>118.96</w:t>
            </w:r>
          </w:p>
        </w:tc>
      </w:tr>
      <w:tr w:rsidR="002E0941" w14:paraId="18027023" w14:textId="77777777" w:rsidTr="008B2386">
        <w:trPr>
          <w:cantSplit/>
        </w:trPr>
        <w:tc>
          <w:tcPr>
            <w:tcW w:w="0" w:type="dxa"/>
            <w:tcBorders>
              <w:top w:val="single" w:sz="4" w:space="0" w:color="auto"/>
              <w:left w:val="single" w:sz="4" w:space="0" w:color="auto"/>
              <w:bottom w:val="single" w:sz="4" w:space="0" w:color="auto"/>
              <w:right w:val="single" w:sz="4" w:space="0" w:color="auto"/>
            </w:tcBorders>
            <w:hideMark/>
          </w:tcPr>
          <w:p w14:paraId="33D870FB" w14:textId="77777777" w:rsidR="002E0941" w:rsidRDefault="002E0941" w:rsidP="00685B35">
            <w:pPr>
              <w:pStyle w:val="Tabletext9pt"/>
              <w:rPr>
                <w:szCs w:val="18"/>
                <w:lang w:eastAsia="en-AU"/>
              </w:rPr>
            </w:pPr>
            <w:r>
              <w:rPr>
                <w:szCs w:val="18"/>
                <w:lang w:eastAsia="en-AU"/>
              </w:rPr>
              <w:t>HACC-PYP Speech Therapy</w:t>
            </w:r>
          </w:p>
        </w:tc>
        <w:tc>
          <w:tcPr>
            <w:tcW w:w="0" w:type="dxa"/>
            <w:tcBorders>
              <w:top w:val="single" w:sz="4" w:space="0" w:color="auto"/>
              <w:left w:val="single" w:sz="4" w:space="0" w:color="auto"/>
              <w:bottom w:val="single" w:sz="4" w:space="0" w:color="auto"/>
              <w:right w:val="single" w:sz="4" w:space="0" w:color="auto"/>
            </w:tcBorders>
            <w:hideMark/>
          </w:tcPr>
          <w:p w14:paraId="11730A8E" w14:textId="77777777" w:rsidR="002E0941" w:rsidRDefault="002E0941" w:rsidP="00685B35">
            <w:pPr>
              <w:pStyle w:val="Tabletext9pt"/>
              <w:rPr>
                <w:szCs w:val="18"/>
                <w:lang w:eastAsia="en-AU"/>
              </w:rPr>
            </w:pPr>
            <w:r>
              <w:rPr>
                <w:szCs w:val="18"/>
                <w:lang w:eastAsia="en-AU"/>
              </w:rPr>
              <w:t>Hour</w:t>
            </w:r>
          </w:p>
        </w:tc>
        <w:tc>
          <w:tcPr>
            <w:tcW w:w="0" w:type="dxa"/>
            <w:tcBorders>
              <w:top w:val="single" w:sz="4" w:space="0" w:color="auto"/>
              <w:left w:val="single" w:sz="4" w:space="0" w:color="auto"/>
              <w:bottom w:val="single" w:sz="4" w:space="0" w:color="auto"/>
              <w:right w:val="single" w:sz="4" w:space="0" w:color="auto"/>
            </w:tcBorders>
          </w:tcPr>
          <w:p w14:paraId="05689400" w14:textId="39045F42" w:rsidR="002E0941" w:rsidRPr="00016A88" w:rsidRDefault="001F43D7" w:rsidP="00685B35">
            <w:pPr>
              <w:pStyle w:val="Tabletext9pt"/>
              <w:jc w:val="right"/>
              <w:rPr>
                <w:color w:val="000000" w:themeColor="text1"/>
                <w:lang w:eastAsia="en-AU"/>
              </w:rPr>
            </w:pPr>
            <w:r>
              <w:rPr>
                <w:color w:val="000000" w:themeColor="text1"/>
                <w:lang w:eastAsia="en-AU"/>
              </w:rPr>
              <w:t>118.96</w:t>
            </w:r>
          </w:p>
        </w:tc>
      </w:tr>
      <w:tr w:rsidR="002E0941" w14:paraId="4B177D23" w14:textId="77777777" w:rsidTr="008B2386">
        <w:trPr>
          <w:cantSplit/>
        </w:trPr>
        <w:tc>
          <w:tcPr>
            <w:tcW w:w="0" w:type="dxa"/>
            <w:tcBorders>
              <w:top w:val="single" w:sz="4" w:space="0" w:color="auto"/>
              <w:left w:val="single" w:sz="4" w:space="0" w:color="auto"/>
              <w:bottom w:val="single" w:sz="4" w:space="0" w:color="auto"/>
              <w:right w:val="single" w:sz="4" w:space="0" w:color="auto"/>
            </w:tcBorders>
            <w:hideMark/>
          </w:tcPr>
          <w:p w14:paraId="3094A1AB" w14:textId="77777777" w:rsidR="002E0941" w:rsidRDefault="002E0941" w:rsidP="00685B35">
            <w:pPr>
              <w:pStyle w:val="Tabletext9pt"/>
              <w:rPr>
                <w:szCs w:val="18"/>
                <w:lang w:eastAsia="en-AU"/>
              </w:rPr>
            </w:pPr>
            <w:r>
              <w:rPr>
                <w:szCs w:val="18"/>
                <w:lang w:eastAsia="en-AU"/>
              </w:rPr>
              <w:t>HACC-PYP Physiotherapy</w:t>
            </w:r>
          </w:p>
        </w:tc>
        <w:tc>
          <w:tcPr>
            <w:tcW w:w="0" w:type="dxa"/>
            <w:tcBorders>
              <w:top w:val="single" w:sz="4" w:space="0" w:color="auto"/>
              <w:left w:val="single" w:sz="4" w:space="0" w:color="auto"/>
              <w:bottom w:val="single" w:sz="4" w:space="0" w:color="auto"/>
              <w:right w:val="single" w:sz="4" w:space="0" w:color="auto"/>
            </w:tcBorders>
            <w:hideMark/>
          </w:tcPr>
          <w:p w14:paraId="510AE461" w14:textId="77777777" w:rsidR="002E0941" w:rsidRDefault="002E0941" w:rsidP="00685B35">
            <w:pPr>
              <w:pStyle w:val="Tabletext9pt"/>
              <w:rPr>
                <w:szCs w:val="18"/>
                <w:lang w:eastAsia="en-AU"/>
              </w:rPr>
            </w:pPr>
            <w:r>
              <w:rPr>
                <w:szCs w:val="18"/>
                <w:lang w:eastAsia="en-AU"/>
              </w:rPr>
              <w:t>Hour</w:t>
            </w:r>
          </w:p>
        </w:tc>
        <w:tc>
          <w:tcPr>
            <w:tcW w:w="0" w:type="dxa"/>
            <w:tcBorders>
              <w:top w:val="single" w:sz="4" w:space="0" w:color="auto"/>
              <w:left w:val="single" w:sz="4" w:space="0" w:color="auto"/>
              <w:bottom w:val="single" w:sz="4" w:space="0" w:color="auto"/>
              <w:right w:val="single" w:sz="4" w:space="0" w:color="auto"/>
            </w:tcBorders>
          </w:tcPr>
          <w:p w14:paraId="29E82D1D" w14:textId="77C7429C" w:rsidR="002E0941" w:rsidRPr="00016A88" w:rsidRDefault="00BD2A2B" w:rsidP="00685B35">
            <w:pPr>
              <w:pStyle w:val="Tabletext9pt"/>
              <w:jc w:val="right"/>
              <w:rPr>
                <w:color w:val="000000" w:themeColor="text1"/>
                <w:lang w:eastAsia="en-AU"/>
              </w:rPr>
            </w:pPr>
            <w:r>
              <w:rPr>
                <w:color w:val="000000" w:themeColor="text1"/>
                <w:lang w:eastAsia="en-AU"/>
              </w:rPr>
              <w:t>118.96</w:t>
            </w:r>
          </w:p>
        </w:tc>
      </w:tr>
      <w:tr w:rsidR="002E0941" w14:paraId="1840DFF7" w14:textId="77777777" w:rsidTr="008B2386">
        <w:trPr>
          <w:cantSplit/>
        </w:trPr>
        <w:tc>
          <w:tcPr>
            <w:tcW w:w="0" w:type="dxa"/>
            <w:tcBorders>
              <w:top w:val="single" w:sz="4" w:space="0" w:color="auto"/>
              <w:left w:val="single" w:sz="4" w:space="0" w:color="auto"/>
              <w:bottom w:val="single" w:sz="4" w:space="0" w:color="auto"/>
              <w:right w:val="single" w:sz="4" w:space="0" w:color="auto"/>
            </w:tcBorders>
            <w:hideMark/>
          </w:tcPr>
          <w:p w14:paraId="5F288C1E" w14:textId="77777777" w:rsidR="002E0941" w:rsidRDefault="002E0941" w:rsidP="00685B35">
            <w:pPr>
              <w:pStyle w:val="Tabletext9pt"/>
              <w:rPr>
                <w:szCs w:val="18"/>
                <w:lang w:eastAsia="en-AU"/>
              </w:rPr>
            </w:pPr>
            <w:r>
              <w:rPr>
                <w:szCs w:val="18"/>
                <w:lang w:eastAsia="en-AU"/>
              </w:rPr>
              <w:t>HACC-PYP Counselling</w:t>
            </w:r>
          </w:p>
        </w:tc>
        <w:tc>
          <w:tcPr>
            <w:tcW w:w="0" w:type="dxa"/>
            <w:tcBorders>
              <w:top w:val="single" w:sz="4" w:space="0" w:color="auto"/>
              <w:left w:val="single" w:sz="4" w:space="0" w:color="auto"/>
              <w:bottom w:val="single" w:sz="4" w:space="0" w:color="auto"/>
              <w:right w:val="single" w:sz="4" w:space="0" w:color="auto"/>
            </w:tcBorders>
            <w:hideMark/>
          </w:tcPr>
          <w:p w14:paraId="31944406" w14:textId="77777777" w:rsidR="002E0941" w:rsidRDefault="002E0941" w:rsidP="00685B35">
            <w:pPr>
              <w:pStyle w:val="Tabletext9pt"/>
              <w:rPr>
                <w:szCs w:val="18"/>
                <w:lang w:eastAsia="en-AU"/>
              </w:rPr>
            </w:pPr>
            <w:r>
              <w:rPr>
                <w:szCs w:val="18"/>
                <w:lang w:eastAsia="en-AU"/>
              </w:rPr>
              <w:t>Hour</w:t>
            </w:r>
          </w:p>
        </w:tc>
        <w:tc>
          <w:tcPr>
            <w:tcW w:w="0" w:type="dxa"/>
            <w:tcBorders>
              <w:top w:val="single" w:sz="4" w:space="0" w:color="auto"/>
              <w:left w:val="single" w:sz="4" w:space="0" w:color="auto"/>
              <w:bottom w:val="single" w:sz="4" w:space="0" w:color="auto"/>
              <w:right w:val="single" w:sz="4" w:space="0" w:color="auto"/>
            </w:tcBorders>
          </w:tcPr>
          <w:p w14:paraId="20026DF4" w14:textId="3253607F" w:rsidR="002E0941" w:rsidRPr="00016A88" w:rsidRDefault="00F91ADB" w:rsidP="00685B35">
            <w:pPr>
              <w:pStyle w:val="Tabletext9pt"/>
              <w:jc w:val="right"/>
              <w:rPr>
                <w:color w:val="000000" w:themeColor="text1"/>
                <w:lang w:eastAsia="en-AU"/>
              </w:rPr>
            </w:pPr>
            <w:r>
              <w:rPr>
                <w:color w:val="000000" w:themeColor="text1"/>
                <w:lang w:eastAsia="en-AU"/>
              </w:rPr>
              <w:t>118.96</w:t>
            </w:r>
          </w:p>
        </w:tc>
      </w:tr>
      <w:tr w:rsidR="002E0941" w14:paraId="04DFDE37" w14:textId="77777777" w:rsidTr="008B2386">
        <w:trPr>
          <w:cantSplit/>
        </w:trPr>
        <w:tc>
          <w:tcPr>
            <w:tcW w:w="0" w:type="dxa"/>
            <w:tcBorders>
              <w:top w:val="single" w:sz="4" w:space="0" w:color="auto"/>
              <w:left w:val="single" w:sz="4" w:space="0" w:color="auto"/>
              <w:bottom w:val="single" w:sz="4" w:space="0" w:color="auto"/>
              <w:right w:val="single" w:sz="4" w:space="0" w:color="auto"/>
            </w:tcBorders>
            <w:hideMark/>
          </w:tcPr>
          <w:p w14:paraId="0BDCD4A9" w14:textId="77777777" w:rsidR="002E0941" w:rsidRDefault="002E0941" w:rsidP="00685B35">
            <w:pPr>
              <w:pStyle w:val="Tabletext9pt"/>
              <w:rPr>
                <w:szCs w:val="18"/>
                <w:lang w:eastAsia="en-AU"/>
              </w:rPr>
            </w:pPr>
            <w:r>
              <w:rPr>
                <w:szCs w:val="18"/>
                <w:lang w:eastAsia="en-AU"/>
              </w:rPr>
              <w:t xml:space="preserve">HACC-PYP Assessment </w:t>
            </w:r>
          </w:p>
        </w:tc>
        <w:tc>
          <w:tcPr>
            <w:tcW w:w="0" w:type="dxa"/>
            <w:tcBorders>
              <w:top w:val="single" w:sz="4" w:space="0" w:color="auto"/>
              <w:left w:val="single" w:sz="4" w:space="0" w:color="auto"/>
              <w:bottom w:val="single" w:sz="4" w:space="0" w:color="auto"/>
              <w:right w:val="single" w:sz="4" w:space="0" w:color="auto"/>
            </w:tcBorders>
            <w:hideMark/>
          </w:tcPr>
          <w:p w14:paraId="31D70746" w14:textId="77777777" w:rsidR="002E0941" w:rsidRDefault="002E0941" w:rsidP="00685B35">
            <w:pPr>
              <w:pStyle w:val="Tabletext9pt"/>
              <w:rPr>
                <w:szCs w:val="18"/>
                <w:lang w:eastAsia="en-AU"/>
              </w:rPr>
            </w:pPr>
            <w:r>
              <w:rPr>
                <w:szCs w:val="18"/>
                <w:lang w:eastAsia="en-AU"/>
              </w:rPr>
              <w:t>Hour</w:t>
            </w:r>
          </w:p>
        </w:tc>
        <w:tc>
          <w:tcPr>
            <w:tcW w:w="0" w:type="dxa"/>
            <w:tcBorders>
              <w:top w:val="single" w:sz="4" w:space="0" w:color="auto"/>
              <w:left w:val="single" w:sz="4" w:space="0" w:color="auto"/>
              <w:bottom w:val="single" w:sz="4" w:space="0" w:color="auto"/>
              <w:right w:val="single" w:sz="4" w:space="0" w:color="auto"/>
            </w:tcBorders>
          </w:tcPr>
          <w:p w14:paraId="213EE4E5" w14:textId="43A9AB7F" w:rsidR="002E0941" w:rsidRPr="00016A88" w:rsidRDefault="00F41139" w:rsidP="00685B35">
            <w:pPr>
              <w:pStyle w:val="Tabletext9pt"/>
              <w:jc w:val="right"/>
              <w:rPr>
                <w:color w:val="000000" w:themeColor="text1"/>
                <w:lang w:eastAsia="en-AU"/>
              </w:rPr>
            </w:pPr>
            <w:r>
              <w:rPr>
                <w:color w:val="000000" w:themeColor="text1"/>
                <w:lang w:eastAsia="en-AU"/>
              </w:rPr>
              <w:t>109.03</w:t>
            </w:r>
          </w:p>
        </w:tc>
      </w:tr>
      <w:tr w:rsidR="002E0941" w14:paraId="089F409D" w14:textId="77777777" w:rsidTr="008B2386">
        <w:trPr>
          <w:cantSplit/>
        </w:trPr>
        <w:tc>
          <w:tcPr>
            <w:tcW w:w="0" w:type="dxa"/>
            <w:tcBorders>
              <w:top w:val="single" w:sz="4" w:space="0" w:color="auto"/>
              <w:left w:val="single" w:sz="4" w:space="0" w:color="auto"/>
              <w:bottom w:val="single" w:sz="4" w:space="0" w:color="auto"/>
              <w:right w:val="single" w:sz="4" w:space="0" w:color="auto"/>
            </w:tcBorders>
            <w:hideMark/>
          </w:tcPr>
          <w:p w14:paraId="1B5CA03A" w14:textId="77777777" w:rsidR="002E0941" w:rsidRDefault="002E0941" w:rsidP="00685B35">
            <w:pPr>
              <w:pStyle w:val="Tabletext9pt"/>
              <w:rPr>
                <w:szCs w:val="18"/>
                <w:lang w:eastAsia="en-AU"/>
              </w:rPr>
            </w:pPr>
            <w:r>
              <w:rPr>
                <w:szCs w:val="18"/>
                <w:lang w:eastAsia="en-AU"/>
              </w:rPr>
              <w:t>HACC-PYP Delivered Meals</w:t>
            </w:r>
          </w:p>
        </w:tc>
        <w:tc>
          <w:tcPr>
            <w:tcW w:w="0" w:type="dxa"/>
            <w:tcBorders>
              <w:top w:val="single" w:sz="4" w:space="0" w:color="auto"/>
              <w:left w:val="single" w:sz="4" w:space="0" w:color="auto"/>
              <w:bottom w:val="single" w:sz="4" w:space="0" w:color="auto"/>
              <w:right w:val="single" w:sz="4" w:space="0" w:color="auto"/>
            </w:tcBorders>
            <w:hideMark/>
          </w:tcPr>
          <w:p w14:paraId="4B7B860B" w14:textId="77777777" w:rsidR="002E0941" w:rsidRDefault="002E0941" w:rsidP="00685B35">
            <w:pPr>
              <w:pStyle w:val="Tabletext9pt"/>
              <w:rPr>
                <w:szCs w:val="18"/>
                <w:lang w:eastAsia="en-AU"/>
              </w:rPr>
            </w:pPr>
            <w:r>
              <w:rPr>
                <w:szCs w:val="18"/>
                <w:lang w:eastAsia="en-AU"/>
              </w:rPr>
              <w:t>Meal</w:t>
            </w:r>
          </w:p>
        </w:tc>
        <w:tc>
          <w:tcPr>
            <w:tcW w:w="0" w:type="dxa"/>
            <w:tcBorders>
              <w:top w:val="single" w:sz="4" w:space="0" w:color="auto"/>
              <w:left w:val="single" w:sz="4" w:space="0" w:color="auto"/>
              <w:bottom w:val="single" w:sz="4" w:space="0" w:color="auto"/>
              <w:right w:val="single" w:sz="4" w:space="0" w:color="auto"/>
            </w:tcBorders>
          </w:tcPr>
          <w:p w14:paraId="5CD23DF1" w14:textId="5F250C4A" w:rsidR="002E0941" w:rsidRPr="00016A88" w:rsidRDefault="00EF2665" w:rsidP="00685B35">
            <w:pPr>
              <w:pStyle w:val="Tabletext9pt"/>
              <w:jc w:val="right"/>
              <w:rPr>
                <w:color w:val="000000" w:themeColor="text1"/>
                <w:lang w:eastAsia="en-AU"/>
              </w:rPr>
            </w:pPr>
            <w:r>
              <w:rPr>
                <w:color w:val="000000" w:themeColor="text1"/>
                <w:lang w:eastAsia="en-AU"/>
              </w:rPr>
              <w:t>3.95</w:t>
            </w:r>
          </w:p>
        </w:tc>
      </w:tr>
      <w:tr w:rsidR="002E0941" w14:paraId="70EFBD27" w14:textId="77777777" w:rsidTr="008B2386">
        <w:trPr>
          <w:cantSplit/>
        </w:trPr>
        <w:tc>
          <w:tcPr>
            <w:tcW w:w="0" w:type="dxa"/>
            <w:tcBorders>
              <w:top w:val="single" w:sz="4" w:space="0" w:color="auto"/>
              <w:left w:val="single" w:sz="4" w:space="0" w:color="auto"/>
              <w:bottom w:val="single" w:sz="4" w:space="0" w:color="auto"/>
              <w:right w:val="single" w:sz="4" w:space="0" w:color="auto"/>
            </w:tcBorders>
            <w:hideMark/>
          </w:tcPr>
          <w:p w14:paraId="607E7663" w14:textId="77777777" w:rsidR="002E0941" w:rsidRDefault="002E0941" w:rsidP="00685B35">
            <w:pPr>
              <w:pStyle w:val="Tabletext9pt"/>
              <w:rPr>
                <w:szCs w:val="18"/>
                <w:lang w:eastAsia="en-AU"/>
              </w:rPr>
            </w:pPr>
            <w:r>
              <w:rPr>
                <w:szCs w:val="18"/>
                <w:lang w:eastAsia="en-AU"/>
              </w:rPr>
              <w:t>HACC-PYP Community Care</w:t>
            </w:r>
          </w:p>
        </w:tc>
        <w:tc>
          <w:tcPr>
            <w:tcW w:w="0" w:type="dxa"/>
            <w:tcBorders>
              <w:top w:val="single" w:sz="4" w:space="0" w:color="auto"/>
              <w:left w:val="single" w:sz="4" w:space="0" w:color="auto"/>
              <w:bottom w:val="single" w:sz="4" w:space="0" w:color="auto"/>
              <w:right w:val="single" w:sz="4" w:space="0" w:color="auto"/>
            </w:tcBorders>
            <w:hideMark/>
          </w:tcPr>
          <w:p w14:paraId="6E90AC5F" w14:textId="77777777" w:rsidR="002E0941" w:rsidRDefault="002E0941" w:rsidP="00685B35">
            <w:pPr>
              <w:pStyle w:val="Tabletext9pt"/>
              <w:rPr>
                <w:szCs w:val="18"/>
                <w:lang w:eastAsia="en-AU"/>
              </w:rPr>
            </w:pPr>
            <w:r>
              <w:rPr>
                <w:szCs w:val="18"/>
                <w:lang w:eastAsia="en-AU"/>
              </w:rPr>
              <w:t>Hour</w:t>
            </w:r>
          </w:p>
        </w:tc>
        <w:tc>
          <w:tcPr>
            <w:tcW w:w="0" w:type="dxa"/>
            <w:tcBorders>
              <w:top w:val="single" w:sz="4" w:space="0" w:color="auto"/>
              <w:left w:val="single" w:sz="4" w:space="0" w:color="auto"/>
              <w:bottom w:val="single" w:sz="4" w:space="0" w:color="auto"/>
              <w:right w:val="single" w:sz="4" w:space="0" w:color="auto"/>
            </w:tcBorders>
          </w:tcPr>
          <w:p w14:paraId="3F31B4BE" w14:textId="2B5554F7" w:rsidR="002E0941" w:rsidRPr="00016A88" w:rsidRDefault="00207FDA" w:rsidP="00685B35">
            <w:pPr>
              <w:pStyle w:val="Tabletext9pt"/>
              <w:jc w:val="right"/>
              <w:rPr>
                <w:color w:val="000000" w:themeColor="text1"/>
                <w:lang w:eastAsia="en-AU"/>
              </w:rPr>
            </w:pPr>
            <w:r>
              <w:rPr>
                <w:color w:val="000000" w:themeColor="text1"/>
                <w:lang w:eastAsia="en-AU"/>
              </w:rPr>
              <w:t>54.81</w:t>
            </w:r>
          </w:p>
        </w:tc>
      </w:tr>
      <w:tr w:rsidR="002E0941" w14:paraId="520F030D" w14:textId="77777777" w:rsidTr="008B2386">
        <w:trPr>
          <w:cantSplit/>
        </w:trPr>
        <w:tc>
          <w:tcPr>
            <w:tcW w:w="0" w:type="dxa"/>
            <w:tcBorders>
              <w:top w:val="single" w:sz="4" w:space="0" w:color="auto"/>
              <w:left w:val="single" w:sz="4" w:space="0" w:color="auto"/>
              <w:bottom w:val="single" w:sz="4" w:space="0" w:color="auto"/>
              <w:right w:val="single" w:sz="4" w:space="0" w:color="auto"/>
            </w:tcBorders>
            <w:hideMark/>
          </w:tcPr>
          <w:p w14:paraId="38388318" w14:textId="77777777" w:rsidR="002E0941" w:rsidRDefault="002E0941" w:rsidP="00685B35">
            <w:pPr>
              <w:pStyle w:val="Tabletext9pt"/>
              <w:rPr>
                <w:szCs w:val="18"/>
                <w:lang w:eastAsia="en-AU"/>
              </w:rPr>
            </w:pPr>
            <w:r>
              <w:rPr>
                <w:szCs w:val="18"/>
                <w:lang w:eastAsia="en-AU"/>
              </w:rPr>
              <w:t>HACC-PYP Nursing</w:t>
            </w:r>
          </w:p>
        </w:tc>
        <w:tc>
          <w:tcPr>
            <w:tcW w:w="0" w:type="dxa"/>
            <w:tcBorders>
              <w:top w:val="single" w:sz="4" w:space="0" w:color="auto"/>
              <w:left w:val="single" w:sz="4" w:space="0" w:color="auto"/>
              <w:bottom w:val="single" w:sz="4" w:space="0" w:color="auto"/>
              <w:right w:val="single" w:sz="4" w:space="0" w:color="auto"/>
            </w:tcBorders>
            <w:hideMark/>
          </w:tcPr>
          <w:p w14:paraId="6B0A085B" w14:textId="77777777" w:rsidR="002E0941" w:rsidRDefault="002E0941" w:rsidP="00685B35">
            <w:pPr>
              <w:pStyle w:val="Tabletext9pt"/>
              <w:rPr>
                <w:szCs w:val="18"/>
                <w:lang w:eastAsia="en-AU"/>
              </w:rPr>
            </w:pPr>
            <w:r>
              <w:rPr>
                <w:szCs w:val="18"/>
                <w:lang w:eastAsia="en-AU"/>
              </w:rPr>
              <w:t>Hour</w:t>
            </w:r>
          </w:p>
        </w:tc>
        <w:tc>
          <w:tcPr>
            <w:tcW w:w="0" w:type="dxa"/>
            <w:tcBorders>
              <w:top w:val="single" w:sz="4" w:space="0" w:color="auto"/>
              <w:left w:val="single" w:sz="4" w:space="0" w:color="auto"/>
              <w:bottom w:val="single" w:sz="4" w:space="0" w:color="auto"/>
              <w:right w:val="single" w:sz="4" w:space="0" w:color="auto"/>
            </w:tcBorders>
          </w:tcPr>
          <w:p w14:paraId="7AEF86B0" w14:textId="03A958A8" w:rsidR="002E0941" w:rsidRPr="00016A88" w:rsidRDefault="00842742" w:rsidP="00685B35">
            <w:pPr>
              <w:pStyle w:val="Tabletext9pt"/>
              <w:jc w:val="right"/>
              <w:rPr>
                <w:color w:val="000000" w:themeColor="text1"/>
                <w:lang w:eastAsia="en-AU"/>
              </w:rPr>
            </w:pPr>
            <w:r>
              <w:rPr>
                <w:color w:val="000000" w:themeColor="text1"/>
                <w:lang w:eastAsia="en-AU"/>
              </w:rPr>
              <w:t>109.03</w:t>
            </w:r>
          </w:p>
        </w:tc>
      </w:tr>
      <w:tr w:rsidR="002E0941" w14:paraId="121F23AF" w14:textId="77777777" w:rsidTr="008B2386">
        <w:trPr>
          <w:cantSplit/>
        </w:trPr>
        <w:tc>
          <w:tcPr>
            <w:tcW w:w="0" w:type="dxa"/>
            <w:tcBorders>
              <w:top w:val="single" w:sz="4" w:space="0" w:color="auto"/>
              <w:left w:val="single" w:sz="4" w:space="0" w:color="auto"/>
              <w:bottom w:val="single" w:sz="4" w:space="0" w:color="auto"/>
              <w:right w:val="single" w:sz="4" w:space="0" w:color="auto"/>
            </w:tcBorders>
            <w:hideMark/>
          </w:tcPr>
          <w:p w14:paraId="24F4DFF8" w14:textId="77777777" w:rsidR="002E0941" w:rsidRDefault="002E0941" w:rsidP="00685B35">
            <w:pPr>
              <w:pStyle w:val="Tabletext9pt"/>
              <w:rPr>
                <w:szCs w:val="18"/>
                <w:lang w:eastAsia="en-AU"/>
              </w:rPr>
            </w:pPr>
            <w:r>
              <w:rPr>
                <w:szCs w:val="18"/>
                <w:lang w:eastAsia="en-AU"/>
              </w:rPr>
              <w:t>HACC-PYP Planned Activity Group</w:t>
            </w:r>
          </w:p>
        </w:tc>
        <w:tc>
          <w:tcPr>
            <w:tcW w:w="0" w:type="dxa"/>
            <w:tcBorders>
              <w:top w:val="single" w:sz="4" w:space="0" w:color="auto"/>
              <w:left w:val="single" w:sz="4" w:space="0" w:color="auto"/>
              <w:bottom w:val="single" w:sz="4" w:space="0" w:color="auto"/>
              <w:right w:val="single" w:sz="4" w:space="0" w:color="auto"/>
            </w:tcBorders>
            <w:hideMark/>
          </w:tcPr>
          <w:p w14:paraId="6140E331" w14:textId="77777777" w:rsidR="002E0941" w:rsidRDefault="002E0941" w:rsidP="00685B35">
            <w:pPr>
              <w:pStyle w:val="Tabletext9pt"/>
              <w:rPr>
                <w:szCs w:val="18"/>
                <w:lang w:eastAsia="en-AU"/>
              </w:rPr>
            </w:pPr>
            <w:r>
              <w:rPr>
                <w:szCs w:val="18"/>
                <w:lang w:eastAsia="en-AU"/>
              </w:rPr>
              <w:t>Person-hour</w:t>
            </w:r>
          </w:p>
        </w:tc>
        <w:tc>
          <w:tcPr>
            <w:tcW w:w="0" w:type="dxa"/>
            <w:tcBorders>
              <w:top w:val="single" w:sz="4" w:space="0" w:color="auto"/>
              <w:left w:val="single" w:sz="4" w:space="0" w:color="auto"/>
              <w:bottom w:val="single" w:sz="4" w:space="0" w:color="auto"/>
              <w:right w:val="single" w:sz="4" w:space="0" w:color="auto"/>
            </w:tcBorders>
          </w:tcPr>
          <w:p w14:paraId="1158AE30" w14:textId="12BADF1B" w:rsidR="002E0941" w:rsidRDefault="005E06D4" w:rsidP="00685B35">
            <w:pPr>
              <w:pStyle w:val="Tabletext9pt"/>
              <w:jc w:val="right"/>
              <w:rPr>
                <w:lang w:eastAsia="en-AU"/>
              </w:rPr>
            </w:pPr>
            <w:r>
              <w:rPr>
                <w:lang w:eastAsia="en-AU"/>
              </w:rPr>
              <w:t>18.41</w:t>
            </w:r>
          </w:p>
        </w:tc>
      </w:tr>
      <w:tr w:rsidR="002E0941" w14:paraId="394FDBE9" w14:textId="77777777" w:rsidTr="008B2386">
        <w:trPr>
          <w:cantSplit/>
        </w:trPr>
        <w:tc>
          <w:tcPr>
            <w:tcW w:w="0" w:type="dxa"/>
            <w:tcBorders>
              <w:top w:val="single" w:sz="4" w:space="0" w:color="auto"/>
              <w:left w:val="single" w:sz="4" w:space="0" w:color="auto"/>
              <w:bottom w:val="single" w:sz="4" w:space="0" w:color="auto"/>
              <w:right w:val="single" w:sz="4" w:space="0" w:color="auto"/>
            </w:tcBorders>
            <w:hideMark/>
          </w:tcPr>
          <w:p w14:paraId="4FA8A58C" w14:textId="77777777" w:rsidR="002E0941" w:rsidRDefault="002E0941" w:rsidP="00685B35">
            <w:pPr>
              <w:pStyle w:val="Tabletext9pt"/>
              <w:rPr>
                <w:szCs w:val="18"/>
                <w:lang w:eastAsia="en-AU"/>
              </w:rPr>
            </w:pPr>
            <w:r>
              <w:rPr>
                <w:szCs w:val="18"/>
                <w:lang w:eastAsia="en-AU"/>
              </w:rPr>
              <w:t>HACC-PYP Property Maintenance</w:t>
            </w:r>
          </w:p>
        </w:tc>
        <w:tc>
          <w:tcPr>
            <w:tcW w:w="0" w:type="dxa"/>
            <w:tcBorders>
              <w:top w:val="single" w:sz="4" w:space="0" w:color="auto"/>
              <w:left w:val="single" w:sz="4" w:space="0" w:color="auto"/>
              <w:bottom w:val="single" w:sz="4" w:space="0" w:color="auto"/>
              <w:right w:val="single" w:sz="4" w:space="0" w:color="auto"/>
            </w:tcBorders>
            <w:hideMark/>
          </w:tcPr>
          <w:p w14:paraId="13E3D5D0" w14:textId="77777777" w:rsidR="002E0941" w:rsidRDefault="002E0941" w:rsidP="00685B35">
            <w:pPr>
              <w:pStyle w:val="Tabletext9pt"/>
              <w:rPr>
                <w:szCs w:val="18"/>
                <w:lang w:eastAsia="en-AU"/>
              </w:rPr>
            </w:pPr>
            <w:r>
              <w:rPr>
                <w:szCs w:val="18"/>
                <w:lang w:eastAsia="en-AU"/>
              </w:rPr>
              <w:t>Hour</w:t>
            </w:r>
          </w:p>
        </w:tc>
        <w:tc>
          <w:tcPr>
            <w:tcW w:w="0" w:type="dxa"/>
            <w:tcBorders>
              <w:top w:val="single" w:sz="4" w:space="0" w:color="auto"/>
              <w:left w:val="single" w:sz="4" w:space="0" w:color="auto"/>
              <w:bottom w:val="single" w:sz="4" w:space="0" w:color="auto"/>
              <w:right w:val="single" w:sz="4" w:space="0" w:color="auto"/>
            </w:tcBorders>
          </w:tcPr>
          <w:p w14:paraId="268E39E5" w14:textId="7792EB52" w:rsidR="002E0941" w:rsidRDefault="00D44E33" w:rsidP="00685B35">
            <w:pPr>
              <w:pStyle w:val="Tabletext9pt"/>
              <w:jc w:val="right"/>
              <w:rPr>
                <w:lang w:eastAsia="en-AU"/>
              </w:rPr>
            </w:pPr>
            <w:r>
              <w:rPr>
                <w:lang w:eastAsia="en-AU"/>
              </w:rPr>
              <w:t>56.96</w:t>
            </w:r>
          </w:p>
        </w:tc>
      </w:tr>
      <w:tr w:rsidR="002E0941" w14:paraId="661F2802" w14:textId="77777777" w:rsidTr="008B2386">
        <w:trPr>
          <w:cantSplit/>
        </w:trPr>
        <w:tc>
          <w:tcPr>
            <w:tcW w:w="0" w:type="dxa"/>
            <w:tcBorders>
              <w:top w:val="single" w:sz="4" w:space="0" w:color="auto"/>
              <w:left w:val="single" w:sz="4" w:space="0" w:color="auto"/>
              <w:bottom w:val="single" w:sz="4" w:space="0" w:color="auto"/>
              <w:right w:val="single" w:sz="4" w:space="0" w:color="auto"/>
            </w:tcBorders>
            <w:hideMark/>
          </w:tcPr>
          <w:p w14:paraId="47B44BB1" w14:textId="77777777" w:rsidR="002E0941" w:rsidRDefault="002E0941" w:rsidP="00685B35">
            <w:pPr>
              <w:pStyle w:val="Tabletext9pt"/>
              <w:rPr>
                <w:szCs w:val="18"/>
                <w:lang w:eastAsia="en-AU"/>
              </w:rPr>
            </w:pPr>
            <w:r>
              <w:rPr>
                <w:szCs w:val="18"/>
                <w:lang w:eastAsia="en-AU"/>
              </w:rPr>
              <w:t>HACC-PYP Volunteer Coordination</w:t>
            </w:r>
          </w:p>
        </w:tc>
        <w:tc>
          <w:tcPr>
            <w:tcW w:w="0" w:type="dxa"/>
            <w:tcBorders>
              <w:top w:val="single" w:sz="4" w:space="0" w:color="auto"/>
              <w:left w:val="single" w:sz="4" w:space="0" w:color="auto"/>
              <w:bottom w:val="single" w:sz="4" w:space="0" w:color="auto"/>
              <w:right w:val="single" w:sz="4" w:space="0" w:color="auto"/>
            </w:tcBorders>
            <w:hideMark/>
          </w:tcPr>
          <w:p w14:paraId="6AC89B2B" w14:textId="77777777" w:rsidR="002E0941" w:rsidRDefault="002E0941" w:rsidP="00685B35">
            <w:pPr>
              <w:pStyle w:val="Tabletext9pt"/>
              <w:rPr>
                <w:szCs w:val="18"/>
                <w:lang w:eastAsia="en-AU"/>
              </w:rPr>
            </w:pPr>
            <w:r>
              <w:rPr>
                <w:szCs w:val="18"/>
                <w:lang w:eastAsia="en-AU"/>
              </w:rPr>
              <w:t>Hour</w:t>
            </w:r>
          </w:p>
        </w:tc>
        <w:tc>
          <w:tcPr>
            <w:tcW w:w="0" w:type="dxa"/>
            <w:tcBorders>
              <w:top w:val="single" w:sz="4" w:space="0" w:color="auto"/>
              <w:left w:val="single" w:sz="4" w:space="0" w:color="auto"/>
              <w:bottom w:val="single" w:sz="4" w:space="0" w:color="auto"/>
              <w:right w:val="single" w:sz="4" w:space="0" w:color="auto"/>
            </w:tcBorders>
          </w:tcPr>
          <w:p w14:paraId="2CF5A09B" w14:textId="5A5A97FB" w:rsidR="002E0941" w:rsidRDefault="00506941" w:rsidP="00685B35">
            <w:pPr>
              <w:pStyle w:val="Tabletext9pt"/>
              <w:jc w:val="right"/>
              <w:rPr>
                <w:lang w:eastAsia="en-AU"/>
              </w:rPr>
            </w:pPr>
            <w:r>
              <w:rPr>
                <w:lang w:eastAsia="en-AU"/>
              </w:rPr>
              <w:t>46.45</w:t>
            </w:r>
          </w:p>
        </w:tc>
      </w:tr>
    </w:tbl>
    <w:p w14:paraId="05F3D861" w14:textId="43EC06FB" w:rsidR="000B27B9" w:rsidRDefault="000B27B9" w:rsidP="00274DA1"/>
    <w:p w14:paraId="2ED8EAA3" w14:textId="6AB3F6A8" w:rsidR="00A258F8" w:rsidRDefault="00530623" w:rsidP="00081936">
      <w:pPr>
        <w:pStyle w:val="Heading3"/>
        <w:numPr>
          <w:ilvl w:val="2"/>
          <w:numId w:val="33"/>
        </w:numPr>
        <w:ind w:left="1134"/>
      </w:pPr>
      <w:bookmarkStart w:id="860" w:name="_Toc156569682"/>
      <w:r w:rsidRPr="00530623">
        <w:lastRenderedPageBreak/>
        <w:t xml:space="preserve">Small rural health services </w:t>
      </w:r>
      <w:r w:rsidR="00D313FF">
        <w:t>–</w:t>
      </w:r>
      <w:r w:rsidR="00D313FF" w:rsidRPr="00530623">
        <w:t xml:space="preserve"> </w:t>
      </w:r>
      <w:r w:rsidRPr="00530623">
        <w:t xml:space="preserve">ageing, </w:t>
      </w:r>
      <w:r w:rsidR="009522D1">
        <w:br/>
      </w:r>
      <w:r w:rsidRPr="00530623">
        <w:t>aged and home care</w:t>
      </w:r>
      <w:bookmarkEnd w:id="860"/>
    </w:p>
    <w:p w14:paraId="54C6528A" w14:textId="44E6534A" w:rsidR="00340749" w:rsidRDefault="00340749" w:rsidP="00340749">
      <w:pPr>
        <w:pStyle w:val="Tablecaption"/>
        <w:spacing w:line="240" w:lineRule="auto"/>
      </w:pPr>
      <w:bookmarkStart w:id="861" w:name="_Toc419623621"/>
      <w:bookmarkStart w:id="862" w:name="_Toc419623733"/>
      <w:bookmarkStart w:id="863" w:name="_Toc156568667"/>
      <w:bookmarkEnd w:id="855"/>
      <w:bookmarkEnd w:id="856"/>
      <w:bookmarkEnd w:id="857"/>
      <w:bookmarkEnd w:id="859"/>
      <w:bookmarkEnd w:id="861"/>
      <w:bookmarkEnd w:id="862"/>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24</w:t>
      </w:r>
      <w:r>
        <w:fldChar w:fldCharType="end"/>
      </w:r>
      <w:r>
        <w:t xml:space="preserve">: Small Rural Health Services – </w:t>
      </w:r>
      <w:r w:rsidRPr="005D2D11">
        <w:t>202</w:t>
      </w:r>
      <w:r>
        <w:t>3</w:t>
      </w:r>
      <w:r w:rsidRPr="005D2D11">
        <w:t>–2</w:t>
      </w:r>
      <w:r>
        <w:t>4</w:t>
      </w:r>
      <w:bookmarkEnd w:id="863"/>
    </w:p>
    <w:p w14:paraId="682D1D3C" w14:textId="3A8D5088" w:rsidR="00340749" w:rsidRPr="00340749" w:rsidRDefault="00340749" w:rsidP="00685B35">
      <w:pPr>
        <w:pStyle w:val="Bodyaftertablefigure"/>
      </w:pPr>
      <w:r>
        <w:t>Program area: Small rural health services – Home and Community Care</w:t>
      </w:r>
    </w:p>
    <w:tbl>
      <w:tblPr>
        <w:tblStyle w:val="TableGrid1"/>
        <w:tblW w:w="9299" w:type="dxa"/>
        <w:tblLook w:val="06A0" w:firstRow="1" w:lastRow="0" w:firstColumn="1" w:lastColumn="0" w:noHBand="1" w:noVBand="1"/>
      </w:tblPr>
      <w:tblGrid>
        <w:gridCol w:w="3878"/>
        <w:gridCol w:w="2360"/>
        <w:gridCol w:w="3061"/>
      </w:tblGrid>
      <w:tr w:rsidR="009A1786" w14:paraId="086567DD"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0E3FDCF3" w14:textId="77777777" w:rsidR="009A1786" w:rsidRPr="00D313FF" w:rsidRDefault="009A1786" w:rsidP="00685B35">
            <w:pPr>
              <w:pStyle w:val="Tablecolhead"/>
            </w:pPr>
            <w:r w:rsidRPr="00D313FF">
              <w:t>Service</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430C216E" w14:textId="77777777" w:rsidR="009A1786" w:rsidRPr="00D313FF" w:rsidRDefault="009A1786" w:rsidP="00685B35">
            <w:pPr>
              <w:pStyle w:val="Tablecolhead"/>
            </w:pPr>
            <w:r w:rsidRPr="00D313FF">
              <w:t>Funded unit</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436B59EB" w14:textId="77777777" w:rsidR="009A1786" w:rsidRPr="00D313FF" w:rsidRDefault="009A1786" w:rsidP="00685B35">
            <w:pPr>
              <w:pStyle w:val="Tablecolhead"/>
            </w:pPr>
            <w:r w:rsidRPr="00D313FF">
              <w:t>Estimated unit price ($)</w:t>
            </w:r>
          </w:p>
        </w:tc>
      </w:tr>
      <w:tr w:rsidR="009A1786" w14:paraId="4ACEFCE7" w14:textId="77777777" w:rsidTr="00425B0D">
        <w:tc>
          <w:tcPr>
            <w:tcW w:w="3878" w:type="dxa"/>
            <w:tcBorders>
              <w:top w:val="single" w:sz="4" w:space="0" w:color="auto"/>
              <w:left w:val="single" w:sz="4" w:space="0" w:color="auto"/>
              <w:bottom w:val="single" w:sz="4" w:space="0" w:color="auto"/>
              <w:right w:val="single" w:sz="4" w:space="0" w:color="auto"/>
            </w:tcBorders>
            <w:hideMark/>
          </w:tcPr>
          <w:p w14:paraId="354E3472" w14:textId="2B3E0924" w:rsidR="009A1786" w:rsidRDefault="009A1786">
            <w:pPr>
              <w:pStyle w:val="Tabletext9pt"/>
            </w:pPr>
            <w:r>
              <w:t xml:space="preserve">HACC-PYP </w:t>
            </w:r>
            <w:r w:rsidR="00D313FF">
              <w:t>access and support</w:t>
            </w:r>
          </w:p>
        </w:tc>
        <w:tc>
          <w:tcPr>
            <w:tcW w:w="2360" w:type="dxa"/>
            <w:tcBorders>
              <w:top w:val="single" w:sz="4" w:space="0" w:color="auto"/>
              <w:left w:val="single" w:sz="4" w:space="0" w:color="auto"/>
              <w:bottom w:val="single" w:sz="4" w:space="0" w:color="auto"/>
              <w:right w:val="single" w:sz="4" w:space="0" w:color="auto"/>
            </w:tcBorders>
            <w:hideMark/>
          </w:tcPr>
          <w:p w14:paraId="143EC4DF" w14:textId="77777777" w:rsidR="009A1786" w:rsidRDefault="009A1786">
            <w:pPr>
              <w:pStyle w:val="Tabletext9pt"/>
              <w:rPr>
                <w:rFonts w:cs="Arial"/>
                <w:lang w:eastAsia="en-AU"/>
              </w:rPr>
            </w:pPr>
            <w:r>
              <w:rPr>
                <w:rFonts w:cs="Arial"/>
              </w:rPr>
              <w:t>Hour</w:t>
            </w:r>
          </w:p>
        </w:tc>
        <w:tc>
          <w:tcPr>
            <w:tcW w:w="3061" w:type="dxa"/>
            <w:tcBorders>
              <w:top w:val="single" w:sz="4" w:space="0" w:color="auto"/>
              <w:left w:val="single" w:sz="4" w:space="0" w:color="auto"/>
              <w:bottom w:val="single" w:sz="4" w:space="0" w:color="auto"/>
              <w:right w:val="single" w:sz="4" w:space="0" w:color="auto"/>
            </w:tcBorders>
          </w:tcPr>
          <w:p w14:paraId="47134F1E" w14:textId="2790F704" w:rsidR="009A1786" w:rsidRDefault="00604E60">
            <w:pPr>
              <w:pStyle w:val="Tabletext9pt"/>
              <w:jc w:val="right"/>
            </w:pPr>
            <w:r>
              <w:t>76.42</w:t>
            </w:r>
          </w:p>
        </w:tc>
      </w:tr>
      <w:tr w:rsidR="009A1786" w14:paraId="6ECF72F0" w14:textId="77777777" w:rsidTr="00425B0D">
        <w:tc>
          <w:tcPr>
            <w:tcW w:w="3878" w:type="dxa"/>
            <w:tcBorders>
              <w:top w:val="single" w:sz="4" w:space="0" w:color="auto"/>
              <w:left w:val="single" w:sz="4" w:space="0" w:color="auto"/>
              <w:bottom w:val="single" w:sz="4" w:space="0" w:color="auto"/>
              <w:right w:val="single" w:sz="4" w:space="0" w:color="auto"/>
            </w:tcBorders>
            <w:hideMark/>
          </w:tcPr>
          <w:p w14:paraId="01C8FCF1" w14:textId="1272A40A" w:rsidR="009A1786" w:rsidRDefault="009A1786">
            <w:pPr>
              <w:pStyle w:val="Tabletext9pt"/>
            </w:pPr>
            <w:r>
              <w:t xml:space="preserve">HACC-PYP </w:t>
            </w:r>
            <w:r w:rsidR="00D313FF">
              <w:t>occupational therapy</w:t>
            </w:r>
          </w:p>
        </w:tc>
        <w:tc>
          <w:tcPr>
            <w:tcW w:w="2360" w:type="dxa"/>
            <w:tcBorders>
              <w:top w:val="single" w:sz="4" w:space="0" w:color="auto"/>
              <w:left w:val="single" w:sz="4" w:space="0" w:color="auto"/>
              <w:bottom w:val="single" w:sz="4" w:space="0" w:color="auto"/>
              <w:right w:val="single" w:sz="4" w:space="0" w:color="auto"/>
            </w:tcBorders>
            <w:hideMark/>
          </w:tcPr>
          <w:p w14:paraId="169C66EB" w14:textId="77777777" w:rsidR="009A1786" w:rsidRDefault="009A1786">
            <w:pPr>
              <w:pStyle w:val="Tabletext9pt"/>
              <w:rPr>
                <w:rFonts w:cs="Arial"/>
                <w:lang w:eastAsia="en-AU"/>
              </w:rPr>
            </w:pPr>
            <w:r>
              <w:rPr>
                <w:rFonts w:cs="Arial"/>
              </w:rPr>
              <w:t>Hour</w:t>
            </w:r>
          </w:p>
        </w:tc>
        <w:tc>
          <w:tcPr>
            <w:tcW w:w="3061" w:type="dxa"/>
            <w:tcBorders>
              <w:top w:val="single" w:sz="4" w:space="0" w:color="auto"/>
              <w:left w:val="single" w:sz="4" w:space="0" w:color="auto"/>
              <w:bottom w:val="single" w:sz="4" w:space="0" w:color="auto"/>
              <w:right w:val="single" w:sz="4" w:space="0" w:color="auto"/>
            </w:tcBorders>
          </w:tcPr>
          <w:p w14:paraId="09251626" w14:textId="7F610980" w:rsidR="009A1786" w:rsidRDefault="00604E60">
            <w:pPr>
              <w:pStyle w:val="Tabletext9pt"/>
              <w:jc w:val="right"/>
            </w:pPr>
            <w:r>
              <w:t>113.48</w:t>
            </w:r>
          </w:p>
        </w:tc>
      </w:tr>
      <w:tr w:rsidR="009A1786" w14:paraId="2D2C92A4" w14:textId="77777777" w:rsidTr="00425B0D">
        <w:tc>
          <w:tcPr>
            <w:tcW w:w="3878" w:type="dxa"/>
            <w:tcBorders>
              <w:top w:val="single" w:sz="4" w:space="0" w:color="auto"/>
              <w:left w:val="single" w:sz="4" w:space="0" w:color="auto"/>
              <w:bottom w:val="single" w:sz="4" w:space="0" w:color="auto"/>
              <w:right w:val="single" w:sz="4" w:space="0" w:color="auto"/>
            </w:tcBorders>
            <w:hideMark/>
          </w:tcPr>
          <w:p w14:paraId="277957CD" w14:textId="61DF03ED" w:rsidR="009A1786" w:rsidRDefault="009A1786">
            <w:pPr>
              <w:pStyle w:val="Tabletext9pt"/>
            </w:pPr>
            <w:r>
              <w:t xml:space="preserve">HACC-PYP </w:t>
            </w:r>
            <w:r w:rsidR="00D313FF">
              <w:t>p</w:t>
            </w:r>
            <w:r>
              <w:t>odiatry</w:t>
            </w:r>
          </w:p>
        </w:tc>
        <w:tc>
          <w:tcPr>
            <w:tcW w:w="2360" w:type="dxa"/>
            <w:tcBorders>
              <w:top w:val="single" w:sz="4" w:space="0" w:color="auto"/>
              <w:left w:val="single" w:sz="4" w:space="0" w:color="auto"/>
              <w:bottom w:val="single" w:sz="4" w:space="0" w:color="auto"/>
              <w:right w:val="single" w:sz="4" w:space="0" w:color="auto"/>
            </w:tcBorders>
            <w:hideMark/>
          </w:tcPr>
          <w:p w14:paraId="752A1BA0" w14:textId="77777777" w:rsidR="009A1786" w:rsidRDefault="009A1786">
            <w:pPr>
              <w:pStyle w:val="Tabletext9pt"/>
              <w:rPr>
                <w:rFonts w:cs="Arial"/>
                <w:lang w:eastAsia="en-AU"/>
              </w:rPr>
            </w:pPr>
            <w:r>
              <w:rPr>
                <w:rFonts w:cs="Arial"/>
              </w:rPr>
              <w:t>Hour</w:t>
            </w:r>
          </w:p>
        </w:tc>
        <w:tc>
          <w:tcPr>
            <w:tcW w:w="3061" w:type="dxa"/>
            <w:tcBorders>
              <w:top w:val="single" w:sz="4" w:space="0" w:color="auto"/>
              <w:left w:val="single" w:sz="4" w:space="0" w:color="auto"/>
              <w:bottom w:val="single" w:sz="4" w:space="0" w:color="auto"/>
              <w:right w:val="single" w:sz="4" w:space="0" w:color="auto"/>
            </w:tcBorders>
          </w:tcPr>
          <w:p w14:paraId="6B72C641" w14:textId="48B6646B" w:rsidR="009A1786" w:rsidRDefault="00083174">
            <w:pPr>
              <w:pStyle w:val="Tabletext9pt"/>
              <w:jc w:val="right"/>
            </w:pPr>
            <w:r>
              <w:t>113.48</w:t>
            </w:r>
          </w:p>
        </w:tc>
      </w:tr>
      <w:tr w:rsidR="009A1786" w14:paraId="45BF4F8C" w14:textId="77777777" w:rsidTr="00425B0D">
        <w:tc>
          <w:tcPr>
            <w:tcW w:w="3878" w:type="dxa"/>
            <w:tcBorders>
              <w:top w:val="single" w:sz="4" w:space="0" w:color="auto"/>
              <w:left w:val="single" w:sz="4" w:space="0" w:color="auto"/>
              <w:bottom w:val="single" w:sz="4" w:space="0" w:color="auto"/>
              <w:right w:val="single" w:sz="4" w:space="0" w:color="auto"/>
            </w:tcBorders>
            <w:hideMark/>
          </w:tcPr>
          <w:p w14:paraId="22026E21" w14:textId="43A68D23" w:rsidR="009A1786" w:rsidRDefault="009A1786">
            <w:pPr>
              <w:pStyle w:val="Tabletext9pt"/>
            </w:pPr>
            <w:r>
              <w:t xml:space="preserve">HACC-PYP </w:t>
            </w:r>
            <w:r w:rsidR="00D313FF">
              <w:t>detetics</w:t>
            </w:r>
          </w:p>
        </w:tc>
        <w:tc>
          <w:tcPr>
            <w:tcW w:w="2360" w:type="dxa"/>
            <w:tcBorders>
              <w:top w:val="single" w:sz="4" w:space="0" w:color="auto"/>
              <w:left w:val="single" w:sz="4" w:space="0" w:color="auto"/>
              <w:bottom w:val="single" w:sz="4" w:space="0" w:color="auto"/>
              <w:right w:val="single" w:sz="4" w:space="0" w:color="auto"/>
            </w:tcBorders>
            <w:hideMark/>
          </w:tcPr>
          <w:p w14:paraId="5247A594" w14:textId="77777777" w:rsidR="009A1786" w:rsidRDefault="009A1786">
            <w:pPr>
              <w:pStyle w:val="Tabletext9pt"/>
              <w:rPr>
                <w:rFonts w:cs="Arial"/>
                <w:lang w:eastAsia="en-AU"/>
              </w:rPr>
            </w:pPr>
            <w:r>
              <w:rPr>
                <w:rFonts w:cs="Arial"/>
              </w:rPr>
              <w:t>Hour</w:t>
            </w:r>
          </w:p>
        </w:tc>
        <w:tc>
          <w:tcPr>
            <w:tcW w:w="3061" w:type="dxa"/>
            <w:tcBorders>
              <w:top w:val="single" w:sz="4" w:space="0" w:color="auto"/>
              <w:left w:val="single" w:sz="4" w:space="0" w:color="auto"/>
              <w:bottom w:val="single" w:sz="4" w:space="0" w:color="auto"/>
              <w:right w:val="single" w:sz="4" w:space="0" w:color="auto"/>
            </w:tcBorders>
          </w:tcPr>
          <w:p w14:paraId="21A80472" w14:textId="18372C86" w:rsidR="009A1786" w:rsidRDefault="00083174">
            <w:pPr>
              <w:pStyle w:val="Tabletext9pt"/>
              <w:jc w:val="right"/>
            </w:pPr>
            <w:r>
              <w:t>113.48</w:t>
            </w:r>
          </w:p>
        </w:tc>
      </w:tr>
      <w:tr w:rsidR="009A1786" w14:paraId="63E63BCB" w14:textId="77777777" w:rsidTr="00425B0D">
        <w:tc>
          <w:tcPr>
            <w:tcW w:w="3878" w:type="dxa"/>
            <w:tcBorders>
              <w:top w:val="single" w:sz="4" w:space="0" w:color="auto"/>
              <w:left w:val="single" w:sz="4" w:space="0" w:color="auto"/>
              <w:bottom w:val="single" w:sz="4" w:space="0" w:color="auto"/>
              <w:right w:val="single" w:sz="4" w:space="0" w:color="auto"/>
            </w:tcBorders>
            <w:hideMark/>
          </w:tcPr>
          <w:p w14:paraId="575B884C" w14:textId="69C327FE" w:rsidR="009A1786" w:rsidRDefault="009A1786">
            <w:pPr>
              <w:pStyle w:val="Tabletext9pt"/>
            </w:pPr>
            <w:r>
              <w:t xml:space="preserve">HACC-PYP </w:t>
            </w:r>
            <w:r w:rsidR="00D313FF">
              <w:t>speech therapy</w:t>
            </w:r>
          </w:p>
        </w:tc>
        <w:tc>
          <w:tcPr>
            <w:tcW w:w="2360" w:type="dxa"/>
            <w:tcBorders>
              <w:top w:val="single" w:sz="4" w:space="0" w:color="auto"/>
              <w:left w:val="single" w:sz="4" w:space="0" w:color="auto"/>
              <w:bottom w:val="single" w:sz="4" w:space="0" w:color="auto"/>
              <w:right w:val="single" w:sz="4" w:space="0" w:color="auto"/>
            </w:tcBorders>
            <w:hideMark/>
          </w:tcPr>
          <w:p w14:paraId="6D88AEAA" w14:textId="77777777" w:rsidR="009A1786" w:rsidRDefault="009A1786">
            <w:pPr>
              <w:pStyle w:val="Tabletext9pt"/>
              <w:rPr>
                <w:rFonts w:cs="Arial"/>
                <w:lang w:eastAsia="en-AU"/>
              </w:rPr>
            </w:pPr>
            <w:r>
              <w:rPr>
                <w:rFonts w:cs="Arial"/>
              </w:rPr>
              <w:t>Hour</w:t>
            </w:r>
          </w:p>
        </w:tc>
        <w:tc>
          <w:tcPr>
            <w:tcW w:w="3061" w:type="dxa"/>
            <w:tcBorders>
              <w:top w:val="single" w:sz="4" w:space="0" w:color="auto"/>
              <w:left w:val="single" w:sz="4" w:space="0" w:color="auto"/>
              <w:bottom w:val="single" w:sz="4" w:space="0" w:color="auto"/>
              <w:right w:val="single" w:sz="4" w:space="0" w:color="auto"/>
            </w:tcBorders>
          </w:tcPr>
          <w:p w14:paraId="2FA18E8B" w14:textId="17B3C761" w:rsidR="009A1786" w:rsidRDefault="005A5CDC">
            <w:pPr>
              <w:pStyle w:val="Tabletext9pt"/>
              <w:jc w:val="right"/>
            </w:pPr>
            <w:r>
              <w:t>113.48</w:t>
            </w:r>
          </w:p>
        </w:tc>
      </w:tr>
      <w:tr w:rsidR="009A1786" w14:paraId="26F0CAD8" w14:textId="77777777" w:rsidTr="00425B0D">
        <w:tc>
          <w:tcPr>
            <w:tcW w:w="3878" w:type="dxa"/>
            <w:tcBorders>
              <w:top w:val="single" w:sz="4" w:space="0" w:color="auto"/>
              <w:left w:val="single" w:sz="4" w:space="0" w:color="auto"/>
              <w:bottom w:val="single" w:sz="4" w:space="0" w:color="auto"/>
              <w:right w:val="single" w:sz="4" w:space="0" w:color="auto"/>
            </w:tcBorders>
            <w:hideMark/>
          </w:tcPr>
          <w:p w14:paraId="1290B7A9" w14:textId="7EE235C7" w:rsidR="009A1786" w:rsidRDefault="009A1786">
            <w:pPr>
              <w:pStyle w:val="Tabletext9pt"/>
            </w:pPr>
            <w:r>
              <w:t xml:space="preserve">HACC-PYP </w:t>
            </w:r>
            <w:r w:rsidR="00D313FF">
              <w:t>physiotherapy</w:t>
            </w:r>
          </w:p>
        </w:tc>
        <w:tc>
          <w:tcPr>
            <w:tcW w:w="2360" w:type="dxa"/>
            <w:tcBorders>
              <w:top w:val="single" w:sz="4" w:space="0" w:color="auto"/>
              <w:left w:val="single" w:sz="4" w:space="0" w:color="auto"/>
              <w:bottom w:val="single" w:sz="4" w:space="0" w:color="auto"/>
              <w:right w:val="single" w:sz="4" w:space="0" w:color="auto"/>
            </w:tcBorders>
            <w:hideMark/>
          </w:tcPr>
          <w:p w14:paraId="54E28ADC" w14:textId="77777777" w:rsidR="009A1786" w:rsidRDefault="009A1786">
            <w:pPr>
              <w:pStyle w:val="Tabletext9pt"/>
              <w:rPr>
                <w:rFonts w:cs="Arial"/>
                <w:lang w:eastAsia="en-AU"/>
              </w:rPr>
            </w:pPr>
            <w:r>
              <w:rPr>
                <w:rFonts w:cs="Arial"/>
              </w:rPr>
              <w:t>Hour</w:t>
            </w:r>
          </w:p>
        </w:tc>
        <w:tc>
          <w:tcPr>
            <w:tcW w:w="3061" w:type="dxa"/>
            <w:tcBorders>
              <w:top w:val="single" w:sz="4" w:space="0" w:color="auto"/>
              <w:left w:val="single" w:sz="4" w:space="0" w:color="auto"/>
              <w:bottom w:val="single" w:sz="4" w:space="0" w:color="auto"/>
              <w:right w:val="single" w:sz="4" w:space="0" w:color="auto"/>
            </w:tcBorders>
          </w:tcPr>
          <w:p w14:paraId="11F60A2B" w14:textId="66F49EA4" w:rsidR="009A1786" w:rsidRDefault="005A5CDC">
            <w:pPr>
              <w:pStyle w:val="Tabletext9pt"/>
              <w:jc w:val="right"/>
            </w:pPr>
            <w:r>
              <w:t>113.48</w:t>
            </w:r>
          </w:p>
        </w:tc>
      </w:tr>
      <w:tr w:rsidR="009A1786" w14:paraId="5E0ED96D" w14:textId="77777777" w:rsidTr="00425B0D">
        <w:tc>
          <w:tcPr>
            <w:tcW w:w="3878" w:type="dxa"/>
            <w:tcBorders>
              <w:top w:val="single" w:sz="4" w:space="0" w:color="auto"/>
              <w:left w:val="single" w:sz="4" w:space="0" w:color="auto"/>
              <w:bottom w:val="single" w:sz="4" w:space="0" w:color="auto"/>
              <w:right w:val="single" w:sz="4" w:space="0" w:color="auto"/>
            </w:tcBorders>
            <w:hideMark/>
          </w:tcPr>
          <w:p w14:paraId="7EA29549" w14:textId="473612D2" w:rsidR="009A1786" w:rsidRDefault="009A1786">
            <w:pPr>
              <w:pStyle w:val="Tabletext9pt"/>
            </w:pPr>
            <w:r>
              <w:t xml:space="preserve">HACC-PYP </w:t>
            </w:r>
            <w:r w:rsidR="00D313FF">
              <w:t xml:space="preserve">assessment </w:t>
            </w:r>
          </w:p>
        </w:tc>
        <w:tc>
          <w:tcPr>
            <w:tcW w:w="2360" w:type="dxa"/>
            <w:tcBorders>
              <w:top w:val="single" w:sz="4" w:space="0" w:color="auto"/>
              <w:left w:val="single" w:sz="4" w:space="0" w:color="auto"/>
              <w:bottom w:val="single" w:sz="4" w:space="0" w:color="auto"/>
              <w:right w:val="single" w:sz="4" w:space="0" w:color="auto"/>
            </w:tcBorders>
            <w:hideMark/>
          </w:tcPr>
          <w:p w14:paraId="3E460309" w14:textId="77777777" w:rsidR="009A1786" w:rsidRDefault="009A1786">
            <w:pPr>
              <w:pStyle w:val="Tabletext9pt"/>
              <w:rPr>
                <w:rFonts w:cs="Arial"/>
                <w:lang w:eastAsia="en-AU"/>
              </w:rPr>
            </w:pPr>
            <w:r>
              <w:rPr>
                <w:rFonts w:cs="Arial"/>
              </w:rPr>
              <w:t>Hour</w:t>
            </w:r>
          </w:p>
        </w:tc>
        <w:tc>
          <w:tcPr>
            <w:tcW w:w="3061" w:type="dxa"/>
            <w:tcBorders>
              <w:top w:val="single" w:sz="4" w:space="0" w:color="auto"/>
              <w:left w:val="single" w:sz="4" w:space="0" w:color="auto"/>
              <w:bottom w:val="single" w:sz="4" w:space="0" w:color="auto"/>
              <w:right w:val="single" w:sz="4" w:space="0" w:color="auto"/>
            </w:tcBorders>
          </w:tcPr>
          <w:p w14:paraId="1EEF514E" w14:textId="5176E194" w:rsidR="009A1786" w:rsidRDefault="00234C51">
            <w:pPr>
              <w:pStyle w:val="Tabletext9pt"/>
              <w:jc w:val="right"/>
            </w:pPr>
            <w:r>
              <w:t>104.01</w:t>
            </w:r>
          </w:p>
        </w:tc>
      </w:tr>
      <w:tr w:rsidR="009A1786" w14:paraId="5CB137F2" w14:textId="77777777" w:rsidTr="00425B0D">
        <w:tc>
          <w:tcPr>
            <w:tcW w:w="3878" w:type="dxa"/>
            <w:tcBorders>
              <w:top w:val="single" w:sz="4" w:space="0" w:color="auto"/>
              <w:left w:val="single" w:sz="4" w:space="0" w:color="auto"/>
              <w:bottom w:val="single" w:sz="4" w:space="0" w:color="auto"/>
              <w:right w:val="single" w:sz="4" w:space="0" w:color="auto"/>
            </w:tcBorders>
            <w:hideMark/>
          </w:tcPr>
          <w:p w14:paraId="7AB81E5C" w14:textId="007CE220" w:rsidR="009A1786" w:rsidRDefault="009A1786">
            <w:pPr>
              <w:pStyle w:val="Tabletext9pt"/>
            </w:pPr>
            <w:r>
              <w:t xml:space="preserve">HACC-PYP </w:t>
            </w:r>
            <w:r w:rsidR="00D313FF">
              <w:t>counselling</w:t>
            </w:r>
          </w:p>
        </w:tc>
        <w:tc>
          <w:tcPr>
            <w:tcW w:w="2360" w:type="dxa"/>
            <w:tcBorders>
              <w:top w:val="single" w:sz="4" w:space="0" w:color="auto"/>
              <w:left w:val="single" w:sz="4" w:space="0" w:color="auto"/>
              <w:bottom w:val="single" w:sz="4" w:space="0" w:color="auto"/>
              <w:right w:val="single" w:sz="4" w:space="0" w:color="auto"/>
            </w:tcBorders>
            <w:hideMark/>
          </w:tcPr>
          <w:p w14:paraId="0471A19E" w14:textId="77777777" w:rsidR="009A1786" w:rsidRDefault="009A1786">
            <w:pPr>
              <w:pStyle w:val="Tabletext9pt"/>
              <w:rPr>
                <w:rFonts w:cs="Arial"/>
              </w:rPr>
            </w:pPr>
            <w:r>
              <w:rPr>
                <w:rFonts w:cs="Arial"/>
              </w:rPr>
              <w:t>Hour</w:t>
            </w:r>
          </w:p>
        </w:tc>
        <w:tc>
          <w:tcPr>
            <w:tcW w:w="3061" w:type="dxa"/>
            <w:tcBorders>
              <w:top w:val="single" w:sz="4" w:space="0" w:color="auto"/>
              <w:left w:val="single" w:sz="4" w:space="0" w:color="auto"/>
              <w:bottom w:val="single" w:sz="4" w:space="0" w:color="auto"/>
              <w:right w:val="single" w:sz="4" w:space="0" w:color="auto"/>
            </w:tcBorders>
          </w:tcPr>
          <w:p w14:paraId="1651D6FC" w14:textId="58B8C919" w:rsidR="009A1786" w:rsidRDefault="00A53BF3">
            <w:pPr>
              <w:pStyle w:val="Tabletext9pt"/>
              <w:jc w:val="right"/>
            </w:pPr>
            <w:r>
              <w:t>113.48</w:t>
            </w:r>
          </w:p>
        </w:tc>
      </w:tr>
      <w:tr w:rsidR="009A1786" w14:paraId="4F96D210" w14:textId="77777777" w:rsidTr="00425B0D">
        <w:tc>
          <w:tcPr>
            <w:tcW w:w="3878" w:type="dxa"/>
            <w:tcBorders>
              <w:top w:val="single" w:sz="4" w:space="0" w:color="auto"/>
              <w:left w:val="single" w:sz="4" w:space="0" w:color="auto"/>
              <w:bottom w:val="single" w:sz="4" w:space="0" w:color="auto"/>
              <w:right w:val="single" w:sz="4" w:space="0" w:color="auto"/>
            </w:tcBorders>
            <w:hideMark/>
          </w:tcPr>
          <w:p w14:paraId="15BC13D0" w14:textId="3E01D70A" w:rsidR="009A1786" w:rsidRDefault="009A1786">
            <w:pPr>
              <w:pStyle w:val="Tabletext9pt"/>
            </w:pPr>
            <w:r>
              <w:t xml:space="preserve">HACC-PYP </w:t>
            </w:r>
            <w:r w:rsidR="00D313FF">
              <w:t>delivered meals</w:t>
            </w:r>
          </w:p>
        </w:tc>
        <w:tc>
          <w:tcPr>
            <w:tcW w:w="2360" w:type="dxa"/>
            <w:tcBorders>
              <w:top w:val="single" w:sz="4" w:space="0" w:color="auto"/>
              <w:left w:val="single" w:sz="4" w:space="0" w:color="auto"/>
              <w:bottom w:val="single" w:sz="4" w:space="0" w:color="auto"/>
              <w:right w:val="single" w:sz="4" w:space="0" w:color="auto"/>
            </w:tcBorders>
            <w:hideMark/>
          </w:tcPr>
          <w:p w14:paraId="6B50BE51" w14:textId="77777777" w:rsidR="009A1786" w:rsidRDefault="009A1786">
            <w:pPr>
              <w:pStyle w:val="Tabletext9pt"/>
              <w:rPr>
                <w:rFonts w:cs="Arial"/>
                <w:lang w:eastAsia="en-AU"/>
              </w:rPr>
            </w:pPr>
            <w:r>
              <w:rPr>
                <w:rFonts w:cs="Arial"/>
              </w:rPr>
              <w:t>Meal</w:t>
            </w:r>
          </w:p>
        </w:tc>
        <w:tc>
          <w:tcPr>
            <w:tcW w:w="3061" w:type="dxa"/>
            <w:tcBorders>
              <w:top w:val="single" w:sz="4" w:space="0" w:color="auto"/>
              <w:left w:val="single" w:sz="4" w:space="0" w:color="auto"/>
              <w:bottom w:val="single" w:sz="4" w:space="0" w:color="auto"/>
              <w:right w:val="single" w:sz="4" w:space="0" w:color="auto"/>
            </w:tcBorders>
          </w:tcPr>
          <w:p w14:paraId="13A22CA1" w14:textId="4407B839" w:rsidR="009A1786" w:rsidRDefault="0055112A">
            <w:pPr>
              <w:pStyle w:val="Tabletext9pt"/>
              <w:jc w:val="right"/>
            </w:pPr>
            <w:r>
              <w:t>3.77</w:t>
            </w:r>
          </w:p>
        </w:tc>
      </w:tr>
      <w:tr w:rsidR="009A1786" w14:paraId="241806AF" w14:textId="77777777" w:rsidTr="00425B0D">
        <w:tc>
          <w:tcPr>
            <w:tcW w:w="3878" w:type="dxa"/>
            <w:tcBorders>
              <w:top w:val="single" w:sz="4" w:space="0" w:color="auto"/>
              <w:left w:val="single" w:sz="4" w:space="0" w:color="auto"/>
              <w:bottom w:val="single" w:sz="4" w:space="0" w:color="auto"/>
              <w:right w:val="single" w:sz="4" w:space="0" w:color="auto"/>
            </w:tcBorders>
            <w:hideMark/>
          </w:tcPr>
          <w:p w14:paraId="680584C7" w14:textId="03706660" w:rsidR="009A1786" w:rsidRDefault="009A1786">
            <w:pPr>
              <w:pStyle w:val="Tabletext9pt"/>
            </w:pPr>
            <w:r>
              <w:t xml:space="preserve">HACC-PYP </w:t>
            </w:r>
            <w:r w:rsidR="00D313FF">
              <w:t>community care</w:t>
            </w:r>
          </w:p>
        </w:tc>
        <w:tc>
          <w:tcPr>
            <w:tcW w:w="2360" w:type="dxa"/>
            <w:tcBorders>
              <w:top w:val="single" w:sz="4" w:space="0" w:color="auto"/>
              <w:left w:val="single" w:sz="4" w:space="0" w:color="auto"/>
              <w:bottom w:val="single" w:sz="4" w:space="0" w:color="auto"/>
              <w:right w:val="single" w:sz="4" w:space="0" w:color="auto"/>
            </w:tcBorders>
            <w:hideMark/>
          </w:tcPr>
          <w:p w14:paraId="36C3C5BF" w14:textId="77777777" w:rsidR="009A1786" w:rsidRDefault="009A1786">
            <w:pPr>
              <w:pStyle w:val="Tabletext9pt"/>
              <w:rPr>
                <w:rFonts w:cs="Arial"/>
                <w:lang w:eastAsia="en-AU"/>
              </w:rPr>
            </w:pPr>
            <w:r>
              <w:rPr>
                <w:rFonts w:cs="Arial"/>
                <w:lang w:eastAsia="en-AU"/>
              </w:rPr>
              <w:t>Hour</w:t>
            </w:r>
          </w:p>
        </w:tc>
        <w:tc>
          <w:tcPr>
            <w:tcW w:w="3061" w:type="dxa"/>
            <w:tcBorders>
              <w:top w:val="single" w:sz="4" w:space="0" w:color="auto"/>
              <w:left w:val="single" w:sz="4" w:space="0" w:color="auto"/>
              <w:bottom w:val="single" w:sz="4" w:space="0" w:color="auto"/>
              <w:right w:val="single" w:sz="4" w:space="0" w:color="auto"/>
            </w:tcBorders>
          </w:tcPr>
          <w:p w14:paraId="0F86091B" w14:textId="77332B03" w:rsidR="009A1786" w:rsidRDefault="00650BCB">
            <w:pPr>
              <w:pStyle w:val="Tabletext9pt"/>
              <w:jc w:val="right"/>
            </w:pPr>
            <w:r>
              <w:t>52.42</w:t>
            </w:r>
          </w:p>
        </w:tc>
      </w:tr>
      <w:tr w:rsidR="009A1786" w14:paraId="1B64191B" w14:textId="77777777" w:rsidTr="00425B0D">
        <w:trPr>
          <w:trHeight w:val="77"/>
        </w:trPr>
        <w:tc>
          <w:tcPr>
            <w:tcW w:w="3878" w:type="dxa"/>
            <w:tcBorders>
              <w:top w:val="single" w:sz="4" w:space="0" w:color="auto"/>
              <w:left w:val="single" w:sz="4" w:space="0" w:color="auto"/>
              <w:bottom w:val="single" w:sz="4" w:space="0" w:color="auto"/>
              <w:right w:val="single" w:sz="4" w:space="0" w:color="auto"/>
            </w:tcBorders>
            <w:hideMark/>
          </w:tcPr>
          <w:p w14:paraId="48C5320D" w14:textId="0A142D59" w:rsidR="009A1786" w:rsidRDefault="009A1786">
            <w:pPr>
              <w:pStyle w:val="Tabletext9pt"/>
            </w:pPr>
            <w:r>
              <w:t xml:space="preserve">HACC-PYP </w:t>
            </w:r>
            <w:r w:rsidR="00D313FF">
              <w:t>nursing</w:t>
            </w:r>
          </w:p>
        </w:tc>
        <w:tc>
          <w:tcPr>
            <w:tcW w:w="2360" w:type="dxa"/>
            <w:tcBorders>
              <w:top w:val="single" w:sz="4" w:space="0" w:color="auto"/>
              <w:left w:val="single" w:sz="4" w:space="0" w:color="auto"/>
              <w:bottom w:val="single" w:sz="4" w:space="0" w:color="auto"/>
              <w:right w:val="single" w:sz="4" w:space="0" w:color="auto"/>
            </w:tcBorders>
            <w:hideMark/>
          </w:tcPr>
          <w:p w14:paraId="501E0BB1" w14:textId="77777777" w:rsidR="009A1786" w:rsidRDefault="009A1786">
            <w:pPr>
              <w:pStyle w:val="Tabletext9pt"/>
              <w:rPr>
                <w:rFonts w:cs="Arial"/>
                <w:lang w:eastAsia="en-AU"/>
              </w:rPr>
            </w:pPr>
            <w:r>
              <w:rPr>
                <w:rFonts w:cs="Arial"/>
              </w:rPr>
              <w:t>Hour</w:t>
            </w:r>
          </w:p>
        </w:tc>
        <w:tc>
          <w:tcPr>
            <w:tcW w:w="3061" w:type="dxa"/>
            <w:tcBorders>
              <w:top w:val="single" w:sz="4" w:space="0" w:color="auto"/>
              <w:left w:val="single" w:sz="4" w:space="0" w:color="auto"/>
              <w:bottom w:val="single" w:sz="4" w:space="0" w:color="auto"/>
              <w:right w:val="single" w:sz="4" w:space="0" w:color="auto"/>
            </w:tcBorders>
          </w:tcPr>
          <w:p w14:paraId="2BB35F84" w14:textId="0105F6CC" w:rsidR="009A1786" w:rsidRDefault="00650BCB">
            <w:pPr>
              <w:pStyle w:val="Tabletext9pt"/>
              <w:jc w:val="right"/>
            </w:pPr>
            <w:r>
              <w:t>104.01</w:t>
            </w:r>
          </w:p>
        </w:tc>
      </w:tr>
      <w:tr w:rsidR="009A1786" w14:paraId="44C0C7DD" w14:textId="77777777" w:rsidTr="00425B0D">
        <w:tc>
          <w:tcPr>
            <w:tcW w:w="3878" w:type="dxa"/>
            <w:tcBorders>
              <w:top w:val="single" w:sz="4" w:space="0" w:color="auto"/>
              <w:left w:val="single" w:sz="4" w:space="0" w:color="auto"/>
              <w:bottom w:val="single" w:sz="4" w:space="0" w:color="auto"/>
              <w:right w:val="single" w:sz="4" w:space="0" w:color="auto"/>
            </w:tcBorders>
            <w:hideMark/>
          </w:tcPr>
          <w:p w14:paraId="6A23E597" w14:textId="7EEBD9B0" w:rsidR="009A1786" w:rsidRDefault="009A1786">
            <w:pPr>
              <w:pStyle w:val="Tabletext9pt"/>
            </w:pPr>
            <w:r>
              <w:t xml:space="preserve">HACC-PYP </w:t>
            </w:r>
            <w:r w:rsidR="00D313FF">
              <w:t>planned activity group</w:t>
            </w:r>
          </w:p>
        </w:tc>
        <w:tc>
          <w:tcPr>
            <w:tcW w:w="2360" w:type="dxa"/>
            <w:tcBorders>
              <w:top w:val="single" w:sz="4" w:space="0" w:color="auto"/>
              <w:left w:val="single" w:sz="4" w:space="0" w:color="auto"/>
              <w:bottom w:val="single" w:sz="4" w:space="0" w:color="auto"/>
              <w:right w:val="single" w:sz="4" w:space="0" w:color="auto"/>
            </w:tcBorders>
            <w:hideMark/>
          </w:tcPr>
          <w:p w14:paraId="7E2BC850" w14:textId="390B2674" w:rsidR="009A1786" w:rsidRDefault="009A1786">
            <w:pPr>
              <w:pStyle w:val="Tabletext9pt"/>
              <w:rPr>
                <w:rFonts w:cs="Arial"/>
                <w:lang w:eastAsia="en-AU"/>
              </w:rPr>
            </w:pPr>
            <w:r>
              <w:rPr>
                <w:rFonts w:cs="Arial"/>
                <w:lang w:eastAsia="en-AU"/>
              </w:rPr>
              <w:t xml:space="preserve">Per </w:t>
            </w:r>
            <w:r w:rsidR="00D313FF">
              <w:rPr>
                <w:rFonts w:cs="Arial"/>
                <w:lang w:eastAsia="en-AU"/>
              </w:rPr>
              <w:t>person</w:t>
            </w:r>
          </w:p>
        </w:tc>
        <w:tc>
          <w:tcPr>
            <w:tcW w:w="3061" w:type="dxa"/>
            <w:tcBorders>
              <w:top w:val="single" w:sz="4" w:space="0" w:color="auto"/>
              <w:left w:val="single" w:sz="4" w:space="0" w:color="auto"/>
              <w:bottom w:val="single" w:sz="4" w:space="0" w:color="auto"/>
              <w:right w:val="single" w:sz="4" w:space="0" w:color="auto"/>
            </w:tcBorders>
          </w:tcPr>
          <w:p w14:paraId="70B0ABEE" w14:textId="5CD9A861" w:rsidR="009A1786" w:rsidRDefault="00F9731E">
            <w:pPr>
              <w:pStyle w:val="Tabletext9pt"/>
              <w:jc w:val="right"/>
            </w:pPr>
            <w:r>
              <w:t>18.03</w:t>
            </w:r>
          </w:p>
        </w:tc>
      </w:tr>
      <w:tr w:rsidR="009A1786" w14:paraId="315477D6" w14:textId="77777777" w:rsidTr="00425B0D">
        <w:tc>
          <w:tcPr>
            <w:tcW w:w="3878" w:type="dxa"/>
            <w:tcBorders>
              <w:top w:val="single" w:sz="4" w:space="0" w:color="auto"/>
              <w:left w:val="single" w:sz="4" w:space="0" w:color="auto"/>
              <w:bottom w:val="single" w:sz="4" w:space="0" w:color="auto"/>
              <w:right w:val="single" w:sz="4" w:space="0" w:color="auto"/>
            </w:tcBorders>
            <w:hideMark/>
          </w:tcPr>
          <w:p w14:paraId="32C0539C" w14:textId="283F96A3" w:rsidR="009A1786" w:rsidRDefault="009A1786">
            <w:pPr>
              <w:pStyle w:val="Tabletext9pt"/>
            </w:pPr>
            <w:r>
              <w:t xml:space="preserve">HACC-PYP </w:t>
            </w:r>
            <w:r w:rsidR="00D313FF">
              <w:t>property maintenance</w:t>
            </w:r>
          </w:p>
        </w:tc>
        <w:tc>
          <w:tcPr>
            <w:tcW w:w="2360" w:type="dxa"/>
            <w:tcBorders>
              <w:top w:val="single" w:sz="4" w:space="0" w:color="auto"/>
              <w:left w:val="single" w:sz="4" w:space="0" w:color="auto"/>
              <w:bottom w:val="single" w:sz="4" w:space="0" w:color="auto"/>
              <w:right w:val="single" w:sz="4" w:space="0" w:color="auto"/>
            </w:tcBorders>
            <w:hideMark/>
          </w:tcPr>
          <w:p w14:paraId="175457D9" w14:textId="77777777" w:rsidR="009A1786" w:rsidRDefault="009A1786">
            <w:pPr>
              <w:pStyle w:val="Tabletext9pt"/>
              <w:rPr>
                <w:rFonts w:cs="Arial"/>
                <w:lang w:eastAsia="en-AU"/>
              </w:rPr>
            </w:pPr>
            <w:r>
              <w:rPr>
                <w:rFonts w:cs="Arial"/>
              </w:rPr>
              <w:t>Hour</w:t>
            </w:r>
          </w:p>
        </w:tc>
        <w:tc>
          <w:tcPr>
            <w:tcW w:w="3061" w:type="dxa"/>
            <w:tcBorders>
              <w:top w:val="single" w:sz="4" w:space="0" w:color="auto"/>
              <w:left w:val="single" w:sz="4" w:space="0" w:color="auto"/>
              <w:bottom w:val="single" w:sz="4" w:space="0" w:color="auto"/>
              <w:right w:val="single" w:sz="4" w:space="0" w:color="auto"/>
            </w:tcBorders>
          </w:tcPr>
          <w:p w14:paraId="19BAE0F3" w14:textId="251D7AE4" w:rsidR="009A1786" w:rsidRDefault="00A2331D">
            <w:pPr>
              <w:pStyle w:val="Tabletext9pt"/>
              <w:jc w:val="right"/>
            </w:pPr>
            <w:r>
              <w:t>54.36</w:t>
            </w:r>
          </w:p>
        </w:tc>
      </w:tr>
      <w:tr w:rsidR="009A1786" w14:paraId="09E52A1F" w14:textId="77777777" w:rsidTr="00425B0D">
        <w:tc>
          <w:tcPr>
            <w:tcW w:w="3878" w:type="dxa"/>
            <w:tcBorders>
              <w:top w:val="single" w:sz="4" w:space="0" w:color="auto"/>
              <w:left w:val="single" w:sz="4" w:space="0" w:color="auto"/>
              <w:bottom w:val="single" w:sz="4" w:space="0" w:color="auto"/>
              <w:right w:val="single" w:sz="4" w:space="0" w:color="auto"/>
            </w:tcBorders>
            <w:hideMark/>
          </w:tcPr>
          <w:p w14:paraId="10861101" w14:textId="2230981C" w:rsidR="009A1786" w:rsidRDefault="009A1786">
            <w:pPr>
              <w:pStyle w:val="Tabletext9pt"/>
            </w:pPr>
            <w:r>
              <w:t xml:space="preserve">HACC-PYP </w:t>
            </w:r>
            <w:r w:rsidR="00D313FF">
              <w:t>volunteer coordination</w:t>
            </w:r>
          </w:p>
        </w:tc>
        <w:tc>
          <w:tcPr>
            <w:tcW w:w="2360" w:type="dxa"/>
            <w:tcBorders>
              <w:top w:val="single" w:sz="4" w:space="0" w:color="auto"/>
              <w:left w:val="single" w:sz="4" w:space="0" w:color="auto"/>
              <w:bottom w:val="single" w:sz="4" w:space="0" w:color="auto"/>
              <w:right w:val="single" w:sz="4" w:space="0" w:color="auto"/>
            </w:tcBorders>
            <w:hideMark/>
          </w:tcPr>
          <w:p w14:paraId="0247190D" w14:textId="77777777" w:rsidR="009A1786" w:rsidRDefault="009A1786">
            <w:pPr>
              <w:pStyle w:val="Tabletext9pt"/>
              <w:rPr>
                <w:rFonts w:cs="Arial"/>
                <w:lang w:eastAsia="en-AU"/>
              </w:rPr>
            </w:pPr>
            <w:r>
              <w:rPr>
                <w:rFonts w:cs="Arial"/>
              </w:rPr>
              <w:t>Hour</w:t>
            </w:r>
          </w:p>
        </w:tc>
        <w:tc>
          <w:tcPr>
            <w:tcW w:w="3061" w:type="dxa"/>
            <w:tcBorders>
              <w:top w:val="single" w:sz="4" w:space="0" w:color="auto"/>
              <w:left w:val="single" w:sz="4" w:space="0" w:color="auto"/>
              <w:bottom w:val="single" w:sz="4" w:space="0" w:color="auto"/>
              <w:right w:val="single" w:sz="4" w:space="0" w:color="auto"/>
            </w:tcBorders>
          </w:tcPr>
          <w:p w14:paraId="7C98B859" w14:textId="7700401C" w:rsidR="009A1786" w:rsidRDefault="00DB318C">
            <w:pPr>
              <w:pStyle w:val="Tabletext9pt"/>
              <w:jc w:val="right"/>
            </w:pPr>
            <w:r>
              <w:t>44.33</w:t>
            </w:r>
          </w:p>
        </w:tc>
      </w:tr>
    </w:tbl>
    <w:p w14:paraId="378D8E26" w14:textId="77777777" w:rsidR="009A1786" w:rsidRDefault="009A1786" w:rsidP="009A1786">
      <w:pPr>
        <w:pStyle w:val="Bodyaftertablefigure"/>
        <w:spacing w:line="240" w:lineRule="auto"/>
      </w:pPr>
      <w:r>
        <w:t xml:space="preserve">Program area: </w:t>
      </w:r>
      <w:r>
        <w:rPr>
          <w:rFonts w:cs="Arial"/>
        </w:rPr>
        <w:t>Small rural health services – Primary Health</w:t>
      </w:r>
    </w:p>
    <w:tbl>
      <w:tblPr>
        <w:tblStyle w:val="TableGrid1"/>
        <w:tblW w:w="9299" w:type="dxa"/>
        <w:tblLook w:val="06A0" w:firstRow="1" w:lastRow="0" w:firstColumn="1" w:lastColumn="0" w:noHBand="1" w:noVBand="1"/>
      </w:tblPr>
      <w:tblGrid>
        <w:gridCol w:w="4402"/>
        <w:gridCol w:w="2145"/>
        <w:gridCol w:w="2752"/>
      </w:tblGrid>
      <w:tr w:rsidR="00AE6427" w14:paraId="08C45803"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4C932C0F" w14:textId="77777777" w:rsidR="009A1786" w:rsidRDefault="009A1786" w:rsidP="00685B35">
            <w:pPr>
              <w:pStyle w:val="Tablecolhead"/>
            </w:pPr>
            <w:r>
              <w:t>Service</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450E16A3" w14:textId="77777777" w:rsidR="009A1786" w:rsidRDefault="009A1786" w:rsidP="00685B35">
            <w:pPr>
              <w:pStyle w:val="Tablecolhead"/>
            </w:pPr>
            <w:r>
              <w:t>Funded unit</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4887473A" w14:textId="77777777" w:rsidR="009A1786" w:rsidRDefault="009A1786" w:rsidP="00685B35">
            <w:pPr>
              <w:pStyle w:val="Tablecolhead"/>
            </w:pPr>
            <w:r>
              <w:t>Estimated unit price ($)</w:t>
            </w:r>
          </w:p>
        </w:tc>
      </w:tr>
      <w:tr w:rsidR="009A1786" w14:paraId="0A699F20" w14:textId="77777777" w:rsidTr="008B2386">
        <w:tc>
          <w:tcPr>
            <w:tcW w:w="0" w:type="dxa"/>
            <w:tcBorders>
              <w:top w:val="single" w:sz="4" w:space="0" w:color="auto"/>
              <w:left w:val="single" w:sz="4" w:space="0" w:color="auto"/>
              <w:bottom w:val="single" w:sz="4" w:space="0" w:color="auto"/>
              <w:right w:val="single" w:sz="4" w:space="0" w:color="auto"/>
            </w:tcBorders>
            <w:hideMark/>
          </w:tcPr>
          <w:p w14:paraId="6F7119B1" w14:textId="7BCF112B" w:rsidR="009A1786" w:rsidRDefault="009A1786" w:rsidP="00081936">
            <w:pPr>
              <w:pStyle w:val="Tabletext9pt"/>
              <w:numPr>
                <w:ilvl w:val="0"/>
                <w:numId w:val="29"/>
              </w:numPr>
              <w:spacing w:before="60" w:after="40"/>
            </w:pPr>
            <w:r>
              <w:rPr>
                <w:rFonts w:cs="Arial"/>
              </w:rPr>
              <w:t>Counselling/</w:t>
            </w:r>
            <w:r w:rsidR="00D313FF">
              <w:rPr>
                <w:rFonts w:cs="Arial"/>
              </w:rPr>
              <w:t>c</w:t>
            </w:r>
            <w:r>
              <w:rPr>
                <w:rFonts w:cs="Arial"/>
              </w:rPr>
              <w:t>asework</w:t>
            </w:r>
          </w:p>
        </w:tc>
        <w:tc>
          <w:tcPr>
            <w:tcW w:w="0" w:type="dxa"/>
            <w:tcBorders>
              <w:top w:val="single" w:sz="4" w:space="0" w:color="auto"/>
              <w:left w:val="single" w:sz="4" w:space="0" w:color="auto"/>
              <w:bottom w:val="single" w:sz="4" w:space="0" w:color="auto"/>
              <w:right w:val="single" w:sz="4" w:space="0" w:color="auto"/>
            </w:tcBorders>
            <w:hideMark/>
          </w:tcPr>
          <w:p w14:paraId="60F39AC1" w14:textId="77777777" w:rsidR="009A1786" w:rsidRDefault="009A1786" w:rsidP="00081936">
            <w:pPr>
              <w:pStyle w:val="Tabletext9pt"/>
              <w:numPr>
                <w:ilvl w:val="0"/>
                <w:numId w:val="29"/>
              </w:numPr>
              <w:spacing w:before="60" w:after="40"/>
              <w:rPr>
                <w:rFonts w:cs="Arial"/>
              </w:rPr>
            </w:pPr>
            <w:r>
              <w:rPr>
                <w:rFonts w:cs="Arial"/>
              </w:rPr>
              <w:t>Hour</w:t>
            </w:r>
          </w:p>
        </w:tc>
        <w:tc>
          <w:tcPr>
            <w:tcW w:w="0" w:type="dxa"/>
            <w:tcBorders>
              <w:top w:val="single" w:sz="4" w:space="0" w:color="auto"/>
              <w:left w:val="single" w:sz="4" w:space="0" w:color="auto"/>
              <w:bottom w:val="single" w:sz="4" w:space="0" w:color="auto"/>
              <w:right w:val="single" w:sz="4" w:space="0" w:color="auto"/>
            </w:tcBorders>
          </w:tcPr>
          <w:p w14:paraId="7C84B6E6" w14:textId="5FA876B8" w:rsidR="009A1786" w:rsidRDefault="00001B32" w:rsidP="00081936">
            <w:pPr>
              <w:pStyle w:val="Tabletext9pt"/>
              <w:numPr>
                <w:ilvl w:val="0"/>
                <w:numId w:val="29"/>
              </w:numPr>
              <w:spacing w:before="60" w:after="40"/>
              <w:jc w:val="right"/>
            </w:pPr>
            <w:r>
              <w:t>119.13</w:t>
            </w:r>
          </w:p>
        </w:tc>
      </w:tr>
      <w:tr w:rsidR="009A1786" w14:paraId="2191C935" w14:textId="77777777" w:rsidTr="008B2386">
        <w:tc>
          <w:tcPr>
            <w:tcW w:w="0" w:type="dxa"/>
            <w:tcBorders>
              <w:top w:val="single" w:sz="4" w:space="0" w:color="auto"/>
              <w:left w:val="single" w:sz="4" w:space="0" w:color="auto"/>
              <w:bottom w:val="single" w:sz="4" w:space="0" w:color="auto"/>
              <w:right w:val="single" w:sz="4" w:space="0" w:color="auto"/>
            </w:tcBorders>
            <w:hideMark/>
          </w:tcPr>
          <w:p w14:paraId="110A54FC" w14:textId="77777777" w:rsidR="009A1786" w:rsidRDefault="009A1786">
            <w:pPr>
              <w:pStyle w:val="Tabletext9pt"/>
              <w:spacing w:before="60" w:after="40"/>
            </w:pPr>
            <w:r>
              <w:t>Allied Health</w:t>
            </w:r>
          </w:p>
        </w:tc>
        <w:tc>
          <w:tcPr>
            <w:tcW w:w="0" w:type="dxa"/>
            <w:tcBorders>
              <w:top w:val="single" w:sz="4" w:space="0" w:color="auto"/>
              <w:left w:val="single" w:sz="4" w:space="0" w:color="auto"/>
              <w:bottom w:val="single" w:sz="4" w:space="0" w:color="auto"/>
              <w:right w:val="single" w:sz="4" w:space="0" w:color="auto"/>
            </w:tcBorders>
            <w:hideMark/>
          </w:tcPr>
          <w:p w14:paraId="546B1087" w14:textId="77777777" w:rsidR="009A1786" w:rsidRDefault="009A1786" w:rsidP="00081936">
            <w:pPr>
              <w:pStyle w:val="Tabletext9pt"/>
              <w:numPr>
                <w:ilvl w:val="0"/>
                <w:numId w:val="29"/>
              </w:numPr>
              <w:spacing w:before="60" w:after="40"/>
              <w:rPr>
                <w:rFonts w:cs="Arial"/>
              </w:rPr>
            </w:pPr>
            <w:r>
              <w:rPr>
                <w:rFonts w:cs="Arial"/>
              </w:rPr>
              <w:t>Hour</w:t>
            </w:r>
          </w:p>
        </w:tc>
        <w:tc>
          <w:tcPr>
            <w:tcW w:w="0" w:type="dxa"/>
            <w:tcBorders>
              <w:top w:val="single" w:sz="4" w:space="0" w:color="auto"/>
              <w:left w:val="single" w:sz="4" w:space="0" w:color="auto"/>
              <w:bottom w:val="single" w:sz="4" w:space="0" w:color="auto"/>
              <w:right w:val="single" w:sz="4" w:space="0" w:color="auto"/>
            </w:tcBorders>
          </w:tcPr>
          <w:p w14:paraId="2A65E1BD" w14:textId="5CDF571F" w:rsidR="009A1786" w:rsidRDefault="0082752D" w:rsidP="00081936">
            <w:pPr>
              <w:pStyle w:val="Tabletext9pt"/>
              <w:numPr>
                <w:ilvl w:val="0"/>
                <w:numId w:val="29"/>
              </w:numPr>
              <w:spacing w:before="60" w:after="40"/>
              <w:jc w:val="right"/>
            </w:pPr>
            <w:r>
              <w:t>119.13</w:t>
            </w:r>
          </w:p>
        </w:tc>
      </w:tr>
      <w:tr w:rsidR="009A1786" w14:paraId="04A197FB" w14:textId="77777777" w:rsidTr="008B2386">
        <w:tc>
          <w:tcPr>
            <w:tcW w:w="0" w:type="dxa"/>
            <w:tcBorders>
              <w:top w:val="single" w:sz="4" w:space="0" w:color="auto"/>
              <w:left w:val="single" w:sz="4" w:space="0" w:color="auto"/>
              <w:bottom w:val="single" w:sz="4" w:space="0" w:color="auto"/>
              <w:right w:val="single" w:sz="4" w:space="0" w:color="auto"/>
            </w:tcBorders>
            <w:hideMark/>
          </w:tcPr>
          <w:p w14:paraId="70E0BCE9" w14:textId="77777777" w:rsidR="009A1786" w:rsidRDefault="009A1786">
            <w:pPr>
              <w:pStyle w:val="Tabletext9pt"/>
              <w:spacing w:before="60" w:after="40"/>
            </w:pPr>
            <w:r>
              <w:t>Nursing</w:t>
            </w:r>
          </w:p>
        </w:tc>
        <w:tc>
          <w:tcPr>
            <w:tcW w:w="0" w:type="dxa"/>
            <w:tcBorders>
              <w:top w:val="single" w:sz="4" w:space="0" w:color="auto"/>
              <w:left w:val="single" w:sz="4" w:space="0" w:color="auto"/>
              <w:bottom w:val="single" w:sz="4" w:space="0" w:color="auto"/>
              <w:right w:val="single" w:sz="4" w:space="0" w:color="auto"/>
            </w:tcBorders>
            <w:hideMark/>
          </w:tcPr>
          <w:p w14:paraId="78BC1B7F" w14:textId="77777777" w:rsidR="009A1786" w:rsidRDefault="009A1786" w:rsidP="00081936">
            <w:pPr>
              <w:pStyle w:val="Tabletext9pt"/>
              <w:numPr>
                <w:ilvl w:val="0"/>
                <w:numId w:val="29"/>
              </w:numPr>
              <w:spacing w:before="60" w:after="40"/>
              <w:rPr>
                <w:rFonts w:cs="Arial"/>
              </w:rPr>
            </w:pPr>
            <w:r>
              <w:rPr>
                <w:rFonts w:cs="Arial"/>
              </w:rPr>
              <w:t>Hour</w:t>
            </w:r>
          </w:p>
        </w:tc>
        <w:tc>
          <w:tcPr>
            <w:tcW w:w="0" w:type="dxa"/>
            <w:tcBorders>
              <w:top w:val="single" w:sz="4" w:space="0" w:color="auto"/>
              <w:left w:val="single" w:sz="4" w:space="0" w:color="auto"/>
              <w:bottom w:val="single" w:sz="4" w:space="0" w:color="auto"/>
              <w:right w:val="single" w:sz="4" w:space="0" w:color="auto"/>
            </w:tcBorders>
          </w:tcPr>
          <w:p w14:paraId="6377C3DB" w14:textId="7F1E17C6" w:rsidR="009A1786" w:rsidRDefault="0037059E" w:rsidP="00081936">
            <w:pPr>
              <w:pStyle w:val="Tabletext9pt"/>
              <w:numPr>
                <w:ilvl w:val="0"/>
                <w:numId w:val="29"/>
              </w:numPr>
              <w:spacing w:before="60" w:after="40"/>
              <w:jc w:val="right"/>
            </w:pPr>
            <w:r>
              <w:t>104.26</w:t>
            </w:r>
          </w:p>
        </w:tc>
      </w:tr>
    </w:tbl>
    <w:p w14:paraId="46502F7B" w14:textId="77777777" w:rsidR="009A1786" w:rsidRDefault="009A1786" w:rsidP="00685B35">
      <w:pPr>
        <w:pStyle w:val="Bodyaftertablefigure"/>
        <w:keepNext/>
        <w:keepLines/>
        <w:spacing w:line="240" w:lineRule="auto"/>
      </w:pPr>
      <w:r>
        <w:t>Program area: Residential aged care</w:t>
      </w:r>
      <w:r>
        <w:rPr>
          <w:rStyle w:val="FootnoteReference"/>
        </w:rPr>
        <w:footnoteReference w:id="12"/>
      </w:r>
      <w:r>
        <w:t xml:space="preserve"> – public sector residential aged care supplements</w:t>
      </w:r>
    </w:p>
    <w:tbl>
      <w:tblPr>
        <w:tblStyle w:val="TableGrid1"/>
        <w:tblW w:w="9299" w:type="dxa"/>
        <w:tblLook w:val="06A0" w:firstRow="1" w:lastRow="0" w:firstColumn="1" w:lastColumn="0" w:noHBand="1" w:noVBand="1"/>
      </w:tblPr>
      <w:tblGrid>
        <w:gridCol w:w="3823"/>
        <w:gridCol w:w="2551"/>
        <w:gridCol w:w="2925"/>
      </w:tblGrid>
      <w:tr w:rsidR="009A1786" w14:paraId="3D03DA7D"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0D3A5D79" w14:textId="77777777" w:rsidR="009A1786" w:rsidRDefault="009A1786" w:rsidP="00685B35">
            <w:pPr>
              <w:pStyle w:val="Tablecolhead"/>
              <w:rPr>
                <w:rFonts w:cs="Arial"/>
              </w:rPr>
            </w:pPr>
            <w:r>
              <w:t>Service</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1320B1FE" w14:textId="77777777" w:rsidR="009A1786" w:rsidRDefault="009A1786" w:rsidP="00685B35">
            <w:pPr>
              <w:pStyle w:val="Tablecolhead"/>
              <w:rPr>
                <w:rFonts w:cs="Arial"/>
              </w:rPr>
            </w:pPr>
            <w:r>
              <w:t>Funded unit</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6859183D" w14:textId="77777777" w:rsidR="009A1786" w:rsidRDefault="009A1786" w:rsidP="00685B35">
            <w:pPr>
              <w:pStyle w:val="Tablecolhead"/>
              <w:rPr>
                <w:lang w:eastAsia="en-AU"/>
              </w:rPr>
            </w:pPr>
            <w:r>
              <w:t>Estimated unit price ($)</w:t>
            </w:r>
          </w:p>
        </w:tc>
      </w:tr>
      <w:tr w:rsidR="009A1786" w14:paraId="01FCBA72" w14:textId="77777777" w:rsidTr="008B2386">
        <w:tc>
          <w:tcPr>
            <w:tcW w:w="0" w:type="dxa"/>
            <w:tcBorders>
              <w:top w:val="single" w:sz="4" w:space="0" w:color="auto"/>
              <w:left w:val="single" w:sz="4" w:space="0" w:color="auto"/>
              <w:bottom w:val="single" w:sz="4" w:space="0" w:color="auto"/>
              <w:right w:val="single" w:sz="4" w:space="0" w:color="auto"/>
            </w:tcBorders>
            <w:hideMark/>
          </w:tcPr>
          <w:p w14:paraId="57E1D0B0" w14:textId="51D2A770" w:rsidR="009A1786" w:rsidRDefault="009A1786" w:rsidP="00081936">
            <w:pPr>
              <w:pStyle w:val="Tabletext9pt"/>
              <w:numPr>
                <w:ilvl w:val="0"/>
                <w:numId w:val="29"/>
              </w:numPr>
              <w:spacing w:before="60" w:after="40"/>
            </w:pPr>
            <w:r>
              <w:rPr>
                <w:rFonts w:cs="Arial"/>
              </w:rPr>
              <w:t xml:space="preserve">Rural </w:t>
            </w:r>
            <w:r w:rsidR="00D313FF">
              <w:rPr>
                <w:rFonts w:cs="Arial"/>
              </w:rPr>
              <w:t>small high-care supplement</w:t>
            </w:r>
          </w:p>
          <w:p w14:paraId="0D0FE3A1" w14:textId="77777777" w:rsidR="009A1786" w:rsidRDefault="009A1786" w:rsidP="00081936">
            <w:pPr>
              <w:pStyle w:val="Tabletext9pt"/>
              <w:numPr>
                <w:ilvl w:val="0"/>
                <w:numId w:val="29"/>
              </w:numPr>
              <w:spacing w:before="60" w:after="40"/>
            </w:pPr>
            <w:r>
              <w:t>1–10 places</w:t>
            </w:r>
          </w:p>
        </w:tc>
        <w:tc>
          <w:tcPr>
            <w:tcW w:w="0" w:type="dxa"/>
            <w:tcBorders>
              <w:top w:val="single" w:sz="4" w:space="0" w:color="auto"/>
              <w:left w:val="single" w:sz="4" w:space="0" w:color="auto"/>
              <w:bottom w:val="single" w:sz="4" w:space="0" w:color="auto"/>
              <w:right w:val="single" w:sz="4" w:space="0" w:color="auto"/>
            </w:tcBorders>
            <w:hideMark/>
          </w:tcPr>
          <w:p w14:paraId="359C5C59" w14:textId="77777777" w:rsidR="009A1786" w:rsidRDefault="009A1786" w:rsidP="00081936">
            <w:pPr>
              <w:pStyle w:val="Tabletext9pt"/>
              <w:numPr>
                <w:ilvl w:val="0"/>
                <w:numId w:val="29"/>
              </w:numPr>
              <w:spacing w:before="60" w:after="40"/>
              <w:rPr>
                <w:rFonts w:cs="Arial"/>
              </w:rPr>
            </w:pPr>
            <w:r>
              <w:rPr>
                <w:rFonts w:cs="Arial"/>
              </w:rPr>
              <w:t>Bed day</w:t>
            </w:r>
          </w:p>
        </w:tc>
        <w:tc>
          <w:tcPr>
            <w:tcW w:w="0" w:type="dxa"/>
            <w:tcBorders>
              <w:top w:val="single" w:sz="4" w:space="0" w:color="auto"/>
              <w:left w:val="single" w:sz="4" w:space="0" w:color="auto"/>
              <w:bottom w:val="single" w:sz="4" w:space="0" w:color="auto"/>
              <w:right w:val="single" w:sz="4" w:space="0" w:color="auto"/>
            </w:tcBorders>
          </w:tcPr>
          <w:p w14:paraId="4A8F9966" w14:textId="40830D20" w:rsidR="009A1786" w:rsidRDefault="00BC4B93" w:rsidP="00081936">
            <w:pPr>
              <w:pStyle w:val="Tabletext9pt"/>
              <w:numPr>
                <w:ilvl w:val="0"/>
                <w:numId w:val="29"/>
              </w:numPr>
              <w:spacing w:before="60" w:after="40"/>
              <w:jc w:val="right"/>
            </w:pPr>
            <w:r>
              <w:rPr>
                <w:lang w:eastAsia="en-AU"/>
              </w:rPr>
              <w:t>11.65</w:t>
            </w:r>
          </w:p>
        </w:tc>
      </w:tr>
      <w:tr w:rsidR="009A1786" w14:paraId="4A0A3F43" w14:textId="77777777" w:rsidTr="008B2386">
        <w:tc>
          <w:tcPr>
            <w:tcW w:w="0" w:type="dxa"/>
            <w:tcBorders>
              <w:top w:val="single" w:sz="4" w:space="0" w:color="auto"/>
              <w:left w:val="single" w:sz="4" w:space="0" w:color="auto"/>
              <w:bottom w:val="single" w:sz="4" w:space="0" w:color="auto"/>
              <w:right w:val="single" w:sz="4" w:space="0" w:color="auto"/>
            </w:tcBorders>
            <w:hideMark/>
          </w:tcPr>
          <w:p w14:paraId="57895977" w14:textId="196E679B" w:rsidR="009A1786" w:rsidRDefault="009A1786" w:rsidP="00081936">
            <w:pPr>
              <w:pStyle w:val="Tabletext9pt"/>
              <w:numPr>
                <w:ilvl w:val="0"/>
                <w:numId w:val="29"/>
              </w:numPr>
              <w:spacing w:before="60" w:after="40"/>
            </w:pPr>
            <w:r>
              <w:rPr>
                <w:rFonts w:cs="Arial"/>
              </w:rPr>
              <w:t xml:space="preserve">Rural </w:t>
            </w:r>
            <w:r w:rsidR="00D313FF">
              <w:rPr>
                <w:rFonts w:cs="Arial"/>
              </w:rPr>
              <w:t>small high-care supplement</w:t>
            </w:r>
          </w:p>
          <w:p w14:paraId="4B3A10F6" w14:textId="77777777" w:rsidR="009A1786" w:rsidRDefault="009A1786" w:rsidP="00081936">
            <w:pPr>
              <w:pStyle w:val="Tabletext9pt"/>
              <w:numPr>
                <w:ilvl w:val="0"/>
                <w:numId w:val="29"/>
              </w:numPr>
              <w:spacing w:before="60" w:after="40"/>
            </w:pPr>
            <w:r>
              <w:t>11–20 places</w:t>
            </w:r>
          </w:p>
        </w:tc>
        <w:tc>
          <w:tcPr>
            <w:tcW w:w="0" w:type="dxa"/>
            <w:tcBorders>
              <w:top w:val="single" w:sz="4" w:space="0" w:color="auto"/>
              <w:left w:val="single" w:sz="4" w:space="0" w:color="auto"/>
              <w:bottom w:val="single" w:sz="4" w:space="0" w:color="auto"/>
              <w:right w:val="single" w:sz="4" w:space="0" w:color="auto"/>
            </w:tcBorders>
            <w:hideMark/>
          </w:tcPr>
          <w:p w14:paraId="0DA978F9" w14:textId="77777777" w:rsidR="009A1786" w:rsidRDefault="009A1786" w:rsidP="00081936">
            <w:pPr>
              <w:pStyle w:val="Tabletext9pt"/>
              <w:numPr>
                <w:ilvl w:val="0"/>
                <w:numId w:val="29"/>
              </w:numPr>
              <w:spacing w:before="60" w:after="40"/>
              <w:rPr>
                <w:rFonts w:cs="Arial"/>
              </w:rPr>
            </w:pPr>
            <w:r>
              <w:rPr>
                <w:rFonts w:cs="Arial"/>
              </w:rPr>
              <w:t>Bed day</w:t>
            </w:r>
          </w:p>
        </w:tc>
        <w:tc>
          <w:tcPr>
            <w:tcW w:w="0" w:type="dxa"/>
            <w:tcBorders>
              <w:top w:val="single" w:sz="4" w:space="0" w:color="auto"/>
              <w:left w:val="single" w:sz="4" w:space="0" w:color="auto"/>
              <w:bottom w:val="single" w:sz="4" w:space="0" w:color="auto"/>
              <w:right w:val="single" w:sz="4" w:space="0" w:color="auto"/>
            </w:tcBorders>
          </w:tcPr>
          <w:p w14:paraId="3992A680" w14:textId="7E9B6AC0" w:rsidR="009A1786" w:rsidRDefault="00A21456" w:rsidP="00081936">
            <w:pPr>
              <w:pStyle w:val="Tabletext9pt"/>
              <w:numPr>
                <w:ilvl w:val="0"/>
                <w:numId w:val="29"/>
              </w:numPr>
              <w:spacing w:before="60" w:after="40"/>
              <w:jc w:val="right"/>
            </w:pPr>
            <w:r>
              <w:rPr>
                <w:lang w:eastAsia="en-AU"/>
              </w:rPr>
              <w:t>8.73</w:t>
            </w:r>
          </w:p>
        </w:tc>
      </w:tr>
      <w:tr w:rsidR="009A1786" w14:paraId="2B6F485E" w14:textId="77777777" w:rsidTr="008B2386">
        <w:tc>
          <w:tcPr>
            <w:tcW w:w="0" w:type="dxa"/>
            <w:tcBorders>
              <w:top w:val="single" w:sz="4" w:space="0" w:color="auto"/>
              <w:left w:val="single" w:sz="4" w:space="0" w:color="auto"/>
              <w:bottom w:val="single" w:sz="4" w:space="0" w:color="auto"/>
              <w:right w:val="single" w:sz="4" w:space="0" w:color="auto"/>
            </w:tcBorders>
            <w:hideMark/>
          </w:tcPr>
          <w:p w14:paraId="0629C11D" w14:textId="3B8958B6" w:rsidR="009A1786" w:rsidRDefault="009A1786" w:rsidP="00081936">
            <w:pPr>
              <w:pStyle w:val="Tabletext9pt"/>
              <w:numPr>
                <w:ilvl w:val="0"/>
                <w:numId w:val="29"/>
              </w:numPr>
              <w:spacing w:before="60" w:after="40"/>
            </w:pPr>
            <w:r>
              <w:rPr>
                <w:rFonts w:cs="Arial"/>
              </w:rPr>
              <w:t xml:space="preserve">Rural </w:t>
            </w:r>
            <w:r w:rsidR="00D313FF">
              <w:rPr>
                <w:rFonts w:cs="Arial"/>
              </w:rPr>
              <w:t>small high-care supplement</w:t>
            </w:r>
          </w:p>
          <w:p w14:paraId="0AE22BDD" w14:textId="77777777" w:rsidR="009A1786" w:rsidRDefault="009A1786" w:rsidP="00081936">
            <w:pPr>
              <w:pStyle w:val="Tabletext9pt"/>
              <w:numPr>
                <w:ilvl w:val="0"/>
                <w:numId w:val="29"/>
              </w:numPr>
              <w:spacing w:before="60" w:after="40"/>
            </w:pPr>
            <w:r>
              <w:t>21–30 places</w:t>
            </w:r>
          </w:p>
        </w:tc>
        <w:tc>
          <w:tcPr>
            <w:tcW w:w="0" w:type="dxa"/>
            <w:tcBorders>
              <w:top w:val="single" w:sz="4" w:space="0" w:color="auto"/>
              <w:left w:val="single" w:sz="4" w:space="0" w:color="auto"/>
              <w:bottom w:val="single" w:sz="4" w:space="0" w:color="auto"/>
              <w:right w:val="single" w:sz="4" w:space="0" w:color="auto"/>
            </w:tcBorders>
            <w:hideMark/>
          </w:tcPr>
          <w:p w14:paraId="21B964D9" w14:textId="77777777" w:rsidR="009A1786" w:rsidRDefault="009A1786" w:rsidP="00081936">
            <w:pPr>
              <w:pStyle w:val="Tabletext9pt"/>
              <w:numPr>
                <w:ilvl w:val="0"/>
                <w:numId w:val="29"/>
              </w:numPr>
              <w:spacing w:before="60" w:after="40"/>
              <w:rPr>
                <w:rFonts w:cs="Arial"/>
              </w:rPr>
            </w:pPr>
            <w:r>
              <w:rPr>
                <w:rFonts w:cs="Arial"/>
              </w:rPr>
              <w:t>Bed day</w:t>
            </w:r>
          </w:p>
        </w:tc>
        <w:tc>
          <w:tcPr>
            <w:tcW w:w="0" w:type="dxa"/>
            <w:tcBorders>
              <w:top w:val="single" w:sz="4" w:space="0" w:color="auto"/>
              <w:left w:val="single" w:sz="4" w:space="0" w:color="auto"/>
              <w:bottom w:val="single" w:sz="4" w:space="0" w:color="auto"/>
              <w:right w:val="single" w:sz="4" w:space="0" w:color="auto"/>
            </w:tcBorders>
          </w:tcPr>
          <w:p w14:paraId="605EAF13" w14:textId="2B5B37B2" w:rsidR="009A1786" w:rsidRDefault="00A21456" w:rsidP="00081936">
            <w:pPr>
              <w:pStyle w:val="Tabletext9pt"/>
              <w:numPr>
                <w:ilvl w:val="0"/>
                <w:numId w:val="29"/>
              </w:numPr>
              <w:spacing w:before="60" w:after="40"/>
              <w:jc w:val="right"/>
            </w:pPr>
            <w:r>
              <w:t>7.29</w:t>
            </w:r>
          </w:p>
        </w:tc>
      </w:tr>
      <w:tr w:rsidR="009A1786" w14:paraId="29F922BB" w14:textId="77777777" w:rsidTr="008B2386">
        <w:tc>
          <w:tcPr>
            <w:tcW w:w="0" w:type="dxa"/>
            <w:tcBorders>
              <w:top w:val="single" w:sz="4" w:space="0" w:color="auto"/>
              <w:left w:val="single" w:sz="4" w:space="0" w:color="auto"/>
              <w:bottom w:val="single" w:sz="4" w:space="0" w:color="auto"/>
              <w:right w:val="single" w:sz="4" w:space="0" w:color="auto"/>
            </w:tcBorders>
            <w:hideMark/>
          </w:tcPr>
          <w:p w14:paraId="6737F72B" w14:textId="1F1D08D3" w:rsidR="009A1786" w:rsidRDefault="009A1786" w:rsidP="00081936">
            <w:pPr>
              <w:pStyle w:val="Tabletext9pt"/>
              <w:numPr>
                <w:ilvl w:val="0"/>
                <w:numId w:val="29"/>
              </w:numPr>
              <w:spacing w:before="60" w:after="40"/>
            </w:pPr>
            <w:r>
              <w:lastRenderedPageBreak/>
              <w:t>Low</w:t>
            </w:r>
            <w:r w:rsidR="00D313FF">
              <w:t>-care supplement</w:t>
            </w:r>
            <w:r>
              <w:rPr>
                <w:rStyle w:val="FootnoteReference"/>
              </w:rPr>
              <w:footnoteReference w:id="13"/>
            </w:r>
          </w:p>
        </w:tc>
        <w:tc>
          <w:tcPr>
            <w:tcW w:w="0" w:type="dxa"/>
            <w:tcBorders>
              <w:top w:val="single" w:sz="4" w:space="0" w:color="auto"/>
              <w:left w:val="single" w:sz="4" w:space="0" w:color="auto"/>
              <w:bottom w:val="single" w:sz="4" w:space="0" w:color="auto"/>
              <w:right w:val="single" w:sz="4" w:space="0" w:color="auto"/>
            </w:tcBorders>
            <w:hideMark/>
          </w:tcPr>
          <w:p w14:paraId="69120F39" w14:textId="77777777" w:rsidR="009A1786" w:rsidRDefault="009A1786" w:rsidP="00081936">
            <w:pPr>
              <w:pStyle w:val="Tabletext9pt"/>
              <w:numPr>
                <w:ilvl w:val="0"/>
                <w:numId w:val="29"/>
              </w:numPr>
              <w:spacing w:before="60" w:after="40"/>
              <w:rPr>
                <w:rFonts w:cs="Arial"/>
              </w:rPr>
            </w:pPr>
            <w:r>
              <w:rPr>
                <w:rFonts w:cs="Arial"/>
              </w:rPr>
              <w:t>Bed day</w:t>
            </w:r>
          </w:p>
        </w:tc>
        <w:tc>
          <w:tcPr>
            <w:tcW w:w="0" w:type="dxa"/>
            <w:tcBorders>
              <w:top w:val="single" w:sz="4" w:space="0" w:color="auto"/>
              <w:left w:val="single" w:sz="4" w:space="0" w:color="auto"/>
              <w:bottom w:val="single" w:sz="4" w:space="0" w:color="auto"/>
              <w:right w:val="single" w:sz="4" w:space="0" w:color="auto"/>
            </w:tcBorders>
          </w:tcPr>
          <w:p w14:paraId="74DEFF68" w14:textId="65746986" w:rsidR="009A1786" w:rsidRDefault="00964248" w:rsidP="00081936">
            <w:pPr>
              <w:pStyle w:val="Tabletext9pt"/>
              <w:numPr>
                <w:ilvl w:val="0"/>
                <w:numId w:val="29"/>
              </w:numPr>
              <w:spacing w:before="60" w:after="40"/>
              <w:jc w:val="right"/>
            </w:pPr>
            <w:r>
              <w:rPr>
                <w:lang w:eastAsia="en-AU"/>
              </w:rPr>
              <w:t>6.67</w:t>
            </w:r>
          </w:p>
        </w:tc>
      </w:tr>
      <w:tr w:rsidR="009A1786" w14:paraId="3E37FC3F" w14:textId="77777777" w:rsidTr="008B2386">
        <w:tc>
          <w:tcPr>
            <w:tcW w:w="0" w:type="dxa"/>
            <w:tcBorders>
              <w:top w:val="single" w:sz="4" w:space="0" w:color="auto"/>
              <w:left w:val="single" w:sz="4" w:space="0" w:color="auto"/>
              <w:bottom w:val="single" w:sz="4" w:space="0" w:color="auto"/>
              <w:right w:val="single" w:sz="4" w:space="0" w:color="auto"/>
            </w:tcBorders>
            <w:hideMark/>
          </w:tcPr>
          <w:p w14:paraId="55B633C7" w14:textId="37E83DCD" w:rsidR="009A1786" w:rsidRDefault="009A1786" w:rsidP="00081936">
            <w:pPr>
              <w:pStyle w:val="Tabletext9pt"/>
              <w:numPr>
                <w:ilvl w:val="0"/>
                <w:numId w:val="29"/>
              </w:numPr>
              <w:spacing w:before="60" w:after="40"/>
            </w:pPr>
            <w:r>
              <w:t>High</w:t>
            </w:r>
            <w:r w:rsidR="00556817">
              <w:t>-</w:t>
            </w:r>
            <w:r w:rsidR="00D313FF">
              <w:t>care supplement</w:t>
            </w:r>
          </w:p>
        </w:tc>
        <w:tc>
          <w:tcPr>
            <w:tcW w:w="0" w:type="dxa"/>
            <w:tcBorders>
              <w:top w:val="single" w:sz="4" w:space="0" w:color="auto"/>
              <w:left w:val="single" w:sz="4" w:space="0" w:color="auto"/>
              <w:bottom w:val="single" w:sz="4" w:space="0" w:color="auto"/>
              <w:right w:val="single" w:sz="4" w:space="0" w:color="auto"/>
            </w:tcBorders>
            <w:hideMark/>
          </w:tcPr>
          <w:p w14:paraId="49ED3CF3" w14:textId="77777777" w:rsidR="009A1786" w:rsidRDefault="009A1786" w:rsidP="00081936">
            <w:pPr>
              <w:pStyle w:val="Tabletext9pt"/>
              <w:numPr>
                <w:ilvl w:val="0"/>
                <w:numId w:val="29"/>
              </w:numPr>
              <w:spacing w:before="60" w:after="40"/>
              <w:rPr>
                <w:rFonts w:cs="Arial"/>
              </w:rPr>
            </w:pPr>
            <w:r>
              <w:rPr>
                <w:rFonts w:cs="Arial"/>
              </w:rPr>
              <w:t>Bed day</w:t>
            </w:r>
          </w:p>
        </w:tc>
        <w:tc>
          <w:tcPr>
            <w:tcW w:w="0" w:type="dxa"/>
            <w:tcBorders>
              <w:top w:val="single" w:sz="4" w:space="0" w:color="auto"/>
              <w:left w:val="single" w:sz="4" w:space="0" w:color="auto"/>
              <w:bottom w:val="single" w:sz="4" w:space="0" w:color="auto"/>
              <w:right w:val="single" w:sz="4" w:space="0" w:color="auto"/>
            </w:tcBorders>
          </w:tcPr>
          <w:p w14:paraId="2D480015" w14:textId="3E012CEB" w:rsidR="009A1786" w:rsidRDefault="00415C85" w:rsidP="00081936">
            <w:pPr>
              <w:pStyle w:val="Tabletext9pt"/>
              <w:numPr>
                <w:ilvl w:val="0"/>
                <w:numId w:val="29"/>
              </w:numPr>
              <w:spacing w:before="60" w:after="40"/>
              <w:jc w:val="right"/>
            </w:pPr>
            <w:r>
              <w:t>72.07</w:t>
            </w:r>
          </w:p>
        </w:tc>
      </w:tr>
      <w:tr w:rsidR="009A1786" w14:paraId="41D0FAE0" w14:textId="77777777" w:rsidTr="008B2386">
        <w:tc>
          <w:tcPr>
            <w:tcW w:w="0" w:type="dxa"/>
            <w:tcBorders>
              <w:top w:val="single" w:sz="4" w:space="0" w:color="auto"/>
              <w:left w:val="single" w:sz="4" w:space="0" w:color="auto"/>
              <w:bottom w:val="single" w:sz="4" w:space="0" w:color="auto"/>
              <w:right w:val="single" w:sz="4" w:space="0" w:color="auto"/>
            </w:tcBorders>
            <w:hideMark/>
          </w:tcPr>
          <w:p w14:paraId="04D4D5D5" w14:textId="7106CC96" w:rsidR="009A1786" w:rsidRDefault="009A1786" w:rsidP="00081936">
            <w:pPr>
              <w:pStyle w:val="Tabletext9pt"/>
              <w:numPr>
                <w:ilvl w:val="0"/>
                <w:numId w:val="29"/>
              </w:numPr>
              <w:spacing w:before="60" w:after="40"/>
            </w:pPr>
            <w:r>
              <w:t xml:space="preserve">Public </w:t>
            </w:r>
            <w:r w:rsidR="00D313FF">
              <w:t>sector residential aged care supplement</w:t>
            </w:r>
          </w:p>
        </w:tc>
        <w:tc>
          <w:tcPr>
            <w:tcW w:w="0" w:type="dxa"/>
            <w:tcBorders>
              <w:top w:val="single" w:sz="4" w:space="0" w:color="auto"/>
              <w:left w:val="single" w:sz="4" w:space="0" w:color="auto"/>
              <w:bottom w:val="single" w:sz="4" w:space="0" w:color="auto"/>
              <w:right w:val="single" w:sz="4" w:space="0" w:color="auto"/>
            </w:tcBorders>
            <w:hideMark/>
          </w:tcPr>
          <w:p w14:paraId="741BF0CB" w14:textId="77777777" w:rsidR="009A1786" w:rsidRDefault="009A1786" w:rsidP="00081936">
            <w:pPr>
              <w:pStyle w:val="Tabletext9pt"/>
              <w:numPr>
                <w:ilvl w:val="0"/>
                <w:numId w:val="29"/>
              </w:numPr>
              <w:spacing w:before="60" w:after="40"/>
              <w:rPr>
                <w:rFonts w:cs="Arial"/>
              </w:rPr>
            </w:pPr>
            <w:r>
              <w:rPr>
                <w:rFonts w:cs="Arial"/>
              </w:rPr>
              <w:t>Bed day</w:t>
            </w:r>
          </w:p>
        </w:tc>
        <w:tc>
          <w:tcPr>
            <w:tcW w:w="0" w:type="dxa"/>
            <w:tcBorders>
              <w:top w:val="single" w:sz="4" w:space="0" w:color="auto"/>
              <w:left w:val="single" w:sz="4" w:space="0" w:color="auto"/>
              <w:bottom w:val="single" w:sz="4" w:space="0" w:color="auto"/>
              <w:right w:val="single" w:sz="4" w:space="0" w:color="auto"/>
            </w:tcBorders>
          </w:tcPr>
          <w:p w14:paraId="6EF18039" w14:textId="2ECA92D7" w:rsidR="009A1786" w:rsidRDefault="00305963" w:rsidP="00081936">
            <w:pPr>
              <w:pStyle w:val="Tabletext9pt"/>
              <w:numPr>
                <w:ilvl w:val="0"/>
                <w:numId w:val="29"/>
              </w:numPr>
              <w:spacing w:before="60" w:after="40"/>
              <w:jc w:val="right"/>
            </w:pPr>
            <w:r w:rsidRPr="009F544A">
              <w:t>13.98</w:t>
            </w:r>
          </w:p>
        </w:tc>
      </w:tr>
      <w:tr w:rsidR="009A1786" w14:paraId="19DA3D29" w14:textId="77777777" w:rsidTr="009A1786">
        <w:trPr>
          <w:trHeight w:val="114"/>
        </w:trPr>
        <w:tc>
          <w:tcPr>
            <w:tcW w:w="3823" w:type="dxa"/>
            <w:tcBorders>
              <w:top w:val="single" w:sz="4" w:space="0" w:color="auto"/>
              <w:left w:val="single" w:sz="4" w:space="0" w:color="auto"/>
              <w:bottom w:val="single" w:sz="4" w:space="0" w:color="auto"/>
              <w:right w:val="single" w:sz="4" w:space="0" w:color="auto"/>
            </w:tcBorders>
            <w:hideMark/>
          </w:tcPr>
          <w:p w14:paraId="09353A12" w14:textId="6E02038E" w:rsidR="009A1786" w:rsidRDefault="009A1786" w:rsidP="00081936">
            <w:pPr>
              <w:pStyle w:val="Tabletext9pt"/>
              <w:numPr>
                <w:ilvl w:val="0"/>
                <w:numId w:val="29"/>
              </w:numPr>
              <w:spacing w:before="60" w:after="40"/>
            </w:pPr>
            <w:r>
              <w:t xml:space="preserve">Complex </w:t>
            </w:r>
            <w:r w:rsidR="00D313FF">
              <w:t>care supplement</w:t>
            </w:r>
          </w:p>
        </w:tc>
        <w:tc>
          <w:tcPr>
            <w:tcW w:w="2551" w:type="dxa"/>
            <w:tcBorders>
              <w:top w:val="single" w:sz="4" w:space="0" w:color="auto"/>
              <w:left w:val="single" w:sz="4" w:space="0" w:color="auto"/>
              <w:bottom w:val="single" w:sz="4" w:space="0" w:color="auto"/>
              <w:right w:val="single" w:sz="4" w:space="0" w:color="auto"/>
            </w:tcBorders>
            <w:hideMark/>
          </w:tcPr>
          <w:p w14:paraId="5A017E15" w14:textId="7569E52A" w:rsidR="009A1786" w:rsidRDefault="009A1786" w:rsidP="00081936">
            <w:pPr>
              <w:pStyle w:val="Tabletext9pt"/>
              <w:numPr>
                <w:ilvl w:val="0"/>
                <w:numId w:val="29"/>
              </w:numPr>
              <w:spacing w:before="60" w:after="40"/>
              <w:rPr>
                <w:rFonts w:cs="Arial"/>
              </w:rPr>
            </w:pPr>
            <w:r>
              <w:rPr>
                <w:rFonts w:cs="Arial"/>
              </w:rPr>
              <w:t>Bed day</w:t>
            </w:r>
          </w:p>
        </w:tc>
        <w:tc>
          <w:tcPr>
            <w:tcW w:w="2925" w:type="dxa"/>
            <w:tcBorders>
              <w:top w:val="single" w:sz="4" w:space="0" w:color="auto"/>
              <w:left w:val="single" w:sz="4" w:space="0" w:color="auto"/>
              <w:bottom w:val="single" w:sz="4" w:space="0" w:color="auto"/>
              <w:right w:val="single" w:sz="4" w:space="0" w:color="auto"/>
            </w:tcBorders>
          </w:tcPr>
          <w:p w14:paraId="064ED8A7" w14:textId="3F12FE4E" w:rsidR="009A1786" w:rsidRDefault="0A2BB8E4" w:rsidP="00081936">
            <w:pPr>
              <w:pStyle w:val="Tabletext9pt"/>
              <w:numPr>
                <w:ilvl w:val="0"/>
                <w:numId w:val="29"/>
              </w:numPr>
              <w:spacing w:before="60" w:after="40"/>
              <w:jc w:val="right"/>
            </w:pPr>
            <w:r>
              <w:t>43.72</w:t>
            </w:r>
          </w:p>
        </w:tc>
      </w:tr>
    </w:tbl>
    <w:p w14:paraId="06A02A09" w14:textId="75598A76" w:rsidR="000B27B9" w:rsidRDefault="000B27B9" w:rsidP="00081936">
      <w:pPr>
        <w:pStyle w:val="Heading3"/>
        <w:numPr>
          <w:ilvl w:val="2"/>
          <w:numId w:val="33"/>
        </w:numPr>
        <w:spacing w:before="240"/>
        <w:ind w:left="1134"/>
      </w:pPr>
      <w:bookmarkStart w:id="864" w:name="_Toc110950043"/>
      <w:bookmarkStart w:id="865" w:name="_Toc418694989"/>
      <w:bookmarkStart w:id="866" w:name="_Toc487742011"/>
      <w:bookmarkStart w:id="867" w:name="_Toc14172241"/>
      <w:bookmarkStart w:id="868" w:name="_Toc100263351"/>
      <w:bookmarkStart w:id="869" w:name="_Toc156569683"/>
      <w:bookmarkEnd w:id="864"/>
      <w:r>
        <w:t xml:space="preserve">Primary, </w:t>
      </w:r>
      <w:bookmarkEnd w:id="865"/>
      <w:r w:rsidR="00D313FF">
        <w:t>community and dental health output group</w:t>
      </w:r>
      <w:bookmarkEnd w:id="866"/>
      <w:bookmarkEnd w:id="867"/>
      <w:bookmarkEnd w:id="868"/>
      <w:bookmarkEnd w:id="869"/>
    </w:p>
    <w:p w14:paraId="3EB05483" w14:textId="66642745" w:rsidR="00340749" w:rsidRDefault="00340749" w:rsidP="00340749">
      <w:pPr>
        <w:pStyle w:val="Tablecaption"/>
      </w:pPr>
      <w:bookmarkStart w:id="870" w:name="_Toc110944668"/>
      <w:bookmarkStart w:id="871" w:name="_Toc156568668"/>
      <w:bookmarkStart w:id="872" w:name="_Toc419644517"/>
      <w:bookmarkStart w:id="873" w:name="_Toc487742076"/>
      <w:bookmarkEnd w:id="870"/>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25</w:t>
      </w:r>
      <w:r>
        <w:fldChar w:fldCharType="end"/>
      </w:r>
      <w:r>
        <w:t>:</w:t>
      </w:r>
      <w:r w:rsidRPr="00340749">
        <w:t xml:space="preserve"> </w:t>
      </w:r>
      <w:r>
        <w:t>Community Health care output 2023–24</w:t>
      </w:r>
      <w:bookmarkEnd w:id="871"/>
    </w:p>
    <w:tbl>
      <w:tblPr>
        <w:tblStyle w:val="TableGrid1"/>
        <w:tblW w:w="9299" w:type="dxa"/>
        <w:tblLook w:val="06A0" w:firstRow="1" w:lastRow="0" w:firstColumn="1" w:lastColumn="0" w:noHBand="1" w:noVBand="1"/>
      </w:tblPr>
      <w:tblGrid>
        <w:gridCol w:w="2176"/>
        <w:gridCol w:w="3455"/>
        <w:gridCol w:w="1415"/>
        <w:gridCol w:w="2253"/>
      </w:tblGrid>
      <w:tr w:rsidR="00AE6427" w14:paraId="28A8662A"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146C2CDC" w14:textId="77777777" w:rsidR="00233DA1" w:rsidRDefault="00233DA1" w:rsidP="00340749">
            <w:pPr>
              <w:pStyle w:val="Tablecolhead"/>
              <w:rPr>
                <w:szCs w:val="18"/>
              </w:rPr>
            </w:pPr>
            <w:r>
              <w:t>Service</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1501AF58" w14:textId="77777777" w:rsidR="00233DA1" w:rsidRDefault="00233DA1" w:rsidP="00340749">
            <w:pPr>
              <w:pStyle w:val="Tablecolhead"/>
              <w:rPr>
                <w:szCs w:val="18"/>
              </w:rPr>
            </w:pPr>
            <w:r>
              <w:t>Service subsection</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7CB07804" w14:textId="77777777" w:rsidR="00233DA1" w:rsidRDefault="00233DA1" w:rsidP="00340749">
            <w:pPr>
              <w:pStyle w:val="Tablecolhead"/>
              <w:rPr>
                <w:szCs w:val="18"/>
              </w:rPr>
            </w:pPr>
            <w:r>
              <w:t>Funded unit</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18F9225F" w14:textId="77777777" w:rsidR="00233DA1" w:rsidRDefault="00233DA1" w:rsidP="00685B35">
            <w:pPr>
              <w:pStyle w:val="Tablecolhead"/>
              <w:rPr>
                <w:szCs w:val="18"/>
              </w:rPr>
            </w:pPr>
            <w:r>
              <w:t>Estimated unit price ($)</w:t>
            </w:r>
          </w:p>
        </w:tc>
      </w:tr>
      <w:tr w:rsidR="00233DA1" w14:paraId="74A6850C" w14:textId="77777777" w:rsidTr="23E5A96B">
        <w:tc>
          <w:tcPr>
            <w:tcW w:w="2176" w:type="dxa"/>
            <w:tcBorders>
              <w:top w:val="single" w:sz="4" w:space="0" w:color="auto"/>
              <w:left w:val="single" w:sz="4" w:space="0" w:color="auto"/>
              <w:bottom w:val="single" w:sz="4" w:space="0" w:color="auto"/>
              <w:right w:val="single" w:sz="4" w:space="0" w:color="auto"/>
            </w:tcBorders>
            <w:hideMark/>
          </w:tcPr>
          <w:p w14:paraId="5F640FF4" w14:textId="77777777" w:rsidR="00233DA1" w:rsidRDefault="00233DA1" w:rsidP="00081936">
            <w:pPr>
              <w:pStyle w:val="Tabletext9pt"/>
              <w:numPr>
                <w:ilvl w:val="0"/>
                <w:numId w:val="29"/>
              </w:numPr>
            </w:pPr>
            <w:r>
              <w:t>Family and Reproductive Rights Education Program</w:t>
            </w:r>
          </w:p>
        </w:tc>
        <w:tc>
          <w:tcPr>
            <w:tcW w:w="3455" w:type="dxa"/>
            <w:tcBorders>
              <w:top w:val="single" w:sz="4" w:space="0" w:color="auto"/>
              <w:left w:val="single" w:sz="4" w:space="0" w:color="auto"/>
              <w:bottom w:val="single" w:sz="4" w:space="0" w:color="auto"/>
              <w:right w:val="single" w:sz="4" w:space="0" w:color="auto"/>
            </w:tcBorders>
            <w:hideMark/>
          </w:tcPr>
          <w:p w14:paraId="1CC4F469" w14:textId="77777777" w:rsidR="00233DA1" w:rsidRDefault="00233DA1" w:rsidP="00081936">
            <w:pPr>
              <w:pStyle w:val="Tabletext9pt"/>
              <w:numPr>
                <w:ilvl w:val="0"/>
                <w:numId w:val="29"/>
              </w:numPr>
            </w:pPr>
            <w:r>
              <w:t>Direct care</w:t>
            </w:r>
          </w:p>
        </w:tc>
        <w:tc>
          <w:tcPr>
            <w:tcW w:w="1415" w:type="dxa"/>
            <w:tcBorders>
              <w:top w:val="single" w:sz="4" w:space="0" w:color="auto"/>
              <w:left w:val="single" w:sz="4" w:space="0" w:color="auto"/>
              <w:bottom w:val="single" w:sz="4" w:space="0" w:color="auto"/>
              <w:right w:val="single" w:sz="4" w:space="0" w:color="auto"/>
            </w:tcBorders>
            <w:hideMark/>
          </w:tcPr>
          <w:p w14:paraId="4AE121C8" w14:textId="77777777" w:rsidR="00233DA1" w:rsidRDefault="00233DA1" w:rsidP="00081936">
            <w:pPr>
              <w:pStyle w:val="Tabletext9pt"/>
              <w:numPr>
                <w:ilvl w:val="0"/>
                <w:numId w:val="29"/>
              </w:numPr>
            </w:pPr>
            <w:r>
              <w:t>Hours</w:t>
            </w:r>
          </w:p>
        </w:tc>
        <w:tc>
          <w:tcPr>
            <w:tcW w:w="2253" w:type="dxa"/>
            <w:tcBorders>
              <w:top w:val="single" w:sz="4" w:space="0" w:color="auto"/>
              <w:left w:val="single" w:sz="4" w:space="0" w:color="auto"/>
              <w:bottom w:val="single" w:sz="4" w:space="0" w:color="auto"/>
              <w:right w:val="single" w:sz="4" w:space="0" w:color="auto"/>
            </w:tcBorders>
            <w:hideMark/>
          </w:tcPr>
          <w:p w14:paraId="39D9D3FE" w14:textId="008F4A3D" w:rsidR="00233DA1" w:rsidRDefault="00BE6112" w:rsidP="00081936">
            <w:pPr>
              <w:pStyle w:val="Tabletext9pt"/>
              <w:numPr>
                <w:ilvl w:val="0"/>
                <w:numId w:val="29"/>
              </w:numPr>
              <w:jc w:val="right"/>
              <w:rPr>
                <w:lang w:eastAsia="en-AU"/>
              </w:rPr>
            </w:pPr>
            <w:r>
              <w:rPr>
                <w:lang w:eastAsia="en-AU"/>
              </w:rPr>
              <w:t>119.13</w:t>
            </w:r>
          </w:p>
        </w:tc>
      </w:tr>
      <w:tr w:rsidR="00233DA1" w14:paraId="27D3D51F" w14:textId="77777777" w:rsidTr="23E5A96B">
        <w:tc>
          <w:tcPr>
            <w:tcW w:w="2176" w:type="dxa"/>
            <w:tcBorders>
              <w:top w:val="single" w:sz="4" w:space="0" w:color="auto"/>
              <w:left w:val="single" w:sz="4" w:space="0" w:color="auto"/>
              <w:bottom w:val="single" w:sz="4" w:space="0" w:color="auto"/>
              <w:right w:val="single" w:sz="4" w:space="0" w:color="auto"/>
            </w:tcBorders>
            <w:hideMark/>
          </w:tcPr>
          <w:p w14:paraId="334B0C08" w14:textId="77777777" w:rsidR="00233DA1" w:rsidRDefault="00233DA1" w:rsidP="00081936">
            <w:pPr>
              <w:pStyle w:val="Tabletext9pt"/>
              <w:numPr>
                <w:ilvl w:val="0"/>
                <w:numId w:val="29"/>
              </w:numPr>
            </w:pPr>
            <w:r>
              <w:t>Innovative Health Services for Homeless Youth</w:t>
            </w:r>
          </w:p>
        </w:tc>
        <w:tc>
          <w:tcPr>
            <w:tcW w:w="3455" w:type="dxa"/>
            <w:tcBorders>
              <w:top w:val="single" w:sz="4" w:space="0" w:color="auto"/>
              <w:left w:val="single" w:sz="4" w:space="0" w:color="auto"/>
              <w:bottom w:val="single" w:sz="4" w:space="0" w:color="auto"/>
              <w:right w:val="single" w:sz="4" w:space="0" w:color="auto"/>
            </w:tcBorders>
            <w:hideMark/>
          </w:tcPr>
          <w:p w14:paraId="61194D52" w14:textId="77777777" w:rsidR="00233DA1" w:rsidRDefault="00233DA1" w:rsidP="00081936">
            <w:pPr>
              <w:pStyle w:val="Tabletext9pt"/>
              <w:numPr>
                <w:ilvl w:val="0"/>
                <w:numId w:val="29"/>
              </w:numPr>
            </w:pPr>
            <w:r>
              <w:t>Counselling/casework</w:t>
            </w:r>
          </w:p>
        </w:tc>
        <w:tc>
          <w:tcPr>
            <w:tcW w:w="1415" w:type="dxa"/>
            <w:tcBorders>
              <w:top w:val="single" w:sz="4" w:space="0" w:color="auto"/>
              <w:left w:val="single" w:sz="4" w:space="0" w:color="auto"/>
              <w:bottom w:val="single" w:sz="4" w:space="0" w:color="auto"/>
              <w:right w:val="single" w:sz="4" w:space="0" w:color="auto"/>
            </w:tcBorders>
            <w:hideMark/>
          </w:tcPr>
          <w:p w14:paraId="22B82865" w14:textId="77777777" w:rsidR="00233DA1" w:rsidRDefault="00233DA1" w:rsidP="00081936">
            <w:pPr>
              <w:pStyle w:val="Tabletext9pt"/>
              <w:numPr>
                <w:ilvl w:val="0"/>
                <w:numId w:val="29"/>
              </w:numPr>
            </w:pPr>
            <w:r>
              <w:t>Hours</w:t>
            </w:r>
          </w:p>
        </w:tc>
        <w:tc>
          <w:tcPr>
            <w:tcW w:w="2253" w:type="dxa"/>
            <w:tcBorders>
              <w:top w:val="single" w:sz="4" w:space="0" w:color="auto"/>
              <w:left w:val="single" w:sz="4" w:space="0" w:color="auto"/>
              <w:bottom w:val="single" w:sz="4" w:space="0" w:color="auto"/>
              <w:right w:val="single" w:sz="4" w:space="0" w:color="auto"/>
            </w:tcBorders>
            <w:hideMark/>
          </w:tcPr>
          <w:p w14:paraId="0DF269DC" w14:textId="202CF35F" w:rsidR="00233DA1" w:rsidRDefault="00BE6112" w:rsidP="00081936">
            <w:pPr>
              <w:pStyle w:val="Tabletext9pt"/>
              <w:numPr>
                <w:ilvl w:val="0"/>
                <w:numId w:val="29"/>
              </w:numPr>
              <w:jc w:val="right"/>
              <w:rPr>
                <w:lang w:eastAsia="en-AU"/>
              </w:rPr>
            </w:pPr>
            <w:r>
              <w:rPr>
                <w:lang w:eastAsia="en-AU"/>
              </w:rPr>
              <w:t>119.13</w:t>
            </w:r>
          </w:p>
        </w:tc>
      </w:tr>
      <w:tr w:rsidR="00233DA1" w14:paraId="25FD42B1" w14:textId="77777777" w:rsidTr="23E5A96B">
        <w:tc>
          <w:tcPr>
            <w:tcW w:w="2176" w:type="dxa"/>
            <w:tcBorders>
              <w:top w:val="single" w:sz="4" w:space="0" w:color="auto"/>
              <w:left w:val="single" w:sz="4" w:space="0" w:color="auto"/>
              <w:bottom w:val="single" w:sz="4" w:space="0" w:color="auto"/>
              <w:right w:val="single" w:sz="4" w:space="0" w:color="auto"/>
            </w:tcBorders>
            <w:hideMark/>
          </w:tcPr>
          <w:p w14:paraId="04A3C295" w14:textId="77777777" w:rsidR="00233DA1" w:rsidRDefault="00233DA1" w:rsidP="00081936">
            <w:pPr>
              <w:pStyle w:val="Tabletext9pt"/>
              <w:numPr>
                <w:ilvl w:val="0"/>
                <w:numId w:val="29"/>
              </w:numPr>
            </w:pPr>
            <w:r>
              <w:t>Innovative Health Services for Homeless Youth</w:t>
            </w:r>
          </w:p>
        </w:tc>
        <w:tc>
          <w:tcPr>
            <w:tcW w:w="3455" w:type="dxa"/>
            <w:tcBorders>
              <w:top w:val="single" w:sz="4" w:space="0" w:color="auto"/>
              <w:left w:val="single" w:sz="4" w:space="0" w:color="auto"/>
              <w:bottom w:val="single" w:sz="4" w:space="0" w:color="auto"/>
              <w:right w:val="single" w:sz="4" w:space="0" w:color="auto"/>
            </w:tcBorders>
            <w:hideMark/>
          </w:tcPr>
          <w:p w14:paraId="196C8A13" w14:textId="77777777" w:rsidR="00233DA1" w:rsidRDefault="00233DA1" w:rsidP="00081936">
            <w:pPr>
              <w:pStyle w:val="Tabletext9pt"/>
              <w:numPr>
                <w:ilvl w:val="0"/>
                <w:numId w:val="29"/>
              </w:numPr>
            </w:pPr>
            <w:r>
              <w:t>Nursing</w:t>
            </w:r>
          </w:p>
        </w:tc>
        <w:tc>
          <w:tcPr>
            <w:tcW w:w="1415" w:type="dxa"/>
            <w:tcBorders>
              <w:top w:val="single" w:sz="4" w:space="0" w:color="auto"/>
              <w:left w:val="single" w:sz="4" w:space="0" w:color="auto"/>
              <w:bottom w:val="single" w:sz="4" w:space="0" w:color="auto"/>
              <w:right w:val="single" w:sz="4" w:space="0" w:color="auto"/>
            </w:tcBorders>
            <w:hideMark/>
          </w:tcPr>
          <w:p w14:paraId="73F9BA5D" w14:textId="77777777" w:rsidR="00233DA1" w:rsidRDefault="00233DA1" w:rsidP="00081936">
            <w:pPr>
              <w:pStyle w:val="Tabletext9pt"/>
              <w:numPr>
                <w:ilvl w:val="0"/>
                <w:numId w:val="29"/>
              </w:numPr>
            </w:pPr>
            <w:r>
              <w:t>Hours</w:t>
            </w:r>
          </w:p>
        </w:tc>
        <w:tc>
          <w:tcPr>
            <w:tcW w:w="2253" w:type="dxa"/>
            <w:tcBorders>
              <w:top w:val="single" w:sz="4" w:space="0" w:color="auto"/>
              <w:left w:val="single" w:sz="4" w:space="0" w:color="auto"/>
              <w:bottom w:val="single" w:sz="4" w:space="0" w:color="auto"/>
              <w:right w:val="single" w:sz="4" w:space="0" w:color="auto"/>
            </w:tcBorders>
            <w:hideMark/>
          </w:tcPr>
          <w:p w14:paraId="4E6F7C38" w14:textId="778157EA" w:rsidR="00233DA1" w:rsidRDefault="00BE6112" w:rsidP="00081936">
            <w:pPr>
              <w:pStyle w:val="Tabletext9pt"/>
              <w:numPr>
                <w:ilvl w:val="0"/>
                <w:numId w:val="29"/>
              </w:numPr>
              <w:jc w:val="right"/>
              <w:rPr>
                <w:lang w:eastAsia="en-AU"/>
              </w:rPr>
            </w:pPr>
            <w:r>
              <w:rPr>
                <w:lang w:eastAsia="en-AU"/>
              </w:rPr>
              <w:t>104.26</w:t>
            </w:r>
          </w:p>
        </w:tc>
      </w:tr>
      <w:tr w:rsidR="00233DA1" w14:paraId="0C9A6DC4" w14:textId="77777777" w:rsidTr="23E5A96B">
        <w:tc>
          <w:tcPr>
            <w:tcW w:w="2176" w:type="dxa"/>
            <w:tcBorders>
              <w:top w:val="single" w:sz="4" w:space="0" w:color="auto"/>
              <w:left w:val="single" w:sz="4" w:space="0" w:color="auto"/>
              <w:bottom w:val="single" w:sz="4" w:space="0" w:color="auto"/>
              <w:right w:val="single" w:sz="4" w:space="0" w:color="auto"/>
            </w:tcBorders>
            <w:hideMark/>
          </w:tcPr>
          <w:p w14:paraId="7FF44BAD" w14:textId="77777777" w:rsidR="00233DA1" w:rsidRDefault="00233DA1" w:rsidP="00081936">
            <w:pPr>
              <w:pStyle w:val="Tabletext9pt"/>
              <w:numPr>
                <w:ilvl w:val="0"/>
                <w:numId w:val="29"/>
              </w:numPr>
            </w:pPr>
            <w:r>
              <w:t>Family planning</w:t>
            </w:r>
          </w:p>
        </w:tc>
        <w:tc>
          <w:tcPr>
            <w:tcW w:w="3455" w:type="dxa"/>
            <w:tcBorders>
              <w:top w:val="single" w:sz="4" w:space="0" w:color="auto"/>
              <w:left w:val="single" w:sz="4" w:space="0" w:color="auto"/>
              <w:bottom w:val="single" w:sz="4" w:space="0" w:color="auto"/>
              <w:right w:val="single" w:sz="4" w:space="0" w:color="auto"/>
            </w:tcBorders>
            <w:hideMark/>
          </w:tcPr>
          <w:p w14:paraId="5A0821B5" w14:textId="77777777" w:rsidR="00233DA1" w:rsidRDefault="00233DA1" w:rsidP="00081936">
            <w:pPr>
              <w:pStyle w:val="Tabletext9pt"/>
              <w:numPr>
                <w:ilvl w:val="0"/>
                <w:numId w:val="29"/>
              </w:numPr>
            </w:pPr>
            <w:r>
              <w:t>Counselling/casework</w:t>
            </w:r>
          </w:p>
        </w:tc>
        <w:tc>
          <w:tcPr>
            <w:tcW w:w="1415" w:type="dxa"/>
            <w:tcBorders>
              <w:top w:val="single" w:sz="4" w:space="0" w:color="auto"/>
              <w:left w:val="single" w:sz="4" w:space="0" w:color="auto"/>
              <w:bottom w:val="single" w:sz="4" w:space="0" w:color="auto"/>
              <w:right w:val="single" w:sz="4" w:space="0" w:color="auto"/>
            </w:tcBorders>
            <w:hideMark/>
          </w:tcPr>
          <w:p w14:paraId="05021252" w14:textId="77777777" w:rsidR="00233DA1" w:rsidRDefault="00233DA1" w:rsidP="00081936">
            <w:pPr>
              <w:pStyle w:val="Tabletext9pt"/>
              <w:numPr>
                <w:ilvl w:val="0"/>
                <w:numId w:val="29"/>
              </w:numPr>
            </w:pPr>
            <w:r>
              <w:t>Hours</w:t>
            </w:r>
          </w:p>
        </w:tc>
        <w:tc>
          <w:tcPr>
            <w:tcW w:w="2253" w:type="dxa"/>
            <w:tcBorders>
              <w:top w:val="single" w:sz="4" w:space="0" w:color="auto"/>
              <w:left w:val="single" w:sz="4" w:space="0" w:color="auto"/>
              <w:bottom w:val="single" w:sz="4" w:space="0" w:color="auto"/>
              <w:right w:val="single" w:sz="4" w:space="0" w:color="auto"/>
            </w:tcBorders>
            <w:hideMark/>
          </w:tcPr>
          <w:p w14:paraId="3B85870A" w14:textId="59874D80" w:rsidR="00233DA1" w:rsidRDefault="00EA57F8" w:rsidP="00081936">
            <w:pPr>
              <w:pStyle w:val="Tabletext9pt"/>
              <w:numPr>
                <w:ilvl w:val="0"/>
                <w:numId w:val="29"/>
              </w:numPr>
              <w:jc w:val="right"/>
              <w:rPr>
                <w:lang w:eastAsia="en-AU"/>
              </w:rPr>
            </w:pPr>
            <w:r>
              <w:rPr>
                <w:lang w:eastAsia="en-AU"/>
              </w:rPr>
              <w:t>119.13</w:t>
            </w:r>
          </w:p>
        </w:tc>
      </w:tr>
      <w:tr w:rsidR="00233DA1" w14:paraId="7EDA3D6B" w14:textId="77777777" w:rsidTr="23E5A96B">
        <w:tc>
          <w:tcPr>
            <w:tcW w:w="2176" w:type="dxa"/>
            <w:tcBorders>
              <w:top w:val="single" w:sz="4" w:space="0" w:color="auto"/>
              <w:left w:val="single" w:sz="4" w:space="0" w:color="auto"/>
              <w:bottom w:val="single" w:sz="4" w:space="0" w:color="auto"/>
              <w:right w:val="single" w:sz="4" w:space="0" w:color="auto"/>
            </w:tcBorders>
            <w:hideMark/>
          </w:tcPr>
          <w:p w14:paraId="1B71B798" w14:textId="77777777" w:rsidR="00233DA1" w:rsidRDefault="00233DA1" w:rsidP="00081936">
            <w:pPr>
              <w:pStyle w:val="Tabletext9pt"/>
              <w:numPr>
                <w:ilvl w:val="0"/>
                <w:numId w:val="29"/>
              </w:numPr>
            </w:pPr>
            <w:r>
              <w:t>Family planning</w:t>
            </w:r>
          </w:p>
        </w:tc>
        <w:tc>
          <w:tcPr>
            <w:tcW w:w="3455" w:type="dxa"/>
            <w:tcBorders>
              <w:top w:val="single" w:sz="4" w:space="0" w:color="auto"/>
              <w:left w:val="single" w:sz="4" w:space="0" w:color="auto"/>
              <w:bottom w:val="single" w:sz="4" w:space="0" w:color="auto"/>
              <w:right w:val="single" w:sz="4" w:space="0" w:color="auto"/>
            </w:tcBorders>
            <w:hideMark/>
          </w:tcPr>
          <w:p w14:paraId="749D0F51" w14:textId="77777777" w:rsidR="00233DA1" w:rsidRDefault="00233DA1" w:rsidP="00081936">
            <w:pPr>
              <w:pStyle w:val="Tabletext9pt"/>
              <w:numPr>
                <w:ilvl w:val="0"/>
                <w:numId w:val="29"/>
              </w:numPr>
            </w:pPr>
            <w:r>
              <w:t>Nursing</w:t>
            </w:r>
          </w:p>
        </w:tc>
        <w:tc>
          <w:tcPr>
            <w:tcW w:w="1415" w:type="dxa"/>
            <w:tcBorders>
              <w:top w:val="single" w:sz="4" w:space="0" w:color="auto"/>
              <w:left w:val="single" w:sz="4" w:space="0" w:color="auto"/>
              <w:bottom w:val="single" w:sz="4" w:space="0" w:color="auto"/>
              <w:right w:val="single" w:sz="4" w:space="0" w:color="auto"/>
            </w:tcBorders>
            <w:hideMark/>
          </w:tcPr>
          <w:p w14:paraId="4861931B" w14:textId="77777777" w:rsidR="00233DA1" w:rsidRDefault="00233DA1" w:rsidP="00081936">
            <w:pPr>
              <w:pStyle w:val="Tabletext9pt"/>
              <w:numPr>
                <w:ilvl w:val="0"/>
                <w:numId w:val="29"/>
              </w:numPr>
            </w:pPr>
            <w:r>
              <w:t>Hours</w:t>
            </w:r>
          </w:p>
        </w:tc>
        <w:tc>
          <w:tcPr>
            <w:tcW w:w="2253" w:type="dxa"/>
            <w:tcBorders>
              <w:top w:val="single" w:sz="4" w:space="0" w:color="auto"/>
              <w:left w:val="single" w:sz="4" w:space="0" w:color="auto"/>
              <w:bottom w:val="single" w:sz="4" w:space="0" w:color="auto"/>
              <w:right w:val="single" w:sz="4" w:space="0" w:color="auto"/>
            </w:tcBorders>
            <w:hideMark/>
          </w:tcPr>
          <w:p w14:paraId="6255563D" w14:textId="36B51798" w:rsidR="00233DA1" w:rsidRDefault="00EA57F8" w:rsidP="00081936">
            <w:pPr>
              <w:pStyle w:val="Tabletext9pt"/>
              <w:numPr>
                <w:ilvl w:val="0"/>
                <w:numId w:val="29"/>
              </w:numPr>
              <w:jc w:val="right"/>
              <w:rPr>
                <w:lang w:eastAsia="en-AU"/>
              </w:rPr>
            </w:pPr>
            <w:r>
              <w:rPr>
                <w:lang w:eastAsia="en-AU"/>
              </w:rPr>
              <w:t>104.26</w:t>
            </w:r>
          </w:p>
        </w:tc>
      </w:tr>
      <w:tr w:rsidR="00233DA1" w14:paraId="3C58D3EE" w14:textId="77777777" w:rsidTr="23E5A96B">
        <w:tc>
          <w:tcPr>
            <w:tcW w:w="2176" w:type="dxa"/>
            <w:tcBorders>
              <w:top w:val="single" w:sz="4" w:space="0" w:color="auto"/>
              <w:left w:val="single" w:sz="4" w:space="0" w:color="auto"/>
              <w:bottom w:val="single" w:sz="4" w:space="0" w:color="auto"/>
              <w:right w:val="single" w:sz="4" w:space="0" w:color="auto"/>
            </w:tcBorders>
            <w:hideMark/>
          </w:tcPr>
          <w:p w14:paraId="15733B38" w14:textId="77777777" w:rsidR="00233DA1" w:rsidRDefault="00233DA1" w:rsidP="00081936">
            <w:pPr>
              <w:pStyle w:val="Tabletext9pt"/>
              <w:numPr>
                <w:ilvl w:val="0"/>
                <w:numId w:val="29"/>
              </w:numPr>
            </w:pPr>
            <w:r>
              <w:t>Aboriginal services and support</w:t>
            </w:r>
          </w:p>
        </w:tc>
        <w:tc>
          <w:tcPr>
            <w:tcW w:w="3455" w:type="dxa"/>
            <w:tcBorders>
              <w:top w:val="single" w:sz="4" w:space="0" w:color="auto"/>
              <w:left w:val="single" w:sz="4" w:space="0" w:color="auto"/>
              <w:bottom w:val="single" w:sz="4" w:space="0" w:color="auto"/>
              <w:right w:val="single" w:sz="4" w:space="0" w:color="auto"/>
            </w:tcBorders>
            <w:hideMark/>
          </w:tcPr>
          <w:p w14:paraId="00B384E0" w14:textId="77777777" w:rsidR="00233DA1" w:rsidRDefault="00233DA1" w:rsidP="00081936">
            <w:pPr>
              <w:pStyle w:val="Tabletext9pt"/>
              <w:numPr>
                <w:ilvl w:val="0"/>
                <w:numId w:val="29"/>
              </w:numPr>
            </w:pPr>
            <w:r>
              <w:t>Case coordination</w:t>
            </w:r>
          </w:p>
        </w:tc>
        <w:tc>
          <w:tcPr>
            <w:tcW w:w="1415" w:type="dxa"/>
            <w:tcBorders>
              <w:top w:val="single" w:sz="4" w:space="0" w:color="auto"/>
              <w:left w:val="single" w:sz="4" w:space="0" w:color="auto"/>
              <w:bottom w:val="single" w:sz="4" w:space="0" w:color="auto"/>
              <w:right w:val="single" w:sz="4" w:space="0" w:color="auto"/>
            </w:tcBorders>
            <w:hideMark/>
          </w:tcPr>
          <w:p w14:paraId="01FD3B54" w14:textId="77777777" w:rsidR="00233DA1" w:rsidRDefault="00233DA1" w:rsidP="00081936">
            <w:pPr>
              <w:pStyle w:val="Tabletext9pt"/>
              <w:numPr>
                <w:ilvl w:val="0"/>
                <w:numId w:val="29"/>
              </w:numPr>
            </w:pPr>
            <w:r>
              <w:t>Hours</w:t>
            </w:r>
          </w:p>
        </w:tc>
        <w:tc>
          <w:tcPr>
            <w:tcW w:w="2253" w:type="dxa"/>
            <w:tcBorders>
              <w:top w:val="single" w:sz="4" w:space="0" w:color="auto"/>
              <w:left w:val="single" w:sz="4" w:space="0" w:color="auto"/>
              <w:bottom w:val="single" w:sz="4" w:space="0" w:color="auto"/>
              <w:right w:val="single" w:sz="4" w:space="0" w:color="auto"/>
            </w:tcBorders>
            <w:hideMark/>
          </w:tcPr>
          <w:p w14:paraId="6AD9B099" w14:textId="0E89AEB6" w:rsidR="00233DA1" w:rsidRDefault="00375F6D" w:rsidP="00081936">
            <w:pPr>
              <w:pStyle w:val="Tabletext9pt"/>
              <w:numPr>
                <w:ilvl w:val="0"/>
                <w:numId w:val="29"/>
              </w:numPr>
              <w:jc w:val="right"/>
              <w:rPr>
                <w:lang w:eastAsia="en-AU"/>
              </w:rPr>
            </w:pPr>
            <w:r>
              <w:rPr>
                <w:lang w:eastAsia="en-AU"/>
              </w:rPr>
              <w:t>122.25</w:t>
            </w:r>
          </w:p>
        </w:tc>
      </w:tr>
      <w:tr w:rsidR="00233DA1" w14:paraId="2CA682AA" w14:textId="77777777" w:rsidTr="23E5A96B">
        <w:tc>
          <w:tcPr>
            <w:tcW w:w="2176" w:type="dxa"/>
            <w:tcBorders>
              <w:top w:val="single" w:sz="4" w:space="0" w:color="auto"/>
              <w:left w:val="single" w:sz="4" w:space="0" w:color="auto"/>
              <w:bottom w:val="single" w:sz="4" w:space="0" w:color="auto"/>
              <w:right w:val="single" w:sz="4" w:space="0" w:color="auto"/>
            </w:tcBorders>
            <w:hideMark/>
          </w:tcPr>
          <w:p w14:paraId="36C723CF" w14:textId="77777777" w:rsidR="00233DA1" w:rsidRDefault="00233DA1" w:rsidP="00081936">
            <w:pPr>
              <w:pStyle w:val="Tabletext9pt"/>
              <w:numPr>
                <w:ilvl w:val="0"/>
                <w:numId w:val="29"/>
              </w:numPr>
            </w:pPr>
            <w:r>
              <w:t>Integrated chronic disease management</w:t>
            </w:r>
          </w:p>
        </w:tc>
        <w:tc>
          <w:tcPr>
            <w:tcW w:w="3455" w:type="dxa"/>
            <w:tcBorders>
              <w:top w:val="single" w:sz="4" w:space="0" w:color="auto"/>
              <w:left w:val="single" w:sz="4" w:space="0" w:color="auto"/>
              <w:bottom w:val="single" w:sz="4" w:space="0" w:color="auto"/>
              <w:right w:val="single" w:sz="4" w:space="0" w:color="auto"/>
            </w:tcBorders>
            <w:hideMark/>
          </w:tcPr>
          <w:p w14:paraId="10B58795" w14:textId="697639E4" w:rsidR="00233DA1" w:rsidRDefault="282B32EC" w:rsidP="00081936">
            <w:pPr>
              <w:pStyle w:val="Tabletext9pt"/>
              <w:numPr>
                <w:ilvl w:val="0"/>
                <w:numId w:val="29"/>
              </w:numPr>
            </w:pPr>
            <w:r>
              <w:t xml:space="preserve">Single </w:t>
            </w:r>
            <w:r w:rsidR="00D313FF">
              <w:t>unit price (allied health &amp; nursing</w:t>
            </w:r>
            <w:r w:rsidR="0EE1C209">
              <w:t>)</w:t>
            </w:r>
          </w:p>
        </w:tc>
        <w:tc>
          <w:tcPr>
            <w:tcW w:w="1415" w:type="dxa"/>
            <w:tcBorders>
              <w:top w:val="single" w:sz="4" w:space="0" w:color="auto"/>
              <w:left w:val="single" w:sz="4" w:space="0" w:color="auto"/>
              <w:bottom w:val="single" w:sz="4" w:space="0" w:color="auto"/>
              <w:right w:val="single" w:sz="4" w:space="0" w:color="auto"/>
            </w:tcBorders>
            <w:hideMark/>
          </w:tcPr>
          <w:p w14:paraId="1F1F0844" w14:textId="77777777" w:rsidR="00233DA1" w:rsidRDefault="00233DA1" w:rsidP="00081936">
            <w:pPr>
              <w:pStyle w:val="Tabletext9pt"/>
              <w:numPr>
                <w:ilvl w:val="0"/>
                <w:numId w:val="29"/>
              </w:numPr>
            </w:pPr>
            <w:r>
              <w:t>Hours</w:t>
            </w:r>
          </w:p>
        </w:tc>
        <w:tc>
          <w:tcPr>
            <w:tcW w:w="2253" w:type="dxa"/>
            <w:tcBorders>
              <w:top w:val="single" w:sz="4" w:space="0" w:color="auto"/>
              <w:left w:val="single" w:sz="4" w:space="0" w:color="auto"/>
              <w:bottom w:val="single" w:sz="4" w:space="0" w:color="auto"/>
              <w:right w:val="single" w:sz="4" w:space="0" w:color="auto"/>
            </w:tcBorders>
            <w:hideMark/>
          </w:tcPr>
          <w:p w14:paraId="048CE7D5" w14:textId="4C9E4451" w:rsidR="00233DA1" w:rsidRDefault="00FE3B85" w:rsidP="00081936">
            <w:pPr>
              <w:pStyle w:val="Tabletext9pt"/>
              <w:numPr>
                <w:ilvl w:val="0"/>
                <w:numId w:val="29"/>
              </w:numPr>
              <w:jc w:val="right"/>
              <w:rPr>
                <w:lang w:eastAsia="en-AU"/>
              </w:rPr>
            </w:pPr>
            <w:r>
              <w:rPr>
                <w:lang w:eastAsia="en-AU"/>
              </w:rPr>
              <w:t>119.13</w:t>
            </w:r>
          </w:p>
        </w:tc>
      </w:tr>
      <w:tr w:rsidR="00233DA1" w14:paraId="3DF998FA" w14:textId="77777777" w:rsidTr="23E5A96B">
        <w:tc>
          <w:tcPr>
            <w:tcW w:w="2176" w:type="dxa"/>
            <w:tcBorders>
              <w:top w:val="single" w:sz="4" w:space="0" w:color="auto"/>
              <w:left w:val="single" w:sz="4" w:space="0" w:color="auto"/>
              <w:bottom w:val="single" w:sz="4" w:space="0" w:color="auto"/>
              <w:right w:val="single" w:sz="4" w:space="0" w:color="auto"/>
            </w:tcBorders>
            <w:hideMark/>
          </w:tcPr>
          <w:p w14:paraId="531A3FAD" w14:textId="77777777" w:rsidR="00233DA1" w:rsidRDefault="00233DA1" w:rsidP="00081936">
            <w:pPr>
              <w:pStyle w:val="Tabletext9pt"/>
              <w:numPr>
                <w:ilvl w:val="0"/>
                <w:numId w:val="29"/>
              </w:numPr>
            </w:pPr>
            <w:r>
              <w:t>Refugee and asylum seeker health</w:t>
            </w:r>
          </w:p>
        </w:tc>
        <w:tc>
          <w:tcPr>
            <w:tcW w:w="3455" w:type="dxa"/>
            <w:tcBorders>
              <w:top w:val="single" w:sz="4" w:space="0" w:color="auto"/>
              <w:left w:val="single" w:sz="4" w:space="0" w:color="auto"/>
              <w:bottom w:val="single" w:sz="4" w:space="0" w:color="auto"/>
              <w:right w:val="single" w:sz="4" w:space="0" w:color="auto"/>
            </w:tcBorders>
            <w:hideMark/>
          </w:tcPr>
          <w:p w14:paraId="3109A2A5" w14:textId="77777777" w:rsidR="00233DA1" w:rsidRDefault="00233DA1" w:rsidP="00081936">
            <w:pPr>
              <w:pStyle w:val="Tabletext9pt"/>
              <w:numPr>
                <w:ilvl w:val="0"/>
                <w:numId w:val="29"/>
              </w:numPr>
            </w:pPr>
            <w:r>
              <w:t>Allied health</w:t>
            </w:r>
          </w:p>
        </w:tc>
        <w:tc>
          <w:tcPr>
            <w:tcW w:w="1415" w:type="dxa"/>
            <w:tcBorders>
              <w:top w:val="single" w:sz="4" w:space="0" w:color="auto"/>
              <w:left w:val="single" w:sz="4" w:space="0" w:color="auto"/>
              <w:bottom w:val="single" w:sz="4" w:space="0" w:color="auto"/>
              <w:right w:val="single" w:sz="4" w:space="0" w:color="auto"/>
            </w:tcBorders>
            <w:hideMark/>
          </w:tcPr>
          <w:p w14:paraId="59B162C4" w14:textId="77777777" w:rsidR="00233DA1" w:rsidRDefault="00233DA1" w:rsidP="00081936">
            <w:pPr>
              <w:pStyle w:val="Tabletext9pt"/>
              <w:numPr>
                <w:ilvl w:val="0"/>
                <w:numId w:val="29"/>
              </w:numPr>
            </w:pPr>
            <w:r>
              <w:t>Hours</w:t>
            </w:r>
          </w:p>
        </w:tc>
        <w:tc>
          <w:tcPr>
            <w:tcW w:w="2253" w:type="dxa"/>
            <w:tcBorders>
              <w:top w:val="single" w:sz="4" w:space="0" w:color="auto"/>
              <w:left w:val="single" w:sz="4" w:space="0" w:color="auto"/>
              <w:bottom w:val="single" w:sz="4" w:space="0" w:color="auto"/>
              <w:right w:val="single" w:sz="4" w:space="0" w:color="auto"/>
            </w:tcBorders>
            <w:hideMark/>
          </w:tcPr>
          <w:p w14:paraId="0526D658" w14:textId="65DCC79D" w:rsidR="00233DA1" w:rsidRDefault="00183146" w:rsidP="00081936">
            <w:pPr>
              <w:pStyle w:val="Tabletext9pt"/>
              <w:numPr>
                <w:ilvl w:val="0"/>
                <w:numId w:val="29"/>
              </w:numPr>
              <w:jc w:val="right"/>
              <w:rPr>
                <w:lang w:eastAsia="en-AU"/>
              </w:rPr>
            </w:pPr>
            <w:r>
              <w:rPr>
                <w:lang w:eastAsia="en-AU"/>
              </w:rPr>
              <w:t>119.13</w:t>
            </w:r>
          </w:p>
        </w:tc>
      </w:tr>
      <w:tr w:rsidR="00233DA1" w14:paraId="485E9B1E" w14:textId="77777777" w:rsidTr="23E5A96B">
        <w:tc>
          <w:tcPr>
            <w:tcW w:w="2176" w:type="dxa"/>
            <w:tcBorders>
              <w:top w:val="single" w:sz="4" w:space="0" w:color="auto"/>
              <w:left w:val="single" w:sz="4" w:space="0" w:color="auto"/>
              <w:bottom w:val="single" w:sz="4" w:space="0" w:color="auto"/>
              <w:right w:val="single" w:sz="4" w:space="0" w:color="auto"/>
            </w:tcBorders>
            <w:hideMark/>
          </w:tcPr>
          <w:p w14:paraId="2B6E92B4" w14:textId="77777777" w:rsidR="00233DA1" w:rsidRDefault="00233DA1" w:rsidP="00081936">
            <w:pPr>
              <w:pStyle w:val="Tabletext9pt"/>
              <w:numPr>
                <w:ilvl w:val="0"/>
                <w:numId w:val="29"/>
              </w:numPr>
            </w:pPr>
            <w:r>
              <w:t>Refugee and asylum seeker health</w:t>
            </w:r>
          </w:p>
        </w:tc>
        <w:tc>
          <w:tcPr>
            <w:tcW w:w="3455" w:type="dxa"/>
            <w:tcBorders>
              <w:top w:val="single" w:sz="4" w:space="0" w:color="auto"/>
              <w:left w:val="single" w:sz="4" w:space="0" w:color="auto"/>
              <w:bottom w:val="single" w:sz="4" w:space="0" w:color="auto"/>
              <w:right w:val="single" w:sz="4" w:space="0" w:color="auto"/>
            </w:tcBorders>
            <w:hideMark/>
          </w:tcPr>
          <w:p w14:paraId="4BFEBBBC" w14:textId="77777777" w:rsidR="00233DA1" w:rsidRDefault="00233DA1" w:rsidP="00081936">
            <w:pPr>
              <w:pStyle w:val="Tabletext9pt"/>
              <w:numPr>
                <w:ilvl w:val="0"/>
                <w:numId w:val="29"/>
              </w:numPr>
            </w:pPr>
            <w:r>
              <w:t>Nursing</w:t>
            </w:r>
          </w:p>
        </w:tc>
        <w:tc>
          <w:tcPr>
            <w:tcW w:w="1415" w:type="dxa"/>
            <w:tcBorders>
              <w:top w:val="single" w:sz="4" w:space="0" w:color="auto"/>
              <w:left w:val="single" w:sz="4" w:space="0" w:color="auto"/>
              <w:bottom w:val="single" w:sz="4" w:space="0" w:color="auto"/>
              <w:right w:val="single" w:sz="4" w:space="0" w:color="auto"/>
            </w:tcBorders>
            <w:hideMark/>
          </w:tcPr>
          <w:p w14:paraId="06750BEB" w14:textId="77777777" w:rsidR="00233DA1" w:rsidRDefault="00233DA1" w:rsidP="00081936">
            <w:pPr>
              <w:pStyle w:val="Tabletext9pt"/>
              <w:numPr>
                <w:ilvl w:val="0"/>
                <w:numId w:val="29"/>
              </w:numPr>
            </w:pPr>
            <w:r>
              <w:t>Hours</w:t>
            </w:r>
          </w:p>
        </w:tc>
        <w:tc>
          <w:tcPr>
            <w:tcW w:w="2253" w:type="dxa"/>
            <w:tcBorders>
              <w:top w:val="single" w:sz="4" w:space="0" w:color="auto"/>
              <w:left w:val="single" w:sz="4" w:space="0" w:color="auto"/>
              <w:bottom w:val="single" w:sz="4" w:space="0" w:color="auto"/>
              <w:right w:val="single" w:sz="4" w:space="0" w:color="auto"/>
            </w:tcBorders>
            <w:hideMark/>
          </w:tcPr>
          <w:p w14:paraId="5356EA12" w14:textId="61E2C0DA" w:rsidR="00233DA1" w:rsidRDefault="00183146" w:rsidP="00081936">
            <w:pPr>
              <w:pStyle w:val="Tabletext9pt"/>
              <w:numPr>
                <w:ilvl w:val="0"/>
                <w:numId w:val="29"/>
              </w:numPr>
              <w:jc w:val="right"/>
              <w:rPr>
                <w:lang w:eastAsia="en-AU"/>
              </w:rPr>
            </w:pPr>
            <w:r>
              <w:rPr>
                <w:lang w:eastAsia="en-AU"/>
              </w:rPr>
              <w:t>104.26</w:t>
            </w:r>
          </w:p>
        </w:tc>
      </w:tr>
      <w:tr w:rsidR="00233DA1" w14:paraId="3691D8CB" w14:textId="77777777" w:rsidTr="23E5A96B">
        <w:tc>
          <w:tcPr>
            <w:tcW w:w="2176" w:type="dxa"/>
            <w:tcBorders>
              <w:top w:val="single" w:sz="4" w:space="0" w:color="auto"/>
              <w:left w:val="single" w:sz="4" w:space="0" w:color="auto"/>
              <w:bottom w:val="single" w:sz="4" w:space="0" w:color="auto"/>
              <w:right w:val="single" w:sz="4" w:space="0" w:color="auto"/>
            </w:tcBorders>
            <w:hideMark/>
          </w:tcPr>
          <w:p w14:paraId="70719AEC" w14:textId="77777777" w:rsidR="00233DA1" w:rsidRDefault="00233DA1" w:rsidP="00081936">
            <w:pPr>
              <w:pStyle w:val="Tabletext9pt"/>
              <w:numPr>
                <w:ilvl w:val="0"/>
                <w:numId w:val="29"/>
              </w:numPr>
            </w:pPr>
            <w:r>
              <w:t>Healthy Mothers, Healthy Babies</w:t>
            </w:r>
          </w:p>
        </w:tc>
        <w:tc>
          <w:tcPr>
            <w:tcW w:w="3455" w:type="dxa"/>
            <w:tcBorders>
              <w:top w:val="single" w:sz="4" w:space="0" w:color="auto"/>
              <w:left w:val="single" w:sz="4" w:space="0" w:color="auto"/>
              <w:bottom w:val="single" w:sz="4" w:space="0" w:color="auto"/>
              <w:right w:val="single" w:sz="4" w:space="0" w:color="auto"/>
            </w:tcBorders>
            <w:hideMark/>
          </w:tcPr>
          <w:p w14:paraId="51514572" w14:textId="77777777" w:rsidR="00233DA1" w:rsidRDefault="00233DA1" w:rsidP="00081936">
            <w:pPr>
              <w:pStyle w:val="Tabletext9pt"/>
              <w:numPr>
                <w:ilvl w:val="0"/>
                <w:numId w:val="29"/>
              </w:numPr>
            </w:pPr>
            <w:r>
              <w:t>Allied health</w:t>
            </w:r>
          </w:p>
        </w:tc>
        <w:tc>
          <w:tcPr>
            <w:tcW w:w="1415" w:type="dxa"/>
            <w:tcBorders>
              <w:top w:val="single" w:sz="4" w:space="0" w:color="auto"/>
              <w:left w:val="single" w:sz="4" w:space="0" w:color="auto"/>
              <w:bottom w:val="single" w:sz="4" w:space="0" w:color="auto"/>
              <w:right w:val="single" w:sz="4" w:space="0" w:color="auto"/>
            </w:tcBorders>
            <w:hideMark/>
          </w:tcPr>
          <w:p w14:paraId="35E20E0A" w14:textId="77777777" w:rsidR="00233DA1" w:rsidRDefault="00233DA1" w:rsidP="00081936">
            <w:pPr>
              <w:pStyle w:val="Tabletext9pt"/>
              <w:numPr>
                <w:ilvl w:val="0"/>
                <w:numId w:val="29"/>
              </w:numPr>
            </w:pPr>
            <w:r>
              <w:t>Hours</w:t>
            </w:r>
          </w:p>
        </w:tc>
        <w:tc>
          <w:tcPr>
            <w:tcW w:w="2253" w:type="dxa"/>
            <w:tcBorders>
              <w:top w:val="single" w:sz="4" w:space="0" w:color="auto"/>
              <w:left w:val="single" w:sz="4" w:space="0" w:color="auto"/>
              <w:bottom w:val="single" w:sz="4" w:space="0" w:color="auto"/>
              <w:right w:val="single" w:sz="4" w:space="0" w:color="auto"/>
            </w:tcBorders>
            <w:hideMark/>
          </w:tcPr>
          <w:p w14:paraId="3C41777D" w14:textId="42D5B122" w:rsidR="00233DA1" w:rsidRDefault="00183146" w:rsidP="00081936">
            <w:pPr>
              <w:pStyle w:val="Tabletext9pt"/>
              <w:numPr>
                <w:ilvl w:val="0"/>
                <w:numId w:val="29"/>
              </w:numPr>
              <w:jc w:val="right"/>
              <w:rPr>
                <w:lang w:eastAsia="en-AU"/>
              </w:rPr>
            </w:pPr>
            <w:r>
              <w:rPr>
                <w:lang w:eastAsia="en-AU"/>
              </w:rPr>
              <w:t>119.13</w:t>
            </w:r>
          </w:p>
        </w:tc>
      </w:tr>
      <w:tr w:rsidR="00233DA1" w14:paraId="00528BAB" w14:textId="77777777" w:rsidTr="23E5A96B">
        <w:tc>
          <w:tcPr>
            <w:tcW w:w="2176" w:type="dxa"/>
            <w:tcBorders>
              <w:top w:val="single" w:sz="4" w:space="0" w:color="auto"/>
              <w:left w:val="single" w:sz="4" w:space="0" w:color="auto"/>
              <w:bottom w:val="single" w:sz="4" w:space="0" w:color="auto"/>
              <w:right w:val="single" w:sz="4" w:space="0" w:color="auto"/>
            </w:tcBorders>
            <w:hideMark/>
          </w:tcPr>
          <w:p w14:paraId="1436AA2F" w14:textId="77777777" w:rsidR="00233DA1" w:rsidRDefault="00233DA1" w:rsidP="00081936">
            <w:pPr>
              <w:pStyle w:val="Tabletext9pt"/>
              <w:numPr>
                <w:ilvl w:val="0"/>
                <w:numId w:val="29"/>
              </w:numPr>
            </w:pPr>
            <w:r>
              <w:t>Healthy Mothers, Healthy Babies</w:t>
            </w:r>
          </w:p>
        </w:tc>
        <w:tc>
          <w:tcPr>
            <w:tcW w:w="3455" w:type="dxa"/>
            <w:tcBorders>
              <w:top w:val="single" w:sz="4" w:space="0" w:color="auto"/>
              <w:left w:val="single" w:sz="4" w:space="0" w:color="auto"/>
              <w:bottom w:val="single" w:sz="4" w:space="0" w:color="auto"/>
              <w:right w:val="single" w:sz="4" w:space="0" w:color="auto"/>
            </w:tcBorders>
            <w:hideMark/>
          </w:tcPr>
          <w:p w14:paraId="102B76AA" w14:textId="77777777" w:rsidR="00233DA1" w:rsidRDefault="00233DA1" w:rsidP="00081936">
            <w:pPr>
              <w:pStyle w:val="Tabletext9pt"/>
              <w:numPr>
                <w:ilvl w:val="0"/>
                <w:numId w:val="29"/>
              </w:numPr>
            </w:pPr>
            <w:r>
              <w:t xml:space="preserve">Nursing </w:t>
            </w:r>
          </w:p>
        </w:tc>
        <w:tc>
          <w:tcPr>
            <w:tcW w:w="1415" w:type="dxa"/>
            <w:tcBorders>
              <w:top w:val="single" w:sz="4" w:space="0" w:color="auto"/>
              <w:left w:val="single" w:sz="4" w:space="0" w:color="auto"/>
              <w:bottom w:val="single" w:sz="4" w:space="0" w:color="auto"/>
              <w:right w:val="single" w:sz="4" w:space="0" w:color="auto"/>
            </w:tcBorders>
            <w:hideMark/>
          </w:tcPr>
          <w:p w14:paraId="6E7403F7" w14:textId="77777777" w:rsidR="00233DA1" w:rsidRDefault="00233DA1" w:rsidP="00081936">
            <w:pPr>
              <w:pStyle w:val="Tabletext9pt"/>
              <w:numPr>
                <w:ilvl w:val="0"/>
                <w:numId w:val="29"/>
              </w:numPr>
            </w:pPr>
            <w:r>
              <w:t>Hours</w:t>
            </w:r>
          </w:p>
        </w:tc>
        <w:tc>
          <w:tcPr>
            <w:tcW w:w="2253" w:type="dxa"/>
            <w:tcBorders>
              <w:top w:val="single" w:sz="4" w:space="0" w:color="auto"/>
              <w:left w:val="single" w:sz="4" w:space="0" w:color="auto"/>
              <w:bottom w:val="single" w:sz="4" w:space="0" w:color="auto"/>
              <w:right w:val="single" w:sz="4" w:space="0" w:color="auto"/>
            </w:tcBorders>
            <w:hideMark/>
          </w:tcPr>
          <w:p w14:paraId="73C8FB03" w14:textId="1AF94FC1" w:rsidR="00233DA1" w:rsidRDefault="00C15EC4" w:rsidP="00081936">
            <w:pPr>
              <w:pStyle w:val="Tabletext9pt"/>
              <w:numPr>
                <w:ilvl w:val="0"/>
                <w:numId w:val="29"/>
              </w:numPr>
              <w:jc w:val="right"/>
              <w:rPr>
                <w:lang w:eastAsia="en-AU"/>
              </w:rPr>
            </w:pPr>
            <w:r>
              <w:rPr>
                <w:lang w:eastAsia="en-AU"/>
              </w:rPr>
              <w:t>104.26</w:t>
            </w:r>
          </w:p>
        </w:tc>
      </w:tr>
      <w:tr w:rsidR="00233DA1" w14:paraId="05D29D13" w14:textId="77777777" w:rsidTr="23E5A96B">
        <w:tc>
          <w:tcPr>
            <w:tcW w:w="2176" w:type="dxa"/>
            <w:tcBorders>
              <w:top w:val="single" w:sz="4" w:space="0" w:color="auto"/>
              <w:left w:val="single" w:sz="4" w:space="0" w:color="auto"/>
              <w:bottom w:val="single" w:sz="4" w:space="0" w:color="auto"/>
              <w:right w:val="single" w:sz="4" w:space="0" w:color="auto"/>
            </w:tcBorders>
            <w:hideMark/>
          </w:tcPr>
          <w:p w14:paraId="79C4D00C" w14:textId="77777777" w:rsidR="00233DA1" w:rsidRDefault="00233DA1" w:rsidP="00081936">
            <w:pPr>
              <w:pStyle w:val="Tabletext9pt"/>
              <w:numPr>
                <w:ilvl w:val="0"/>
                <w:numId w:val="29"/>
              </w:numPr>
            </w:pPr>
            <w:r>
              <w:t>Community health</w:t>
            </w:r>
          </w:p>
        </w:tc>
        <w:tc>
          <w:tcPr>
            <w:tcW w:w="3455" w:type="dxa"/>
            <w:tcBorders>
              <w:top w:val="single" w:sz="4" w:space="0" w:color="auto"/>
              <w:left w:val="single" w:sz="4" w:space="0" w:color="auto"/>
              <w:bottom w:val="single" w:sz="4" w:space="0" w:color="auto"/>
              <w:right w:val="single" w:sz="4" w:space="0" w:color="auto"/>
            </w:tcBorders>
            <w:hideMark/>
          </w:tcPr>
          <w:p w14:paraId="0E6E4DA8" w14:textId="524408A6" w:rsidR="00233DA1" w:rsidRDefault="260FD3F0" w:rsidP="00081936">
            <w:pPr>
              <w:pStyle w:val="Tabletext9pt"/>
              <w:numPr>
                <w:ilvl w:val="0"/>
                <w:numId w:val="29"/>
              </w:numPr>
            </w:pPr>
            <w:r>
              <w:t xml:space="preserve">Single </w:t>
            </w:r>
            <w:r w:rsidR="00D313FF">
              <w:t>unit price (allied health &amp; nursing)</w:t>
            </w:r>
          </w:p>
        </w:tc>
        <w:tc>
          <w:tcPr>
            <w:tcW w:w="1415" w:type="dxa"/>
            <w:tcBorders>
              <w:top w:val="single" w:sz="4" w:space="0" w:color="auto"/>
              <w:left w:val="single" w:sz="4" w:space="0" w:color="auto"/>
              <w:bottom w:val="single" w:sz="4" w:space="0" w:color="auto"/>
              <w:right w:val="single" w:sz="4" w:space="0" w:color="auto"/>
            </w:tcBorders>
            <w:hideMark/>
          </w:tcPr>
          <w:p w14:paraId="38A5DA1B" w14:textId="77777777" w:rsidR="00233DA1" w:rsidRDefault="00233DA1" w:rsidP="00081936">
            <w:pPr>
              <w:pStyle w:val="Tabletext9pt"/>
              <w:numPr>
                <w:ilvl w:val="0"/>
                <w:numId w:val="29"/>
              </w:numPr>
            </w:pPr>
            <w:r>
              <w:t>Hours</w:t>
            </w:r>
          </w:p>
        </w:tc>
        <w:tc>
          <w:tcPr>
            <w:tcW w:w="2253" w:type="dxa"/>
            <w:tcBorders>
              <w:top w:val="single" w:sz="4" w:space="0" w:color="auto"/>
              <w:left w:val="single" w:sz="4" w:space="0" w:color="auto"/>
              <w:bottom w:val="single" w:sz="4" w:space="0" w:color="auto"/>
              <w:right w:val="single" w:sz="4" w:space="0" w:color="auto"/>
            </w:tcBorders>
            <w:hideMark/>
          </w:tcPr>
          <w:p w14:paraId="4DAD20DD" w14:textId="5486C12F" w:rsidR="00233DA1" w:rsidRDefault="00DE6576" w:rsidP="00081936">
            <w:pPr>
              <w:pStyle w:val="Tabletext9pt"/>
              <w:numPr>
                <w:ilvl w:val="0"/>
                <w:numId w:val="29"/>
              </w:numPr>
              <w:jc w:val="right"/>
              <w:rPr>
                <w:lang w:eastAsia="en-AU"/>
              </w:rPr>
            </w:pPr>
            <w:r w:rsidRPr="23E5A96B">
              <w:rPr>
                <w:lang w:eastAsia="en-AU"/>
              </w:rPr>
              <w:t>119.13</w:t>
            </w:r>
          </w:p>
        </w:tc>
      </w:tr>
      <w:tr w:rsidR="00233DA1" w14:paraId="3ACB6F72" w14:textId="77777777" w:rsidTr="23E5A96B">
        <w:tc>
          <w:tcPr>
            <w:tcW w:w="2176" w:type="dxa"/>
            <w:tcBorders>
              <w:top w:val="single" w:sz="4" w:space="0" w:color="auto"/>
              <w:left w:val="single" w:sz="4" w:space="0" w:color="auto"/>
              <w:bottom w:val="single" w:sz="4" w:space="0" w:color="auto"/>
              <w:right w:val="single" w:sz="4" w:space="0" w:color="auto"/>
            </w:tcBorders>
            <w:hideMark/>
          </w:tcPr>
          <w:p w14:paraId="0E8A27A9" w14:textId="77777777" w:rsidR="00233DA1" w:rsidRDefault="00233DA1" w:rsidP="00081936">
            <w:pPr>
              <w:pStyle w:val="Tabletext9pt"/>
              <w:numPr>
                <w:ilvl w:val="0"/>
                <w:numId w:val="29"/>
              </w:numPr>
            </w:pPr>
            <w:r>
              <w:t>ACCO services</w:t>
            </w:r>
          </w:p>
        </w:tc>
        <w:tc>
          <w:tcPr>
            <w:tcW w:w="3455" w:type="dxa"/>
            <w:tcBorders>
              <w:top w:val="single" w:sz="4" w:space="0" w:color="auto"/>
              <w:left w:val="single" w:sz="4" w:space="0" w:color="auto"/>
              <w:bottom w:val="single" w:sz="4" w:space="0" w:color="auto"/>
              <w:right w:val="single" w:sz="4" w:space="0" w:color="auto"/>
            </w:tcBorders>
            <w:hideMark/>
          </w:tcPr>
          <w:p w14:paraId="65204487" w14:textId="77777777" w:rsidR="00233DA1" w:rsidRDefault="00233DA1" w:rsidP="00081936">
            <w:pPr>
              <w:pStyle w:val="Tabletext9pt"/>
              <w:numPr>
                <w:ilvl w:val="0"/>
                <w:numId w:val="29"/>
              </w:numPr>
            </w:pPr>
            <w:r>
              <w:t>Counselling/casework</w:t>
            </w:r>
          </w:p>
        </w:tc>
        <w:tc>
          <w:tcPr>
            <w:tcW w:w="1415" w:type="dxa"/>
            <w:tcBorders>
              <w:top w:val="single" w:sz="4" w:space="0" w:color="auto"/>
              <w:left w:val="single" w:sz="4" w:space="0" w:color="auto"/>
              <w:bottom w:val="single" w:sz="4" w:space="0" w:color="auto"/>
              <w:right w:val="single" w:sz="4" w:space="0" w:color="auto"/>
            </w:tcBorders>
            <w:hideMark/>
          </w:tcPr>
          <w:p w14:paraId="21F1C97C" w14:textId="77777777" w:rsidR="00233DA1" w:rsidRDefault="00233DA1" w:rsidP="00081936">
            <w:pPr>
              <w:pStyle w:val="Tabletext9pt"/>
              <w:numPr>
                <w:ilvl w:val="0"/>
                <w:numId w:val="29"/>
              </w:numPr>
            </w:pPr>
            <w:r>
              <w:t>Hours</w:t>
            </w:r>
          </w:p>
        </w:tc>
        <w:tc>
          <w:tcPr>
            <w:tcW w:w="2253" w:type="dxa"/>
            <w:tcBorders>
              <w:top w:val="single" w:sz="4" w:space="0" w:color="auto"/>
              <w:left w:val="single" w:sz="4" w:space="0" w:color="auto"/>
              <w:bottom w:val="single" w:sz="4" w:space="0" w:color="auto"/>
              <w:right w:val="single" w:sz="4" w:space="0" w:color="auto"/>
            </w:tcBorders>
            <w:hideMark/>
          </w:tcPr>
          <w:p w14:paraId="53CB56BD" w14:textId="3DB78940" w:rsidR="00233DA1" w:rsidRDefault="00356BC6" w:rsidP="00081936">
            <w:pPr>
              <w:pStyle w:val="Tabletext9pt"/>
              <w:numPr>
                <w:ilvl w:val="0"/>
                <w:numId w:val="29"/>
              </w:numPr>
              <w:jc w:val="right"/>
              <w:rPr>
                <w:lang w:eastAsia="en-AU"/>
              </w:rPr>
            </w:pPr>
            <w:r w:rsidRPr="23E5A96B">
              <w:rPr>
                <w:lang w:eastAsia="en-AU"/>
              </w:rPr>
              <w:t>124.27</w:t>
            </w:r>
          </w:p>
        </w:tc>
      </w:tr>
      <w:tr w:rsidR="00233DA1" w14:paraId="3B40CD55" w14:textId="77777777" w:rsidTr="23E5A96B">
        <w:tc>
          <w:tcPr>
            <w:tcW w:w="2176" w:type="dxa"/>
            <w:tcBorders>
              <w:top w:val="single" w:sz="4" w:space="0" w:color="auto"/>
              <w:left w:val="single" w:sz="4" w:space="0" w:color="auto"/>
              <w:bottom w:val="single" w:sz="4" w:space="0" w:color="auto"/>
              <w:right w:val="single" w:sz="4" w:space="0" w:color="auto"/>
            </w:tcBorders>
            <w:hideMark/>
          </w:tcPr>
          <w:p w14:paraId="297F39A3" w14:textId="77777777" w:rsidR="00233DA1" w:rsidRDefault="00233DA1" w:rsidP="00081936">
            <w:pPr>
              <w:pStyle w:val="Tabletext9pt"/>
              <w:numPr>
                <w:ilvl w:val="0"/>
                <w:numId w:val="29"/>
              </w:numPr>
            </w:pPr>
            <w:r>
              <w:t>MDC community health nurses</w:t>
            </w:r>
          </w:p>
        </w:tc>
        <w:tc>
          <w:tcPr>
            <w:tcW w:w="3455" w:type="dxa"/>
            <w:tcBorders>
              <w:top w:val="single" w:sz="4" w:space="0" w:color="auto"/>
              <w:left w:val="single" w:sz="4" w:space="0" w:color="auto"/>
              <w:bottom w:val="single" w:sz="4" w:space="0" w:color="auto"/>
              <w:right w:val="single" w:sz="4" w:space="0" w:color="auto"/>
            </w:tcBorders>
            <w:hideMark/>
          </w:tcPr>
          <w:p w14:paraId="10D2F829" w14:textId="77777777" w:rsidR="00233DA1" w:rsidRDefault="00233DA1" w:rsidP="00081936">
            <w:pPr>
              <w:pStyle w:val="Tabletext9pt"/>
              <w:numPr>
                <w:ilvl w:val="0"/>
                <w:numId w:val="29"/>
              </w:numPr>
            </w:pPr>
            <w:r>
              <w:t>Nursing</w:t>
            </w:r>
          </w:p>
        </w:tc>
        <w:tc>
          <w:tcPr>
            <w:tcW w:w="1415" w:type="dxa"/>
            <w:tcBorders>
              <w:top w:val="single" w:sz="4" w:space="0" w:color="auto"/>
              <w:left w:val="single" w:sz="4" w:space="0" w:color="auto"/>
              <w:bottom w:val="single" w:sz="4" w:space="0" w:color="auto"/>
              <w:right w:val="single" w:sz="4" w:space="0" w:color="auto"/>
            </w:tcBorders>
            <w:hideMark/>
          </w:tcPr>
          <w:p w14:paraId="0886FD7D" w14:textId="77777777" w:rsidR="00233DA1" w:rsidRDefault="00233DA1" w:rsidP="00081936">
            <w:pPr>
              <w:pStyle w:val="Tabletext9pt"/>
              <w:numPr>
                <w:ilvl w:val="0"/>
                <w:numId w:val="29"/>
              </w:numPr>
            </w:pPr>
            <w:r>
              <w:t>Hours</w:t>
            </w:r>
          </w:p>
        </w:tc>
        <w:tc>
          <w:tcPr>
            <w:tcW w:w="2253" w:type="dxa"/>
            <w:tcBorders>
              <w:top w:val="single" w:sz="4" w:space="0" w:color="auto"/>
              <w:left w:val="single" w:sz="4" w:space="0" w:color="auto"/>
              <w:bottom w:val="single" w:sz="4" w:space="0" w:color="auto"/>
              <w:right w:val="single" w:sz="4" w:space="0" w:color="auto"/>
            </w:tcBorders>
            <w:hideMark/>
          </w:tcPr>
          <w:p w14:paraId="3DB7478D" w14:textId="451933B1" w:rsidR="00233DA1" w:rsidRDefault="00CB2C12" w:rsidP="00081936">
            <w:pPr>
              <w:pStyle w:val="Tabletext9pt"/>
              <w:numPr>
                <w:ilvl w:val="0"/>
                <w:numId w:val="29"/>
              </w:numPr>
              <w:jc w:val="right"/>
              <w:rPr>
                <w:lang w:eastAsia="en-AU"/>
              </w:rPr>
            </w:pPr>
            <w:r w:rsidRPr="23E5A96B">
              <w:rPr>
                <w:lang w:eastAsia="en-AU"/>
              </w:rPr>
              <w:t>104.26</w:t>
            </w:r>
          </w:p>
        </w:tc>
      </w:tr>
      <w:tr w:rsidR="00233DA1" w14:paraId="67666BBD" w14:textId="77777777" w:rsidTr="23E5A96B">
        <w:tc>
          <w:tcPr>
            <w:tcW w:w="2176" w:type="dxa"/>
            <w:tcBorders>
              <w:top w:val="single" w:sz="4" w:space="0" w:color="auto"/>
              <w:left w:val="single" w:sz="4" w:space="0" w:color="auto"/>
              <w:bottom w:val="single" w:sz="4" w:space="0" w:color="auto"/>
              <w:right w:val="single" w:sz="4" w:space="0" w:color="auto"/>
            </w:tcBorders>
            <w:hideMark/>
          </w:tcPr>
          <w:p w14:paraId="4011F8F1" w14:textId="77777777" w:rsidR="00233DA1" w:rsidRDefault="00233DA1" w:rsidP="00081936">
            <w:pPr>
              <w:pStyle w:val="Tabletext9pt"/>
              <w:numPr>
                <w:ilvl w:val="0"/>
                <w:numId w:val="29"/>
              </w:numPr>
            </w:pPr>
            <w:r>
              <w:t>Community Asthma Program</w:t>
            </w:r>
          </w:p>
        </w:tc>
        <w:tc>
          <w:tcPr>
            <w:tcW w:w="3455" w:type="dxa"/>
            <w:tcBorders>
              <w:top w:val="single" w:sz="4" w:space="0" w:color="auto"/>
              <w:left w:val="single" w:sz="4" w:space="0" w:color="auto"/>
              <w:bottom w:val="single" w:sz="4" w:space="0" w:color="auto"/>
              <w:right w:val="single" w:sz="4" w:space="0" w:color="auto"/>
            </w:tcBorders>
            <w:hideMark/>
          </w:tcPr>
          <w:p w14:paraId="0C87FED6" w14:textId="77777777" w:rsidR="00233DA1" w:rsidRDefault="00233DA1" w:rsidP="00081936">
            <w:pPr>
              <w:pStyle w:val="Tabletext9pt"/>
              <w:numPr>
                <w:ilvl w:val="0"/>
                <w:numId w:val="29"/>
              </w:numPr>
            </w:pPr>
            <w:r>
              <w:t>Allied health</w:t>
            </w:r>
          </w:p>
        </w:tc>
        <w:tc>
          <w:tcPr>
            <w:tcW w:w="1415" w:type="dxa"/>
            <w:tcBorders>
              <w:top w:val="single" w:sz="4" w:space="0" w:color="auto"/>
              <w:left w:val="single" w:sz="4" w:space="0" w:color="auto"/>
              <w:bottom w:val="single" w:sz="4" w:space="0" w:color="auto"/>
              <w:right w:val="single" w:sz="4" w:space="0" w:color="auto"/>
            </w:tcBorders>
            <w:hideMark/>
          </w:tcPr>
          <w:p w14:paraId="5847FD94" w14:textId="77777777" w:rsidR="00233DA1" w:rsidRDefault="00233DA1" w:rsidP="00081936">
            <w:pPr>
              <w:pStyle w:val="Tabletext9pt"/>
              <w:numPr>
                <w:ilvl w:val="0"/>
                <w:numId w:val="29"/>
              </w:numPr>
            </w:pPr>
            <w:r>
              <w:t>Hours</w:t>
            </w:r>
          </w:p>
        </w:tc>
        <w:tc>
          <w:tcPr>
            <w:tcW w:w="2253" w:type="dxa"/>
            <w:tcBorders>
              <w:top w:val="single" w:sz="4" w:space="0" w:color="auto"/>
              <w:left w:val="single" w:sz="4" w:space="0" w:color="auto"/>
              <w:bottom w:val="single" w:sz="4" w:space="0" w:color="auto"/>
              <w:right w:val="single" w:sz="4" w:space="0" w:color="auto"/>
            </w:tcBorders>
            <w:hideMark/>
          </w:tcPr>
          <w:p w14:paraId="5CD80C8D" w14:textId="38EAC36F" w:rsidR="00233DA1" w:rsidRDefault="00CB2C12" w:rsidP="00081936">
            <w:pPr>
              <w:pStyle w:val="Tabletext9pt"/>
              <w:numPr>
                <w:ilvl w:val="0"/>
                <w:numId w:val="29"/>
              </w:numPr>
              <w:jc w:val="right"/>
              <w:rPr>
                <w:lang w:eastAsia="en-AU"/>
              </w:rPr>
            </w:pPr>
            <w:r w:rsidRPr="23E5A96B">
              <w:rPr>
                <w:lang w:eastAsia="en-AU"/>
              </w:rPr>
              <w:t>119.13</w:t>
            </w:r>
          </w:p>
        </w:tc>
      </w:tr>
    </w:tbl>
    <w:p w14:paraId="3A5F3B4C" w14:textId="3EC00327" w:rsidR="000B27B9" w:rsidRPr="00A06E4C" w:rsidRDefault="000B27B9" w:rsidP="00081936">
      <w:pPr>
        <w:pStyle w:val="Heading3"/>
        <w:numPr>
          <w:ilvl w:val="2"/>
          <w:numId w:val="33"/>
        </w:numPr>
        <w:spacing w:before="240"/>
        <w:ind w:left="1134"/>
      </w:pPr>
      <w:bookmarkStart w:id="874" w:name="_Toc144905625"/>
      <w:bookmarkStart w:id="875" w:name="_Toc487742012"/>
      <w:bookmarkStart w:id="876" w:name="_Toc14172242"/>
      <w:bookmarkStart w:id="877" w:name="_Toc100263352"/>
      <w:bookmarkStart w:id="878" w:name="_Toc156569684"/>
      <w:bookmarkStart w:id="879" w:name="_Ref423018061"/>
      <w:bookmarkStart w:id="880" w:name="_Toc419623616"/>
      <w:bookmarkStart w:id="881" w:name="_Toc419623728"/>
      <w:bookmarkStart w:id="882" w:name="_Toc419644503"/>
      <w:bookmarkStart w:id="883" w:name="_Toc450824823"/>
      <w:bookmarkStart w:id="884" w:name="_Toc418694990"/>
      <w:bookmarkStart w:id="885" w:name="_Ref423019767"/>
      <w:bookmarkStart w:id="886" w:name="_Ref423019777"/>
      <w:bookmarkEnd w:id="872"/>
      <w:bookmarkEnd w:id="873"/>
      <w:bookmarkEnd w:id="874"/>
      <w:r w:rsidRPr="00A06E4C">
        <w:lastRenderedPageBreak/>
        <w:t xml:space="preserve">Training and </w:t>
      </w:r>
      <w:bookmarkEnd w:id="875"/>
      <w:bookmarkEnd w:id="876"/>
      <w:bookmarkEnd w:id="877"/>
      <w:r w:rsidR="00D313FF">
        <w:t>d</w:t>
      </w:r>
      <w:r w:rsidR="00D313FF" w:rsidRPr="00A06E4C">
        <w:t>evelopment</w:t>
      </w:r>
      <w:bookmarkEnd w:id="878"/>
    </w:p>
    <w:p w14:paraId="17DA6DAF" w14:textId="4794D9FF" w:rsidR="00340749" w:rsidRDefault="00340749" w:rsidP="00685B35">
      <w:pPr>
        <w:pStyle w:val="Tablecaption"/>
      </w:pPr>
      <w:bookmarkStart w:id="887" w:name="_Toc156568669"/>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26</w:t>
      </w:r>
      <w:r>
        <w:fldChar w:fldCharType="end"/>
      </w:r>
      <w:r>
        <w:t>: Training and development funding rates in 2023–24</w:t>
      </w:r>
      <w:bookmarkEnd w:id="887"/>
    </w:p>
    <w:tbl>
      <w:tblPr>
        <w:tblStyle w:val="TableGrid1"/>
        <w:tblW w:w="9299" w:type="dxa"/>
        <w:tblLook w:val="06A0" w:firstRow="1" w:lastRow="0" w:firstColumn="1" w:lastColumn="0" w:noHBand="1" w:noVBand="1"/>
      </w:tblPr>
      <w:tblGrid>
        <w:gridCol w:w="3053"/>
        <w:gridCol w:w="3234"/>
        <w:gridCol w:w="3012"/>
      </w:tblGrid>
      <w:tr w:rsidR="00233DA1" w14:paraId="65D9252B"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17258B2A" w14:textId="77777777" w:rsidR="00233DA1" w:rsidRPr="00D313FF" w:rsidRDefault="00233DA1" w:rsidP="00685B35">
            <w:pPr>
              <w:pStyle w:val="Tablecolhead"/>
            </w:pPr>
            <w:r w:rsidRPr="00D313FF">
              <w:t>Stream</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16589ABC" w14:textId="77777777" w:rsidR="00233DA1" w:rsidRPr="00D313FF" w:rsidRDefault="00233DA1" w:rsidP="00685B35">
            <w:pPr>
              <w:pStyle w:val="Tablecolhead"/>
            </w:pPr>
            <w:r w:rsidRPr="00D313FF">
              <w:t>Program</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6034D4EB" w14:textId="77777777" w:rsidR="00233DA1" w:rsidRPr="00D313FF" w:rsidRDefault="00233DA1" w:rsidP="00685B35">
            <w:pPr>
              <w:pStyle w:val="Tablecolhead"/>
            </w:pPr>
            <w:r w:rsidRPr="00D313FF">
              <w:t>Rate per EFT ($)</w:t>
            </w:r>
          </w:p>
        </w:tc>
      </w:tr>
      <w:tr w:rsidR="00233DA1" w14:paraId="73AA8B61" w14:textId="77777777" w:rsidTr="23E5A96B">
        <w:trPr>
          <w:trHeight w:val="212"/>
        </w:trPr>
        <w:tc>
          <w:tcPr>
            <w:tcW w:w="3053" w:type="dxa"/>
            <w:tcBorders>
              <w:top w:val="single" w:sz="4" w:space="0" w:color="auto"/>
              <w:left w:val="single" w:sz="4" w:space="0" w:color="auto"/>
              <w:bottom w:val="single" w:sz="4" w:space="0" w:color="auto"/>
              <w:right w:val="single" w:sz="4" w:space="0" w:color="auto"/>
            </w:tcBorders>
            <w:hideMark/>
          </w:tcPr>
          <w:p w14:paraId="5673CEBE" w14:textId="77777777" w:rsidR="00233DA1" w:rsidRDefault="00233DA1" w:rsidP="00081936">
            <w:pPr>
              <w:pStyle w:val="Tabletext9pt"/>
              <w:numPr>
                <w:ilvl w:val="0"/>
                <w:numId w:val="29"/>
              </w:numPr>
            </w:pPr>
            <w:r>
              <w:t>Professional-entry student placements</w:t>
            </w:r>
          </w:p>
        </w:tc>
        <w:tc>
          <w:tcPr>
            <w:tcW w:w="3234" w:type="dxa"/>
            <w:tcBorders>
              <w:top w:val="single" w:sz="4" w:space="0" w:color="auto"/>
              <w:left w:val="single" w:sz="4" w:space="0" w:color="auto"/>
              <w:bottom w:val="single" w:sz="4" w:space="0" w:color="auto"/>
              <w:right w:val="single" w:sz="4" w:space="0" w:color="auto"/>
            </w:tcBorders>
            <w:hideMark/>
          </w:tcPr>
          <w:p w14:paraId="33CF2CFC" w14:textId="77777777" w:rsidR="00233DA1" w:rsidRDefault="00233DA1" w:rsidP="00081936">
            <w:pPr>
              <w:pStyle w:val="Tabletext9pt"/>
              <w:numPr>
                <w:ilvl w:val="0"/>
                <w:numId w:val="29"/>
              </w:numPr>
            </w:pPr>
            <w:r>
              <w:t>Medical, nursing, allied health, (including allied health assistance and health information management)</w:t>
            </w:r>
          </w:p>
        </w:tc>
        <w:tc>
          <w:tcPr>
            <w:tcW w:w="3012" w:type="dxa"/>
            <w:tcBorders>
              <w:top w:val="single" w:sz="4" w:space="0" w:color="auto"/>
              <w:left w:val="single" w:sz="4" w:space="0" w:color="auto"/>
              <w:bottom w:val="single" w:sz="4" w:space="0" w:color="auto"/>
              <w:right w:val="single" w:sz="4" w:space="0" w:color="auto"/>
            </w:tcBorders>
            <w:hideMark/>
          </w:tcPr>
          <w:p w14:paraId="2DFD90D8" w14:textId="77777777" w:rsidR="00233DA1" w:rsidRDefault="00233DA1" w:rsidP="00081936">
            <w:pPr>
              <w:pStyle w:val="Tabletext9pt"/>
              <w:numPr>
                <w:ilvl w:val="0"/>
                <w:numId w:val="29"/>
              </w:numPr>
              <w:jc w:val="right"/>
            </w:pPr>
            <w:r>
              <w:t>Not calculated based on an EFT rate</w:t>
            </w:r>
          </w:p>
        </w:tc>
      </w:tr>
      <w:tr w:rsidR="00233DA1" w14:paraId="42D12829" w14:textId="77777777" w:rsidTr="23E5A96B">
        <w:trPr>
          <w:trHeight w:val="212"/>
        </w:trPr>
        <w:tc>
          <w:tcPr>
            <w:tcW w:w="3053" w:type="dxa"/>
            <w:tcBorders>
              <w:top w:val="single" w:sz="4" w:space="0" w:color="auto"/>
              <w:left w:val="single" w:sz="4" w:space="0" w:color="auto"/>
              <w:bottom w:val="single" w:sz="4" w:space="0" w:color="auto"/>
              <w:right w:val="single" w:sz="4" w:space="0" w:color="auto"/>
            </w:tcBorders>
            <w:hideMark/>
          </w:tcPr>
          <w:p w14:paraId="70B1EB11" w14:textId="77777777" w:rsidR="00233DA1" w:rsidRDefault="00233DA1" w:rsidP="00081936">
            <w:pPr>
              <w:pStyle w:val="Tabletext9pt"/>
              <w:numPr>
                <w:ilvl w:val="0"/>
                <w:numId w:val="29"/>
              </w:numPr>
            </w:pPr>
            <w:r>
              <w:t>Transition to practice</w:t>
            </w:r>
          </w:p>
        </w:tc>
        <w:tc>
          <w:tcPr>
            <w:tcW w:w="3234" w:type="dxa"/>
            <w:tcBorders>
              <w:top w:val="single" w:sz="4" w:space="0" w:color="auto"/>
              <w:left w:val="single" w:sz="4" w:space="0" w:color="auto"/>
              <w:bottom w:val="single" w:sz="4" w:space="0" w:color="auto"/>
              <w:right w:val="single" w:sz="4" w:space="0" w:color="auto"/>
            </w:tcBorders>
            <w:hideMark/>
          </w:tcPr>
          <w:p w14:paraId="7493DB7E" w14:textId="77777777" w:rsidR="00233DA1" w:rsidRDefault="00233DA1" w:rsidP="00081936">
            <w:pPr>
              <w:pStyle w:val="Tabletext9pt"/>
              <w:numPr>
                <w:ilvl w:val="0"/>
                <w:numId w:val="29"/>
              </w:numPr>
            </w:pPr>
            <w:r>
              <w:t>Allied health graduate – metro</w:t>
            </w:r>
          </w:p>
        </w:tc>
        <w:tc>
          <w:tcPr>
            <w:tcW w:w="3012" w:type="dxa"/>
            <w:tcBorders>
              <w:top w:val="single" w:sz="4" w:space="0" w:color="auto"/>
              <w:left w:val="single" w:sz="4" w:space="0" w:color="auto"/>
              <w:bottom w:val="single" w:sz="4" w:space="0" w:color="auto"/>
              <w:right w:val="single" w:sz="4" w:space="0" w:color="auto"/>
            </w:tcBorders>
            <w:hideMark/>
          </w:tcPr>
          <w:p w14:paraId="67585566" w14:textId="50F4AC8A" w:rsidR="00233DA1" w:rsidRPr="00C04F0F" w:rsidRDefault="00A15196" w:rsidP="00081936">
            <w:pPr>
              <w:pStyle w:val="Tabletext9pt"/>
              <w:numPr>
                <w:ilvl w:val="0"/>
                <w:numId w:val="29"/>
              </w:numPr>
              <w:jc w:val="right"/>
            </w:pPr>
            <w:r w:rsidRPr="00C04F0F">
              <w:t>10</w:t>
            </w:r>
            <w:r w:rsidR="00AE1BFA" w:rsidRPr="00C04F0F">
              <w:t>,215</w:t>
            </w:r>
            <w:r w:rsidRPr="00C04F0F">
              <w:t xml:space="preserve"> </w:t>
            </w:r>
          </w:p>
        </w:tc>
      </w:tr>
      <w:tr w:rsidR="00233DA1" w14:paraId="34C3AE32" w14:textId="77777777" w:rsidTr="23E5A96B">
        <w:trPr>
          <w:trHeight w:val="212"/>
        </w:trPr>
        <w:tc>
          <w:tcPr>
            <w:tcW w:w="3053" w:type="dxa"/>
            <w:tcBorders>
              <w:top w:val="single" w:sz="4" w:space="0" w:color="auto"/>
              <w:left w:val="single" w:sz="4" w:space="0" w:color="auto"/>
              <w:bottom w:val="single" w:sz="4" w:space="0" w:color="auto"/>
              <w:right w:val="single" w:sz="4" w:space="0" w:color="auto"/>
            </w:tcBorders>
            <w:hideMark/>
          </w:tcPr>
          <w:p w14:paraId="6CFE7B44" w14:textId="77777777" w:rsidR="00233DA1" w:rsidRDefault="00233DA1" w:rsidP="00081936">
            <w:pPr>
              <w:pStyle w:val="Tabletext9pt"/>
              <w:numPr>
                <w:ilvl w:val="0"/>
                <w:numId w:val="29"/>
              </w:numPr>
            </w:pPr>
            <w:r>
              <w:t>Transition to practice</w:t>
            </w:r>
          </w:p>
        </w:tc>
        <w:tc>
          <w:tcPr>
            <w:tcW w:w="3234" w:type="dxa"/>
            <w:tcBorders>
              <w:top w:val="single" w:sz="4" w:space="0" w:color="auto"/>
              <w:left w:val="single" w:sz="4" w:space="0" w:color="auto"/>
              <w:bottom w:val="single" w:sz="4" w:space="0" w:color="auto"/>
              <w:right w:val="single" w:sz="4" w:space="0" w:color="auto"/>
            </w:tcBorders>
            <w:hideMark/>
          </w:tcPr>
          <w:p w14:paraId="79CBDFC1" w14:textId="77777777" w:rsidR="00233DA1" w:rsidRDefault="00233DA1" w:rsidP="00081936">
            <w:pPr>
              <w:pStyle w:val="Tabletext9pt"/>
              <w:numPr>
                <w:ilvl w:val="0"/>
                <w:numId w:val="29"/>
              </w:numPr>
            </w:pPr>
            <w:r>
              <w:t>Allied health graduate – rural</w:t>
            </w:r>
          </w:p>
        </w:tc>
        <w:tc>
          <w:tcPr>
            <w:tcW w:w="3012" w:type="dxa"/>
            <w:tcBorders>
              <w:top w:val="single" w:sz="4" w:space="0" w:color="auto"/>
              <w:left w:val="single" w:sz="4" w:space="0" w:color="auto"/>
              <w:bottom w:val="single" w:sz="4" w:space="0" w:color="auto"/>
              <w:right w:val="single" w:sz="4" w:space="0" w:color="auto"/>
            </w:tcBorders>
            <w:hideMark/>
          </w:tcPr>
          <w:p w14:paraId="1D53D94A" w14:textId="75E34BC0" w:rsidR="00233DA1" w:rsidRPr="00C04F0F" w:rsidRDefault="008A03ED" w:rsidP="00081936">
            <w:pPr>
              <w:pStyle w:val="Tabletext9pt"/>
              <w:numPr>
                <w:ilvl w:val="0"/>
                <w:numId w:val="29"/>
              </w:numPr>
              <w:jc w:val="right"/>
            </w:pPr>
            <w:r w:rsidRPr="00C04F0F">
              <w:t>12,012</w:t>
            </w:r>
          </w:p>
        </w:tc>
      </w:tr>
      <w:tr w:rsidR="00233DA1" w14:paraId="430DFFDE" w14:textId="77777777" w:rsidTr="23E5A96B">
        <w:trPr>
          <w:trHeight w:val="212"/>
        </w:trPr>
        <w:tc>
          <w:tcPr>
            <w:tcW w:w="3053" w:type="dxa"/>
            <w:tcBorders>
              <w:top w:val="single" w:sz="4" w:space="0" w:color="auto"/>
              <w:left w:val="single" w:sz="4" w:space="0" w:color="auto"/>
              <w:bottom w:val="single" w:sz="4" w:space="0" w:color="auto"/>
              <w:right w:val="single" w:sz="4" w:space="0" w:color="auto"/>
            </w:tcBorders>
            <w:hideMark/>
          </w:tcPr>
          <w:p w14:paraId="51FE847D" w14:textId="77777777" w:rsidR="00233DA1" w:rsidRDefault="00233DA1" w:rsidP="00081936">
            <w:pPr>
              <w:pStyle w:val="Tabletext9pt"/>
              <w:numPr>
                <w:ilvl w:val="0"/>
                <w:numId w:val="29"/>
              </w:numPr>
            </w:pPr>
            <w:r>
              <w:t>Transition to practice</w:t>
            </w:r>
          </w:p>
        </w:tc>
        <w:tc>
          <w:tcPr>
            <w:tcW w:w="3234" w:type="dxa"/>
            <w:tcBorders>
              <w:top w:val="single" w:sz="4" w:space="0" w:color="auto"/>
              <w:left w:val="single" w:sz="4" w:space="0" w:color="auto"/>
              <w:bottom w:val="single" w:sz="4" w:space="0" w:color="auto"/>
              <w:right w:val="single" w:sz="4" w:space="0" w:color="auto"/>
            </w:tcBorders>
            <w:hideMark/>
          </w:tcPr>
          <w:p w14:paraId="2C2D7E76" w14:textId="77777777" w:rsidR="00233DA1" w:rsidRDefault="00233DA1" w:rsidP="00081936">
            <w:pPr>
              <w:pStyle w:val="Tabletext9pt"/>
              <w:numPr>
                <w:ilvl w:val="0"/>
                <w:numId w:val="29"/>
              </w:numPr>
            </w:pPr>
            <w:r>
              <w:t>Pharmacy interns</w:t>
            </w:r>
          </w:p>
        </w:tc>
        <w:tc>
          <w:tcPr>
            <w:tcW w:w="3012" w:type="dxa"/>
            <w:tcBorders>
              <w:top w:val="single" w:sz="4" w:space="0" w:color="auto"/>
              <w:left w:val="single" w:sz="4" w:space="0" w:color="auto"/>
              <w:bottom w:val="single" w:sz="4" w:space="0" w:color="auto"/>
              <w:right w:val="single" w:sz="4" w:space="0" w:color="auto"/>
            </w:tcBorders>
            <w:hideMark/>
          </w:tcPr>
          <w:p w14:paraId="6859408B" w14:textId="7C51BA56" w:rsidR="00233DA1" w:rsidRDefault="375ADEC0" w:rsidP="00081936">
            <w:pPr>
              <w:pStyle w:val="Tabletext9pt"/>
              <w:numPr>
                <w:ilvl w:val="0"/>
                <w:numId w:val="29"/>
              </w:numPr>
              <w:jc w:val="right"/>
            </w:pPr>
            <w:r>
              <w:t>34,180</w:t>
            </w:r>
          </w:p>
        </w:tc>
      </w:tr>
      <w:tr w:rsidR="00233DA1" w14:paraId="0E5D5942" w14:textId="77777777" w:rsidTr="23E5A96B">
        <w:trPr>
          <w:trHeight w:val="212"/>
        </w:trPr>
        <w:tc>
          <w:tcPr>
            <w:tcW w:w="3053" w:type="dxa"/>
            <w:tcBorders>
              <w:top w:val="single" w:sz="4" w:space="0" w:color="auto"/>
              <w:left w:val="single" w:sz="4" w:space="0" w:color="auto"/>
              <w:bottom w:val="single" w:sz="4" w:space="0" w:color="auto"/>
              <w:right w:val="single" w:sz="4" w:space="0" w:color="auto"/>
            </w:tcBorders>
            <w:hideMark/>
          </w:tcPr>
          <w:p w14:paraId="0B1DCCA8" w14:textId="77777777" w:rsidR="00233DA1" w:rsidRDefault="00233DA1" w:rsidP="00081936">
            <w:pPr>
              <w:pStyle w:val="Tabletext9pt"/>
              <w:numPr>
                <w:ilvl w:val="0"/>
                <w:numId w:val="29"/>
              </w:numPr>
            </w:pPr>
            <w:r>
              <w:t>Transition to practice</w:t>
            </w:r>
          </w:p>
        </w:tc>
        <w:tc>
          <w:tcPr>
            <w:tcW w:w="3234" w:type="dxa"/>
            <w:tcBorders>
              <w:top w:val="single" w:sz="4" w:space="0" w:color="auto"/>
              <w:left w:val="single" w:sz="4" w:space="0" w:color="auto"/>
              <w:bottom w:val="single" w:sz="4" w:space="0" w:color="auto"/>
              <w:right w:val="single" w:sz="4" w:space="0" w:color="auto"/>
            </w:tcBorders>
            <w:hideMark/>
          </w:tcPr>
          <w:p w14:paraId="1140F6D1" w14:textId="77777777" w:rsidR="00233DA1" w:rsidRDefault="00233DA1" w:rsidP="00081936">
            <w:pPr>
              <w:pStyle w:val="Tabletext9pt"/>
              <w:numPr>
                <w:ilvl w:val="0"/>
                <w:numId w:val="29"/>
              </w:numPr>
            </w:pPr>
            <w:r>
              <w:t>Medical graduate year 1 (PGY1)</w:t>
            </w:r>
          </w:p>
        </w:tc>
        <w:tc>
          <w:tcPr>
            <w:tcW w:w="3012" w:type="dxa"/>
            <w:tcBorders>
              <w:top w:val="single" w:sz="4" w:space="0" w:color="auto"/>
              <w:left w:val="single" w:sz="4" w:space="0" w:color="auto"/>
              <w:bottom w:val="single" w:sz="4" w:space="0" w:color="auto"/>
              <w:right w:val="single" w:sz="4" w:space="0" w:color="auto"/>
            </w:tcBorders>
            <w:hideMark/>
          </w:tcPr>
          <w:p w14:paraId="044962BB" w14:textId="03E545E4" w:rsidR="00233DA1" w:rsidRDefault="09BBD5DA" w:rsidP="00081936">
            <w:pPr>
              <w:pStyle w:val="Tabletext9pt"/>
              <w:numPr>
                <w:ilvl w:val="0"/>
                <w:numId w:val="29"/>
              </w:numPr>
              <w:jc w:val="right"/>
            </w:pPr>
            <w:r>
              <w:t>40,786</w:t>
            </w:r>
          </w:p>
        </w:tc>
      </w:tr>
      <w:tr w:rsidR="00233DA1" w14:paraId="65B64533" w14:textId="77777777" w:rsidTr="23E5A96B">
        <w:trPr>
          <w:trHeight w:val="212"/>
        </w:trPr>
        <w:tc>
          <w:tcPr>
            <w:tcW w:w="3053" w:type="dxa"/>
            <w:tcBorders>
              <w:top w:val="single" w:sz="4" w:space="0" w:color="auto"/>
              <w:left w:val="single" w:sz="4" w:space="0" w:color="auto"/>
              <w:bottom w:val="single" w:sz="4" w:space="0" w:color="auto"/>
              <w:right w:val="single" w:sz="4" w:space="0" w:color="auto"/>
            </w:tcBorders>
            <w:hideMark/>
          </w:tcPr>
          <w:p w14:paraId="2E35EABB" w14:textId="77777777" w:rsidR="00233DA1" w:rsidRDefault="00233DA1" w:rsidP="00081936">
            <w:pPr>
              <w:pStyle w:val="Tabletext9pt"/>
              <w:numPr>
                <w:ilvl w:val="0"/>
                <w:numId w:val="29"/>
              </w:numPr>
            </w:pPr>
            <w:r>
              <w:t>Transition to practice</w:t>
            </w:r>
          </w:p>
        </w:tc>
        <w:tc>
          <w:tcPr>
            <w:tcW w:w="3234" w:type="dxa"/>
            <w:tcBorders>
              <w:top w:val="single" w:sz="4" w:space="0" w:color="auto"/>
              <w:left w:val="single" w:sz="4" w:space="0" w:color="auto"/>
              <w:bottom w:val="single" w:sz="4" w:space="0" w:color="auto"/>
              <w:right w:val="single" w:sz="4" w:space="0" w:color="auto"/>
            </w:tcBorders>
            <w:hideMark/>
          </w:tcPr>
          <w:p w14:paraId="657AD2C9" w14:textId="77777777" w:rsidR="00233DA1" w:rsidRDefault="00233DA1" w:rsidP="00081936">
            <w:pPr>
              <w:pStyle w:val="Tabletext9pt"/>
              <w:numPr>
                <w:ilvl w:val="0"/>
                <w:numId w:val="29"/>
              </w:numPr>
            </w:pPr>
            <w:r>
              <w:t>Medical graduate year 2 (PGY2)</w:t>
            </w:r>
          </w:p>
        </w:tc>
        <w:tc>
          <w:tcPr>
            <w:tcW w:w="3012" w:type="dxa"/>
            <w:tcBorders>
              <w:top w:val="single" w:sz="4" w:space="0" w:color="auto"/>
              <w:left w:val="single" w:sz="4" w:space="0" w:color="auto"/>
              <w:bottom w:val="single" w:sz="4" w:space="0" w:color="auto"/>
              <w:right w:val="single" w:sz="4" w:space="0" w:color="auto"/>
            </w:tcBorders>
            <w:hideMark/>
          </w:tcPr>
          <w:p w14:paraId="33F55478" w14:textId="3EF5EA46" w:rsidR="00233DA1" w:rsidRDefault="2B4D4B64" w:rsidP="00081936">
            <w:pPr>
              <w:pStyle w:val="Tabletext9pt"/>
              <w:numPr>
                <w:ilvl w:val="0"/>
                <w:numId w:val="29"/>
              </w:numPr>
              <w:jc w:val="right"/>
            </w:pPr>
            <w:r>
              <w:t>44,614</w:t>
            </w:r>
          </w:p>
        </w:tc>
      </w:tr>
      <w:tr w:rsidR="00233DA1" w14:paraId="57EBD5B0" w14:textId="77777777" w:rsidTr="23E5A96B">
        <w:trPr>
          <w:trHeight w:val="212"/>
        </w:trPr>
        <w:tc>
          <w:tcPr>
            <w:tcW w:w="3053" w:type="dxa"/>
            <w:tcBorders>
              <w:top w:val="single" w:sz="4" w:space="0" w:color="auto"/>
              <w:left w:val="single" w:sz="4" w:space="0" w:color="auto"/>
              <w:bottom w:val="single" w:sz="4" w:space="0" w:color="auto"/>
              <w:right w:val="single" w:sz="4" w:space="0" w:color="auto"/>
            </w:tcBorders>
            <w:hideMark/>
          </w:tcPr>
          <w:p w14:paraId="1C89ABEB" w14:textId="77777777" w:rsidR="00233DA1" w:rsidRDefault="00233DA1" w:rsidP="00081936">
            <w:pPr>
              <w:pStyle w:val="Tabletext9pt"/>
              <w:numPr>
                <w:ilvl w:val="0"/>
                <w:numId w:val="29"/>
              </w:numPr>
            </w:pPr>
            <w:r>
              <w:t>Transition to practice</w:t>
            </w:r>
          </w:p>
        </w:tc>
        <w:tc>
          <w:tcPr>
            <w:tcW w:w="3234" w:type="dxa"/>
            <w:tcBorders>
              <w:top w:val="single" w:sz="4" w:space="0" w:color="auto"/>
              <w:left w:val="single" w:sz="4" w:space="0" w:color="auto"/>
              <w:bottom w:val="single" w:sz="4" w:space="0" w:color="auto"/>
              <w:right w:val="single" w:sz="4" w:space="0" w:color="auto"/>
            </w:tcBorders>
            <w:hideMark/>
          </w:tcPr>
          <w:p w14:paraId="6895098C" w14:textId="77777777" w:rsidR="00233DA1" w:rsidRDefault="00233DA1" w:rsidP="00081936">
            <w:pPr>
              <w:pStyle w:val="Tabletext9pt"/>
              <w:numPr>
                <w:ilvl w:val="0"/>
                <w:numId w:val="29"/>
              </w:numPr>
            </w:pPr>
            <w:r>
              <w:t>Nursing and midwifery</w:t>
            </w:r>
          </w:p>
        </w:tc>
        <w:tc>
          <w:tcPr>
            <w:tcW w:w="3012" w:type="dxa"/>
            <w:tcBorders>
              <w:top w:val="single" w:sz="4" w:space="0" w:color="auto"/>
              <w:left w:val="single" w:sz="4" w:space="0" w:color="auto"/>
              <w:bottom w:val="single" w:sz="4" w:space="0" w:color="auto"/>
              <w:right w:val="single" w:sz="4" w:space="0" w:color="auto"/>
            </w:tcBorders>
            <w:hideMark/>
          </w:tcPr>
          <w:p w14:paraId="389C1C06" w14:textId="7CBCD8F3" w:rsidR="00233DA1" w:rsidRDefault="6E9E1D2C" w:rsidP="00081936">
            <w:pPr>
              <w:pStyle w:val="Tabletext9pt"/>
              <w:numPr>
                <w:ilvl w:val="0"/>
                <w:numId w:val="29"/>
              </w:numPr>
              <w:jc w:val="right"/>
            </w:pPr>
            <w:r>
              <w:t>20,329</w:t>
            </w:r>
          </w:p>
        </w:tc>
      </w:tr>
      <w:tr w:rsidR="00233DA1" w14:paraId="17CB4DD2" w14:textId="77777777" w:rsidTr="23E5A96B">
        <w:trPr>
          <w:trHeight w:val="212"/>
        </w:trPr>
        <w:tc>
          <w:tcPr>
            <w:tcW w:w="3053" w:type="dxa"/>
            <w:tcBorders>
              <w:top w:val="single" w:sz="4" w:space="0" w:color="auto"/>
              <w:left w:val="single" w:sz="4" w:space="0" w:color="auto"/>
              <w:bottom w:val="single" w:sz="4" w:space="0" w:color="auto"/>
              <w:right w:val="single" w:sz="4" w:space="0" w:color="auto"/>
            </w:tcBorders>
            <w:hideMark/>
          </w:tcPr>
          <w:p w14:paraId="0D71B408" w14:textId="77777777" w:rsidR="00233DA1" w:rsidRDefault="00233DA1" w:rsidP="00081936">
            <w:pPr>
              <w:pStyle w:val="Tabletext9pt"/>
              <w:numPr>
                <w:ilvl w:val="0"/>
                <w:numId w:val="29"/>
              </w:numPr>
            </w:pPr>
            <w:r>
              <w:t>Postgraduate – medical specialist training</w:t>
            </w:r>
          </w:p>
        </w:tc>
        <w:tc>
          <w:tcPr>
            <w:tcW w:w="3234" w:type="dxa"/>
            <w:tcBorders>
              <w:top w:val="single" w:sz="4" w:space="0" w:color="auto"/>
              <w:left w:val="single" w:sz="4" w:space="0" w:color="auto"/>
              <w:bottom w:val="single" w:sz="4" w:space="0" w:color="auto"/>
              <w:right w:val="single" w:sz="4" w:space="0" w:color="auto"/>
            </w:tcBorders>
            <w:hideMark/>
          </w:tcPr>
          <w:p w14:paraId="5E144A61" w14:textId="77777777" w:rsidR="00233DA1" w:rsidRDefault="00233DA1" w:rsidP="00081936">
            <w:pPr>
              <w:pStyle w:val="Tabletext9pt"/>
              <w:numPr>
                <w:ilvl w:val="0"/>
                <w:numId w:val="29"/>
              </w:numPr>
            </w:pPr>
            <w:r>
              <w:t>Victorian Medical Specialist Training Program</w:t>
            </w:r>
          </w:p>
        </w:tc>
        <w:tc>
          <w:tcPr>
            <w:tcW w:w="3012" w:type="dxa"/>
            <w:tcBorders>
              <w:top w:val="single" w:sz="4" w:space="0" w:color="auto"/>
              <w:left w:val="single" w:sz="4" w:space="0" w:color="auto"/>
              <w:bottom w:val="single" w:sz="4" w:space="0" w:color="auto"/>
              <w:right w:val="single" w:sz="4" w:space="0" w:color="auto"/>
            </w:tcBorders>
            <w:hideMark/>
          </w:tcPr>
          <w:p w14:paraId="4B766346" w14:textId="55A35965" w:rsidR="00233DA1" w:rsidRDefault="66A04F4C" w:rsidP="00081936">
            <w:pPr>
              <w:pStyle w:val="Tabletext9pt"/>
              <w:numPr>
                <w:ilvl w:val="0"/>
                <w:numId w:val="29"/>
              </w:numPr>
              <w:jc w:val="right"/>
            </w:pPr>
            <w:r>
              <w:t>76,</w:t>
            </w:r>
            <w:r w:rsidR="79513FD8">
              <w:t>657</w:t>
            </w:r>
          </w:p>
        </w:tc>
      </w:tr>
      <w:tr w:rsidR="00233DA1" w14:paraId="152ACBB1" w14:textId="77777777" w:rsidTr="23E5A96B">
        <w:trPr>
          <w:trHeight w:val="212"/>
        </w:trPr>
        <w:tc>
          <w:tcPr>
            <w:tcW w:w="3053" w:type="dxa"/>
            <w:tcBorders>
              <w:top w:val="single" w:sz="4" w:space="0" w:color="auto"/>
              <w:left w:val="single" w:sz="4" w:space="0" w:color="auto"/>
              <w:bottom w:val="single" w:sz="4" w:space="0" w:color="auto"/>
              <w:right w:val="single" w:sz="4" w:space="0" w:color="auto"/>
            </w:tcBorders>
            <w:hideMark/>
          </w:tcPr>
          <w:p w14:paraId="6D753F83" w14:textId="77777777" w:rsidR="00233DA1" w:rsidRDefault="00233DA1" w:rsidP="00081936">
            <w:pPr>
              <w:pStyle w:val="Tabletext9pt"/>
              <w:numPr>
                <w:ilvl w:val="0"/>
                <w:numId w:val="29"/>
              </w:numPr>
            </w:pPr>
            <w:r>
              <w:t>Postgraduate – medical specialist training</w:t>
            </w:r>
          </w:p>
        </w:tc>
        <w:tc>
          <w:tcPr>
            <w:tcW w:w="3234" w:type="dxa"/>
            <w:tcBorders>
              <w:top w:val="single" w:sz="4" w:space="0" w:color="auto"/>
              <w:left w:val="single" w:sz="4" w:space="0" w:color="auto"/>
              <w:bottom w:val="single" w:sz="4" w:space="0" w:color="auto"/>
              <w:right w:val="single" w:sz="4" w:space="0" w:color="auto"/>
            </w:tcBorders>
            <w:hideMark/>
          </w:tcPr>
          <w:p w14:paraId="461276B5" w14:textId="77777777" w:rsidR="00233DA1" w:rsidRDefault="00233DA1" w:rsidP="00081936">
            <w:pPr>
              <w:pStyle w:val="Tabletext9pt"/>
              <w:numPr>
                <w:ilvl w:val="0"/>
                <w:numId w:val="29"/>
              </w:numPr>
            </w:pPr>
            <w:r>
              <w:t>Victorian Paediatric Training Program</w:t>
            </w:r>
          </w:p>
        </w:tc>
        <w:tc>
          <w:tcPr>
            <w:tcW w:w="3012" w:type="dxa"/>
            <w:tcBorders>
              <w:top w:val="single" w:sz="4" w:space="0" w:color="auto"/>
              <w:left w:val="single" w:sz="4" w:space="0" w:color="auto"/>
              <w:bottom w:val="single" w:sz="4" w:space="0" w:color="auto"/>
              <w:right w:val="single" w:sz="4" w:space="0" w:color="auto"/>
            </w:tcBorders>
            <w:hideMark/>
          </w:tcPr>
          <w:p w14:paraId="4D60C9CE" w14:textId="76A95D84" w:rsidR="00233DA1" w:rsidRDefault="33A6B7FD" w:rsidP="00081936">
            <w:pPr>
              <w:pStyle w:val="Tabletext9pt"/>
              <w:numPr>
                <w:ilvl w:val="0"/>
                <w:numId w:val="29"/>
              </w:numPr>
              <w:jc w:val="right"/>
            </w:pPr>
            <w:r>
              <w:t>104,032</w:t>
            </w:r>
          </w:p>
        </w:tc>
      </w:tr>
      <w:tr w:rsidR="00233DA1" w14:paraId="36271604" w14:textId="77777777" w:rsidTr="23E5A96B">
        <w:trPr>
          <w:trHeight w:val="212"/>
        </w:trPr>
        <w:tc>
          <w:tcPr>
            <w:tcW w:w="3053" w:type="dxa"/>
            <w:tcBorders>
              <w:top w:val="single" w:sz="4" w:space="0" w:color="auto"/>
              <w:left w:val="single" w:sz="4" w:space="0" w:color="auto"/>
              <w:bottom w:val="single" w:sz="4" w:space="0" w:color="auto"/>
              <w:right w:val="single" w:sz="4" w:space="0" w:color="auto"/>
            </w:tcBorders>
            <w:hideMark/>
          </w:tcPr>
          <w:p w14:paraId="25D4EF56" w14:textId="77777777" w:rsidR="00233DA1" w:rsidRDefault="00233DA1" w:rsidP="00081936">
            <w:pPr>
              <w:pStyle w:val="Tabletext9pt"/>
              <w:numPr>
                <w:ilvl w:val="0"/>
                <w:numId w:val="29"/>
              </w:numPr>
            </w:pPr>
            <w:r>
              <w:t>Postgraduate – medical specialist training</w:t>
            </w:r>
          </w:p>
        </w:tc>
        <w:tc>
          <w:tcPr>
            <w:tcW w:w="3234" w:type="dxa"/>
            <w:tcBorders>
              <w:top w:val="single" w:sz="4" w:space="0" w:color="auto"/>
              <w:left w:val="single" w:sz="4" w:space="0" w:color="auto"/>
              <w:bottom w:val="single" w:sz="4" w:space="0" w:color="auto"/>
              <w:right w:val="single" w:sz="4" w:space="0" w:color="auto"/>
            </w:tcBorders>
            <w:hideMark/>
          </w:tcPr>
          <w:p w14:paraId="74EE8C42" w14:textId="77777777" w:rsidR="00233DA1" w:rsidRDefault="00233DA1" w:rsidP="00081936">
            <w:pPr>
              <w:pStyle w:val="Tabletext9pt"/>
              <w:numPr>
                <w:ilvl w:val="0"/>
                <w:numId w:val="29"/>
              </w:numPr>
            </w:pPr>
            <w:r>
              <w:t>Basic physician training consortia</w:t>
            </w:r>
          </w:p>
        </w:tc>
        <w:tc>
          <w:tcPr>
            <w:tcW w:w="3012" w:type="dxa"/>
            <w:tcBorders>
              <w:top w:val="single" w:sz="4" w:space="0" w:color="auto"/>
              <w:left w:val="single" w:sz="4" w:space="0" w:color="auto"/>
              <w:bottom w:val="single" w:sz="4" w:space="0" w:color="auto"/>
              <w:right w:val="single" w:sz="4" w:space="0" w:color="auto"/>
            </w:tcBorders>
            <w:hideMark/>
          </w:tcPr>
          <w:p w14:paraId="7E87ADE5" w14:textId="77777777" w:rsidR="00233DA1" w:rsidRDefault="00233DA1" w:rsidP="00081936">
            <w:pPr>
              <w:pStyle w:val="Tabletext9pt"/>
              <w:numPr>
                <w:ilvl w:val="0"/>
                <w:numId w:val="29"/>
              </w:numPr>
              <w:jc w:val="right"/>
            </w:pPr>
            <w:r>
              <w:t>Not calculated based on an EFT rate</w:t>
            </w:r>
          </w:p>
        </w:tc>
      </w:tr>
      <w:tr w:rsidR="00233DA1" w14:paraId="07E409FF" w14:textId="77777777" w:rsidTr="23E5A96B">
        <w:tc>
          <w:tcPr>
            <w:tcW w:w="3053" w:type="dxa"/>
            <w:tcBorders>
              <w:top w:val="single" w:sz="4" w:space="0" w:color="auto"/>
              <w:left w:val="single" w:sz="4" w:space="0" w:color="auto"/>
              <w:bottom w:val="single" w:sz="4" w:space="0" w:color="auto"/>
              <w:right w:val="single" w:sz="4" w:space="0" w:color="auto"/>
            </w:tcBorders>
            <w:hideMark/>
          </w:tcPr>
          <w:p w14:paraId="1484599E" w14:textId="77777777" w:rsidR="00233DA1" w:rsidRDefault="00233DA1" w:rsidP="00081936">
            <w:pPr>
              <w:pStyle w:val="Tabletext9pt"/>
              <w:numPr>
                <w:ilvl w:val="0"/>
                <w:numId w:val="29"/>
              </w:numPr>
            </w:pPr>
            <w:r>
              <w:t>Postgraduate – nursing and midwifery</w:t>
            </w:r>
          </w:p>
        </w:tc>
        <w:tc>
          <w:tcPr>
            <w:tcW w:w="3234" w:type="dxa"/>
            <w:tcBorders>
              <w:top w:val="single" w:sz="4" w:space="0" w:color="auto"/>
              <w:left w:val="single" w:sz="4" w:space="0" w:color="auto"/>
              <w:bottom w:val="single" w:sz="4" w:space="0" w:color="auto"/>
              <w:right w:val="single" w:sz="4" w:space="0" w:color="auto"/>
            </w:tcBorders>
            <w:hideMark/>
          </w:tcPr>
          <w:p w14:paraId="346EC4C9" w14:textId="77777777" w:rsidR="00233DA1" w:rsidRDefault="00233DA1" w:rsidP="00081936">
            <w:pPr>
              <w:pStyle w:val="Tabletext9pt"/>
              <w:numPr>
                <w:ilvl w:val="0"/>
                <w:numId w:val="29"/>
              </w:numPr>
            </w:pPr>
            <w:r>
              <w:t>Nursing and midwifery postgraduates</w:t>
            </w:r>
          </w:p>
        </w:tc>
        <w:tc>
          <w:tcPr>
            <w:tcW w:w="3012" w:type="dxa"/>
            <w:tcBorders>
              <w:top w:val="single" w:sz="4" w:space="0" w:color="auto"/>
              <w:left w:val="single" w:sz="4" w:space="0" w:color="auto"/>
              <w:bottom w:val="single" w:sz="4" w:space="0" w:color="auto"/>
              <w:right w:val="single" w:sz="4" w:space="0" w:color="auto"/>
            </w:tcBorders>
            <w:hideMark/>
          </w:tcPr>
          <w:p w14:paraId="18802A50" w14:textId="6A71274F" w:rsidR="00233DA1" w:rsidRDefault="1B825147" w:rsidP="00081936">
            <w:pPr>
              <w:pStyle w:val="Tabletext9pt"/>
              <w:numPr>
                <w:ilvl w:val="0"/>
                <w:numId w:val="29"/>
              </w:numPr>
              <w:jc w:val="right"/>
            </w:pPr>
            <w:r>
              <w:t>20,239</w:t>
            </w:r>
          </w:p>
        </w:tc>
      </w:tr>
    </w:tbl>
    <w:p w14:paraId="1D0FE84D" w14:textId="77777777" w:rsidR="00233DA1" w:rsidRPr="00233DA1" w:rsidRDefault="00233DA1" w:rsidP="00233DA1">
      <w:pPr>
        <w:pStyle w:val="Body"/>
      </w:pPr>
    </w:p>
    <w:p w14:paraId="33199BA2" w14:textId="44F359E3" w:rsidR="000B27B9" w:rsidRDefault="197F15BF" w:rsidP="00685B35">
      <w:pPr>
        <w:pStyle w:val="Heading2"/>
      </w:pPr>
      <w:bookmarkStart w:id="888" w:name="_Toc418694983"/>
      <w:bookmarkStart w:id="889" w:name="_Ref419741197"/>
      <w:bookmarkStart w:id="890" w:name="_Ref419741215"/>
      <w:bookmarkStart w:id="891" w:name="_Toc487742013"/>
      <w:bookmarkStart w:id="892" w:name="_Toc14172243"/>
      <w:bookmarkStart w:id="893" w:name="_Ref70881847"/>
      <w:bookmarkStart w:id="894" w:name="_Ref70881855"/>
      <w:bookmarkStart w:id="895" w:name="_Ref77707788"/>
      <w:bookmarkStart w:id="896" w:name="_Ref77707841"/>
      <w:bookmarkStart w:id="897" w:name="_Toc100263353"/>
      <w:bookmarkStart w:id="898" w:name="_Toc156569685"/>
      <w:bookmarkEnd w:id="879"/>
      <w:bookmarkEnd w:id="880"/>
      <w:bookmarkEnd w:id="881"/>
      <w:bookmarkEnd w:id="882"/>
      <w:bookmarkEnd w:id="883"/>
      <w:r>
        <w:lastRenderedPageBreak/>
        <w:t>Price</w:t>
      </w:r>
      <w:r w:rsidR="5F235F04">
        <w:t xml:space="preserve"> </w:t>
      </w:r>
      <w:r w:rsidR="00D313FF">
        <w:t>g</w:t>
      </w:r>
      <w:r w:rsidR="5F235F04">
        <w:t xml:space="preserve">roups for </w:t>
      </w:r>
      <w:r>
        <w:t>NWAU</w:t>
      </w:r>
      <w:r w:rsidR="5F235F04">
        <w:t xml:space="preserve"> </w:t>
      </w:r>
      <w:bookmarkEnd w:id="888"/>
      <w:bookmarkEnd w:id="889"/>
      <w:bookmarkEnd w:id="890"/>
      <w:bookmarkEnd w:id="891"/>
      <w:bookmarkEnd w:id="892"/>
      <w:bookmarkEnd w:id="893"/>
      <w:bookmarkEnd w:id="894"/>
      <w:bookmarkEnd w:id="895"/>
      <w:bookmarkEnd w:id="896"/>
      <w:bookmarkEnd w:id="897"/>
      <w:r w:rsidR="00D313FF">
        <w:t>purposes</w:t>
      </w:r>
      <w:bookmarkEnd w:id="898"/>
    </w:p>
    <w:p w14:paraId="3354D1B7" w14:textId="1E9CE616" w:rsidR="00333328" w:rsidRDefault="00333328" w:rsidP="00685B35">
      <w:pPr>
        <w:pStyle w:val="Tablecaption"/>
      </w:pPr>
      <w:bookmarkStart w:id="899" w:name="_Toc156568670"/>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27</w:t>
      </w:r>
      <w:r>
        <w:fldChar w:fldCharType="end"/>
      </w:r>
      <w:r>
        <w:t xml:space="preserve">: Price groups for </w:t>
      </w:r>
      <w:r w:rsidRPr="0007058C">
        <w:t>NWAU</w:t>
      </w:r>
      <w:r>
        <w:t xml:space="preserve"> purposes</w:t>
      </w:r>
      <w:bookmarkEnd w:id="899"/>
    </w:p>
    <w:tbl>
      <w:tblPr>
        <w:tblStyle w:val="TableGrid1"/>
        <w:tblW w:w="9607" w:type="dxa"/>
        <w:tblLook w:val="06A0" w:firstRow="1" w:lastRow="0" w:firstColumn="1" w:lastColumn="0" w:noHBand="1" w:noVBand="1"/>
      </w:tblPr>
      <w:tblGrid>
        <w:gridCol w:w="4965"/>
        <w:gridCol w:w="4642"/>
      </w:tblGrid>
      <w:tr w:rsidR="000B27B9" w:rsidRPr="00754F43" w14:paraId="05CE0ED9"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0" w:type="dxa"/>
            <w:shd w:val="clear" w:color="auto" w:fill="auto"/>
          </w:tcPr>
          <w:p w14:paraId="51441A8E" w14:textId="77777777" w:rsidR="000B27B9" w:rsidRPr="00754F43" w:rsidRDefault="000B27B9" w:rsidP="00333328">
            <w:pPr>
              <w:pStyle w:val="Tablecolhead"/>
            </w:pPr>
            <w:r w:rsidRPr="00754F43">
              <w:t>Health service</w:t>
            </w:r>
          </w:p>
        </w:tc>
        <w:tc>
          <w:tcPr>
            <w:tcW w:w="0" w:type="dxa"/>
            <w:shd w:val="clear" w:color="auto" w:fill="auto"/>
          </w:tcPr>
          <w:p w14:paraId="3CBBA5A2" w14:textId="77777777" w:rsidR="000B27B9" w:rsidRPr="00754F43" w:rsidRDefault="000B27B9" w:rsidP="00333328">
            <w:pPr>
              <w:pStyle w:val="Tablecolhead"/>
            </w:pPr>
            <w:r w:rsidRPr="00754F43">
              <w:t>Peer group</w:t>
            </w:r>
          </w:p>
        </w:tc>
      </w:tr>
      <w:tr w:rsidR="00B52718" w:rsidRPr="00754F43" w14:paraId="5494F45A" w14:textId="77777777" w:rsidTr="009D11C0">
        <w:tc>
          <w:tcPr>
            <w:tcW w:w="4965" w:type="dxa"/>
            <w:noWrap/>
          </w:tcPr>
          <w:p w14:paraId="4D1C49E3" w14:textId="0041A6D4" w:rsidR="00B52718" w:rsidRPr="00754F43" w:rsidRDefault="00B52718" w:rsidP="00B52718">
            <w:pPr>
              <w:pStyle w:val="Tabletext9pt"/>
              <w:rPr>
                <w:rFonts w:cs="Arial"/>
                <w:szCs w:val="18"/>
              </w:rPr>
            </w:pPr>
            <w:r w:rsidRPr="00754F43">
              <w:rPr>
                <w:rFonts w:cs="Arial"/>
                <w:color w:val="000000" w:themeColor="text1"/>
                <w:szCs w:val="18"/>
                <w:lang w:eastAsia="zh-CN"/>
              </w:rPr>
              <w:t>Alfred Health</w:t>
            </w:r>
          </w:p>
        </w:tc>
        <w:tc>
          <w:tcPr>
            <w:tcW w:w="4642" w:type="dxa"/>
          </w:tcPr>
          <w:p w14:paraId="514B6600" w14:textId="13D00945" w:rsidR="00B52718" w:rsidRPr="00754F43" w:rsidRDefault="00B52718" w:rsidP="00B52718">
            <w:pPr>
              <w:pStyle w:val="Tabletext9pt"/>
              <w:rPr>
                <w:rFonts w:cs="Arial"/>
                <w:szCs w:val="18"/>
              </w:rPr>
            </w:pPr>
            <w:r w:rsidRPr="00754F43">
              <w:rPr>
                <w:rFonts w:cs="Arial"/>
                <w:color w:val="000000"/>
                <w:szCs w:val="18"/>
                <w:lang w:eastAsia="zh-CN"/>
              </w:rPr>
              <w:t>Metropolitan</w:t>
            </w:r>
          </w:p>
        </w:tc>
      </w:tr>
      <w:tr w:rsidR="00B52718" w:rsidRPr="00754F43" w14:paraId="23330CAA" w14:textId="77777777" w:rsidTr="009D11C0">
        <w:tc>
          <w:tcPr>
            <w:tcW w:w="4965" w:type="dxa"/>
            <w:noWrap/>
          </w:tcPr>
          <w:p w14:paraId="716EFF2D" w14:textId="71A9D3D3" w:rsidR="00B52718" w:rsidRPr="00754F43" w:rsidRDefault="00B52718" w:rsidP="00B52718">
            <w:pPr>
              <w:pStyle w:val="Tabletext9pt"/>
              <w:rPr>
                <w:rFonts w:cs="Arial"/>
                <w:szCs w:val="18"/>
                <w:lang w:eastAsia="en-AU"/>
              </w:rPr>
            </w:pPr>
            <w:r w:rsidRPr="00754F43">
              <w:rPr>
                <w:rFonts w:cs="Arial"/>
                <w:color w:val="000000" w:themeColor="text1"/>
                <w:szCs w:val="18"/>
                <w:lang w:eastAsia="zh-CN"/>
              </w:rPr>
              <w:t>Austin Health</w:t>
            </w:r>
          </w:p>
        </w:tc>
        <w:tc>
          <w:tcPr>
            <w:tcW w:w="4642" w:type="dxa"/>
          </w:tcPr>
          <w:p w14:paraId="4A40636C" w14:textId="30933324" w:rsidR="00B52718" w:rsidRPr="00754F43" w:rsidRDefault="00B52718" w:rsidP="00B52718">
            <w:pPr>
              <w:pStyle w:val="Tabletext9pt"/>
              <w:rPr>
                <w:rFonts w:cs="Arial"/>
                <w:szCs w:val="18"/>
                <w:lang w:eastAsia="en-AU"/>
              </w:rPr>
            </w:pPr>
            <w:r w:rsidRPr="00754F43">
              <w:rPr>
                <w:rFonts w:cs="Arial"/>
                <w:color w:val="000000"/>
                <w:szCs w:val="18"/>
                <w:lang w:eastAsia="zh-CN"/>
              </w:rPr>
              <w:t>Metropolitan</w:t>
            </w:r>
          </w:p>
        </w:tc>
      </w:tr>
      <w:tr w:rsidR="31C35848" w:rsidRPr="00754F43" w14:paraId="7955B0DA" w14:textId="77777777" w:rsidTr="009D11C0">
        <w:tc>
          <w:tcPr>
            <w:tcW w:w="4965" w:type="dxa"/>
            <w:noWrap/>
          </w:tcPr>
          <w:p w14:paraId="59EBB9DE" w14:textId="57035E0A" w:rsidR="032769FC" w:rsidRPr="00754F43" w:rsidRDefault="032769FC" w:rsidP="31C35848">
            <w:pPr>
              <w:pStyle w:val="Tabletext9pt"/>
              <w:rPr>
                <w:rFonts w:cs="Arial"/>
                <w:color w:val="000000" w:themeColor="text1"/>
                <w:szCs w:val="18"/>
                <w:lang w:eastAsia="zh-CN"/>
              </w:rPr>
            </w:pPr>
            <w:r w:rsidRPr="00754F43">
              <w:rPr>
                <w:rFonts w:cs="Arial"/>
                <w:color w:val="000000" w:themeColor="text1"/>
                <w:szCs w:val="18"/>
                <w:lang w:eastAsia="zh-CN"/>
              </w:rPr>
              <w:t>Calvary Health Care Bethlehem Ltd</w:t>
            </w:r>
          </w:p>
        </w:tc>
        <w:tc>
          <w:tcPr>
            <w:tcW w:w="4642" w:type="dxa"/>
          </w:tcPr>
          <w:p w14:paraId="0D6FD51C" w14:textId="4B7B9ADF" w:rsidR="032769FC" w:rsidRPr="00754F43" w:rsidRDefault="032769FC" w:rsidP="31C35848">
            <w:pPr>
              <w:pStyle w:val="Tabletext9pt"/>
              <w:rPr>
                <w:rFonts w:cs="Arial"/>
                <w:szCs w:val="18"/>
                <w:lang w:eastAsia="en-AU"/>
              </w:rPr>
            </w:pPr>
            <w:r w:rsidRPr="00754F43">
              <w:rPr>
                <w:rFonts w:cs="Arial"/>
                <w:color w:val="000000" w:themeColor="text1"/>
                <w:szCs w:val="18"/>
                <w:lang w:eastAsia="zh-CN"/>
              </w:rPr>
              <w:t>Metropolitan</w:t>
            </w:r>
          </w:p>
        </w:tc>
      </w:tr>
      <w:tr w:rsidR="00B52718" w:rsidRPr="00754F43" w14:paraId="7BF8B61C" w14:textId="77777777" w:rsidTr="009D11C0">
        <w:tc>
          <w:tcPr>
            <w:tcW w:w="4965" w:type="dxa"/>
            <w:noWrap/>
          </w:tcPr>
          <w:p w14:paraId="787994D8" w14:textId="1B304A6E" w:rsidR="00B52718" w:rsidRPr="00754F43" w:rsidRDefault="00B52718" w:rsidP="00B52718">
            <w:pPr>
              <w:pStyle w:val="Tabletext9pt"/>
              <w:rPr>
                <w:rFonts w:cs="Arial"/>
                <w:szCs w:val="18"/>
                <w:lang w:eastAsia="en-AU"/>
              </w:rPr>
            </w:pPr>
            <w:r w:rsidRPr="00754F43">
              <w:rPr>
                <w:rFonts w:cs="Arial"/>
                <w:color w:val="000000" w:themeColor="text1"/>
                <w:szCs w:val="18"/>
                <w:lang w:eastAsia="zh-CN"/>
              </w:rPr>
              <w:t>Eastern Health</w:t>
            </w:r>
          </w:p>
        </w:tc>
        <w:tc>
          <w:tcPr>
            <w:tcW w:w="4642" w:type="dxa"/>
          </w:tcPr>
          <w:p w14:paraId="6B50206C" w14:textId="798FAD1E" w:rsidR="00B52718" w:rsidRPr="00754F43" w:rsidRDefault="00B52718" w:rsidP="00B52718">
            <w:pPr>
              <w:pStyle w:val="Tabletext9pt"/>
              <w:rPr>
                <w:rFonts w:cs="Arial"/>
                <w:szCs w:val="18"/>
                <w:lang w:eastAsia="en-AU"/>
              </w:rPr>
            </w:pPr>
            <w:r w:rsidRPr="00754F43">
              <w:rPr>
                <w:rFonts w:cs="Arial"/>
                <w:color w:val="000000"/>
                <w:szCs w:val="18"/>
                <w:lang w:eastAsia="zh-CN"/>
              </w:rPr>
              <w:t>Metropolitan</w:t>
            </w:r>
          </w:p>
        </w:tc>
      </w:tr>
      <w:tr w:rsidR="00B52718" w:rsidRPr="00754F43" w14:paraId="70F02E03" w14:textId="77777777" w:rsidTr="009D11C0">
        <w:tc>
          <w:tcPr>
            <w:tcW w:w="4965" w:type="dxa"/>
            <w:noWrap/>
          </w:tcPr>
          <w:p w14:paraId="0F6F3926" w14:textId="1CE55C33" w:rsidR="00B52718" w:rsidRPr="00754F43" w:rsidRDefault="00B52718" w:rsidP="00B52718">
            <w:pPr>
              <w:pStyle w:val="Tabletext9pt"/>
              <w:rPr>
                <w:rFonts w:cs="Arial"/>
                <w:szCs w:val="18"/>
                <w:lang w:eastAsia="en-AU"/>
              </w:rPr>
            </w:pPr>
            <w:r w:rsidRPr="00754F43">
              <w:rPr>
                <w:rFonts w:cs="Arial"/>
                <w:color w:val="000000"/>
                <w:szCs w:val="18"/>
                <w:lang w:eastAsia="zh-CN"/>
              </w:rPr>
              <w:t>Melbourne Health</w:t>
            </w:r>
          </w:p>
        </w:tc>
        <w:tc>
          <w:tcPr>
            <w:tcW w:w="4642" w:type="dxa"/>
          </w:tcPr>
          <w:p w14:paraId="38F02CB7" w14:textId="22AFA770" w:rsidR="00B52718" w:rsidRPr="00754F43" w:rsidRDefault="00B52718" w:rsidP="00B52718">
            <w:pPr>
              <w:pStyle w:val="Tabletext9pt"/>
              <w:rPr>
                <w:rFonts w:cs="Arial"/>
                <w:szCs w:val="18"/>
                <w:lang w:eastAsia="en-AU"/>
              </w:rPr>
            </w:pPr>
            <w:r w:rsidRPr="00754F43">
              <w:rPr>
                <w:rFonts w:cs="Arial"/>
                <w:color w:val="000000"/>
                <w:szCs w:val="18"/>
                <w:lang w:eastAsia="zh-CN"/>
              </w:rPr>
              <w:t>Metropolitan</w:t>
            </w:r>
          </w:p>
        </w:tc>
      </w:tr>
      <w:tr w:rsidR="00B52718" w:rsidRPr="00754F43" w14:paraId="427E901F" w14:textId="77777777" w:rsidTr="009D11C0">
        <w:tc>
          <w:tcPr>
            <w:tcW w:w="4965" w:type="dxa"/>
            <w:noWrap/>
          </w:tcPr>
          <w:p w14:paraId="49221882" w14:textId="26A41ABB" w:rsidR="00B52718" w:rsidRPr="00754F43" w:rsidRDefault="00B52718" w:rsidP="00B52718">
            <w:pPr>
              <w:pStyle w:val="Tabletext9pt"/>
              <w:rPr>
                <w:rFonts w:cs="Arial"/>
                <w:szCs w:val="18"/>
                <w:lang w:eastAsia="en-AU"/>
              </w:rPr>
            </w:pPr>
            <w:r w:rsidRPr="00754F43">
              <w:rPr>
                <w:rFonts w:cs="Arial"/>
                <w:color w:val="000000" w:themeColor="text1"/>
                <w:szCs w:val="18"/>
                <w:lang w:eastAsia="zh-CN"/>
              </w:rPr>
              <w:t>Mercy Public Hospital Inc.</w:t>
            </w:r>
          </w:p>
        </w:tc>
        <w:tc>
          <w:tcPr>
            <w:tcW w:w="4642" w:type="dxa"/>
          </w:tcPr>
          <w:p w14:paraId="3C1310F6" w14:textId="73B21C73" w:rsidR="00B52718" w:rsidRPr="00754F43" w:rsidRDefault="00B52718" w:rsidP="00B52718">
            <w:pPr>
              <w:pStyle w:val="Tabletext9pt"/>
              <w:rPr>
                <w:rFonts w:cs="Arial"/>
                <w:szCs w:val="18"/>
                <w:lang w:eastAsia="en-AU"/>
              </w:rPr>
            </w:pPr>
            <w:r w:rsidRPr="00754F43">
              <w:rPr>
                <w:rFonts w:cs="Arial"/>
                <w:color w:val="000000"/>
                <w:szCs w:val="18"/>
                <w:lang w:eastAsia="zh-CN"/>
              </w:rPr>
              <w:t>Metropolitan</w:t>
            </w:r>
          </w:p>
        </w:tc>
      </w:tr>
      <w:tr w:rsidR="00B52718" w:rsidRPr="00754F43" w14:paraId="716F8FC3" w14:textId="77777777" w:rsidTr="009D11C0">
        <w:tc>
          <w:tcPr>
            <w:tcW w:w="4965" w:type="dxa"/>
            <w:noWrap/>
          </w:tcPr>
          <w:p w14:paraId="0C6BDE8A" w14:textId="2B76B9BA" w:rsidR="00B52718" w:rsidRPr="00754F43" w:rsidRDefault="00B52718" w:rsidP="00B52718">
            <w:pPr>
              <w:pStyle w:val="Tabletext9pt"/>
              <w:rPr>
                <w:rFonts w:cs="Arial"/>
                <w:szCs w:val="18"/>
                <w:lang w:eastAsia="en-AU"/>
              </w:rPr>
            </w:pPr>
            <w:r w:rsidRPr="00754F43">
              <w:rPr>
                <w:rFonts w:cs="Arial"/>
                <w:color w:val="000000"/>
                <w:szCs w:val="18"/>
                <w:lang w:eastAsia="zh-CN"/>
              </w:rPr>
              <w:t>Monash Health</w:t>
            </w:r>
          </w:p>
        </w:tc>
        <w:tc>
          <w:tcPr>
            <w:tcW w:w="4642" w:type="dxa"/>
          </w:tcPr>
          <w:p w14:paraId="21450F7A" w14:textId="517AABB4" w:rsidR="00B52718" w:rsidRPr="00754F43" w:rsidRDefault="00B52718" w:rsidP="00B52718">
            <w:pPr>
              <w:pStyle w:val="Tabletext9pt"/>
              <w:rPr>
                <w:rFonts w:cs="Arial"/>
                <w:szCs w:val="18"/>
                <w:lang w:eastAsia="en-AU"/>
              </w:rPr>
            </w:pPr>
            <w:r w:rsidRPr="00754F43">
              <w:rPr>
                <w:rFonts w:cs="Arial"/>
                <w:color w:val="000000"/>
                <w:szCs w:val="18"/>
                <w:lang w:eastAsia="zh-CN"/>
              </w:rPr>
              <w:t>Metropolitan</w:t>
            </w:r>
          </w:p>
        </w:tc>
      </w:tr>
      <w:tr w:rsidR="00B52718" w:rsidRPr="00754F43" w14:paraId="293D5E8B" w14:textId="77777777" w:rsidTr="009D11C0">
        <w:tc>
          <w:tcPr>
            <w:tcW w:w="4965" w:type="dxa"/>
            <w:noWrap/>
          </w:tcPr>
          <w:p w14:paraId="5FEB20E0" w14:textId="00A23754" w:rsidR="00B52718" w:rsidRPr="00754F43" w:rsidRDefault="00B52718" w:rsidP="00B52718">
            <w:pPr>
              <w:pStyle w:val="Tabletext9pt"/>
              <w:rPr>
                <w:rFonts w:cs="Arial"/>
                <w:szCs w:val="18"/>
                <w:lang w:eastAsia="en-AU"/>
              </w:rPr>
            </w:pPr>
            <w:r w:rsidRPr="00754F43">
              <w:rPr>
                <w:rFonts w:cs="Arial"/>
                <w:color w:val="000000" w:themeColor="text1"/>
                <w:szCs w:val="18"/>
                <w:lang w:eastAsia="zh-CN"/>
              </w:rPr>
              <w:t>Northern Health</w:t>
            </w:r>
          </w:p>
        </w:tc>
        <w:tc>
          <w:tcPr>
            <w:tcW w:w="4642" w:type="dxa"/>
          </w:tcPr>
          <w:p w14:paraId="5A592716" w14:textId="2A20D6EC" w:rsidR="00B52718" w:rsidRPr="00754F43" w:rsidRDefault="00B52718" w:rsidP="00B52718">
            <w:pPr>
              <w:pStyle w:val="Tabletext9pt"/>
              <w:rPr>
                <w:rFonts w:cs="Arial"/>
                <w:szCs w:val="18"/>
                <w:lang w:eastAsia="en-AU"/>
              </w:rPr>
            </w:pPr>
            <w:r w:rsidRPr="00754F43">
              <w:rPr>
                <w:rFonts w:cs="Arial"/>
                <w:color w:val="000000"/>
                <w:szCs w:val="18"/>
                <w:lang w:eastAsia="zh-CN"/>
              </w:rPr>
              <w:t>Metropolitan</w:t>
            </w:r>
          </w:p>
        </w:tc>
      </w:tr>
      <w:tr w:rsidR="00B52718" w:rsidRPr="00754F43" w14:paraId="02A28CDF" w14:textId="77777777" w:rsidTr="009D11C0">
        <w:tc>
          <w:tcPr>
            <w:tcW w:w="4965" w:type="dxa"/>
            <w:noWrap/>
          </w:tcPr>
          <w:p w14:paraId="3260D563" w14:textId="6A313840" w:rsidR="00B52718" w:rsidRPr="00754F43" w:rsidRDefault="00B52718" w:rsidP="00B52718">
            <w:pPr>
              <w:pStyle w:val="Tabletext9pt"/>
              <w:rPr>
                <w:rFonts w:cs="Arial"/>
                <w:szCs w:val="18"/>
                <w:lang w:eastAsia="en-AU"/>
              </w:rPr>
            </w:pPr>
            <w:r w:rsidRPr="00754F43">
              <w:rPr>
                <w:rFonts w:cs="Arial"/>
                <w:color w:val="000000" w:themeColor="text1"/>
                <w:szCs w:val="18"/>
                <w:lang w:eastAsia="zh-CN"/>
              </w:rPr>
              <w:t>Peninsula Health</w:t>
            </w:r>
          </w:p>
        </w:tc>
        <w:tc>
          <w:tcPr>
            <w:tcW w:w="4642" w:type="dxa"/>
          </w:tcPr>
          <w:p w14:paraId="47E6F71A" w14:textId="5B93AD26" w:rsidR="00B52718" w:rsidRPr="00754F43" w:rsidRDefault="00B52718" w:rsidP="00B52718">
            <w:pPr>
              <w:pStyle w:val="Tabletext9pt"/>
              <w:rPr>
                <w:rFonts w:cs="Arial"/>
                <w:szCs w:val="18"/>
                <w:lang w:eastAsia="en-AU"/>
              </w:rPr>
            </w:pPr>
            <w:r w:rsidRPr="00754F43">
              <w:rPr>
                <w:rFonts w:cs="Arial"/>
                <w:color w:val="000000"/>
                <w:szCs w:val="18"/>
                <w:lang w:eastAsia="zh-CN"/>
              </w:rPr>
              <w:t>Metropolitan</w:t>
            </w:r>
          </w:p>
        </w:tc>
      </w:tr>
      <w:tr w:rsidR="00B52718" w:rsidRPr="00754F43" w14:paraId="3AFB7051" w14:textId="77777777" w:rsidTr="009D11C0">
        <w:tc>
          <w:tcPr>
            <w:tcW w:w="4965" w:type="dxa"/>
            <w:noWrap/>
          </w:tcPr>
          <w:p w14:paraId="3102F41F" w14:textId="7D47EBEE" w:rsidR="00B52718" w:rsidRPr="00754F43" w:rsidRDefault="00B52718" w:rsidP="00B52718">
            <w:pPr>
              <w:pStyle w:val="Tabletext9pt"/>
              <w:rPr>
                <w:rFonts w:cs="Arial"/>
                <w:szCs w:val="18"/>
                <w:lang w:eastAsia="en-AU"/>
              </w:rPr>
            </w:pPr>
            <w:r w:rsidRPr="00754F43">
              <w:rPr>
                <w:rFonts w:cs="Arial"/>
                <w:color w:val="000000" w:themeColor="text1"/>
                <w:szCs w:val="18"/>
                <w:lang w:eastAsia="zh-CN"/>
              </w:rPr>
              <w:t>Peter MacCallum Cancer Institute</w:t>
            </w:r>
          </w:p>
        </w:tc>
        <w:tc>
          <w:tcPr>
            <w:tcW w:w="4642" w:type="dxa"/>
          </w:tcPr>
          <w:p w14:paraId="595C0A13" w14:textId="58E570AF" w:rsidR="00B52718" w:rsidRPr="00754F43" w:rsidRDefault="00B52718" w:rsidP="00B52718">
            <w:pPr>
              <w:pStyle w:val="Tabletext9pt"/>
              <w:rPr>
                <w:rFonts w:cs="Arial"/>
                <w:szCs w:val="18"/>
                <w:lang w:eastAsia="en-AU"/>
              </w:rPr>
            </w:pPr>
            <w:r w:rsidRPr="00754F43">
              <w:rPr>
                <w:rFonts w:cs="Arial"/>
                <w:color w:val="000000"/>
                <w:szCs w:val="18"/>
                <w:lang w:eastAsia="zh-CN"/>
              </w:rPr>
              <w:t>Metropolitan</w:t>
            </w:r>
          </w:p>
        </w:tc>
      </w:tr>
      <w:tr w:rsidR="00B52718" w:rsidRPr="00754F43" w14:paraId="55979DEE" w14:textId="77777777" w:rsidTr="009D11C0">
        <w:tc>
          <w:tcPr>
            <w:tcW w:w="4965" w:type="dxa"/>
            <w:noWrap/>
          </w:tcPr>
          <w:p w14:paraId="5B109F1A" w14:textId="32D753A2" w:rsidR="00B52718" w:rsidRPr="00754F43" w:rsidRDefault="00B52718" w:rsidP="00B52718">
            <w:pPr>
              <w:pStyle w:val="Tabletext9pt"/>
              <w:rPr>
                <w:rFonts w:cs="Arial"/>
                <w:szCs w:val="18"/>
                <w:lang w:eastAsia="en-AU"/>
              </w:rPr>
            </w:pPr>
            <w:r w:rsidRPr="00754F43">
              <w:rPr>
                <w:rFonts w:cs="Arial"/>
                <w:color w:val="000000"/>
                <w:szCs w:val="18"/>
                <w:lang w:eastAsia="zh-CN"/>
              </w:rPr>
              <w:t>Royal Children's Hospital (Melbourne</w:t>
            </w:r>
            <w:r w:rsidR="009B04A8">
              <w:rPr>
                <w:rFonts w:cs="Arial"/>
                <w:color w:val="000000"/>
                <w:szCs w:val="18"/>
                <w:lang w:eastAsia="zh-CN"/>
              </w:rPr>
              <w:t>)</w:t>
            </w:r>
          </w:p>
        </w:tc>
        <w:tc>
          <w:tcPr>
            <w:tcW w:w="4642" w:type="dxa"/>
          </w:tcPr>
          <w:p w14:paraId="27B493D2" w14:textId="38D593C9" w:rsidR="00B52718" w:rsidRPr="00754F43" w:rsidRDefault="00B52718" w:rsidP="00B52718">
            <w:pPr>
              <w:pStyle w:val="Tabletext9pt"/>
              <w:rPr>
                <w:rFonts w:cs="Arial"/>
                <w:szCs w:val="18"/>
                <w:lang w:eastAsia="en-AU"/>
              </w:rPr>
            </w:pPr>
            <w:r w:rsidRPr="00754F43">
              <w:rPr>
                <w:rFonts w:cs="Arial"/>
                <w:color w:val="000000"/>
                <w:szCs w:val="18"/>
                <w:lang w:eastAsia="zh-CN"/>
              </w:rPr>
              <w:t>Metropolitan</w:t>
            </w:r>
          </w:p>
        </w:tc>
      </w:tr>
      <w:tr w:rsidR="00B52718" w:rsidRPr="00754F43" w14:paraId="7FC2E7A3" w14:textId="77777777" w:rsidTr="009D11C0">
        <w:tc>
          <w:tcPr>
            <w:tcW w:w="4965" w:type="dxa"/>
            <w:noWrap/>
          </w:tcPr>
          <w:p w14:paraId="3492879B" w14:textId="55CE4136" w:rsidR="00B52718" w:rsidRPr="00754F43" w:rsidRDefault="00B52718" w:rsidP="00B52718">
            <w:pPr>
              <w:pStyle w:val="Tabletext9pt"/>
              <w:rPr>
                <w:rFonts w:cs="Arial"/>
                <w:szCs w:val="18"/>
                <w:lang w:eastAsia="en-AU"/>
              </w:rPr>
            </w:pPr>
            <w:r w:rsidRPr="00754F43">
              <w:rPr>
                <w:rFonts w:cs="Arial"/>
                <w:color w:val="000000"/>
                <w:szCs w:val="18"/>
                <w:lang w:eastAsia="zh-CN"/>
              </w:rPr>
              <w:t>Royal Victorian Eye and Ear Hospital</w:t>
            </w:r>
          </w:p>
        </w:tc>
        <w:tc>
          <w:tcPr>
            <w:tcW w:w="4642" w:type="dxa"/>
          </w:tcPr>
          <w:p w14:paraId="74691E78" w14:textId="34874C7C" w:rsidR="00B52718" w:rsidRPr="00754F43" w:rsidRDefault="00B52718" w:rsidP="00B52718">
            <w:pPr>
              <w:pStyle w:val="Tabletext9pt"/>
              <w:rPr>
                <w:rFonts w:cs="Arial"/>
                <w:szCs w:val="18"/>
                <w:lang w:eastAsia="en-AU"/>
              </w:rPr>
            </w:pPr>
            <w:r w:rsidRPr="00754F43">
              <w:rPr>
                <w:rFonts w:cs="Arial"/>
                <w:color w:val="000000"/>
                <w:szCs w:val="18"/>
                <w:lang w:eastAsia="zh-CN"/>
              </w:rPr>
              <w:t>Metropolitan</w:t>
            </w:r>
          </w:p>
        </w:tc>
      </w:tr>
      <w:tr w:rsidR="00B52718" w:rsidRPr="00754F43" w14:paraId="3010BE3D" w14:textId="77777777" w:rsidTr="009D11C0">
        <w:tc>
          <w:tcPr>
            <w:tcW w:w="4965" w:type="dxa"/>
            <w:noWrap/>
          </w:tcPr>
          <w:p w14:paraId="733D56C4" w14:textId="7178E3D9" w:rsidR="00B52718" w:rsidRPr="00754F43" w:rsidRDefault="00B52718" w:rsidP="00B52718">
            <w:pPr>
              <w:pStyle w:val="Tabletext9pt"/>
              <w:rPr>
                <w:rFonts w:cs="Arial"/>
                <w:szCs w:val="18"/>
                <w:lang w:eastAsia="en-AU"/>
              </w:rPr>
            </w:pPr>
            <w:r w:rsidRPr="00754F43">
              <w:rPr>
                <w:rFonts w:cs="Arial"/>
                <w:color w:val="000000"/>
                <w:szCs w:val="18"/>
                <w:lang w:eastAsia="zh-CN"/>
              </w:rPr>
              <w:t>Royal Women's Hospital (Melbourne)</w:t>
            </w:r>
          </w:p>
        </w:tc>
        <w:tc>
          <w:tcPr>
            <w:tcW w:w="4642" w:type="dxa"/>
          </w:tcPr>
          <w:p w14:paraId="13369577" w14:textId="6CCBE592" w:rsidR="00B52718" w:rsidRPr="00754F43" w:rsidRDefault="00B52718" w:rsidP="00B52718">
            <w:pPr>
              <w:pStyle w:val="Tabletext9pt"/>
              <w:rPr>
                <w:rFonts w:cs="Arial"/>
                <w:szCs w:val="18"/>
                <w:lang w:eastAsia="en-AU"/>
              </w:rPr>
            </w:pPr>
            <w:r w:rsidRPr="00754F43">
              <w:rPr>
                <w:rFonts w:cs="Arial"/>
                <w:color w:val="000000"/>
                <w:szCs w:val="18"/>
                <w:lang w:eastAsia="zh-CN"/>
              </w:rPr>
              <w:t>Metropolitan</w:t>
            </w:r>
          </w:p>
        </w:tc>
      </w:tr>
      <w:tr w:rsidR="00B52718" w:rsidRPr="00754F43" w14:paraId="2EF2CBB2" w14:textId="77777777" w:rsidTr="009D11C0">
        <w:tc>
          <w:tcPr>
            <w:tcW w:w="4965" w:type="dxa"/>
            <w:noWrap/>
          </w:tcPr>
          <w:p w14:paraId="0D5EF2FE" w14:textId="7266D0D1" w:rsidR="00B52718" w:rsidRPr="00754F43" w:rsidRDefault="00B52718" w:rsidP="00B52718">
            <w:pPr>
              <w:pStyle w:val="Tabletext9pt"/>
              <w:rPr>
                <w:rFonts w:cs="Arial"/>
                <w:szCs w:val="18"/>
                <w:lang w:eastAsia="en-AU"/>
              </w:rPr>
            </w:pPr>
            <w:r w:rsidRPr="00754F43">
              <w:rPr>
                <w:rFonts w:cs="Arial"/>
                <w:color w:val="000000"/>
                <w:szCs w:val="18"/>
                <w:lang w:eastAsia="zh-CN"/>
              </w:rPr>
              <w:t>St Vincent's Hospital (Melbourne) Limited</w:t>
            </w:r>
          </w:p>
        </w:tc>
        <w:tc>
          <w:tcPr>
            <w:tcW w:w="4642" w:type="dxa"/>
          </w:tcPr>
          <w:p w14:paraId="0E9CC308" w14:textId="78EE7A51" w:rsidR="00B52718" w:rsidRPr="00754F43" w:rsidRDefault="00B52718" w:rsidP="00B52718">
            <w:pPr>
              <w:pStyle w:val="Tabletext9pt"/>
              <w:rPr>
                <w:rFonts w:cs="Arial"/>
                <w:szCs w:val="18"/>
                <w:lang w:eastAsia="en-AU"/>
              </w:rPr>
            </w:pPr>
            <w:r w:rsidRPr="00754F43">
              <w:rPr>
                <w:rFonts w:cs="Arial"/>
                <w:color w:val="000000"/>
                <w:szCs w:val="18"/>
                <w:lang w:eastAsia="zh-CN"/>
              </w:rPr>
              <w:t>Metropolitan</w:t>
            </w:r>
          </w:p>
        </w:tc>
      </w:tr>
      <w:tr w:rsidR="00B52718" w:rsidRPr="00754F43" w14:paraId="0A95553F" w14:textId="77777777" w:rsidTr="009D11C0">
        <w:tc>
          <w:tcPr>
            <w:tcW w:w="4965" w:type="dxa"/>
            <w:noWrap/>
          </w:tcPr>
          <w:p w14:paraId="337D3193" w14:textId="66E99C36" w:rsidR="00B52718" w:rsidRPr="00754F43" w:rsidRDefault="00B52718" w:rsidP="00B52718">
            <w:pPr>
              <w:pStyle w:val="Tabletext9pt"/>
              <w:rPr>
                <w:rFonts w:cs="Arial"/>
                <w:szCs w:val="18"/>
                <w:lang w:eastAsia="en-AU"/>
              </w:rPr>
            </w:pPr>
            <w:r w:rsidRPr="00754F43">
              <w:rPr>
                <w:rFonts w:cs="Arial"/>
                <w:color w:val="000000" w:themeColor="text1"/>
                <w:szCs w:val="18"/>
                <w:lang w:eastAsia="zh-CN"/>
              </w:rPr>
              <w:t>Western Health</w:t>
            </w:r>
          </w:p>
        </w:tc>
        <w:tc>
          <w:tcPr>
            <w:tcW w:w="4642" w:type="dxa"/>
          </w:tcPr>
          <w:p w14:paraId="64E399EF" w14:textId="2BCCE0BC" w:rsidR="00B52718" w:rsidRPr="00754F43" w:rsidRDefault="00B52718" w:rsidP="00B52718">
            <w:pPr>
              <w:pStyle w:val="Tabletext9pt"/>
              <w:rPr>
                <w:rFonts w:cs="Arial"/>
                <w:szCs w:val="18"/>
                <w:lang w:eastAsia="en-AU"/>
              </w:rPr>
            </w:pPr>
            <w:r w:rsidRPr="00754F43">
              <w:rPr>
                <w:rFonts w:cs="Arial"/>
                <w:color w:val="000000"/>
                <w:szCs w:val="18"/>
                <w:lang w:eastAsia="zh-CN"/>
              </w:rPr>
              <w:t>Metropolitan</w:t>
            </w:r>
          </w:p>
        </w:tc>
      </w:tr>
      <w:tr w:rsidR="00B52718" w:rsidRPr="00754F43" w14:paraId="4BCC8451" w14:textId="77777777" w:rsidTr="009D11C0">
        <w:tc>
          <w:tcPr>
            <w:tcW w:w="4965" w:type="dxa"/>
            <w:noWrap/>
          </w:tcPr>
          <w:p w14:paraId="1DF40930" w14:textId="50B827D3" w:rsidR="00B52718" w:rsidRPr="00754F43" w:rsidRDefault="00B52718" w:rsidP="00B52718">
            <w:pPr>
              <w:pStyle w:val="Tabletext9pt"/>
              <w:rPr>
                <w:rFonts w:cs="Arial"/>
                <w:szCs w:val="18"/>
                <w:lang w:eastAsia="en-AU"/>
              </w:rPr>
            </w:pPr>
            <w:r w:rsidRPr="00754F43">
              <w:rPr>
                <w:rFonts w:cs="Arial"/>
                <w:color w:val="000000"/>
                <w:szCs w:val="18"/>
                <w:lang w:eastAsia="zh-CN"/>
              </w:rPr>
              <w:t>Albury Wodonga Health</w:t>
            </w:r>
          </w:p>
        </w:tc>
        <w:tc>
          <w:tcPr>
            <w:tcW w:w="4642" w:type="dxa"/>
          </w:tcPr>
          <w:p w14:paraId="36112BDD" w14:textId="06333F83" w:rsidR="00B52718" w:rsidRPr="00754F43" w:rsidRDefault="00B52718" w:rsidP="00B52718">
            <w:pPr>
              <w:pStyle w:val="Tabletext9pt"/>
              <w:rPr>
                <w:rFonts w:cs="Arial"/>
                <w:szCs w:val="18"/>
                <w:lang w:eastAsia="en-AU"/>
              </w:rPr>
            </w:pPr>
            <w:r w:rsidRPr="00754F43">
              <w:rPr>
                <w:rFonts w:cs="Arial"/>
                <w:color w:val="000000"/>
                <w:szCs w:val="18"/>
                <w:lang w:eastAsia="zh-CN"/>
              </w:rPr>
              <w:t>Regional</w:t>
            </w:r>
          </w:p>
        </w:tc>
      </w:tr>
      <w:tr w:rsidR="00B52718" w:rsidRPr="00754F43" w14:paraId="2A7DC3C0" w14:textId="77777777" w:rsidTr="000522FF">
        <w:tc>
          <w:tcPr>
            <w:tcW w:w="4965" w:type="dxa"/>
            <w:noWrap/>
          </w:tcPr>
          <w:p w14:paraId="477C25F2" w14:textId="3518251B" w:rsidR="00B52718" w:rsidRPr="00754F43" w:rsidRDefault="00B52718" w:rsidP="00B52718">
            <w:pPr>
              <w:pStyle w:val="Tabletext9pt"/>
              <w:rPr>
                <w:rFonts w:cs="Arial"/>
                <w:szCs w:val="18"/>
                <w:lang w:eastAsia="en-AU"/>
              </w:rPr>
            </w:pPr>
            <w:r w:rsidRPr="00754F43">
              <w:rPr>
                <w:rFonts w:cs="Arial"/>
                <w:color w:val="000000"/>
                <w:szCs w:val="18"/>
                <w:lang w:eastAsia="zh-CN"/>
              </w:rPr>
              <w:t>Barwon Health</w:t>
            </w:r>
          </w:p>
        </w:tc>
        <w:tc>
          <w:tcPr>
            <w:tcW w:w="4642" w:type="dxa"/>
          </w:tcPr>
          <w:p w14:paraId="00C8980C" w14:textId="0C84FE68" w:rsidR="00B52718" w:rsidRPr="00754F43" w:rsidRDefault="00B52718" w:rsidP="00B52718">
            <w:pPr>
              <w:pStyle w:val="Tabletext9pt"/>
              <w:rPr>
                <w:rFonts w:cs="Arial"/>
                <w:szCs w:val="18"/>
                <w:lang w:eastAsia="en-AU"/>
              </w:rPr>
            </w:pPr>
            <w:r w:rsidRPr="00754F43">
              <w:rPr>
                <w:rFonts w:cs="Arial"/>
                <w:color w:val="000000"/>
                <w:szCs w:val="18"/>
                <w:lang w:eastAsia="zh-CN"/>
              </w:rPr>
              <w:t>Regional</w:t>
            </w:r>
          </w:p>
        </w:tc>
      </w:tr>
      <w:tr w:rsidR="00B52718" w:rsidRPr="00754F43" w14:paraId="7DC20F21" w14:textId="77777777" w:rsidTr="000522FF">
        <w:tc>
          <w:tcPr>
            <w:tcW w:w="4965" w:type="dxa"/>
            <w:noWrap/>
          </w:tcPr>
          <w:p w14:paraId="35CB69DA" w14:textId="14FCA54B" w:rsidR="00B52718" w:rsidRPr="00754F43" w:rsidRDefault="00B52718" w:rsidP="00B52718">
            <w:pPr>
              <w:pStyle w:val="Tabletext9pt"/>
              <w:rPr>
                <w:rFonts w:cs="Arial"/>
                <w:lang w:eastAsia="en-AU"/>
              </w:rPr>
            </w:pPr>
            <w:r w:rsidRPr="31B0508E">
              <w:rPr>
                <w:rFonts w:cs="Arial"/>
                <w:color w:val="000000" w:themeColor="text1"/>
                <w:lang w:eastAsia="zh-CN"/>
              </w:rPr>
              <w:t xml:space="preserve">Bendigo Health </w:t>
            </w:r>
          </w:p>
        </w:tc>
        <w:tc>
          <w:tcPr>
            <w:tcW w:w="4642" w:type="dxa"/>
          </w:tcPr>
          <w:p w14:paraId="57A8B203" w14:textId="13CA917A" w:rsidR="00B52718" w:rsidRPr="00754F43" w:rsidRDefault="00B52718" w:rsidP="00B52718">
            <w:pPr>
              <w:pStyle w:val="Tabletext9pt"/>
              <w:rPr>
                <w:rFonts w:cs="Arial"/>
                <w:szCs w:val="18"/>
                <w:lang w:eastAsia="en-AU"/>
              </w:rPr>
            </w:pPr>
            <w:r w:rsidRPr="00754F43">
              <w:rPr>
                <w:rFonts w:cs="Arial"/>
                <w:color w:val="000000"/>
                <w:szCs w:val="18"/>
                <w:lang w:eastAsia="zh-CN"/>
              </w:rPr>
              <w:t>Regional</w:t>
            </w:r>
          </w:p>
        </w:tc>
      </w:tr>
      <w:tr w:rsidR="00B52718" w:rsidRPr="00754F43" w14:paraId="2B570F9D" w14:textId="77777777" w:rsidTr="000522FF">
        <w:tc>
          <w:tcPr>
            <w:tcW w:w="4965" w:type="dxa"/>
            <w:noWrap/>
          </w:tcPr>
          <w:p w14:paraId="18CB505D" w14:textId="58034689" w:rsidR="00B52718" w:rsidRPr="00754F43" w:rsidRDefault="00B52718" w:rsidP="00B52718">
            <w:pPr>
              <w:pStyle w:val="Tabletext9pt"/>
              <w:rPr>
                <w:rFonts w:cs="Arial"/>
                <w:szCs w:val="18"/>
                <w:lang w:eastAsia="en-AU"/>
              </w:rPr>
            </w:pPr>
            <w:r w:rsidRPr="00754F43">
              <w:rPr>
                <w:rFonts w:cs="Arial"/>
                <w:color w:val="000000"/>
                <w:szCs w:val="18"/>
                <w:lang w:eastAsia="zh-CN"/>
              </w:rPr>
              <w:t>Goulburn Valley Health</w:t>
            </w:r>
          </w:p>
        </w:tc>
        <w:tc>
          <w:tcPr>
            <w:tcW w:w="4642" w:type="dxa"/>
          </w:tcPr>
          <w:p w14:paraId="4AD6BE80" w14:textId="2A3521FC" w:rsidR="00B52718" w:rsidRPr="00754F43" w:rsidRDefault="00B52718" w:rsidP="00B52718">
            <w:pPr>
              <w:pStyle w:val="Tabletext9pt"/>
              <w:rPr>
                <w:rFonts w:cs="Arial"/>
                <w:szCs w:val="18"/>
                <w:lang w:eastAsia="en-AU"/>
              </w:rPr>
            </w:pPr>
            <w:r w:rsidRPr="00754F43">
              <w:rPr>
                <w:rFonts w:cs="Arial"/>
                <w:color w:val="000000"/>
                <w:szCs w:val="18"/>
                <w:lang w:eastAsia="zh-CN"/>
              </w:rPr>
              <w:t>Regional</w:t>
            </w:r>
          </w:p>
        </w:tc>
      </w:tr>
      <w:tr w:rsidR="00754735" w:rsidRPr="00754F43" w14:paraId="7D830FBA" w14:textId="77777777" w:rsidTr="002507A6">
        <w:tc>
          <w:tcPr>
            <w:tcW w:w="4965" w:type="dxa"/>
            <w:noWrap/>
          </w:tcPr>
          <w:p w14:paraId="065B26F7" w14:textId="18D58061" w:rsidR="00754735" w:rsidRPr="00754F43" w:rsidRDefault="00754735" w:rsidP="00B52718">
            <w:pPr>
              <w:pStyle w:val="Tabletext9pt"/>
              <w:rPr>
                <w:rFonts w:cs="Arial"/>
                <w:color w:val="000000"/>
                <w:szCs w:val="18"/>
                <w:lang w:eastAsia="zh-CN"/>
              </w:rPr>
            </w:pPr>
            <w:r w:rsidRPr="00754F43">
              <w:rPr>
                <w:rFonts w:cs="Arial"/>
                <w:color w:val="000000"/>
                <w:szCs w:val="18"/>
                <w:lang w:eastAsia="zh-CN"/>
              </w:rPr>
              <w:t>Grampians Health</w:t>
            </w:r>
          </w:p>
        </w:tc>
        <w:tc>
          <w:tcPr>
            <w:tcW w:w="4642" w:type="dxa"/>
          </w:tcPr>
          <w:p w14:paraId="71F27518" w14:textId="4E9CEE1D" w:rsidR="00754735" w:rsidRPr="00754F43" w:rsidRDefault="00754735" w:rsidP="00B52718">
            <w:pPr>
              <w:pStyle w:val="Tabletext9pt"/>
              <w:rPr>
                <w:rFonts w:cs="Arial"/>
                <w:color w:val="000000"/>
                <w:szCs w:val="18"/>
                <w:lang w:eastAsia="zh-CN"/>
              </w:rPr>
            </w:pPr>
            <w:r w:rsidRPr="00754F43">
              <w:rPr>
                <w:rFonts w:cs="Arial"/>
                <w:color w:val="000000"/>
                <w:szCs w:val="18"/>
                <w:lang w:eastAsia="zh-CN"/>
              </w:rPr>
              <w:t>Regional</w:t>
            </w:r>
          </w:p>
        </w:tc>
      </w:tr>
      <w:tr w:rsidR="00B52718" w:rsidRPr="00754F43" w14:paraId="4FDACEBF" w14:textId="77777777" w:rsidTr="000522FF">
        <w:tc>
          <w:tcPr>
            <w:tcW w:w="4965" w:type="dxa"/>
            <w:noWrap/>
          </w:tcPr>
          <w:p w14:paraId="45FECF14" w14:textId="77404EEA" w:rsidR="00B52718" w:rsidRPr="00754F43" w:rsidRDefault="00B52718" w:rsidP="00B52718">
            <w:pPr>
              <w:pStyle w:val="Tabletext9pt"/>
              <w:rPr>
                <w:rFonts w:cs="Arial"/>
                <w:szCs w:val="18"/>
                <w:lang w:eastAsia="en-AU"/>
              </w:rPr>
            </w:pPr>
            <w:r w:rsidRPr="00754F43">
              <w:rPr>
                <w:rFonts w:cs="Arial"/>
                <w:color w:val="000000"/>
                <w:szCs w:val="18"/>
                <w:lang w:eastAsia="zh-CN"/>
              </w:rPr>
              <w:t>Latrobe Regional Hospital</w:t>
            </w:r>
          </w:p>
        </w:tc>
        <w:tc>
          <w:tcPr>
            <w:tcW w:w="4642" w:type="dxa"/>
          </w:tcPr>
          <w:p w14:paraId="5B5B1253" w14:textId="6C8E8411" w:rsidR="00B52718" w:rsidRPr="00754F43" w:rsidRDefault="00B52718" w:rsidP="00B52718">
            <w:pPr>
              <w:pStyle w:val="Tabletext9pt"/>
              <w:rPr>
                <w:rFonts w:cs="Arial"/>
                <w:szCs w:val="18"/>
                <w:lang w:eastAsia="en-AU"/>
              </w:rPr>
            </w:pPr>
            <w:r w:rsidRPr="00754F43">
              <w:rPr>
                <w:rFonts w:cs="Arial"/>
                <w:color w:val="000000"/>
                <w:szCs w:val="18"/>
                <w:lang w:eastAsia="zh-CN"/>
              </w:rPr>
              <w:t>Regional</w:t>
            </w:r>
          </w:p>
        </w:tc>
      </w:tr>
      <w:tr w:rsidR="00B52718" w:rsidRPr="00754F43" w14:paraId="168DE15F" w14:textId="77777777" w:rsidTr="000522FF">
        <w:tc>
          <w:tcPr>
            <w:tcW w:w="4965" w:type="dxa"/>
            <w:noWrap/>
          </w:tcPr>
          <w:p w14:paraId="183A5200" w14:textId="2BCC330B" w:rsidR="00B52718" w:rsidRPr="00754F43" w:rsidRDefault="00B52718" w:rsidP="00B52718">
            <w:pPr>
              <w:pStyle w:val="Tabletext9pt"/>
              <w:rPr>
                <w:rFonts w:cs="Arial"/>
                <w:szCs w:val="18"/>
                <w:lang w:eastAsia="en-AU"/>
              </w:rPr>
            </w:pPr>
            <w:r w:rsidRPr="00754F43">
              <w:rPr>
                <w:rFonts w:cs="Arial"/>
                <w:color w:val="000000"/>
                <w:szCs w:val="18"/>
                <w:lang w:eastAsia="zh-CN"/>
              </w:rPr>
              <w:t>Bairnsdale Regional Health Service</w:t>
            </w:r>
          </w:p>
        </w:tc>
        <w:tc>
          <w:tcPr>
            <w:tcW w:w="4642" w:type="dxa"/>
          </w:tcPr>
          <w:p w14:paraId="106890F6" w14:textId="3EB4F2F2" w:rsidR="00B52718" w:rsidRPr="00754F43" w:rsidRDefault="00B52718" w:rsidP="00B52718">
            <w:pPr>
              <w:pStyle w:val="Tabletext9pt"/>
              <w:rPr>
                <w:rFonts w:cs="Arial"/>
                <w:color w:val="000000" w:themeColor="text1"/>
                <w:szCs w:val="18"/>
                <w:lang w:eastAsia="zh-CN"/>
              </w:rPr>
            </w:pPr>
            <w:r w:rsidRPr="00754F43">
              <w:rPr>
                <w:rFonts w:cs="Arial"/>
                <w:color w:val="000000" w:themeColor="text1"/>
                <w:szCs w:val="18"/>
                <w:lang w:eastAsia="zh-CN"/>
              </w:rPr>
              <w:t>Subregional</w:t>
            </w:r>
            <w:r w:rsidR="5DEF9679" w:rsidRPr="00754F43">
              <w:rPr>
                <w:rFonts w:cs="Arial"/>
                <w:color w:val="000000" w:themeColor="text1"/>
                <w:szCs w:val="18"/>
                <w:lang w:eastAsia="zh-CN"/>
              </w:rPr>
              <w:t xml:space="preserve"> and local</w:t>
            </w:r>
          </w:p>
        </w:tc>
      </w:tr>
      <w:tr w:rsidR="00B52718" w:rsidRPr="00754F43" w14:paraId="27B9913D" w14:textId="77777777" w:rsidTr="000522FF">
        <w:tc>
          <w:tcPr>
            <w:tcW w:w="4965" w:type="dxa"/>
            <w:noWrap/>
          </w:tcPr>
          <w:p w14:paraId="5C0BAF3C" w14:textId="46454594" w:rsidR="00B52718" w:rsidRPr="00754F43" w:rsidRDefault="00B52718" w:rsidP="00B52718">
            <w:pPr>
              <w:pStyle w:val="Tabletext9pt"/>
              <w:rPr>
                <w:rFonts w:cs="Arial"/>
                <w:szCs w:val="18"/>
              </w:rPr>
            </w:pPr>
            <w:r w:rsidRPr="00754F43">
              <w:rPr>
                <w:rFonts w:cs="Arial"/>
                <w:color w:val="000000"/>
                <w:szCs w:val="18"/>
                <w:lang w:eastAsia="zh-CN"/>
              </w:rPr>
              <w:t>Bass Coast Health</w:t>
            </w:r>
          </w:p>
        </w:tc>
        <w:tc>
          <w:tcPr>
            <w:tcW w:w="4642" w:type="dxa"/>
          </w:tcPr>
          <w:p w14:paraId="474E73B4" w14:textId="26CAEC2C" w:rsidR="00B52718" w:rsidRPr="00754F43" w:rsidRDefault="00B52718" w:rsidP="00B52718">
            <w:pPr>
              <w:pStyle w:val="Tabletext9pt"/>
              <w:rPr>
                <w:rFonts w:eastAsia="Times New Roman" w:cs="Arial"/>
                <w:color w:val="000000" w:themeColor="text1"/>
                <w:szCs w:val="18"/>
                <w:lang w:eastAsia="zh-CN"/>
              </w:rPr>
            </w:pPr>
            <w:r w:rsidRPr="00754F43">
              <w:rPr>
                <w:rFonts w:cs="Arial"/>
                <w:color w:val="000000" w:themeColor="text1"/>
                <w:szCs w:val="18"/>
                <w:lang w:eastAsia="zh-CN"/>
              </w:rPr>
              <w:t>Subregional</w:t>
            </w:r>
            <w:r w:rsidR="42D90B9F" w:rsidRPr="00754F43">
              <w:rPr>
                <w:rFonts w:cs="Arial"/>
                <w:color w:val="000000" w:themeColor="text1"/>
                <w:szCs w:val="18"/>
                <w:lang w:eastAsia="zh-CN"/>
              </w:rPr>
              <w:t xml:space="preserve"> and local</w:t>
            </w:r>
          </w:p>
        </w:tc>
      </w:tr>
      <w:tr w:rsidR="00B52718" w:rsidRPr="00754F43" w14:paraId="7426BE6B" w14:textId="77777777" w:rsidTr="000522FF">
        <w:tc>
          <w:tcPr>
            <w:tcW w:w="4965" w:type="dxa"/>
            <w:noWrap/>
          </w:tcPr>
          <w:p w14:paraId="1505AAA1" w14:textId="4264F190" w:rsidR="00B52718" w:rsidRPr="00754F43" w:rsidRDefault="00B52718" w:rsidP="00B52718">
            <w:pPr>
              <w:pStyle w:val="Tabletext9pt"/>
              <w:rPr>
                <w:rFonts w:cs="Arial"/>
                <w:szCs w:val="18"/>
              </w:rPr>
            </w:pPr>
            <w:r w:rsidRPr="00754F43">
              <w:rPr>
                <w:rFonts w:cs="Arial"/>
                <w:color w:val="000000"/>
                <w:szCs w:val="18"/>
                <w:lang w:eastAsia="zh-CN"/>
              </w:rPr>
              <w:t>Benalla Health</w:t>
            </w:r>
          </w:p>
        </w:tc>
        <w:tc>
          <w:tcPr>
            <w:tcW w:w="4642" w:type="dxa"/>
          </w:tcPr>
          <w:p w14:paraId="156F9152" w14:textId="75BCB075" w:rsidR="00B52718" w:rsidRPr="00754F43" w:rsidRDefault="00B52718" w:rsidP="00B52718">
            <w:pPr>
              <w:pStyle w:val="Tabletext9pt"/>
              <w:rPr>
                <w:rFonts w:eastAsia="Times New Roman" w:cs="Arial"/>
                <w:color w:val="000000" w:themeColor="text1"/>
                <w:szCs w:val="18"/>
                <w:lang w:eastAsia="zh-CN"/>
              </w:rPr>
            </w:pPr>
            <w:r w:rsidRPr="00754F43">
              <w:rPr>
                <w:rFonts w:cs="Arial"/>
                <w:color w:val="000000" w:themeColor="text1"/>
                <w:szCs w:val="18"/>
                <w:lang w:eastAsia="zh-CN"/>
              </w:rPr>
              <w:t>Subregional</w:t>
            </w:r>
            <w:r w:rsidR="5ECE335A" w:rsidRPr="00754F43">
              <w:rPr>
                <w:rFonts w:cs="Arial"/>
                <w:color w:val="000000" w:themeColor="text1"/>
                <w:szCs w:val="18"/>
                <w:lang w:eastAsia="zh-CN"/>
              </w:rPr>
              <w:t xml:space="preserve"> and local</w:t>
            </w:r>
          </w:p>
        </w:tc>
      </w:tr>
      <w:tr w:rsidR="00B52718" w:rsidRPr="00754F43" w14:paraId="6EB3A9CD" w14:textId="77777777" w:rsidTr="000522FF">
        <w:tc>
          <w:tcPr>
            <w:tcW w:w="4965" w:type="dxa"/>
            <w:noWrap/>
          </w:tcPr>
          <w:p w14:paraId="322F645D" w14:textId="7F36B221" w:rsidR="00B52718" w:rsidRPr="00754F43" w:rsidRDefault="62AF4B40" w:rsidP="00B52718">
            <w:pPr>
              <w:pStyle w:val="Tabletext9pt"/>
              <w:rPr>
                <w:rFonts w:cs="Arial"/>
              </w:rPr>
            </w:pPr>
            <w:r w:rsidRPr="64DA1F35">
              <w:rPr>
                <w:rFonts w:cs="Arial"/>
                <w:color w:val="000000" w:themeColor="text1"/>
                <w:lang w:eastAsia="zh-CN"/>
              </w:rPr>
              <w:t xml:space="preserve">Dhelkaya </w:t>
            </w:r>
            <w:r w:rsidR="00B52718" w:rsidRPr="64DA1F35">
              <w:rPr>
                <w:rFonts w:cs="Arial"/>
                <w:color w:val="000000" w:themeColor="text1"/>
                <w:lang w:eastAsia="zh-CN"/>
              </w:rPr>
              <w:t>Health</w:t>
            </w:r>
          </w:p>
        </w:tc>
        <w:tc>
          <w:tcPr>
            <w:tcW w:w="4642" w:type="dxa"/>
          </w:tcPr>
          <w:p w14:paraId="5F2A23FE" w14:textId="0CDFB6FD" w:rsidR="00B52718" w:rsidRPr="00754F43" w:rsidRDefault="00B52718" w:rsidP="00B52718">
            <w:pPr>
              <w:pStyle w:val="Tabletext9pt"/>
              <w:rPr>
                <w:rFonts w:eastAsia="Times New Roman" w:cs="Arial"/>
                <w:color w:val="000000" w:themeColor="text1"/>
                <w:szCs w:val="18"/>
                <w:lang w:eastAsia="zh-CN"/>
              </w:rPr>
            </w:pPr>
            <w:r w:rsidRPr="00754F43">
              <w:rPr>
                <w:rFonts w:cs="Arial"/>
                <w:color w:val="000000" w:themeColor="text1"/>
                <w:szCs w:val="18"/>
                <w:lang w:eastAsia="zh-CN"/>
              </w:rPr>
              <w:t>Subregional</w:t>
            </w:r>
            <w:r w:rsidR="5B8537A5" w:rsidRPr="00754F43">
              <w:rPr>
                <w:rFonts w:cs="Arial"/>
                <w:color w:val="000000" w:themeColor="text1"/>
                <w:szCs w:val="18"/>
                <w:lang w:eastAsia="zh-CN"/>
              </w:rPr>
              <w:t xml:space="preserve"> and local</w:t>
            </w:r>
          </w:p>
        </w:tc>
      </w:tr>
      <w:tr w:rsidR="00B52718" w:rsidRPr="00754F43" w14:paraId="7B0F2080" w14:textId="77777777" w:rsidTr="000522FF">
        <w:tc>
          <w:tcPr>
            <w:tcW w:w="4965" w:type="dxa"/>
            <w:noWrap/>
          </w:tcPr>
          <w:p w14:paraId="7D861834" w14:textId="145E7C0F" w:rsidR="00B52718" w:rsidRPr="00754F43" w:rsidRDefault="00B52718" w:rsidP="00B52718">
            <w:pPr>
              <w:pStyle w:val="Tabletext9pt"/>
              <w:rPr>
                <w:rFonts w:cs="Arial"/>
                <w:szCs w:val="18"/>
              </w:rPr>
            </w:pPr>
            <w:r w:rsidRPr="00754F43">
              <w:rPr>
                <w:rFonts w:cs="Arial"/>
                <w:color w:val="000000"/>
                <w:szCs w:val="18"/>
                <w:lang w:eastAsia="zh-CN"/>
              </w:rPr>
              <w:t>Central Gippsland Health Service</w:t>
            </w:r>
          </w:p>
        </w:tc>
        <w:tc>
          <w:tcPr>
            <w:tcW w:w="4642" w:type="dxa"/>
          </w:tcPr>
          <w:p w14:paraId="1C5B711D" w14:textId="40057E08" w:rsidR="00B52718" w:rsidRPr="00754F43" w:rsidRDefault="00B52718" w:rsidP="00B52718">
            <w:pPr>
              <w:pStyle w:val="Tabletext9pt"/>
              <w:rPr>
                <w:rFonts w:eastAsia="Times New Roman" w:cs="Arial"/>
                <w:color w:val="000000" w:themeColor="text1"/>
                <w:szCs w:val="18"/>
                <w:lang w:eastAsia="zh-CN"/>
              </w:rPr>
            </w:pPr>
            <w:r w:rsidRPr="00754F43">
              <w:rPr>
                <w:rFonts w:cs="Arial"/>
                <w:color w:val="000000" w:themeColor="text1"/>
                <w:szCs w:val="18"/>
                <w:lang w:eastAsia="zh-CN"/>
              </w:rPr>
              <w:t>Subregional</w:t>
            </w:r>
            <w:r w:rsidR="1D825E63" w:rsidRPr="00754F43">
              <w:rPr>
                <w:rFonts w:cs="Arial"/>
                <w:color w:val="000000" w:themeColor="text1"/>
                <w:szCs w:val="18"/>
                <w:lang w:eastAsia="zh-CN"/>
              </w:rPr>
              <w:t xml:space="preserve"> and local</w:t>
            </w:r>
          </w:p>
        </w:tc>
      </w:tr>
      <w:tr w:rsidR="00B52718" w:rsidRPr="00754F43" w14:paraId="145124AE" w14:textId="77777777" w:rsidTr="000522FF">
        <w:tc>
          <w:tcPr>
            <w:tcW w:w="4965" w:type="dxa"/>
            <w:noWrap/>
          </w:tcPr>
          <w:p w14:paraId="0E5ECCD5" w14:textId="27AFB77C" w:rsidR="00B52718" w:rsidRPr="00754F43" w:rsidRDefault="00B52718" w:rsidP="00B52718">
            <w:pPr>
              <w:pStyle w:val="Tabletext9pt"/>
              <w:rPr>
                <w:rFonts w:cs="Arial"/>
                <w:szCs w:val="18"/>
              </w:rPr>
            </w:pPr>
            <w:r w:rsidRPr="00754F43">
              <w:rPr>
                <w:rFonts w:cs="Arial"/>
                <w:color w:val="000000"/>
                <w:szCs w:val="18"/>
                <w:lang w:eastAsia="zh-CN"/>
              </w:rPr>
              <w:t>Colac Area Health</w:t>
            </w:r>
          </w:p>
        </w:tc>
        <w:tc>
          <w:tcPr>
            <w:tcW w:w="4642" w:type="dxa"/>
          </w:tcPr>
          <w:p w14:paraId="65E4C472" w14:textId="67A32E59" w:rsidR="00B52718" w:rsidRPr="00754F43" w:rsidRDefault="00B52718" w:rsidP="00B52718">
            <w:pPr>
              <w:pStyle w:val="Tabletext9pt"/>
              <w:rPr>
                <w:rFonts w:eastAsia="Times New Roman" w:cs="Arial"/>
                <w:color w:val="000000" w:themeColor="text1"/>
                <w:szCs w:val="18"/>
                <w:lang w:eastAsia="zh-CN"/>
              </w:rPr>
            </w:pPr>
            <w:r w:rsidRPr="00754F43">
              <w:rPr>
                <w:rFonts w:cs="Arial"/>
                <w:color w:val="000000" w:themeColor="text1"/>
                <w:szCs w:val="18"/>
                <w:lang w:eastAsia="zh-CN"/>
              </w:rPr>
              <w:t>Subregional</w:t>
            </w:r>
            <w:r w:rsidR="38D61868" w:rsidRPr="00754F43">
              <w:rPr>
                <w:rFonts w:cs="Arial"/>
                <w:color w:val="000000" w:themeColor="text1"/>
                <w:szCs w:val="18"/>
                <w:lang w:eastAsia="zh-CN"/>
              </w:rPr>
              <w:t xml:space="preserve"> and local</w:t>
            </w:r>
          </w:p>
        </w:tc>
      </w:tr>
      <w:tr w:rsidR="00B52718" w:rsidRPr="00754F43" w14:paraId="41FCD65D" w14:textId="77777777" w:rsidTr="000522FF">
        <w:tc>
          <w:tcPr>
            <w:tcW w:w="4965" w:type="dxa"/>
            <w:noWrap/>
          </w:tcPr>
          <w:p w14:paraId="7A5139D9" w14:textId="74C35E85" w:rsidR="00B52718" w:rsidRPr="00754F43" w:rsidRDefault="00B52718" w:rsidP="00B52718">
            <w:pPr>
              <w:pStyle w:val="Tabletext9pt"/>
              <w:rPr>
                <w:rFonts w:cs="Arial"/>
                <w:szCs w:val="18"/>
              </w:rPr>
            </w:pPr>
            <w:r w:rsidRPr="00754F43">
              <w:rPr>
                <w:rFonts w:cs="Arial"/>
                <w:color w:val="000000"/>
                <w:szCs w:val="18"/>
                <w:lang w:eastAsia="zh-CN"/>
              </w:rPr>
              <w:t>East Grampians Health Service</w:t>
            </w:r>
          </w:p>
        </w:tc>
        <w:tc>
          <w:tcPr>
            <w:tcW w:w="4642" w:type="dxa"/>
          </w:tcPr>
          <w:p w14:paraId="19252B5A" w14:textId="03B8A447" w:rsidR="00B52718" w:rsidRPr="00754F43" w:rsidRDefault="00B52718" w:rsidP="00B52718">
            <w:pPr>
              <w:pStyle w:val="Tabletext9pt"/>
              <w:rPr>
                <w:rFonts w:cs="Arial"/>
                <w:szCs w:val="18"/>
                <w:lang w:eastAsia="en-AU"/>
              </w:rPr>
            </w:pPr>
            <w:r w:rsidRPr="00754F43">
              <w:rPr>
                <w:rFonts w:cs="Arial"/>
                <w:color w:val="000000" w:themeColor="text1"/>
                <w:szCs w:val="18"/>
                <w:lang w:eastAsia="zh-CN"/>
              </w:rPr>
              <w:t>Subregional</w:t>
            </w:r>
            <w:r w:rsidR="016EE3E7" w:rsidRPr="00754F43">
              <w:rPr>
                <w:rFonts w:cs="Arial"/>
                <w:color w:val="000000" w:themeColor="text1"/>
                <w:szCs w:val="18"/>
                <w:lang w:eastAsia="zh-CN"/>
              </w:rPr>
              <w:t xml:space="preserve"> and local</w:t>
            </w:r>
          </w:p>
        </w:tc>
      </w:tr>
      <w:tr w:rsidR="00B52718" w:rsidRPr="00754F43" w14:paraId="2FD9BAED" w14:textId="77777777" w:rsidTr="000522FF">
        <w:tc>
          <w:tcPr>
            <w:tcW w:w="4965" w:type="dxa"/>
            <w:noWrap/>
          </w:tcPr>
          <w:p w14:paraId="1BB8903E" w14:textId="3A637F00" w:rsidR="00B52718" w:rsidRPr="00754F43" w:rsidRDefault="00B52718" w:rsidP="00B52718">
            <w:pPr>
              <w:pStyle w:val="Tabletext9pt"/>
              <w:rPr>
                <w:rFonts w:cs="Arial"/>
                <w:szCs w:val="18"/>
              </w:rPr>
            </w:pPr>
            <w:r w:rsidRPr="00754F43">
              <w:rPr>
                <w:rFonts w:cs="Arial"/>
                <w:color w:val="000000"/>
                <w:szCs w:val="18"/>
                <w:lang w:eastAsia="zh-CN"/>
              </w:rPr>
              <w:t>Echuca Regional Health</w:t>
            </w:r>
          </w:p>
        </w:tc>
        <w:tc>
          <w:tcPr>
            <w:tcW w:w="4642" w:type="dxa"/>
          </w:tcPr>
          <w:p w14:paraId="128267ED" w14:textId="27030CB3" w:rsidR="00B52718" w:rsidRPr="00754F43" w:rsidRDefault="00B52718" w:rsidP="00B52718">
            <w:pPr>
              <w:pStyle w:val="Tabletext9pt"/>
              <w:rPr>
                <w:rFonts w:eastAsia="Times New Roman" w:cs="Arial"/>
                <w:color w:val="000000" w:themeColor="text1"/>
                <w:szCs w:val="18"/>
                <w:lang w:eastAsia="zh-CN"/>
              </w:rPr>
            </w:pPr>
            <w:r w:rsidRPr="00754F43">
              <w:rPr>
                <w:rFonts w:cs="Arial"/>
                <w:color w:val="000000" w:themeColor="text1"/>
                <w:szCs w:val="18"/>
                <w:lang w:eastAsia="zh-CN"/>
              </w:rPr>
              <w:t>Subregional</w:t>
            </w:r>
            <w:r w:rsidR="3EDF4DC5" w:rsidRPr="00754F43">
              <w:rPr>
                <w:rFonts w:cs="Arial"/>
                <w:color w:val="000000" w:themeColor="text1"/>
                <w:szCs w:val="18"/>
                <w:lang w:eastAsia="zh-CN"/>
              </w:rPr>
              <w:t xml:space="preserve"> and local</w:t>
            </w:r>
          </w:p>
        </w:tc>
      </w:tr>
      <w:tr w:rsidR="00B52718" w:rsidRPr="00754F43" w14:paraId="5F7B125E" w14:textId="77777777" w:rsidTr="000522FF">
        <w:tc>
          <w:tcPr>
            <w:tcW w:w="4965" w:type="dxa"/>
            <w:noWrap/>
          </w:tcPr>
          <w:p w14:paraId="4EE4E90B" w14:textId="1CBD04F2" w:rsidR="00B52718" w:rsidRPr="00754F43" w:rsidRDefault="00B52718" w:rsidP="00B52718">
            <w:pPr>
              <w:pStyle w:val="Tabletext9pt"/>
              <w:rPr>
                <w:rFonts w:cs="Arial"/>
                <w:szCs w:val="18"/>
              </w:rPr>
            </w:pPr>
            <w:r w:rsidRPr="00754F43">
              <w:rPr>
                <w:rFonts w:cs="Arial"/>
                <w:color w:val="000000"/>
                <w:szCs w:val="18"/>
                <w:lang w:eastAsia="zh-CN"/>
              </w:rPr>
              <w:t>Gippsland Southern Health Service</w:t>
            </w:r>
          </w:p>
        </w:tc>
        <w:tc>
          <w:tcPr>
            <w:tcW w:w="4642" w:type="dxa"/>
          </w:tcPr>
          <w:p w14:paraId="3ECD27C2" w14:textId="3E2A13D2" w:rsidR="00B52718" w:rsidRPr="00754F43" w:rsidRDefault="00B52718" w:rsidP="00B52718">
            <w:pPr>
              <w:pStyle w:val="Tabletext9pt"/>
              <w:rPr>
                <w:rFonts w:cs="Arial"/>
                <w:szCs w:val="18"/>
                <w:lang w:eastAsia="en-AU"/>
              </w:rPr>
            </w:pPr>
            <w:r w:rsidRPr="00754F43">
              <w:rPr>
                <w:rFonts w:cs="Arial"/>
                <w:color w:val="000000" w:themeColor="text1"/>
                <w:szCs w:val="18"/>
                <w:lang w:eastAsia="zh-CN"/>
              </w:rPr>
              <w:t>Subregional</w:t>
            </w:r>
            <w:r w:rsidR="1BDE9935" w:rsidRPr="00754F43">
              <w:rPr>
                <w:rFonts w:cs="Arial"/>
                <w:color w:val="000000" w:themeColor="text1"/>
                <w:szCs w:val="18"/>
                <w:lang w:eastAsia="zh-CN"/>
              </w:rPr>
              <w:t xml:space="preserve"> and local</w:t>
            </w:r>
          </w:p>
        </w:tc>
      </w:tr>
      <w:tr w:rsidR="00B52718" w:rsidRPr="00754F43" w14:paraId="07E24ACE" w14:textId="77777777" w:rsidTr="000522FF">
        <w:tc>
          <w:tcPr>
            <w:tcW w:w="4965" w:type="dxa"/>
            <w:noWrap/>
          </w:tcPr>
          <w:p w14:paraId="0F7C98A3" w14:textId="5176DDE1" w:rsidR="00B52718" w:rsidRPr="00754F43" w:rsidRDefault="00B52718" w:rsidP="00B52718">
            <w:pPr>
              <w:pStyle w:val="Tabletext9pt"/>
              <w:rPr>
                <w:rFonts w:cs="Arial"/>
                <w:szCs w:val="18"/>
              </w:rPr>
            </w:pPr>
            <w:r w:rsidRPr="00754F43">
              <w:rPr>
                <w:rFonts w:cs="Arial"/>
                <w:color w:val="000000"/>
                <w:szCs w:val="18"/>
                <w:lang w:eastAsia="zh-CN"/>
              </w:rPr>
              <w:t>Kyabram and District Health Service</w:t>
            </w:r>
          </w:p>
        </w:tc>
        <w:tc>
          <w:tcPr>
            <w:tcW w:w="4642" w:type="dxa"/>
          </w:tcPr>
          <w:p w14:paraId="39F85BB0" w14:textId="1F0B041D" w:rsidR="00B52718" w:rsidRPr="00754F43" w:rsidRDefault="00B52718" w:rsidP="00B52718">
            <w:pPr>
              <w:pStyle w:val="Tabletext9pt"/>
              <w:rPr>
                <w:rFonts w:cs="Arial"/>
                <w:szCs w:val="18"/>
                <w:lang w:eastAsia="en-AU"/>
              </w:rPr>
            </w:pPr>
            <w:r w:rsidRPr="00754F43">
              <w:rPr>
                <w:rFonts w:cs="Arial"/>
                <w:color w:val="000000" w:themeColor="text1"/>
                <w:szCs w:val="18"/>
                <w:lang w:eastAsia="zh-CN"/>
              </w:rPr>
              <w:t>Subregional</w:t>
            </w:r>
            <w:r w:rsidR="4AB7E044" w:rsidRPr="00754F43">
              <w:rPr>
                <w:rFonts w:cs="Arial"/>
                <w:color w:val="000000" w:themeColor="text1"/>
                <w:szCs w:val="18"/>
                <w:lang w:eastAsia="zh-CN"/>
              </w:rPr>
              <w:t xml:space="preserve"> and local</w:t>
            </w:r>
          </w:p>
        </w:tc>
      </w:tr>
      <w:tr w:rsidR="00B52718" w:rsidRPr="00754F43" w14:paraId="6F8594F5" w14:textId="77777777" w:rsidTr="000522FF">
        <w:tc>
          <w:tcPr>
            <w:tcW w:w="4965" w:type="dxa"/>
            <w:noWrap/>
          </w:tcPr>
          <w:p w14:paraId="0F5C687A" w14:textId="565CEB12" w:rsidR="00B52718" w:rsidRPr="00754F43" w:rsidRDefault="00B52718" w:rsidP="00B52718">
            <w:pPr>
              <w:pStyle w:val="Tabletext9pt"/>
              <w:rPr>
                <w:rFonts w:cs="Arial"/>
                <w:szCs w:val="18"/>
              </w:rPr>
            </w:pPr>
            <w:r w:rsidRPr="00754F43">
              <w:rPr>
                <w:rFonts w:cs="Arial"/>
                <w:color w:val="000000"/>
                <w:szCs w:val="18"/>
                <w:lang w:eastAsia="zh-CN"/>
              </w:rPr>
              <w:t>Maryborough District Health Service</w:t>
            </w:r>
          </w:p>
        </w:tc>
        <w:tc>
          <w:tcPr>
            <w:tcW w:w="4642" w:type="dxa"/>
          </w:tcPr>
          <w:p w14:paraId="6720C72A" w14:textId="78C55E31" w:rsidR="00B52718" w:rsidRPr="00754F43" w:rsidRDefault="00B52718" w:rsidP="00B52718">
            <w:pPr>
              <w:pStyle w:val="Tabletext9pt"/>
              <w:rPr>
                <w:rFonts w:cs="Arial"/>
                <w:szCs w:val="18"/>
                <w:lang w:eastAsia="en-AU"/>
              </w:rPr>
            </w:pPr>
            <w:r w:rsidRPr="00754F43">
              <w:rPr>
                <w:rFonts w:cs="Arial"/>
                <w:color w:val="000000" w:themeColor="text1"/>
                <w:szCs w:val="18"/>
                <w:lang w:eastAsia="zh-CN"/>
              </w:rPr>
              <w:t>Subregional</w:t>
            </w:r>
            <w:r w:rsidR="652C37BC" w:rsidRPr="00754F43">
              <w:rPr>
                <w:rFonts w:cs="Arial"/>
                <w:color w:val="000000" w:themeColor="text1"/>
                <w:szCs w:val="18"/>
                <w:lang w:eastAsia="zh-CN"/>
              </w:rPr>
              <w:t xml:space="preserve"> and local</w:t>
            </w:r>
          </w:p>
        </w:tc>
      </w:tr>
      <w:tr w:rsidR="00B52718" w:rsidRPr="00754F43" w14:paraId="2AA6D7AB" w14:textId="77777777" w:rsidTr="000522FF">
        <w:tc>
          <w:tcPr>
            <w:tcW w:w="4965" w:type="dxa"/>
            <w:noWrap/>
          </w:tcPr>
          <w:p w14:paraId="72B0811F" w14:textId="5128ED8B" w:rsidR="00B52718" w:rsidRPr="00754F43" w:rsidRDefault="00B52718" w:rsidP="00B52718">
            <w:pPr>
              <w:pStyle w:val="Tabletext9pt"/>
              <w:rPr>
                <w:rFonts w:cs="Arial"/>
                <w:szCs w:val="18"/>
              </w:rPr>
            </w:pPr>
            <w:r w:rsidRPr="00754F43">
              <w:rPr>
                <w:rFonts w:cs="Arial"/>
                <w:color w:val="000000"/>
                <w:szCs w:val="18"/>
                <w:lang w:eastAsia="zh-CN"/>
              </w:rPr>
              <w:t>Mildura Base Hospital</w:t>
            </w:r>
          </w:p>
        </w:tc>
        <w:tc>
          <w:tcPr>
            <w:tcW w:w="4642" w:type="dxa"/>
          </w:tcPr>
          <w:p w14:paraId="785687DB" w14:textId="14600052" w:rsidR="00B52718" w:rsidRPr="00754F43" w:rsidRDefault="00B52718" w:rsidP="00B52718">
            <w:pPr>
              <w:pStyle w:val="Tabletext9pt"/>
              <w:rPr>
                <w:rFonts w:cs="Arial"/>
                <w:szCs w:val="18"/>
                <w:lang w:eastAsia="en-AU"/>
              </w:rPr>
            </w:pPr>
            <w:r w:rsidRPr="00754F43">
              <w:rPr>
                <w:rFonts w:cs="Arial"/>
                <w:color w:val="000000" w:themeColor="text1"/>
                <w:szCs w:val="18"/>
                <w:lang w:eastAsia="zh-CN"/>
              </w:rPr>
              <w:t>Subregional</w:t>
            </w:r>
            <w:r w:rsidR="09D735E4" w:rsidRPr="00754F43">
              <w:rPr>
                <w:rFonts w:cs="Arial"/>
                <w:color w:val="000000" w:themeColor="text1"/>
                <w:szCs w:val="18"/>
                <w:lang w:eastAsia="zh-CN"/>
              </w:rPr>
              <w:t xml:space="preserve"> and local</w:t>
            </w:r>
          </w:p>
        </w:tc>
      </w:tr>
      <w:tr w:rsidR="00B52718" w:rsidRPr="00754F43" w14:paraId="2EA1FF83" w14:textId="77777777" w:rsidTr="000522FF">
        <w:tc>
          <w:tcPr>
            <w:tcW w:w="4965" w:type="dxa"/>
            <w:noWrap/>
          </w:tcPr>
          <w:p w14:paraId="5DAC7F61" w14:textId="64F6C282" w:rsidR="00B52718" w:rsidRPr="00754F43" w:rsidRDefault="00B52718" w:rsidP="00B52718">
            <w:pPr>
              <w:pStyle w:val="Tabletext9pt"/>
              <w:rPr>
                <w:rFonts w:cs="Arial"/>
                <w:szCs w:val="18"/>
              </w:rPr>
            </w:pPr>
            <w:r w:rsidRPr="00754F43">
              <w:rPr>
                <w:rFonts w:cs="Arial"/>
                <w:color w:val="000000"/>
                <w:szCs w:val="18"/>
                <w:lang w:eastAsia="zh-CN"/>
              </w:rPr>
              <w:t>Northeast Health Wangaratta</w:t>
            </w:r>
          </w:p>
        </w:tc>
        <w:tc>
          <w:tcPr>
            <w:tcW w:w="4642" w:type="dxa"/>
          </w:tcPr>
          <w:p w14:paraId="3D9F9849" w14:textId="437156AF" w:rsidR="00B52718" w:rsidRPr="00754F43" w:rsidRDefault="00B52718" w:rsidP="00B52718">
            <w:pPr>
              <w:pStyle w:val="Tabletext9pt"/>
              <w:rPr>
                <w:rFonts w:cs="Arial"/>
                <w:szCs w:val="18"/>
                <w:lang w:eastAsia="en-AU"/>
              </w:rPr>
            </w:pPr>
            <w:r w:rsidRPr="00754F43">
              <w:rPr>
                <w:rFonts w:cs="Arial"/>
                <w:color w:val="000000" w:themeColor="text1"/>
                <w:szCs w:val="18"/>
                <w:lang w:eastAsia="zh-CN"/>
              </w:rPr>
              <w:t>Subregional</w:t>
            </w:r>
            <w:r w:rsidR="3E67DA37" w:rsidRPr="00754F43">
              <w:rPr>
                <w:rFonts w:cs="Arial"/>
                <w:color w:val="000000" w:themeColor="text1"/>
                <w:szCs w:val="18"/>
                <w:lang w:eastAsia="zh-CN"/>
              </w:rPr>
              <w:t xml:space="preserve"> and local</w:t>
            </w:r>
          </w:p>
        </w:tc>
      </w:tr>
      <w:tr w:rsidR="00B52718" w:rsidRPr="00754F43" w14:paraId="15AF3FB2" w14:textId="77777777" w:rsidTr="000522FF">
        <w:tc>
          <w:tcPr>
            <w:tcW w:w="4965" w:type="dxa"/>
            <w:noWrap/>
          </w:tcPr>
          <w:p w14:paraId="17D41A03" w14:textId="1AE17F9E" w:rsidR="00B52718" w:rsidRPr="00754F43" w:rsidRDefault="00B52718" w:rsidP="00B52718">
            <w:pPr>
              <w:pStyle w:val="Tabletext9pt"/>
              <w:rPr>
                <w:rFonts w:cs="Arial"/>
                <w:szCs w:val="18"/>
              </w:rPr>
            </w:pPr>
            <w:r w:rsidRPr="00754F43">
              <w:rPr>
                <w:rFonts w:cs="Arial"/>
                <w:color w:val="000000"/>
                <w:szCs w:val="18"/>
                <w:lang w:eastAsia="zh-CN"/>
              </w:rPr>
              <w:lastRenderedPageBreak/>
              <w:t>Portland District Health</w:t>
            </w:r>
          </w:p>
        </w:tc>
        <w:tc>
          <w:tcPr>
            <w:tcW w:w="4642" w:type="dxa"/>
          </w:tcPr>
          <w:p w14:paraId="3EF69B43" w14:textId="77777777" w:rsidR="00B52718" w:rsidRPr="00754F43" w:rsidRDefault="00B52718" w:rsidP="00B52718">
            <w:pPr>
              <w:pStyle w:val="Tabletext9pt"/>
              <w:rPr>
                <w:rFonts w:cs="Arial"/>
                <w:szCs w:val="18"/>
                <w:lang w:eastAsia="en-AU"/>
              </w:rPr>
            </w:pPr>
            <w:r w:rsidRPr="00754F43">
              <w:rPr>
                <w:rFonts w:cs="Arial"/>
                <w:color w:val="000000" w:themeColor="text1"/>
                <w:szCs w:val="18"/>
                <w:lang w:eastAsia="zh-CN"/>
              </w:rPr>
              <w:t>Subregional</w:t>
            </w:r>
            <w:r w:rsidR="4CEA9D78" w:rsidRPr="00754F43">
              <w:rPr>
                <w:rFonts w:cs="Arial"/>
                <w:color w:val="000000" w:themeColor="text1"/>
                <w:szCs w:val="18"/>
                <w:lang w:eastAsia="zh-CN"/>
              </w:rPr>
              <w:t xml:space="preserve"> and local</w:t>
            </w:r>
          </w:p>
        </w:tc>
      </w:tr>
      <w:tr w:rsidR="00B52718" w:rsidRPr="00754F43" w14:paraId="20477D5D" w14:textId="77777777" w:rsidTr="000522FF">
        <w:tc>
          <w:tcPr>
            <w:tcW w:w="4965" w:type="dxa"/>
            <w:noWrap/>
          </w:tcPr>
          <w:p w14:paraId="7F2B47C8" w14:textId="526BDB0B" w:rsidR="00B52718" w:rsidRPr="00754F43" w:rsidRDefault="00B52718" w:rsidP="00B52718">
            <w:pPr>
              <w:pStyle w:val="Tabletext9pt"/>
              <w:rPr>
                <w:rFonts w:cs="Arial"/>
                <w:szCs w:val="18"/>
              </w:rPr>
            </w:pPr>
            <w:r w:rsidRPr="00754F43">
              <w:rPr>
                <w:rFonts w:cs="Arial"/>
                <w:color w:val="000000" w:themeColor="text1"/>
                <w:szCs w:val="18"/>
                <w:lang w:eastAsia="zh-CN"/>
              </w:rPr>
              <w:t>South West Healthcare</w:t>
            </w:r>
          </w:p>
        </w:tc>
        <w:tc>
          <w:tcPr>
            <w:tcW w:w="4642" w:type="dxa"/>
          </w:tcPr>
          <w:p w14:paraId="3A6DC5BC" w14:textId="64C5C200" w:rsidR="00B52718" w:rsidRPr="00754F43" w:rsidRDefault="00B52718" w:rsidP="00B52718">
            <w:pPr>
              <w:pStyle w:val="Tabletext9pt"/>
              <w:rPr>
                <w:rFonts w:cs="Arial"/>
                <w:szCs w:val="18"/>
                <w:lang w:eastAsia="en-AU"/>
              </w:rPr>
            </w:pPr>
            <w:r w:rsidRPr="00754F43">
              <w:rPr>
                <w:rFonts w:cs="Arial"/>
                <w:color w:val="000000" w:themeColor="text1"/>
                <w:szCs w:val="18"/>
                <w:lang w:eastAsia="zh-CN"/>
              </w:rPr>
              <w:t>Subregional</w:t>
            </w:r>
            <w:r w:rsidR="550276CC" w:rsidRPr="00754F43">
              <w:rPr>
                <w:rFonts w:cs="Arial"/>
                <w:color w:val="000000" w:themeColor="text1"/>
                <w:szCs w:val="18"/>
                <w:lang w:eastAsia="zh-CN"/>
              </w:rPr>
              <w:t xml:space="preserve"> and local</w:t>
            </w:r>
          </w:p>
        </w:tc>
      </w:tr>
      <w:tr w:rsidR="00B52718" w:rsidRPr="00754F43" w14:paraId="063655BD" w14:textId="77777777" w:rsidTr="000522FF">
        <w:tc>
          <w:tcPr>
            <w:tcW w:w="4965" w:type="dxa"/>
            <w:noWrap/>
          </w:tcPr>
          <w:p w14:paraId="1E574036" w14:textId="479C9ED3" w:rsidR="00B52718" w:rsidRPr="00754F43" w:rsidRDefault="00B52718" w:rsidP="00B52718">
            <w:pPr>
              <w:pStyle w:val="Tabletext9pt"/>
              <w:rPr>
                <w:rFonts w:cs="Arial"/>
                <w:szCs w:val="18"/>
              </w:rPr>
            </w:pPr>
            <w:r w:rsidRPr="00754F43">
              <w:rPr>
                <w:rFonts w:cs="Arial"/>
                <w:color w:val="000000"/>
                <w:szCs w:val="18"/>
                <w:lang w:eastAsia="zh-CN"/>
              </w:rPr>
              <w:t>Swan Hill District Health</w:t>
            </w:r>
          </w:p>
        </w:tc>
        <w:tc>
          <w:tcPr>
            <w:tcW w:w="4642" w:type="dxa"/>
          </w:tcPr>
          <w:p w14:paraId="1447167C" w14:textId="756B585F" w:rsidR="00B52718" w:rsidRPr="00754F43" w:rsidRDefault="00B52718" w:rsidP="00B52718">
            <w:pPr>
              <w:pStyle w:val="Tabletext9pt"/>
              <w:rPr>
                <w:rFonts w:cs="Arial"/>
                <w:szCs w:val="18"/>
                <w:lang w:eastAsia="en-AU"/>
              </w:rPr>
            </w:pPr>
            <w:r w:rsidRPr="00754F43">
              <w:rPr>
                <w:rFonts w:cs="Arial"/>
                <w:color w:val="000000" w:themeColor="text1"/>
                <w:szCs w:val="18"/>
                <w:lang w:eastAsia="zh-CN"/>
              </w:rPr>
              <w:t>Subregional</w:t>
            </w:r>
            <w:r w:rsidR="5210333E" w:rsidRPr="00754F43">
              <w:rPr>
                <w:rFonts w:cs="Arial"/>
                <w:color w:val="000000" w:themeColor="text1"/>
                <w:szCs w:val="18"/>
                <w:lang w:eastAsia="zh-CN"/>
              </w:rPr>
              <w:t xml:space="preserve"> and local</w:t>
            </w:r>
          </w:p>
        </w:tc>
      </w:tr>
      <w:tr w:rsidR="00B52718" w:rsidRPr="00754F43" w14:paraId="624AE561" w14:textId="77777777" w:rsidTr="000522FF">
        <w:tc>
          <w:tcPr>
            <w:tcW w:w="4965" w:type="dxa"/>
            <w:noWrap/>
          </w:tcPr>
          <w:p w14:paraId="6D83DA19" w14:textId="73E949C6" w:rsidR="00B52718" w:rsidRPr="00754F43" w:rsidRDefault="00B52718" w:rsidP="00B52718">
            <w:pPr>
              <w:pStyle w:val="Tabletext9pt"/>
              <w:rPr>
                <w:rFonts w:cs="Arial"/>
                <w:szCs w:val="18"/>
              </w:rPr>
            </w:pPr>
            <w:r w:rsidRPr="00754F43">
              <w:rPr>
                <w:rFonts w:cs="Arial"/>
                <w:color w:val="000000"/>
                <w:szCs w:val="18"/>
                <w:lang w:eastAsia="zh-CN"/>
              </w:rPr>
              <w:t>West Gippsland Healthcare Group</w:t>
            </w:r>
          </w:p>
        </w:tc>
        <w:tc>
          <w:tcPr>
            <w:tcW w:w="4642" w:type="dxa"/>
          </w:tcPr>
          <w:p w14:paraId="7652D1E3" w14:textId="375A563B" w:rsidR="00B52718" w:rsidRPr="00754F43" w:rsidRDefault="00B52718" w:rsidP="00B52718">
            <w:pPr>
              <w:pStyle w:val="Tabletext9pt"/>
              <w:rPr>
                <w:rFonts w:cs="Arial"/>
                <w:szCs w:val="18"/>
                <w:lang w:eastAsia="en-AU"/>
              </w:rPr>
            </w:pPr>
            <w:r w:rsidRPr="00754F43">
              <w:rPr>
                <w:rFonts w:cs="Arial"/>
                <w:color w:val="000000" w:themeColor="text1"/>
                <w:szCs w:val="18"/>
                <w:lang w:eastAsia="zh-CN"/>
              </w:rPr>
              <w:t>Subregional</w:t>
            </w:r>
            <w:r w:rsidR="4EE1594C" w:rsidRPr="00754F43">
              <w:rPr>
                <w:rFonts w:cs="Arial"/>
                <w:color w:val="000000" w:themeColor="text1"/>
                <w:szCs w:val="18"/>
                <w:lang w:eastAsia="zh-CN"/>
              </w:rPr>
              <w:t xml:space="preserve"> and local</w:t>
            </w:r>
          </w:p>
        </w:tc>
      </w:tr>
      <w:tr w:rsidR="00B52718" w:rsidRPr="00754F43" w14:paraId="53C594BA" w14:textId="77777777" w:rsidTr="000522FF">
        <w:tc>
          <w:tcPr>
            <w:tcW w:w="4965" w:type="dxa"/>
            <w:noWrap/>
          </w:tcPr>
          <w:p w14:paraId="6E4E9413" w14:textId="0EBF12E2" w:rsidR="00B52718" w:rsidRPr="00754F43" w:rsidRDefault="00B52718" w:rsidP="00B52718">
            <w:pPr>
              <w:pStyle w:val="Tabletext9pt"/>
              <w:rPr>
                <w:rFonts w:cs="Arial"/>
                <w:szCs w:val="18"/>
              </w:rPr>
            </w:pPr>
            <w:r w:rsidRPr="00754F43">
              <w:rPr>
                <w:rFonts w:cs="Arial"/>
                <w:color w:val="000000" w:themeColor="text1"/>
                <w:szCs w:val="18"/>
                <w:lang w:eastAsia="zh-CN"/>
              </w:rPr>
              <w:t>Western District Health Service</w:t>
            </w:r>
          </w:p>
        </w:tc>
        <w:tc>
          <w:tcPr>
            <w:tcW w:w="4642" w:type="dxa"/>
          </w:tcPr>
          <w:p w14:paraId="579394F0" w14:textId="1146C85C" w:rsidR="00B52718" w:rsidRPr="00754F43" w:rsidRDefault="00B52718" w:rsidP="00B52718">
            <w:pPr>
              <w:pStyle w:val="Tabletext9pt"/>
              <w:rPr>
                <w:rFonts w:cs="Arial"/>
                <w:szCs w:val="18"/>
                <w:lang w:eastAsia="en-AU"/>
              </w:rPr>
            </w:pPr>
            <w:r w:rsidRPr="00754F43">
              <w:rPr>
                <w:rFonts w:cs="Arial"/>
                <w:color w:val="000000" w:themeColor="text1"/>
                <w:szCs w:val="18"/>
                <w:lang w:eastAsia="zh-CN"/>
              </w:rPr>
              <w:t>Subregional</w:t>
            </w:r>
            <w:r w:rsidR="5640C819" w:rsidRPr="00754F43">
              <w:rPr>
                <w:rFonts w:cs="Arial"/>
                <w:color w:val="000000" w:themeColor="text1"/>
                <w:szCs w:val="18"/>
                <w:lang w:eastAsia="zh-CN"/>
              </w:rPr>
              <w:t xml:space="preserve"> and local</w:t>
            </w:r>
          </w:p>
        </w:tc>
      </w:tr>
    </w:tbl>
    <w:p w14:paraId="066D0377" w14:textId="715D0418" w:rsidR="0031264C" w:rsidRDefault="0031264C" w:rsidP="0031264C">
      <w:pPr>
        <w:pStyle w:val="Body"/>
      </w:pPr>
      <w:bookmarkStart w:id="900" w:name="_Toc487742014"/>
      <w:bookmarkStart w:id="901" w:name="_Toc14172244"/>
    </w:p>
    <w:p w14:paraId="60D2FD44" w14:textId="0EFDC708" w:rsidR="000B27B9" w:rsidRDefault="5F235F04" w:rsidP="00685B35">
      <w:pPr>
        <w:pStyle w:val="Heading2"/>
      </w:pPr>
      <w:bookmarkStart w:id="902" w:name="_Toc418694994"/>
      <w:bookmarkStart w:id="903" w:name="_Ref419741488"/>
      <w:bookmarkStart w:id="904" w:name="_Ref419741499"/>
      <w:bookmarkStart w:id="905" w:name="_Toc487742021"/>
      <w:bookmarkStart w:id="906" w:name="_Toc14172251"/>
      <w:bookmarkStart w:id="907" w:name="_Toc100263354"/>
      <w:bookmarkStart w:id="908" w:name="_Toc156569686"/>
      <w:bookmarkEnd w:id="884"/>
      <w:bookmarkEnd w:id="885"/>
      <w:bookmarkEnd w:id="886"/>
      <w:bookmarkEnd w:id="900"/>
      <w:bookmarkEnd w:id="901"/>
      <w:r>
        <w:lastRenderedPageBreak/>
        <w:t xml:space="preserve">Output and </w:t>
      </w:r>
      <w:r w:rsidR="00F3414C">
        <w:t xml:space="preserve">activity </w:t>
      </w:r>
      <w:bookmarkEnd w:id="902"/>
      <w:bookmarkEnd w:id="903"/>
      <w:bookmarkEnd w:id="904"/>
      <w:bookmarkEnd w:id="905"/>
      <w:bookmarkEnd w:id="906"/>
      <w:bookmarkEnd w:id="907"/>
      <w:r w:rsidR="00F3414C">
        <w:t>tables</w:t>
      </w:r>
      <w:bookmarkEnd w:id="908"/>
    </w:p>
    <w:p w14:paraId="194AF7D1" w14:textId="73A44A2E" w:rsidR="000B27B9" w:rsidRDefault="000B27B9" w:rsidP="00B92CD4">
      <w:pPr>
        <w:pStyle w:val="Body"/>
      </w:pPr>
      <w:bookmarkStart w:id="909" w:name="_Toc419623623"/>
      <w:bookmarkStart w:id="910" w:name="_Toc419623735"/>
      <w:bookmarkStart w:id="911" w:name="_Toc419644523"/>
      <w:bookmarkStart w:id="912" w:name="_Toc487742087"/>
      <w:r w:rsidRPr="00803C4D">
        <w:t xml:space="preserve">A range of inpatient, residential and community-based clinical services </w:t>
      </w:r>
      <w:r>
        <w:t xml:space="preserve">are </w:t>
      </w:r>
      <w:r w:rsidRPr="00803C4D">
        <w:t xml:space="preserve">provided to people with a mental illness and their families so that those </w:t>
      </w:r>
      <w:r>
        <w:t xml:space="preserve">who </w:t>
      </w:r>
      <w:r w:rsidRPr="00803C4D">
        <w:t>experience mental health problems can access timely, high-quality care and support to recover and live successfully in the community</w:t>
      </w:r>
      <w:r w:rsidR="00486017">
        <w:t>.</w:t>
      </w:r>
      <w:r>
        <w:t xml:space="preserve"> </w:t>
      </w:r>
      <w:r w:rsidRPr="009D59BC">
        <w:t xml:space="preserve">(see </w:t>
      </w:r>
      <w:r w:rsidR="009D59BC">
        <w:rPr>
          <w:highlight w:val="yellow"/>
        </w:rPr>
        <w:fldChar w:fldCharType="begin"/>
      </w:r>
      <w:r w:rsidR="009D59BC">
        <w:rPr>
          <w:highlight w:val="yellow"/>
        </w:rPr>
        <w:instrText xml:space="preserve"> REF _Ref147760189 \h </w:instrText>
      </w:r>
      <w:r w:rsidR="009D59BC">
        <w:rPr>
          <w:highlight w:val="yellow"/>
        </w:rPr>
      </w:r>
      <w:r w:rsidR="009D59BC">
        <w:rPr>
          <w:highlight w:val="yellow"/>
        </w:rPr>
        <w:fldChar w:fldCharType="separate"/>
      </w:r>
      <w:r w:rsidR="009D59BC">
        <w:t xml:space="preserve">Table </w:t>
      </w:r>
      <w:r w:rsidR="009D59BC">
        <w:rPr>
          <w:noProof/>
        </w:rPr>
        <w:t>1</w:t>
      </w:r>
      <w:r w:rsidR="009D59BC">
        <w:t>.</w:t>
      </w:r>
      <w:r w:rsidR="009D59BC">
        <w:rPr>
          <w:noProof/>
        </w:rPr>
        <w:t>28</w:t>
      </w:r>
      <w:r w:rsidR="009D59BC">
        <w:t>: M</w:t>
      </w:r>
      <w:r w:rsidR="009D59BC" w:rsidRPr="00E7554A">
        <w:t>ental health</w:t>
      </w:r>
      <w:r w:rsidR="009D59BC">
        <w:t xml:space="preserve"> </w:t>
      </w:r>
      <w:r w:rsidR="009D59BC" w:rsidRPr="00E7554A">
        <w:t>– outputs and activities: clinical care</w:t>
      </w:r>
      <w:r w:rsidR="009D59BC">
        <w:t xml:space="preserve"> </w:t>
      </w:r>
      <w:r w:rsidR="009D59BC" w:rsidRPr="00697369">
        <w:t>202</w:t>
      </w:r>
      <w:r w:rsidR="009D59BC">
        <w:t>3–</w:t>
      </w:r>
      <w:r w:rsidR="009D59BC" w:rsidRPr="00697369">
        <w:t>2</w:t>
      </w:r>
      <w:r w:rsidR="009D59BC">
        <w:t>4</w:t>
      </w:r>
      <w:r w:rsidR="009D59BC">
        <w:rPr>
          <w:highlight w:val="yellow"/>
        </w:rPr>
        <w:fldChar w:fldCharType="end"/>
      </w:r>
      <w:r w:rsidR="003C7AAC" w:rsidRPr="009D59BC">
        <w:t>).</w:t>
      </w:r>
      <w:r w:rsidR="002F01E4">
        <w:t xml:space="preserve"> </w:t>
      </w:r>
    </w:p>
    <w:p w14:paraId="1B1F7E5B" w14:textId="39570065" w:rsidR="00333328" w:rsidRDefault="00333328" w:rsidP="00685B35">
      <w:pPr>
        <w:pStyle w:val="Tablecaption"/>
      </w:pPr>
      <w:bookmarkStart w:id="913" w:name="_Ref147760189"/>
      <w:bookmarkStart w:id="914" w:name="_Toc156568671"/>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28</w:t>
      </w:r>
      <w:r>
        <w:fldChar w:fldCharType="end"/>
      </w:r>
      <w:r>
        <w:t>: M</w:t>
      </w:r>
      <w:r w:rsidRPr="00E7554A">
        <w:t>ental health</w:t>
      </w:r>
      <w:r>
        <w:t xml:space="preserve"> </w:t>
      </w:r>
      <w:r w:rsidRPr="00E7554A">
        <w:t>– outputs and activities: clinical care</w:t>
      </w:r>
      <w:r>
        <w:t xml:space="preserve"> </w:t>
      </w:r>
      <w:r w:rsidRPr="00697369">
        <w:t>202</w:t>
      </w:r>
      <w:r>
        <w:t>3–</w:t>
      </w:r>
      <w:r w:rsidRPr="00697369">
        <w:t>2</w:t>
      </w:r>
      <w:r>
        <w:t>4</w:t>
      </w:r>
      <w:bookmarkEnd w:id="913"/>
      <w:bookmarkEnd w:id="914"/>
    </w:p>
    <w:tbl>
      <w:tblPr>
        <w:tblStyle w:val="TableGrid1"/>
        <w:tblW w:w="9299" w:type="dxa"/>
        <w:tblLook w:val="06A0" w:firstRow="1" w:lastRow="0" w:firstColumn="1" w:lastColumn="0" w:noHBand="1" w:noVBand="1"/>
      </w:tblPr>
      <w:tblGrid>
        <w:gridCol w:w="1267"/>
        <w:gridCol w:w="2802"/>
        <w:gridCol w:w="5230"/>
      </w:tblGrid>
      <w:tr w:rsidR="000B27B9" w:rsidRPr="0090298C" w14:paraId="2165459A" w14:textId="77777777" w:rsidTr="00685B35">
        <w:trPr>
          <w:cnfStyle w:val="100000000000" w:firstRow="1" w:lastRow="0" w:firstColumn="0" w:lastColumn="0" w:oddVBand="0" w:evenVBand="0" w:oddHBand="0" w:evenHBand="0" w:firstRowFirstColumn="0" w:firstRowLastColumn="0" w:lastRowFirstColumn="0" w:lastRowLastColumn="0"/>
          <w:cantSplit/>
          <w:tblHeader/>
        </w:trPr>
        <w:tc>
          <w:tcPr>
            <w:tcW w:w="0" w:type="dxa"/>
            <w:shd w:val="clear" w:color="auto" w:fill="auto"/>
          </w:tcPr>
          <w:p w14:paraId="00DDF7C8" w14:textId="77777777" w:rsidR="000B27B9" w:rsidRPr="00674F20" w:rsidRDefault="000B27B9" w:rsidP="00685B35">
            <w:pPr>
              <w:pStyle w:val="Tablecolhead"/>
              <w:rPr>
                <w:szCs w:val="18"/>
                <w:lang w:eastAsia="en-AU"/>
              </w:rPr>
            </w:pPr>
            <w:r w:rsidRPr="00D0520C">
              <w:rPr>
                <w:lang w:eastAsia="en-AU"/>
              </w:rPr>
              <w:t>Activity no.</w:t>
            </w:r>
          </w:p>
        </w:tc>
        <w:tc>
          <w:tcPr>
            <w:tcW w:w="0" w:type="dxa"/>
            <w:shd w:val="clear" w:color="auto" w:fill="auto"/>
          </w:tcPr>
          <w:p w14:paraId="5E777105" w14:textId="77777777" w:rsidR="000B27B9" w:rsidRPr="00674F20" w:rsidRDefault="000B27B9" w:rsidP="00685B35">
            <w:pPr>
              <w:pStyle w:val="Tablecolhead"/>
              <w:rPr>
                <w:szCs w:val="18"/>
                <w:lang w:eastAsia="en-AU"/>
              </w:rPr>
            </w:pPr>
            <w:r w:rsidRPr="00D0520C">
              <w:rPr>
                <w:lang w:eastAsia="en-AU"/>
              </w:rPr>
              <w:t>Activity name</w:t>
            </w:r>
          </w:p>
        </w:tc>
        <w:tc>
          <w:tcPr>
            <w:tcW w:w="0" w:type="dxa"/>
            <w:shd w:val="clear" w:color="auto" w:fill="auto"/>
          </w:tcPr>
          <w:p w14:paraId="2737C3F5" w14:textId="77777777" w:rsidR="000B27B9" w:rsidRPr="00674F20" w:rsidRDefault="000B27B9" w:rsidP="00685B35">
            <w:pPr>
              <w:pStyle w:val="Tablecolhead"/>
              <w:rPr>
                <w:szCs w:val="18"/>
                <w:lang w:eastAsia="en-AU"/>
              </w:rPr>
            </w:pPr>
            <w:r w:rsidRPr="00D0520C">
              <w:rPr>
                <w:lang w:eastAsia="en-AU"/>
              </w:rPr>
              <w:t>Activity description</w:t>
            </w:r>
          </w:p>
        </w:tc>
      </w:tr>
      <w:tr w:rsidR="000B27B9" w:rsidRPr="004E0550" w14:paraId="02C5866A" w14:textId="77777777" w:rsidTr="31E98B47">
        <w:trPr>
          <w:cantSplit/>
        </w:trPr>
        <w:tc>
          <w:tcPr>
            <w:tcW w:w="1267" w:type="dxa"/>
          </w:tcPr>
          <w:p w14:paraId="452BF63E" w14:textId="77777777" w:rsidR="000B27B9" w:rsidRPr="00674F20" w:rsidRDefault="000B27B9" w:rsidP="0064265C">
            <w:pPr>
              <w:pStyle w:val="Tabletext9pt"/>
              <w:rPr>
                <w:szCs w:val="18"/>
              </w:rPr>
            </w:pPr>
            <w:r w:rsidRPr="00674F20">
              <w:rPr>
                <w:szCs w:val="18"/>
              </w:rPr>
              <w:t>15005</w:t>
            </w:r>
          </w:p>
        </w:tc>
        <w:tc>
          <w:tcPr>
            <w:tcW w:w="2802" w:type="dxa"/>
          </w:tcPr>
          <w:p w14:paraId="4292856F" w14:textId="30919920" w:rsidR="000B27B9" w:rsidRPr="00674F20" w:rsidRDefault="000B27B9" w:rsidP="0064265C">
            <w:pPr>
              <w:pStyle w:val="Tabletext9pt"/>
              <w:rPr>
                <w:szCs w:val="18"/>
              </w:rPr>
            </w:pPr>
            <w:r w:rsidRPr="00674F20">
              <w:rPr>
                <w:szCs w:val="18"/>
              </w:rPr>
              <w:t xml:space="preserve">Crisis </w:t>
            </w:r>
            <w:r w:rsidR="00DD3294" w:rsidRPr="00674F20">
              <w:rPr>
                <w:szCs w:val="18"/>
              </w:rPr>
              <w:t>assessment and treatment</w:t>
            </w:r>
          </w:p>
        </w:tc>
        <w:tc>
          <w:tcPr>
            <w:tcW w:w="5230" w:type="dxa"/>
          </w:tcPr>
          <w:p w14:paraId="0A15D629" w14:textId="77777777" w:rsidR="000B27B9" w:rsidRPr="00674F20" w:rsidRDefault="000B27B9" w:rsidP="0064265C">
            <w:pPr>
              <w:pStyle w:val="Tabletext9pt"/>
              <w:rPr>
                <w:szCs w:val="18"/>
              </w:rPr>
            </w:pPr>
            <w:r>
              <w:rPr>
                <w:szCs w:val="18"/>
              </w:rPr>
              <w:t xml:space="preserve">A </w:t>
            </w:r>
            <w:r w:rsidRPr="00674F20">
              <w:rPr>
                <w:szCs w:val="18"/>
              </w:rPr>
              <w:t>24-hour, seven</w:t>
            </w:r>
            <w:r>
              <w:rPr>
                <w:szCs w:val="18"/>
              </w:rPr>
              <w:t>-</w:t>
            </w:r>
            <w:r w:rsidRPr="00674F20">
              <w:rPr>
                <w:szCs w:val="18"/>
              </w:rPr>
              <w:t>day</w:t>
            </w:r>
            <w:r>
              <w:rPr>
                <w:szCs w:val="18"/>
              </w:rPr>
              <w:t>-a-</w:t>
            </w:r>
            <w:r w:rsidRPr="00674F20">
              <w:rPr>
                <w:szCs w:val="18"/>
              </w:rPr>
              <w:t xml:space="preserve">week mobile crisis service </w:t>
            </w:r>
            <w:r>
              <w:rPr>
                <w:szCs w:val="18"/>
              </w:rPr>
              <w:t>that</w:t>
            </w:r>
            <w:r w:rsidRPr="00674F20">
              <w:rPr>
                <w:szCs w:val="18"/>
              </w:rPr>
              <w:t xml:space="preserve"> provide</w:t>
            </w:r>
            <w:r>
              <w:rPr>
                <w:szCs w:val="18"/>
              </w:rPr>
              <w:t>s</w:t>
            </w:r>
            <w:r w:rsidRPr="00674F20">
              <w:rPr>
                <w:szCs w:val="18"/>
              </w:rPr>
              <w:t xml:space="preserve"> effective assessment and treatment throughout the community to individuals in crisis due to a mental illness. This includes assessing the most effective and least restrictive client service options and screening inpatient bed admissions.</w:t>
            </w:r>
          </w:p>
        </w:tc>
      </w:tr>
      <w:tr w:rsidR="000B27B9" w:rsidRPr="004E0550" w14:paraId="462671D4" w14:textId="77777777" w:rsidTr="31E98B47">
        <w:trPr>
          <w:cantSplit/>
        </w:trPr>
        <w:tc>
          <w:tcPr>
            <w:tcW w:w="1267" w:type="dxa"/>
          </w:tcPr>
          <w:p w14:paraId="6EC247BA" w14:textId="77777777" w:rsidR="000B27B9" w:rsidRPr="00674F20" w:rsidRDefault="000B27B9" w:rsidP="0064265C">
            <w:pPr>
              <w:pStyle w:val="Tabletext9pt"/>
              <w:rPr>
                <w:szCs w:val="18"/>
              </w:rPr>
            </w:pPr>
            <w:r w:rsidRPr="00674F20">
              <w:rPr>
                <w:szCs w:val="18"/>
              </w:rPr>
              <w:t>15006</w:t>
            </w:r>
          </w:p>
        </w:tc>
        <w:tc>
          <w:tcPr>
            <w:tcW w:w="2802" w:type="dxa"/>
          </w:tcPr>
          <w:p w14:paraId="2E46A5C2" w14:textId="3409140B" w:rsidR="000B27B9" w:rsidRPr="00674F20" w:rsidRDefault="000B27B9" w:rsidP="0064265C">
            <w:pPr>
              <w:pStyle w:val="Tabletext9pt"/>
              <w:rPr>
                <w:szCs w:val="18"/>
              </w:rPr>
            </w:pPr>
            <w:r w:rsidRPr="00674F20">
              <w:rPr>
                <w:szCs w:val="18"/>
              </w:rPr>
              <w:t xml:space="preserve">Community </w:t>
            </w:r>
            <w:r w:rsidR="00DD3294" w:rsidRPr="00674F20">
              <w:rPr>
                <w:szCs w:val="18"/>
              </w:rPr>
              <w:t>care units</w:t>
            </w:r>
          </w:p>
        </w:tc>
        <w:tc>
          <w:tcPr>
            <w:tcW w:w="5230" w:type="dxa"/>
          </w:tcPr>
          <w:p w14:paraId="6751BF58" w14:textId="73BF401B" w:rsidR="000B27B9" w:rsidRPr="00674F20" w:rsidRDefault="000B27B9" w:rsidP="0064265C">
            <w:pPr>
              <w:pStyle w:val="Tabletext9pt"/>
              <w:rPr>
                <w:szCs w:val="18"/>
              </w:rPr>
            </w:pPr>
            <w:r w:rsidRPr="00674F20">
              <w:rPr>
                <w:szCs w:val="18"/>
              </w:rPr>
              <w:t>Community care units are purpose-built units of up to 20 beds located in community settings with 24-hour staffing. They are designed for adults who require longer</w:t>
            </w:r>
            <w:r w:rsidR="00700C1A">
              <w:rPr>
                <w:szCs w:val="18"/>
              </w:rPr>
              <w:t>-</w:t>
            </w:r>
            <w:r w:rsidRPr="00674F20">
              <w:rPr>
                <w:szCs w:val="18"/>
              </w:rPr>
              <w:t>term support, on</w:t>
            </w:r>
            <w:r>
              <w:rPr>
                <w:szCs w:val="18"/>
              </w:rPr>
              <w:t>-</w:t>
            </w:r>
            <w:r w:rsidRPr="00674F20">
              <w:rPr>
                <w:szCs w:val="18"/>
              </w:rPr>
              <w:t xml:space="preserve">site clinical </w:t>
            </w:r>
            <w:r w:rsidR="00A45583" w:rsidRPr="00674F20">
              <w:rPr>
                <w:szCs w:val="18"/>
              </w:rPr>
              <w:t>services,</w:t>
            </w:r>
            <w:r w:rsidRPr="00674F20">
              <w:rPr>
                <w:szCs w:val="18"/>
              </w:rPr>
              <w:t xml:space="preserve"> and individualised rehabilitation.</w:t>
            </w:r>
          </w:p>
        </w:tc>
      </w:tr>
      <w:tr w:rsidR="000B27B9" w:rsidRPr="004E0550" w14:paraId="00F2CA6C" w14:textId="77777777" w:rsidTr="31E98B47">
        <w:trPr>
          <w:cantSplit/>
        </w:trPr>
        <w:tc>
          <w:tcPr>
            <w:tcW w:w="1267" w:type="dxa"/>
          </w:tcPr>
          <w:p w14:paraId="4BE9AA35" w14:textId="77777777" w:rsidR="000B27B9" w:rsidRPr="00674F20" w:rsidRDefault="000B27B9" w:rsidP="0064265C">
            <w:pPr>
              <w:pStyle w:val="Tabletext9pt"/>
              <w:rPr>
                <w:szCs w:val="18"/>
              </w:rPr>
            </w:pPr>
            <w:r w:rsidRPr="00674F20">
              <w:rPr>
                <w:szCs w:val="18"/>
              </w:rPr>
              <w:t>15007</w:t>
            </w:r>
          </w:p>
        </w:tc>
        <w:tc>
          <w:tcPr>
            <w:tcW w:w="2802" w:type="dxa"/>
          </w:tcPr>
          <w:p w14:paraId="5E338513" w14:textId="432A0678" w:rsidR="000B27B9" w:rsidRPr="00674F20" w:rsidRDefault="000B27B9" w:rsidP="0064265C">
            <w:pPr>
              <w:pStyle w:val="Tabletext9pt"/>
              <w:rPr>
                <w:szCs w:val="18"/>
              </w:rPr>
            </w:pPr>
            <w:r w:rsidRPr="00674F20">
              <w:rPr>
                <w:szCs w:val="18"/>
              </w:rPr>
              <w:t xml:space="preserve">Adult </w:t>
            </w:r>
            <w:r w:rsidR="00DD3294" w:rsidRPr="00674F20">
              <w:rPr>
                <w:szCs w:val="18"/>
              </w:rPr>
              <w:t>continuing care</w:t>
            </w:r>
          </w:p>
        </w:tc>
        <w:tc>
          <w:tcPr>
            <w:tcW w:w="5230" w:type="dxa"/>
          </w:tcPr>
          <w:p w14:paraId="7985113A" w14:textId="77777777" w:rsidR="000B27B9" w:rsidRPr="00674F20" w:rsidRDefault="000B27B9" w:rsidP="0064265C">
            <w:pPr>
              <w:pStyle w:val="Tabletext9pt"/>
              <w:rPr>
                <w:szCs w:val="18"/>
              </w:rPr>
            </w:pPr>
            <w:r w:rsidRPr="00674F20">
              <w:rPr>
                <w:szCs w:val="18"/>
              </w:rPr>
              <w:t>A range of community-based services that provide assessment, treatment and additional continuing care and case management for adults with a mental illness.</w:t>
            </w:r>
          </w:p>
        </w:tc>
      </w:tr>
      <w:tr w:rsidR="000B27B9" w:rsidRPr="004E0550" w14:paraId="459E4BA0" w14:textId="77777777" w:rsidTr="31E98B47">
        <w:trPr>
          <w:cantSplit/>
        </w:trPr>
        <w:tc>
          <w:tcPr>
            <w:tcW w:w="1267" w:type="dxa"/>
          </w:tcPr>
          <w:p w14:paraId="7D4C3785" w14:textId="77777777" w:rsidR="000B27B9" w:rsidRPr="00674F20" w:rsidRDefault="000B27B9" w:rsidP="0064265C">
            <w:pPr>
              <w:pStyle w:val="Tabletext9pt"/>
              <w:rPr>
                <w:szCs w:val="18"/>
              </w:rPr>
            </w:pPr>
            <w:r w:rsidRPr="00674F20">
              <w:rPr>
                <w:szCs w:val="18"/>
              </w:rPr>
              <w:t>15008</w:t>
            </w:r>
          </w:p>
        </w:tc>
        <w:tc>
          <w:tcPr>
            <w:tcW w:w="2802" w:type="dxa"/>
          </w:tcPr>
          <w:p w14:paraId="6FFAE28D" w14:textId="5F4201AD" w:rsidR="000B27B9" w:rsidRPr="00674F20" w:rsidRDefault="000B27B9" w:rsidP="0064265C">
            <w:pPr>
              <w:pStyle w:val="Tabletext9pt"/>
              <w:rPr>
                <w:szCs w:val="18"/>
              </w:rPr>
            </w:pPr>
            <w:r w:rsidRPr="00674F20">
              <w:rPr>
                <w:szCs w:val="18"/>
              </w:rPr>
              <w:t xml:space="preserve">Adult </w:t>
            </w:r>
            <w:r w:rsidR="00DD3294" w:rsidRPr="00674F20">
              <w:rPr>
                <w:szCs w:val="18"/>
              </w:rPr>
              <w:t>integrated community service</w:t>
            </w:r>
          </w:p>
        </w:tc>
        <w:tc>
          <w:tcPr>
            <w:tcW w:w="5230" w:type="dxa"/>
          </w:tcPr>
          <w:p w14:paraId="06D21C8F" w14:textId="77777777" w:rsidR="000B27B9" w:rsidRPr="00674F20" w:rsidRDefault="000B27B9" w:rsidP="0064265C">
            <w:pPr>
              <w:pStyle w:val="Tabletext9pt"/>
              <w:rPr>
                <w:szCs w:val="18"/>
              </w:rPr>
            </w:pPr>
            <w:r w:rsidRPr="00674F20">
              <w:rPr>
                <w:szCs w:val="18"/>
              </w:rPr>
              <w:t>An integrated range of services that meet the client’s treatment needs, ensuring efficient and effective community-based mental health services</w:t>
            </w:r>
            <w:r>
              <w:rPr>
                <w:szCs w:val="18"/>
              </w:rPr>
              <w:t xml:space="preserve"> are provided</w:t>
            </w:r>
            <w:r w:rsidRPr="00674F20">
              <w:rPr>
                <w:szCs w:val="18"/>
              </w:rPr>
              <w:t>.</w:t>
            </w:r>
          </w:p>
        </w:tc>
      </w:tr>
      <w:tr w:rsidR="000B27B9" w:rsidRPr="004E0550" w14:paraId="24C42ED5" w14:textId="77777777" w:rsidTr="31E98B47">
        <w:trPr>
          <w:cantSplit/>
        </w:trPr>
        <w:tc>
          <w:tcPr>
            <w:tcW w:w="1267" w:type="dxa"/>
          </w:tcPr>
          <w:p w14:paraId="64C8235F" w14:textId="77777777" w:rsidR="000B27B9" w:rsidRPr="00674F20" w:rsidRDefault="000B27B9" w:rsidP="0064265C">
            <w:pPr>
              <w:pStyle w:val="Tabletext9pt"/>
              <w:rPr>
                <w:szCs w:val="18"/>
              </w:rPr>
            </w:pPr>
            <w:r w:rsidRPr="00674F20">
              <w:rPr>
                <w:szCs w:val="18"/>
              </w:rPr>
              <w:t>15012</w:t>
            </w:r>
          </w:p>
        </w:tc>
        <w:tc>
          <w:tcPr>
            <w:tcW w:w="2802" w:type="dxa"/>
          </w:tcPr>
          <w:p w14:paraId="6D01E314" w14:textId="56318458" w:rsidR="000B27B9" w:rsidRPr="00674F20" w:rsidRDefault="000B27B9" w:rsidP="0064265C">
            <w:pPr>
              <w:pStyle w:val="Tabletext9pt"/>
              <w:rPr>
                <w:szCs w:val="18"/>
              </w:rPr>
            </w:pPr>
            <w:r w:rsidRPr="00674F20">
              <w:rPr>
                <w:szCs w:val="18"/>
              </w:rPr>
              <w:t xml:space="preserve">Acute </w:t>
            </w:r>
            <w:r w:rsidR="00DD3294" w:rsidRPr="00674F20">
              <w:rPr>
                <w:szCs w:val="18"/>
              </w:rPr>
              <w:t>care – adult</w:t>
            </w:r>
          </w:p>
        </w:tc>
        <w:tc>
          <w:tcPr>
            <w:tcW w:w="5230" w:type="dxa"/>
          </w:tcPr>
          <w:p w14:paraId="7C7161DC" w14:textId="77777777" w:rsidR="000B27B9" w:rsidRPr="00674F20" w:rsidRDefault="000B27B9" w:rsidP="0064265C">
            <w:pPr>
              <w:pStyle w:val="Tabletext9pt"/>
              <w:rPr>
                <w:szCs w:val="18"/>
              </w:rPr>
            </w:pPr>
            <w:r w:rsidRPr="00674F20">
              <w:rPr>
                <w:szCs w:val="18"/>
              </w:rPr>
              <w:t>Acute inpatient units provide for the short-term assessment, treatment and management of mentally ill adults aged 15–65</w:t>
            </w:r>
            <w:r>
              <w:rPr>
                <w:szCs w:val="18"/>
              </w:rPr>
              <w:t xml:space="preserve"> years</w:t>
            </w:r>
            <w:r w:rsidRPr="00674F20">
              <w:rPr>
                <w:szCs w:val="18"/>
              </w:rPr>
              <w:t>. The focus is on intervention designed to reduce symptoms and promote recovery from mental illness.</w:t>
            </w:r>
          </w:p>
        </w:tc>
      </w:tr>
      <w:tr w:rsidR="000B27B9" w:rsidRPr="004E0550" w14:paraId="20693308" w14:textId="77777777" w:rsidTr="31E98B47">
        <w:trPr>
          <w:cantSplit/>
        </w:trPr>
        <w:tc>
          <w:tcPr>
            <w:tcW w:w="1267" w:type="dxa"/>
          </w:tcPr>
          <w:p w14:paraId="1545693D" w14:textId="77777777" w:rsidR="000B27B9" w:rsidRPr="00674F20" w:rsidRDefault="000B27B9" w:rsidP="0064265C">
            <w:pPr>
              <w:pStyle w:val="Tabletext9pt"/>
              <w:rPr>
                <w:szCs w:val="18"/>
              </w:rPr>
            </w:pPr>
            <w:r w:rsidRPr="00674F20">
              <w:rPr>
                <w:szCs w:val="18"/>
              </w:rPr>
              <w:t>15014</w:t>
            </w:r>
          </w:p>
        </w:tc>
        <w:tc>
          <w:tcPr>
            <w:tcW w:w="2802" w:type="dxa"/>
          </w:tcPr>
          <w:p w14:paraId="22E3040E" w14:textId="62147562" w:rsidR="000B27B9" w:rsidRPr="00674F20" w:rsidRDefault="000B27B9" w:rsidP="0064265C">
            <w:pPr>
              <w:pStyle w:val="Tabletext9pt"/>
              <w:rPr>
                <w:szCs w:val="18"/>
              </w:rPr>
            </w:pPr>
            <w:r w:rsidRPr="00674F20">
              <w:rPr>
                <w:szCs w:val="18"/>
              </w:rPr>
              <w:t xml:space="preserve">Secure </w:t>
            </w:r>
            <w:r w:rsidR="00DD3294" w:rsidRPr="00674F20">
              <w:rPr>
                <w:szCs w:val="18"/>
              </w:rPr>
              <w:t>extended care – adult</w:t>
            </w:r>
          </w:p>
        </w:tc>
        <w:tc>
          <w:tcPr>
            <w:tcW w:w="5230" w:type="dxa"/>
          </w:tcPr>
          <w:p w14:paraId="7A1F5E15" w14:textId="77777777" w:rsidR="000B27B9" w:rsidRPr="00674F20" w:rsidRDefault="000B27B9" w:rsidP="0064265C">
            <w:pPr>
              <w:pStyle w:val="Tabletext9pt"/>
              <w:rPr>
                <w:szCs w:val="18"/>
              </w:rPr>
            </w:pPr>
            <w:r w:rsidRPr="00674F20">
              <w:rPr>
                <w:szCs w:val="18"/>
              </w:rPr>
              <w:t xml:space="preserve">Long-term inpatient treatment and support for adults aged 15–65 </w:t>
            </w:r>
            <w:r>
              <w:rPr>
                <w:szCs w:val="18"/>
              </w:rPr>
              <w:t xml:space="preserve">years </w:t>
            </w:r>
            <w:r w:rsidRPr="00674F20">
              <w:rPr>
                <w:szCs w:val="18"/>
              </w:rPr>
              <w:t xml:space="preserve">who have unremitting and severe symptoms, together with an associated significant disturbance in behaviour that inhibits the </w:t>
            </w:r>
            <w:r>
              <w:rPr>
                <w:szCs w:val="18"/>
              </w:rPr>
              <w:t>person</w:t>
            </w:r>
            <w:r w:rsidRPr="00674F20">
              <w:rPr>
                <w:szCs w:val="18"/>
              </w:rPr>
              <w:t>’s capacity to live in the community.</w:t>
            </w:r>
          </w:p>
        </w:tc>
      </w:tr>
      <w:tr w:rsidR="000B27B9" w:rsidRPr="004E0550" w14:paraId="3EFD3332" w14:textId="77777777" w:rsidTr="31E98B47">
        <w:trPr>
          <w:cantSplit/>
        </w:trPr>
        <w:tc>
          <w:tcPr>
            <w:tcW w:w="1267" w:type="dxa"/>
          </w:tcPr>
          <w:p w14:paraId="7ED786DB" w14:textId="77777777" w:rsidR="000B27B9" w:rsidRPr="00674F20" w:rsidRDefault="000B27B9" w:rsidP="0064265C">
            <w:pPr>
              <w:pStyle w:val="Tabletext9pt"/>
              <w:rPr>
                <w:szCs w:val="18"/>
              </w:rPr>
            </w:pPr>
            <w:r w:rsidRPr="00674F20">
              <w:rPr>
                <w:szCs w:val="18"/>
              </w:rPr>
              <w:t>15019</w:t>
            </w:r>
          </w:p>
        </w:tc>
        <w:tc>
          <w:tcPr>
            <w:tcW w:w="2802" w:type="dxa"/>
          </w:tcPr>
          <w:p w14:paraId="2D5D6E4E" w14:textId="34ADA6F9" w:rsidR="000B27B9" w:rsidRPr="00674F20" w:rsidRDefault="000B27B9" w:rsidP="0064265C">
            <w:pPr>
              <w:pStyle w:val="Tabletext9pt"/>
              <w:rPr>
                <w:szCs w:val="18"/>
              </w:rPr>
            </w:pPr>
            <w:r w:rsidRPr="00674F20">
              <w:rPr>
                <w:szCs w:val="18"/>
              </w:rPr>
              <w:t xml:space="preserve">Aged </w:t>
            </w:r>
            <w:r w:rsidR="00DD3294" w:rsidRPr="00674F20">
              <w:rPr>
                <w:szCs w:val="18"/>
              </w:rPr>
              <w:t>persons mental health community teams</w:t>
            </w:r>
          </w:p>
        </w:tc>
        <w:tc>
          <w:tcPr>
            <w:tcW w:w="5230" w:type="dxa"/>
          </w:tcPr>
          <w:p w14:paraId="745D6BCB" w14:textId="3D0324E7" w:rsidR="000B27B9" w:rsidRPr="00674F20" w:rsidRDefault="000B27B9" w:rsidP="0064265C">
            <w:pPr>
              <w:pStyle w:val="Tabletext9pt"/>
              <w:rPr>
                <w:szCs w:val="18"/>
              </w:rPr>
            </w:pPr>
            <w:r w:rsidRPr="00674F20">
              <w:rPr>
                <w:szCs w:val="18"/>
              </w:rPr>
              <w:t xml:space="preserve">Mobile services </w:t>
            </w:r>
            <w:r>
              <w:rPr>
                <w:szCs w:val="18"/>
              </w:rPr>
              <w:t>that</w:t>
            </w:r>
            <w:r w:rsidRPr="00674F20">
              <w:rPr>
                <w:szCs w:val="18"/>
              </w:rPr>
              <w:t xml:space="preserve"> provide assessment, treatment, </w:t>
            </w:r>
            <w:r w:rsidR="00A45583" w:rsidRPr="00674F20">
              <w:rPr>
                <w:szCs w:val="18"/>
              </w:rPr>
              <w:t>rehabilitation,</w:t>
            </w:r>
            <w:r w:rsidRPr="00674F20">
              <w:rPr>
                <w:szCs w:val="18"/>
              </w:rPr>
              <w:t xml:space="preserve"> and case management for people with a mental illness primarily over 65 years of age.</w:t>
            </w:r>
          </w:p>
        </w:tc>
      </w:tr>
      <w:tr w:rsidR="000B27B9" w:rsidRPr="004E0550" w14:paraId="67943484" w14:textId="77777777" w:rsidTr="31E98B47">
        <w:trPr>
          <w:cantSplit/>
        </w:trPr>
        <w:tc>
          <w:tcPr>
            <w:tcW w:w="1267" w:type="dxa"/>
          </w:tcPr>
          <w:p w14:paraId="12A1E719" w14:textId="77777777" w:rsidR="000B27B9" w:rsidRPr="00674F20" w:rsidRDefault="000B27B9" w:rsidP="0064265C">
            <w:pPr>
              <w:pStyle w:val="Tabletext9pt"/>
              <w:rPr>
                <w:szCs w:val="18"/>
              </w:rPr>
            </w:pPr>
            <w:r w:rsidRPr="00674F20">
              <w:rPr>
                <w:szCs w:val="18"/>
              </w:rPr>
              <w:t>15022</w:t>
            </w:r>
          </w:p>
        </w:tc>
        <w:tc>
          <w:tcPr>
            <w:tcW w:w="2802" w:type="dxa"/>
          </w:tcPr>
          <w:p w14:paraId="682B6D11" w14:textId="0A5FD9C6" w:rsidR="000B27B9" w:rsidRPr="00674F20" w:rsidRDefault="000B27B9" w:rsidP="0064265C">
            <w:pPr>
              <w:pStyle w:val="Tabletext9pt"/>
              <w:rPr>
                <w:szCs w:val="18"/>
              </w:rPr>
            </w:pPr>
            <w:r w:rsidRPr="00674F20">
              <w:rPr>
                <w:szCs w:val="18"/>
              </w:rPr>
              <w:t xml:space="preserve">Acute </w:t>
            </w:r>
            <w:r w:rsidR="00DD3294" w:rsidRPr="00674F20">
              <w:rPr>
                <w:szCs w:val="18"/>
              </w:rPr>
              <w:t>care – aged</w:t>
            </w:r>
          </w:p>
        </w:tc>
        <w:tc>
          <w:tcPr>
            <w:tcW w:w="5230" w:type="dxa"/>
          </w:tcPr>
          <w:p w14:paraId="65040DD9" w14:textId="77777777" w:rsidR="000B27B9" w:rsidRPr="00674F20" w:rsidRDefault="000B27B9" w:rsidP="0064265C">
            <w:pPr>
              <w:pStyle w:val="Tabletext9pt"/>
              <w:rPr>
                <w:szCs w:val="18"/>
              </w:rPr>
            </w:pPr>
            <w:r w:rsidRPr="00674F20">
              <w:rPr>
                <w:szCs w:val="18"/>
              </w:rPr>
              <w:t xml:space="preserve">Inpatient units providing short-term assessment and treatment for older people aged 65 </w:t>
            </w:r>
            <w:r>
              <w:rPr>
                <w:szCs w:val="18"/>
              </w:rPr>
              <w:t>or</w:t>
            </w:r>
            <w:r w:rsidRPr="00674F20">
              <w:rPr>
                <w:szCs w:val="18"/>
              </w:rPr>
              <w:t xml:space="preserve"> </w:t>
            </w:r>
            <w:r>
              <w:rPr>
                <w:szCs w:val="18"/>
              </w:rPr>
              <w:t>older</w:t>
            </w:r>
            <w:r w:rsidRPr="00674F20">
              <w:rPr>
                <w:szCs w:val="18"/>
              </w:rPr>
              <w:t xml:space="preserve"> with acute symptoms of mental illness who cannot safely be cared for in the community.</w:t>
            </w:r>
          </w:p>
        </w:tc>
      </w:tr>
      <w:tr w:rsidR="000B27B9" w:rsidRPr="004E0550" w14:paraId="2925BB2F" w14:textId="77777777" w:rsidTr="31E98B47">
        <w:trPr>
          <w:cantSplit/>
        </w:trPr>
        <w:tc>
          <w:tcPr>
            <w:tcW w:w="1267" w:type="dxa"/>
          </w:tcPr>
          <w:p w14:paraId="3BAFA15E" w14:textId="77777777" w:rsidR="000B27B9" w:rsidRPr="00674F20" w:rsidRDefault="000B27B9" w:rsidP="0064265C">
            <w:pPr>
              <w:pStyle w:val="Tabletext9pt"/>
              <w:rPr>
                <w:szCs w:val="18"/>
              </w:rPr>
            </w:pPr>
            <w:r w:rsidRPr="00674F20">
              <w:rPr>
                <w:szCs w:val="18"/>
              </w:rPr>
              <w:t>15026</w:t>
            </w:r>
          </w:p>
        </w:tc>
        <w:tc>
          <w:tcPr>
            <w:tcW w:w="2802" w:type="dxa"/>
          </w:tcPr>
          <w:p w14:paraId="5BCE5ED3" w14:textId="4E187716" w:rsidR="000B27B9" w:rsidRPr="00674F20" w:rsidRDefault="000B27B9" w:rsidP="0064265C">
            <w:pPr>
              <w:pStyle w:val="Tabletext9pt"/>
              <w:rPr>
                <w:szCs w:val="18"/>
              </w:rPr>
            </w:pPr>
            <w:r w:rsidRPr="00674F20">
              <w:rPr>
                <w:szCs w:val="18"/>
              </w:rPr>
              <w:t>Child and</w:t>
            </w:r>
            <w:r w:rsidR="00DD3294" w:rsidRPr="00674F20">
              <w:rPr>
                <w:szCs w:val="18"/>
              </w:rPr>
              <w:t xml:space="preserve"> adolescent assessment treatment</w:t>
            </w:r>
          </w:p>
        </w:tc>
        <w:tc>
          <w:tcPr>
            <w:tcW w:w="5230" w:type="dxa"/>
          </w:tcPr>
          <w:p w14:paraId="1718B007" w14:textId="77777777" w:rsidR="000B27B9" w:rsidRPr="00674F20" w:rsidRDefault="000B27B9" w:rsidP="001626B5">
            <w:pPr>
              <w:pStyle w:val="Tabletext9pt"/>
            </w:pPr>
            <w:r w:rsidRPr="00674F20">
              <w:t>A range of services including crisis assessment, case management, individual or group therapy, family therapy, parent support and medication-based treatments for children and adolescents experiencing significant psychological distress or mental illness. Services support a timely response to referrals, including crises, delivered on an outreach basis, where appropriate.</w:t>
            </w:r>
          </w:p>
        </w:tc>
      </w:tr>
      <w:tr w:rsidR="000B27B9" w:rsidRPr="004E0550" w14:paraId="38A85FC3" w14:textId="77777777" w:rsidTr="31E98B47">
        <w:trPr>
          <w:cantSplit/>
        </w:trPr>
        <w:tc>
          <w:tcPr>
            <w:tcW w:w="1267" w:type="dxa"/>
          </w:tcPr>
          <w:p w14:paraId="278ACE38" w14:textId="77777777" w:rsidR="000B27B9" w:rsidRPr="00674F20" w:rsidRDefault="000B27B9" w:rsidP="0064265C">
            <w:pPr>
              <w:pStyle w:val="Tabletext9pt"/>
              <w:rPr>
                <w:szCs w:val="18"/>
              </w:rPr>
            </w:pPr>
            <w:r w:rsidRPr="00674F20">
              <w:rPr>
                <w:szCs w:val="18"/>
              </w:rPr>
              <w:t>15028</w:t>
            </w:r>
          </w:p>
        </w:tc>
        <w:tc>
          <w:tcPr>
            <w:tcW w:w="2802" w:type="dxa"/>
          </w:tcPr>
          <w:p w14:paraId="13161383" w14:textId="0CCBE8B2" w:rsidR="000B27B9" w:rsidRPr="00674F20" w:rsidRDefault="000B27B9" w:rsidP="0064265C">
            <w:pPr>
              <w:pStyle w:val="Tabletext9pt"/>
              <w:rPr>
                <w:szCs w:val="18"/>
              </w:rPr>
            </w:pPr>
            <w:r w:rsidRPr="00674F20">
              <w:rPr>
                <w:szCs w:val="18"/>
              </w:rPr>
              <w:t xml:space="preserve">Intensive </w:t>
            </w:r>
            <w:r w:rsidR="00DD3294" w:rsidRPr="00674F20">
              <w:rPr>
                <w:szCs w:val="18"/>
              </w:rPr>
              <w:t>youth support</w:t>
            </w:r>
          </w:p>
        </w:tc>
        <w:tc>
          <w:tcPr>
            <w:tcW w:w="5230" w:type="dxa"/>
          </w:tcPr>
          <w:p w14:paraId="50F741E9" w14:textId="65A445B1" w:rsidR="000B27B9" w:rsidRPr="00674F20" w:rsidRDefault="000B27B9" w:rsidP="0064265C">
            <w:pPr>
              <w:pStyle w:val="Tabletext9pt"/>
              <w:rPr>
                <w:szCs w:val="18"/>
              </w:rPr>
            </w:pPr>
            <w:r>
              <w:rPr>
                <w:szCs w:val="18"/>
              </w:rPr>
              <w:t>M</w:t>
            </w:r>
            <w:r w:rsidRPr="00674F20">
              <w:rPr>
                <w:szCs w:val="18"/>
              </w:rPr>
              <w:t>obile intensive mental health case management and support to adolescents who display substantial and prolonged psychological disturbance</w:t>
            </w:r>
            <w:r>
              <w:rPr>
                <w:szCs w:val="18"/>
              </w:rPr>
              <w:t xml:space="preserve"> and</w:t>
            </w:r>
            <w:r w:rsidRPr="00674F20">
              <w:rPr>
                <w:szCs w:val="18"/>
              </w:rPr>
              <w:t xml:space="preserve"> have complex needs</w:t>
            </w:r>
            <w:r>
              <w:rPr>
                <w:szCs w:val="18"/>
              </w:rPr>
              <w:t xml:space="preserve"> that</w:t>
            </w:r>
            <w:r w:rsidRPr="00674F20">
              <w:rPr>
                <w:szCs w:val="18"/>
              </w:rPr>
              <w:t xml:space="preserve"> may include challenging, </w:t>
            </w:r>
            <w:r w:rsidR="00A45583" w:rsidRPr="00674F20">
              <w:rPr>
                <w:szCs w:val="18"/>
              </w:rPr>
              <w:t>at-risk,</w:t>
            </w:r>
            <w:r w:rsidRPr="00674F20">
              <w:rPr>
                <w:szCs w:val="18"/>
              </w:rPr>
              <w:t xml:space="preserve"> and suicidal behaviours, and who have been difficult to engage using less-intensive treatment approaches.</w:t>
            </w:r>
          </w:p>
        </w:tc>
      </w:tr>
      <w:tr w:rsidR="000B27B9" w:rsidRPr="004E0550" w14:paraId="16116F73" w14:textId="77777777" w:rsidTr="31E98B47">
        <w:trPr>
          <w:cantSplit/>
        </w:trPr>
        <w:tc>
          <w:tcPr>
            <w:tcW w:w="1267" w:type="dxa"/>
          </w:tcPr>
          <w:p w14:paraId="2E6E86B2" w14:textId="77777777" w:rsidR="000B27B9" w:rsidRPr="00674F20" w:rsidRDefault="000B27B9" w:rsidP="0064265C">
            <w:pPr>
              <w:pStyle w:val="Tabletext9pt"/>
              <w:rPr>
                <w:szCs w:val="18"/>
              </w:rPr>
            </w:pPr>
            <w:r w:rsidRPr="00674F20">
              <w:rPr>
                <w:szCs w:val="18"/>
              </w:rPr>
              <w:lastRenderedPageBreak/>
              <w:t>15030</w:t>
            </w:r>
          </w:p>
        </w:tc>
        <w:tc>
          <w:tcPr>
            <w:tcW w:w="2802" w:type="dxa"/>
          </w:tcPr>
          <w:p w14:paraId="61321FBF" w14:textId="32840EB2" w:rsidR="000B27B9" w:rsidRPr="00674F20" w:rsidRDefault="000B27B9" w:rsidP="0064265C">
            <w:pPr>
              <w:pStyle w:val="Tabletext9pt"/>
              <w:rPr>
                <w:szCs w:val="18"/>
              </w:rPr>
            </w:pPr>
            <w:r w:rsidRPr="00674F20">
              <w:rPr>
                <w:szCs w:val="18"/>
              </w:rPr>
              <w:t xml:space="preserve">Acute </w:t>
            </w:r>
            <w:r w:rsidR="00DD3294" w:rsidRPr="00674F20">
              <w:rPr>
                <w:szCs w:val="18"/>
              </w:rPr>
              <w:t>care – specialist statewide</w:t>
            </w:r>
          </w:p>
        </w:tc>
        <w:tc>
          <w:tcPr>
            <w:tcW w:w="5230" w:type="dxa"/>
          </w:tcPr>
          <w:p w14:paraId="5AF8CE5B" w14:textId="0B0B493E" w:rsidR="000B27B9" w:rsidRPr="00674F20" w:rsidRDefault="000B27B9" w:rsidP="0064265C">
            <w:pPr>
              <w:pStyle w:val="Tabletext9pt"/>
              <w:rPr>
                <w:szCs w:val="18"/>
              </w:rPr>
            </w:pPr>
            <w:r w:rsidRPr="00674F20">
              <w:rPr>
                <w:szCs w:val="18"/>
              </w:rPr>
              <w:t xml:space="preserve">A range of specialist clinical inpatient mental health assessment, treatment or consultancy services that support specific and general target groups on a </w:t>
            </w:r>
            <w:r>
              <w:rPr>
                <w:szCs w:val="18"/>
              </w:rPr>
              <w:t>statewide</w:t>
            </w:r>
            <w:r w:rsidRPr="00674F20">
              <w:rPr>
                <w:szCs w:val="18"/>
              </w:rPr>
              <w:t>, interregional or specific catchment area basis. The focus of these inpatient services is on clinical service provision to people with a mental illness.</w:t>
            </w:r>
          </w:p>
        </w:tc>
      </w:tr>
      <w:tr w:rsidR="000B27B9" w:rsidRPr="004E0550" w14:paraId="59F40E0F" w14:textId="77777777" w:rsidTr="31E98B47">
        <w:trPr>
          <w:cantSplit/>
        </w:trPr>
        <w:tc>
          <w:tcPr>
            <w:tcW w:w="1267" w:type="dxa"/>
          </w:tcPr>
          <w:p w14:paraId="35ED41F4" w14:textId="77777777" w:rsidR="000B27B9" w:rsidRPr="00674F20" w:rsidRDefault="000B27B9" w:rsidP="0064265C">
            <w:pPr>
              <w:pStyle w:val="Tabletext9pt"/>
              <w:rPr>
                <w:szCs w:val="18"/>
              </w:rPr>
            </w:pPr>
            <w:r w:rsidRPr="00674F20">
              <w:rPr>
                <w:szCs w:val="18"/>
              </w:rPr>
              <w:t>15031</w:t>
            </w:r>
          </w:p>
        </w:tc>
        <w:tc>
          <w:tcPr>
            <w:tcW w:w="2802" w:type="dxa"/>
          </w:tcPr>
          <w:p w14:paraId="6A0809CD" w14:textId="0E6E2530" w:rsidR="000B27B9" w:rsidRPr="00674F20" w:rsidRDefault="000B27B9" w:rsidP="0064265C">
            <w:pPr>
              <w:pStyle w:val="Tabletext9pt"/>
              <w:rPr>
                <w:szCs w:val="18"/>
              </w:rPr>
            </w:pPr>
            <w:r w:rsidRPr="00674F20">
              <w:rPr>
                <w:szCs w:val="18"/>
              </w:rPr>
              <w:t xml:space="preserve">Acute </w:t>
            </w:r>
            <w:r w:rsidR="00DD3294" w:rsidRPr="00674F20">
              <w:rPr>
                <w:szCs w:val="18"/>
              </w:rPr>
              <w:t>care – child and adolescent</w:t>
            </w:r>
          </w:p>
        </w:tc>
        <w:tc>
          <w:tcPr>
            <w:tcW w:w="5230" w:type="dxa"/>
          </w:tcPr>
          <w:p w14:paraId="516CE758" w14:textId="77777777" w:rsidR="000B27B9" w:rsidRPr="00674F20" w:rsidRDefault="000B27B9" w:rsidP="0064265C">
            <w:pPr>
              <w:pStyle w:val="Tabletext9pt"/>
              <w:rPr>
                <w:szCs w:val="18"/>
              </w:rPr>
            </w:pPr>
            <w:r w:rsidRPr="00674F20">
              <w:rPr>
                <w:szCs w:val="18"/>
              </w:rPr>
              <w:t>Inpatient units provide short-term psychiatric assessment and treatment for children and adolescents with severe psychological disturbance who cannot be effectively assessed or treated in a less-restrictive community-based setting.</w:t>
            </w:r>
          </w:p>
        </w:tc>
      </w:tr>
      <w:tr w:rsidR="000B27B9" w:rsidRPr="004E0550" w14:paraId="5B1A0F0C" w14:textId="77777777" w:rsidTr="31E98B47">
        <w:trPr>
          <w:cantSplit/>
        </w:trPr>
        <w:tc>
          <w:tcPr>
            <w:tcW w:w="1267" w:type="dxa"/>
          </w:tcPr>
          <w:p w14:paraId="02CC2F4B" w14:textId="77777777" w:rsidR="000B27B9" w:rsidRPr="00674F20" w:rsidRDefault="000B27B9" w:rsidP="0064265C">
            <w:pPr>
              <w:pStyle w:val="Tabletext9pt"/>
              <w:rPr>
                <w:szCs w:val="18"/>
              </w:rPr>
            </w:pPr>
            <w:r w:rsidRPr="00674F20">
              <w:rPr>
                <w:szCs w:val="18"/>
              </w:rPr>
              <w:t>15032</w:t>
            </w:r>
          </w:p>
        </w:tc>
        <w:tc>
          <w:tcPr>
            <w:tcW w:w="2802" w:type="dxa"/>
          </w:tcPr>
          <w:p w14:paraId="6E3EFB8D" w14:textId="77777777" w:rsidR="000B27B9" w:rsidRPr="00674F20" w:rsidRDefault="000B27B9" w:rsidP="0064265C">
            <w:pPr>
              <w:pStyle w:val="Tabletext9pt"/>
              <w:rPr>
                <w:szCs w:val="18"/>
              </w:rPr>
            </w:pPr>
            <w:r w:rsidRPr="00674F20">
              <w:rPr>
                <w:szCs w:val="18"/>
              </w:rPr>
              <w:t>Forensic Community Service</w:t>
            </w:r>
          </w:p>
        </w:tc>
        <w:tc>
          <w:tcPr>
            <w:tcW w:w="5230" w:type="dxa"/>
          </w:tcPr>
          <w:p w14:paraId="01454FFB" w14:textId="77777777" w:rsidR="000B27B9" w:rsidRPr="00674F20" w:rsidRDefault="000B27B9" w:rsidP="0064265C">
            <w:pPr>
              <w:pStyle w:val="Tabletext9pt"/>
              <w:rPr>
                <w:szCs w:val="18"/>
              </w:rPr>
            </w:pPr>
            <w:r w:rsidRPr="00674F20">
              <w:rPr>
                <w:szCs w:val="18"/>
              </w:rPr>
              <w:t>Provides community-based assessment and multidisciplinary treatment services to high-risk clients referred from a range of criminal justice agencies, mental health services and private practitioners. Also provides secondary consultations and specialist training to area mental health services.</w:t>
            </w:r>
          </w:p>
        </w:tc>
      </w:tr>
      <w:tr w:rsidR="000B27B9" w:rsidRPr="004E0550" w14:paraId="713F7407" w14:textId="77777777" w:rsidTr="31E98B47">
        <w:trPr>
          <w:cantSplit/>
        </w:trPr>
        <w:tc>
          <w:tcPr>
            <w:tcW w:w="1267" w:type="dxa"/>
          </w:tcPr>
          <w:p w14:paraId="11C0286A" w14:textId="77777777" w:rsidR="000B27B9" w:rsidRPr="00674F20" w:rsidRDefault="000B27B9" w:rsidP="0064265C">
            <w:pPr>
              <w:pStyle w:val="Tabletext9pt"/>
              <w:rPr>
                <w:szCs w:val="18"/>
              </w:rPr>
            </w:pPr>
            <w:r w:rsidRPr="00674F20">
              <w:rPr>
                <w:szCs w:val="18"/>
              </w:rPr>
              <w:t>15041</w:t>
            </w:r>
          </w:p>
        </w:tc>
        <w:tc>
          <w:tcPr>
            <w:tcW w:w="2802" w:type="dxa"/>
          </w:tcPr>
          <w:p w14:paraId="13DB1C6A" w14:textId="42DE7EE5" w:rsidR="000B27B9" w:rsidRPr="00674F20" w:rsidRDefault="000B27B9" w:rsidP="0064265C">
            <w:pPr>
              <w:pStyle w:val="Tabletext9pt"/>
              <w:rPr>
                <w:szCs w:val="18"/>
              </w:rPr>
            </w:pPr>
            <w:r w:rsidRPr="00674F20">
              <w:rPr>
                <w:szCs w:val="18"/>
              </w:rPr>
              <w:t xml:space="preserve">Acute </w:t>
            </w:r>
            <w:r w:rsidR="00DD3294" w:rsidRPr="00674F20">
              <w:rPr>
                <w:szCs w:val="18"/>
              </w:rPr>
              <w:t>care – forensic</w:t>
            </w:r>
          </w:p>
        </w:tc>
        <w:tc>
          <w:tcPr>
            <w:tcW w:w="5230" w:type="dxa"/>
          </w:tcPr>
          <w:p w14:paraId="57DDC0EF" w14:textId="35E2729A" w:rsidR="000B27B9" w:rsidRPr="00674F20" w:rsidRDefault="000B27B9" w:rsidP="0064265C">
            <w:pPr>
              <w:pStyle w:val="Tabletext9pt"/>
              <w:rPr>
                <w:szCs w:val="18"/>
              </w:rPr>
            </w:pPr>
            <w:r w:rsidRPr="00674F20">
              <w:rPr>
                <w:szCs w:val="18"/>
              </w:rPr>
              <w:t xml:space="preserve">Inpatient services for the assessment, diagnosis and treatment of the crisis and acute phases of mentally disturbed offenders referred by the courts, prison system, </w:t>
            </w:r>
            <w:r w:rsidR="00A45583" w:rsidRPr="00674F20">
              <w:rPr>
                <w:szCs w:val="18"/>
              </w:rPr>
              <w:t>police,</w:t>
            </w:r>
            <w:r w:rsidRPr="00674F20">
              <w:rPr>
                <w:szCs w:val="18"/>
              </w:rPr>
              <w:t xml:space="preserve"> and general mental health services.</w:t>
            </w:r>
          </w:p>
        </w:tc>
      </w:tr>
      <w:tr w:rsidR="000B27B9" w:rsidRPr="004E0550" w14:paraId="5E145C80" w14:textId="77777777" w:rsidTr="31E98B47">
        <w:trPr>
          <w:cantSplit/>
        </w:trPr>
        <w:tc>
          <w:tcPr>
            <w:tcW w:w="1267" w:type="dxa"/>
          </w:tcPr>
          <w:p w14:paraId="2A531D44" w14:textId="77777777" w:rsidR="000B27B9" w:rsidRPr="00674F20" w:rsidRDefault="000B27B9" w:rsidP="0064265C">
            <w:pPr>
              <w:pStyle w:val="Tabletext9pt"/>
              <w:rPr>
                <w:szCs w:val="18"/>
              </w:rPr>
            </w:pPr>
            <w:r w:rsidRPr="00674F20">
              <w:rPr>
                <w:szCs w:val="18"/>
              </w:rPr>
              <w:t>15049</w:t>
            </w:r>
          </w:p>
        </w:tc>
        <w:tc>
          <w:tcPr>
            <w:tcW w:w="2802" w:type="dxa"/>
          </w:tcPr>
          <w:p w14:paraId="519682C2" w14:textId="4DC22032" w:rsidR="000B27B9" w:rsidRPr="00674F20" w:rsidRDefault="000B27B9" w:rsidP="0064265C">
            <w:pPr>
              <w:pStyle w:val="Tabletext9pt"/>
              <w:rPr>
                <w:szCs w:val="18"/>
              </w:rPr>
            </w:pPr>
            <w:r w:rsidRPr="00674F20">
              <w:rPr>
                <w:szCs w:val="18"/>
              </w:rPr>
              <w:t xml:space="preserve">Aged </w:t>
            </w:r>
            <w:r w:rsidR="00DD3294" w:rsidRPr="00674F20">
              <w:rPr>
                <w:szCs w:val="18"/>
              </w:rPr>
              <w:t xml:space="preserve">persons mental health </w:t>
            </w:r>
            <w:r w:rsidR="00DD3294">
              <w:rPr>
                <w:szCs w:val="18"/>
              </w:rPr>
              <w:t>n</w:t>
            </w:r>
            <w:r w:rsidR="00DD3294" w:rsidRPr="00674F20">
              <w:rPr>
                <w:szCs w:val="18"/>
              </w:rPr>
              <w:t>ursing home supplement</w:t>
            </w:r>
          </w:p>
        </w:tc>
        <w:tc>
          <w:tcPr>
            <w:tcW w:w="5230" w:type="dxa"/>
          </w:tcPr>
          <w:p w14:paraId="16232A24" w14:textId="2C169593" w:rsidR="000B27B9" w:rsidRPr="00674F20" w:rsidRDefault="000B27B9" w:rsidP="0064265C">
            <w:pPr>
              <w:pStyle w:val="Tabletext9pt"/>
              <w:rPr>
                <w:szCs w:val="18"/>
              </w:rPr>
            </w:pPr>
            <w:r w:rsidRPr="00674F20">
              <w:rPr>
                <w:szCs w:val="18"/>
              </w:rPr>
              <w:t xml:space="preserve">Community residential services for aged clients who cannot be managed in the general residential system due to their level of persistent cognitive, </w:t>
            </w:r>
            <w:r w:rsidR="00A45583" w:rsidRPr="00674F20">
              <w:rPr>
                <w:szCs w:val="18"/>
              </w:rPr>
              <w:t>emotional,</w:t>
            </w:r>
            <w:r w:rsidRPr="00674F20">
              <w:rPr>
                <w:szCs w:val="18"/>
              </w:rPr>
              <w:t xml:space="preserve"> or behavioural disturbances. Services include</w:t>
            </w:r>
            <w:r>
              <w:rPr>
                <w:szCs w:val="18"/>
              </w:rPr>
              <w:t>:</w:t>
            </w:r>
            <w:r w:rsidRPr="00674F20">
              <w:rPr>
                <w:szCs w:val="18"/>
              </w:rPr>
              <w:t xml:space="preserve"> long-term accommodation; ongoing assessment, </w:t>
            </w:r>
            <w:r w:rsidR="00BE7B6C" w:rsidRPr="00674F20">
              <w:rPr>
                <w:szCs w:val="18"/>
              </w:rPr>
              <w:t>treatment,</w:t>
            </w:r>
            <w:r w:rsidRPr="00674F20">
              <w:rPr>
                <w:szCs w:val="18"/>
              </w:rPr>
              <w:t xml:space="preserve"> and care of residents</w:t>
            </w:r>
            <w:r>
              <w:rPr>
                <w:szCs w:val="18"/>
              </w:rPr>
              <w:t>;</w:t>
            </w:r>
            <w:r w:rsidRPr="00674F20">
              <w:rPr>
                <w:szCs w:val="18"/>
              </w:rPr>
              <w:t xml:space="preserve"> rehabilitation</w:t>
            </w:r>
            <w:r>
              <w:rPr>
                <w:szCs w:val="18"/>
              </w:rPr>
              <w:t>;</w:t>
            </w:r>
            <w:r w:rsidRPr="00674F20">
              <w:rPr>
                <w:szCs w:val="18"/>
              </w:rPr>
              <w:t xml:space="preserve"> and respite care.</w:t>
            </w:r>
          </w:p>
        </w:tc>
      </w:tr>
      <w:tr w:rsidR="000B27B9" w:rsidRPr="004E0550" w14:paraId="34773E39" w14:textId="77777777" w:rsidTr="31E98B47">
        <w:trPr>
          <w:cantSplit/>
        </w:trPr>
        <w:tc>
          <w:tcPr>
            <w:tcW w:w="1267" w:type="dxa"/>
          </w:tcPr>
          <w:p w14:paraId="4E2D87E5" w14:textId="77777777" w:rsidR="000B27B9" w:rsidRPr="00674F20" w:rsidRDefault="000B27B9" w:rsidP="0064265C">
            <w:pPr>
              <w:pStyle w:val="Tabletext9pt"/>
              <w:rPr>
                <w:szCs w:val="18"/>
              </w:rPr>
            </w:pPr>
            <w:r w:rsidRPr="00674F20">
              <w:rPr>
                <w:szCs w:val="18"/>
              </w:rPr>
              <w:t>15054</w:t>
            </w:r>
          </w:p>
        </w:tc>
        <w:tc>
          <w:tcPr>
            <w:tcW w:w="2802" w:type="dxa"/>
          </w:tcPr>
          <w:p w14:paraId="43C33D86" w14:textId="23151FB2" w:rsidR="000B27B9" w:rsidRPr="00674F20" w:rsidRDefault="000B27B9" w:rsidP="0064265C">
            <w:pPr>
              <w:pStyle w:val="Tabletext9pt"/>
              <w:rPr>
                <w:szCs w:val="18"/>
              </w:rPr>
            </w:pPr>
            <w:r w:rsidRPr="00674F20">
              <w:rPr>
                <w:szCs w:val="18"/>
              </w:rPr>
              <w:t xml:space="preserve">Training – </w:t>
            </w:r>
            <w:r w:rsidR="00DD3294">
              <w:rPr>
                <w:szCs w:val="18"/>
              </w:rPr>
              <w:t>statewide</w:t>
            </w:r>
          </w:p>
        </w:tc>
        <w:tc>
          <w:tcPr>
            <w:tcW w:w="5230" w:type="dxa"/>
          </w:tcPr>
          <w:p w14:paraId="341C15A6" w14:textId="77777777" w:rsidR="000B27B9" w:rsidRPr="00674F20" w:rsidRDefault="000B27B9" w:rsidP="0064265C">
            <w:pPr>
              <w:pStyle w:val="Tabletext9pt"/>
              <w:rPr>
                <w:szCs w:val="18"/>
              </w:rPr>
            </w:pPr>
            <w:r w:rsidRPr="00674F20">
              <w:rPr>
                <w:szCs w:val="18"/>
              </w:rPr>
              <w:t>All activities associated with training and staff development.</w:t>
            </w:r>
          </w:p>
        </w:tc>
      </w:tr>
      <w:tr w:rsidR="000B27B9" w:rsidRPr="004E0550" w14:paraId="6C0CDE78" w14:textId="77777777" w:rsidTr="31E98B47">
        <w:trPr>
          <w:cantSplit/>
        </w:trPr>
        <w:tc>
          <w:tcPr>
            <w:tcW w:w="1267" w:type="dxa"/>
          </w:tcPr>
          <w:p w14:paraId="5D9ADE08" w14:textId="77777777" w:rsidR="000B27B9" w:rsidRPr="00674F20" w:rsidRDefault="000B27B9" w:rsidP="0064265C">
            <w:pPr>
              <w:pStyle w:val="Tabletext9pt"/>
              <w:rPr>
                <w:szCs w:val="18"/>
              </w:rPr>
            </w:pPr>
            <w:r w:rsidRPr="00674F20">
              <w:rPr>
                <w:szCs w:val="18"/>
              </w:rPr>
              <w:t>15057</w:t>
            </w:r>
          </w:p>
        </w:tc>
        <w:tc>
          <w:tcPr>
            <w:tcW w:w="2802" w:type="dxa"/>
          </w:tcPr>
          <w:p w14:paraId="1944C422" w14:textId="48EC67E1" w:rsidR="000B27B9" w:rsidRPr="00674F20" w:rsidRDefault="000B27B9" w:rsidP="0064265C">
            <w:pPr>
              <w:pStyle w:val="Tabletext9pt"/>
              <w:rPr>
                <w:szCs w:val="18"/>
              </w:rPr>
            </w:pPr>
            <w:r w:rsidRPr="00674F20">
              <w:rPr>
                <w:szCs w:val="18"/>
              </w:rPr>
              <w:t xml:space="preserve">Prevention and </w:t>
            </w:r>
            <w:r w:rsidR="00DD3294" w:rsidRPr="00674F20">
              <w:rPr>
                <w:szCs w:val="18"/>
              </w:rPr>
              <w:t>recovery care</w:t>
            </w:r>
            <w:r w:rsidR="00DD3294">
              <w:rPr>
                <w:szCs w:val="18"/>
              </w:rPr>
              <w:t xml:space="preserve"> </w:t>
            </w:r>
          </w:p>
        </w:tc>
        <w:tc>
          <w:tcPr>
            <w:tcW w:w="5230" w:type="dxa"/>
          </w:tcPr>
          <w:p w14:paraId="7E24FD0D" w14:textId="77777777" w:rsidR="000B27B9" w:rsidRPr="00674F20" w:rsidRDefault="000B27B9" w:rsidP="0064265C">
            <w:pPr>
              <w:pStyle w:val="Tabletext9pt"/>
              <w:rPr>
                <w:szCs w:val="18"/>
              </w:rPr>
            </w:pPr>
            <w:r w:rsidRPr="00674F20">
              <w:rPr>
                <w:szCs w:val="18"/>
              </w:rPr>
              <w:t>Prevention and recovery care subacute clinical bed-based treatment services option for people with a significant mental health problem requiring pre-crisis or post-acute treatment and support. Prevention and recovery care assists in averting acute inpatient admission and facilitates earlier discharge from inpatient units. It is not a substitute for inpatient admission.</w:t>
            </w:r>
          </w:p>
        </w:tc>
      </w:tr>
      <w:tr w:rsidR="000B27B9" w:rsidRPr="004E0550" w14:paraId="025F8AD4" w14:textId="77777777" w:rsidTr="31E98B47">
        <w:trPr>
          <w:cantSplit/>
        </w:trPr>
        <w:tc>
          <w:tcPr>
            <w:tcW w:w="1267" w:type="dxa"/>
          </w:tcPr>
          <w:p w14:paraId="44BFA073" w14:textId="77777777" w:rsidR="000B27B9" w:rsidRPr="00674F20" w:rsidRDefault="000B27B9" w:rsidP="0064265C">
            <w:pPr>
              <w:pStyle w:val="Tabletext9pt"/>
              <w:rPr>
                <w:szCs w:val="18"/>
              </w:rPr>
            </w:pPr>
            <w:r w:rsidRPr="00674F20">
              <w:rPr>
                <w:szCs w:val="18"/>
              </w:rPr>
              <w:t>15060</w:t>
            </w:r>
          </w:p>
        </w:tc>
        <w:tc>
          <w:tcPr>
            <w:tcW w:w="2802" w:type="dxa"/>
          </w:tcPr>
          <w:p w14:paraId="067B2330" w14:textId="0757CD1C" w:rsidR="000B27B9" w:rsidRPr="00674F20" w:rsidRDefault="000B27B9" w:rsidP="0064265C">
            <w:pPr>
              <w:pStyle w:val="Tabletext9pt"/>
              <w:rPr>
                <w:szCs w:val="18"/>
              </w:rPr>
            </w:pPr>
            <w:r w:rsidRPr="00674F20">
              <w:rPr>
                <w:szCs w:val="18"/>
              </w:rPr>
              <w:t xml:space="preserve">Homeless </w:t>
            </w:r>
            <w:r w:rsidR="00DD3294" w:rsidRPr="00674F20">
              <w:rPr>
                <w:szCs w:val="18"/>
              </w:rPr>
              <w:t>outreach psychiatric services</w:t>
            </w:r>
          </w:p>
        </w:tc>
        <w:tc>
          <w:tcPr>
            <w:tcW w:w="5230" w:type="dxa"/>
          </w:tcPr>
          <w:p w14:paraId="3D019FE3" w14:textId="38908796" w:rsidR="000B27B9" w:rsidRPr="00674F20" w:rsidRDefault="000B27B9" w:rsidP="0064265C">
            <w:pPr>
              <w:pStyle w:val="Tabletext9pt"/>
              <w:rPr>
                <w:szCs w:val="18"/>
              </w:rPr>
            </w:pPr>
            <w:r w:rsidRPr="00674F20">
              <w:rPr>
                <w:szCs w:val="18"/>
              </w:rPr>
              <w:t xml:space="preserve">Outreach services that provide assessment, treatment, </w:t>
            </w:r>
            <w:r w:rsidR="00BE7B6C" w:rsidRPr="00674F20">
              <w:rPr>
                <w:szCs w:val="18"/>
              </w:rPr>
              <w:t>rehabilitation,</w:t>
            </w:r>
            <w:r w:rsidRPr="00674F20">
              <w:rPr>
                <w:szCs w:val="18"/>
              </w:rPr>
              <w:t xml:space="preserve"> and case management for homeless people with a mental illness. Also includes secondary consultation and support to the homelessness service sector.</w:t>
            </w:r>
          </w:p>
        </w:tc>
      </w:tr>
      <w:tr w:rsidR="000B27B9" w:rsidRPr="004E0550" w14:paraId="6A03770C" w14:textId="77777777" w:rsidTr="31E98B47">
        <w:trPr>
          <w:cantSplit/>
        </w:trPr>
        <w:tc>
          <w:tcPr>
            <w:tcW w:w="1267" w:type="dxa"/>
          </w:tcPr>
          <w:p w14:paraId="265DA5CF" w14:textId="77777777" w:rsidR="000B27B9" w:rsidRPr="00674F20" w:rsidRDefault="000B27B9" w:rsidP="0064265C">
            <w:pPr>
              <w:pStyle w:val="Tabletext9pt"/>
              <w:rPr>
                <w:szCs w:val="18"/>
              </w:rPr>
            </w:pPr>
            <w:r w:rsidRPr="00674F20">
              <w:rPr>
                <w:szCs w:val="18"/>
              </w:rPr>
              <w:t>15070</w:t>
            </w:r>
          </w:p>
        </w:tc>
        <w:tc>
          <w:tcPr>
            <w:tcW w:w="2802" w:type="dxa"/>
          </w:tcPr>
          <w:p w14:paraId="71AEB1EB" w14:textId="0D9FB098" w:rsidR="000B27B9" w:rsidRPr="00674F20" w:rsidRDefault="00DD3294" w:rsidP="0064265C">
            <w:pPr>
              <w:pStyle w:val="Tabletext9pt"/>
              <w:rPr>
                <w:szCs w:val="18"/>
              </w:rPr>
            </w:pPr>
            <w:r w:rsidRPr="00674F20">
              <w:rPr>
                <w:szCs w:val="18"/>
              </w:rPr>
              <w:t>Academic positions – health services</w:t>
            </w:r>
          </w:p>
        </w:tc>
        <w:tc>
          <w:tcPr>
            <w:tcW w:w="5230" w:type="dxa"/>
          </w:tcPr>
          <w:p w14:paraId="55EC6C4C" w14:textId="77777777" w:rsidR="000B27B9" w:rsidRPr="00674F20" w:rsidRDefault="000B27B9" w:rsidP="0064265C">
            <w:pPr>
              <w:pStyle w:val="Tabletext9pt"/>
              <w:rPr>
                <w:szCs w:val="18"/>
              </w:rPr>
            </w:pPr>
            <w:r w:rsidRPr="00674F20">
              <w:rPr>
                <w:szCs w:val="18"/>
              </w:rPr>
              <w:t>All activities associated with specified academic positions attached to tertiary institutions, regardless of the location of the position.</w:t>
            </w:r>
          </w:p>
        </w:tc>
      </w:tr>
      <w:tr w:rsidR="000B27B9" w:rsidRPr="004E0550" w14:paraId="6ECCCEC6" w14:textId="77777777" w:rsidTr="31E98B47">
        <w:trPr>
          <w:cantSplit/>
        </w:trPr>
        <w:tc>
          <w:tcPr>
            <w:tcW w:w="1267" w:type="dxa"/>
          </w:tcPr>
          <w:p w14:paraId="21FB0697" w14:textId="77777777" w:rsidR="000B27B9" w:rsidRPr="00674F20" w:rsidRDefault="000B27B9" w:rsidP="0064265C">
            <w:pPr>
              <w:pStyle w:val="Tabletext9pt"/>
              <w:rPr>
                <w:szCs w:val="18"/>
              </w:rPr>
            </w:pPr>
            <w:r w:rsidRPr="00674F20">
              <w:rPr>
                <w:szCs w:val="18"/>
              </w:rPr>
              <w:t>15071</w:t>
            </w:r>
          </w:p>
        </w:tc>
        <w:tc>
          <w:tcPr>
            <w:tcW w:w="2802" w:type="dxa"/>
          </w:tcPr>
          <w:p w14:paraId="363892AB" w14:textId="25FBB7DC" w:rsidR="000B27B9" w:rsidRPr="00674F20" w:rsidRDefault="00DD3294" w:rsidP="0064265C">
            <w:pPr>
              <w:pStyle w:val="Tabletext9pt"/>
              <w:rPr>
                <w:szCs w:val="18"/>
              </w:rPr>
            </w:pPr>
            <w:r w:rsidRPr="00674F20">
              <w:rPr>
                <w:szCs w:val="18"/>
              </w:rPr>
              <w:t>Training – graduate year training</w:t>
            </w:r>
          </w:p>
        </w:tc>
        <w:tc>
          <w:tcPr>
            <w:tcW w:w="5230" w:type="dxa"/>
          </w:tcPr>
          <w:p w14:paraId="335F6C5C" w14:textId="77777777" w:rsidR="000B27B9" w:rsidRPr="00674F20" w:rsidRDefault="000B27B9" w:rsidP="0064265C">
            <w:pPr>
              <w:pStyle w:val="Tabletext9pt"/>
              <w:rPr>
                <w:szCs w:val="18"/>
              </w:rPr>
            </w:pPr>
            <w:r w:rsidRPr="00674F20">
              <w:rPr>
                <w:szCs w:val="18"/>
              </w:rPr>
              <w:t xml:space="preserve">Funding provided to </w:t>
            </w:r>
            <w:r>
              <w:rPr>
                <w:szCs w:val="18"/>
              </w:rPr>
              <w:t>h</w:t>
            </w:r>
            <w:r w:rsidRPr="00674F20">
              <w:rPr>
                <w:szCs w:val="18"/>
              </w:rPr>
              <w:t xml:space="preserve">ealth </w:t>
            </w:r>
            <w:r>
              <w:rPr>
                <w:szCs w:val="18"/>
              </w:rPr>
              <w:t>s</w:t>
            </w:r>
            <w:r w:rsidRPr="00674F20">
              <w:rPr>
                <w:szCs w:val="18"/>
              </w:rPr>
              <w:t>ervices to support nurses and allied health staff participating in specialist mental health graduate-year programs for training, supervision, backfill and subsidy to enable reduced clinical loads during orientation phase.</w:t>
            </w:r>
          </w:p>
        </w:tc>
      </w:tr>
      <w:tr w:rsidR="000B27B9" w:rsidRPr="004E0550" w14:paraId="7F9E47FF" w14:textId="77777777" w:rsidTr="31E98B47">
        <w:trPr>
          <w:cantSplit/>
        </w:trPr>
        <w:tc>
          <w:tcPr>
            <w:tcW w:w="1267" w:type="dxa"/>
          </w:tcPr>
          <w:p w14:paraId="42257B77" w14:textId="77777777" w:rsidR="000B27B9" w:rsidRPr="00674F20" w:rsidRDefault="000B27B9" w:rsidP="0064265C">
            <w:pPr>
              <w:pStyle w:val="Tabletext9pt"/>
              <w:rPr>
                <w:szCs w:val="18"/>
              </w:rPr>
            </w:pPr>
            <w:r w:rsidRPr="00674F20">
              <w:rPr>
                <w:szCs w:val="18"/>
              </w:rPr>
              <w:t>15200</w:t>
            </w:r>
          </w:p>
        </w:tc>
        <w:tc>
          <w:tcPr>
            <w:tcW w:w="2802" w:type="dxa"/>
          </w:tcPr>
          <w:p w14:paraId="32FE4FAF" w14:textId="25CE48F1" w:rsidR="000B27B9" w:rsidRPr="00674F20" w:rsidRDefault="00DD3294" w:rsidP="0064265C">
            <w:pPr>
              <w:pStyle w:val="Tabletext9pt"/>
              <w:rPr>
                <w:szCs w:val="18"/>
              </w:rPr>
            </w:pPr>
            <w:r w:rsidRPr="00674F20">
              <w:rPr>
                <w:szCs w:val="18"/>
              </w:rPr>
              <w:t xml:space="preserve">Community specialist </w:t>
            </w:r>
            <w:r>
              <w:rPr>
                <w:szCs w:val="18"/>
              </w:rPr>
              <w:t>statewide</w:t>
            </w:r>
            <w:r w:rsidRPr="00674F20">
              <w:rPr>
                <w:szCs w:val="18"/>
              </w:rPr>
              <w:t xml:space="preserve"> services</w:t>
            </w:r>
          </w:p>
        </w:tc>
        <w:tc>
          <w:tcPr>
            <w:tcW w:w="5230" w:type="dxa"/>
          </w:tcPr>
          <w:p w14:paraId="6143C30A" w14:textId="4B0585B2" w:rsidR="000B27B9" w:rsidRPr="00674F20" w:rsidRDefault="000B27B9" w:rsidP="0064265C">
            <w:pPr>
              <w:pStyle w:val="Tabletext9pt"/>
              <w:rPr>
                <w:szCs w:val="18"/>
              </w:rPr>
            </w:pPr>
            <w:r w:rsidRPr="00674F20">
              <w:rPr>
                <w:szCs w:val="18"/>
              </w:rPr>
              <w:t xml:space="preserve">A range of specialist clinical community mental health assessment, treatment or consultancy services </w:t>
            </w:r>
            <w:r>
              <w:rPr>
                <w:szCs w:val="18"/>
              </w:rPr>
              <w:t>that</w:t>
            </w:r>
            <w:r w:rsidRPr="00674F20">
              <w:rPr>
                <w:szCs w:val="18"/>
              </w:rPr>
              <w:t xml:space="preserve"> support specific and general target groups on a </w:t>
            </w:r>
            <w:r>
              <w:rPr>
                <w:szCs w:val="18"/>
              </w:rPr>
              <w:t>statewide</w:t>
            </w:r>
            <w:r w:rsidRPr="00674F20">
              <w:rPr>
                <w:szCs w:val="18"/>
              </w:rPr>
              <w:t>, interregional or specific catchment area basis. The focus of these community services is on a clinical service provision to people with a mental illness.</w:t>
            </w:r>
          </w:p>
        </w:tc>
      </w:tr>
      <w:tr w:rsidR="000B27B9" w:rsidRPr="004E0550" w14:paraId="3AE59A38" w14:textId="77777777" w:rsidTr="31E98B47">
        <w:trPr>
          <w:cantSplit/>
        </w:trPr>
        <w:tc>
          <w:tcPr>
            <w:tcW w:w="1267" w:type="dxa"/>
          </w:tcPr>
          <w:p w14:paraId="763CFB04" w14:textId="77777777" w:rsidR="000B27B9" w:rsidRPr="00674F20" w:rsidRDefault="000B27B9" w:rsidP="0064265C">
            <w:pPr>
              <w:pStyle w:val="Tabletext9pt"/>
              <w:rPr>
                <w:szCs w:val="18"/>
              </w:rPr>
            </w:pPr>
            <w:r w:rsidRPr="00674F20">
              <w:rPr>
                <w:szCs w:val="18"/>
              </w:rPr>
              <w:t>15203</w:t>
            </w:r>
          </w:p>
        </w:tc>
        <w:tc>
          <w:tcPr>
            <w:tcW w:w="2802" w:type="dxa"/>
          </w:tcPr>
          <w:p w14:paraId="1C76D28C" w14:textId="6EBD1E64" w:rsidR="000B27B9" w:rsidRPr="00674F20" w:rsidRDefault="00DD3294" w:rsidP="0064265C">
            <w:pPr>
              <w:pStyle w:val="Tabletext9pt"/>
              <w:rPr>
                <w:szCs w:val="18"/>
              </w:rPr>
            </w:pPr>
            <w:r>
              <w:rPr>
                <w:szCs w:val="18"/>
              </w:rPr>
              <w:t>Statewide</w:t>
            </w:r>
            <w:r w:rsidRPr="00674F20">
              <w:rPr>
                <w:szCs w:val="18"/>
              </w:rPr>
              <w:t xml:space="preserve"> support – clinical services</w:t>
            </w:r>
          </w:p>
        </w:tc>
        <w:tc>
          <w:tcPr>
            <w:tcW w:w="5230" w:type="dxa"/>
          </w:tcPr>
          <w:p w14:paraId="157815B6" w14:textId="2DE6E404" w:rsidR="000B27B9" w:rsidRPr="00674F20" w:rsidRDefault="000B27B9" w:rsidP="0064265C">
            <w:pPr>
              <w:pStyle w:val="Tabletext9pt"/>
              <w:rPr>
                <w:szCs w:val="18"/>
              </w:rPr>
            </w:pPr>
            <w:r w:rsidRPr="00674F20">
              <w:rPr>
                <w:szCs w:val="18"/>
              </w:rPr>
              <w:t xml:space="preserve">A range of services including resourcing to the clinical mental health service system on a </w:t>
            </w:r>
            <w:r>
              <w:rPr>
                <w:szCs w:val="18"/>
              </w:rPr>
              <w:t>statewide</w:t>
            </w:r>
            <w:r w:rsidRPr="00674F20">
              <w:rPr>
                <w:szCs w:val="18"/>
              </w:rPr>
              <w:t>, interregional or specific</w:t>
            </w:r>
            <w:r>
              <w:rPr>
                <w:szCs w:val="18"/>
              </w:rPr>
              <w:t>-</w:t>
            </w:r>
            <w:r w:rsidRPr="00674F20">
              <w:rPr>
                <w:szCs w:val="18"/>
              </w:rPr>
              <w:t>purpose basis.</w:t>
            </w:r>
          </w:p>
        </w:tc>
      </w:tr>
      <w:tr w:rsidR="000B27B9" w:rsidRPr="004E0550" w14:paraId="54D677F2" w14:textId="77777777" w:rsidTr="31E98B47">
        <w:trPr>
          <w:cantSplit/>
        </w:trPr>
        <w:tc>
          <w:tcPr>
            <w:tcW w:w="1267" w:type="dxa"/>
          </w:tcPr>
          <w:p w14:paraId="155A2B8A" w14:textId="77777777" w:rsidR="000B27B9" w:rsidRPr="00674F20" w:rsidRDefault="000B27B9" w:rsidP="0064265C">
            <w:pPr>
              <w:pStyle w:val="Tabletext9pt"/>
              <w:rPr>
                <w:szCs w:val="18"/>
              </w:rPr>
            </w:pPr>
            <w:r w:rsidRPr="00674F20">
              <w:rPr>
                <w:szCs w:val="18"/>
              </w:rPr>
              <w:lastRenderedPageBreak/>
              <w:t>15250</w:t>
            </w:r>
          </w:p>
        </w:tc>
        <w:tc>
          <w:tcPr>
            <w:tcW w:w="2802" w:type="dxa"/>
          </w:tcPr>
          <w:p w14:paraId="3F4514C4" w14:textId="6AD3B379" w:rsidR="000B27B9" w:rsidRPr="00674F20" w:rsidRDefault="00DD3294" w:rsidP="0064265C">
            <w:pPr>
              <w:pStyle w:val="Tabletext9pt"/>
              <w:rPr>
                <w:szCs w:val="18"/>
              </w:rPr>
            </w:pPr>
            <w:r w:rsidRPr="00674F20">
              <w:rPr>
                <w:szCs w:val="18"/>
              </w:rPr>
              <w:t>Aged persons mental health hostel supplement</w:t>
            </w:r>
          </w:p>
        </w:tc>
        <w:tc>
          <w:tcPr>
            <w:tcW w:w="5230" w:type="dxa"/>
          </w:tcPr>
          <w:p w14:paraId="583A6F8E" w14:textId="0A9BA5C8" w:rsidR="000B27B9" w:rsidRPr="00674F20" w:rsidRDefault="000B27B9" w:rsidP="0064265C">
            <w:pPr>
              <w:pStyle w:val="Tabletext9pt"/>
              <w:rPr>
                <w:szCs w:val="18"/>
              </w:rPr>
            </w:pPr>
            <w:r w:rsidRPr="00674F20">
              <w:rPr>
                <w:szCs w:val="18"/>
              </w:rPr>
              <w:t xml:space="preserve">Hostel-based community residential services for aged clients who cannot be managed in the general residential system due to their level of persistent cognitive, </w:t>
            </w:r>
            <w:r w:rsidR="00BE7B6C" w:rsidRPr="00674F20">
              <w:rPr>
                <w:szCs w:val="18"/>
              </w:rPr>
              <w:t>emotional,</w:t>
            </w:r>
            <w:r w:rsidRPr="00674F20">
              <w:rPr>
                <w:szCs w:val="18"/>
              </w:rPr>
              <w:t xml:space="preserve"> or behavioural disturbances. Services include long-term accommodation, ongoing assessment, treatment and care of residents, low-level nursing home or hostel care, </w:t>
            </w:r>
            <w:r w:rsidR="00BE7B6C" w:rsidRPr="00674F20">
              <w:rPr>
                <w:szCs w:val="18"/>
              </w:rPr>
              <w:t>rehabilitation,</w:t>
            </w:r>
            <w:r w:rsidRPr="00674F20">
              <w:rPr>
                <w:szCs w:val="18"/>
              </w:rPr>
              <w:t xml:space="preserve"> and respite care.</w:t>
            </w:r>
          </w:p>
        </w:tc>
      </w:tr>
      <w:tr w:rsidR="000B27B9" w:rsidRPr="004E0550" w14:paraId="5FE8C107" w14:textId="77777777" w:rsidTr="31E98B47">
        <w:trPr>
          <w:cantSplit/>
        </w:trPr>
        <w:tc>
          <w:tcPr>
            <w:tcW w:w="1267" w:type="dxa"/>
          </w:tcPr>
          <w:p w14:paraId="42C46531" w14:textId="77777777" w:rsidR="000B27B9" w:rsidRPr="00674F20" w:rsidRDefault="000B27B9" w:rsidP="0064265C">
            <w:pPr>
              <w:pStyle w:val="Tabletext9pt"/>
              <w:rPr>
                <w:szCs w:val="18"/>
              </w:rPr>
            </w:pPr>
            <w:r w:rsidRPr="00674F20">
              <w:rPr>
                <w:szCs w:val="18"/>
              </w:rPr>
              <w:t>15251</w:t>
            </w:r>
          </w:p>
        </w:tc>
        <w:tc>
          <w:tcPr>
            <w:tcW w:w="2802" w:type="dxa"/>
          </w:tcPr>
          <w:p w14:paraId="036AE052" w14:textId="0DC64BF1" w:rsidR="000B27B9" w:rsidRPr="00674F20" w:rsidRDefault="000B27B9" w:rsidP="0064265C">
            <w:pPr>
              <w:pStyle w:val="Tabletext9pt"/>
              <w:rPr>
                <w:szCs w:val="18"/>
              </w:rPr>
            </w:pPr>
            <w:r w:rsidRPr="00674F20">
              <w:rPr>
                <w:szCs w:val="18"/>
              </w:rPr>
              <w:t xml:space="preserve">Consultation and </w:t>
            </w:r>
            <w:r w:rsidR="00DD3294">
              <w:rPr>
                <w:szCs w:val="18"/>
              </w:rPr>
              <w:t>l</w:t>
            </w:r>
            <w:r w:rsidR="00DD3294" w:rsidRPr="00674F20">
              <w:rPr>
                <w:szCs w:val="18"/>
              </w:rPr>
              <w:t>iaison</w:t>
            </w:r>
          </w:p>
        </w:tc>
        <w:tc>
          <w:tcPr>
            <w:tcW w:w="5230" w:type="dxa"/>
          </w:tcPr>
          <w:p w14:paraId="362C6343" w14:textId="371B1806" w:rsidR="000B27B9" w:rsidRPr="00674F20" w:rsidRDefault="000B27B9" w:rsidP="0064265C">
            <w:pPr>
              <w:pStyle w:val="Tabletext9pt"/>
              <w:rPr>
                <w:szCs w:val="18"/>
              </w:rPr>
            </w:pPr>
            <w:r w:rsidRPr="00674F20">
              <w:rPr>
                <w:szCs w:val="18"/>
              </w:rPr>
              <w:t xml:space="preserve">Consultation liaison psychiatry is the diagnosis, </w:t>
            </w:r>
            <w:r w:rsidR="00BE7B6C" w:rsidRPr="00674F20">
              <w:rPr>
                <w:szCs w:val="18"/>
              </w:rPr>
              <w:t>treatment,</w:t>
            </w:r>
            <w:r w:rsidRPr="00674F20">
              <w:rPr>
                <w:szCs w:val="18"/>
              </w:rPr>
              <w:t xml:space="preserve"> and prevention of psychiatric morbidity among physically ill patients who are patients of an acute general hospital. This activity includes </w:t>
            </w:r>
            <w:r>
              <w:rPr>
                <w:szCs w:val="18"/>
              </w:rPr>
              <w:t>providing</w:t>
            </w:r>
            <w:r w:rsidRPr="00674F20">
              <w:rPr>
                <w:szCs w:val="18"/>
              </w:rPr>
              <w:t xml:space="preserve"> psychiatric assessment, consultation, liaison and education services to non-psychiatric health professionals and their patients.</w:t>
            </w:r>
          </w:p>
        </w:tc>
      </w:tr>
      <w:tr w:rsidR="000B27B9" w:rsidRPr="004E0550" w14:paraId="61192579" w14:textId="77777777" w:rsidTr="31E98B47">
        <w:trPr>
          <w:cantSplit/>
        </w:trPr>
        <w:tc>
          <w:tcPr>
            <w:tcW w:w="1267" w:type="dxa"/>
          </w:tcPr>
          <w:p w14:paraId="7F421284" w14:textId="77777777" w:rsidR="000B27B9" w:rsidRPr="00674F20" w:rsidRDefault="000B27B9" w:rsidP="0064265C">
            <w:pPr>
              <w:pStyle w:val="Tabletext9pt"/>
              <w:rPr>
                <w:szCs w:val="18"/>
              </w:rPr>
            </w:pPr>
            <w:r w:rsidRPr="00674F20">
              <w:rPr>
                <w:szCs w:val="18"/>
              </w:rPr>
              <w:t>15262</w:t>
            </w:r>
          </w:p>
        </w:tc>
        <w:tc>
          <w:tcPr>
            <w:tcW w:w="2802" w:type="dxa"/>
          </w:tcPr>
          <w:p w14:paraId="24CD3E27" w14:textId="0B5C11E7" w:rsidR="000B27B9" w:rsidRPr="00674F20" w:rsidRDefault="000B27B9" w:rsidP="0064265C">
            <w:pPr>
              <w:pStyle w:val="Tabletext9pt"/>
              <w:rPr>
                <w:szCs w:val="18"/>
              </w:rPr>
            </w:pPr>
            <w:r w:rsidRPr="00674F20">
              <w:rPr>
                <w:szCs w:val="18"/>
              </w:rPr>
              <w:t xml:space="preserve">Prevention and </w:t>
            </w:r>
            <w:r w:rsidR="00DD3294">
              <w:rPr>
                <w:szCs w:val="18"/>
              </w:rPr>
              <w:t>p</w:t>
            </w:r>
            <w:r w:rsidR="00DD3294" w:rsidRPr="00674F20">
              <w:rPr>
                <w:szCs w:val="18"/>
              </w:rPr>
              <w:t>romotion</w:t>
            </w:r>
          </w:p>
        </w:tc>
        <w:tc>
          <w:tcPr>
            <w:tcW w:w="5230" w:type="dxa"/>
          </w:tcPr>
          <w:p w14:paraId="70D61CBB" w14:textId="77777777" w:rsidR="000B27B9" w:rsidRPr="00674F20" w:rsidRDefault="000B27B9" w:rsidP="0064265C">
            <w:pPr>
              <w:pStyle w:val="Tabletext9pt"/>
              <w:rPr>
                <w:szCs w:val="18"/>
              </w:rPr>
            </w:pPr>
            <w:r w:rsidRPr="00674F20">
              <w:rPr>
                <w:szCs w:val="18"/>
              </w:rPr>
              <w:t>The development and delivery of mental health promotion and the prevention of mental health problems and disorders.</w:t>
            </w:r>
          </w:p>
        </w:tc>
      </w:tr>
      <w:tr w:rsidR="000B27B9" w:rsidRPr="004E0550" w14:paraId="4D5CC564" w14:textId="77777777" w:rsidTr="31E98B47">
        <w:trPr>
          <w:cantSplit/>
        </w:trPr>
        <w:tc>
          <w:tcPr>
            <w:tcW w:w="1267" w:type="dxa"/>
          </w:tcPr>
          <w:p w14:paraId="1CBF7065" w14:textId="77777777" w:rsidR="000B27B9" w:rsidRPr="00674F20" w:rsidRDefault="000B27B9" w:rsidP="0064265C">
            <w:pPr>
              <w:pStyle w:val="Tabletext9pt"/>
              <w:rPr>
                <w:szCs w:val="18"/>
              </w:rPr>
            </w:pPr>
            <w:r w:rsidRPr="00674F20">
              <w:rPr>
                <w:szCs w:val="18"/>
              </w:rPr>
              <w:t>15264</w:t>
            </w:r>
          </w:p>
        </w:tc>
        <w:tc>
          <w:tcPr>
            <w:tcW w:w="2802" w:type="dxa"/>
          </w:tcPr>
          <w:p w14:paraId="77479992" w14:textId="4A31F9A5" w:rsidR="000B27B9" w:rsidRPr="00674F20" w:rsidRDefault="00DD3294" w:rsidP="0064265C">
            <w:pPr>
              <w:pStyle w:val="Tabletext9pt"/>
              <w:rPr>
                <w:szCs w:val="18"/>
              </w:rPr>
            </w:pPr>
            <w:r w:rsidRPr="00674F20">
              <w:rPr>
                <w:szCs w:val="18"/>
              </w:rPr>
              <w:t>Consumer participation</w:t>
            </w:r>
          </w:p>
        </w:tc>
        <w:tc>
          <w:tcPr>
            <w:tcW w:w="5230" w:type="dxa"/>
          </w:tcPr>
          <w:p w14:paraId="10DB6FCD" w14:textId="1DA4B404" w:rsidR="000B27B9" w:rsidRPr="00674F20" w:rsidRDefault="000B27B9" w:rsidP="0064265C">
            <w:pPr>
              <w:pStyle w:val="Tabletext9pt"/>
              <w:rPr>
                <w:szCs w:val="18"/>
              </w:rPr>
            </w:pPr>
            <w:r w:rsidRPr="00674F20">
              <w:rPr>
                <w:szCs w:val="18"/>
              </w:rPr>
              <w:t>Participation of consumers, which may include employ</w:t>
            </w:r>
            <w:r>
              <w:rPr>
                <w:szCs w:val="18"/>
              </w:rPr>
              <w:t>ing</w:t>
            </w:r>
            <w:r w:rsidRPr="00674F20">
              <w:rPr>
                <w:szCs w:val="18"/>
              </w:rPr>
              <w:t xml:space="preserve"> consumer consultants to provide input into service planning, </w:t>
            </w:r>
            <w:r w:rsidR="00BE7B6C" w:rsidRPr="00674F20">
              <w:rPr>
                <w:szCs w:val="18"/>
              </w:rPr>
              <w:t>development,</w:t>
            </w:r>
            <w:r w:rsidRPr="00674F20">
              <w:rPr>
                <w:szCs w:val="18"/>
              </w:rPr>
              <w:t xml:space="preserve"> and evaluation, establish consumer networks and become involved in consumer participation plans for area mental health services.</w:t>
            </w:r>
          </w:p>
        </w:tc>
      </w:tr>
      <w:tr w:rsidR="000B27B9" w:rsidRPr="004E0550" w14:paraId="73CB31B0" w14:textId="77777777" w:rsidTr="31E98B47">
        <w:trPr>
          <w:cantSplit/>
        </w:trPr>
        <w:tc>
          <w:tcPr>
            <w:tcW w:w="1267" w:type="dxa"/>
          </w:tcPr>
          <w:p w14:paraId="7B0D76D3" w14:textId="77777777" w:rsidR="000B27B9" w:rsidRPr="00674F20" w:rsidRDefault="000B27B9" w:rsidP="0064265C">
            <w:pPr>
              <w:pStyle w:val="Tabletext9pt"/>
              <w:rPr>
                <w:szCs w:val="18"/>
              </w:rPr>
            </w:pPr>
            <w:r w:rsidRPr="00674F20">
              <w:rPr>
                <w:szCs w:val="18"/>
              </w:rPr>
              <w:t>15265</w:t>
            </w:r>
          </w:p>
        </w:tc>
        <w:tc>
          <w:tcPr>
            <w:tcW w:w="2802" w:type="dxa"/>
          </w:tcPr>
          <w:p w14:paraId="4E947343" w14:textId="793BCC3F" w:rsidR="000B27B9" w:rsidRPr="00674F20" w:rsidRDefault="00DD3294" w:rsidP="0064265C">
            <w:pPr>
              <w:pStyle w:val="Tabletext9pt"/>
              <w:rPr>
                <w:szCs w:val="18"/>
              </w:rPr>
            </w:pPr>
            <w:r w:rsidRPr="00674F20">
              <w:rPr>
                <w:szCs w:val="18"/>
              </w:rPr>
              <w:t>Ethnic consultants</w:t>
            </w:r>
          </w:p>
        </w:tc>
        <w:tc>
          <w:tcPr>
            <w:tcW w:w="5230" w:type="dxa"/>
          </w:tcPr>
          <w:p w14:paraId="3016BFDC" w14:textId="77777777" w:rsidR="000B27B9" w:rsidRPr="00674F20" w:rsidRDefault="000B27B9" w:rsidP="0064265C">
            <w:pPr>
              <w:pStyle w:val="Tabletext9pt"/>
              <w:rPr>
                <w:szCs w:val="18"/>
              </w:rPr>
            </w:pPr>
            <w:r w:rsidRPr="00674F20">
              <w:rPr>
                <w:szCs w:val="18"/>
              </w:rPr>
              <w:t>Strategies that increase the accessibility of mental health services for people from culturally diverse backgrounds</w:t>
            </w:r>
            <w:r>
              <w:rPr>
                <w:szCs w:val="18"/>
              </w:rPr>
              <w:t>.</w:t>
            </w:r>
            <w:r w:rsidRPr="00674F20">
              <w:rPr>
                <w:szCs w:val="18"/>
              </w:rPr>
              <w:t xml:space="preserve"> </w:t>
            </w:r>
            <w:r>
              <w:rPr>
                <w:szCs w:val="18"/>
              </w:rPr>
              <w:t>This includes</w:t>
            </w:r>
            <w:r w:rsidRPr="00674F20">
              <w:rPr>
                <w:szCs w:val="18"/>
              </w:rPr>
              <w:t xml:space="preserve"> develop</w:t>
            </w:r>
            <w:r>
              <w:rPr>
                <w:szCs w:val="18"/>
              </w:rPr>
              <w:t>ing</w:t>
            </w:r>
            <w:r w:rsidRPr="00674F20">
              <w:rPr>
                <w:szCs w:val="18"/>
              </w:rPr>
              <w:t xml:space="preserve"> and implement</w:t>
            </w:r>
            <w:r>
              <w:rPr>
                <w:szCs w:val="18"/>
              </w:rPr>
              <w:t>ing</w:t>
            </w:r>
            <w:r w:rsidRPr="00674F20">
              <w:rPr>
                <w:szCs w:val="18"/>
              </w:rPr>
              <w:t xml:space="preserve"> strategic plans for </w:t>
            </w:r>
            <w:r>
              <w:rPr>
                <w:szCs w:val="18"/>
              </w:rPr>
              <w:t>providing</w:t>
            </w:r>
            <w:r w:rsidRPr="00674F20">
              <w:rPr>
                <w:szCs w:val="18"/>
              </w:rPr>
              <w:t xml:space="preserve"> culturally sensitive services and </w:t>
            </w:r>
            <w:r>
              <w:rPr>
                <w:szCs w:val="18"/>
              </w:rPr>
              <w:t xml:space="preserve">for </w:t>
            </w:r>
            <w:r w:rsidRPr="00674F20">
              <w:rPr>
                <w:szCs w:val="18"/>
              </w:rPr>
              <w:t>establish</w:t>
            </w:r>
            <w:r>
              <w:rPr>
                <w:szCs w:val="18"/>
              </w:rPr>
              <w:t>ing</w:t>
            </w:r>
            <w:r w:rsidRPr="00674F20">
              <w:rPr>
                <w:szCs w:val="18"/>
              </w:rPr>
              <w:t xml:space="preserve"> and maint</w:t>
            </w:r>
            <w:r>
              <w:rPr>
                <w:szCs w:val="18"/>
              </w:rPr>
              <w:t>aining</w:t>
            </w:r>
            <w:r w:rsidRPr="00674F20">
              <w:rPr>
                <w:szCs w:val="18"/>
              </w:rPr>
              <w:t xml:space="preserve"> partnerships with ethnic community groups and bilingual health workers.</w:t>
            </w:r>
          </w:p>
        </w:tc>
      </w:tr>
      <w:tr w:rsidR="000B27B9" w:rsidRPr="004E0550" w14:paraId="0BD8C2AA" w14:textId="77777777" w:rsidTr="31E98B47">
        <w:trPr>
          <w:cantSplit/>
        </w:trPr>
        <w:tc>
          <w:tcPr>
            <w:tcW w:w="1267" w:type="dxa"/>
          </w:tcPr>
          <w:p w14:paraId="553E13D0" w14:textId="77777777" w:rsidR="000B27B9" w:rsidRPr="00674F20" w:rsidRDefault="000B27B9" w:rsidP="0064265C">
            <w:pPr>
              <w:pStyle w:val="Tabletext9pt"/>
              <w:rPr>
                <w:szCs w:val="18"/>
              </w:rPr>
            </w:pPr>
            <w:r w:rsidRPr="00674F20">
              <w:rPr>
                <w:szCs w:val="18"/>
              </w:rPr>
              <w:t>15267</w:t>
            </w:r>
          </w:p>
        </w:tc>
        <w:tc>
          <w:tcPr>
            <w:tcW w:w="2802" w:type="dxa"/>
          </w:tcPr>
          <w:p w14:paraId="498AFB89" w14:textId="66278AFB" w:rsidR="000B27B9" w:rsidRPr="00674F20" w:rsidRDefault="000B27B9" w:rsidP="0064265C">
            <w:pPr>
              <w:pStyle w:val="Tabletext9pt"/>
              <w:rPr>
                <w:szCs w:val="18"/>
              </w:rPr>
            </w:pPr>
            <w:r w:rsidRPr="00674F20">
              <w:rPr>
                <w:szCs w:val="18"/>
              </w:rPr>
              <w:t xml:space="preserve">Research and </w:t>
            </w:r>
            <w:r w:rsidR="00DD3294">
              <w:rPr>
                <w:szCs w:val="18"/>
              </w:rPr>
              <w:t>ev</w:t>
            </w:r>
            <w:r w:rsidR="00DD3294" w:rsidRPr="00674F20">
              <w:rPr>
                <w:szCs w:val="18"/>
              </w:rPr>
              <w:t>aluation</w:t>
            </w:r>
          </w:p>
        </w:tc>
        <w:tc>
          <w:tcPr>
            <w:tcW w:w="5230" w:type="dxa"/>
          </w:tcPr>
          <w:p w14:paraId="73E0A2F7" w14:textId="63B7C3CB" w:rsidR="000B27B9" w:rsidRPr="00674F20" w:rsidRDefault="000B27B9" w:rsidP="0064265C">
            <w:pPr>
              <w:pStyle w:val="Tabletext9pt"/>
              <w:rPr>
                <w:szCs w:val="18"/>
              </w:rPr>
            </w:pPr>
            <w:r w:rsidRPr="00674F20">
              <w:rPr>
                <w:szCs w:val="18"/>
              </w:rPr>
              <w:t xml:space="preserve">All activities associated with academic appointments, </w:t>
            </w:r>
            <w:r w:rsidR="00BE7B6C" w:rsidRPr="00674F20">
              <w:rPr>
                <w:szCs w:val="18"/>
              </w:rPr>
              <w:t>research,</w:t>
            </w:r>
            <w:r w:rsidRPr="00674F20">
              <w:rPr>
                <w:szCs w:val="18"/>
              </w:rPr>
              <w:t xml:space="preserve"> and evaluation.</w:t>
            </w:r>
          </w:p>
        </w:tc>
      </w:tr>
      <w:tr w:rsidR="000B27B9" w:rsidRPr="004E0550" w14:paraId="41A6BDB5" w14:textId="77777777" w:rsidTr="31E98B47">
        <w:trPr>
          <w:cantSplit/>
        </w:trPr>
        <w:tc>
          <w:tcPr>
            <w:tcW w:w="1267" w:type="dxa"/>
          </w:tcPr>
          <w:p w14:paraId="15B09AA6" w14:textId="77777777" w:rsidR="000B27B9" w:rsidRPr="00674F20" w:rsidRDefault="000B27B9" w:rsidP="0064265C">
            <w:pPr>
              <w:pStyle w:val="Tabletext9pt"/>
              <w:rPr>
                <w:szCs w:val="18"/>
              </w:rPr>
            </w:pPr>
            <w:r w:rsidRPr="00674F20">
              <w:rPr>
                <w:szCs w:val="18"/>
              </w:rPr>
              <w:t>15272</w:t>
            </w:r>
          </w:p>
        </w:tc>
        <w:tc>
          <w:tcPr>
            <w:tcW w:w="2802" w:type="dxa"/>
          </w:tcPr>
          <w:p w14:paraId="33299032" w14:textId="503640FB" w:rsidR="000B27B9" w:rsidRPr="00674F20" w:rsidRDefault="00DD3294" w:rsidP="0064265C">
            <w:pPr>
              <w:pStyle w:val="Tabletext9pt"/>
              <w:rPr>
                <w:szCs w:val="18"/>
              </w:rPr>
            </w:pPr>
            <w:r w:rsidRPr="00674F20">
              <w:rPr>
                <w:szCs w:val="18"/>
              </w:rPr>
              <w:t>Quality incentive strategy</w:t>
            </w:r>
          </w:p>
        </w:tc>
        <w:tc>
          <w:tcPr>
            <w:tcW w:w="5230" w:type="dxa"/>
          </w:tcPr>
          <w:p w14:paraId="5C8DA95A" w14:textId="77777777" w:rsidR="000B27B9" w:rsidRPr="00674F20" w:rsidRDefault="000B27B9" w:rsidP="0064265C">
            <w:pPr>
              <w:pStyle w:val="Tabletext9pt"/>
              <w:rPr>
                <w:szCs w:val="18"/>
              </w:rPr>
            </w:pPr>
            <w:r w:rsidRPr="00674F20">
              <w:rPr>
                <w:szCs w:val="18"/>
              </w:rPr>
              <w:t>Financial incentives for service quality in adult, aged persons and child and adolescent mental health services. The QIS includes measures of consumer and carer satisfaction, service responsiveness and timeliness of data reporting.</w:t>
            </w:r>
          </w:p>
        </w:tc>
      </w:tr>
      <w:tr w:rsidR="000B27B9" w:rsidRPr="004E0550" w14:paraId="2E948119" w14:textId="77777777" w:rsidTr="31E98B47">
        <w:trPr>
          <w:cantSplit/>
        </w:trPr>
        <w:tc>
          <w:tcPr>
            <w:tcW w:w="1267" w:type="dxa"/>
          </w:tcPr>
          <w:p w14:paraId="026A685D" w14:textId="77777777" w:rsidR="000B27B9" w:rsidRPr="00674F20" w:rsidRDefault="000B27B9" w:rsidP="0064265C">
            <w:pPr>
              <w:pStyle w:val="Tabletext9pt"/>
              <w:rPr>
                <w:szCs w:val="18"/>
              </w:rPr>
            </w:pPr>
            <w:r w:rsidRPr="00674F20">
              <w:rPr>
                <w:szCs w:val="18"/>
              </w:rPr>
              <w:t>15300</w:t>
            </w:r>
          </w:p>
        </w:tc>
        <w:tc>
          <w:tcPr>
            <w:tcW w:w="2802" w:type="dxa"/>
          </w:tcPr>
          <w:p w14:paraId="47325648" w14:textId="4426F8DB" w:rsidR="000B27B9" w:rsidRPr="00674F20" w:rsidRDefault="00DD3294" w:rsidP="0064265C">
            <w:pPr>
              <w:pStyle w:val="Tabletext9pt"/>
              <w:rPr>
                <w:szCs w:val="18"/>
              </w:rPr>
            </w:pPr>
            <w:r w:rsidRPr="00674F20">
              <w:rPr>
                <w:szCs w:val="18"/>
              </w:rPr>
              <w:t>Conduct disorder program</w:t>
            </w:r>
          </w:p>
        </w:tc>
        <w:tc>
          <w:tcPr>
            <w:tcW w:w="5230" w:type="dxa"/>
          </w:tcPr>
          <w:p w14:paraId="7124DF39" w14:textId="77777777" w:rsidR="000B27B9" w:rsidRPr="00674F20" w:rsidRDefault="000B27B9" w:rsidP="0064265C">
            <w:pPr>
              <w:pStyle w:val="Tabletext9pt"/>
              <w:rPr>
                <w:szCs w:val="18"/>
              </w:rPr>
            </w:pPr>
            <w:r w:rsidRPr="00674F20">
              <w:rPr>
                <w:szCs w:val="18"/>
              </w:rPr>
              <w:t>Services that provide prevention programs for children and young people at risk and clinical services for those with established conduct disorder.</w:t>
            </w:r>
          </w:p>
        </w:tc>
      </w:tr>
      <w:tr w:rsidR="000B27B9" w:rsidRPr="004E0550" w14:paraId="08E50CD3" w14:textId="77777777" w:rsidTr="31E98B47">
        <w:trPr>
          <w:cantSplit/>
        </w:trPr>
        <w:tc>
          <w:tcPr>
            <w:tcW w:w="1267" w:type="dxa"/>
          </w:tcPr>
          <w:p w14:paraId="12296B6F" w14:textId="77777777" w:rsidR="000B27B9" w:rsidRPr="00674F20" w:rsidRDefault="000B27B9" w:rsidP="0064265C">
            <w:pPr>
              <w:pStyle w:val="Tabletext9pt"/>
              <w:rPr>
                <w:szCs w:val="18"/>
              </w:rPr>
            </w:pPr>
            <w:r w:rsidRPr="00674F20">
              <w:rPr>
                <w:szCs w:val="18"/>
              </w:rPr>
              <w:t>15320</w:t>
            </w:r>
          </w:p>
        </w:tc>
        <w:tc>
          <w:tcPr>
            <w:tcW w:w="2802" w:type="dxa"/>
          </w:tcPr>
          <w:p w14:paraId="5A0B4283" w14:textId="140D777A" w:rsidR="000B27B9" w:rsidRPr="00674F20" w:rsidRDefault="00DD3294" w:rsidP="0064265C">
            <w:pPr>
              <w:pStyle w:val="Tabletext9pt"/>
              <w:rPr>
                <w:szCs w:val="18"/>
              </w:rPr>
            </w:pPr>
            <w:r w:rsidRPr="00674F20">
              <w:rPr>
                <w:szCs w:val="18"/>
              </w:rPr>
              <w:t>Early psychosis program</w:t>
            </w:r>
          </w:p>
        </w:tc>
        <w:tc>
          <w:tcPr>
            <w:tcW w:w="5230" w:type="dxa"/>
          </w:tcPr>
          <w:p w14:paraId="7D037679" w14:textId="3C64E841" w:rsidR="000B27B9" w:rsidRPr="00674F20" w:rsidRDefault="000B27B9" w:rsidP="0064265C">
            <w:pPr>
              <w:pStyle w:val="Tabletext9pt"/>
              <w:rPr>
                <w:szCs w:val="18"/>
              </w:rPr>
            </w:pPr>
            <w:r w:rsidRPr="00674F20">
              <w:rPr>
                <w:szCs w:val="18"/>
              </w:rPr>
              <w:t>Specialist treatment and improved continuity of care services for young people with an emerging disorder, particularly coexisting substance abuse problems.</w:t>
            </w:r>
          </w:p>
        </w:tc>
      </w:tr>
      <w:tr w:rsidR="000B27B9" w:rsidRPr="004E0550" w14:paraId="58281C88" w14:textId="77777777" w:rsidTr="31E98B47">
        <w:trPr>
          <w:cantSplit/>
        </w:trPr>
        <w:tc>
          <w:tcPr>
            <w:tcW w:w="1267" w:type="dxa"/>
          </w:tcPr>
          <w:p w14:paraId="5629C0B6" w14:textId="77777777" w:rsidR="000B27B9" w:rsidRPr="00674F20" w:rsidRDefault="000B27B9" w:rsidP="0064265C">
            <w:pPr>
              <w:pStyle w:val="Tabletext9pt"/>
              <w:rPr>
                <w:szCs w:val="18"/>
              </w:rPr>
            </w:pPr>
            <w:r w:rsidRPr="00674F20">
              <w:rPr>
                <w:szCs w:val="18"/>
              </w:rPr>
              <w:t>15321</w:t>
            </w:r>
          </w:p>
        </w:tc>
        <w:tc>
          <w:tcPr>
            <w:tcW w:w="2802" w:type="dxa"/>
          </w:tcPr>
          <w:p w14:paraId="1AD2D997" w14:textId="082755C2" w:rsidR="000B27B9" w:rsidRPr="00674F20" w:rsidRDefault="00DD3294" w:rsidP="0064265C">
            <w:pPr>
              <w:pStyle w:val="Tabletext9pt"/>
              <w:rPr>
                <w:szCs w:val="18"/>
              </w:rPr>
            </w:pPr>
            <w:r w:rsidRPr="00674F20">
              <w:rPr>
                <w:szCs w:val="18"/>
              </w:rPr>
              <w:t>Koori liaison officers</w:t>
            </w:r>
          </w:p>
        </w:tc>
        <w:tc>
          <w:tcPr>
            <w:tcW w:w="5230" w:type="dxa"/>
          </w:tcPr>
          <w:p w14:paraId="25F236AC" w14:textId="77777777" w:rsidR="000B27B9" w:rsidRPr="00674F20" w:rsidRDefault="000B27B9" w:rsidP="0064265C">
            <w:pPr>
              <w:pStyle w:val="Tabletext9pt"/>
              <w:rPr>
                <w:szCs w:val="18"/>
              </w:rPr>
            </w:pPr>
            <w:r w:rsidRPr="00674F20">
              <w:rPr>
                <w:szCs w:val="18"/>
              </w:rPr>
              <w:t>All activities associated with the mental health Koori liaison positions.</w:t>
            </w:r>
          </w:p>
        </w:tc>
      </w:tr>
      <w:tr w:rsidR="000B27B9" w:rsidRPr="004E0550" w14:paraId="58C72A0B" w14:textId="77777777" w:rsidTr="31E98B47">
        <w:trPr>
          <w:cantSplit/>
        </w:trPr>
        <w:tc>
          <w:tcPr>
            <w:tcW w:w="1267" w:type="dxa"/>
          </w:tcPr>
          <w:p w14:paraId="15DB6227" w14:textId="77777777" w:rsidR="000B27B9" w:rsidRPr="00674F20" w:rsidRDefault="000B27B9" w:rsidP="0064265C">
            <w:pPr>
              <w:pStyle w:val="Tabletext9pt"/>
              <w:rPr>
                <w:szCs w:val="18"/>
              </w:rPr>
            </w:pPr>
            <w:r w:rsidRPr="00674F20">
              <w:rPr>
                <w:szCs w:val="18"/>
              </w:rPr>
              <w:t>15351</w:t>
            </w:r>
          </w:p>
        </w:tc>
        <w:tc>
          <w:tcPr>
            <w:tcW w:w="2802" w:type="dxa"/>
          </w:tcPr>
          <w:p w14:paraId="1C51365B" w14:textId="51C351DC" w:rsidR="000B27B9" w:rsidRPr="00674F20" w:rsidRDefault="00DD3294" w:rsidP="0064265C">
            <w:pPr>
              <w:pStyle w:val="Tabletext9pt"/>
              <w:rPr>
                <w:szCs w:val="18"/>
              </w:rPr>
            </w:pPr>
            <w:r w:rsidRPr="00674F20">
              <w:rPr>
                <w:szCs w:val="18"/>
              </w:rPr>
              <w:t xml:space="preserve">Community specialist </w:t>
            </w:r>
            <w:r>
              <w:rPr>
                <w:szCs w:val="18"/>
              </w:rPr>
              <w:t>statewide</w:t>
            </w:r>
            <w:r w:rsidRPr="00674F20">
              <w:rPr>
                <w:szCs w:val="18"/>
              </w:rPr>
              <w:t xml:space="preserve"> services – eating disorders</w:t>
            </w:r>
          </w:p>
        </w:tc>
        <w:tc>
          <w:tcPr>
            <w:tcW w:w="5230" w:type="dxa"/>
          </w:tcPr>
          <w:p w14:paraId="729EFFC5" w14:textId="160BA4A4" w:rsidR="000B27B9" w:rsidRPr="00674F20" w:rsidRDefault="000B27B9" w:rsidP="0064265C">
            <w:pPr>
              <w:pStyle w:val="Tabletext9pt"/>
              <w:rPr>
                <w:szCs w:val="18"/>
              </w:rPr>
            </w:pPr>
            <w:r w:rsidRPr="00674F20">
              <w:rPr>
                <w:szCs w:val="18"/>
              </w:rPr>
              <w:t xml:space="preserve">A range of specialist clinical community mental health assessment, treatment or consultancy services that support eating disorder groups on a </w:t>
            </w:r>
            <w:r>
              <w:rPr>
                <w:szCs w:val="18"/>
              </w:rPr>
              <w:t>statewide</w:t>
            </w:r>
            <w:r w:rsidRPr="00674F20">
              <w:rPr>
                <w:szCs w:val="18"/>
              </w:rPr>
              <w:t>, interregional or specific catchment area basis. The focus of these community services is on a clinical service provision to people with a mental illness.</w:t>
            </w:r>
          </w:p>
        </w:tc>
      </w:tr>
      <w:tr w:rsidR="000B27B9" w:rsidRPr="004E0550" w14:paraId="2027E78C" w14:textId="77777777" w:rsidTr="31E98B47">
        <w:trPr>
          <w:cantSplit/>
        </w:trPr>
        <w:tc>
          <w:tcPr>
            <w:tcW w:w="1267" w:type="dxa"/>
          </w:tcPr>
          <w:p w14:paraId="6BA4BD0A" w14:textId="77777777" w:rsidR="000B27B9" w:rsidRPr="00674F20" w:rsidRDefault="000B27B9" w:rsidP="0064265C">
            <w:pPr>
              <w:pStyle w:val="Tabletext9pt"/>
              <w:rPr>
                <w:szCs w:val="18"/>
              </w:rPr>
            </w:pPr>
            <w:r w:rsidRPr="00674F20">
              <w:rPr>
                <w:szCs w:val="18"/>
              </w:rPr>
              <w:t>15352</w:t>
            </w:r>
          </w:p>
        </w:tc>
        <w:tc>
          <w:tcPr>
            <w:tcW w:w="2802" w:type="dxa"/>
          </w:tcPr>
          <w:p w14:paraId="29F508B1" w14:textId="50F6F566" w:rsidR="000B27B9" w:rsidRPr="00674F20" w:rsidRDefault="000B27B9" w:rsidP="0064265C">
            <w:pPr>
              <w:pStyle w:val="Tabletext9pt"/>
              <w:rPr>
                <w:szCs w:val="18"/>
              </w:rPr>
            </w:pPr>
            <w:r w:rsidRPr="00674F20">
              <w:rPr>
                <w:szCs w:val="18"/>
              </w:rPr>
              <w:t xml:space="preserve">Aged </w:t>
            </w:r>
            <w:r w:rsidR="00DD3294">
              <w:rPr>
                <w:szCs w:val="18"/>
              </w:rPr>
              <w:t>p</w:t>
            </w:r>
            <w:r w:rsidRPr="00674F20">
              <w:rPr>
                <w:szCs w:val="18"/>
              </w:rPr>
              <w:t xml:space="preserve">ersons </w:t>
            </w:r>
            <w:r w:rsidR="00DD3294">
              <w:rPr>
                <w:szCs w:val="18"/>
              </w:rPr>
              <w:t>i</w:t>
            </w:r>
            <w:r w:rsidRPr="00674F20">
              <w:rPr>
                <w:szCs w:val="18"/>
              </w:rPr>
              <w:t xml:space="preserve">ntensive </w:t>
            </w:r>
            <w:r w:rsidR="00DD3294">
              <w:rPr>
                <w:szCs w:val="18"/>
              </w:rPr>
              <w:t>c</w:t>
            </w:r>
            <w:r w:rsidRPr="00674F20">
              <w:rPr>
                <w:szCs w:val="18"/>
              </w:rPr>
              <w:t xml:space="preserve">ommunity </w:t>
            </w:r>
            <w:r w:rsidR="00DD3294">
              <w:rPr>
                <w:szCs w:val="18"/>
              </w:rPr>
              <w:t>t</w:t>
            </w:r>
            <w:r w:rsidRPr="00674F20">
              <w:rPr>
                <w:szCs w:val="18"/>
              </w:rPr>
              <w:t>reatment</w:t>
            </w:r>
          </w:p>
        </w:tc>
        <w:tc>
          <w:tcPr>
            <w:tcW w:w="5230" w:type="dxa"/>
          </w:tcPr>
          <w:p w14:paraId="385B430C" w14:textId="77777777" w:rsidR="000B27B9" w:rsidRPr="00674F20" w:rsidRDefault="000B27B9" w:rsidP="0064265C">
            <w:pPr>
              <w:pStyle w:val="Tabletext9pt"/>
              <w:rPr>
                <w:szCs w:val="18"/>
              </w:rPr>
            </w:pPr>
            <w:r w:rsidRPr="00674F20">
              <w:rPr>
                <w:szCs w:val="18"/>
              </w:rPr>
              <w:t xml:space="preserve">Short-term assessment and treatment for </w:t>
            </w:r>
            <w:r>
              <w:rPr>
                <w:szCs w:val="18"/>
              </w:rPr>
              <w:t>people</w:t>
            </w:r>
            <w:r w:rsidRPr="00674F20">
              <w:rPr>
                <w:szCs w:val="18"/>
              </w:rPr>
              <w:t xml:space="preserve"> over 65 years of age with acute symptoms of a mental illness, delivered in community settings.</w:t>
            </w:r>
          </w:p>
        </w:tc>
      </w:tr>
      <w:tr w:rsidR="000B27B9" w:rsidRPr="004E0550" w14:paraId="042668B3" w14:textId="77777777" w:rsidTr="31E98B47">
        <w:trPr>
          <w:cantSplit/>
        </w:trPr>
        <w:tc>
          <w:tcPr>
            <w:tcW w:w="1267" w:type="dxa"/>
          </w:tcPr>
          <w:p w14:paraId="35EAA493" w14:textId="77777777" w:rsidR="000B27B9" w:rsidRPr="00674F20" w:rsidRDefault="000B27B9" w:rsidP="0064265C">
            <w:pPr>
              <w:pStyle w:val="Tabletext9pt"/>
              <w:rPr>
                <w:szCs w:val="18"/>
              </w:rPr>
            </w:pPr>
            <w:r w:rsidRPr="00674F20">
              <w:rPr>
                <w:szCs w:val="18"/>
              </w:rPr>
              <w:t>15353</w:t>
            </w:r>
          </w:p>
        </w:tc>
        <w:tc>
          <w:tcPr>
            <w:tcW w:w="2802" w:type="dxa"/>
          </w:tcPr>
          <w:p w14:paraId="05B87685" w14:textId="43053DA3" w:rsidR="000B27B9" w:rsidRPr="00674F20" w:rsidRDefault="000B27B9" w:rsidP="0064265C">
            <w:pPr>
              <w:pStyle w:val="Tabletext9pt"/>
              <w:rPr>
                <w:szCs w:val="18"/>
              </w:rPr>
            </w:pPr>
            <w:r w:rsidRPr="00674F20">
              <w:rPr>
                <w:szCs w:val="18"/>
              </w:rPr>
              <w:t xml:space="preserve">Acute </w:t>
            </w:r>
            <w:r w:rsidR="00DD3294">
              <w:rPr>
                <w:szCs w:val="18"/>
              </w:rPr>
              <w:t>c</w:t>
            </w:r>
            <w:r w:rsidRPr="00674F20">
              <w:rPr>
                <w:szCs w:val="18"/>
              </w:rPr>
              <w:t xml:space="preserve">are – </w:t>
            </w:r>
            <w:r w:rsidR="00DD3294" w:rsidRPr="00674F20">
              <w:rPr>
                <w:szCs w:val="18"/>
              </w:rPr>
              <w:t>Mother</w:t>
            </w:r>
            <w:r w:rsidR="00DD3294">
              <w:rPr>
                <w:szCs w:val="18"/>
              </w:rPr>
              <w:t>–</w:t>
            </w:r>
            <w:r w:rsidRPr="00674F20">
              <w:rPr>
                <w:szCs w:val="18"/>
              </w:rPr>
              <w:t>Baby</w:t>
            </w:r>
            <w:r>
              <w:rPr>
                <w:szCs w:val="18"/>
              </w:rPr>
              <w:t xml:space="preserve"> (now known as Parent and Infant services)</w:t>
            </w:r>
          </w:p>
        </w:tc>
        <w:tc>
          <w:tcPr>
            <w:tcW w:w="5230" w:type="dxa"/>
          </w:tcPr>
          <w:p w14:paraId="10A77B00" w14:textId="3B1A7826" w:rsidR="000B27B9" w:rsidRPr="00674F20" w:rsidRDefault="000B27B9" w:rsidP="0064265C">
            <w:pPr>
              <w:pStyle w:val="Tabletext9pt"/>
              <w:rPr>
                <w:szCs w:val="18"/>
              </w:rPr>
            </w:pPr>
            <w:r w:rsidRPr="00674F20">
              <w:rPr>
                <w:szCs w:val="18"/>
              </w:rPr>
              <w:t xml:space="preserve">A range of specialist clinical inpatient mental health assessment, treatment or consultancy services </w:t>
            </w:r>
            <w:r>
              <w:rPr>
                <w:szCs w:val="18"/>
              </w:rPr>
              <w:t>that</w:t>
            </w:r>
            <w:r w:rsidRPr="00674F20">
              <w:rPr>
                <w:szCs w:val="18"/>
              </w:rPr>
              <w:t xml:space="preserve"> support mother and baby groups on a </w:t>
            </w:r>
            <w:r>
              <w:rPr>
                <w:szCs w:val="18"/>
              </w:rPr>
              <w:t>statewide</w:t>
            </w:r>
            <w:r w:rsidRPr="00674F20">
              <w:rPr>
                <w:szCs w:val="18"/>
              </w:rPr>
              <w:t>, interregional or specific catchment area basis. The focus of these inpatient services is on clinical service provision to people with a mental illness.</w:t>
            </w:r>
          </w:p>
        </w:tc>
      </w:tr>
      <w:tr w:rsidR="000B27B9" w:rsidRPr="004E0550" w14:paraId="17AF9DEE" w14:textId="77777777" w:rsidTr="31E98B47">
        <w:trPr>
          <w:cantSplit/>
        </w:trPr>
        <w:tc>
          <w:tcPr>
            <w:tcW w:w="1267" w:type="dxa"/>
          </w:tcPr>
          <w:p w14:paraId="508B4942" w14:textId="77777777" w:rsidR="000B27B9" w:rsidRPr="00674F20" w:rsidRDefault="000B27B9" w:rsidP="0064265C">
            <w:pPr>
              <w:pStyle w:val="Tabletext9pt"/>
              <w:rPr>
                <w:szCs w:val="18"/>
              </w:rPr>
            </w:pPr>
            <w:r w:rsidRPr="00674F20">
              <w:rPr>
                <w:szCs w:val="18"/>
              </w:rPr>
              <w:lastRenderedPageBreak/>
              <w:t>15354</w:t>
            </w:r>
          </w:p>
        </w:tc>
        <w:tc>
          <w:tcPr>
            <w:tcW w:w="2802" w:type="dxa"/>
          </w:tcPr>
          <w:p w14:paraId="0A864597" w14:textId="4C7AC326" w:rsidR="000B27B9" w:rsidRPr="00674F20" w:rsidRDefault="000B27B9" w:rsidP="0064265C">
            <w:pPr>
              <w:pStyle w:val="Tabletext9pt"/>
              <w:rPr>
                <w:szCs w:val="18"/>
              </w:rPr>
            </w:pPr>
            <w:r w:rsidRPr="00674F20">
              <w:rPr>
                <w:szCs w:val="18"/>
              </w:rPr>
              <w:t xml:space="preserve">Acute </w:t>
            </w:r>
            <w:r w:rsidR="00DD3294" w:rsidRPr="00674F20">
              <w:rPr>
                <w:szCs w:val="18"/>
              </w:rPr>
              <w:t>care – eating disorders</w:t>
            </w:r>
          </w:p>
        </w:tc>
        <w:tc>
          <w:tcPr>
            <w:tcW w:w="5230" w:type="dxa"/>
          </w:tcPr>
          <w:p w14:paraId="5C2878D0" w14:textId="01800CCB" w:rsidR="000B27B9" w:rsidRPr="00674F20" w:rsidRDefault="000B27B9" w:rsidP="0064265C">
            <w:pPr>
              <w:pStyle w:val="Tabletext9pt"/>
              <w:rPr>
                <w:szCs w:val="18"/>
              </w:rPr>
            </w:pPr>
            <w:r w:rsidRPr="00674F20">
              <w:rPr>
                <w:szCs w:val="18"/>
              </w:rPr>
              <w:t xml:space="preserve">A range of specialist clinical inpatient mental health assessment, treatment or consultancy services </w:t>
            </w:r>
            <w:r>
              <w:rPr>
                <w:szCs w:val="18"/>
              </w:rPr>
              <w:t>that</w:t>
            </w:r>
            <w:r w:rsidRPr="00674F20">
              <w:rPr>
                <w:szCs w:val="18"/>
              </w:rPr>
              <w:t xml:space="preserve"> support eating disorder groups on a </w:t>
            </w:r>
            <w:r>
              <w:rPr>
                <w:szCs w:val="18"/>
              </w:rPr>
              <w:t>statewide</w:t>
            </w:r>
            <w:r w:rsidRPr="00674F20">
              <w:rPr>
                <w:szCs w:val="18"/>
              </w:rPr>
              <w:t>, interregional or specific catchment area basis. The focus of these inpatient services is on clinical service provision to people with a mental illness.</w:t>
            </w:r>
          </w:p>
        </w:tc>
      </w:tr>
      <w:tr w:rsidR="000B27B9" w:rsidRPr="004E0550" w14:paraId="55CE245F" w14:textId="77777777" w:rsidTr="31E98B47">
        <w:trPr>
          <w:cantSplit/>
        </w:trPr>
        <w:tc>
          <w:tcPr>
            <w:tcW w:w="1267" w:type="dxa"/>
          </w:tcPr>
          <w:p w14:paraId="474A692F" w14:textId="77777777" w:rsidR="000B27B9" w:rsidRPr="00674F20" w:rsidRDefault="000B27B9" w:rsidP="0064265C">
            <w:pPr>
              <w:pStyle w:val="Tabletext9pt"/>
              <w:rPr>
                <w:szCs w:val="18"/>
              </w:rPr>
            </w:pPr>
            <w:r w:rsidRPr="00674F20">
              <w:rPr>
                <w:szCs w:val="18"/>
              </w:rPr>
              <w:t>15355</w:t>
            </w:r>
          </w:p>
        </w:tc>
        <w:tc>
          <w:tcPr>
            <w:tcW w:w="2802" w:type="dxa"/>
          </w:tcPr>
          <w:p w14:paraId="0CB212FC" w14:textId="0985152F" w:rsidR="000B27B9" w:rsidRPr="00674F20" w:rsidRDefault="000B27B9" w:rsidP="0064265C">
            <w:pPr>
              <w:pStyle w:val="Tabletext9pt"/>
              <w:rPr>
                <w:szCs w:val="18"/>
              </w:rPr>
            </w:pPr>
            <w:r w:rsidRPr="00674F20">
              <w:rPr>
                <w:szCs w:val="18"/>
              </w:rPr>
              <w:t xml:space="preserve">Emergency </w:t>
            </w:r>
            <w:r w:rsidR="00DD3294" w:rsidRPr="00674F20">
              <w:rPr>
                <w:szCs w:val="18"/>
              </w:rPr>
              <w:t>department crisis assessment</w:t>
            </w:r>
          </w:p>
        </w:tc>
        <w:tc>
          <w:tcPr>
            <w:tcW w:w="5230" w:type="dxa"/>
          </w:tcPr>
          <w:p w14:paraId="268EF808" w14:textId="77777777" w:rsidR="000B27B9" w:rsidRPr="00674F20" w:rsidRDefault="000B27B9" w:rsidP="0064265C">
            <w:pPr>
              <w:pStyle w:val="Tabletext9pt"/>
              <w:rPr>
                <w:szCs w:val="18"/>
              </w:rPr>
            </w:pPr>
            <w:r w:rsidRPr="00674F20">
              <w:rPr>
                <w:szCs w:val="18"/>
              </w:rPr>
              <w:t xml:space="preserve">Extended-hours coverage in emergency departments for mobile crisis services that provide effective assessment and treatment throughout the community to </w:t>
            </w:r>
            <w:r>
              <w:rPr>
                <w:szCs w:val="18"/>
              </w:rPr>
              <w:t>people</w:t>
            </w:r>
            <w:r w:rsidRPr="00674F20">
              <w:rPr>
                <w:szCs w:val="18"/>
              </w:rPr>
              <w:t xml:space="preserve"> in crisis due to a mental illness.</w:t>
            </w:r>
          </w:p>
        </w:tc>
      </w:tr>
      <w:tr w:rsidR="000B27B9" w:rsidRPr="004E0550" w14:paraId="5CA4F2C9" w14:textId="77777777" w:rsidTr="31E98B47">
        <w:trPr>
          <w:cantSplit/>
        </w:trPr>
        <w:tc>
          <w:tcPr>
            <w:tcW w:w="1267" w:type="dxa"/>
          </w:tcPr>
          <w:p w14:paraId="605625B4" w14:textId="77777777" w:rsidR="000B27B9" w:rsidRPr="00674F20" w:rsidRDefault="000B27B9" w:rsidP="0064265C">
            <w:pPr>
              <w:pStyle w:val="Tabletext9pt"/>
              <w:rPr>
                <w:szCs w:val="18"/>
              </w:rPr>
            </w:pPr>
            <w:r w:rsidRPr="00674F20">
              <w:rPr>
                <w:szCs w:val="18"/>
              </w:rPr>
              <w:t>15357</w:t>
            </w:r>
          </w:p>
        </w:tc>
        <w:tc>
          <w:tcPr>
            <w:tcW w:w="2802" w:type="dxa"/>
          </w:tcPr>
          <w:p w14:paraId="63F15862" w14:textId="52D28C36" w:rsidR="000B27B9" w:rsidRPr="00674F20" w:rsidRDefault="000B27B9" w:rsidP="0064265C">
            <w:pPr>
              <w:pStyle w:val="Tabletext9pt"/>
              <w:rPr>
                <w:szCs w:val="18"/>
              </w:rPr>
            </w:pPr>
            <w:r w:rsidRPr="00674F20">
              <w:rPr>
                <w:szCs w:val="18"/>
              </w:rPr>
              <w:t xml:space="preserve">Community </w:t>
            </w:r>
            <w:r w:rsidR="00DD3294" w:rsidRPr="00674F20">
              <w:rPr>
                <w:szCs w:val="18"/>
              </w:rPr>
              <w:t>specialist</w:t>
            </w:r>
            <w:r w:rsidR="00DD3294">
              <w:rPr>
                <w:szCs w:val="18"/>
              </w:rPr>
              <w:t xml:space="preserve"> statewide</w:t>
            </w:r>
            <w:r w:rsidR="00DD3294" w:rsidRPr="00674F20">
              <w:rPr>
                <w:szCs w:val="18"/>
              </w:rPr>
              <w:t xml:space="preserve"> services – non-government</w:t>
            </w:r>
          </w:p>
        </w:tc>
        <w:tc>
          <w:tcPr>
            <w:tcW w:w="5230" w:type="dxa"/>
          </w:tcPr>
          <w:p w14:paraId="3CD89A51" w14:textId="28778A0F" w:rsidR="000B27B9" w:rsidRPr="00674F20" w:rsidRDefault="000B27B9" w:rsidP="0064265C">
            <w:pPr>
              <w:pStyle w:val="Tabletext9pt"/>
              <w:rPr>
                <w:szCs w:val="18"/>
              </w:rPr>
            </w:pPr>
            <w:r w:rsidRPr="00674F20">
              <w:rPr>
                <w:szCs w:val="18"/>
              </w:rPr>
              <w:t xml:space="preserve">A range of specialist clinical community mental health assessment, treatment or consultancy services delivered by non-government organisations </w:t>
            </w:r>
            <w:r>
              <w:rPr>
                <w:szCs w:val="18"/>
              </w:rPr>
              <w:t>that</w:t>
            </w:r>
            <w:r w:rsidRPr="00674F20">
              <w:rPr>
                <w:szCs w:val="18"/>
              </w:rPr>
              <w:t xml:space="preserve"> support groups on a </w:t>
            </w:r>
            <w:r>
              <w:rPr>
                <w:szCs w:val="18"/>
              </w:rPr>
              <w:t>statewide</w:t>
            </w:r>
            <w:r w:rsidRPr="00674F20">
              <w:rPr>
                <w:szCs w:val="18"/>
              </w:rPr>
              <w:t>, interregional or specific catchment area basis. The focus of these community services is clinical service provision to people with a mental illness.</w:t>
            </w:r>
          </w:p>
        </w:tc>
      </w:tr>
      <w:tr w:rsidR="000B27B9" w:rsidRPr="004E0550" w14:paraId="41478BA2" w14:textId="77777777" w:rsidTr="31E98B47">
        <w:trPr>
          <w:cantSplit/>
        </w:trPr>
        <w:tc>
          <w:tcPr>
            <w:tcW w:w="1267" w:type="dxa"/>
          </w:tcPr>
          <w:p w14:paraId="3F02EF4C" w14:textId="77777777" w:rsidR="000B27B9" w:rsidRPr="00674F20" w:rsidRDefault="000B27B9" w:rsidP="0064265C">
            <w:pPr>
              <w:pStyle w:val="Tabletext9pt"/>
              <w:rPr>
                <w:szCs w:val="18"/>
              </w:rPr>
            </w:pPr>
            <w:r w:rsidRPr="00674F20">
              <w:rPr>
                <w:szCs w:val="18"/>
              </w:rPr>
              <w:t>15359</w:t>
            </w:r>
          </w:p>
        </w:tc>
        <w:tc>
          <w:tcPr>
            <w:tcW w:w="2802" w:type="dxa"/>
          </w:tcPr>
          <w:p w14:paraId="6EA30E20" w14:textId="77777777" w:rsidR="000B27B9" w:rsidRPr="00674F20" w:rsidRDefault="000B27B9" w:rsidP="0064265C">
            <w:pPr>
              <w:pStyle w:val="Tabletext9pt"/>
              <w:rPr>
                <w:szCs w:val="18"/>
              </w:rPr>
            </w:pPr>
            <w:r w:rsidRPr="00674F20">
              <w:rPr>
                <w:szCs w:val="18"/>
              </w:rPr>
              <w:t>System Capacity Development – Non-Government</w:t>
            </w:r>
          </w:p>
        </w:tc>
        <w:tc>
          <w:tcPr>
            <w:tcW w:w="5230" w:type="dxa"/>
          </w:tcPr>
          <w:p w14:paraId="0061C176" w14:textId="77777777" w:rsidR="000B27B9" w:rsidRPr="00674F20" w:rsidRDefault="000B27B9" w:rsidP="0064265C">
            <w:pPr>
              <w:pStyle w:val="Tabletext9pt"/>
              <w:rPr>
                <w:szCs w:val="18"/>
              </w:rPr>
            </w:pPr>
            <w:r>
              <w:rPr>
                <w:szCs w:val="18"/>
              </w:rPr>
              <w:t>B</w:t>
            </w:r>
            <w:r w:rsidRPr="00674F20">
              <w:rPr>
                <w:szCs w:val="18"/>
              </w:rPr>
              <w:t>lock grants provided for a specified purpose or as a contribution towards a program that assists with developing system capacity. They exclude funding for clinical positions.</w:t>
            </w:r>
          </w:p>
        </w:tc>
      </w:tr>
      <w:tr w:rsidR="000B27B9" w:rsidRPr="004E0550" w14:paraId="7ACBF0EE" w14:textId="77777777" w:rsidTr="31E98B47">
        <w:trPr>
          <w:cantSplit/>
        </w:trPr>
        <w:tc>
          <w:tcPr>
            <w:tcW w:w="1267" w:type="dxa"/>
          </w:tcPr>
          <w:p w14:paraId="70C48F6E" w14:textId="77777777" w:rsidR="000B27B9" w:rsidRPr="00674F20" w:rsidRDefault="000B27B9" w:rsidP="0064265C">
            <w:pPr>
              <w:pStyle w:val="Tabletext9pt"/>
              <w:rPr>
                <w:szCs w:val="18"/>
              </w:rPr>
            </w:pPr>
            <w:r w:rsidRPr="00674F20">
              <w:rPr>
                <w:szCs w:val="18"/>
              </w:rPr>
              <w:t>15361</w:t>
            </w:r>
          </w:p>
        </w:tc>
        <w:tc>
          <w:tcPr>
            <w:tcW w:w="2802" w:type="dxa"/>
          </w:tcPr>
          <w:p w14:paraId="3FBF656C" w14:textId="74719410" w:rsidR="000B27B9" w:rsidRPr="00674F20" w:rsidRDefault="00DD3294" w:rsidP="0064265C">
            <w:pPr>
              <w:pStyle w:val="Tabletext9pt"/>
              <w:rPr>
                <w:szCs w:val="18"/>
              </w:rPr>
            </w:pPr>
            <w:r w:rsidRPr="00674F20">
              <w:rPr>
                <w:szCs w:val="18"/>
              </w:rPr>
              <w:t>Academic positions – other</w:t>
            </w:r>
          </w:p>
        </w:tc>
        <w:tc>
          <w:tcPr>
            <w:tcW w:w="5230" w:type="dxa"/>
          </w:tcPr>
          <w:p w14:paraId="2CA2C0D2" w14:textId="77777777" w:rsidR="000B27B9" w:rsidRPr="00674F20" w:rsidRDefault="000B27B9" w:rsidP="0064265C">
            <w:pPr>
              <w:pStyle w:val="Tabletext9pt"/>
              <w:rPr>
                <w:szCs w:val="18"/>
              </w:rPr>
            </w:pPr>
            <w:r w:rsidRPr="00674F20">
              <w:rPr>
                <w:szCs w:val="18"/>
              </w:rPr>
              <w:t>All activities associated with specified academic positions attached to tertiary institutions, regardless of the location of the position.</w:t>
            </w:r>
          </w:p>
        </w:tc>
      </w:tr>
      <w:tr w:rsidR="000B27B9" w:rsidRPr="004E0550" w14:paraId="5ECEFBEF" w14:textId="77777777" w:rsidTr="31E98B47">
        <w:trPr>
          <w:cantSplit/>
        </w:trPr>
        <w:tc>
          <w:tcPr>
            <w:tcW w:w="1267" w:type="dxa"/>
          </w:tcPr>
          <w:p w14:paraId="7CE6E6F3" w14:textId="77777777" w:rsidR="000B27B9" w:rsidRPr="00674F20" w:rsidRDefault="000B27B9" w:rsidP="0064265C">
            <w:pPr>
              <w:pStyle w:val="Tabletext9pt"/>
              <w:rPr>
                <w:szCs w:val="18"/>
              </w:rPr>
            </w:pPr>
            <w:r w:rsidRPr="00674F20">
              <w:rPr>
                <w:szCs w:val="18"/>
              </w:rPr>
              <w:t>15362</w:t>
            </w:r>
          </w:p>
        </w:tc>
        <w:tc>
          <w:tcPr>
            <w:tcW w:w="2802" w:type="dxa"/>
          </w:tcPr>
          <w:p w14:paraId="4136E84C" w14:textId="6894774E" w:rsidR="000B27B9" w:rsidRPr="00674F20" w:rsidRDefault="00DD3294" w:rsidP="0064265C">
            <w:pPr>
              <w:pStyle w:val="Tabletext9pt"/>
              <w:rPr>
                <w:szCs w:val="18"/>
              </w:rPr>
            </w:pPr>
            <w:r w:rsidRPr="00674F20">
              <w:rPr>
                <w:szCs w:val="18"/>
              </w:rPr>
              <w:t>Workforce support</w:t>
            </w:r>
          </w:p>
        </w:tc>
        <w:tc>
          <w:tcPr>
            <w:tcW w:w="5230" w:type="dxa"/>
          </w:tcPr>
          <w:p w14:paraId="727A745D" w14:textId="0CF831C7" w:rsidR="000B27B9" w:rsidRPr="00674F20" w:rsidRDefault="000B27B9" w:rsidP="0064265C">
            <w:pPr>
              <w:pStyle w:val="Tabletext9pt"/>
              <w:rPr>
                <w:szCs w:val="18"/>
              </w:rPr>
            </w:pPr>
            <w:r w:rsidRPr="00674F20">
              <w:rPr>
                <w:szCs w:val="18"/>
              </w:rPr>
              <w:t xml:space="preserve">Specialist clinical inpatient mental health assessment, short-term admission and treatment services that support neuropsychiatric disorders on a </w:t>
            </w:r>
            <w:r>
              <w:rPr>
                <w:szCs w:val="18"/>
              </w:rPr>
              <w:t>statewide</w:t>
            </w:r>
            <w:r w:rsidRPr="00674F20">
              <w:rPr>
                <w:szCs w:val="18"/>
              </w:rPr>
              <w:t>, interregional or specific catchment area basis.</w:t>
            </w:r>
          </w:p>
        </w:tc>
      </w:tr>
      <w:tr w:rsidR="000B27B9" w:rsidRPr="004E0550" w14:paraId="4578FE35" w14:textId="77777777" w:rsidTr="31E98B47">
        <w:trPr>
          <w:cantSplit/>
        </w:trPr>
        <w:tc>
          <w:tcPr>
            <w:tcW w:w="1267" w:type="dxa"/>
          </w:tcPr>
          <w:p w14:paraId="45A3EC3F" w14:textId="77777777" w:rsidR="000B27B9" w:rsidRPr="00674F20" w:rsidRDefault="000B27B9" w:rsidP="0064265C">
            <w:pPr>
              <w:pStyle w:val="Tabletext9pt"/>
              <w:rPr>
                <w:szCs w:val="18"/>
              </w:rPr>
            </w:pPr>
            <w:r w:rsidRPr="00674F20">
              <w:rPr>
                <w:szCs w:val="18"/>
              </w:rPr>
              <w:t>15366</w:t>
            </w:r>
          </w:p>
        </w:tc>
        <w:tc>
          <w:tcPr>
            <w:tcW w:w="2802" w:type="dxa"/>
          </w:tcPr>
          <w:p w14:paraId="3CAB005B" w14:textId="1A6A2F90" w:rsidR="000B27B9" w:rsidRPr="00674F20" w:rsidRDefault="00DD3294" w:rsidP="0064265C">
            <w:pPr>
              <w:pStyle w:val="Tabletext9pt"/>
              <w:rPr>
                <w:szCs w:val="18"/>
              </w:rPr>
            </w:pPr>
            <w:r w:rsidRPr="00674F20">
              <w:rPr>
                <w:szCs w:val="18"/>
              </w:rPr>
              <w:t>Suicide prevention</w:t>
            </w:r>
          </w:p>
        </w:tc>
        <w:tc>
          <w:tcPr>
            <w:tcW w:w="5230" w:type="dxa"/>
          </w:tcPr>
          <w:p w14:paraId="07398A3D" w14:textId="43817002" w:rsidR="000B27B9" w:rsidRPr="00674F20" w:rsidRDefault="000B27B9" w:rsidP="0064265C">
            <w:pPr>
              <w:pStyle w:val="Tabletext9pt"/>
              <w:rPr>
                <w:szCs w:val="18"/>
              </w:rPr>
            </w:pPr>
            <w:r w:rsidRPr="00674F20">
              <w:rPr>
                <w:szCs w:val="18"/>
              </w:rPr>
              <w:t xml:space="preserve">Programs </w:t>
            </w:r>
            <w:r>
              <w:rPr>
                <w:szCs w:val="18"/>
              </w:rPr>
              <w:t xml:space="preserve">that aim to reduce suicide among </w:t>
            </w:r>
            <w:r w:rsidR="0063396E">
              <w:rPr>
                <w:szCs w:val="18"/>
              </w:rPr>
              <w:t xml:space="preserve">adults </w:t>
            </w:r>
            <w:r w:rsidR="00B62EBC">
              <w:rPr>
                <w:szCs w:val="18"/>
              </w:rPr>
              <w:t>(26+)</w:t>
            </w:r>
            <w:r w:rsidR="0063396E">
              <w:rPr>
                <w:szCs w:val="18"/>
              </w:rPr>
              <w:t xml:space="preserve"> and </w:t>
            </w:r>
            <w:r>
              <w:rPr>
                <w:szCs w:val="18"/>
              </w:rPr>
              <w:t>young people</w:t>
            </w:r>
            <w:r w:rsidR="00B62EBC">
              <w:rPr>
                <w:szCs w:val="18"/>
              </w:rPr>
              <w:t xml:space="preserve"> (0</w:t>
            </w:r>
            <w:r w:rsidR="00F97822">
              <w:rPr>
                <w:szCs w:val="18"/>
              </w:rPr>
              <w:t>–</w:t>
            </w:r>
            <w:r w:rsidR="00B62EBC">
              <w:rPr>
                <w:szCs w:val="18"/>
              </w:rPr>
              <w:t>25)</w:t>
            </w:r>
            <w:r>
              <w:rPr>
                <w:szCs w:val="18"/>
              </w:rPr>
              <w:t xml:space="preserve">. Programs that </w:t>
            </w:r>
            <w:r w:rsidRPr="00674F20">
              <w:rPr>
                <w:szCs w:val="18"/>
              </w:rPr>
              <w:t xml:space="preserve">provide preventive support, </w:t>
            </w:r>
            <w:r w:rsidR="00BE7B6C" w:rsidRPr="00674F20">
              <w:rPr>
                <w:szCs w:val="18"/>
              </w:rPr>
              <w:t>activities,</w:t>
            </w:r>
            <w:r w:rsidRPr="00674F20">
              <w:rPr>
                <w:szCs w:val="18"/>
              </w:rPr>
              <w:t xml:space="preserve"> and early intervention services to </w:t>
            </w:r>
            <w:r w:rsidR="00B62EBC">
              <w:rPr>
                <w:szCs w:val="18"/>
              </w:rPr>
              <w:t>adults</w:t>
            </w:r>
            <w:r w:rsidR="00B62EBC" w:rsidDel="00B3759D">
              <w:rPr>
                <w:szCs w:val="18"/>
              </w:rPr>
              <w:t xml:space="preserve"> </w:t>
            </w:r>
            <w:r w:rsidR="00B62EBC">
              <w:rPr>
                <w:szCs w:val="18"/>
              </w:rPr>
              <w:t xml:space="preserve">and </w:t>
            </w:r>
            <w:r w:rsidRPr="00674F20">
              <w:rPr>
                <w:szCs w:val="18"/>
              </w:rPr>
              <w:t xml:space="preserve">young </w:t>
            </w:r>
            <w:r>
              <w:rPr>
                <w:szCs w:val="18"/>
              </w:rPr>
              <w:t xml:space="preserve">people </w:t>
            </w:r>
            <w:r w:rsidRPr="00674F20">
              <w:rPr>
                <w:szCs w:val="18"/>
              </w:rPr>
              <w:t>their family and friends and the broader community.</w:t>
            </w:r>
            <w:r>
              <w:rPr>
                <w:szCs w:val="18"/>
              </w:rPr>
              <w:t xml:space="preserve"> Includes the Hospital Outreach Post-suicidal Engagement (HOPE) program.</w:t>
            </w:r>
          </w:p>
        </w:tc>
      </w:tr>
      <w:tr w:rsidR="000B27B9" w14:paraId="66BC0347" w14:textId="77777777" w:rsidTr="31E98B47">
        <w:trPr>
          <w:cantSplit/>
        </w:trPr>
        <w:tc>
          <w:tcPr>
            <w:tcW w:w="1267" w:type="dxa"/>
          </w:tcPr>
          <w:p w14:paraId="4DBD0BFF" w14:textId="77777777" w:rsidR="000B27B9" w:rsidRDefault="000B27B9">
            <w:pPr>
              <w:pStyle w:val="Tabletext9pt"/>
              <w:rPr>
                <w:szCs w:val="18"/>
              </w:rPr>
            </w:pPr>
            <w:r>
              <w:rPr>
                <w:szCs w:val="18"/>
              </w:rPr>
              <w:t>15060</w:t>
            </w:r>
          </w:p>
        </w:tc>
        <w:tc>
          <w:tcPr>
            <w:tcW w:w="2802" w:type="dxa"/>
          </w:tcPr>
          <w:p w14:paraId="6882202F" w14:textId="058EBB6A" w:rsidR="000B27B9" w:rsidRDefault="000B27B9">
            <w:pPr>
              <w:pStyle w:val="Tabletext9pt"/>
              <w:rPr>
                <w:szCs w:val="18"/>
              </w:rPr>
            </w:pPr>
            <w:r>
              <w:rPr>
                <w:szCs w:val="18"/>
              </w:rPr>
              <w:t xml:space="preserve">Mental </w:t>
            </w:r>
            <w:r w:rsidR="00DD3294">
              <w:rPr>
                <w:szCs w:val="18"/>
              </w:rPr>
              <w:t xml:space="preserve">health </w:t>
            </w:r>
            <w:r>
              <w:rPr>
                <w:szCs w:val="18"/>
              </w:rPr>
              <w:t xml:space="preserve">and AOD </w:t>
            </w:r>
            <w:r w:rsidR="00DD3294">
              <w:rPr>
                <w:szCs w:val="18"/>
              </w:rPr>
              <w:t>hubs</w:t>
            </w:r>
          </w:p>
        </w:tc>
        <w:tc>
          <w:tcPr>
            <w:tcW w:w="5230" w:type="dxa"/>
          </w:tcPr>
          <w:p w14:paraId="63199027" w14:textId="76D7F1F0" w:rsidR="000B27B9" w:rsidRDefault="000B27B9">
            <w:pPr>
              <w:pStyle w:val="Tabletext9pt"/>
              <w:rPr>
                <w:szCs w:val="18"/>
              </w:rPr>
            </w:pPr>
            <w:r>
              <w:rPr>
                <w:szCs w:val="18"/>
              </w:rPr>
              <w:t>People presenting at emergency departments with acute mental health and A</w:t>
            </w:r>
            <w:r w:rsidR="00CC2D9D">
              <w:rPr>
                <w:szCs w:val="18"/>
              </w:rPr>
              <w:t>OD</w:t>
            </w:r>
            <w:r>
              <w:rPr>
                <w:szCs w:val="18"/>
              </w:rPr>
              <w:t xml:space="preserve"> issues can be fast-tracked to specialist, dedicated care, providing them with the right support sooner and easing pressure on emergency departments</w:t>
            </w:r>
            <w:r w:rsidRPr="001A147A">
              <w:rPr>
                <w:szCs w:val="18"/>
              </w:rPr>
              <w:t>.</w:t>
            </w:r>
          </w:p>
        </w:tc>
      </w:tr>
      <w:tr w:rsidR="000B27B9" w14:paraId="3909BA44" w14:textId="77777777" w:rsidTr="31E98B47">
        <w:trPr>
          <w:cantSplit/>
        </w:trPr>
        <w:tc>
          <w:tcPr>
            <w:tcW w:w="1267" w:type="dxa"/>
          </w:tcPr>
          <w:p w14:paraId="55D6B633" w14:textId="77777777" w:rsidR="000B27B9" w:rsidRDefault="000B27B9">
            <w:pPr>
              <w:pStyle w:val="Tabletext9pt"/>
              <w:rPr>
                <w:szCs w:val="18"/>
              </w:rPr>
            </w:pPr>
            <w:r>
              <w:rPr>
                <w:szCs w:val="18"/>
              </w:rPr>
              <w:t>38001</w:t>
            </w:r>
          </w:p>
        </w:tc>
        <w:tc>
          <w:tcPr>
            <w:tcW w:w="2802" w:type="dxa"/>
          </w:tcPr>
          <w:p w14:paraId="2918A296" w14:textId="48DE3562" w:rsidR="000B27B9" w:rsidRDefault="000B27B9">
            <w:pPr>
              <w:pStyle w:val="Tabletext9pt"/>
              <w:rPr>
                <w:szCs w:val="18"/>
              </w:rPr>
            </w:pPr>
            <w:r w:rsidRPr="001A147A">
              <w:rPr>
                <w:szCs w:val="18"/>
              </w:rPr>
              <w:t xml:space="preserve">Family </w:t>
            </w:r>
            <w:r w:rsidR="00DD3294" w:rsidRPr="001A147A">
              <w:rPr>
                <w:szCs w:val="18"/>
              </w:rPr>
              <w:t>violence reform</w:t>
            </w:r>
          </w:p>
          <w:p w14:paraId="31222916" w14:textId="5A913143" w:rsidR="000B27B9" w:rsidRPr="001A147A" w:rsidRDefault="00DD3294" w:rsidP="0064265C">
            <w:pPr>
              <w:pStyle w:val="Tabletext9pt"/>
              <w:rPr>
                <w:szCs w:val="18"/>
              </w:rPr>
            </w:pPr>
            <w:r>
              <w:rPr>
                <w:szCs w:val="18"/>
              </w:rPr>
              <w:t>(not mental health output)</w:t>
            </w:r>
          </w:p>
        </w:tc>
        <w:tc>
          <w:tcPr>
            <w:tcW w:w="5230" w:type="dxa"/>
          </w:tcPr>
          <w:p w14:paraId="068F0D9B" w14:textId="77777777" w:rsidR="000B27B9" w:rsidRPr="001A147A" w:rsidRDefault="000B27B9">
            <w:pPr>
              <w:pStyle w:val="Tabletext9pt"/>
              <w:rPr>
                <w:szCs w:val="18"/>
              </w:rPr>
            </w:pPr>
            <w:r w:rsidRPr="001A147A">
              <w:rPr>
                <w:szCs w:val="18"/>
              </w:rPr>
              <w:t xml:space="preserve">Specialist </w:t>
            </w:r>
            <w:r>
              <w:rPr>
                <w:szCs w:val="18"/>
              </w:rPr>
              <w:t>f</w:t>
            </w:r>
            <w:r w:rsidRPr="001A147A">
              <w:rPr>
                <w:szCs w:val="18"/>
              </w:rPr>
              <w:t xml:space="preserve">amily </w:t>
            </w:r>
            <w:r>
              <w:rPr>
                <w:szCs w:val="18"/>
              </w:rPr>
              <w:t>v</w:t>
            </w:r>
            <w:r w:rsidRPr="001A147A">
              <w:rPr>
                <w:szCs w:val="18"/>
              </w:rPr>
              <w:t xml:space="preserve">iolence program to drive family violence service development, capacity building and sector collaboration. </w:t>
            </w:r>
            <w:r>
              <w:rPr>
                <w:szCs w:val="18"/>
              </w:rPr>
              <w:t>The program i</w:t>
            </w:r>
            <w:r w:rsidRPr="001A147A">
              <w:rPr>
                <w:szCs w:val="18"/>
              </w:rPr>
              <w:t>ncrease</w:t>
            </w:r>
            <w:r>
              <w:rPr>
                <w:szCs w:val="18"/>
              </w:rPr>
              <w:t>s</w:t>
            </w:r>
            <w:r w:rsidRPr="001A147A">
              <w:rPr>
                <w:szCs w:val="18"/>
              </w:rPr>
              <w:t xml:space="preserve"> the capacity of mental health services and AOD agencies to recognise and respond appropriately to family violence at both the agency and individual practitioner levels.</w:t>
            </w:r>
          </w:p>
        </w:tc>
      </w:tr>
      <w:tr w:rsidR="000B27B9" w14:paraId="644B13BC" w14:textId="77777777" w:rsidTr="31E98B47">
        <w:trPr>
          <w:cantSplit/>
        </w:trPr>
        <w:tc>
          <w:tcPr>
            <w:tcW w:w="1267" w:type="dxa"/>
          </w:tcPr>
          <w:p w14:paraId="453B9D11" w14:textId="77777777" w:rsidR="000B27B9" w:rsidRDefault="000B27B9">
            <w:pPr>
              <w:pStyle w:val="Tabletext9pt"/>
              <w:rPr>
                <w:szCs w:val="18"/>
              </w:rPr>
            </w:pPr>
            <w:r>
              <w:rPr>
                <w:szCs w:val="18"/>
              </w:rPr>
              <w:t>15026</w:t>
            </w:r>
          </w:p>
        </w:tc>
        <w:tc>
          <w:tcPr>
            <w:tcW w:w="2802" w:type="dxa"/>
          </w:tcPr>
          <w:p w14:paraId="1B057144" w14:textId="6C91B587" w:rsidR="000B27B9" w:rsidRPr="001A147A" w:rsidRDefault="000B27B9">
            <w:pPr>
              <w:pStyle w:val="Tabletext9pt"/>
              <w:rPr>
                <w:szCs w:val="18"/>
              </w:rPr>
            </w:pPr>
            <w:r w:rsidRPr="001A147A">
              <w:rPr>
                <w:szCs w:val="18"/>
              </w:rPr>
              <w:t xml:space="preserve">Child </w:t>
            </w:r>
            <w:r w:rsidR="00DD3294" w:rsidRPr="001A147A">
              <w:rPr>
                <w:szCs w:val="18"/>
              </w:rPr>
              <w:t>clinical specialist</w:t>
            </w:r>
          </w:p>
        </w:tc>
        <w:tc>
          <w:tcPr>
            <w:tcW w:w="5230" w:type="dxa"/>
          </w:tcPr>
          <w:p w14:paraId="3AD6FA3F" w14:textId="12D36FD5" w:rsidR="000B27B9" w:rsidRPr="001A147A" w:rsidRDefault="000B27B9" w:rsidP="00081936">
            <w:pPr>
              <w:pStyle w:val="Tabletext9pt"/>
              <w:numPr>
                <w:ilvl w:val="0"/>
                <w:numId w:val="28"/>
              </w:numPr>
            </w:pPr>
            <w:r>
              <w:t xml:space="preserve">Improve the leadership and responsiveness in engaging, </w:t>
            </w:r>
            <w:r w:rsidR="00BE7B6C">
              <w:t>assessing,</w:t>
            </w:r>
            <w:r>
              <w:t xml:space="preserve"> and treating children (aged 0–12 years) with behaviour disorders linked to mental illness, such as conduct disorder and precursors, depression and anxiety, and their families/caregivers.</w:t>
            </w:r>
          </w:p>
        </w:tc>
      </w:tr>
      <w:tr w:rsidR="000B27B9" w14:paraId="0310A446" w14:textId="77777777" w:rsidTr="31E98B47">
        <w:trPr>
          <w:cantSplit/>
        </w:trPr>
        <w:tc>
          <w:tcPr>
            <w:tcW w:w="1267" w:type="dxa"/>
          </w:tcPr>
          <w:p w14:paraId="2F40ECC3" w14:textId="77777777" w:rsidR="000B27B9" w:rsidRDefault="000B27B9">
            <w:pPr>
              <w:pStyle w:val="Tabletext9pt"/>
              <w:rPr>
                <w:szCs w:val="18"/>
              </w:rPr>
            </w:pPr>
            <w:r>
              <w:rPr>
                <w:szCs w:val="18"/>
              </w:rPr>
              <w:t>15057</w:t>
            </w:r>
          </w:p>
        </w:tc>
        <w:tc>
          <w:tcPr>
            <w:tcW w:w="2802" w:type="dxa"/>
          </w:tcPr>
          <w:p w14:paraId="68C7CA08" w14:textId="5569770D" w:rsidR="000B27B9" w:rsidRPr="001A147A" w:rsidRDefault="000B27B9">
            <w:pPr>
              <w:pStyle w:val="Tabletext9pt"/>
              <w:rPr>
                <w:szCs w:val="18"/>
              </w:rPr>
            </w:pPr>
            <w:r w:rsidRPr="001A147A">
              <w:rPr>
                <w:szCs w:val="18"/>
              </w:rPr>
              <w:t xml:space="preserve">PARC </w:t>
            </w:r>
            <w:r w:rsidR="00DD3294">
              <w:rPr>
                <w:szCs w:val="18"/>
              </w:rPr>
              <w:t>s</w:t>
            </w:r>
            <w:r w:rsidR="00DD3294" w:rsidRPr="001A147A">
              <w:rPr>
                <w:szCs w:val="18"/>
              </w:rPr>
              <w:t>upplement</w:t>
            </w:r>
          </w:p>
        </w:tc>
        <w:tc>
          <w:tcPr>
            <w:tcW w:w="5230" w:type="dxa"/>
          </w:tcPr>
          <w:p w14:paraId="539E82E6" w14:textId="77777777" w:rsidR="000B27B9" w:rsidRPr="001A147A" w:rsidRDefault="000B27B9">
            <w:pPr>
              <w:pStyle w:val="Tabletext9pt"/>
              <w:rPr>
                <w:szCs w:val="18"/>
              </w:rPr>
            </w:pPr>
            <w:r w:rsidRPr="001A147A">
              <w:rPr>
                <w:szCs w:val="18"/>
              </w:rPr>
              <w:t>Improve</w:t>
            </w:r>
            <w:r>
              <w:rPr>
                <w:szCs w:val="18"/>
              </w:rPr>
              <w:t>s</w:t>
            </w:r>
            <w:r w:rsidRPr="001A147A">
              <w:rPr>
                <w:szCs w:val="18"/>
              </w:rPr>
              <w:t xml:space="preserve"> the capacity of </w:t>
            </w:r>
            <w:r>
              <w:rPr>
                <w:szCs w:val="18"/>
              </w:rPr>
              <w:t>p</w:t>
            </w:r>
            <w:r w:rsidRPr="001A147A">
              <w:rPr>
                <w:szCs w:val="18"/>
              </w:rPr>
              <w:t xml:space="preserve">revention and </w:t>
            </w:r>
            <w:r>
              <w:rPr>
                <w:szCs w:val="18"/>
              </w:rPr>
              <w:t>r</w:t>
            </w:r>
            <w:r w:rsidRPr="001A147A">
              <w:rPr>
                <w:szCs w:val="18"/>
              </w:rPr>
              <w:t xml:space="preserve">ecovery </w:t>
            </w:r>
            <w:r>
              <w:rPr>
                <w:szCs w:val="18"/>
              </w:rPr>
              <w:t>c</w:t>
            </w:r>
            <w:r w:rsidRPr="001A147A">
              <w:rPr>
                <w:szCs w:val="18"/>
              </w:rPr>
              <w:t xml:space="preserve">are </w:t>
            </w:r>
            <w:r>
              <w:rPr>
                <w:szCs w:val="18"/>
              </w:rPr>
              <w:t>(PARC) u</w:t>
            </w:r>
            <w:r w:rsidRPr="001A147A">
              <w:rPr>
                <w:szCs w:val="18"/>
              </w:rPr>
              <w:t>nits to accept patients being discharged from acute inpatient units by</w:t>
            </w:r>
            <w:r>
              <w:rPr>
                <w:szCs w:val="18"/>
              </w:rPr>
              <w:t xml:space="preserve"> </w:t>
            </w:r>
            <w:r w:rsidRPr="001A147A">
              <w:rPr>
                <w:szCs w:val="18"/>
              </w:rPr>
              <w:t xml:space="preserve">providing extra clinical input. </w:t>
            </w:r>
          </w:p>
        </w:tc>
      </w:tr>
      <w:tr w:rsidR="000B27B9" w14:paraId="7C158608" w14:textId="77777777" w:rsidTr="31E98B47">
        <w:trPr>
          <w:cantSplit/>
        </w:trPr>
        <w:tc>
          <w:tcPr>
            <w:tcW w:w="1267" w:type="dxa"/>
          </w:tcPr>
          <w:p w14:paraId="307AC86E" w14:textId="77777777" w:rsidR="000B27B9" w:rsidRDefault="000B27B9">
            <w:pPr>
              <w:pStyle w:val="Tabletext9pt"/>
              <w:rPr>
                <w:szCs w:val="18"/>
              </w:rPr>
            </w:pPr>
            <w:r>
              <w:rPr>
                <w:szCs w:val="18"/>
              </w:rPr>
              <w:lastRenderedPageBreak/>
              <w:t>15054</w:t>
            </w:r>
          </w:p>
        </w:tc>
        <w:tc>
          <w:tcPr>
            <w:tcW w:w="2802" w:type="dxa"/>
          </w:tcPr>
          <w:p w14:paraId="7167E3E0" w14:textId="77777777" w:rsidR="000B27B9" w:rsidRPr="001A147A" w:rsidRDefault="000B27B9">
            <w:pPr>
              <w:pStyle w:val="Tabletext9pt"/>
              <w:rPr>
                <w:szCs w:val="18"/>
              </w:rPr>
            </w:pPr>
            <w:r w:rsidRPr="001A147A">
              <w:rPr>
                <w:szCs w:val="18"/>
              </w:rPr>
              <w:t xml:space="preserve">Aboriginal </w:t>
            </w:r>
            <w:r>
              <w:rPr>
                <w:szCs w:val="18"/>
              </w:rPr>
              <w:t>M</w:t>
            </w:r>
            <w:r w:rsidRPr="001A147A">
              <w:rPr>
                <w:szCs w:val="18"/>
              </w:rPr>
              <w:t xml:space="preserve">ental </w:t>
            </w:r>
            <w:r>
              <w:rPr>
                <w:szCs w:val="18"/>
              </w:rPr>
              <w:t>H</w:t>
            </w:r>
            <w:r w:rsidRPr="001A147A">
              <w:rPr>
                <w:szCs w:val="18"/>
              </w:rPr>
              <w:t xml:space="preserve">ealth </w:t>
            </w:r>
            <w:r>
              <w:rPr>
                <w:szCs w:val="18"/>
              </w:rPr>
              <w:t>T</w:t>
            </w:r>
            <w:r w:rsidRPr="001A147A">
              <w:rPr>
                <w:szCs w:val="18"/>
              </w:rPr>
              <w:t xml:space="preserve">raineeship </w:t>
            </w:r>
            <w:r>
              <w:rPr>
                <w:szCs w:val="18"/>
              </w:rPr>
              <w:t>P</w:t>
            </w:r>
            <w:r w:rsidRPr="001A147A">
              <w:rPr>
                <w:szCs w:val="18"/>
              </w:rPr>
              <w:t>rogram</w:t>
            </w:r>
          </w:p>
        </w:tc>
        <w:tc>
          <w:tcPr>
            <w:tcW w:w="5230" w:type="dxa"/>
          </w:tcPr>
          <w:p w14:paraId="399DF6E5" w14:textId="77777777" w:rsidR="000B27B9" w:rsidRPr="001A147A" w:rsidRDefault="000B27B9">
            <w:pPr>
              <w:pStyle w:val="Tabletext9pt"/>
              <w:rPr>
                <w:szCs w:val="18"/>
              </w:rPr>
            </w:pPr>
            <w:r w:rsidRPr="001A147A">
              <w:rPr>
                <w:szCs w:val="18"/>
              </w:rPr>
              <w:t xml:space="preserve">All activities associated with supporting full-time employment to 10 Aboriginal mental health </w:t>
            </w:r>
            <w:r>
              <w:rPr>
                <w:szCs w:val="18"/>
              </w:rPr>
              <w:t>t</w:t>
            </w:r>
            <w:r w:rsidRPr="001A147A">
              <w:rPr>
                <w:szCs w:val="18"/>
              </w:rPr>
              <w:t>r</w:t>
            </w:r>
            <w:r>
              <w:rPr>
                <w:szCs w:val="18"/>
              </w:rPr>
              <w:t>a</w:t>
            </w:r>
            <w:r w:rsidRPr="001A147A">
              <w:rPr>
                <w:szCs w:val="18"/>
              </w:rPr>
              <w:t>ineeship positions who will undergo supervised workplace training and clinical placements over three years while concurrently completing the three-year full-time Bachelor of Health Science (Mental Health) degree at Charles Sturt University.</w:t>
            </w:r>
          </w:p>
        </w:tc>
      </w:tr>
      <w:tr w:rsidR="000B27B9" w14:paraId="50769340" w14:textId="77777777" w:rsidTr="31E98B47">
        <w:trPr>
          <w:cantSplit/>
        </w:trPr>
        <w:tc>
          <w:tcPr>
            <w:tcW w:w="1267" w:type="dxa"/>
          </w:tcPr>
          <w:p w14:paraId="60C3CEC0" w14:textId="77777777" w:rsidR="000B27B9" w:rsidRDefault="000B27B9">
            <w:pPr>
              <w:pStyle w:val="Tabletext9pt"/>
              <w:rPr>
                <w:szCs w:val="18"/>
              </w:rPr>
            </w:pPr>
            <w:r>
              <w:rPr>
                <w:szCs w:val="18"/>
              </w:rPr>
              <w:t>15300</w:t>
            </w:r>
          </w:p>
        </w:tc>
        <w:tc>
          <w:tcPr>
            <w:tcW w:w="2802" w:type="dxa"/>
          </w:tcPr>
          <w:p w14:paraId="52DF80AD" w14:textId="77777777" w:rsidR="000B27B9" w:rsidRPr="001A147A" w:rsidRDefault="000B27B9">
            <w:pPr>
              <w:pStyle w:val="Tabletext9pt"/>
              <w:rPr>
                <w:szCs w:val="18"/>
              </w:rPr>
            </w:pPr>
            <w:r w:rsidRPr="001A147A">
              <w:rPr>
                <w:szCs w:val="18"/>
              </w:rPr>
              <w:t xml:space="preserve">Personality </w:t>
            </w:r>
            <w:r>
              <w:rPr>
                <w:szCs w:val="18"/>
              </w:rPr>
              <w:t>D</w:t>
            </w:r>
            <w:r w:rsidRPr="001A147A">
              <w:rPr>
                <w:szCs w:val="18"/>
              </w:rPr>
              <w:t xml:space="preserve">isorder </w:t>
            </w:r>
            <w:r>
              <w:rPr>
                <w:szCs w:val="18"/>
              </w:rPr>
              <w:t>S</w:t>
            </w:r>
            <w:r w:rsidRPr="001A147A">
              <w:rPr>
                <w:szCs w:val="18"/>
              </w:rPr>
              <w:t xml:space="preserve">pecialist </w:t>
            </w:r>
            <w:r>
              <w:rPr>
                <w:szCs w:val="18"/>
              </w:rPr>
              <w:t>P</w:t>
            </w:r>
            <w:r w:rsidRPr="001A147A">
              <w:rPr>
                <w:szCs w:val="18"/>
              </w:rPr>
              <w:t>rogram</w:t>
            </w:r>
          </w:p>
        </w:tc>
        <w:tc>
          <w:tcPr>
            <w:tcW w:w="5230" w:type="dxa"/>
          </w:tcPr>
          <w:p w14:paraId="63586063" w14:textId="0AF0803C" w:rsidR="000B27B9" w:rsidRPr="001A147A" w:rsidRDefault="000B27B9">
            <w:pPr>
              <w:pStyle w:val="Tabletext9pt"/>
              <w:rPr>
                <w:szCs w:val="18"/>
              </w:rPr>
            </w:pPr>
            <w:r w:rsidRPr="001A147A">
              <w:rPr>
                <w:szCs w:val="18"/>
              </w:rPr>
              <w:t xml:space="preserve">Assessment, </w:t>
            </w:r>
            <w:r w:rsidR="00BE7B6C" w:rsidRPr="001A147A">
              <w:rPr>
                <w:szCs w:val="18"/>
              </w:rPr>
              <w:t>treatment,</w:t>
            </w:r>
            <w:r w:rsidRPr="001A147A">
              <w:rPr>
                <w:szCs w:val="18"/>
              </w:rPr>
              <w:t xml:space="preserve"> and support for people with severe personality disorders who are at high risk of suicide, high</w:t>
            </w:r>
            <w:r>
              <w:rPr>
                <w:szCs w:val="18"/>
              </w:rPr>
              <w:t>-</w:t>
            </w:r>
            <w:r w:rsidRPr="001A147A">
              <w:rPr>
                <w:szCs w:val="18"/>
              </w:rPr>
              <w:t>lethality self-harm or violent or aggressive behaviours</w:t>
            </w:r>
            <w:r>
              <w:rPr>
                <w:szCs w:val="18"/>
              </w:rPr>
              <w:t>.</w:t>
            </w:r>
          </w:p>
        </w:tc>
      </w:tr>
      <w:tr w:rsidR="000B27B9" w14:paraId="66A52AB8" w14:textId="77777777" w:rsidTr="31E98B47">
        <w:trPr>
          <w:cantSplit/>
        </w:trPr>
        <w:tc>
          <w:tcPr>
            <w:tcW w:w="1267" w:type="dxa"/>
          </w:tcPr>
          <w:p w14:paraId="6FFBDD8E" w14:textId="77777777" w:rsidR="000B27B9" w:rsidRDefault="000B27B9">
            <w:pPr>
              <w:pStyle w:val="Tabletext9pt"/>
              <w:rPr>
                <w:szCs w:val="18"/>
              </w:rPr>
            </w:pPr>
            <w:r>
              <w:rPr>
                <w:szCs w:val="18"/>
              </w:rPr>
              <w:t>15365</w:t>
            </w:r>
          </w:p>
        </w:tc>
        <w:tc>
          <w:tcPr>
            <w:tcW w:w="2802" w:type="dxa"/>
          </w:tcPr>
          <w:p w14:paraId="2C6F9297" w14:textId="77777777" w:rsidR="000B27B9" w:rsidRPr="001A147A" w:rsidRDefault="000B27B9">
            <w:pPr>
              <w:pStyle w:val="Tabletext9pt"/>
              <w:rPr>
                <w:szCs w:val="18"/>
              </w:rPr>
            </w:pPr>
            <w:r>
              <w:rPr>
                <w:szCs w:val="18"/>
              </w:rPr>
              <w:t>Perinatal Emotional Health Program</w:t>
            </w:r>
          </w:p>
        </w:tc>
        <w:tc>
          <w:tcPr>
            <w:tcW w:w="5230" w:type="dxa"/>
          </w:tcPr>
          <w:p w14:paraId="4F576406" w14:textId="77777777" w:rsidR="000B27B9" w:rsidRPr="002931EF" w:rsidRDefault="000B27B9" w:rsidP="00081936">
            <w:pPr>
              <w:pStyle w:val="Tabletext9pt"/>
              <w:numPr>
                <w:ilvl w:val="0"/>
                <w:numId w:val="28"/>
              </w:numPr>
            </w:pPr>
            <w:r>
              <w:t>Improve early detection of antenatal and postnatal depression and provide better support and treatment for expectant and new mothers experiencing depression.</w:t>
            </w:r>
          </w:p>
        </w:tc>
      </w:tr>
      <w:tr w:rsidR="000B27B9" w14:paraId="2BA69296" w14:textId="77777777" w:rsidTr="31E98B47">
        <w:trPr>
          <w:cantSplit/>
        </w:trPr>
        <w:tc>
          <w:tcPr>
            <w:tcW w:w="1267" w:type="dxa"/>
          </w:tcPr>
          <w:p w14:paraId="6964CE4D" w14:textId="77777777" w:rsidR="000B27B9" w:rsidRDefault="000B27B9">
            <w:pPr>
              <w:pStyle w:val="Tabletext9pt"/>
              <w:rPr>
                <w:szCs w:val="18"/>
              </w:rPr>
            </w:pPr>
            <w:r>
              <w:rPr>
                <w:szCs w:val="18"/>
              </w:rPr>
              <w:t>15371</w:t>
            </w:r>
          </w:p>
        </w:tc>
        <w:tc>
          <w:tcPr>
            <w:tcW w:w="2802" w:type="dxa"/>
          </w:tcPr>
          <w:p w14:paraId="5B4B4AAB" w14:textId="4B673D20" w:rsidR="000B27B9" w:rsidRPr="00F22C63" w:rsidRDefault="000B27B9" w:rsidP="00081936">
            <w:pPr>
              <w:pStyle w:val="Tabletext9pt"/>
              <w:numPr>
                <w:ilvl w:val="0"/>
                <w:numId w:val="28"/>
              </w:numPr>
            </w:pPr>
            <w:r>
              <w:t xml:space="preserve">Forensic </w:t>
            </w:r>
            <w:r w:rsidR="00DD3294">
              <w:t>mental health in community health</w:t>
            </w:r>
          </w:p>
        </w:tc>
        <w:tc>
          <w:tcPr>
            <w:tcW w:w="5230" w:type="dxa"/>
          </w:tcPr>
          <w:p w14:paraId="727C7522" w14:textId="77777777" w:rsidR="000B27B9" w:rsidRPr="00F22C63" w:rsidRDefault="000B27B9" w:rsidP="00081936">
            <w:pPr>
              <w:pStyle w:val="Tabletext9pt"/>
              <w:numPr>
                <w:ilvl w:val="0"/>
                <w:numId w:val="28"/>
              </w:numPr>
            </w:pPr>
            <w:r>
              <w:t>Delivery of community-based mental health services and supports to forensic clients with a moderate mental health condition referred by Corrections Victoria.</w:t>
            </w:r>
          </w:p>
        </w:tc>
      </w:tr>
    </w:tbl>
    <w:p w14:paraId="62643B46" w14:textId="7BDE5F57" w:rsidR="000B27B9" w:rsidRDefault="00852D1F" w:rsidP="006A5ACF">
      <w:pPr>
        <w:pStyle w:val="Bodyaftertablefigure"/>
      </w:pPr>
      <w:r>
        <w:fldChar w:fldCharType="begin"/>
      </w:r>
      <w:r>
        <w:instrText xml:space="preserve"> REF _Ref146113496 \h </w:instrText>
      </w:r>
      <w:r>
        <w:fldChar w:fldCharType="separate"/>
      </w:r>
      <w:r>
        <w:t xml:space="preserve">Table </w:t>
      </w:r>
      <w:r>
        <w:rPr>
          <w:noProof/>
        </w:rPr>
        <w:t>1</w:t>
      </w:r>
      <w:r>
        <w:t>.</w:t>
      </w:r>
      <w:r>
        <w:rPr>
          <w:noProof/>
        </w:rPr>
        <w:t>29</w:t>
      </w:r>
      <w:r>
        <w:fldChar w:fldCharType="end"/>
      </w:r>
      <w:r w:rsidR="00AD2D23">
        <w:t xml:space="preserve"> </w:t>
      </w:r>
      <w:r w:rsidR="000B27B9">
        <w:t>shows outputs and activities for m</w:t>
      </w:r>
      <w:r w:rsidR="000B27B9" w:rsidRPr="00E7554A">
        <w:t>ental health community support services</w:t>
      </w:r>
      <w:r w:rsidR="003C0C83">
        <w:t xml:space="preserve"> (MHCSS)</w:t>
      </w:r>
      <w:r w:rsidR="000B27B9">
        <w:t xml:space="preserve">. MHCSS are a range of rehabilitation and support services provided to </w:t>
      </w:r>
      <w:r w:rsidR="003C0C83">
        <w:t xml:space="preserve">young people </w:t>
      </w:r>
      <w:r w:rsidR="000B27B9">
        <w:t>and adults with a psychiatric disability, and their families and carers, so that those experiencing mental health problems can access timely, high-quality care and support to recover and reintegrate into the community.</w:t>
      </w:r>
    </w:p>
    <w:p w14:paraId="2D3860B0" w14:textId="7CC3479A" w:rsidR="00333328" w:rsidRDefault="00333328" w:rsidP="00685B35">
      <w:pPr>
        <w:pStyle w:val="Tablecaption"/>
      </w:pPr>
      <w:bookmarkStart w:id="915" w:name="_Toc14194757"/>
      <w:bookmarkStart w:id="916" w:name="_Toc54261413"/>
      <w:bookmarkStart w:id="917" w:name="_Toc54616287"/>
      <w:bookmarkStart w:id="918" w:name="_Ref108527609"/>
      <w:bookmarkStart w:id="919" w:name="_Toc109894121"/>
      <w:bookmarkStart w:id="920" w:name="_Ref146113496"/>
      <w:bookmarkStart w:id="921" w:name="_Toc156568672"/>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29</w:t>
      </w:r>
      <w:r>
        <w:fldChar w:fldCharType="end"/>
      </w:r>
      <w:r>
        <w:t xml:space="preserve">: </w:t>
      </w:r>
      <w:r w:rsidR="000B27B9">
        <w:t>M</w:t>
      </w:r>
      <w:r w:rsidR="000B27B9" w:rsidRPr="00E7554A">
        <w:t>ental health community support services</w:t>
      </w:r>
      <w:r w:rsidR="000B27B9">
        <w:t xml:space="preserve"> </w:t>
      </w:r>
      <w:r w:rsidR="00A82C07" w:rsidRPr="00E7554A">
        <w:t>– outputs and activities</w:t>
      </w:r>
      <w:r w:rsidR="00A82C07">
        <w:t xml:space="preserve"> </w:t>
      </w:r>
      <w:r w:rsidR="005D1FCB" w:rsidRPr="00697369">
        <w:t>202</w:t>
      </w:r>
      <w:r w:rsidR="00D3156E">
        <w:t>3</w:t>
      </w:r>
      <w:r w:rsidR="00352B64">
        <w:t>–</w:t>
      </w:r>
      <w:r w:rsidR="005D1FCB" w:rsidRPr="00697369">
        <w:t>2</w:t>
      </w:r>
      <w:r w:rsidR="00D3156E">
        <w:t>4</w:t>
      </w:r>
      <w:bookmarkEnd w:id="915"/>
      <w:bookmarkEnd w:id="916"/>
      <w:bookmarkEnd w:id="917"/>
      <w:bookmarkEnd w:id="918"/>
      <w:bookmarkEnd w:id="919"/>
      <w:bookmarkEnd w:id="920"/>
      <w:bookmarkEnd w:id="921"/>
    </w:p>
    <w:tbl>
      <w:tblPr>
        <w:tblStyle w:val="TableGrid1"/>
        <w:tblW w:w="9299" w:type="dxa"/>
        <w:tblLook w:val="06A0" w:firstRow="1" w:lastRow="0" w:firstColumn="1" w:lastColumn="0" w:noHBand="1" w:noVBand="1"/>
      </w:tblPr>
      <w:tblGrid>
        <w:gridCol w:w="2001"/>
        <w:gridCol w:w="2956"/>
        <w:gridCol w:w="4342"/>
      </w:tblGrid>
      <w:tr w:rsidR="001F1F73" w14:paraId="75F90631" w14:textId="77777777" w:rsidTr="00685B35">
        <w:trPr>
          <w:cnfStyle w:val="100000000000" w:firstRow="1" w:lastRow="0" w:firstColumn="0" w:lastColumn="0" w:oddVBand="0" w:evenVBand="0" w:oddHBand="0" w:evenHBand="0" w:firstRowFirstColumn="0" w:firstRowLastColumn="0" w:lastRowFirstColumn="0" w:lastRowLastColumn="0"/>
          <w:cantSplit/>
          <w:tblHeader/>
        </w:trPr>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6FFB0CA8" w14:textId="77777777" w:rsidR="001F1F73" w:rsidRDefault="001F1F73" w:rsidP="00685B35">
            <w:pPr>
              <w:pStyle w:val="Tablecolhead"/>
              <w:rPr>
                <w:szCs w:val="18"/>
                <w:lang w:eastAsia="en-AU"/>
              </w:rPr>
            </w:pPr>
            <w:bookmarkStart w:id="922" w:name="_Toc419623625"/>
            <w:bookmarkStart w:id="923" w:name="_Toc419623737"/>
            <w:bookmarkStart w:id="924" w:name="_Toc419644525"/>
            <w:bookmarkStart w:id="925" w:name="_Toc487742089"/>
            <w:bookmarkEnd w:id="909"/>
            <w:bookmarkEnd w:id="910"/>
            <w:bookmarkEnd w:id="911"/>
            <w:bookmarkEnd w:id="912"/>
            <w:r>
              <w:rPr>
                <w:lang w:eastAsia="en-AU"/>
              </w:rPr>
              <w:t>Activity no.</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0D216E30" w14:textId="77777777" w:rsidR="001F1F73" w:rsidRDefault="001F1F73" w:rsidP="00685B35">
            <w:pPr>
              <w:pStyle w:val="Tablecolhead"/>
              <w:rPr>
                <w:szCs w:val="18"/>
                <w:lang w:eastAsia="en-AU"/>
              </w:rPr>
            </w:pPr>
            <w:r>
              <w:rPr>
                <w:lang w:eastAsia="en-AU"/>
              </w:rPr>
              <w:t>Activity name</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568CE34E" w14:textId="77777777" w:rsidR="001F1F73" w:rsidRDefault="001F1F73" w:rsidP="00685B35">
            <w:pPr>
              <w:pStyle w:val="Tablecolhead"/>
              <w:rPr>
                <w:szCs w:val="18"/>
                <w:lang w:eastAsia="en-AU"/>
              </w:rPr>
            </w:pPr>
            <w:r>
              <w:rPr>
                <w:lang w:eastAsia="en-AU"/>
              </w:rPr>
              <w:t>Activity description</w:t>
            </w:r>
          </w:p>
        </w:tc>
      </w:tr>
      <w:tr w:rsidR="001F1F73" w14:paraId="3E9906EC" w14:textId="77777777" w:rsidTr="001F1F73">
        <w:trPr>
          <w:cantSplit/>
        </w:trPr>
        <w:tc>
          <w:tcPr>
            <w:tcW w:w="2001" w:type="dxa"/>
            <w:tcBorders>
              <w:top w:val="single" w:sz="4" w:space="0" w:color="auto"/>
              <w:left w:val="single" w:sz="4" w:space="0" w:color="auto"/>
              <w:bottom w:val="single" w:sz="4" w:space="0" w:color="auto"/>
              <w:right w:val="single" w:sz="4" w:space="0" w:color="auto"/>
            </w:tcBorders>
            <w:hideMark/>
          </w:tcPr>
          <w:p w14:paraId="6D6F845A" w14:textId="77777777" w:rsidR="001F1F73" w:rsidRDefault="001F1F73">
            <w:pPr>
              <w:pStyle w:val="Tabletext9pt"/>
              <w:rPr>
                <w:szCs w:val="18"/>
              </w:rPr>
            </w:pPr>
            <w:r>
              <w:rPr>
                <w:szCs w:val="18"/>
              </w:rPr>
              <w:t>15067</w:t>
            </w:r>
          </w:p>
        </w:tc>
        <w:tc>
          <w:tcPr>
            <w:tcW w:w="2956" w:type="dxa"/>
            <w:tcBorders>
              <w:top w:val="single" w:sz="4" w:space="0" w:color="auto"/>
              <w:left w:val="single" w:sz="4" w:space="0" w:color="auto"/>
              <w:bottom w:val="single" w:sz="4" w:space="0" w:color="auto"/>
              <w:right w:val="single" w:sz="4" w:space="0" w:color="auto"/>
            </w:tcBorders>
            <w:hideMark/>
          </w:tcPr>
          <w:p w14:paraId="6A3568F4" w14:textId="1CD2018B" w:rsidR="001F1F73" w:rsidRDefault="001F1F73">
            <w:pPr>
              <w:pStyle w:val="Tabletext9pt"/>
              <w:rPr>
                <w:szCs w:val="18"/>
              </w:rPr>
            </w:pPr>
            <w:r>
              <w:rPr>
                <w:szCs w:val="18"/>
              </w:rPr>
              <w:t xml:space="preserve">Planned </w:t>
            </w:r>
            <w:r w:rsidR="00DD3294">
              <w:rPr>
                <w:szCs w:val="18"/>
              </w:rPr>
              <w:t>respite – in home</w:t>
            </w:r>
          </w:p>
        </w:tc>
        <w:tc>
          <w:tcPr>
            <w:tcW w:w="4342" w:type="dxa"/>
            <w:tcBorders>
              <w:top w:val="single" w:sz="4" w:space="0" w:color="auto"/>
              <w:left w:val="single" w:sz="4" w:space="0" w:color="auto"/>
              <w:bottom w:val="single" w:sz="4" w:space="0" w:color="auto"/>
              <w:right w:val="single" w:sz="4" w:space="0" w:color="auto"/>
            </w:tcBorders>
            <w:hideMark/>
          </w:tcPr>
          <w:p w14:paraId="1E084703" w14:textId="77777777" w:rsidR="001F1F73" w:rsidRDefault="001F1F73">
            <w:pPr>
              <w:pStyle w:val="Tabletext9pt"/>
              <w:rPr>
                <w:szCs w:val="18"/>
              </w:rPr>
            </w:pPr>
            <w:r>
              <w:rPr>
                <w:szCs w:val="18"/>
              </w:rPr>
              <w:t>In-home planned respite services assist in sustaining existing relationships between people with a mental illness and their carers by providing short-term respite at home.</w:t>
            </w:r>
          </w:p>
        </w:tc>
      </w:tr>
      <w:tr w:rsidR="001F1F73" w14:paraId="3812A13E" w14:textId="77777777" w:rsidTr="001F1F73">
        <w:trPr>
          <w:cantSplit/>
        </w:trPr>
        <w:tc>
          <w:tcPr>
            <w:tcW w:w="2001" w:type="dxa"/>
            <w:tcBorders>
              <w:top w:val="single" w:sz="4" w:space="0" w:color="auto"/>
              <w:left w:val="single" w:sz="4" w:space="0" w:color="auto"/>
              <w:bottom w:val="single" w:sz="4" w:space="0" w:color="auto"/>
              <w:right w:val="single" w:sz="4" w:space="0" w:color="auto"/>
            </w:tcBorders>
            <w:hideMark/>
          </w:tcPr>
          <w:p w14:paraId="0FAB547E" w14:textId="77777777" w:rsidR="001F1F73" w:rsidRDefault="001F1F73">
            <w:pPr>
              <w:pStyle w:val="Tabletext9pt"/>
              <w:rPr>
                <w:szCs w:val="18"/>
              </w:rPr>
            </w:pPr>
            <w:r>
              <w:rPr>
                <w:szCs w:val="18"/>
              </w:rPr>
              <w:t>15068</w:t>
            </w:r>
          </w:p>
        </w:tc>
        <w:tc>
          <w:tcPr>
            <w:tcW w:w="2956" w:type="dxa"/>
            <w:tcBorders>
              <w:top w:val="single" w:sz="4" w:space="0" w:color="auto"/>
              <w:left w:val="single" w:sz="4" w:space="0" w:color="auto"/>
              <w:bottom w:val="single" w:sz="4" w:space="0" w:color="auto"/>
              <w:right w:val="single" w:sz="4" w:space="0" w:color="auto"/>
            </w:tcBorders>
            <w:hideMark/>
          </w:tcPr>
          <w:p w14:paraId="3AD52790" w14:textId="18FE6825" w:rsidR="001F1F73" w:rsidRDefault="00DD3294">
            <w:pPr>
              <w:pStyle w:val="Tabletext9pt"/>
              <w:rPr>
                <w:szCs w:val="18"/>
              </w:rPr>
            </w:pPr>
            <w:r>
              <w:rPr>
                <w:szCs w:val="18"/>
              </w:rPr>
              <w:t>Planned respite – community</w:t>
            </w:r>
          </w:p>
        </w:tc>
        <w:tc>
          <w:tcPr>
            <w:tcW w:w="4342" w:type="dxa"/>
            <w:tcBorders>
              <w:top w:val="single" w:sz="4" w:space="0" w:color="auto"/>
              <w:left w:val="single" w:sz="4" w:space="0" w:color="auto"/>
              <w:bottom w:val="single" w:sz="4" w:space="0" w:color="auto"/>
              <w:right w:val="single" w:sz="4" w:space="0" w:color="auto"/>
            </w:tcBorders>
            <w:hideMark/>
          </w:tcPr>
          <w:p w14:paraId="1E5B8539" w14:textId="77777777" w:rsidR="001F1F73" w:rsidRDefault="001F1F73">
            <w:pPr>
              <w:pStyle w:val="Tabletext9pt"/>
              <w:rPr>
                <w:szCs w:val="18"/>
              </w:rPr>
            </w:pPr>
            <w:r>
              <w:rPr>
                <w:szCs w:val="18"/>
              </w:rPr>
              <w:t>Community planned respite services assist in sustaining existing relationships between people with a mental illness and their carers by providing short-term respite in the community.</w:t>
            </w:r>
          </w:p>
        </w:tc>
      </w:tr>
      <w:tr w:rsidR="001F1F73" w14:paraId="01E1DD00" w14:textId="77777777" w:rsidTr="001F1F73">
        <w:trPr>
          <w:cantSplit/>
        </w:trPr>
        <w:tc>
          <w:tcPr>
            <w:tcW w:w="2001" w:type="dxa"/>
            <w:tcBorders>
              <w:top w:val="single" w:sz="4" w:space="0" w:color="auto"/>
              <w:left w:val="single" w:sz="4" w:space="0" w:color="auto"/>
              <w:bottom w:val="single" w:sz="4" w:space="0" w:color="auto"/>
              <w:right w:val="single" w:sz="4" w:space="0" w:color="auto"/>
            </w:tcBorders>
            <w:hideMark/>
          </w:tcPr>
          <w:p w14:paraId="3DC09094" w14:textId="77777777" w:rsidR="001F1F73" w:rsidRDefault="001F1F73">
            <w:pPr>
              <w:pStyle w:val="Tabletext9pt"/>
              <w:rPr>
                <w:szCs w:val="18"/>
              </w:rPr>
            </w:pPr>
            <w:r>
              <w:rPr>
                <w:szCs w:val="18"/>
              </w:rPr>
              <w:t>15069</w:t>
            </w:r>
          </w:p>
        </w:tc>
        <w:tc>
          <w:tcPr>
            <w:tcW w:w="2956" w:type="dxa"/>
            <w:tcBorders>
              <w:top w:val="single" w:sz="4" w:space="0" w:color="auto"/>
              <w:left w:val="single" w:sz="4" w:space="0" w:color="auto"/>
              <w:bottom w:val="single" w:sz="4" w:space="0" w:color="auto"/>
              <w:right w:val="single" w:sz="4" w:space="0" w:color="auto"/>
            </w:tcBorders>
            <w:hideMark/>
          </w:tcPr>
          <w:p w14:paraId="1F775B6E" w14:textId="325B0239" w:rsidR="001F1F73" w:rsidRDefault="00DD3294">
            <w:pPr>
              <w:pStyle w:val="Tabletext9pt"/>
              <w:rPr>
                <w:szCs w:val="18"/>
              </w:rPr>
            </w:pPr>
            <w:r>
              <w:rPr>
                <w:szCs w:val="18"/>
              </w:rPr>
              <w:t>Planned respite – residential</w:t>
            </w:r>
          </w:p>
        </w:tc>
        <w:tc>
          <w:tcPr>
            <w:tcW w:w="4342" w:type="dxa"/>
            <w:tcBorders>
              <w:top w:val="single" w:sz="4" w:space="0" w:color="auto"/>
              <w:left w:val="single" w:sz="4" w:space="0" w:color="auto"/>
              <w:bottom w:val="single" w:sz="4" w:space="0" w:color="auto"/>
              <w:right w:val="single" w:sz="4" w:space="0" w:color="auto"/>
            </w:tcBorders>
            <w:hideMark/>
          </w:tcPr>
          <w:p w14:paraId="40FB4063" w14:textId="77777777" w:rsidR="001F1F73" w:rsidRDefault="001F1F73">
            <w:pPr>
              <w:pStyle w:val="Tabletext9pt"/>
              <w:rPr>
                <w:szCs w:val="18"/>
              </w:rPr>
            </w:pPr>
            <w:r>
              <w:rPr>
                <w:szCs w:val="18"/>
              </w:rPr>
              <w:t>Residential planned respite services assist in sustaining existing relationships between people with a mental illness and their carers by providing short-term respite in a residential situation.</w:t>
            </w:r>
          </w:p>
        </w:tc>
      </w:tr>
      <w:tr w:rsidR="001F1F73" w14:paraId="45C4468E" w14:textId="77777777" w:rsidTr="001F1F73">
        <w:trPr>
          <w:cantSplit/>
        </w:trPr>
        <w:tc>
          <w:tcPr>
            <w:tcW w:w="2001" w:type="dxa"/>
            <w:tcBorders>
              <w:top w:val="single" w:sz="4" w:space="0" w:color="auto"/>
              <w:left w:val="single" w:sz="4" w:space="0" w:color="auto"/>
              <w:bottom w:val="single" w:sz="4" w:space="0" w:color="auto"/>
              <w:right w:val="single" w:sz="4" w:space="0" w:color="auto"/>
            </w:tcBorders>
            <w:hideMark/>
          </w:tcPr>
          <w:p w14:paraId="50E803F8" w14:textId="77777777" w:rsidR="001F1F73" w:rsidRDefault="001F1F73">
            <w:pPr>
              <w:pStyle w:val="Tabletext9pt"/>
              <w:rPr>
                <w:szCs w:val="18"/>
              </w:rPr>
            </w:pPr>
            <w:r>
              <w:rPr>
                <w:szCs w:val="18"/>
              </w:rPr>
              <w:t>15074</w:t>
            </w:r>
          </w:p>
        </w:tc>
        <w:tc>
          <w:tcPr>
            <w:tcW w:w="2956" w:type="dxa"/>
            <w:tcBorders>
              <w:top w:val="single" w:sz="4" w:space="0" w:color="auto"/>
              <w:left w:val="single" w:sz="4" w:space="0" w:color="auto"/>
              <w:bottom w:val="single" w:sz="4" w:space="0" w:color="auto"/>
              <w:right w:val="single" w:sz="4" w:space="0" w:color="auto"/>
            </w:tcBorders>
            <w:hideMark/>
          </w:tcPr>
          <w:p w14:paraId="6FED190F" w14:textId="77777777" w:rsidR="001F1F73" w:rsidRDefault="001F1F73">
            <w:pPr>
              <w:pStyle w:val="Tabletext9pt"/>
              <w:rPr>
                <w:szCs w:val="18"/>
              </w:rPr>
            </w:pPr>
            <w:r>
              <w:rPr>
                <w:szCs w:val="18"/>
              </w:rPr>
              <w:t>Training – MHCSS</w:t>
            </w:r>
          </w:p>
        </w:tc>
        <w:tc>
          <w:tcPr>
            <w:tcW w:w="4342" w:type="dxa"/>
            <w:tcBorders>
              <w:top w:val="single" w:sz="4" w:space="0" w:color="auto"/>
              <w:left w:val="single" w:sz="4" w:space="0" w:color="auto"/>
              <w:bottom w:val="single" w:sz="4" w:space="0" w:color="auto"/>
              <w:right w:val="single" w:sz="4" w:space="0" w:color="auto"/>
            </w:tcBorders>
            <w:hideMark/>
          </w:tcPr>
          <w:p w14:paraId="75E74EBB" w14:textId="77777777" w:rsidR="001F1F73" w:rsidRDefault="001F1F73">
            <w:pPr>
              <w:pStyle w:val="Tabletext9pt"/>
              <w:rPr>
                <w:szCs w:val="18"/>
              </w:rPr>
            </w:pPr>
            <w:r>
              <w:rPr>
                <w:szCs w:val="18"/>
              </w:rPr>
              <w:t>This includes all MHCSS activities associated with training and staff development of funded agency staff. It also includes training for participants of funded agencies and their carers. It does not include training provided as part of a mutual support and self-help (MSSH) service or as part of a community development function of any MHCSS-funded agency.</w:t>
            </w:r>
          </w:p>
        </w:tc>
      </w:tr>
      <w:tr w:rsidR="001F1F73" w14:paraId="02EFA248" w14:textId="77777777" w:rsidTr="001F1F73">
        <w:trPr>
          <w:cantSplit/>
        </w:trPr>
        <w:tc>
          <w:tcPr>
            <w:tcW w:w="2001" w:type="dxa"/>
            <w:tcBorders>
              <w:top w:val="single" w:sz="4" w:space="0" w:color="auto"/>
              <w:left w:val="single" w:sz="4" w:space="0" w:color="auto"/>
              <w:bottom w:val="single" w:sz="4" w:space="0" w:color="auto"/>
              <w:right w:val="single" w:sz="4" w:space="0" w:color="auto"/>
            </w:tcBorders>
            <w:hideMark/>
          </w:tcPr>
          <w:p w14:paraId="15D3A1B6" w14:textId="77777777" w:rsidR="001F1F73" w:rsidRDefault="001F1F73">
            <w:pPr>
              <w:pStyle w:val="Tabletext9pt"/>
              <w:rPr>
                <w:szCs w:val="18"/>
              </w:rPr>
            </w:pPr>
            <w:r>
              <w:rPr>
                <w:szCs w:val="18"/>
              </w:rPr>
              <w:t>15075</w:t>
            </w:r>
          </w:p>
        </w:tc>
        <w:tc>
          <w:tcPr>
            <w:tcW w:w="2956" w:type="dxa"/>
            <w:tcBorders>
              <w:top w:val="single" w:sz="4" w:space="0" w:color="auto"/>
              <w:left w:val="single" w:sz="4" w:space="0" w:color="auto"/>
              <w:bottom w:val="single" w:sz="4" w:space="0" w:color="auto"/>
              <w:right w:val="single" w:sz="4" w:space="0" w:color="auto"/>
            </w:tcBorders>
            <w:hideMark/>
          </w:tcPr>
          <w:p w14:paraId="72EF7AB6" w14:textId="58309373" w:rsidR="001F1F73" w:rsidRDefault="001F1F73">
            <w:pPr>
              <w:pStyle w:val="Tabletext9pt"/>
              <w:rPr>
                <w:szCs w:val="18"/>
              </w:rPr>
            </w:pPr>
            <w:r>
              <w:rPr>
                <w:szCs w:val="18"/>
              </w:rPr>
              <w:t xml:space="preserve">MHCSS </w:t>
            </w:r>
            <w:r w:rsidR="00DD3294">
              <w:rPr>
                <w:szCs w:val="18"/>
              </w:rPr>
              <w:t>carer support</w:t>
            </w:r>
          </w:p>
        </w:tc>
        <w:tc>
          <w:tcPr>
            <w:tcW w:w="4342" w:type="dxa"/>
            <w:tcBorders>
              <w:top w:val="single" w:sz="4" w:space="0" w:color="auto"/>
              <w:left w:val="single" w:sz="4" w:space="0" w:color="auto"/>
              <w:bottom w:val="single" w:sz="4" w:space="0" w:color="auto"/>
              <w:right w:val="single" w:sz="4" w:space="0" w:color="auto"/>
            </w:tcBorders>
            <w:hideMark/>
          </w:tcPr>
          <w:p w14:paraId="68438FC7" w14:textId="77777777" w:rsidR="001F1F73" w:rsidRDefault="001F1F73">
            <w:pPr>
              <w:pStyle w:val="Tabletext9pt"/>
              <w:rPr>
                <w:szCs w:val="18"/>
              </w:rPr>
            </w:pPr>
            <w:r>
              <w:rPr>
                <w:szCs w:val="18"/>
              </w:rPr>
              <w:t>This includes those services and programs that have as their primary client the carer of a person with a mental illness, and that do not fit into the components of ‘planned respite’ or MSSH.</w:t>
            </w:r>
          </w:p>
        </w:tc>
      </w:tr>
      <w:tr w:rsidR="001F1F73" w14:paraId="2E11B540" w14:textId="77777777" w:rsidTr="001F1F73">
        <w:trPr>
          <w:cantSplit/>
        </w:trPr>
        <w:tc>
          <w:tcPr>
            <w:tcW w:w="2001" w:type="dxa"/>
            <w:tcBorders>
              <w:top w:val="single" w:sz="4" w:space="0" w:color="auto"/>
              <w:left w:val="single" w:sz="4" w:space="0" w:color="auto"/>
              <w:bottom w:val="single" w:sz="4" w:space="0" w:color="auto"/>
              <w:right w:val="single" w:sz="4" w:space="0" w:color="auto"/>
            </w:tcBorders>
            <w:hideMark/>
          </w:tcPr>
          <w:p w14:paraId="3E316798" w14:textId="77777777" w:rsidR="001F1F73" w:rsidRDefault="001F1F73">
            <w:pPr>
              <w:pStyle w:val="Tabletext9pt"/>
              <w:rPr>
                <w:szCs w:val="18"/>
              </w:rPr>
            </w:pPr>
            <w:r>
              <w:rPr>
                <w:szCs w:val="18"/>
              </w:rPr>
              <w:t>15076</w:t>
            </w:r>
          </w:p>
        </w:tc>
        <w:tc>
          <w:tcPr>
            <w:tcW w:w="2956" w:type="dxa"/>
            <w:tcBorders>
              <w:top w:val="single" w:sz="4" w:space="0" w:color="auto"/>
              <w:left w:val="single" w:sz="4" w:space="0" w:color="auto"/>
              <w:bottom w:val="single" w:sz="4" w:space="0" w:color="auto"/>
              <w:right w:val="single" w:sz="4" w:space="0" w:color="auto"/>
            </w:tcBorders>
            <w:hideMark/>
          </w:tcPr>
          <w:p w14:paraId="085FF7FC" w14:textId="51CBA555" w:rsidR="001F1F73" w:rsidRDefault="001F1F73">
            <w:pPr>
              <w:pStyle w:val="Tabletext9pt"/>
              <w:rPr>
                <w:szCs w:val="18"/>
              </w:rPr>
            </w:pPr>
            <w:r>
              <w:rPr>
                <w:szCs w:val="18"/>
              </w:rPr>
              <w:t xml:space="preserve">MHCSS </w:t>
            </w:r>
            <w:r w:rsidR="00DD3294">
              <w:rPr>
                <w:szCs w:val="18"/>
              </w:rPr>
              <w:t>centrally funded support</w:t>
            </w:r>
          </w:p>
        </w:tc>
        <w:tc>
          <w:tcPr>
            <w:tcW w:w="4342" w:type="dxa"/>
            <w:tcBorders>
              <w:top w:val="single" w:sz="4" w:space="0" w:color="auto"/>
              <w:left w:val="single" w:sz="4" w:space="0" w:color="auto"/>
              <w:bottom w:val="single" w:sz="4" w:space="0" w:color="auto"/>
              <w:right w:val="single" w:sz="4" w:space="0" w:color="auto"/>
            </w:tcBorders>
            <w:hideMark/>
          </w:tcPr>
          <w:p w14:paraId="64B926C8" w14:textId="77777777" w:rsidR="001F1F73" w:rsidRDefault="001F1F73">
            <w:pPr>
              <w:pStyle w:val="Tabletext9pt"/>
              <w:rPr>
                <w:szCs w:val="18"/>
              </w:rPr>
            </w:pPr>
            <w:r>
              <w:rPr>
                <w:szCs w:val="18"/>
              </w:rPr>
              <w:t>Funding provided by central office for MHCSS services on a specific-purpose grant.</w:t>
            </w:r>
          </w:p>
        </w:tc>
      </w:tr>
      <w:tr w:rsidR="001F1F73" w14:paraId="37BA3856" w14:textId="77777777" w:rsidTr="001F1F73">
        <w:trPr>
          <w:cantSplit/>
        </w:trPr>
        <w:tc>
          <w:tcPr>
            <w:tcW w:w="2001" w:type="dxa"/>
            <w:tcBorders>
              <w:top w:val="single" w:sz="4" w:space="0" w:color="auto"/>
              <w:left w:val="single" w:sz="4" w:space="0" w:color="auto"/>
              <w:bottom w:val="single" w:sz="4" w:space="0" w:color="auto"/>
              <w:right w:val="single" w:sz="4" w:space="0" w:color="auto"/>
            </w:tcBorders>
            <w:hideMark/>
          </w:tcPr>
          <w:p w14:paraId="786335FB" w14:textId="77777777" w:rsidR="001F1F73" w:rsidRDefault="001F1F73">
            <w:pPr>
              <w:pStyle w:val="Tabletext9pt"/>
              <w:rPr>
                <w:szCs w:val="18"/>
              </w:rPr>
            </w:pPr>
            <w:r>
              <w:rPr>
                <w:szCs w:val="18"/>
              </w:rPr>
              <w:lastRenderedPageBreak/>
              <w:t>15091</w:t>
            </w:r>
          </w:p>
        </w:tc>
        <w:tc>
          <w:tcPr>
            <w:tcW w:w="2956" w:type="dxa"/>
            <w:tcBorders>
              <w:top w:val="single" w:sz="4" w:space="0" w:color="auto"/>
              <w:left w:val="single" w:sz="4" w:space="0" w:color="auto"/>
              <w:bottom w:val="single" w:sz="4" w:space="0" w:color="auto"/>
              <w:right w:val="single" w:sz="4" w:space="0" w:color="auto"/>
            </w:tcBorders>
            <w:hideMark/>
          </w:tcPr>
          <w:p w14:paraId="111AE74E" w14:textId="4BC50027" w:rsidR="001F1F73" w:rsidRDefault="001F1F73">
            <w:pPr>
              <w:pStyle w:val="Tabletext9pt"/>
              <w:rPr>
                <w:szCs w:val="18"/>
              </w:rPr>
            </w:pPr>
            <w:r>
              <w:rPr>
                <w:szCs w:val="18"/>
              </w:rPr>
              <w:t xml:space="preserve">MSSH </w:t>
            </w:r>
            <w:r w:rsidR="00DD3294">
              <w:rPr>
                <w:szCs w:val="18"/>
              </w:rPr>
              <w:t>statewide specialist availability grant</w:t>
            </w:r>
          </w:p>
        </w:tc>
        <w:tc>
          <w:tcPr>
            <w:tcW w:w="4342" w:type="dxa"/>
            <w:tcBorders>
              <w:top w:val="single" w:sz="4" w:space="0" w:color="auto"/>
              <w:left w:val="single" w:sz="4" w:space="0" w:color="auto"/>
              <w:bottom w:val="single" w:sz="4" w:space="0" w:color="auto"/>
              <w:right w:val="single" w:sz="4" w:space="0" w:color="auto"/>
            </w:tcBorders>
            <w:hideMark/>
          </w:tcPr>
          <w:p w14:paraId="50285E65" w14:textId="77777777" w:rsidR="001F1F73" w:rsidRDefault="001F1F73">
            <w:pPr>
              <w:pStyle w:val="Tabletext9pt"/>
              <w:rPr>
                <w:szCs w:val="18"/>
              </w:rPr>
            </w:pPr>
            <w:r>
              <w:rPr>
                <w:szCs w:val="18"/>
              </w:rPr>
              <w:t>Availability grants are only provided to statewide specialist MSSH organisations. This is a block grant that encompasses two of the five core MSSH activities: individual support, referral, and advocacy; and information development and dissemination.</w:t>
            </w:r>
          </w:p>
        </w:tc>
      </w:tr>
      <w:tr w:rsidR="001F1F73" w14:paraId="6104081B" w14:textId="77777777" w:rsidTr="001F1F73">
        <w:trPr>
          <w:cantSplit/>
        </w:trPr>
        <w:tc>
          <w:tcPr>
            <w:tcW w:w="2001" w:type="dxa"/>
            <w:tcBorders>
              <w:top w:val="single" w:sz="4" w:space="0" w:color="auto"/>
              <w:left w:val="single" w:sz="4" w:space="0" w:color="auto"/>
              <w:bottom w:val="single" w:sz="4" w:space="0" w:color="auto"/>
              <w:right w:val="single" w:sz="4" w:space="0" w:color="auto"/>
            </w:tcBorders>
            <w:hideMark/>
          </w:tcPr>
          <w:p w14:paraId="7E100771" w14:textId="77777777" w:rsidR="001F1F73" w:rsidRDefault="001F1F73">
            <w:pPr>
              <w:pStyle w:val="Tabletext9pt"/>
              <w:rPr>
                <w:szCs w:val="18"/>
              </w:rPr>
            </w:pPr>
            <w:r>
              <w:rPr>
                <w:szCs w:val="18"/>
              </w:rPr>
              <w:t>15092</w:t>
            </w:r>
          </w:p>
        </w:tc>
        <w:tc>
          <w:tcPr>
            <w:tcW w:w="2956" w:type="dxa"/>
            <w:tcBorders>
              <w:top w:val="single" w:sz="4" w:space="0" w:color="auto"/>
              <w:left w:val="single" w:sz="4" w:space="0" w:color="auto"/>
              <w:bottom w:val="single" w:sz="4" w:space="0" w:color="auto"/>
              <w:right w:val="single" w:sz="4" w:space="0" w:color="auto"/>
            </w:tcBorders>
            <w:hideMark/>
          </w:tcPr>
          <w:p w14:paraId="47FA6FD7" w14:textId="689E90F1" w:rsidR="001F1F73" w:rsidRDefault="001F1F73">
            <w:pPr>
              <w:pStyle w:val="Tabletext9pt"/>
              <w:rPr>
                <w:szCs w:val="18"/>
              </w:rPr>
            </w:pPr>
            <w:r>
              <w:rPr>
                <w:szCs w:val="18"/>
              </w:rPr>
              <w:t xml:space="preserve">MSSH </w:t>
            </w:r>
            <w:r w:rsidR="00DD3294">
              <w:rPr>
                <w:szCs w:val="18"/>
              </w:rPr>
              <w:t>individual support referral and advocacy</w:t>
            </w:r>
          </w:p>
        </w:tc>
        <w:tc>
          <w:tcPr>
            <w:tcW w:w="4342" w:type="dxa"/>
            <w:tcBorders>
              <w:top w:val="single" w:sz="4" w:space="0" w:color="auto"/>
              <w:left w:val="single" w:sz="4" w:space="0" w:color="auto"/>
              <w:bottom w:val="single" w:sz="4" w:space="0" w:color="auto"/>
              <w:right w:val="single" w:sz="4" w:space="0" w:color="auto"/>
            </w:tcBorders>
            <w:hideMark/>
          </w:tcPr>
          <w:p w14:paraId="6DA15342" w14:textId="77777777" w:rsidR="001F1F73" w:rsidRDefault="001F1F73">
            <w:pPr>
              <w:pStyle w:val="Tabletext9pt"/>
              <w:rPr>
                <w:szCs w:val="18"/>
              </w:rPr>
            </w:pPr>
            <w:r>
              <w:rPr>
                <w:szCs w:val="18"/>
              </w:rPr>
              <w:t>Direct contacts between the service provider and the client for information and advice, including referral and one-on-one support. Clients include those with a mental illness, their carers or friends and family members and health professionals.</w:t>
            </w:r>
          </w:p>
        </w:tc>
      </w:tr>
      <w:tr w:rsidR="001F1F73" w14:paraId="38BCD345" w14:textId="77777777" w:rsidTr="001F1F73">
        <w:trPr>
          <w:cantSplit/>
        </w:trPr>
        <w:tc>
          <w:tcPr>
            <w:tcW w:w="2001" w:type="dxa"/>
            <w:tcBorders>
              <w:top w:val="single" w:sz="4" w:space="0" w:color="auto"/>
              <w:left w:val="single" w:sz="4" w:space="0" w:color="auto"/>
              <w:bottom w:val="single" w:sz="4" w:space="0" w:color="auto"/>
              <w:right w:val="single" w:sz="4" w:space="0" w:color="auto"/>
            </w:tcBorders>
            <w:hideMark/>
          </w:tcPr>
          <w:p w14:paraId="72B7DAD5" w14:textId="77777777" w:rsidR="001F1F73" w:rsidRDefault="001F1F73">
            <w:pPr>
              <w:pStyle w:val="Tabletext9pt"/>
              <w:rPr>
                <w:szCs w:val="18"/>
              </w:rPr>
            </w:pPr>
            <w:r>
              <w:rPr>
                <w:szCs w:val="18"/>
              </w:rPr>
              <w:t>15093</w:t>
            </w:r>
          </w:p>
        </w:tc>
        <w:tc>
          <w:tcPr>
            <w:tcW w:w="2956" w:type="dxa"/>
            <w:tcBorders>
              <w:top w:val="single" w:sz="4" w:space="0" w:color="auto"/>
              <w:left w:val="single" w:sz="4" w:space="0" w:color="auto"/>
              <w:bottom w:val="single" w:sz="4" w:space="0" w:color="auto"/>
              <w:right w:val="single" w:sz="4" w:space="0" w:color="auto"/>
            </w:tcBorders>
            <w:hideMark/>
          </w:tcPr>
          <w:p w14:paraId="12531438" w14:textId="04D0E913" w:rsidR="001F1F73" w:rsidRDefault="001F1F73">
            <w:pPr>
              <w:pStyle w:val="Tabletext9pt"/>
              <w:rPr>
                <w:szCs w:val="18"/>
              </w:rPr>
            </w:pPr>
            <w:r>
              <w:rPr>
                <w:szCs w:val="18"/>
              </w:rPr>
              <w:t xml:space="preserve">MSSH </w:t>
            </w:r>
            <w:r w:rsidR="00DD3294">
              <w:rPr>
                <w:szCs w:val="18"/>
              </w:rPr>
              <w:t>information development and dissemination</w:t>
            </w:r>
          </w:p>
        </w:tc>
        <w:tc>
          <w:tcPr>
            <w:tcW w:w="4342" w:type="dxa"/>
            <w:tcBorders>
              <w:top w:val="single" w:sz="4" w:space="0" w:color="auto"/>
              <w:left w:val="single" w:sz="4" w:space="0" w:color="auto"/>
              <w:bottom w:val="single" w:sz="4" w:space="0" w:color="auto"/>
              <w:right w:val="single" w:sz="4" w:space="0" w:color="auto"/>
            </w:tcBorders>
            <w:hideMark/>
          </w:tcPr>
          <w:p w14:paraId="183B5F1E" w14:textId="77777777" w:rsidR="001F1F73" w:rsidRDefault="001F1F73">
            <w:pPr>
              <w:pStyle w:val="Tabletext9pt"/>
              <w:rPr>
                <w:szCs w:val="18"/>
              </w:rPr>
            </w:pPr>
            <w:r>
              <w:rPr>
                <w:szCs w:val="18"/>
              </w:rPr>
              <w:t>Costs associated with developing primary reference material. This does not include disseminating existing materials developed by other organisations to clients in the course of normal business. It can include website development costs, writing and so on.</w:t>
            </w:r>
          </w:p>
        </w:tc>
      </w:tr>
      <w:tr w:rsidR="001F1F73" w14:paraId="100DAE4E" w14:textId="77777777" w:rsidTr="001F1F73">
        <w:trPr>
          <w:cantSplit/>
        </w:trPr>
        <w:tc>
          <w:tcPr>
            <w:tcW w:w="2001" w:type="dxa"/>
            <w:tcBorders>
              <w:top w:val="single" w:sz="4" w:space="0" w:color="auto"/>
              <w:left w:val="single" w:sz="4" w:space="0" w:color="auto"/>
              <w:bottom w:val="single" w:sz="4" w:space="0" w:color="auto"/>
              <w:right w:val="single" w:sz="4" w:space="0" w:color="auto"/>
            </w:tcBorders>
            <w:hideMark/>
          </w:tcPr>
          <w:p w14:paraId="3F01E1F2" w14:textId="77777777" w:rsidR="001F1F73" w:rsidRDefault="001F1F73">
            <w:pPr>
              <w:pStyle w:val="Tabletext9pt"/>
              <w:rPr>
                <w:szCs w:val="18"/>
              </w:rPr>
            </w:pPr>
            <w:r>
              <w:rPr>
                <w:szCs w:val="18"/>
              </w:rPr>
              <w:t>15094</w:t>
            </w:r>
          </w:p>
        </w:tc>
        <w:tc>
          <w:tcPr>
            <w:tcW w:w="2956" w:type="dxa"/>
            <w:tcBorders>
              <w:top w:val="single" w:sz="4" w:space="0" w:color="auto"/>
              <w:left w:val="single" w:sz="4" w:space="0" w:color="auto"/>
              <w:bottom w:val="single" w:sz="4" w:space="0" w:color="auto"/>
              <w:right w:val="single" w:sz="4" w:space="0" w:color="auto"/>
            </w:tcBorders>
            <w:hideMark/>
          </w:tcPr>
          <w:p w14:paraId="4645DFA0" w14:textId="72830AAF" w:rsidR="001F1F73" w:rsidRDefault="001F1F73">
            <w:pPr>
              <w:pStyle w:val="Tabletext9pt"/>
              <w:rPr>
                <w:szCs w:val="18"/>
              </w:rPr>
            </w:pPr>
            <w:r>
              <w:rPr>
                <w:szCs w:val="18"/>
              </w:rPr>
              <w:t xml:space="preserve">MSSH </w:t>
            </w:r>
            <w:r w:rsidR="00DD3294">
              <w:rPr>
                <w:szCs w:val="18"/>
              </w:rPr>
              <w:t>groups support</w:t>
            </w:r>
          </w:p>
        </w:tc>
        <w:tc>
          <w:tcPr>
            <w:tcW w:w="4342" w:type="dxa"/>
            <w:tcBorders>
              <w:top w:val="single" w:sz="4" w:space="0" w:color="auto"/>
              <w:left w:val="single" w:sz="4" w:space="0" w:color="auto"/>
              <w:bottom w:val="single" w:sz="4" w:space="0" w:color="auto"/>
              <w:right w:val="single" w:sz="4" w:space="0" w:color="auto"/>
            </w:tcBorders>
            <w:hideMark/>
          </w:tcPr>
          <w:p w14:paraId="01A0C762" w14:textId="77777777" w:rsidR="001F1F73" w:rsidRDefault="001F1F73">
            <w:pPr>
              <w:pStyle w:val="Tabletext9pt"/>
              <w:rPr>
                <w:szCs w:val="18"/>
              </w:rPr>
            </w:pPr>
            <w:r>
              <w:rPr>
                <w:szCs w:val="18"/>
              </w:rPr>
              <w:t>Facilitated support groups conducted for clients with a mental illness, their carers or friends or family members.</w:t>
            </w:r>
          </w:p>
        </w:tc>
      </w:tr>
      <w:tr w:rsidR="001F1F73" w14:paraId="1C25ED4A" w14:textId="77777777" w:rsidTr="001F1F73">
        <w:trPr>
          <w:cantSplit/>
        </w:trPr>
        <w:tc>
          <w:tcPr>
            <w:tcW w:w="2001" w:type="dxa"/>
            <w:tcBorders>
              <w:top w:val="single" w:sz="4" w:space="0" w:color="auto"/>
              <w:left w:val="single" w:sz="4" w:space="0" w:color="auto"/>
              <w:bottom w:val="single" w:sz="4" w:space="0" w:color="auto"/>
              <w:right w:val="single" w:sz="4" w:space="0" w:color="auto"/>
            </w:tcBorders>
            <w:hideMark/>
          </w:tcPr>
          <w:p w14:paraId="77E4A68C" w14:textId="77777777" w:rsidR="001F1F73" w:rsidRDefault="001F1F73">
            <w:pPr>
              <w:pStyle w:val="Tabletext9pt"/>
              <w:rPr>
                <w:szCs w:val="18"/>
              </w:rPr>
            </w:pPr>
            <w:r>
              <w:rPr>
                <w:szCs w:val="18"/>
              </w:rPr>
              <w:t>15095</w:t>
            </w:r>
          </w:p>
        </w:tc>
        <w:tc>
          <w:tcPr>
            <w:tcW w:w="2956" w:type="dxa"/>
            <w:tcBorders>
              <w:top w:val="single" w:sz="4" w:space="0" w:color="auto"/>
              <w:left w:val="single" w:sz="4" w:space="0" w:color="auto"/>
              <w:bottom w:val="single" w:sz="4" w:space="0" w:color="auto"/>
              <w:right w:val="single" w:sz="4" w:space="0" w:color="auto"/>
            </w:tcBorders>
            <w:hideMark/>
          </w:tcPr>
          <w:p w14:paraId="19D647C1" w14:textId="6A61D4BC" w:rsidR="001F1F73" w:rsidRDefault="001F1F73">
            <w:pPr>
              <w:pStyle w:val="Tabletext9pt"/>
              <w:rPr>
                <w:szCs w:val="18"/>
              </w:rPr>
            </w:pPr>
            <w:r>
              <w:rPr>
                <w:szCs w:val="18"/>
              </w:rPr>
              <w:t xml:space="preserve">MSSH </w:t>
            </w:r>
            <w:r w:rsidR="00DD3294">
              <w:rPr>
                <w:szCs w:val="18"/>
              </w:rPr>
              <w:t>groups education and training</w:t>
            </w:r>
          </w:p>
        </w:tc>
        <w:tc>
          <w:tcPr>
            <w:tcW w:w="4342" w:type="dxa"/>
            <w:tcBorders>
              <w:top w:val="single" w:sz="4" w:space="0" w:color="auto"/>
              <w:left w:val="single" w:sz="4" w:space="0" w:color="auto"/>
              <w:bottom w:val="single" w:sz="4" w:space="0" w:color="auto"/>
              <w:right w:val="single" w:sz="4" w:space="0" w:color="auto"/>
            </w:tcBorders>
            <w:hideMark/>
          </w:tcPr>
          <w:p w14:paraId="4C8B6EC9" w14:textId="77777777" w:rsidR="001F1F73" w:rsidRDefault="001F1F73">
            <w:pPr>
              <w:pStyle w:val="Tabletext9pt"/>
              <w:rPr>
                <w:szCs w:val="18"/>
              </w:rPr>
            </w:pPr>
            <w:r>
              <w:rPr>
                <w:szCs w:val="18"/>
              </w:rPr>
              <w:t>This refers to groups conducted to provide training or information and education for members of the public or health professionals.</w:t>
            </w:r>
          </w:p>
        </w:tc>
      </w:tr>
      <w:tr w:rsidR="001F1F73" w14:paraId="3CB5298F" w14:textId="77777777" w:rsidTr="001F1F73">
        <w:trPr>
          <w:cantSplit/>
        </w:trPr>
        <w:tc>
          <w:tcPr>
            <w:tcW w:w="2001" w:type="dxa"/>
            <w:tcBorders>
              <w:top w:val="single" w:sz="4" w:space="0" w:color="auto"/>
              <w:left w:val="single" w:sz="4" w:space="0" w:color="auto"/>
              <w:bottom w:val="single" w:sz="4" w:space="0" w:color="auto"/>
              <w:right w:val="single" w:sz="4" w:space="0" w:color="auto"/>
            </w:tcBorders>
            <w:hideMark/>
          </w:tcPr>
          <w:p w14:paraId="760CE24E" w14:textId="77777777" w:rsidR="001F1F73" w:rsidRDefault="001F1F73">
            <w:pPr>
              <w:pStyle w:val="Tabletext9pt"/>
              <w:rPr>
                <w:szCs w:val="18"/>
              </w:rPr>
            </w:pPr>
            <w:r>
              <w:rPr>
                <w:szCs w:val="18"/>
              </w:rPr>
              <w:t>15096</w:t>
            </w:r>
          </w:p>
        </w:tc>
        <w:tc>
          <w:tcPr>
            <w:tcW w:w="2956" w:type="dxa"/>
            <w:tcBorders>
              <w:top w:val="single" w:sz="4" w:space="0" w:color="auto"/>
              <w:left w:val="single" w:sz="4" w:space="0" w:color="auto"/>
              <w:bottom w:val="single" w:sz="4" w:space="0" w:color="auto"/>
              <w:right w:val="single" w:sz="4" w:space="0" w:color="auto"/>
            </w:tcBorders>
            <w:hideMark/>
          </w:tcPr>
          <w:p w14:paraId="6752D3E7" w14:textId="41E8FE2D" w:rsidR="001F1F73" w:rsidRDefault="001F1F73">
            <w:pPr>
              <w:pStyle w:val="Tabletext9pt"/>
              <w:rPr>
                <w:szCs w:val="18"/>
              </w:rPr>
            </w:pPr>
            <w:r>
              <w:rPr>
                <w:szCs w:val="18"/>
              </w:rPr>
              <w:t xml:space="preserve">MSSH </w:t>
            </w:r>
            <w:r w:rsidR="00DD3294">
              <w:rPr>
                <w:szCs w:val="18"/>
              </w:rPr>
              <w:t>volunteer coordination</w:t>
            </w:r>
          </w:p>
        </w:tc>
        <w:tc>
          <w:tcPr>
            <w:tcW w:w="4342" w:type="dxa"/>
            <w:tcBorders>
              <w:top w:val="single" w:sz="4" w:space="0" w:color="auto"/>
              <w:left w:val="single" w:sz="4" w:space="0" w:color="auto"/>
              <w:bottom w:val="single" w:sz="4" w:space="0" w:color="auto"/>
              <w:right w:val="single" w:sz="4" w:space="0" w:color="auto"/>
            </w:tcBorders>
            <w:hideMark/>
          </w:tcPr>
          <w:p w14:paraId="6F9831A3" w14:textId="77777777" w:rsidR="001F1F73" w:rsidRDefault="001F1F73">
            <w:pPr>
              <w:pStyle w:val="Tabletext9pt"/>
              <w:rPr>
                <w:szCs w:val="18"/>
              </w:rPr>
            </w:pPr>
            <w:r>
              <w:rPr>
                <w:szCs w:val="18"/>
              </w:rPr>
              <w:t>Volunteer coordination refers to those activities associated with recruitment, training and education, support, and management of volunteers.</w:t>
            </w:r>
          </w:p>
        </w:tc>
      </w:tr>
      <w:tr w:rsidR="001F1F73" w14:paraId="58E5636F" w14:textId="77777777" w:rsidTr="001F1F73">
        <w:trPr>
          <w:cantSplit/>
        </w:trPr>
        <w:tc>
          <w:tcPr>
            <w:tcW w:w="2001" w:type="dxa"/>
            <w:tcBorders>
              <w:top w:val="single" w:sz="4" w:space="0" w:color="auto"/>
              <w:left w:val="single" w:sz="4" w:space="0" w:color="auto"/>
              <w:bottom w:val="single" w:sz="4" w:space="0" w:color="auto"/>
              <w:right w:val="single" w:sz="4" w:space="0" w:color="auto"/>
            </w:tcBorders>
            <w:hideMark/>
          </w:tcPr>
          <w:p w14:paraId="0D0829CB" w14:textId="77777777" w:rsidR="001F1F73" w:rsidRDefault="001F1F73">
            <w:pPr>
              <w:pStyle w:val="Tabletext9pt"/>
              <w:rPr>
                <w:szCs w:val="18"/>
              </w:rPr>
            </w:pPr>
            <w:r>
              <w:rPr>
                <w:szCs w:val="18"/>
              </w:rPr>
              <w:t>15097</w:t>
            </w:r>
          </w:p>
        </w:tc>
        <w:tc>
          <w:tcPr>
            <w:tcW w:w="2956" w:type="dxa"/>
            <w:tcBorders>
              <w:top w:val="single" w:sz="4" w:space="0" w:color="auto"/>
              <w:left w:val="single" w:sz="4" w:space="0" w:color="auto"/>
              <w:bottom w:val="single" w:sz="4" w:space="0" w:color="auto"/>
              <w:right w:val="single" w:sz="4" w:space="0" w:color="auto"/>
            </w:tcBorders>
            <w:hideMark/>
          </w:tcPr>
          <w:p w14:paraId="0D38183B" w14:textId="5972F086" w:rsidR="001F1F73" w:rsidRDefault="001F1F73">
            <w:pPr>
              <w:pStyle w:val="Tabletext9pt"/>
              <w:rPr>
                <w:szCs w:val="18"/>
              </w:rPr>
            </w:pPr>
            <w:r>
              <w:rPr>
                <w:szCs w:val="18"/>
              </w:rPr>
              <w:t xml:space="preserve">Supported </w:t>
            </w:r>
            <w:r w:rsidR="00DD3294">
              <w:rPr>
                <w:szCs w:val="18"/>
              </w:rPr>
              <w:t>accommodation – 24-hour support model</w:t>
            </w:r>
          </w:p>
        </w:tc>
        <w:tc>
          <w:tcPr>
            <w:tcW w:w="4342" w:type="dxa"/>
            <w:tcBorders>
              <w:top w:val="single" w:sz="4" w:space="0" w:color="auto"/>
              <w:left w:val="single" w:sz="4" w:space="0" w:color="auto"/>
              <w:bottom w:val="single" w:sz="4" w:space="0" w:color="auto"/>
              <w:right w:val="single" w:sz="4" w:space="0" w:color="auto"/>
            </w:tcBorders>
            <w:hideMark/>
          </w:tcPr>
          <w:p w14:paraId="3C064DD9" w14:textId="77777777" w:rsidR="001F1F73" w:rsidRDefault="001F1F73">
            <w:pPr>
              <w:pStyle w:val="Tabletext9pt"/>
              <w:rPr>
                <w:szCs w:val="18"/>
              </w:rPr>
            </w:pPr>
            <w:r>
              <w:rPr>
                <w:szCs w:val="18"/>
              </w:rPr>
              <w:t>Staff provide on-site support 24 hours a day, seven days a week. This type of model is generally delivered in a larger facility. Under this model residents normally have their own bedroom but may share bathroom facilities and communal areas such as a lounge and kitchen.</w:t>
            </w:r>
          </w:p>
        </w:tc>
      </w:tr>
      <w:tr w:rsidR="001F1F73" w14:paraId="7600EACA" w14:textId="77777777" w:rsidTr="001F1F73">
        <w:trPr>
          <w:cantSplit/>
        </w:trPr>
        <w:tc>
          <w:tcPr>
            <w:tcW w:w="2001" w:type="dxa"/>
            <w:tcBorders>
              <w:top w:val="single" w:sz="4" w:space="0" w:color="auto"/>
              <w:left w:val="single" w:sz="4" w:space="0" w:color="auto"/>
              <w:bottom w:val="single" w:sz="4" w:space="0" w:color="auto"/>
              <w:right w:val="single" w:sz="4" w:space="0" w:color="auto"/>
            </w:tcBorders>
            <w:hideMark/>
          </w:tcPr>
          <w:p w14:paraId="73247ED9" w14:textId="77777777" w:rsidR="001F1F73" w:rsidRDefault="001F1F73">
            <w:pPr>
              <w:pStyle w:val="Tabletext9pt"/>
              <w:rPr>
                <w:szCs w:val="18"/>
              </w:rPr>
            </w:pPr>
            <w:r>
              <w:rPr>
                <w:szCs w:val="18"/>
              </w:rPr>
              <w:t>15098</w:t>
            </w:r>
          </w:p>
        </w:tc>
        <w:tc>
          <w:tcPr>
            <w:tcW w:w="2956" w:type="dxa"/>
            <w:tcBorders>
              <w:top w:val="single" w:sz="4" w:space="0" w:color="auto"/>
              <w:left w:val="single" w:sz="4" w:space="0" w:color="auto"/>
              <w:bottom w:val="single" w:sz="4" w:space="0" w:color="auto"/>
              <w:right w:val="single" w:sz="4" w:space="0" w:color="auto"/>
            </w:tcBorders>
            <w:hideMark/>
          </w:tcPr>
          <w:p w14:paraId="5A234FC1" w14:textId="24F9234A" w:rsidR="001F1F73" w:rsidRDefault="001F1F73">
            <w:pPr>
              <w:pStyle w:val="Tabletext9pt"/>
              <w:rPr>
                <w:szCs w:val="18"/>
              </w:rPr>
            </w:pPr>
            <w:r>
              <w:rPr>
                <w:szCs w:val="18"/>
              </w:rPr>
              <w:t xml:space="preserve">Supported </w:t>
            </w:r>
            <w:r w:rsidR="00DD3294">
              <w:rPr>
                <w:szCs w:val="18"/>
              </w:rPr>
              <w:t>accommodation – non-24-hour support</w:t>
            </w:r>
          </w:p>
        </w:tc>
        <w:tc>
          <w:tcPr>
            <w:tcW w:w="4342" w:type="dxa"/>
            <w:tcBorders>
              <w:top w:val="single" w:sz="4" w:space="0" w:color="auto"/>
              <w:left w:val="single" w:sz="4" w:space="0" w:color="auto"/>
              <w:bottom w:val="single" w:sz="4" w:space="0" w:color="auto"/>
              <w:right w:val="single" w:sz="4" w:space="0" w:color="auto"/>
            </w:tcBorders>
            <w:hideMark/>
          </w:tcPr>
          <w:p w14:paraId="17B781F2" w14:textId="721412D3" w:rsidR="001F1F73" w:rsidRDefault="001F1F73">
            <w:pPr>
              <w:pStyle w:val="Tabletext9pt"/>
              <w:rPr>
                <w:szCs w:val="18"/>
              </w:rPr>
            </w:pPr>
            <w:r>
              <w:rPr>
                <w:szCs w:val="18"/>
              </w:rPr>
              <w:t>Support is provided either in a cluster environment on the same site or in units and houses located within close geographic proximity. Support is provided during standard work</w:t>
            </w:r>
            <w:r w:rsidR="006B4DBF">
              <w:rPr>
                <w:szCs w:val="18"/>
              </w:rPr>
              <w:t>-</w:t>
            </w:r>
            <w:r>
              <w:rPr>
                <w:szCs w:val="18"/>
              </w:rPr>
              <w:t>hours (9.00 am to 5.00 pm Monday to Friday) and after hours and weekend support or on-call. Note: this activity is progressively transitioning to the NDIS.</w:t>
            </w:r>
          </w:p>
        </w:tc>
      </w:tr>
      <w:tr w:rsidR="001F1F73" w14:paraId="1717E590" w14:textId="77777777" w:rsidTr="001F1F73">
        <w:trPr>
          <w:cantSplit/>
        </w:trPr>
        <w:tc>
          <w:tcPr>
            <w:tcW w:w="2001" w:type="dxa"/>
            <w:tcBorders>
              <w:top w:val="single" w:sz="4" w:space="0" w:color="auto"/>
              <w:left w:val="single" w:sz="4" w:space="0" w:color="auto"/>
              <w:bottom w:val="single" w:sz="4" w:space="0" w:color="auto"/>
              <w:right w:val="single" w:sz="4" w:space="0" w:color="auto"/>
            </w:tcBorders>
            <w:hideMark/>
          </w:tcPr>
          <w:p w14:paraId="1C3C4B56" w14:textId="77777777" w:rsidR="001F1F73" w:rsidRDefault="001F1F73">
            <w:pPr>
              <w:pStyle w:val="Tabletext9pt"/>
              <w:rPr>
                <w:szCs w:val="18"/>
              </w:rPr>
            </w:pPr>
            <w:r>
              <w:rPr>
                <w:szCs w:val="18"/>
              </w:rPr>
              <w:t>15099</w:t>
            </w:r>
          </w:p>
        </w:tc>
        <w:tc>
          <w:tcPr>
            <w:tcW w:w="2956" w:type="dxa"/>
            <w:tcBorders>
              <w:top w:val="single" w:sz="4" w:space="0" w:color="auto"/>
              <w:left w:val="single" w:sz="4" w:space="0" w:color="auto"/>
              <w:bottom w:val="single" w:sz="4" w:space="0" w:color="auto"/>
              <w:right w:val="single" w:sz="4" w:space="0" w:color="auto"/>
            </w:tcBorders>
            <w:hideMark/>
          </w:tcPr>
          <w:p w14:paraId="5022D0C6" w14:textId="6EBB1BE3" w:rsidR="001F1F73" w:rsidRDefault="001F1F73">
            <w:pPr>
              <w:pStyle w:val="Tabletext9pt"/>
              <w:rPr>
                <w:szCs w:val="18"/>
              </w:rPr>
            </w:pPr>
            <w:r>
              <w:rPr>
                <w:szCs w:val="18"/>
              </w:rPr>
              <w:t xml:space="preserve">ACCO </w:t>
            </w:r>
            <w:r w:rsidR="00DD3294">
              <w:rPr>
                <w:szCs w:val="18"/>
              </w:rPr>
              <w:t>services – mental health</w:t>
            </w:r>
          </w:p>
        </w:tc>
        <w:tc>
          <w:tcPr>
            <w:tcW w:w="4342" w:type="dxa"/>
            <w:tcBorders>
              <w:top w:val="single" w:sz="4" w:space="0" w:color="auto"/>
              <w:left w:val="single" w:sz="4" w:space="0" w:color="auto"/>
              <w:bottom w:val="single" w:sz="4" w:space="0" w:color="auto"/>
              <w:right w:val="single" w:sz="4" w:space="0" w:color="auto"/>
            </w:tcBorders>
            <w:hideMark/>
          </w:tcPr>
          <w:p w14:paraId="62B00E0D" w14:textId="77777777" w:rsidR="001F1F73" w:rsidRDefault="001F1F73">
            <w:pPr>
              <w:pStyle w:val="Tabletext9pt"/>
              <w:rPr>
                <w:szCs w:val="18"/>
              </w:rPr>
            </w:pPr>
            <w:r>
              <w:rPr>
                <w:szCs w:val="18"/>
              </w:rPr>
              <w:t>Funding for those mental health services provided by Aboriginal community-controlled organisations.</w:t>
            </w:r>
          </w:p>
        </w:tc>
      </w:tr>
      <w:tr w:rsidR="001F1F73" w14:paraId="3A1DDD05" w14:textId="77777777" w:rsidTr="001F1F73">
        <w:trPr>
          <w:cantSplit/>
        </w:trPr>
        <w:tc>
          <w:tcPr>
            <w:tcW w:w="2001" w:type="dxa"/>
            <w:tcBorders>
              <w:top w:val="single" w:sz="4" w:space="0" w:color="auto"/>
              <w:left w:val="single" w:sz="4" w:space="0" w:color="auto"/>
              <w:bottom w:val="single" w:sz="4" w:space="0" w:color="auto"/>
              <w:right w:val="single" w:sz="4" w:space="0" w:color="auto"/>
            </w:tcBorders>
            <w:hideMark/>
          </w:tcPr>
          <w:p w14:paraId="0ACE7AD1" w14:textId="77777777" w:rsidR="001F1F73" w:rsidRDefault="001F1F73">
            <w:pPr>
              <w:pStyle w:val="Tabletext9pt"/>
              <w:rPr>
                <w:szCs w:val="18"/>
              </w:rPr>
            </w:pPr>
            <w:r>
              <w:rPr>
                <w:szCs w:val="18"/>
              </w:rPr>
              <w:t>15266</w:t>
            </w:r>
          </w:p>
        </w:tc>
        <w:tc>
          <w:tcPr>
            <w:tcW w:w="2956" w:type="dxa"/>
            <w:tcBorders>
              <w:top w:val="single" w:sz="4" w:space="0" w:color="auto"/>
              <w:left w:val="single" w:sz="4" w:space="0" w:color="auto"/>
              <w:bottom w:val="single" w:sz="4" w:space="0" w:color="auto"/>
              <w:right w:val="single" w:sz="4" w:space="0" w:color="auto"/>
            </w:tcBorders>
            <w:hideMark/>
          </w:tcPr>
          <w:p w14:paraId="2E4A4B90" w14:textId="6B814444" w:rsidR="001F1F73" w:rsidRDefault="001F1F73">
            <w:pPr>
              <w:pStyle w:val="Tabletext9pt"/>
              <w:rPr>
                <w:szCs w:val="18"/>
              </w:rPr>
            </w:pPr>
            <w:r>
              <w:rPr>
                <w:szCs w:val="18"/>
              </w:rPr>
              <w:t xml:space="preserve">Statewide </w:t>
            </w:r>
            <w:r w:rsidR="00DD3294">
              <w:rPr>
                <w:szCs w:val="18"/>
              </w:rPr>
              <w:t xml:space="preserve">support </w:t>
            </w:r>
            <w:r>
              <w:rPr>
                <w:szCs w:val="18"/>
              </w:rPr>
              <w:t>– MHCSS</w:t>
            </w:r>
          </w:p>
        </w:tc>
        <w:tc>
          <w:tcPr>
            <w:tcW w:w="4342" w:type="dxa"/>
            <w:tcBorders>
              <w:top w:val="single" w:sz="4" w:space="0" w:color="auto"/>
              <w:left w:val="single" w:sz="4" w:space="0" w:color="auto"/>
              <w:bottom w:val="single" w:sz="4" w:space="0" w:color="auto"/>
              <w:right w:val="single" w:sz="4" w:space="0" w:color="auto"/>
            </w:tcBorders>
            <w:hideMark/>
          </w:tcPr>
          <w:p w14:paraId="7341B085" w14:textId="77777777" w:rsidR="001F1F73" w:rsidRDefault="001F1F73">
            <w:pPr>
              <w:pStyle w:val="Tabletext9pt"/>
              <w:rPr>
                <w:szCs w:val="18"/>
              </w:rPr>
            </w:pPr>
            <w:r>
              <w:rPr>
                <w:rFonts w:cs="Arial"/>
                <w:szCs w:val="18"/>
              </w:rPr>
              <w:t>The statewide funding stream supports the activities of peak organisations that provide advocacy and sector leadership and specialist organisations that provide a range of targeted mental health advocacy and social inclusion services.</w:t>
            </w:r>
          </w:p>
        </w:tc>
      </w:tr>
      <w:tr w:rsidR="001F1F73" w14:paraId="2119F91B" w14:textId="77777777" w:rsidTr="001F1F73">
        <w:trPr>
          <w:cantSplit/>
        </w:trPr>
        <w:tc>
          <w:tcPr>
            <w:tcW w:w="2001" w:type="dxa"/>
            <w:tcBorders>
              <w:top w:val="single" w:sz="4" w:space="0" w:color="auto"/>
              <w:left w:val="single" w:sz="4" w:space="0" w:color="auto"/>
              <w:bottom w:val="single" w:sz="4" w:space="0" w:color="auto"/>
              <w:right w:val="single" w:sz="4" w:space="0" w:color="auto"/>
            </w:tcBorders>
            <w:hideMark/>
          </w:tcPr>
          <w:p w14:paraId="26B4E8A7" w14:textId="77777777" w:rsidR="001F1F73" w:rsidRDefault="001F1F73">
            <w:pPr>
              <w:pStyle w:val="Tabletext9pt"/>
              <w:rPr>
                <w:szCs w:val="18"/>
              </w:rPr>
            </w:pPr>
            <w:r>
              <w:rPr>
                <w:szCs w:val="18"/>
              </w:rPr>
              <w:t>15501</w:t>
            </w:r>
          </w:p>
        </w:tc>
        <w:tc>
          <w:tcPr>
            <w:tcW w:w="2956" w:type="dxa"/>
            <w:tcBorders>
              <w:top w:val="single" w:sz="4" w:space="0" w:color="auto"/>
              <w:left w:val="single" w:sz="4" w:space="0" w:color="auto"/>
              <w:bottom w:val="single" w:sz="4" w:space="0" w:color="auto"/>
              <w:right w:val="single" w:sz="4" w:space="0" w:color="auto"/>
            </w:tcBorders>
            <w:hideMark/>
          </w:tcPr>
          <w:p w14:paraId="054E0E5C" w14:textId="33FFFB5D" w:rsidR="001F1F73" w:rsidRDefault="001F1F73">
            <w:pPr>
              <w:pStyle w:val="Tabletext9pt"/>
              <w:rPr>
                <w:szCs w:val="18"/>
              </w:rPr>
            </w:pPr>
            <w:r>
              <w:rPr>
                <w:szCs w:val="18"/>
              </w:rPr>
              <w:t xml:space="preserve">Community </w:t>
            </w:r>
            <w:r w:rsidR="00DD3294">
              <w:rPr>
                <w:szCs w:val="18"/>
              </w:rPr>
              <w:t>intake assessment function</w:t>
            </w:r>
          </w:p>
        </w:tc>
        <w:tc>
          <w:tcPr>
            <w:tcW w:w="4342" w:type="dxa"/>
            <w:tcBorders>
              <w:top w:val="single" w:sz="4" w:space="0" w:color="auto"/>
              <w:left w:val="single" w:sz="4" w:space="0" w:color="auto"/>
              <w:bottom w:val="single" w:sz="4" w:space="0" w:color="auto"/>
              <w:right w:val="single" w:sz="4" w:space="0" w:color="auto"/>
            </w:tcBorders>
            <w:hideMark/>
          </w:tcPr>
          <w:p w14:paraId="1E89A209" w14:textId="228A7E47" w:rsidR="001F1F73" w:rsidRDefault="001F1F73">
            <w:pPr>
              <w:pStyle w:val="Tabletext9pt"/>
              <w:rPr>
                <w:szCs w:val="18"/>
              </w:rPr>
            </w:pPr>
            <w:r>
              <w:rPr>
                <w:szCs w:val="18"/>
              </w:rPr>
              <w:t>Determines and prioritises client eligibility for MHCSS. Note: this activity will be affected by the transition of MHCSS services to the NDIS.</w:t>
            </w:r>
          </w:p>
        </w:tc>
      </w:tr>
      <w:tr w:rsidR="001F1F73" w14:paraId="09A466C8" w14:textId="77777777" w:rsidTr="001F1F73">
        <w:trPr>
          <w:cantSplit/>
        </w:trPr>
        <w:tc>
          <w:tcPr>
            <w:tcW w:w="2001" w:type="dxa"/>
            <w:tcBorders>
              <w:top w:val="single" w:sz="4" w:space="0" w:color="auto"/>
              <w:left w:val="single" w:sz="4" w:space="0" w:color="auto"/>
              <w:bottom w:val="single" w:sz="4" w:space="0" w:color="auto"/>
              <w:right w:val="single" w:sz="4" w:space="0" w:color="auto"/>
            </w:tcBorders>
            <w:hideMark/>
          </w:tcPr>
          <w:p w14:paraId="7C763F5F" w14:textId="77777777" w:rsidR="001F1F73" w:rsidRDefault="001F1F73">
            <w:pPr>
              <w:pStyle w:val="Tabletext9pt"/>
              <w:rPr>
                <w:szCs w:val="18"/>
              </w:rPr>
            </w:pPr>
            <w:r>
              <w:rPr>
                <w:szCs w:val="18"/>
              </w:rPr>
              <w:t>15503</w:t>
            </w:r>
          </w:p>
        </w:tc>
        <w:tc>
          <w:tcPr>
            <w:tcW w:w="2956" w:type="dxa"/>
            <w:tcBorders>
              <w:top w:val="single" w:sz="4" w:space="0" w:color="auto"/>
              <w:left w:val="single" w:sz="4" w:space="0" w:color="auto"/>
              <w:bottom w:val="single" w:sz="4" w:space="0" w:color="auto"/>
              <w:right w:val="single" w:sz="4" w:space="0" w:color="auto"/>
            </w:tcBorders>
            <w:hideMark/>
          </w:tcPr>
          <w:p w14:paraId="5F6A130D" w14:textId="0BE86176" w:rsidR="001F1F73" w:rsidRDefault="001F1F73">
            <w:pPr>
              <w:pStyle w:val="Tabletext9pt"/>
              <w:rPr>
                <w:szCs w:val="18"/>
              </w:rPr>
            </w:pPr>
            <w:r>
              <w:rPr>
                <w:szCs w:val="18"/>
              </w:rPr>
              <w:t xml:space="preserve">Youth </w:t>
            </w:r>
            <w:r w:rsidR="00DD3294">
              <w:rPr>
                <w:szCs w:val="18"/>
              </w:rPr>
              <w:t>residential rehabilitation – 24 hour</w:t>
            </w:r>
          </w:p>
        </w:tc>
        <w:tc>
          <w:tcPr>
            <w:tcW w:w="4342" w:type="dxa"/>
            <w:tcBorders>
              <w:top w:val="single" w:sz="4" w:space="0" w:color="auto"/>
              <w:left w:val="single" w:sz="4" w:space="0" w:color="auto"/>
              <w:bottom w:val="single" w:sz="4" w:space="0" w:color="auto"/>
              <w:right w:val="single" w:sz="4" w:space="0" w:color="auto"/>
            </w:tcBorders>
            <w:hideMark/>
          </w:tcPr>
          <w:p w14:paraId="0369B72A" w14:textId="77777777" w:rsidR="001F1F73" w:rsidRDefault="001F1F73">
            <w:pPr>
              <w:pStyle w:val="Tabletext9pt"/>
              <w:rPr>
                <w:szCs w:val="18"/>
              </w:rPr>
            </w:pPr>
            <w:r>
              <w:rPr>
                <w:szCs w:val="18"/>
              </w:rPr>
              <w:t>Youth residential rehabilitation provides transitional accommodation with rehabilitation support. Support is provided at the facility 24 hours a day, seven days a week.</w:t>
            </w:r>
          </w:p>
        </w:tc>
      </w:tr>
      <w:tr w:rsidR="001F1F73" w14:paraId="552193D4" w14:textId="77777777" w:rsidTr="001F1F73">
        <w:trPr>
          <w:cantSplit/>
        </w:trPr>
        <w:tc>
          <w:tcPr>
            <w:tcW w:w="2001" w:type="dxa"/>
            <w:tcBorders>
              <w:top w:val="single" w:sz="4" w:space="0" w:color="auto"/>
              <w:left w:val="single" w:sz="4" w:space="0" w:color="auto"/>
              <w:bottom w:val="single" w:sz="4" w:space="0" w:color="auto"/>
              <w:right w:val="single" w:sz="4" w:space="0" w:color="auto"/>
            </w:tcBorders>
            <w:hideMark/>
          </w:tcPr>
          <w:p w14:paraId="0307B3B1" w14:textId="77777777" w:rsidR="001F1F73" w:rsidRDefault="001F1F73">
            <w:pPr>
              <w:pStyle w:val="Tabletext9pt"/>
              <w:rPr>
                <w:szCs w:val="18"/>
              </w:rPr>
            </w:pPr>
            <w:r>
              <w:rPr>
                <w:szCs w:val="18"/>
              </w:rPr>
              <w:lastRenderedPageBreak/>
              <w:t>15504</w:t>
            </w:r>
          </w:p>
        </w:tc>
        <w:tc>
          <w:tcPr>
            <w:tcW w:w="2956" w:type="dxa"/>
            <w:tcBorders>
              <w:top w:val="single" w:sz="4" w:space="0" w:color="auto"/>
              <w:left w:val="single" w:sz="4" w:space="0" w:color="auto"/>
              <w:bottom w:val="single" w:sz="4" w:space="0" w:color="auto"/>
              <w:right w:val="single" w:sz="4" w:space="0" w:color="auto"/>
            </w:tcBorders>
            <w:hideMark/>
          </w:tcPr>
          <w:p w14:paraId="59854725" w14:textId="22039FE3" w:rsidR="001F1F73" w:rsidRDefault="001F1F73">
            <w:pPr>
              <w:pStyle w:val="Tabletext9pt"/>
              <w:rPr>
                <w:szCs w:val="18"/>
              </w:rPr>
            </w:pPr>
            <w:r>
              <w:rPr>
                <w:szCs w:val="18"/>
              </w:rPr>
              <w:t xml:space="preserve">Youth </w:t>
            </w:r>
            <w:r w:rsidR="00DD3294">
              <w:rPr>
                <w:szCs w:val="18"/>
              </w:rPr>
              <w:t>residential rehabilitation – non-24-hour</w:t>
            </w:r>
          </w:p>
        </w:tc>
        <w:tc>
          <w:tcPr>
            <w:tcW w:w="4342" w:type="dxa"/>
            <w:tcBorders>
              <w:top w:val="single" w:sz="4" w:space="0" w:color="auto"/>
              <w:left w:val="single" w:sz="4" w:space="0" w:color="auto"/>
              <w:bottom w:val="single" w:sz="4" w:space="0" w:color="auto"/>
              <w:right w:val="single" w:sz="4" w:space="0" w:color="auto"/>
            </w:tcBorders>
            <w:hideMark/>
          </w:tcPr>
          <w:p w14:paraId="690738F9" w14:textId="77777777" w:rsidR="001F1F73" w:rsidRDefault="001F1F73">
            <w:pPr>
              <w:pStyle w:val="Tabletext9pt"/>
              <w:rPr>
                <w:szCs w:val="18"/>
              </w:rPr>
            </w:pPr>
            <w:r>
              <w:rPr>
                <w:szCs w:val="18"/>
              </w:rPr>
              <w:t>Youth residential rehabilitation provides transitional accommodation with rehabilitation support. Support is provided at the facility on a non-24-hour basis.</w:t>
            </w:r>
          </w:p>
        </w:tc>
      </w:tr>
      <w:tr w:rsidR="001F1F73" w14:paraId="3AA11F17" w14:textId="77777777" w:rsidTr="001F1F73">
        <w:trPr>
          <w:cantSplit/>
        </w:trPr>
        <w:tc>
          <w:tcPr>
            <w:tcW w:w="2001" w:type="dxa"/>
            <w:tcBorders>
              <w:top w:val="single" w:sz="4" w:space="0" w:color="auto"/>
              <w:left w:val="single" w:sz="4" w:space="0" w:color="auto"/>
              <w:bottom w:val="single" w:sz="4" w:space="0" w:color="auto"/>
              <w:right w:val="single" w:sz="4" w:space="0" w:color="auto"/>
            </w:tcBorders>
            <w:hideMark/>
          </w:tcPr>
          <w:p w14:paraId="04311106" w14:textId="77777777" w:rsidR="001F1F73" w:rsidRDefault="001F1F73">
            <w:pPr>
              <w:pStyle w:val="Tabletext9pt"/>
              <w:rPr>
                <w:szCs w:val="18"/>
              </w:rPr>
            </w:pPr>
            <w:r>
              <w:rPr>
                <w:szCs w:val="18"/>
              </w:rPr>
              <w:t>15507</w:t>
            </w:r>
          </w:p>
        </w:tc>
        <w:tc>
          <w:tcPr>
            <w:tcW w:w="2956" w:type="dxa"/>
            <w:tcBorders>
              <w:top w:val="single" w:sz="4" w:space="0" w:color="auto"/>
              <w:left w:val="single" w:sz="4" w:space="0" w:color="auto"/>
              <w:bottom w:val="single" w:sz="4" w:space="0" w:color="auto"/>
              <w:right w:val="single" w:sz="4" w:space="0" w:color="auto"/>
            </w:tcBorders>
            <w:hideMark/>
          </w:tcPr>
          <w:p w14:paraId="6966C0F5" w14:textId="07B62ACC" w:rsidR="001F1F73" w:rsidRDefault="001F1F73">
            <w:pPr>
              <w:pStyle w:val="Tabletext9pt"/>
              <w:rPr>
                <w:szCs w:val="18"/>
              </w:rPr>
            </w:pPr>
            <w:r>
              <w:rPr>
                <w:szCs w:val="18"/>
              </w:rPr>
              <w:t>Continuity of Support</w:t>
            </w:r>
          </w:p>
        </w:tc>
        <w:tc>
          <w:tcPr>
            <w:tcW w:w="4342" w:type="dxa"/>
            <w:tcBorders>
              <w:top w:val="single" w:sz="4" w:space="0" w:color="auto"/>
              <w:left w:val="single" w:sz="4" w:space="0" w:color="auto"/>
              <w:bottom w:val="single" w:sz="4" w:space="0" w:color="auto"/>
              <w:right w:val="single" w:sz="4" w:space="0" w:color="auto"/>
            </w:tcBorders>
            <w:hideMark/>
          </w:tcPr>
          <w:p w14:paraId="26057689" w14:textId="1B923867" w:rsidR="001F1F73" w:rsidRDefault="001F1F73">
            <w:pPr>
              <w:pStyle w:val="Tabletext9pt"/>
              <w:rPr>
                <w:szCs w:val="18"/>
              </w:rPr>
            </w:pPr>
            <w:r>
              <w:rPr>
                <w:szCs w:val="18"/>
              </w:rPr>
              <w:t xml:space="preserve">Continuity of support arrangements for current clients of MHCSS that are transitioning to the NDIS who are not eligible to become a NDIS participant because they do not meet the age and residency access requirements outlined in the </w:t>
            </w:r>
            <w:r>
              <w:rPr>
                <w:i/>
                <w:szCs w:val="18"/>
              </w:rPr>
              <w:t>National Disability Insurance Act 2013</w:t>
            </w:r>
            <w:r>
              <w:rPr>
                <w:szCs w:val="18"/>
              </w:rPr>
              <w:t>.</w:t>
            </w:r>
          </w:p>
        </w:tc>
      </w:tr>
    </w:tbl>
    <w:p w14:paraId="42676125" w14:textId="0058867C" w:rsidR="000B27B9" w:rsidRDefault="00AD2D23" w:rsidP="00352B64">
      <w:pPr>
        <w:pStyle w:val="Bodyaftertablefigure"/>
      </w:pPr>
      <w:r>
        <w:fldChar w:fldCharType="begin"/>
      </w:r>
      <w:r>
        <w:instrText xml:space="preserve"> REF _Ref146113552 \h </w:instrText>
      </w:r>
      <w:r>
        <w:fldChar w:fldCharType="separate"/>
      </w:r>
      <w:r>
        <w:t xml:space="preserve">Table </w:t>
      </w:r>
      <w:r>
        <w:rPr>
          <w:noProof/>
        </w:rPr>
        <w:t>1</w:t>
      </w:r>
      <w:r>
        <w:t>.</w:t>
      </w:r>
      <w:r>
        <w:rPr>
          <w:noProof/>
        </w:rPr>
        <w:t>30</w:t>
      </w:r>
      <w:r>
        <w:fldChar w:fldCharType="end"/>
      </w:r>
      <w:r>
        <w:t xml:space="preserve"> </w:t>
      </w:r>
      <w:r w:rsidR="000B27B9">
        <w:t xml:space="preserve">shows </w:t>
      </w:r>
      <w:r w:rsidR="000B27B9" w:rsidRPr="00E7554A">
        <w:t>outputs and activities</w:t>
      </w:r>
      <w:r w:rsidR="000B27B9">
        <w:t xml:space="preserve"> for</w:t>
      </w:r>
      <w:r w:rsidR="000B27B9" w:rsidRPr="00E7554A">
        <w:t xml:space="preserve"> drug prevention and control</w:t>
      </w:r>
      <w:r w:rsidR="000B27B9">
        <w:t>. These</w:t>
      </w:r>
      <w:r w:rsidR="000B27B9" w:rsidRPr="003D22A1">
        <w:t xml:space="preserve"> </w:t>
      </w:r>
      <w:r w:rsidR="000B27B9">
        <w:t>e</w:t>
      </w:r>
      <w:r w:rsidR="000B27B9" w:rsidRPr="0088682D">
        <w:t xml:space="preserve">ncourage all Victorians to minimise the harmful effects of illicit and licit drugs, including alcohol, by providing a comprehensive range </w:t>
      </w:r>
      <w:r w:rsidR="000B27B9" w:rsidRPr="00352B64">
        <w:t>of</w:t>
      </w:r>
      <w:r w:rsidR="000B27B9" w:rsidRPr="0088682D">
        <w:t xml:space="preserve"> strategies</w:t>
      </w:r>
      <w:r w:rsidR="000B27B9">
        <w:t xml:space="preserve"> that</w:t>
      </w:r>
      <w:r w:rsidR="000B27B9" w:rsidRPr="0088682D">
        <w:t xml:space="preserve"> focus on enhanced community and professional education, targeted prevention and early intervention, and the use of effective regulation.</w:t>
      </w:r>
    </w:p>
    <w:p w14:paraId="7257C28D" w14:textId="04982681" w:rsidR="00333328" w:rsidRDefault="00333328" w:rsidP="00685B35">
      <w:pPr>
        <w:pStyle w:val="Tablecaption"/>
      </w:pPr>
      <w:bookmarkStart w:id="926" w:name="_Ref146113552"/>
      <w:bookmarkStart w:id="927" w:name="_Toc156568673"/>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30</w:t>
      </w:r>
      <w:r>
        <w:fldChar w:fldCharType="end"/>
      </w:r>
      <w:r>
        <w:t xml:space="preserve">: </w:t>
      </w:r>
      <w:bookmarkStart w:id="928" w:name="_Ref108527680"/>
      <w:r>
        <w:t>D</w:t>
      </w:r>
      <w:r w:rsidRPr="00E7554A">
        <w:t>rug services – outputs and activities: drug prevention and control</w:t>
      </w:r>
      <w:r>
        <w:t xml:space="preserve"> </w:t>
      </w:r>
      <w:r w:rsidRPr="00697369">
        <w:t>202</w:t>
      </w:r>
      <w:r>
        <w:t>3–</w:t>
      </w:r>
      <w:r w:rsidRPr="00697369">
        <w:t>2</w:t>
      </w:r>
      <w:r>
        <w:t>4</w:t>
      </w:r>
      <w:bookmarkEnd w:id="926"/>
      <w:bookmarkEnd w:id="927"/>
      <w:bookmarkEnd w:id="928"/>
    </w:p>
    <w:tbl>
      <w:tblPr>
        <w:tblStyle w:val="TableGrid1"/>
        <w:tblW w:w="9299" w:type="dxa"/>
        <w:tblLook w:val="06A0" w:firstRow="1" w:lastRow="0" w:firstColumn="1" w:lastColumn="0" w:noHBand="1" w:noVBand="1"/>
      </w:tblPr>
      <w:tblGrid>
        <w:gridCol w:w="1980"/>
        <w:gridCol w:w="2977"/>
        <w:gridCol w:w="4342"/>
      </w:tblGrid>
      <w:tr w:rsidR="002B30D8" w14:paraId="4D5DA2A2" w14:textId="77777777" w:rsidTr="00685B35">
        <w:trPr>
          <w:cnfStyle w:val="100000000000" w:firstRow="1" w:lastRow="0" w:firstColumn="0" w:lastColumn="0" w:oddVBand="0" w:evenVBand="0" w:oddHBand="0" w:evenHBand="0" w:firstRowFirstColumn="0" w:firstRowLastColumn="0" w:lastRowFirstColumn="0" w:lastRowLastColumn="0"/>
          <w:cantSplit/>
          <w:tblHeader/>
        </w:trPr>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6696788B" w14:textId="77777777" w:rsidR="002B30D8" w:rsidRPr="00685B35" w:rsidRDefault="002B30D8" w:rsidP="00685B35">
            <w:pPr>
              <w:pStyle w:val="Tablecolhead"/>
            </w:pPr>
            <w:bookmarkStart w:id="929" w:name="_Toc419623626"/>
            <w:bookmarkStart w:id="930" w:name="_Toc419623738"/>
            <w:bookmarkStart w:id="931" w:name="_Toc419644526"/>
            <w:bookmarkStart w:id="932" w:name="_Toc487742090"/>
            <w:bookmarkEnd w:id="922"/>
            <w:bookmarkEnd w:id="923"/>
            <w:bookmarkEnd w:id="924"/>
            <w:bookmarkEnd w:id="925"/>
            <w:r w:rsidRPr="00685B35">
              <w:rPr>
                <w:sz w:val="20"/>
              </w:rPr>
              <w:t>Activity no.</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359B4BA8" w14:textId="77777777" w:rsidR="002B30D8" w:rsidRPr="00685B35" w:rsidRDefault="002B30D8" w:rsidP="00685B35">
            <w:pPr>
              <w:pStyle w:val="Tablecolhead"/>
            </w:pPr>
            <w:r w:rsidRPr="00685B35">
              <w:rPr>
                <w:sz w:val="20"/>
              </w:rPr>
              <w:t>Activity name</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21B239BC" w14:textId="77777777" w:rsidR="002B30D8" w:rsidRPr="00685B35" w:rsidRDefault="002B30D8" w:rsidP="00685B35">
            <w:pPr>
              <w:pStyle w:val="Tablecolhead"/>
            </w:pPr>
            <w:r w:rsidRPr="00685B35">
              <w:rPr>
                <w:sz w:val="20"/>
              </w:rPr>
              <w:t>Activity description</w:t>
            </w:r>
          </w:p>
        </w:tc>
      </w:tr>
      <w:tr w:rsidR="002B30D8" w14:paraId="4692119C" w14:textId="77777777" w:rsidTr="002B30D8">
        <w:trPr>
          <w:cantSplit/>
        </w:trPr>
        <w:tc>
          <w:tcPr>
            <w:tcW w:w="1980" w:type="dxa"/>
            <w:tcBorders>
              <w:top w:val="single" w:sz="4" w:space="0" w:color="auto"/>
              <w:left w:val="single" w:sz="4" w:space="0" w:color="auto"/>
              <w:bottom w:val="single" w:sz="4" w:space="0" w:color="auto"/>
              <w:right w:val="single" w:sz="4" w:space="0" w:color="auto"/>
            </w:tcBorders>
            <w:hideMark/>
          </w:tcPr>
          <w:p w14:paraId="1C3509AE" w14:textId="77777777" w:rsidR="002B30D8" w:rsidRDefault="002B30D8">
            <w:pPr>
              <w:pStyle w:val="Tabletext9pt"/>
              <w:rPr>
                <w:szCs w:val="18"/>
              </w:rPr>
            </w:pPr>
            <w:r>
              <w:rPr>
                <w:szCs w:val="18"/>
              </w:rPr>
              <w:t>34001</w:t>
            </w:r>
          </w:p>
        </w:tc>
        <w:tc>
          <w:tcPr>
            <w:tcW w:w="2977" w:type="dxa"/>
            <w:tcBorders>
              <w:top w:val="single" w:sz="4" w:space="0" w:color="auto"/>
              <w:left w:val="single" w:sz="4" w:space="0" w:color="auto"/>
              <w:bottom w:val="single" w:sz="4" w:space="0" w:color="auto"/>
              <w:right w:val="single" w:sz="4" w:space="0" w:color="auto"/>
            </w:tcBorders>
            <w:hideMark/>
          </w:tcPr>
          <w:p w14:paraId="39C1101C" w14:textId="5C09D896" w:rsidR="002B30D8" w:rsidRDefault="002B30D8">
            <w:pPr>
              <w:pStyle w:val="Tabletext9pt"/>
              <w:rPr>
                <w:szCs w:val="18"/>
              </w:rPr>
            </w:pPr>
            <w:r>
              <w:rPr>
                <w:szCs w:val="18"/>
              </w:rPr>
              <w:t xml:space="preserve">Family </w:t>
            </w:r>
            <w:r w:rsidR="00DD3294">
              <w:rPr>
                <w:szCs w:val="18"/>
              </w:rPr>
              <w:t>c</w:t>
            </w:r>
            <w:r>
              <w:rPr>
                <w:szCs w:val="18"/>
              </w:rPr>
              <w:t>ounselling</w:t>
            </w:r>
          </w:p>
        </w:tc>
        <w:tc>
          <w:tcPr>
            <w:tcW w:w="4342" w:type="dxa"/>
            <w:tcBorders>
              <w:top w:val="single" w:sz="4" w:space="0" w:color="auto"/>
              <w:left w:val="single" w:sz="4" w:space="0" w:color="auto"/>
              <w:bottom w:val="single" w:sz="4" w:space="0" w:color="auto"/>
              <w:right w:val="single" w:sz="4" w:space="0" w:color="auto"/>
            </w:tcBorders>
            <w:hideMark/>
          </w:tcPr>
          <w:p w14:paraId="3E93C8FB" w14:textId="77777777" w:rsidR="002B30D8" w:rsidRDefault="002B30D8">
            <w:pPr>
              <w:pStyle w:val="Tabletext9pt"/>
            </w:pPr>
            <w:r>
              <w:t>A variety of supports for family members of people who use AOD, including information, advice, referral, brief interventions and single-session therapies, counselling, peer support and education programs. It aims to deliver additional capacity for family support in each catchment area that is responsive to local need and complements existing family support services so service providers, referrers and affected community members know what is available and how to access it.</w:t>
            </w:r>
          </w:p>
        </w:tc>
      </w:tr>
      <w:tr w:rsidR="002B30D8" w14:paraId="596A3549" w14:textId="77777777" w:rsidTr="002B30D8">
        <w:trPr>
          <w:cantSplit/>
        </w:trPr>
        <w:tc>
          <w:tcPr>
            <w:tcW w:w="1980" w:type="dxa"/>
            <w:tcBorders>
              <w:top w:val="single" w:sz="4" w:space="0" w:color="auto"/>
              <w:left w:val="single" w:sz="4" w:space="0" w:color="auto"/>
              <w:bottom w:val="single" w:sz="4" w:space="0" w:color="auto"/>
              <w:right w:val="single" w:sz="4" w:space="0" w:color="auto"/>
            </w:tcBorders>
            <w:hideMark/>
          </w:tcPr>
          <w:p w14:paraId="6CBA7200" w14:textId="77777777" w:rsidR="002B30D8" w:rsidRDefault="002B30D8">
            <w:pPr>
              <w:pStyle w:val="Tabletext9pt"/>
              <w:rPr>
                <w:szCs w:val="18"/>
              </w:rPr>
            </w:pPr>
            <w:r>
              <w:rPr>
                <w:szCs w:val="18"/>
              </w:rPr>
              <w:t>34003</w:t>
            </w:r>
          </w:p>
        </w:tc>
        <w:tc>
          <w:tcPr>
            <w:tcW w:w="2977" w:type="dxa"/>
            <w:tcBorders>
              <w:top w:val="single" w:sz="4" w:space="0" w:color="auto"/>
              <w:left w:val="single" w:sz="4" w:space="0" w:color="auto"/>
              <w:bottom w:val="single" w:sz="4" w:space="0" w:color="auto"/>
              <w:right w:val="single" w:sz="4" w:space="0" w:color="auto"/>
            </w:tcBorders>
            <w:hideMark/>
          </w:tcPr>
          <w:p w14:paraId="47B44C28" w14:textId="00C6D567" w:rsidR="002B30D8" w:rsidRDefault="002B30D8">
            <w:pPr>
              <w:pStyle w:val="Tabletext9pt"/>
              <w:rPr>
                <w:szCs w:val="18"/>
              </w:rPr>
            </w:pPr>
            <w:r>
              <w:rPr>
                <w:szCs w:val="18"/>
              </w:rPr>
              <w:t xml:space="preserve">Poisons </w:t>
            </w:r>
            <w:r w:rsidR="00DD3294">
              <w:rPr>
                <w:szCs w:val="18"/>
              </w:rPr>
              <w:t>i</w:t>
            </w:r>
            <w:r>
              <w:rPr>
                <w:szCs w:val="18"/>
              </w:rPr>
              <w:t>nformation</w:t>
            </w:r>
          </w:p>
        </w:tc>
        <w:tc>
          <w:tcPr>
            <w:tcW w:w="4342" w:type="dxa"/>
            <w:tcBorders>
              <w:top w:val="single" w:sz="4" w:space="0" w:color="auto"/>
              <w:left w:val="single" w:sz="4" w:space="0" w:color="auto"/>
              <w:bottom w:val="single" w:sz="4" w:space="0" w:color="auto"/>
              <w:right w:val="single" w:sz="4" w:space="0" w:color="auto"/>
            </w:tcBorders>
            <w:hideMark/>
          </w:tcPr>
          <w:p w14:paraId="6ADA7292" w14:textId="77777777" w:rsidR="002B30D8" w:rsidRDefault="002B30D8">
            <w:pPr>
              <w:pStyle w:val="Tabletext9pt"/>
            </w:pPr>
            <w:r>
              <w:rPr>
                <w:szCs w:val="18"/>
              </w:rPr>
              <w:t>Provides information and advice to the public on drugs and poisons, especially following exposure.</w:t>
            </w:r>
          </w:p>
        </w:tc>
      </w:tr>
      <w:tr w:rsidR="002B30D8" w14:paraId="2BA3CF9B" w14:textId="77777777" w:rsidTr="002B30D8">
        <w:trPr>
          <w:cantSplit/>
        </w:trPr>
        <w:tc>
          <w:tcPr>
            <w:tcW w:w="1980" w:type="dxa"/>
            <w:tcBorders>
              <w:top w:val="single" w:sz="4" w:space="0" w:color="auto"/>
              <w:left w:val="single" w:sz="4" w:space="0" w:color="auto"/>
              <w:bottom w:val="single" w:sz="4" w:space="0" w:color="auto"/>
              <w:right w:val="single" w:sz="4" w:space="0" w:color="auto"/>
            </w:tcBorders>
            <w:hideMark/>
          </w:tcPr>
          <w:p w14:paraId="5A8B213C" w14:textId="77777777" w:rsidR="002B30D8" w:rsidRDefault="002B30D8">
            <w:pPr>
              <w:pStyle w:val="Tabletext9pt"/>
              <w:rPr>
                <w:szCs w:val="18"/>
              </w:rPr>
            </w:pPr>
            <w:r>
              <w:rPr>
                <w:szCs w:val="18"/>
              </w:rPr>
              <w:t>34004</w:t>
            </w:r>
          </w:p>
        </w:tc>
        <w:tc>
          <w:tcPr>
            <w:tcW w:w="2977" w:type="dxa"/>
            <w:tcBorders>
              <w:top w:val="single" w:sz="4" w:space="0" w:color="auto"/>
              <w:left w:val="single" w:sz="4" w:space="0" w:color="auto"/>
              <w:bottom w:val="single" w:sz="4" w:space="0" w:color="auto"/>
              <w:right w:val="single" w:sz="4" w:space="0" w:color="auto"/>
            </w:tcBorders>
            <w:hideMark/>
          </w:tcPr>
          <w:p w14:paraId="2686F455" w14:textId="195AF185" w:rsidR="002B30D8" w:rsidRDefault="002B30D8">
            <w:pPr>
              <w:pStyle w:val="Tabletext9pt"/>
              <w:rPr>
                <w:szCs w:val="18"/>
              </w:rPr>
            </w:pPr>
            <w:r>
              <w:rPr>
                <w:szCs w:val="18"/>
              </w:rPr>
              <w:t xml:space="preserve">Client </w:t>
            </w:r>
            <w:r w:rsidR="00DD3294">
              <w:rPr>
                <w:szCs w:val="18"/>
              </w:rPr>
              <w:t xml:space="preserve">information </w:t>
            </w:r>
            <w:r>
              <w:rPr>
                <w:szCs w:val="18"/>
              </w:rPr>
              <w:t xml:space="preserve">and </w:t>
            </w:r>
            <w:r w:rsidR="00DD3294">
              <w:rPr>
                <w:szCs w:val="18"/>
              </w:rPr>
              <w:t>s</w:t>
            </w:r>
            <w:r>
              <w:rPr>
                <w:szCs w:val="18"/>
              </w:rPr>
              <w:t>upport</w:t>
            </w:r>
          </w:p>
        </w:tc>
        <w:tc>
          <w:tcPr>
            <w:tcW w:w="4342" w:type="dxa"/>
            <w:tcBorders>
              <w:top w:val="single" w:sz="4" w:space="0" w:color="auto"/>
              <w:left w:val="single" w:sz="4" w:space="0" w:color="auto"/>
              <w:bottom w:val="single" w:sz="4" w:space="0" w:color="auto"/>
              <w:right w:val="single" w:sz="4" w:space="0" w:color="auto"/>
            </w:tcBorders>
            <w:hideMark/>
          </w:tcPr>
          <w:p w14:paraId="22582C2F" w14:textId="77777777" w:rsidR="002B30D8" w:rsidRDefault="002B30D8">
            <w:pPr>
              <w:pStyle w:val="Tabletext9pt"/>
              <w:rPr>
                <w:szCs w:val="18"/>
              </w:rPr>
            </w:pPr>
            <w:r>
              <w:t>Provides information, training, support, advice, and referrals to equip people to manage and respond to harmful drug use</w:t>
            </w:r>
            <w:r>
              <w:rPr>
                <w:szCs w:val="18"/>
              </w:rPr>
              <w:t>.</w:t>
            </w:r>
          </w:p>
        </w:tc>
      </w:tr>
      <w:tr w:rsidR="002B30D8" w14:paraId="37BABD93" w14:textId="77777777" w:rsidTr="002B30D8">
        <w:trPr>
          <w:cantSplit/>
        </w:trPr>
        <w:tc>
          <w:tcPr>
            <w:tcW w:w="1980" w:type="dxa"/>
            <w:tcBorders>
              <w:top w:val="single" w:sz="4" w:space="0" w:color="auto"/>
              <w:left w:val="single" w:sz="4" w:space="0" w:color="auto"/>
              <w:bottom w:val="single" w:sz="4" w:space="0" w:color="auto"/>
              <w:right w:val="single" w:sz="4" w:space="0" w:color="auto"/>
            </w:tcBorders>
            <w:hideMark/>
          </w:tcPr>
          <w:p w14:paraId="4660408E" w14:textId="77777777" w:rsidR="002B30D8" w:rsidRDefault="002B30D8">
            <w:pPr>
              <w:pStyle w:val="Tabletext9pt"/>
              <w:rPr>
                <w:szCs w:val="18"/>
              </w:rPr>
            </w:pPr>
            <w:r>
              <w:rPr>
                <w:szCs w:val="18"/>
              </w:rPr>
              <w:t>34006</w:t>
            </w:r>
          </w:p>
        </w:tc>
        <w:tc>
          <w:tcPr>
            <w:tcW w:w="2977" w:type="dxa"/>
            <w:tcBorders>
              <w:top w:val="single" w:sz="4" w:space="0" w:color="auto"/>
              <w:left w:val="single" w:sz="4" w:space="0" w:color="auto"/>
              <w:bottom w:val="single" w:sz="4" w:space="0" w:color="auto"/>
              <w:right w:val="single" w:sz="4" w:space="0" w:color="auto"/>
            </w:tcBorders>
            <w:hideMark/>
          </w:tcPr>
          <w:p w14:paraId="759959DB" w14:textId="7278C961" w:rsidR="002B30D8" w:rsidRDefault="002B30D8">
            <w:pPr>
              <w:pStyle w:val="Tabletext9pt"/>
              <w:rPr>
                <w:szCs w:val="18"/>
              </w:rPr>
            </w:pPr>
            <w:r>
              <w:rPr>
                <w:szCs w:val="18"/>
              </w:rPr>
              <w:t xml:space="preserve">Targeted </w:t>
            </w:r>
            <w:r w:rsidR="00DD3294">
              <w:rPr>
                <w:szCs w:val="18"/>
              </w:rPr>
              <w:t>i</w:t>
            </w:r>
            <w:r>
              <w:rPr>
                <w:szCs w:val="18"/>
              </w:rPr>
              <w:t>nterventions</w:t>
            </w:r>
          </w:p>
        </w:tc>
        <w:tc>
          <w:tcPr>
            <w:tcW w:w="4342" w:type="dxa"/>
            <w:tcBorders>
              <w:top w:val="single" w:sz="4" w:space="0" w:color="auto"/>
              <w:left w:val="single" w:sz="4" w:space="0" w:color="auto"/>
              <w:bottom w:val="single" w:sz="4" w:space="0" w:color="auto"/>
              <w:right w:val="single" w:sz="4" w:space="0" w:color="auto"/>
            </w:tcBorders>
            <w:hideMark/>
          </w:tcPr>
          <w:p w14:paraId="17191156" w14:textId="77777777" w:rsidR="002B30D8" w:rsidRDefault="002B30D8">
            <w:pPr>
              <w:pStyle w:val="Tabletext9pt"/>
              <w:rPr>
                <w:szCs w:val="18"/>
              </w:rPr>
            </w:pPr>
            <w:r>
              <w:rPr>
                <w:noProof/>
              </w:rPr>
              <w:t>Provides programs and services that prevent or reduce harms associated with alcohol and other drug use.</w:t>
            </w:r>
          </w:p>
        </w:tc>
      </w:tr>
      <w:tr w:rsidR="002B30D8" w14:paraId="380823A9" w14:textId="77777777" w:rsidTr="002B30D8">
        <w:trPr>
          <w:cantSplit/>
        </w:trPr>
        <w:tc>
          <w:tcPr>
            <w:tcW w:w="1980" w:type="dxa"/>
            <w:tcBorders>
              <w:top w:val="single" w:sz="4" w:space="0" w:color="auto"/>
              <w:left w:val="single" w:sz="4" w:space="0" w:color="auto"/>
              <w:bottom w:val="single" w:sz="4" w:space="0" w:color="auto"/>
              <w:right w:val="single" w:sz="4" w:space="0" w:color="auto"/>
            </w:tcBorders>
            <w:hideMark/>
          </w:tcPr>
          <w:p w14:paraId="12078620" w14:textId="77777777" w:rsidR="002B30D8" w:rsidRDefault="002B30D8">
            <w:pPr>
              <w:pStyle w:val="Tabletext9pt"/>
              <w:rPr>
                <w:szCs w:val="18"/>
              </w:rPr>
            </w:pPr>
            <w:r>
              <w:rPr>
                <w:szCs w:val="18"/>
              </w:rPr>
              <w:t>34020</w:t>
            </w:r>
          </w:p>
        </w:tc>
        <w:tc>
          <w:tcPr>
            <w:tcW w:w="2977" w:type="dxa"/>
            <w:tcBorders>
              <w:top w:val="single" w:sz="4" w:space="0" w:color="auto"/>
              <w:left w:val="single" w:sz="4" w:space="0" w:color="auto"/>
              <w:bottom w:val="single" w:sz="4" w:space="0" w:color="auto"/>
              <w:right w:val="single" w:sz="4" w:space="0" w:color="auto"/>
            </w:tcBorders>
            <w:hideMark/>
          </w:tcPr>
          <w:p w14:paraId="45B1254F" w14:textId="1ED29543" w:rsidR="002B30D8" w:rsidRDefault="002B30D8">
            <w:pPr>
              <w:pStyle w:val="Tabletext9pt"/>
              <w:rPr>
                <w:szCs w:val="18"/>
              </w:rPr>
            </w:pPr>
            <w:r>
              <w:rPr>
                <w:szCs w:val="18"/>
              </w:rPr>
              <w:t>Community</w:t>
            </w:r>
            <w:r w:rsidR="00DD3294">
              <w:rPr>
                <w:szCs w:val="18"/>
              </w:rPr>
              <w:t>e</w:t>
            </w:r>
          </w:p>
        </w:tc>
        <w:tc>
          <w:tcPr>
            <w:tcW w:w="4342" w:type="dxa"/>
            <w:tcBorders>
              <w:top w:val="single" w:sz="4" w:space="0" w:color="auto"/>
              <w:left w:val="single" w:sz="4" w:space="0" w:color="auto"/>
              <w:bottom w:val="single" w:sz="4" w:space="0" w:color="auto"/>
              <w:right w:val="single" w:sz="4" w:space="0" w:color="auto"/>
            </w:tcBorders>
            <w:hideMark/>
          </w:tcPr>
          <w:p w14:paraId="37F11D91" w14:textId="77777777" w:rsidR="002B30D8" w:rsidRDefault="002B30D8">
            <w:pPr>
              <w:pStyle w:val="Tabletext9pt"/>
              <w:rPr>
                <w:szCs w:val="18"/>
              </w:rPr>
            </w:pPr>
            <w:r>
              <w:rPr>
                <w:szCs w:val="18"/>
              </w:rPr>
              <w:t>Provides different groups in the community with information about the impacts of substance use and, in the case of parents, resources to inform their children about substance use issues.</w:t>
            </w:r>
          </w:p>
        </w:tc>
      </w:tr>
      <w:tr w:rsidR="002B30D8" w14:paraId="14D97FB9" w14:textId="77777777" w:rsidTr="002B30D8">
        <w:trPr>
          <w:cantSplit/>
        </w:trPr>
        <w:tc>
          <w:tcPr>
            <w:tcW w:w="1980" w:type="dxa"/>
            <w:tcBorders>
              <w:top w:val="single" w:sz="4" w:space="0" w:color="auto"/>
              <w:left w:val="single" w:sz="4" w:space="0" w:color="auto"/>
              <w:bottom w:val="single" w:sz="4" w:space="0" w:color="auto"/>
              <w:right w:val="single" w:sz="4" w:space="0" w:color="auto"/>
            </w:tcBorders>
            <w:hideMark/>
          </w:tcPr>
          <w:p w14:paraId="2B4CD806" w14:textId="77777777" w:rsidR="002B30D8" w:rsidRDefault="002B30D8">
            <w:pPr>
              <w:pStyle w:val="Tabletext9pt"/>
              <w:rPr>
                <w:szCs w:val="18"/>
              </w:rPr>
            </w:pPr>
            <w:r>
              <w:rPr>
                <w:szCs w:val="18"/>
              </w:rPr>
              <w:t>34021</w:t>
            </w:r>
          </w:p>
        </w:tc>
        <w:tc>
          <w:tcPr>
            <w:tcW w:w="2977" w:type="dxa"/>
            <w:tcBorders>
              <w:top w:val="single" w:sz="4" w:space="0" w:color="auto"/>
              <w:left w:val="single" w:sz="4" w:space="0" w:color="auto"/>
              <w:bottom w:val="single" w:sz="4" w:space="0" w:color="auto"/>
              <w:right w:val="single" w:sz="4" w:space="0" w:color="auto"/>
            </w:tcBorders>
            <w:hideMark/>
          </w:tcPr>
          <w:p w14:paraId="3E08188D" w14:textId="0FB4EB1B" w:rsidR="002B30D8" w:rsidRDefault="002B30D8">
            <w:pPr>
              <w:pStyle w:val="Tabletext9pt"/>
              <w:rPr>
                <w:szCs w:val="18"/>
              </w:rPr>
            </w:pPr>
            <w:r>
              <w:rPr>
                <w:szCs w:val="18"/>
              </w:rPr>
              <w:t xml:space="preserve">Local </w:t>
            </w:r>
            <w:r w:rsidR="00DD3294">
              <w:rPr>
                <w:szCs w:val="18"/>
              </w:rPr>
              <w:t>i</w:t>
            </w:r>
            <w:r>
              <w:rPr>
                <w:szCs w:val="18"/>
              </w:rPr>
              <w:t>nitiatives</w:t>
            </w:r>
          </w:p>
        </w:tc>
        <w:tc>
          <w:tcPr>
            <w:tcW w:w="4342" w:type="dxa"/>
            <w:tcBorders>
              <w:top w:val="single" w:sz="4" w:space="0" w:color="auto"/>
              <w:left w:val="single" w:sz="4" w:space="0" w:color="auto"/>
              <w:bottom w:val="single" w:sz="4" w:space="0" w:color="auto"/>
              <w:right w:val="single" w:sz="4" w:space="0" w:color="auto"/>
            </w:tcBorders>
            <w:hideMark/>
          </w:tcPr>
          <w:p w14:paraId="57A29FCE" w14:textId="77777777" w:rsidR="002B30D8" w:rsidRDefault="002B30D8">
            <w:pPr>
              <w:pStyle w:val="Tabletext9pt"/>
              <w:rPr>
                <w:szCs w:val="18"/>
              </w:rPr>
            </w:pPr>
            <w:r>
              <w:t>Delivers programs, services, and projects to support local stakeholders, business, residents, and communities to reduce harms related to alcohol and other drug use or dependence</w:t>
            </w:r>
            <w:r>
              <w:rPr>
                <w:szCs w:val="18"/>
              </w:rPr>
              <w:t>.</w:t>
            </w:r>
          </w:p>
        </w:tc>
      </w:tr>
      <w:tr w:rsidR="002B30D8" w14:paraId="10B52FBC" w14:textId="77777777" w:rsidTr="002B30D8">
        <w:trPr>
          <w:cantSplit/>
        </w:trPr>
        <w:tc>
          <w:tcPr>
            <w:tcW w:w="1980" w:type="dxa"/>
            <w:tcBorders>
              <w:top w:val="single" w:sz="4" w:space="0" w:color="auto"/>
              <w:left w:val="single" w:sz="4" w:space="0" w:color="auto"/>
              <w:bottom w:val="single" w:sz="4" w:space="0" w:color="auto"/>
              <w:right w:val="single" w:sz="4" w:space="0" w:color="auto"/>
            </w:tcBorders>
            <w:hideMark/>
          </w:tcPr>
          <w:p w14:paraId="7705A688" w14:textId="77777777" w:rsidR="002B30D8" w:rsidRDefault="002B30D8">
            <w:pPr>
              <w:pStyle w:val="Tabletext9pt"/>
              <w:rPr>
                <w:szCs w:val="18"/>
              </w:rPr>
            </w:pPr>
            <w:r>
              <w:rPr>
                <w:szCs w:val="18"/>
              </w:rPr>
              <w:t>34070</w:t>
            </w:r>
          </w:p>
        </w:tc>
        <w:tc>
          <w:tcPr>
            <w:tcW w:w="2977" w:type="dxa"/>
            <w:tcBorders>
              <w:top w:val="single" w:sz="4" w:space="0" w:color="auto"/>
              <w:left w:val="single" w:sz="4" w:space="0" w:color="auto"/>
              <w:bottom w:val="single" w:sz="4" w:space="0" w:color="auto"/>
              <w:right w:val="single" w:sz="4" w:space="0" w:color="auto"/>
            </w:tcBorders>
            <w:hideMark/>
          </w:tcPr>
          <w:p w14:paraId="2ED2B6CE" w14:textId="77777777" w:rsidR="002B30D8" w:rsidRDefault="002B30D8">
            <w:pPr>
              <w:pStyle w:val="Tabletext9pt"/>
              <w:rPr>
                <w:szCs w:val="18"/>
              </w:rPr>
            </w:pPr>
            <w:r>
              <w:rPr>
                <w:szCs w:val="18"/>
              </w:rPr>
              <w:t>Needle and Syringe Program</w:t>
            </w:r>
          </w:p>
        </w:tc>
        <w:tc>
          <w:tcPr>
            <w:tcW w:w="4342" w:type="dxa"/>
            <w:tcBorders>
              <w:top w:val="single" w:sz="4" w:space="0" w:color="auto"/>
              <w:left w:val="single" w:sz="4" w:space="0" w:color="auto"/>
              <w:bottom w:val="single" w:sz="4" w:space="0" w:color="auto"/>
              <w:right w:val="single" w:sz="4" w:space="0" w:color="auto"/>
            </w:tcBorders>
            <w:hideMark/>
          </w:tcPr>
          <w:p w14:paraId="64BBB900" w14:textId="77777777" w:rsidR="002B30D8" w:rsidRDefault="002B30D8">
            <w:pPr>
              <w:pStyle w:val="Tabletext9pt"/>
              <w:rPr>
                <w:szCs w:val="18"/>
              </w:rPr>
            </w:pPr>
            <w:r>
              <w:rPr>
                <w:szCs w:val="18"/>
              </w:rPr>
              <w:t>Makes available sterile injecting equipment for injection drug users, promote safe disposal, promote safer injecting practices, and provide information, education, and referral.</w:t>
            </w:r>
          </w:p>
        </w:tc>
      </w:tr>
    </w:tbl>
    <w:p w14:paraId="0A83D062" w14:textId="7037C9C9" w:rsidR="000B27B9" w:rsidRDefault="00356328" w:rsidP="00352B64">
      <w:pPr>
        <w:pStyle w:val="Bodyaftertablefigure"/>
      </w:pPr>
      <w:r>
        <w:fldChar w:fldCharType="begin"/>
      </w:r>
      <w:r>
        <w:instrText xml:space="preserve"> REF _Ref146113609 \h </w:instrText>
      </w:r>
      <w:r>
        <w:fldChar w:fldCharType="separate"/>
      </w:r>
      <w:r>
        <w:t xml:space="preserve">Table </w:t>
      </w:r>
      <w:r>
        <w:rPr>
          <w:noProof/>
        </w:rPr>
        <w:t>1</w:t>
      </w:r>
      <w:r>
        <w:t>.</w:t>
      </w:r>
      <w:r>
        <w:rPr>
          <w:noProof/>
        </w:rPr>
        <w:t>31</w:t>
      </w:r>
      <w:r>
        <w:fldChar w:fldCharType="end"/>
      </w:r>
      <w:r>
        <w:t xml:space="preserve"> </w:t>
      </w:r>
      <w:r w:rsidR="000B27B9">
        <w:t xml:space="preserve">shows </w:t>
      </w:r>
      <w:r w:rsidR="000B27B9" w:rsidRPr="00E7554A">
        <w:t>outputs and activities</w:t>
      </w:r>
      <w:r w:rsidR="000B27B9">
        <w:t xml:space="preserve"> for</w:t>
      </w:r>
      <w:r w:rsidR="000B27B9" w:rsidRPr="00E7554A">
        <w:t xml:space="preserve"> drug treatment and rehabilitation</w:t>
      </w:r>
      <w:r w:rsidR="000B27B9">
        <w:t>.</w:t>
      </w:r>
      <w:r w:rsidR="000B27B9" w:rsidRPr="007120A8">
        <w:t xml:space="preserve"> </w:t>
      </w:r>
      <w:r w:rsidR="000B27B9">
        <w:t>Drug services a</w:t>
      </w:r>
      <w:r w:rsidR="000B27B9" w:rsidRPr="0088682D">
        <w:t xml:space="preserve">ssist the community and individuals to control and reduce the harmful effects of illicit and licit drugs, including alcohol, </w:t>
      </w:r>
      <w:r w:rsidR="000B27B9">
        <w:t>by providing</w:t>
      </w:r>
      <w:r w:rsidR="000B27B9" w:rsidRPr="0088682D">
        <w:t xml:space="preserve"> community-based services</w:t>
      </w:r>
      <w:r w:rsidR="000B27B9">
        <w:t>, non-residential and residential treatment services, education and training, and support services.</w:t>
      </w:r>
    </w:p>
    <w:p w14:paraId="23D27CA1" w14:textId="35A9FF65" w:rsidR="00333328" w:rsidRPr="003E2E75" w:rsidRDefault="00333328" w:rsidP="00333328">
      <w:pPr>
        <w:pStyle w:val="Tablecaption"/>
      </w:pPr>
      <w:bookmarkStart w:id="933" w:name="_Ref146113609"/>
      <w:bookmarkStart w:id="934" w:name="_Toc156568674"/>
      <w:r>
        <w:lastRenderedPageBreak/>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31</w:t>
      </w:r>
      <w:r>
        <w:fldChar w:fldCharType="end"/>
      </w:r>
      <w:r>
        <w:t>: D</w:t>
      </w:r>
      <w:r w:rsidRPr="00E7554A">
        <w:t>rug services – outputs and activities: drug treatment and rehabilitation</w:t>
      </w:r>
      <w:r>
        <w:t xml:space="preserve"> </w:t>
      </w:r>
      <w:r w:rsidRPr="00697369">
        <w:t>202</w:t>
      </w:r>
      <w:r>
        <w:t>3–</w:t>
      </w:r>
      <w:r w:rsidRPr="00697369">
        <w:t>2</w:t>
      </w:r>
      <w:r>
        <w:t>4</w:t>
      </w:r>
      <w:bookmarkEnd w:id="933"/>
      <w:bookmarkEnd w:id="934"/>
    </w:p>
    <w:tbl>
      <w:tblPr>
        <w:tblStyle w:val="TableGrid1"/>
        <w:tblW w:w="9299" w:type="dxa"/>
        <w:tblLook w:val="06A0" w:firstRow="1" w:lastRow="0" w:firstColumn="1" w:lastColumn="0" w:noHBand="1" w:noVBand="1"/>
      </w:tblPr>
      <w:tblGrid>
        <w:gridCol w:w="1980"/>
        <w:gridCol w:w="2977"/>
        <w:gridCol w:w="4342"/>
      </w:tblGrid>
      <w:tr w:rsidR="002B30D8" w14:paraId="4F6EF678" w14:textId="77777777" w:rsidTr="00685B35">
        <w:trPr>
          <w:cnfStyle w:val="100000000000" w:firstRow="1" w:lastRow="0" w:firstColumn="0" w:lastColumn="0" w:oddVBand="0" w:evenVBand="0" w:oddHBand="0" w:evenHBand="0" w:firstRowFirstColumn="0" w:firstRowLastColumn="0" w:lastRowFirstColumn="0" w:lastRowLastColumn="0"/>
          <w:cantSplit/>
          <w:tblHeader/>
        </w:trPr>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11B7D248" w14:textId="77777777" w:rsidR="002B30D8" w:rsidRPr="00685B35" w:rsidRDefault="002B30D8" w:rsidP="00685B35">
            <w:pPr>
              <w:pStyle w:val="Tablecolhead"/>
            </w:pPr>
            <w:bookmarkStart w:id="935" w:name="_Toc14194760"/>
            <w:bookmarkStart w:id="936" w:name="_Ref14204298"/>
            <w:bookmarkStart w:id="937" w:name="_Toc54261416"/>
            <w:bookmarkStart w:id="938" w:name="_Toc54616290"/>
            <w:bookmarkStart w:id="939" w:name="_Ref423017896"/>
            <w:bookmarkStart w:id="940" w:name="_Ref423017904"/>
            <w:bookmarkStart w:id="941" w:name="_Ref393440229"/>
            <w:bookmarkStart w:id="942" w:name="_Toc419623627"/>
            <w:bookmarkStart w:id="943" w:name="_Toc419623739"/>
            <w:bookmarkStart w:id="944" w:name="_Toc419644527"/>
            <w:bookmarkStart w:id="945" w:name="_Toc487742091"/>
            <w:bookmarkEnd w:id="929"/>
            <w:bookmarkEnd w:id="930"/>
            <w:bookmarkEnd w:id="931"/>
            <w:bookmarkEnd w:id="932"/>
            <w:r w:rsidRPr="00685B35">
              <w:rPr>
                <w:sz w:val="20"/>
              </w:rPr>
              <w:t>Activity no.</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540AD87D" w14:textId="77777777" w:rsidR="002B30D8" w:rsidRPr="00685B35" w:rsidRDefault="002B30D8" w:rsidP="00685B35">
            <w:pPr>
              <w:pStyle w:val="Tablecolhead"/>
            </w:pPr>
            <w:r w:rsidRPr="00685B35">
              <w:rPr>
                <w:sz w:val="20"/>
              </w:rPr>
              <w:t>Activity name</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3F20266D" w14:textId="77777777" w:rsidR="002B30D8" w:rsidRPr="00685B35" w:rsidRDefault="002B30D8" w:rsidP="00685B35">
            <w:pPr>
              <w:pStyle w:val="Tablecolhead"/>
            </w:pPr>
            <w:r w:rsidRPr="00685B35">
              <w:rPr>
                <w:sz w:val="20"/>
              </w:rPr>
              <w:t>Activity description</w:t>
            </w:r>
          </w:p>
        </w:tc>
      </w:tr>
      <w:tr w:rsidR="002B30D8" w14:paraId="1F7B09D2"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6EF22F62" w14:textId="77777777" w:rsidR="002B30D8" w:rsidRDefault="002B30D8">
            <w:pPr>
              <w:pStyle w:val="Tabletext9pt"/>
              <w:rPr>
                <w:szCs w:val="18"/>
              </w:rPr>
            </w:pPr>
            <w:r>
              <w:rPr>
                <w:szCs w:val="18"/>
              </w:rPr>
              <w:t>34022</w:t>
            </w:r>
          </w:p>
        </w:tc>
        <w:tc>
          <w:tcPr>
            <w:tcW w:w="2977" w:type="dxa"/>
            <w:tcBorders>
              <w:top w:val="single" w:sz="4" w:space="0" w:color="auto"/>
              <w:left w:val="single" w:sz="4" w:space="0" w:color="auto"/>
              <w:bottom w:val="single" w:sz="4" w:space="0" w:color="auto"/>
              <w:right w:val="single" w:sz="4" w:space="0" w:color="auto"/>
            </w:tcBorders>
            <w:hideMark/>
          </w:tcPr>
          <w:p w14:paraId="5C10C1FA" w14:textId="77459351" w:rsidR="002B30D8" w:rsidRDefault="002B30D8">
            <w:pPr>
              <w:pStyle w:val="Tabletext9pt"/>
              <w:rPr>
                <w:szCs w:val="18"/>
              </w:rPr>
            </w:pPr>
            <w:r>
              <w:rPr>
                <w:szCs w:val="18"/>
              </w:rPr>
              <w:t xml:space="preserve">Capacity </w:t>
            </w:r>
            <w:r w:rsidR="00DD3294">
              <w:rPr>
                <w:szCs w:val="18"/>
              </w:rPr>
              <w:t>b</w:t>
            </w:r>
            <w:r>
              <w:rPr>
                <w:szCs w:val="18"/>
              </w:rPr>
              <w:t>uilding</w:t>
            </w:r>
          </w:p>
        </w:tc>
        <w:tc>
          <w:tcPr>
            <w:tcW w:w="4342" w:type="dxa"/>
            <w:tcBorders>
              <w:top w:val="single" w:sz="4" w:space="0" w:color="auto"/>
              <w:left w:val="single" w:sz="4" w:space="0" w:color="auto"/>
              <w:bottom w:val="single" w:sz="4" w:space="0" w:color="auto"/>
              <w:right w:val="single" w:sz="4" w:space="0" w:color="auto"/>
            </w:tcBorders>
            <w:hideMark/>
          </w:tcPr>
          <w:p w14:paraId="09EE8BEF" w14:textId="77777777" w:rsidR="002B30D8" w:rsidRDefault="002B30D8">
            <w:pPr>
              <w:pStyle w:val="Tabletext9pt"/>
              <w:rPr>
                <w:szCs w:val="18"/>
              </w:rPr>
            </w:pPr>
            <w:r>
              <w:rPr>
                <w:szCs w:val="18"/>
              </w:rPr>
              <w:t xml:space="preserve">To improve the ability of organisations to identify and respond to AOD support needs of specific cohorts of clients and their families. </w:t>
            </w:r>
          </w:p>
        </w:tc>
      </w:tr>
      <w:tr w:rsidR="002B30D8" w14:paraId="5ADF2CAA"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4E348765" w14:textId="77777777" w:rsidR="002B30D8" w:rsidRDefault="002B30D8">
            <w:pPr>
              <w:pStyle w:val="Tabletext9pt"/>
              <w:rPr>
                <w:szCs w:val="18"/>
              </w:rPr>
            </w:pPr>
            <w:r>
              <w:rPr>
                <w:szCs w:val="18"/>
              </w:rPr>
              <w:t>34024</w:t>
            </w:r>
          </w:p>
        </w:tc>
        <w:tc>
          <w:tcPr>
            <w:tcW w:w="2977" w:type="dxa"/>
            <w:tcBorders>
              <w:top w:val="single" w:sz="4" w:space="0" w:color="auto"/>
              <w:left w:val="single" w:sz="4" w:space="0" w:color="auto"/>
              <w:bottom w:val="single" w:sz="4" w:space="0" w:color="auto"/>
              <w:right w:val="single" w:sz="4" w:space="0" w:color="auto"/>
            </w:tcBorders>
            <w:hideMark/>
          </w:tcPr>
          <w:p w14:paraId="503AF9D1" w14:textId="43318289" w:rsidR="002B30D8" w:rsidRDefault="002B30D8">
            <w:pPr>
              <w:pStyle w:val="Tabletext9pt"/>
              <w:rPr>
                <w:szCs w:val="18"/>
              </w:rPr>
            </w:pPr>
            <w:r>
              <w:rPr>
                <w:szCs w:val="18"/>
              </w:rPr>
              <w:t xml:space="preserve">Education and </w:t>
            </w:r>
            <w:r w:rsidR="00DD3294">
              <w:rPr>
                <w:szCs w:val="18"/>
              </w:rPr>
              <w:t>tr</w:t>
            </w:r>
            <w:r>
              <w:rPr>
                <w:szCs w:val="18"/>
              </w:rPr>
              <w:t>aining</w:t>
            </w:r>
          </w:p>
        </w:tc>
        <w:tc>
          <w:tcPr>
            <w:tcW w:w="4342" w:type="dxa"/>
            <w:tcBorders>
              <w:top w:val="single" w:sz="4" w:space="0" w:color="auto"/>
              <w:left w:val="single" w:sz="4" w:space="0" w:color="auto"/>
              <w:bottom w:val="single" w:sz="4" w:space="0" w:color="auto"/>
              <w:right w:val="single" w:sz="4" w:space="0" w:color="auto"/>
            </w:tcBorders>
            <w:hideMark/>
          </w:tcPr>
          <w:p w14:paraId="018EB5C0" w14:textId="77777777" w:rsidR="002B30D8" w:rsidRDefault="002B30D8" w:rsidP="00081936">
            <w:pPr>
              <w:pStyle w:val="Tabletext9pt"/>
              <w:numPr>
                <w:ilvl w:val="0"/>
                <w:numId w:val="29"/>
              </w:numPr>
            </w:pPr>
            <w:r>
              <w:t>To provide information, training, consultancy, curriculum, and training needs analysis for workers, including peer workers, in dealing with clients with alcohol and drug problems, and education to alcohol and drug treatment clients.</w:t>
            </w:r>
          </w:p>
        </w:tc>
      </w:tr>
      <w:tr w:rsidR="002B30D8" w14:paraId="5385B369"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3EC14C27" w14:textId="77777777" w:rsidR="002B30D8" w:rsidRDefault="002B30D8">
            <w:pPr>
              <w:pStyle w:val="Tabletext9pt"/>
              <w:rPr>
                <w:szCs w:val="18"/>
              </w:rPr>
            </w:pPr>
            <w:r>
              <w:rPr>
                <w:szCs w:val="18"/>
              </w:rPr>
              <w:t>34025</w:t>
            </w:r>
          </w:p>
        </w:tc>
        <w:tc>
          <w:tcPr>
            <w:tcW w:w="2977" w:type="dxa"/>
            <w:tcBorders>
              <w:top w:val="single" w:sz="4" w:space="0" w:color="auto"/>
              <w:left w:val="single" w:sz="4" w:space="0" w:color="auto"/>
              <w:bottom w:val="single" w:sz="4" w:space="0" w:color="auto"/>
              <w:right w:val="single" w:sz="4" w:space="0" w:color="auto"/>
            </w:tcBorders>
            <w:hideMark/>
          </w:tcPr>
          <w:p w14:paraId="189343AB" w14:textId="3E497B01" w:rsidR="002B30D8" w:rsidRDefault="002B30D8">
            <w:pPr>
              <w:pStyle w:val="Tabletext9pt"/>
              <w:rPr>
                <w:szCs w:val="18"/>
              </w:rPr>
            </w:pPr>
            <w:r>
              <w:rPr>
                <w:szCs w:val="18"/>
              </w:rPr>
              <w:t xml:space="preserve">Research, </w:t>
            </w:r>
            <w:r w:rsidR="00DD3294">
              <w:rPr>
                <w:szCs w:val="18"/>
              </w:rPr>
              <w:t>service development, evaluation</w:t>
            </w:r>
          </w:p>
        </w:tc>
        <w:tc>
          <w:tcPr>
            <w:tcW w:w="4342" w:type="dxa"/>
            <w:tcBorders>
              <w:top w:val="single" w:sz="4" w:space="0" w:color="auto"/>
              <w:left w:val="single" w:sz="4" w:space="0" w:color="auto"/>
              <w:bottom w:val="single" w:sz="4" w:space="0" w:color="auto"/>
              <w:right w:val="single" w:sz="4" w:space="0" w:color="auto"/>
            </w:tcBorders>
            <w:hideMark/>
          </w:tcPr>
          <w:p w14:paraId="6497C63E" w14:textId="77777777" w:rsidR="002B30D8" w:rsidRDefault="002B30D8" w:rsidP="00081936">
            <w:pPr>
              <w:pStyle w:val="Tabletext9pt"/>
              <w:numPr>
                <w:ilvl w:val="0"/>
                <w:numId w:val="29"/>
              </w:numPr>
            </w:pPr>
            <w:r>
              <w:t>To develop and enhance high-quality public health research into AOD issues, including targeted and general population surveys, risk and protective factors and effects of AOD use and evaluation of services.</w:t>
            </w:r>
          </w:p>
          <w:p w14:paraId="2D9D3189" w14:textId="77777777" w:rsidR="002B30D8" w:rsidRDefault="002B30D8" w:rsidP="00081936">
            <w:pPr>
              <w:pStyle w:val="Tabletext9pt"/>
              <w:numPr>
                <w:ilvl w:val="0"/>
                <w:numId w:val="29"/>
              </w:numPr>
            </w:pPr>
            <w:r>
              <w:t>This activity supports the delivery of a range of initiatives to equip the specialist AOD sector to prevent the harmful uptake of AOD use, intervene earlier, deliver effective treatments and other holistic health interventions, and better understand the impact of AOD use across the community.</w:t>
            </w:r>
          </w:p>
          <w:p w14:paraId="028215A9" w14:textId="77777777" w:rsidR="002B30D8" w:rsidRDefault="002B30D8">
            <w:pPr>
              <w:pStyle w:val="Tabletext9pt"/>
              <w:rPr>
                <w:szCs w:val="18"/>
              </w:rPr>
            </w:pPr>
            <w:r>
              <w:rPr>
                <w:szCs w:val="18"/>
              </w:rPr>
              <w:t>This enables the application of research findings, which inform policy, planning and practice.</w:t>
            </w:r>
          </w:p>
        </w:tc>
      </w:tr>
      <w:tr w:rsidR="002B30D8" w14:paraId="258FA004"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4B4093C5" w14:textId="77777777" w:rsidR="002B30D8" w:rsidRDefault="002B30D8">
            <w:pPr>
              <w:pStyle w:val="Tabletext9pt"/>
              <w:rPr>
                <w:szCs w:val="18"/>
              </w:rPr>
            </w:pPr>
            <w:r>
              <w:rPr>
                <w:szCs w:val="18"/>
              </w:rPr>
              <w:t>34040</w:t>
            </w:r>
          </w:p>
        </w:tc>
        <w:tc>
          <w:tcPr>
            <w:tcW w:w="2977" w:type="dxa"/>
            <w:tcBorders>
              <w:top w:val="single" w:sz="4" w:space="0" w:color="auto"/>
              <w:left w:val="single" w:sz="4" w:space="0" w:color="auto"/>
              <w:bottom w:val="single" w:sz="4" w:space="0" w:color="auto"/>
              <w:right w:val="single" w:sz="4" w:space="0" w:color="auto"/>
            </w:tcBorders>
            <w:hideMark/>
          </w:tcPr>
          <w:p w14:paraId="0771C822" w14:textId="77777777" w:rsidR="002B30D8" w:rsidRDefault="002B30D8">
            <w:pPr>
              <w:pStyle w:val="Tabletext9pt"/>
              <w:rPr>
                <w:szCs w:val="18"/>
              </w:rPr>
            </w:pPr>
            <w:r>
              <w:rPr>
                <w:szCs w:val="18"/>
              </w:rPr>
              <w:t>Education (FOCiS)</w:t>
            </w:r>
          </w:p>
        </w:tc>
        <w:tc>
          <w:tcPr>
            <w:tcW w:w="4342" w:type="dxa"/>
            <w:tcBorders>
              <w:top w:val="single" w:sz="4" w:space="0" w:color="auto"/>
              <w:left w:val="single" w:sz="4" w:space="0" w:color="auto"/>
              <w:bottom w:val="single" w:sz="4" w:space="0" w:color="auto"/>
              <w:right w:val="single" w:sz="4" w:space="0" w:color="auto"/>
            </w:tcBorders>
            <w:hideMark/>
          </w:tcPr>
          <w:p w14:paraId="3317727B" w14:textId="77777777" w:rsidR="002B30D8" w:rsidRDefault="002B30D8">
            <w:pPr>
              <w:pStyle w:val="Tabletext9pt"/>
              <w:rPr>
                <w:szCs w:val="18"/>
              </w:rPr>
            </w:pPr>
            <w:r>
              <w:rPr>
                <w:szCs w:val="18"/>
              </w:rPr>
              <w:t>To provide a drug education program for people requiring it as a condition of their sentence for possessing a small amount of illicit drugs. The aim is to increase the likelihood of the individual maintaining behaviour that reduces drug-related harm.</w:t>
            </w:r>
          </w:p>
        </w:tc>
      </w:tr>
      <w:tr w:rsidR="002B30D8" w14:paraId="5A092BF4"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11FA904C" w14:textId="77777777" w:rsidR="002B30D8" w:rsidRDefault="002B30D8">
            <w:pPr>
              <w:pStyle w:val="Tabletext9pt"/>
              <w:rPr>
                <w:szCs w:val="18"/>
              </w:rPr>
            </w:pPr>
            <w:r>
              <w:rPr>
                <w:szCs w:val="18"/>
              </w:rPr>
              <w:t>34041</w:t>
            </w:r>
          </w:p>
        </w:tc>
        <w:tc>
          <w:tcPr>
            <w:tcW w:w="2977" w:type="dxa"/>
            <w:tcBorders>
              <w:top w:val="single" w:sz="4" w:space="0" w:color="auto"/>
              <w:left w:val="single" w:sz="4" w:space="0" w:color="auto"/>
              <w:bottom w:val="single" w:sz="4" w:space="0" w:color="auto"/>
              <w:right w:val="single" w:sz="4" w:space="0" w:color="auto"/>
            </w:tcBorders>
            <w:hideMark/>
          </w:tcPr>
          <w:p w14:paraId="547E7B17" w14:textId="77777777" w:rsidR="002B30D8" w:rsidRDefault="002B30D8">
            <w:pPr>
              <w:pStyle w:val="Tabletext9pt"/>
              <w:rPr>
                <w:szCs w:val="18"/>
              </w:rPr>
            </w:pPr>
            <w:r>
              <w:rPr>
                <w:szCs w:val="18"/>
              </w:rPr>
              <w:t>Youth Day Program</w:t>
            </w:r>
          </w:p>
        </w:tc>
        <w:tc>
          <w:tcPr>
            <w:tcW w:w="4342" w:type="dxa"/>
            <w:tcBorders>
              <w:top w:val="single" w:sz="4" w:space="0" w:color="auto"/>
              <w:left w:val="single" w:sz="4" w:space="0" w:color="auto"/>
              <w:bottom w:val="single" w:sz="4" w:space="0" w:color="auto"/>
              <w:right w:val="single" w:sz="4" w:space="0" w:color="auto"/>
            </w:tcBorders>
            <w:hideMark/>
          </w:tcPr>
          <w:p w14:paraId="13450623" w14:textId="77777777" w:rsidR="002B30D8" w:rsidRDefault="002B30D8">
            <w:pPr>
              <w:pStyle w:val="Tabletext9pt"/>
              <w:rPr>
                <w:szCs w:val="18"/>
              </w:rPr>
            </w:pPr>
            <w:r>
              <w:rPr>
                <w:szCs w:val="18"/>
              </w:rPr>
              <w:t>To support young people who are currently involved in treatment with youth AOD treatment services and to complement these services to provide a pathway for the client following treatment.</w:t>
            </w:r>
          </w:p>
        </w:tc>
      </w:tr>
      <w:tr w:rsidR="002B30D8" w14:paraId="07BBFD5B"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2CE8152C" w14:textId="77777777" w:rsidR="002B30D8" w:rsidRDefault="002B30D8">
            <w:pPr>
              <w:pStyle w:val="Tabletext9pt"/>
              <w:rPr>
                <w:szCs w:val="18"/>
              </w:rPr>
            </w:pPr>
            <w:r>
              <w:rPr>
                <w:szCs w:val="18"/>
              </w:rPr>
              <w:t>34042</w:t>
            </w:r>
          </w:p>
        </w:tc>
        <w:tc>
          <w:tcPr>
            <w:tcW w:w="2977" w:type="dxa"/>
            <w:tcBorders>
              <w:top w:val="single" w:sz="4" w:space="0" w:color="auto"/>
              <w:left w:val="single" w:sz="4" w:space="0" w:color="auto"/>
              <w:bottom w:val="single" w:sz="4" w:space="0" w:color="auto"/>
              <w:right w:val="single" w:sz="4" w:space="0" w:color="auto"/>
            </w:tcBorders>
            <w:hideMark/>
          </w:tcPr>
          <w:p w14:paraId="5E80F12E" w14:textId="53ABA9C9" w:rsidR="002B30D8" w:rsidRDefault="002B30D8">
            <w:pPr>
              <w:pStyle w:val="Tabletext9pt"/>
            </w:pPr>
            <w:r>
              <w:t>Community Offenders Advice and Treatment</w:t>
            </w:r>
            <w:r w:rsidR="2B64393F">
              <w:t xml:space="preserve"> Service</w:t>
            </w:r>
          </w:p>
        </w:tc>
        <w:tc>
          <w:tcPr>
            <w:tcW w:w="4342" w:type="dxa"/>
            <w:tcBorders>
              <w:top w:val="single" w:sz="4" w:space="0" w:color="auto"/>
              <w:left w:val="single" w:sz="4" w:space="0" w:color="auto"/>
              <w:bottom w:val="single" w:sz="4" w:space="0" w:color="auto"/>
              <w:right w:val="single" w:sz="4" w:space="0" w:color="auto"/>
            </w:tcBorders>
            <w:hideMark/>
          </w:tcPr>
          <w:p w14:paraId="13B15465" w14:textId="77777777" w:rsidR="002B30D8" w:rsidRDefault="002B30D8">
            <w:pPr>
              <w:pStyle w:val="Tabletext9pt"/>
              <w:rPr>
                <w:szCs w:val="18"/>
              </w:rPr>
            </w:pPr>
            <w:r>
              <w:rPr>
                <w:szCs w:val="18"/>
              </w:rPr>
              <w:t>To provide post-sentence assessments and treatment plans for offenders who have received a community-based disposition from the courts.</w:t>
            </w:r>
          </w:p>
          <w:p w14:paraId="14FF62A3" w14:textId="77777777" w:rsidR="002B30D8" w:rsidRDefault="002B30D8">
            <w:pPr>
              <w:pStyle w:val="Tabletext9pt"/>
              <w:rPr>
                <w:szCs w:val="18"/>
              </w:rPr>
            </w:pPr>
            <w:r>
              <w:rPr>
                <w:szCs w:val="18"/>
              </w:rPr>
              <w:t>To provide pre-sentence assessments (in exceptional circumstances) as ordered by the court and treatment plans for offenders whose offending is related to drug use.</w:t>
            </w:r>
          </w:p>
          <w:p w14:paraId="2477C6AE" w14:textId="77777777" w:rsidR="002B30D8" w:rsidRDefault="002B30D8">
            <w:pPr>
              <w:pStyle w:val="Tabletext9pt"/>
              <w:rPr>
                <w:szCs w:val="18"/>
              </w:rPr>
            </w:pPr>
            <w:r>
              <w:rPr>
                <w:szCs w:val="18"/>
              </w:rPr>
              <w:t>To provide pre-release assessment and treatment plans on release for prisoners on parole with an AOD treatment condition and offenders who have received a custody and community treatment order.</w:t>
            </w:r>
          </w:p>
          <w:p w14:paraId="220DD548" w14:textId="77777777" w:rsidR="002B30D8" w:rsidRDefault="002B30D8">
            <w:pPr>
              <w:pStyle w:val="Tabletext9pt"/>
              <w:rPr>
                <w:szCs w:val="18"/>
              </w:rPr>
            </w:pPr>
            <w:r>
              <w:rPr>
                <w:szCs w:val="18"/>
              </w:rPr>
              <w:t>To purchase appropriate treatment from AOD agencies for offenders who have received a community-based disposition with an AOD treatment condition.</w:t>
            </w:r>
          </w:p>
        </w:tc>
      </w:tr>
      <w:tr w:rsidR="002B30D8" w14:paraId="7A212C64"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51F34980" w14:textId="77777777" w:rsidR="002B30D8" w:rsidRDefault="002B30D8">
            <w:pPr>
              <w:pStyle w:val="Tabletext9pt"/>
              <w:rPr>
                <w:szCs w:val="18"/>
              </w:rPr>
            </w:pPr>
            <w:r>
              <w:rPr>
                <w:szCs w:val="18"/>
              </w:rPr>
              <w:t>34044</w:t>
            </w:r>
          </w:p>
        </w:tc>
        <w:tc>
          <w:tcPr>
            <w:tcW w:w="2977" w:type="dxa"/>
            <w:tcBorders>
              <w:top w:val="single" w:sz="4" w:space="0" w:color="auto"/>
              <w:left w:val="single" w:sz="4" w:space="0" w:color="auto"/>
              <w:bottom w:val="single" w:sz="4" w:space="0" w:color="auto"/>
              <w:right w:val="single" w:sz="4" w:space="0" w:color="auto"/>
            </w:tcBorders>
            <w:hideMark/>
          </w:tcPr>
          <w:p w14:paraId="7D578B3D" w14:textId="3BEC1E3B" w:rsidR="002B30D8" w:rsidRDefault="002B30D8">
            <w:pPr>
              <w:pStyle w:val="Tabletext9pt"/>
              <w:rPr>
                <w:szCs w:val="18"/>
              </w:rPr>
            </w:pPr>
            <w:r>
              <w:rPr>
                <w:szCs w:val="18"/>
              </w:rPr>
              <w:t xml:space="preserve">Ante and </w:t>
            </w:r>
            <w:r w:rsidR="00DD3294">
              <w:rPr>
                <w:szCs w:val="18"/>
              </w:rPr>
              <w:t>post natal support</w:t>
            </w:r>
          </w:p>
        </w:tc>
        <w:tc>
          <w:tcPr>
            <w:tcW w:w="4342" w:type="dxa"/>
            <w:tcBorders>
              <w:top w:val="single" w:sz="4" w:space="0" w:color="auto"/>
              <w:left w:val="single" w:sz="4" w:space="0" w:color="auto"/>
              <w:bottom w:val="single" w:sz="4" w:space="0" w:color="auto"/>
              <w:right w:val="single" w:sz="4" w:space="0" w:color="auto"/>
            </w:tcBorders>
            <w:hideMark/>
          </w:tcPr>
          <w:p w14:paraId="228597E7" w14:textId="77777777" w:rsidR="002B30D8" w:rsidRDefault="002B30D8">
            <w:pPr>
              <w:pStyle w:val="Tabletext9pt"/>
              <w:rPr>
                <w:szCs w:val="18"/>
              </w:rPr>
            </w:pPr>
            <w:r>
              <w:rPr>
                <w:szCs w:val="18"/>
              </w:rPr>
              <w:t>To provide inpatient, outpatient, distance case management and secondary consultation activities to minimise the harms of AOD use to mothers and their children.</w:t>
            </w:r>
          </w:p>
        </w:tc>
      </w:tr>
      <w:tr w:rsidR="002B30D8" w14:paraId="41F303F0"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65B0F05C" w14:textId="77777777" w:rsidR="002B30D8" w:rsidRDefault="002B30D8">
            <w:pPr>
              <w:pStyle w:val="Tabletext9pt"/>
              <w:rPr>
                <w:szCs w:val="18"/>
              </w:rPr>
            </w:pPr>
            <w:r>
              <w:rPr>
                <w:szCs w:val="18"/>
              </w:rPr>
              <w:t>34046</w:t>
            </w:r>
          </w:p>
        </w:tc>
        <w:tc>
          <w:tcPr>
            <w:tcW w:w="2977" w:type="dxa"/>
            <w:tcBorders>
              <w:top w:val="single" w:sz="4" w:space="0" w:color="auto"/>
              <w:left w:val="single" w:sz="4" w:space="0" w:color="auto"/>
              <w:bottom w:val="single" w:sz="4" w:space="0" w:color="auto"/>
              <w:right w:val="single" w:sz="4" w:space="0" w:color="auto"/>
            </w:tcBorders>
            <w:hideMark/>
          </w:tcPr>
          <w:p w14:paraId="5001F953" w14:textId="421F15AC" w:rsidR="002B30D8" w:rsidRDefault="002B30D8">
            <w:pPr>
              <w:pStyle w:val="Tabletext9pt"/>
              <w:rPr>
                <w:szCs w:val="18"/>
              </w:rPr>
            </w:pPr>
            <w:r>
              <w:rPr>
                <w:szCs w:val="18"/>
              </w:rPr>
              <w:t xml:space="preserve">Youth </w:t>
            </w:r>
            <w:r w:rsidR="00DD3294">
              <w:rPr>
                <w:szCs w:val="18"/>
              </w:rPr>
              <w:t>alcohol and drug supported accommodation</w:t>
            </w:r>
          </w:p>
        </w:tc>
        <w:tc>
          <w:tcPr>
            <w:tcW w:w="4342" w:type="dxa"/>
            <w:tcBorders>
              <w:top w:val="single" w:sz="4" w:space="0" w:color="auto"/>
              <w:left w:val="single" w:sz="4" w:space="0" w:color="auto"/>
              <w:bottom w:val="single" w:sz="4" w:space="0" w:color="auto"/>
              <w:right w:val="single" w:sz="4" w:space="0" w:color="auto"/>
            </w:tcBorders>
            <w:hideMark/>
          </w:tcPr>
          <w:p w14:paraId="76C6C150" w14:textId="77777777" w:rsidR="002B30D8" w:rsidRDefault="002B30D8">
            <w:pPr>
              <w:pStyle w:val="Tabletext9pt"/>
              <w:rPr>
                <w:szCs w:val="18"/>
              </w:rPr>
            </w:pPr>
            <w:r>
              <w:rPr>
                <w:szCs w:val="18"/>
              </w:rPr>
              <w:t>To provide short-term accommodation support to those who require assistance in controlling their AOD use.</w:t>
            </w:r>
          </w:p>
        </w:tc>
      </w:tr>
      <w:tr w:rsidR="002B30D8" w14:paraId="5DEFB874"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22EADAFE" w14:textId="77777777" w:rsidR="002B30D8" w:rsidRDefault="002B30D8">
            <w:pPr>
              <w:pStyle w:val="Tabletext9pt"/>
              <w:rPr>
                <w:szCs w:val="18"/>
              </w:rPr>
            </w:pPr>
            <w:r>
              <w:rPr>
                <w:szCs w:val="18"/>
              </w:rPr>
              <w:lastRenderedPageBreak/>
              <w:t>34047</w:t>
            </w:r>
          </w:p>
        </w:tc>
        <w:tc>
          <w:tcPr>
            <w:tcW w:w="2977" w:type="dxa"/>
            <w:tcBorders>
              <w:top w:val="single" w:sz="4" w:space="0" w:color="auto"/>
              <w:left w:val="single" w:sz="4" w:space="0" w:color="auto"/>
              <w:bottom w:val="single" w:sz="4" w:space="0" w:color="auto"/>
              <w:right w:val="single" w:sz="4" w:space="0" w:color="auto"/>
            </w:tcBorders>
            <w:hideMark/>
          </w:tcPr>
          <w:p w14:paraId="26DFFCB8" w14:textId="77777777" w:rsidR="002B30D8" w:rsidRDefault="002B30D8">
            <w:pPr>
              <w:pStyle w:val="Tabletext9pt"/>
              <w:rPr>
                <w:szCs w:val="18"/>
              </w:rPr>
            </w:pPr>
            <w:r>
              <w:rPr>
                <w:szCs w:val="18"/>
              </w:rPr>
              <w:t>Specialist Pharmacotherapy Program</w:t>
            </w:r>
          </w:p>
        </w:tc>
        <w:tc>
          <w:tcPr>
            <w:tcW w:w="4342" w:type="dxa"/>
            <w:tcBorders>
              <w:top w:val="single" w:sz="4" w:space="0" w:color="auto"/>
              <w:left w:val="single" w:sz="4" w:space="0" w:color="auto"/>
              <w:bottom w:val="single" w:sz="4" w:space="0" w:color="auto"/>
              <w:right w:val="single" w:sz="4" w:space="0" w:color="auto"/>
            </w:tcBorders>
            <w:hideMark/>
          </w:tcPr>
          <w:p w14:paraId="79EEEC64" w14:textId="77777777" w:rsidR="002B30D8" w:rsidRDefault="002B30D8">
            <w:pPr>
              <w:pStyle w:val="Tabletext9pt"/>
              <w:rPr>
                <w:szCs w:val="18"/>
              </w:rPr>
            </w:pPr>
            <w:r>
              <w:rPr>
                <w:szCs w:val="18"/>
              </w:rPr>
              <w:t>To provide specialist assessment, treatment and stabilisation for people receiving methadone who have complex medical, psychiatric, or psychosocial problems and to provide training and consultancy services for relevant health practitioners.</w:t>
            </w:r>
          </w:p>
        </w:tc>
      </w:tr>
      <w:tr w:rsidR="002B30D8" w14:paraId="594076D7"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50842B5B" w14:textId="77777777" w:rsidR="002B30D8" w:rsidRDefault="002B30D8">
            <w:pPr>
              <w:pStyle w:val="Tabletext9pt"/>
              <w:rPr>
                <w:szCs w:val="18"/>
              </w:rPr>
            </w:pPr>
            <w:r>
              <w:rPr>
                <w:szCs w:val="18"/>
              </w:rPr>
              <w:t>34048</w:t>
            </w:r>
          </w:p>
        </w:tc>
        <w:tc>
          <w:tcPr>
            <w:tcW w:w="2977" w:type="dxa"/>
            <w:tcBorders>
              <w:top w:val="single" w:sz="4" w:space="0" w:color="auto"/>
              <w:left w:val="single" w:sz="4" w:space="0" w:color="auto"/>
              <w:bottom w:val="single" w:sz="4" w:space="0" w:color="auto"/>
              <w:right w:val="single" w:sz="4" w:space="0" w:color="auto"/>
            </w:tcBorders>
            <w:hideMark/>
          </w:tcPr>
          <w:p w14:paraId="79802D81" w14:textId="5D69A233" w:rsidR="002B30D8" w:rsidRDefault="002B30D8">
            <w:pPr>
              <w:pStyle w:val="Tabletext9pt"/>
              <w:rPr>
                <w:szCs w:val="18"/>
              </w:rPr>
            </w:pPr>
            <w:r>
              <w:rPr>
                <w:szCs w:val="18"/>
              </w:rPr>
              <w:t xml:space="preserve">Outdoor </w:t>
            </w:r>
            <w:r w:rsidR="00DD3294">
              <w:rPr>
                <w:szCs w:val="18"/>
              </w:rPr>
              <w:t>t</w:t>
            </w:r>
            <w:r>
              <w:rPr>
                <w:szCs w:val="18"/>
              </w:rPr>
              <w:t>herapy</w:t>
            </w:r>
          </w:p>
        </w:tc>
        <w:tc>
          <w:tcPr>
            <w:tcW w:w="4342" w:type="dxa"/>
            <w:tcBorders>
              <w:top w:val="single" w:sz="4" w:space="0" w:color="auto"/>
              <w:left w:val="single" w:sz="4" w:space="0" w:color="auto"/>
              <w:bottom w:val="single" w:sz="4" w:space="0" w:color="auto"/>
              <w:right w:val="single" w:sz="4" w:space="0" w:color="auto"/>
            </w:tcBorders>
            <w:hideMark/>
          </w:tcPr>
          <w:p w14:paraId="455E99D6" w14:textId="77777777" w:rsidR="002B30D8" w:rsidRDefault="002B30D8">
            <w:pPr>
              <w:pStyle w:val="Tabletext9pt"/>
              <w:rPr>
                <w:szCs w:val="18"/>
              </w:rPr>
            </w:pPr>
            <w:r>
              <w:rPr>
                <w:szCs w:val="18"/>
              </w:rPr>
              <w:t>To coordinate case-managed, therapeutic wilderness adventures for young people aged 12–21 years who have AOD issues and to facilitate wilderness adventure skills in the AOD sector.</w:t>
            </w:r>
          </w:p>
        </w:tc>
      </w:tr>
      <w:tr w:rsidR="002B30D8" w14:paraId="692BDD5F"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191BF69E" w14:textId="77777777" w:rsidR="002B30D8" w:rsidRDefault="002B30D8">
            <w:pPr>
              <w:pStyle w:val="Tabletext9pt"/>
              <w:rPr>
                <w:szCs w:val="18"/>
              </w:rPr>
            </w:pPr>
            <w:r>
              <w:rPr>
                <w:szCs w:val="18"/>
              </w:rPr>
              <w:t>34049</w:t>
            </w:r>
          </w:p>
        </w:tc>
        <w:tc>
          <w:tcPr>
            <w:tcW w:w="2977" w:type="dxa"/>
            <w:tcBorders>
              <w:top w:val="single" w:sz="4" w:space="0" w:color="auto"/>
              <w:left w:val="single" w:sz="4" w:space="0" w:color="auto"/>
              <w:bottom w:val="single" w:sz="4" w:space="0" w:color="auto"/>
              <w:right w:val="single" w:sz="4" w:space="0" w:color="auto"/>
            </w:tcBorders>
            <w:hideMark/>
          </w:tcPr>
          <w:p w14:paraId="60D0BD13" w14:textId="3C170C71" w:rsidR="002B30D8" w:rsidRDefault="002B30D8">
            <w:pPr>
              <w:pStyle w:val="Tabletext9pt"/>
              <w:rPr>
                <w:szCs w:val="18"/>
              </w:rPr>
            </w:pPr>
            <w:r>
              <w:rPr>
                <w:szCs w:val="18"/>
              </w:rPr>
              <w:t xml:space="preserve">Koori </w:t>
            </w:r>
            <w:r w:rsidR="00DD3294">
              <w:rPr>
                <w:szCs w:val="18"/>
              </w:rPr>
              <w:t>community alcohol and drug worker</w:t>
            </w:r>
          </w:p>
        </w:tc>
        <w:tc>
          <w:tcPr>
            <w:tcW w:w="4342" w:type="dxa"/>
            <w:tcBorders>
              <w:top w:val="single" w:sz="4" w:space="0" w:color="auto"/>
              <w:left w:val="single" w:sz="4" w:space="0" w:color="auto"/>
              <w:bottom w:val="single" w:sz="4" w:space="0" w:color="auto"/>
              <w:right w:val="single" w:sz="4" w:space="0" w:color="auto"/>
            </w:tcBorders>
            <w:hideMark/>
          </w:tcPr>
          <w:p w14:paraId="42F26C27" w14:textId="77777777" w:rsidR="002B30D8" w:rsidRDefault="002B30D8">
            <w:pPr>
              <w:pStyle w:val="Tabletext9pt"/>
              <w:rPr>
                <w:szCs w:val="18"/>
              </w:rPr>
            </w:pPr>
            <w:r>
              <w:rPr>
                <w:szCs w:val="18"/>
              </w:rPr>
              <w:t>Aboriginal AOD diversion workers operate in mainstream AOD services located near Koori courts. Their role is to provide a link between the Koori court, the Aboriginal community and the AOD treatment service system, and to provide a service tailored to the needs of offenders appearing before the Koori court.</w:t>
            </w:r>
          </w:p>
        </w:tc>
      </w:tr>
      <w:tr w:rsidR="002B30D8" w14:paraId="5BB9A86A"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52D8711C" w14:textId="77777777" w:rsidR="002B30D8" w:rsidRDefault="002B30D8">
            <w:pPr>
              <w:pStyle w:val="Tabletext9pt"/>
              <w:rPr>
                <w:szCs w:val="18"/>
              </w:rPr>
            </w:pPr>
            <w:r>
              <w:rPr>
                <w:szCs w:val="18"/>
              </w:rPr>
              <w:t>34050</w:t>
            </w:r>
          </w:p>
        </w:tc>
        <w:tc>
          <w:tcPr>
            <w:tcW w:w="2977" w:type="dxa"/>
            <w:tcBorders>
              <w:top w:val="single" w:sz="4" w:space="0" w:color="auto"/>
              <w:left w:val="single" w:sz="4" w:space="0" w:color="auto"/>
              <w:bottom w:val="single" w:sz="4" w:space="0" w:color="auto"/>
              <w:right w:val="single" w:sz="4" w:space="0" w:color="auto"/>
            </w:tcBorders>
            <w:hideMark/>
          </w:tcPr>
          <w:p w14:paraId="547812B7" w14:textId="5B54FBF9" w:rsidR="002B30D8" w:rsidRDefault="002B30D8">
            <w:pPr>
              <w:pStyle w:val="Tabletext9pt"/>
              <w:rPr>
                <w:szCs w:val="18"/>
              </w:rPr>
            </w:pPr>
            <w:r>
              <w:rPr>
                <w:szCs w:val="18"/>
              </w:rPr>
              <w:t xml:space="preserve">Adult </w:t>
            </w:r>
            <w:r w:rsidR="00DD3294">
              <w:rPr>
                <w:szCs w:val="18"/>
              </w:rPr>
              <w:t>residential drug withdrawa</w:t>
            </w:r>
            <w:r>
              <w:rPr>
                <w:szCs w:val="18"/>
              </w:rPr>
              <w:t>l</w:t>
            </w:r>
          </w:p>
        </w:tc>
        <w:tc>
          <w:tcPr>
            <w:tcW w:w="4342" w:type="dxa"/>
            <w:tcBorders>
              <w:top w:val="single" w:sz="4" w:space="0" w:color="auto"/>
              <w:left w:val="single" w:sz="4" w:space="0" w:color="auto"/>
              <w:bottom w:val="single" w:sz="4" w:space="0" w:color="auto"/>
              <w:right w:val="single" w:sz="4" w:space="0" w:color="auto"/>
            </w:tcBorders>
            <w:hideMark/>
          </w:tcPr>
          <w:p w14:paraId="1D72E4A1" w14:textId="77777777" w:rsidR="002B30D8" w:rsidRDefault="002B30D8">
            <w:pPr>
              <w:pStyle w:val="Tabletext9pt"/>
              <w:rPr>
                <w:szCs w:val="18"/>
              </w:rPr>
            </w:pPr>
            <w:r>
              <w:rPr>
                <w:szCs w:val="18"/>
              </w:rPr>
              <w:t>To provide support clients to safely withdraw from AOD dependence in a supervised residential or hospital facility.</w:t>
            </w:r>
          </w:p>
        </w:tc>
      </w:tr>
      <w:tr w:rsidR="002B30D8" w14:paraId="7FA2BC6E"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7C7EBF9F" w14:textId="77777777" w:rsidR="002B30D8" w:rsidRDefault="002B30D8">
            <w:pPr>
              <w:pStyle w:val="Tabletext9pt"/>
              <w:rPr>
                <w:szCs w:val="18"/>
              </w:rPr>
            </w:pPr>
            <w:r>
              <w:rPr>
                <w:szCs w:val="18"/>
              </w:rPr>
              <w:t>34053</w:t>
            </w:r>
          </w:p>
        </w:tc>
        <w:tc>
          <w:tcPr>
            <w:tcW w:w="2977" w:type="dxa"/>
            <w:tcBorders>
              <w:top w:val="single" w:sz="4" w:space="0" w:color="auto"/>
              <w:left w:val="single" w:sz="4" w:space="0" w:color="auto"/>
              <w:bottom w:val="single" w:sz="4" w:space="0" w:color="auto"/>
              <w:right w:val="single" w:sz="4" w:space="0" w:color="auto"/>
            </w:tcBorders>
            <w:hideMark/>
          </w:tcPr>
          <w:p w14:paraId="258A4427" w14:textId="4FE7169E" w:rsidR="002B30D8" w:rsidRDefault="002B30D8">
            <w:pPr>
              <w:pStyle w:val="Tabletext9pt"/>
              <w:rPr>
                <w:szCs w:val="18"/>
              </w:rPr>
            </w:pPr>
            <w:r>
              <w:rPr>
                <w:szCs w:val="18"/>
              </w:rPr>
              <w:t xml:space="preserve">Adult </w:t>
            </w:r>
            <w:r w:rsidR="00DD3294">
              <w:rPr>
                <w:szCs w:val="18"/>
              </w:rPr>
              <w:t>residential rehabilitation</w:t>
            </w:r>
          </w:p>
        </w:tc>
        <w:tc>
          <w:tcPr>
            <w:tcW w:w="4342" w:type="dxa"/>
            <w:tcBorders>
              <w:top w:val="single" w:sz="4" w:space="0" w:color="auto"/>
              <w:left w:val="single" w:sz="4" w:space="0" w:color="auto"/>
              <w:bottom w:val="single" w:sz="4" w:space="0" w:color="auto"/>
              <w:right w:val="single" w:sz="4" w:space="0" w:color="auto"/>
            </w:tcBorders>
            <w:hideMark/>
          </w:tcPr>
          <w:p w14:paraId="44655CB7" w14:textId="77777777" w:rsidR="002B30D8" w:rsidRDefault="002B30D8">
            <w:pPr>
              <w:pStyle w:val="Tabletext9pt"/>
              <w:rPr>
                <w:szCs w:val="18"/>
              </w:rPr>
            </w:pPr>
            <w:r>
              <w:rPr>
                <w:szCs w:val="18"/>
              </w:rPr>
              <w:t>To deliver a mix of evidence-based treatment interventions in a structured and therapeutic residential environment for people to address issues related to their AOD use and prepare for reintegration into community living.</w:t>
            </w:r>
          </w:p>
        </w:tc>
      </w:tr>
      <w:tr w:rsidR="002B30D8" w14:paraId="5A3EDE59"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2123D401" w14:textId="77777777" w:rsidR="002B30D8" w:rsidRDefault="002B30D8">
            <w:pPr>
              <w:pStyle w:val="Tabletext9pt"/>
              <w:rPr>
                <w:szCs w:val="18"/>
              </w:rPr>
            </w:pPr>
            <w:r>
              <w:rPr>
                <w:szCs w:val="18"/>
              </w:rPr>
              <w:t>34054</w:t>
            </w:r>
          </w:p>
        </w:tc>
        <w:tc>
          <w:tcPr>
            <w:tcW w:w="2977" w:type="dxa"/>
            <w:tcBorders>
              <w:top w:val="single" w:sz="4" w:space="0" w:color="auto"/>
              <w:left w:val="single" w:sz="4" w:space="0" w:color="auto"/>
              <w:bottom w:val="single" w:sz="4" w:space="0" w:color="auto"/>
              <w:right w:val="single" w:sz="4" w:space="0" w:color="auto"/>
            </w:tcBorders>
            <w:hideMark/>
          </w:tcPr>
          <w:p w14:paraId="7688F091" w14:textId="388075F7" w:rsidR="002B30D8" w:rsidRDefault="002B30D8">
            <w:pPr>
              <w:pStyle w:val="Tabletext9pt"/>
              <w:rPr>
                <w:szCs w:val="18"/>
              </w:rPr>
            </w:pPr>
            <w:r>
              <w:rPr>
                <w:szCs w:val="18"/>
              </w:rPr>
              <w:t xml:space="preserve">Peer </w:t>
            </w:r>
            <w:r w:rsidR="00DD3294">
              <w:rPr>
                <w:szCs w:val="18"/>
              </w:rPr>
              <w:t>s</w:t>
            </w:r>
            <w:r>
              <w:rPr>
                <w:szCs w:val="18"/>
              </w:rPr>
              <w:t>upport</w:t>
            </w:r>
          </w:p>
        </w:tc>
        <w:tc>
          <w:tcPr>
            <w:tcW w:w="4342" w:type="dxa"/>
            <w:tcBorders>
              <w:top w:val="single" w:sz="4" w:space="0" w:color="auto"/>
              <w:left w:val="single" w:sz="4" w:space="0" w:color="auto"/>
              <w:bottom w:val="single" w:sz="4" w:space="0" w:color="auto"/>
              <w:right w:val="single" w:sz="4" w:space="0" w:color="auto"/>
            </w:tcBorders>
            <w:hideMark/>
          </w:tcPr>
          <w:p w14:paraId="7E81F271" w14:textId="77777777" w:rsidR="002B30D8" w:rsidRDefault="002B30D8">
            <w:pPr>
              <w:pStyle w:val="Tabletext9pt"/>
              <w:rPr>
                <w:szCs w:val="18"/>
              </w:rPr>
            </w:pPr>
            <w:r>
              <w:rPr>
                <w:szCs w:val="18"/>
              </w:rPr>
              <w:t>Peer support facilitates workers with lived experience of AOD use to provide information and support to other people with AOD use to improve their health, wellbeing, and safety, and facilitate access to treatment and support services.</w:t>
            </w:r>
          </w:p>
        </w:tc>
      </w:tr>
      <w:tr w:rsidR="002B30D8" w14:paraId="3DB2590F"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38E4DB91" w14:textId="77777777" w:rsidR="002B30D8" w:rsidRDefault="002B30D8">
            <w:pPr>
              <w:pStyle w:val="Tabletext9pt"/>
              <w:rPr>
                <w:szCs w:val="18"/>
              </w:rPr>
            </w:pPr>
            <w:r>
              <w:rPr>
                <w:szCs w:val="18"/>
              </w:rPr>
              <w:t>34056</w:t>
            </w:r>
          </w:p>
        </w:tc>
        <w:tc>
          <w:tcPr>
            <w:tcW w:w="2977" w:type="dxa"/>
            <w:tcBorders>
              <w:top w:val="single" w:sz="4" w:space="0" w:color="auto"/>
              <w:left w:val="single" w:sz="4" w:space="0" w:color="auto"/>
              <w:bottom w:val="single" w:sz="4" w:space="0" w:color="auto"/>
              <w:right w:val="single" w:sz="4" w:space="0" w:color="auto"/>
            </w:tcBorders>
            <w:hideMark/>
          </w:tcPr>
          <w:p w14:paraId="3EC81E58" w14:textId="260788EA" w:rsidR="002B30D8" w:rsidRDefault="002B30D8">
            <w:pPr>
              <w:pStyle w:val="Tabletext9pt"/>
              <w:rPr>
                <w:szCs w:val="18"/>
              </w:rPr>
            </w:pPr>
            <w:r>
              <w:rPr>
                <w:szCs w:val="18"/>
              </w:rPr>
              <w:t xml:space="preserve">Youth </w:t>
            </w:r>
            <w:r w:rsidR="00DD3294">
              <w:rPr>
                <w:szCs w:val="18"/>
              </w:rPr>
              <w:t>residential drug withdrawal</w:t>
            </w:r>
          </w:p>
        </w:tc>
        <w:tc>
          <w:tcPr>
            <w:tcW w:w="4342" w:type="dxa"/>
            <w:tcBorders>
              <w:top w:val="single" w:sz="4" w:space="0" w:color="auto"/>
              <w:left w:val="single" w:sz="4" w:space="0" w:color="auto"/>
              <w:bottom w:val="single" w:sz="4" w:space="0" w:color="auto"/>
              <w:right w:val="single" w:sz="4" w:space="0" w:color="auto"/>
            </w:tcBorders>
            <w:hideMark/>
          </w:tcPr>
          <w:p w14:paraId="1E40F98D" w14:textId="77777777" w:rsidR="002B30D8" w:rsidRDefault="002B30D8">
            <w:pPr>
              <w:pStyle w:val="Tabletext9pt"/>
              <w:rPr>
                <w:szCs w:val="18"/>
              </w:rPr>
            </w:pPr>
            <w:r>
              <w:rPr>
                <w:szCs w:val="18"/>
              </w:rPr>
              <w:t>To provide a short-term drug withdrawal, time out and intensive support residential service for young people aged 12–21 years in a physically and emotionally safe, drug-free environment within a multidisciplinary, psychosocial health framework.</w:t>
            </w:r>
          </w:p>
        </w:tc>
      </w:tr>
      <w:tr w:rsidR="002B30D8" w14:paraId="613BB538"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7E0F6F2F" w14:textId="77777777" w:rsidR="002B30D8" w:rsidRDefault="002B30D8">
            <w:pPr>
              <w:pStyle w:val="Tabletext9pt"/>
              <w:rPr>
                <w:szCs w:val="18"/>
              </w:rPr>
            </w:pPr>
            <w:r>
              <w:rPr>
                <w:szCs w:val="18"/>
              </w:rPr>
              <w:t>34057</w:t>
            </w:r>
          </w:p>
        </w:tc>
        <w:tc>
          <w:tcPr>
            <w:tcW w:w="2977" w:type="dxa"/>
            <w:tcBorders>
              <w:top w:val="single" w:sz="4" w:space="0" w:color="auto"/>
              <w:left w:val="single" w:sz="4" w:space="0" w:color="auto"/>
              <w:bottom w:val="single" w:sz="4" w:space="0" w:color="auto"/>
              <w:right w:val="single" w:sz="4" w:space="0" w:color="auto"/>
            </w:tcBorders>
            <w:hideMark/>
          </w:tcPr>
          <w:p w14:paraId="31295D01" w14:textId="150B65FA" w:rsidR="002B30D8" w:rsidRDefault="002B30D8">
            <w:pPr>
              <w:pStyle w:val="Tabletext9pt"/>
              <w:rPr>
                <w:szCs w:val="18"/>
              </w:rPr>
            </w:pPr>
            <w:r>
              <w:rPr>
                <w:szCs w:val="18"/>
              </w:rPr>
              <w:t xml:space="preserve">Pharmacotherapy </w:t>
            </w:r>
            <w:r w:rsidR="00DD3294">
              <w:rPr>
                <w:szCs w:val="18"/>
              </w:rPr>
              <w:t>regional outreach</w:t>
            </w:r>
          </w:p>
        </w:tc>
        <w:tc>
          <w:tcPr>
            <w:tcW w:w="4342" w:type="dxa"/>
            <w:tcBorders>
              <w:top w:val="single" w:sz="4" w:space="0" w:color="auto"/>
              <w:left w:val="single" w:sz="4" w:space="0" w:color="auto"/>
              <w:bottom w:val="single" w:sz="4" w:space="0" w:color="auto"/>
              <w:right w:val="single" w:sz="4" w:space="0" w:color="auto"/>
            </w:tcBorders>
            <w:hideMark/>
          </w:tcPr>
          <w:p w14:paraId="1AE1BDD1" w14:textId="77777777" w:rsidR="002B30D8" w:rsidRDefault="002B30D8">
            <w:pPr>
              <w:pStyle w:val="Tabletext9pt"/>
              <w:rPr>
                <w:szCs w:val="18"/>
              </w:rPr>
            </w:pPr>
            <w:r>
              <w:rPr>
                <w:szCs w:val="18"/>
              </w:rPr>
              <w:t>To support and enhance the role of trained general practitioners and dispensers of drug substitute pharmacotherapies in encouraging, recruiting, and retaining opiate-dependent people in drug substitution programs.</w:t>
            </w:r>
          </w:p>
        </w:tc>
      </w:tr>
      <w:tr w:rsidR="002B30D8" w14:paraId="08C5B05F"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4AA40B52" w14:textId="77777777" w:rsidR="002B30D8" w:rsidRDefault="002B30D8">
            <w:pPr>
              <w:pStyle w:val="Tabletext9pt"/>
              <w:rPr>
                <w:szCs w:val="18"/>
              </w:rPr>
            </w:pPr>
            <w:r>
              <w:rPr>
                <w:szCs w:val="18"/>
              </w:rPr>
              <w:t>34061</w:t>
            </w:r>
          </w:p>
        </w:tc>
        <w:tc>
          <w:tcPr>
            <w:tcW w:w="2977" w:type="dxa"/>
            <w:tcBorders>
              <w:top w:val="single" w:sz="4" w:space="0" w:color="auto"/>
              <w:left w:val="single" w:sz="4" w:space="0" w:color="auto"/>
              <w:bottom w:val="single" w:sz="4" w:space="0" w:color="auto"/>
              <w:right w:val="single" w:sz="4" w:space="0" w:color="auto"/>
            </w:tcBorders>
            <w:hideMark/>
          </w:tcPr>
          <w:p w14:paraId="12532ACC" w14:textId="60BF542F" w:rsidR="002B30D8" w:rsidRDefault="002B30D8">
            <w:pPr>
              <w:pStyle w:val="Tabletext9pt"/>
              <w:rPr>
                <w:szCs w:val="18"/>
              </w:rPr>
            </w:pPr>
            <w:r>
              <w:rPr>
                <w:szCs w:val="18"/>
              </w:rPr>
              <w:t xml:space="preserve">Mobile </w:t>
            </w:r>
            <w:r w:rsidR="00DD3294">
              <w:rPr>
                <w:szCs w:val="18"/>
              </w:rPr>
              <w:t>drug safety</w:t>
            </w:r>
          </w:p>
        </w:tc>
        <w:tc>
          <w:tcPr>
            <w:tcW w:w="4342" w:type="dxa"/>
            <w:tcBorders>
              <w:top w:val="single" w:sz="4" w:space="0" w:color="auto"/>
              <w:left w:val="single" w:sz="4" w:space="0" w:color="auto"/>
              <w:bottom w:val="single" w:sz="4" w:space="0" w:color="auto"/>
              <w:right w:val="single" w:sz="4" w:space="0" w:color="auto"/>
            </w:tcBorders>
            <w:hideMark/>
          </w:tcPr>
          <w:p w14:paraId="1B9D9E11" w14:textId="77777777" w:rsidR="002B30D8" w:rsidRDefault="002B30D8">
            <w:pPr>
              <w:pStyle w:val="Tabletext9pt"/>
              <w:rPr>
                <w:szCs w:val="18"/>
              </w:rPr>
            </w:pPr>
            <w:r>
              <w:rPr>
                <w:szCs w:val="18"/>
              </w:rPr>
              <w:t>To provide education on drug safety to drug users and refer users for treatment and rehabilitation.</w:t>
            </w:r>
          </w:p>
        </w:tc>
      </w:tr>
      <w:tr w:rsidR="002B30D8" w14:paraId="338F0ACE"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230BD6D9" w14:textId="77777777" w:rsidR="002B30D8" w:rsidRDefault="002B30D8">
            <w:pPr>
              <w:pStyle w:val="Tabletext9pt"/>
              <w:rPr>
                <w:szCs w:val="18"/>
              </w:rPr>
            </w:pPr>
            <w:r>
              <w:rPr>
                <w:szCs w:val="18"/>
              </w:rPr>
              <w:t>34062</w:t>
            </w:r>
          </w:p>
        </w:tc>
        <w:tc>
          <w:tcPr>
            <w:tcW w:w="2977" w:type="dxa"/>
            <w:tcBorders>
              <w:top w:val="single" w:sz="4" w:space="0" w:color="auto"/>
              <w:left w:val="single" w:sz="4" w:space="0" w:color="auto"/>
              <w:bottom w:val="single" w:sz="4" w:space="0" w:color="auto"/>
              <w:right w:val="single" w:sz="4" w:space="0" w:color="auto"/>
            </w:tcBorders>
            <w:hideMark/>
          </w:tcPr>
          <w:p w14:paraId="183E0E5D" w14:textId="2604505D" w:rsidR="002B30D8" w:rsidRDefault="002B30D8">
            <w:pPr>
              <w:pStyle w:val="Tabletext9pt"/>
              <w:rPr>
                <w:szCs w:val="18"/>
              </w:rPr>
            </w:pPr>
            <w:r>
              <w:rPr>
                <w:szCs w:val="18"/>
              </w:rPr>
              <w:t xml:space="preserve">Mobile </w:t>
            </w:r>
            <w:r w:rsidR="00DD3294">
              <w:rPr>
                <w:szCs w:val="18"/>
              </w:rPr>
              <w:t>overdose response</w:t>
            </w:r>
          </w:p>
        </w:tc>
        <w:tc>
          <w:tcPr>
            <w:tcW w:w="4342" w:type="dxa"/>
            <w:tcBorders>
              <w:top w:val="single" w:sz="4" w:space="0" w:color="auto"/>
              <w:left w:val="single" w:sz="4" w:space="0" w:color="auto"/>
              <w:bottom w:val="single" w:sz="4" w:space="0" w:color="auto"/>
              <w:right w:val="single" w:sz="4" w:space="0" w:color="auto"/>
            </w:tcBorders>
            <w:hideMark/>
          </w:tcPr>
          <w:p w14:paraId="1FB9BCDC" w14:textId="77777777" w:rsidR="002B30D8" w:rsidRDefault="002B30D8">
            <w:pPr>
              <w:pStyle w:val="Tabletext9pt"/>
              <w:rPr>
                <w:szCs w:val="18"/>
              </w:rPr>
            </w:pPr>
            <w:r>
              <w:rPr>
                <w:szCs w:val="18"/>
              </w:rPr>
              <w:t>To provide counselling, information and support to non-fatal overdose clients and facilitate access to treatment and support services.</w:t>
            </w:r>
          </w:p>
        </w:tc>
      </w:tr>
      <w:tr w:rsidR="002B30D8" w14:paraId="2210378C"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119E543C" w14:textId="77777777" w:rsidR="002B30D8" w:rsidRDefault="002B30D8">
            <w:pPr>
              <w:pStyle w:val="Tabletext9pt"/>
              <w:rPr>
                <w:szCs w:val="18"/>
              </w:rPr>
            </w:pPr>
            <w:r>
              <w:rPr>
                <w:szCs w:val="18"/>
              </w:rPr>
              <w:t>34064</w:t>
            </w:r>
          </w:p>
        </w:tc>
        <w:tc>
          <w:tcPr>
            <w:tcW w:w="2977" w:type="dxa"/>
            <w:tcBorders>
              <w:top w:val="single" w:sz="4" w:space="0" w:color="auto"/>
              <w:left w:val="single" w:sz="4" w:space="0" w:color="auto"/>
              <w:bottom w:val="single" w:sz="4" w:space="0" w:color="auto"/>
              <w:right w:val="single" w:sz="4" w:space="0" w:color="auto"/>
            </w:tcBorders>
            <w:hideMark/>
          </w:tcPr>
          <w:p w14:paraId="02123BA5" w14:textId="4C5C1627" w:rsidR="002B30D8" w:rsidRDefault="002B30D8">
            <w:pPr>
              <w:pStyle w:val="Tabletext9pt"/>
              <w:rPr>
                <w:szCs w:val="18"/>
              </w:rPr>
            </w:pPr>
            <w:r>
              <w:rPr>
                <w:szCs w:val="18"/>
              </w:rPr>
              <w:t xml:space="preserve">Youth </w:t>
            </w:r>
            <w:r w:rsidR="00DD3294">
              <w:rPr>
                <w:szCs w:val="18"/>
              </w:rPr>
              <w:t>home-based withdrawal</w:t>
            </w:r>
          </w:p>
        </w:tc>
        <w:tc>
          <w:tcPr>
            <w:tcW w:w="4342" w:type="dxa"/>
            <w:tcBorders>
              <w:top w:val="single" w:sz="4" w:space="0" w:color="auto"/>
              <w:left w:val="single" w:sz="4" w:space="0" w:color="auto"/>
              <w:bottom w:val="single" w:sz="4" w:space="0" w:color="auto"/>
              <w:right w:val="single" w:sz="4" w:space="0" w:color="auto"/>
            </w:tcBorders>
            <w:hideMark/>
          </w:tcPr>
          <w:p w14:paraId="1086E51D" w14:textId="77777777" w:rsidR="002B30D8" w:rsidRDefault="002B30D8">
            <w:pPr>
              <w:pStyle w:val="Tabletext9pt"/>
              <w:rPr>
                <w:szCs w:val="18"/>
              </w:rPr>
            </w:pPr>
            <w:r>
              <w:rPr>
                <w:szCs w:val="18"/>
              </w:rPr>
              <w:t>To provide a safe and effective drug withdrawal in a home-based setting with medical, pharmacotherapy and supportive care.</w:t>
            </w:r>
          </w:p>
        </w:tc>
      </w:tr>
      <w:tr w:rsidR="002B30D8" w14:paraId="72A91775"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632FAE34" w14:textId="77777777" w:rsidR="002B30D8" w:rsidRDefault="002B30D8">
            <w:pPr>
              <w:pStyle w:val="Tabletext9pt"/>
              <w:rPr>
                <w:szCs w:val="18"/>
              </w:rPr>
            </w:pPr>
            <w:r>
              <w:rPr>
                <w:szCs w:val="18"/>
              </w:rPr>
              <w:t>34071</w:t>
            </w:r>
          </w:p>
        </w:tc>
        <w:tc>
          <w:tcPr>
            <w:tcW w:w="2977" w:type="dxa"/>
            <w:tcBorders>
              <w:top w:val="single" w:sz="4" w:space="0" w:color="auto"/>
              <w:left w:val="single" w:sz="4" w:space="0" w:color="auto"/>
              <w:bottom w:val="single" w:sz="4" w:space="0" w:color="auto"/>
              <w:right w:val="single" w:sz="4" w:space="0" w:color="auto"/>
            </w:tcBorders>
            <w:hideMark/>
          </w:tcPr>
          <w:p w14:paraId="373AF182" w14:textId="333A4CBD" w:rsidR="002B30D8" w:rsidRDefault="002B30D8">
            <w:pPr>
              <w:pStyle w:val="Tabletext9pt"/>
              <w:rPr>
                <w:szCs w:val="18"/>
              </w:rPr>
            </w:pPr>
            <w:r>
              <w:rPr>
                <w:szCs w:val="18"/>
              </w:rPr>
              <w:t xml:space="preserve">Youth </w:t>
            </w:r>
            <w:r w:rsidR="00DD3294">
              <w:rPr>
                <w:szCs w:val="18"/>
              </w:rPr>
              <w:t>outreach</w:t>
            </w:r>
          </w:p>
        </w:tc>
        <w:tc>
          <w:tcPr>
            <w:tcW w:w="4342" w:type="dxa"/>
            <w:tcBorders>
              <w:top w:val="single" w:sz="4" w:space="0" w:color="auto"/>
              <w:left w:val="single" w:sz="4" w:space="0" w:color="auto"/>
              <w:bottom w:val="single" w:sz="4" w:space="0" w:color="auto"/>
              <w:right w:val="single" w:sz="4" w:space="0" w:color="auto"/>
            </w:tcBorders>
            <w:hideMark/>
          </w:tcPr>
          <w:p w14:paraId="6B4FE24A" w14:textId="77777777" w:rsidR="002B30D8" w:rsidRDefault="002B30D8">
            <w:pPr>
              <w:pStyle w:val="Tabletext9pt"/>
              <w:rPr>
                <w:szCs w:val="18"/>
              </w:rPr>
            </w:pPr>
            <w:r>
              <w:rPr>
                <w:szCs w:val="18"/>
              </w:rPr>
              <w:t>To support generalist agencies that work with young people, through information, education, and training by providing youth-specific services. Includes mobile treatment and support service that provides assessment, support, and ongoing case coordination to young people with AOD issues on their own or in a neutral environment. .</w:t>
            </w:r>
          </w:p>
        </w:tc>
      </w:tr>
      <w:tr w:rsidR="002B30D8" w14:paraId="23A83D8F"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5BF5D6F8" w14:textId="77777777" w:rsidR="002B30D8" w:rsidRDefault="002B30D8">
            <w:pPr>
              <w:pStyle w:val="Tabletext9pt"/>
              <w:rPr>
                <w:szCs w:val="18"/>
              </w:rPr>
            </w:pPr>
            <w:r>
              <w:rPr>
                <w:szCs w:val="18"/>
              </w:rPr>
              <w:lastRenderedPageBreak/>
              <w:t>34074</w:t>
            </w:r>
          </w:p>
        </w:tc>
        <w:tc>
          <w:tcPr>
            <w:tcW w:w="2977" w:type="dxa"/>
            <w:tcBorders>
              <w:top w:val="single" w:sz="4" w:space="0" w:color="auto"/>
              <w:left w:val="single" w:sz="4" w:space="0" w:color="auto"/>
              <w:bottom w:val="single" w:sz="4" w:space="0" w:color="auto"/>
              <w:right w:val="single" w:sz="4" w:space="0" w:color="auto"/>
            </w:tcBorders>
            <w:hideMark/>
          </w:tcPr>
          <w:p w14:paraId="0144BE7D" w14:textId="60C09AED" w:rsidR="002B30D8" w:rsidRDefault="002B30D8">
            <w:pPr>
              <w:pStyle w:val="Tabletext9pt"/>
              <w:rPr>
                <w:szCs w:val="18"/>
              </w:rPr>
            </w:pPr>
            <w:r>
              <w:rPr>
                <w:szCs w:val="18"/>
              </w:rPr>
              <w:t xml:space="preserve">Counselling </w:t>
            </w:r>
            <w:r w:rsidR="00DD3294">
              <w:rPr>
                <w:szCs w:val="18"/>
              </w:rPr>
              <w:t>consultancy and continuing care</w:t>
            </w:r>
          </w:p>
        </w:tc>
        <w:tc>
          <w:tcPr>
            <w:tcW w:w="4342" w:type="dxa"/>
            <w:tcBorders>
              <w:top w:val="single" w:sz="4" w:space="0" w:color="auto"/>
              <w:left w:val="single" w:sz="4" w:space="0" w:color="auto"/>
              <w:bottom w:val="single" w:sz="4" w:space="0" w:color="auto"/>
              <w:right w:val="single" w:sz="4" w:space="0" w:color="auto"/>
            </w:tcBorders>
            <w:hideMark/>
          </w:tcPr>
          <w:p w14:paraId="454C8572" w14:textId="77777777" w:rsidR="002B30D8" w:rsidRDefault="002B30D8">
            <w:pPr>
              <w:pStyle w:val="Tabletext9pt"/>
              <w:rPr>
                <w:szCs w:val="18"/>
              </w:rPr>
            </w:pPr>
            <w:r>
              <w:rPr>
                <w:szCs w:val="18"/>
              </w:rPr>
              <w:t>AOD youth consultants provide secondary consultation, support and advice to child protection clients and staff in out-of-home care residential facilities, adolescent community placement and secure welfare services.</w:t>
            </w:r>
          </w:p>
        </w:tc>
      </w:tr>
      <w:tr w:rsidR="002B30D8" w14:paraId="39289081"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084E5F69" w14:textId="77777777" w:rsidR="002B30D8" w:rsidRDefault="002B30D8">
            <w:pPr>
              <w:pStyle w:val="Tabletext9pt"/>
              <w:rPr>
                <w:szCs w:val="18"/>
              </w:rPr>
            </w:pPr>
            <w:r>
              <w:rPr>
                <w:szCs w:val="18"/>
              </w:rPr>
              <w:t>34076</w:t>
            </w:r>
          </w:p>
        </w:tc>
        <w:tc>
          <w:tcPr>
            <w:tcW w:w="2977" w:type="dxa"/>
            <w:tcBorders>
              <w:top w:val="single" w:sz="4" w:space="0" w:color="auto"/>
              <w:left w:val="single" w:sz="4" w:space="0" w:color="auto"/>
              <w:bottom w:val="single" w:sz="4" w:space="0" w:color="auto"/>
              <w:right w:val="single" w:sz="4" w:space="0" w:color="auto"/>
            </w:tcBorders>
            <w:hideMark/>
          </w:tcPr>
          <w:p w14:paraId="41AEE50F" w14:textId="3E4AD76F" w:rsidR="002B30D8" w:rsidRDefault="002B30D8">
            <w:pPr>
              <w:pStyle w:val="Tabletext9pt"/>
              <w:rPr>
                <w:szCs w:val="18"/>
              </w:rPr>
            </w:pPr>
            <w:r>
              <w:rPr>
                <w:szCs w:val="18"/>
              </w:rPr>
              <w:t xml:space="preserve">Statewide </w:t>
            </w:r>
            <w:r w:rsidR="00DD3294">
              <w:rPr>
                <w:szCs w:val="18"/>
              </w:rPr>
              <w:t>support – drug treatment and rehabilitation</w:t>
            </w:r>
          </w:p>
        </w:tc>
        <w:tc>
          <w:tcPr>
            <w:tcW w:w="4342" w:type="dxa"/>
            <w:tcBorders>
              <w:top w:val="single" w:sz="4" w:space="0" w:color="auto"/>
              <w:left w:val="single" w:sz="4" w:space="0" w:color="auto"/>
              <w:bottom w:val="single" w:sz="4" w:space="0" w:color="auto"/>
              <w:right w:val="single" w:sz="4" w:space="0" w:color="auto"/>
            </w:tcBorders>
            <w:hideMark/>
          </w:tcPr>
          <w:p w14:paraId="6D9646D7" w14:textId="77777777" w:rsidR="002B30D8" w:rsidRDefault="002B30D8">
            <w:pPr>
              <w:pStyle w:val="Tabletext9pt"/>
              <w:rPr>
                <w:szCs w:val="18"/>
              </w:rPr>
            </w:pPr>
            <w:r>
              <w:rPr>
                <w:szCs w:val="18"/>
              </w:rPr>
              <w:t>A range of services, including resourcing to the drug treatment and rehabilitation service system on a statewide, interregional or specific-purpose basis.</w:t>
            </w:r>
          </w:p>
        </w:tc>
      </w:tr>
      <w:tr w:rsidR="002B30D8" w14:paraId="75F90DE3"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643C7C01" w14:textId="77777777" w:rsidR="002B30D8" w:rsidRDefault="002B30D8">
            <w:pPr>
              <w:pStyle w:val="Tabletext9pt"/>
              <w:rPr>
                <w:szCs w:val="18"/>
              </w:rPr>
            </w:pPr>
            <w:r>
              <w:rPr>
                <w:szCs w:val="18"/>
              </w:rPr>
              <w:t>34078</w:t>
            </w:r>
          </w:p>
        </w:tc>
        <w:tc>
          <w:tcPr>
            <w:tcW w:w="2977" w:type="dxa"/>
            <w:tcBorders>
              <w:top w:val="single" w:sz="4" w:space="0" w:color="auto"/>
              <w:left w:val="single" w:sz="4" w:space="0" w:color="auto"/>
              <w:bottom w:val="single" w:sz="4" w:space="0" w:color="auto"/>
              <w:right w:val="single" w:sz="4" w:space="0" w:color="auto"/>
            </w:tcBorders>
            <w:hideMark/>
          </w:tcPr>
          <w:p w14:paraId="7F6E15B7" w14:textId="3B03B2E5" w:rsidR="002B30D8" w:rsidRDefault="002B30D8">
            <w:pPr>
              <w:pStyle w:val="Tabletext9pt"/>
              <w:rPr>
                <w:szCs w:val="18"/>
              </w:rPr>
            </w:pPr>
            <w:r>
              <w:rPr>
                <w:szCs w:val="18"/>
              </w:rPr>
              <w:t xml:space="preserve">ACCO </w:t>
            </w:r>
            <w:r w:rsidR="00DD3294">
              <w:rPr>
                <w:szCs w:val="18"/>
              </w:rPr>
              <w:t>services – drug services</w:t>
            </w:r>
          </w:p>
        </w:tc>
        <w:tc>
          <w:tcPr>
            <w:tcW w:w="4342" w:type="dxa"/>
            <w:tcBorders>
              <w:top w:val="single" w:sz="4" w:space="0" w:color="auto"/>
              <w:left w:val="single" w:sz="4" w:space="0" w:color="auto"/>
              <w:bottom w:val="single" w:sz="4" w:space="0" w:color="auto"/>
              <w:right w:val="single" w:sz="4" w:space="0" w:color="auto"/>
            </w:tcBorders>
            <w:hideMark/>
          </w:tcPr>
          <w:p w14:paraId="3D440823" w14:textId="77777777" w:rsidR="002B30D8" w:rsidRDefault="002B30D8">
            <w:pPr>
              <w:pStyle w:val="Tabletext9pt"/>
              <w:rPr>
                <w:szCs w:val="18"/>
              </w:rPr>
            </w:pPr>
            <w:r>
              <w:rPr>
                <w:szCs w:val="18"/>
              </w:rPr>
              <w:t>Aboriginal AOD workers provide Aboriginal people and families with a range of prevention, early intervention and group support services including counselling, brief intervention, and referral to appropriate AOD services (e.g. withdrawal and rehabilitation treatment, care coordination and ongoing support).</w:t>
            </w:r>
          </w:p>
        </w:tc>
      </w:tr>
      <w:tr w:rsidR="002B30D8" w14:paraId="646F842D"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6E96C23C" w14:textId="77777777" w:rsidR="002B30D8" w:rsidRDefault="002B30D8">
            <w:pPr>
              <w:pStyle w:val="Tabletext9pt"/>
              <w:rPr>
                <w:szCs w:val="18"/>
              </w:rPr>
            </w:pPr>
            <w:r>
              <w:rPr>
                <w:szCs w:val="18"/>
              </w:rPr>
              <w:t>34079</w:t>
            </w:r>
          </w:p>
        </w:tc>
        <w:tc>
          <w:tcPr>
            <w:tcW w:w="2977" w:type="dxa"/>
            <w:tcBorders>
              <w:top w:val="single" w:sz="4" w:space="0" w:color="auto"/>
              <w:left w:val="single" w:sz="4" w:space="0" w:color="auto"/>
              <w:bottom w:val="single" w:sz="4" w:space="0" w:color="auto"/>
              <w:right w:val="single" w:sz="4" w:space="0" w:color="auto"/>
            </w:tcBorders>
            <w:hideMark/>
          </w:tcPr>
          <w:p w14:paraId="28A672E8" w14:textId="25EC3FBF" w:rsidR="002B30D8" w:rsidRDefault="002B30D8">
            <w:pPr>
              <w:pStyle w:val="Tabletext9pt"/>
              <w:rPr>
                <w:szCs w:val="18"/>
              </w:rPr>
            </w:pPr>
            <w:r>
              <w:rPr>
                <w:szCs w:val="18"/>
              </w:rPr>
              <w:t xml:space="preserve">Koori </w:t>
            </w:r>
            <w:r w:rsidR="00DD3294">
              <w:rPr>
                <w:szCs w:val="18"/>
              </w:rPr>
              <w:t>y</w:t>
            </w:r>
            <w:r>
              <w:rPr>
                <w:szCs w:val="18"/>
              </w:rPr>
              <w:t xml:space="preserve">outh </w:t>
            </w:r>
            <w:r w:rsidR="00DD3294">
              <w:rPr>
                <w:szCs w:val="18"/>
              </w:rPr>
              <w:t>AO</w:t>
            </w:r>
            <w:r>
              <w:rPr>
                <w:szCs w:val="18"/>
              </w:rPr>
              <w:t xml:space="preserve">D </w:t>
            </w:r>
            <w:r w:rsidR="00DD3294">
              <w:rPr>
                <w:szCs w:val="18"/>
              </w:rPr>
              <w:t>healing s</w:t>
            </w:r>
            <w:r>
              <w:rPr>
                <w:szCs w:val="18"/>
              </w:rPr>
              <w:t>ervice</w:t>
            </w:r>
          </w:p>
        </w:tc>
        <w:tc>
          <w:tcPr>
            <w:tcW w:w="4342" w:type="dxa"/>
            <w:tcBorders>
              <w:top w:val="single" w:sz="4" w:space="0" w:color="auto"/>
              <w:left w:val="single" w:sz="4" w:space="0" w:color="auto"/>
              <w:bottom w:val="single" w:sz="4" w:space="0" w:color="auto"/>
              <w:right w:val="single" w:sz="4" w:space="0" w:color="auto"/>
            </w:tcBorders>
            <w:hideMark/>
          </w:tcPr>
          <w:p w14:paraId="1492F28B" w14:textId="77777777" w:rsidR="002B30D8" w:rsidRDefault="002B30D8">
            <w:pPr>
              <w:pStyle w:val="Tabletext9pt"/>
              <w:rPr>
                <w:szCs w:val="18"/>
              </w:rPr>
            </w:pPr>
            <w:r>
              <w:rPr>
                <w:szCs w:val="18"/>
              </w:rPr>
              <w:t>To provide Aboriginal youth with a supportive environment to address their AOD issues through active participation in therapeutic and structured programs designed to assist them to develop living skills, and to strengthen their cultural identity and spiritual wellbeing.</w:t>
            </w:r>
          </w:p>
        </w:tc>
      </w:tr>
      <w:tr w:rsidR="002B30D8" w14:paraId="5477F8A6"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252EAFB4" w14:textId="77777777" w:rsidR="002B30D8" w:rsidRDefault="002B30D8">
            <w:pPr>
              <w:pStyle w:val="Tabletext9pt"/>
              <w:rPr>
                <w:szCs w:val="18"/>
              </w:rPr>
            </w:pPr>
            <w:r>
              <w:rPr>
                <w:szCs w:val="18"/>
              </w:rPr>
              <w:t>34080</w:t>
            </w:r>
          </w:p>
        </w:tc>
        <w:tc>
          <w:tcPr>
            <w:tcW w:w="2977" w:type="dxa"/>
            <w:tcBorders>
              <w:top w:val="single" w:sz="4" w:space="0" w:color="auto"/>
              <w:left w:val="single" w:sz="4" w:space="0" w:color="auto"/>
              <w:bottom w:val="single" w:sz="4" w:space="0" w:color="auto"/>
              <w:right w:val="single" w:sz="4" w:space="0" w:color="auto"/>
            </w:tcBorders>
            <w:hideMark/>
          </w:tcPr>
          <w:p w14:paraId="0B1761D0" w14:textId="3539907F" w:rsidR="002B30D8" w:rsidRDefault="00DD3294">
            <w:pPr>
              <w:pStyle w:val="Tabletext9pt"/>
              <w:rPr>
                <w:szCs w:val="18"/>
              </w:rPr>
            </w:pPr>
            <w:r>
              <w:rPr>
                <w:szCs w:val="18"/>
              </w:rPr>
              <w:t>Youth residential rehabilitation</w:t>
            </w:r>
          </w:p>
        </w:tc>
        <w:tc>
          <w:tcPr>
            <w:tcW w:w="4342" w:type="dxa"/>
            <w:tcBorders>
              <w:top w:val="single" w:sz="4" w:space="0" w:color="auto"/>
              <w:left w:val="single" w:sz="4" w:space="0" w:color="auto"/>
              <w:bottom w:val="single" w:sz="4" w:space="0" w:color="auto"/>
              <w:right w:val="single" w:sz="4" w:space="0" w:color="auto"/>
            </w:tcBorders>
            <w:hideMark/>
          </w:tcPr>
          <w:p w14:paraId="1B101EBD" w14:textId="77777777" w:rsidR="002B30D8" w:rsidRDefault="002B30D8">
            <w:pPr>
              <w:pStyle w:val="Tabletext9pt"/>
              <w:rPr>
                <w:szCs w:val="18"/>
              </w:rPr>
            </w:pPr>
            <w:r>
              <w:rPr>
                <w:szCs w:val="18"/>
              </w:rPr>
              <w:t xml:space="preserve">To provide residential rehabilitation programs to young people who have undergone an AOD withdrawal or treatment program and have not been successful in reducing or overcoming their AOD issues and are not suited to attend an outpatient program. </w:t>
            </w:r>
          </w:p>
        </w:tc>
      </w:tr>
      <w:tr w:rsidR="002B30D8" w14:paraId="070AAAF9"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198AD6CB" w14:textId="77777777" w:rsidR="002B30D8" w:rsidRDefault="002B30D8">
            <w:pPr>
              <w:pStyle w:val="Tabletext9pt"/>
              <w:rPr>
                <w:szCs w:val="18"/>
              </w:rPr>
            </w:pPr>
            <w:r>
              <w:rPr>
                <w:szCs w:val="18"/>
              </w:rPr>
              <w:t>34081</w:t>
            </w:r>
          </w:p>
        </w:tc>
        <w:tc>
          <w:tcPr>
            <w:tcW w:w="2977" w:type="dxa"/>
            <w:tcBorders>
              <w:top w:val="single" w:sz="4" w:space="0" w:color="auto"/>
              <w:left w:val="single" w:sz="4" w:space="0" w:color="auto"/>
              <w:bottom w:val="single" w:sz="4" w:space="0" w:color="auto"/>
              <w:right w:val="single" w:sz="4" w:space="0" w:color="auto"/>
            </w:tcBorders>
            <w:hideMark/>
          </w:tcPr>
          <w:p w14:paraId="7E5EDF17" w14:textId="4DEFCA5C" w:rsidR="002B30D8" w:rsidRDefault="002B30D8">
            <w:pPr>
              <w:pStyle w:val="Tabletext9pt"/>
              <w:rPr>
                <w:szCs w:val="18"/>
              </w:rPr>
            </w:pPr>
            <w:r>
              <w:rPr>
                <w:szCs w:val="18"/>
              </w:rPr>
              <w:t xml:space="preserve">Workforce </w:t>
            </w:r>
            <w:r w:rsidR="00DD3294">
              <w:rPr>
                <w:szCs w:val="18"/>
              </w:rPr>
              <w:t>e</w:t>
            </w:r>
            <w:r>
              <w:rPr>
                <w:szCs w:val="18"/>
              </w:rPr>
              <w:t xml:space="preserve">ducation and </w:t>
            </w:r>
            <w:r w:rsidR="00DD3294">
              <w:rPr>
                <w:szCs w:val="18"/>
              </w:rPr>
              <w:t>training</w:t>
            </w:r>
          </w:p>
        </w:tc>
        <w:tc>
          <w:tcPr>
            <w:tcW w:w="4342" w:type="dxa"/>
            <w:tcBorders>
              <w:top w:val="single" w:sz="4" w:space="0" w:color="auto"/>
              <w:left w:val="single" w:sz="4" w:space="0" w:color="auto"/>
              <w:bottom w:val="single" w:sz="4" w:space="0" w:color="auto"/>
              <w:right w:val="single" w:sz="4" w:space="0" w:color="auto"/>
            </w:tcBorders>
            <w:hideMark/>
          </w:tcPr>
          <w:p w14:paraId="18A18226" w14:textId="77777777" w:rsidR="002B30D8" w:rsidRDefault="002B30D8">
            <w:pPr>
              <w:pStyle w:val="Tabletext9pt"/>
              <w:rPr>
                <w:szCs w:val="18"/>
              </w:rPr>
            </w:pPr>
            <w:r>
              <w:rPr>
                <w:szCs w:val="18"/>
              </w:rPr>
              <w:t>To provide workforce development education, information, training, and consultancy for workers dealing with clients with AOD problems, and to provide education to AOD treatment clients.</w:t>
            </w:r>
          </w:p>
        </w:tc>
      </w:tr>
      <w:tr w:rsidR="002B30D8" w14:paraId="7D198E0A"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3F4DCAA7" w14:textId="77777777" w:rsidR="002B30D8" w:rsidRDefault="002B30D8">
            <w:pPr>
              <w:pStyle w:val="Tabletext9pt"/>
              <w:rPr>
                <w:szCs w:val="18"/>
              </w:rPr>
            </w:pPr>
            <w:r>
              <w:rPr>
                <w:szCs w:val="18"/>
              </w:rPr>
              <w:t>34084</w:t>
            </w:r>
          </w:p>
        </w:tc>
        <w:tc>
          <w:tcPr>
            <w:tcW w:w="2977" w:type="dxa"/>
            <w:tcBorders>
              <w:top w:val="single" w:sz="4" w:space="0" w:color="auto"/>
              <w:left w:val="single" w:sz="4" w:space="0" w:color="auto"/>
              <w:bottom w:val="single" w:sz="4" w:space="0" w:color="auto"/>
              <w:right w:val="single" w:sz="4" w:space="0" w:color="auto"/>
            </w:tcBorders>
            <w:hideMark/>
          </w:tcPr>
          <w:p w14:paraId="26644B5A" w14:textId="68C94B59" w:rsidR="002B30D8" w:rsidRDefault="00DD3294">
            <w:pPr>
              <w:pStyle w:val="Tabletext9pt"/>
              <w:rPr>
                <w:szCs w:val="18"/>
              </w:rPr>
            </w:pPr>
            <w:r>
              <w:rPr>
                <w:szCs w:val="18"/>
              </w:rPr>
              <w:t>Therapeutic counselling</w:t>
            </w:r>
          </w:p>
        </w:tc>
        <w:tc>
          <w:tcPr>
            <w:tcW w:w="4342" w:type="dxa"/>
            <w:tcBorders>
              <w:top w:val="single" w:sz="4" w:space="0" w:color="auto"/>
              <w:left w:val="single" w:sz="4" w:space="0" w:color="auto"/>
              <w:bottom w:val="single" w:sz="4" w:space="0" w:color="auto"/>
              <w:right w:val="single" w:sz="4" w:space="0" w:color="auto"/>
            </w:tcBorders>
            <w:hideMark/>
          </w:tcPr>
          <w:p w14:paraId="70AB77A3" w14:textId="77777777" w:rsidR="002B30D8" w:rsidRDefault="002B30D8">
            <w:pPr>
              <w:pStyle w:val="Tabletext9pt"/>
              <w:rPr>
                <w:szCs w:val="18"/>
              </w:rPr>
            </w:pPr>
            <w:r>
              <w:rPr>
                <w:szCs w:val="18"/>
              </w:rPr>
              <w:t>To deliver therapeutic interventions that assist young people and their parents/carer(s)/family to address difficulties associated with AOD use among young people. This supports young people to make positive choices about their AOD use and encourages stronger family relationships, promoting family function.</w:t>
            </w:r>
          </w:p>
        </w:tc>
      </w:tr>
      <w:tr w:rsidR="002B30D8" w14:paraId="34547343"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586B1024" w14:textId="77777777" w:rsidR="002B30D8" w:rsidRDefault="002B30D8">
            <w:pPr>
              <w:pStyle w:val="Tabletext9pt"/>
              <w:rPr>
                <w:szCs w:val="18"/>
              </w:rPr>
            </w:pPr>
            <w:r>
              <w:rPr>
                <w:szCs w:val="18"/>
              </w:rPr>
              <w:t>34200</w:t>
            </w:r>
          </w:p>
        </w:tc>
        <w:tc>
          <w:tcPr>
            <w:tcW w:w="2977" w:type="dxa"/>
            <w:tcBorders>
              <w:top w:val="single" w:sz="4" w:space="0" w:color="auto"/>
              <w:left w:val="single" w:sz="4" w:space="0" w:color="auto"/>
              <w:bottom w:val="single" w:sz="4" w:space="0" w:color="auto"/>
              <w:right w:val="single" w:sz="4" w:space="0" w:color="auto"/>
            </w:tcBorders>
            <w:hideMark/>
          </w:tcPr>
          <w:p w14:paraId="1E570E52" w14:textId="1BD556BD" w:rsidR="002B30D8" w:rsidRDefault="002B30D8">
            <w:pPr>
              <w:pStyle w:val="Tabletext9pt"/>
              <w:rPr>
                <w:szCs w:val="18"/>
              </w:rPr>
            </w:pPr>
            <w:r>
              <w:rPr>
                <w:szCs w:val="18"/>
              </w:rPr>
              <w:t xml:space="preserve">Forensic </w:t>
            </w:r>
            <w:r w:rsidR="00DD3294">
              <w:rPr>
                <w:szCs w:val="18"/>
              </w:rPr>
              <w:t xml:space="preserve">education and training </w:t>
            </w:r>
            <w:r>
              <w:rPr>
                <w:szCs w:val="18"/>
              </w:rPr>
              <w:t>(Cannabis)</w:t>
            </w:r>
          </w:p>
        </w:tc>
        <w:tc>
          <w:tcPr>
            <w:tcW w:w="4342" w:type="dxa"/>
            <w:tcBorders>
              <w:top w:val="single" w:sz="4" w:space="0" w:color="auto"/>
              <w:left w:val="single" w:sz="4" w:space="0" w:color="auto"/>
              <w:bottom w:val="single" w:sz="4" w:space="0" w:color="auto"/>
              <w:right w:val="single" w:sz="4" w:space="0" w:color="auto"/>
            </w:tcBorders>
            <w:hideMark/>
          </w:tcPr>
          <w:p w14:paraId="0CCD2015" w14:textId="77777777" w:rsidR="002B30D8" w:rsidRDefault="002B30D8">
            <w:pPr>
              <w:pStyle w:val="Tabletext9pt"/>
              <w:rPr>
                <w:szCs w:val="18"/>
              </w:rPr>
            </w:pPr>
            <w:r>
              <w:rPr>
                <w:szCs w:val="18"/>
              </w:rPr>
              <w:t>To provide education to clients issued with a cannabis caution, agency training, curriculum development and training needs analysis for workers.</w:t>
            </w:r>
          </w:p>
        </w:tc>
      </w:tr>
      <w:tr w:rsidR="002B30D8" w14:paraId="09E36BF6"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26D69C92" w14:textId="77777777" w:rsidR="002B30D8" w:rsidRDefault="002B30D8">
            <w:pPr>
              <w:pStyle w:val="Tabletext9pt"/>
              <w:rPr>
                <w:szCs w:val="18"/>
              </w:rPr>
            </w:pPr>
            <w:r>
              <w:rPr>
                <w:szCs w:val="18"/>
              </w:rPr>
              <w:t>34202</w:t>
            </w:r>
          </w:p>
        </w:tc>
        <w:tc>
          <w:tcPr>
            <w:tcW w:w="2977" w:type="dxa"/>
            <w:tcBorders>
              <w:top w:val="single" w:sz="4" w:space="0" w:color="auto"/>
              <w:left w:val="single" w:sz="4" w:space="0" w:color="auto"/>
              <w:bottom w:val="single" w:sz="4" w:space="0" w:color="auto"/>
              <w:right w:val="single" w:sz="4" w:space="0" w:color="auto"/>
            </w:tcBorders>
            <w:hideMark/>
          </w:tcPr>
          <w:p w14:paraId="12414E9B" w14:textId="02339AB3" w:rsidR="002B30D8" w:rsidRDefault="002B30D8">
            <w:pPr>
              <w:pStyle w:val="Tabletext9pt"/>
              <w:rPr>
                <w:szCs w:val="18"/>
              </w:rPr>
            </w:pPr>
            <w:r>
              <w:rPr>
                <w:szCs w:val="18"/>
              </w:rPr>
              <w:t xml:space="preserve">COATS </w:t>
            </w:r>
            <w:r w:rsidR="00DD3294">
              <w:rPr>
                <w:szCs w:val="18"/>
              </w:rPr>
              <w:t>post sentence</w:t>
            </w:r>
          </w:p>
        </w:tc>
        <w:tc>
          <w:tcPr>
            <w:tcW w:w="4342" w:type="dxa"/>
            <w:tcBorders>
              <w:top w:val="single" w:sz="4" w:space="0" w:color="auto"/>
              <w:left w:val="single" w:sz="4" w:space="0" w:color="auto"/>
              <w:bottom w:val="single" w:sz="4" w:space="0" w:color="auto"/>
              <w:right w:val="single" w:sz="4" w:space="0" w:color="auto"/>
            </w:tcBorders>
            <w:hideMark/>
          </w:tcPr>
          <w:p w14:paraId="6E71414F" w14:textId="77777777" w:rsidR="002B30D8" w:rsidRDefault="002B30D8">
            <w:pPr>
              <w:pStyle w:val="Tabletext9pt"/>
              <w:rPr>
                <w:szCs w:val="18"/>
              </w:rPr>
            </w:pPr>
            <w:r>
              <w:rPr>
                <w:szCs w:val="18"/>
              </w:rPr>
              <w:t>To provide AOD treatment to offenders sentenced to a community-based disposition with an attached AOD order.</w:t>
            </w:r>
          </w:p>
        </w:tc>
      </w:tr>
      <w:tr w:rsidR="002B30D8" w14:paraId="13BB0261"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74B1845F" w14:textId="77777777" w:rsidR="002B30D8" w:rsidRDefault="002B30D8">
            <w:pPr>
              <w:pStyle w:val="Tabletext9pt"/>
              <w:rPr>
                <w:szCs w:val="18"/>
              </w:rPr>
            </w:pPr>
            <w:r>
              <w:rPr>
                <w:szCs w:val="18"/>
              </w:rPr>
              <w:t>34208</w:t>
            </w:r>
          </w:p>
        </w:tc>
        <w:tc>
          <w:tcPr>
            <w:tcW w:w="2977" w:type="dxa"/>
            <w:tcBorders>
              <w:top w:val="single" w:sz="4" w:space="0" w:color="auto"/>
              <w:left w:val="single" w:sz="4" w:space="0" w:color="auto"/>
              <w:bottom w:val="single" w:sz="4" w:space="0" w:color="auto"/>
              <w:right w:val="single" w:sz="4" w:space="0" w:color="auto"/>
            </w:tcBorders>
            <w:hideMark/>
          </w:tcPr>
          <w:p w14:paraId="59301FB4" w14:textId="07F4F71C" w:rsidR="002B30D8" w:rsidRDefault="002B30D8">
            <w:pPr>
              <w:pStyle w:val="Tabletext9pt"/>
              <w:rPr>
                <w:szCs w:val="18"/>
              </w:rPr>
            </w:pPr>
            <w:r>
              <w:rPr>
                <w:szCs w:val="18"/>
              </w:rPr>
              <w:t xml:space="preserve">Forensic </w:t>
            </w:r>
            <w:r w:rsidR="00DD3294">
              <w:rPr>
                <w:szCs w:val="18"/>
              </w:rPr>
              <w:t>consultancy and continuing care</w:t>
            </w:r>
          </w:p>
        </w:tc>
        <w:tc>
          <w:tcPr>
            <w:tcW w:w="4342" w:type="dxa"/>
            <w:tcBorders>
              <w:top w:val="single" w:sz="4" w:space="0" w:color="auto"/>
              <w:left w:val="single" w:sz="4" w:space="0" w:color="auto"/>
              <w:bottom w:val="single" w:sz="4" w:space="0" w:color="auto"/>
              <w:right w:val="single" w:sz="4" w:space="0" w:color="auto"/>
            </w:tcBorders>
            <w:hideMark/>
          </w:tcPr>
          <w:p w14:paraId="263D2B83" w14:textId="77777777" w:rsidR="002B30D8" w:rsidRDefault="002B30D8">
            <w:pPr>
              <w:pStyle w:val="Tabletext9pt"/>
              <w:rPr>
                <w:szCs w:val="18"/>
              </w:rPr>
            </w:pPr>
            <w:r>
              <w:rPr>
                <w:szCs w:val="18"/>
              </w:rPr>
              <w:t>To provide specific service system responses and initiatives to enhance the AOD sector’s ability to provide enhanced responses to those presenting with highly complex needs including those referred Victoria’s Fixated Threat Assessment Centre.</w:t>
            </w:r>
          </w:p>
        </w:tc>
      </w:tr>
      <w:tr w:rsidR="002B30D8" w14:paraId="08C9170F"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08570926" w14:textId="77777777" w:rsidR="002B30D8" w:rsidRDefault="002B30D8">
            <w:pPr>
              <w:pStyle w:val="Tabletext9pt"/>
              <w:rPr>
                <w:szCs w:val="18"/>
              </w:rPr>
            </w:pPr>
            <w:r>
              <w:rPr>
                <w:szCs w:val="18"/>
              </w:rPr>
              <w:t>34210</w:t>
            </w:r>
          </w:p>
        </w:tc>
        <w:tc>
          <w:tcPr>
            <w:tcW w:w="2977" w:type="dxa"/>
            <w:tcBorders>
              <w:top w:val="single" w:sz="4" w:space="0" w:color="auto"/>
              <w:left w:val="single" w:sz="4" w:space="0" w:color="auto"/>
              <w:bottom w:val="single" w:sz="4" w:space="0" w:color="auto"/>
              <w:right w:val="single" w:sz="4" w:space="0" w:color="auto"/>
            </w:tcBorders>
            <w:hideMark/>
          </w:tcPr>
          <w:p w14:paraId="0E06BC57" w14:textId="033318E5" w:rsidR="002B30D8" w:rsidRDefault="002B30D8">
            <w:pPr>
              <w:pStyle w:val="Tabletext9pt"/>
              <w:rPr>
                <w:szCs w:val="18"/>
              </w:rPr>
            </w:pPr>
            <w:r>
              <w:rPr>
                <w:szCs w:val="18"/>
              </w:rPr>
              <w:t xml:space="preserve">Youth </w:t>
            </w:r>
            <w:r w:rsidR="00DD3294">
              <w:rPr>
                <w:szCs w:val="18"/>
              </w:rPr>
              <w:t>justice</w:t>
            </w:r>
          </w:p>
        </w:tc>
        <w:tc>
          <w:tcPr>
            <w:tcW w:w="4342" w:type="dxa"/>
            <w:tcBorders>
              <w:top w:val="single" w:sz="4" w:space="0" w:color="auto"/>
              <w:left w:val="single" w:sz="4" w:space="0" w:color="auto"/>
              <w:bottom w:val="single" w:sz="4" w:space="0" w:color="auto"/>
              <w:right w:val="single" w:sz="4" w:space="0" w:color="auto"/>
            </w:tcBorders>
            <w:hideMark/>
          </w:tcPr>
          <w:p w14:paraId="33741EA9" w14:textId="77777777" w:rsidR="002B30D8" w:rsidRDefault="002B30D8">
            <w:pPr>
              <w:pStyle w:val="Tabletext9pt"/>
              <w:rPr>
                <w:szCs w:val="18"/>
              </w:rPr>
            </w:pPr>
            <w:r>
              <w:rPr>
                <w:szCs w:val="18"/>
              </w:rPr>
              <w:t>To deliver AOD programs to youth justice clients.</w:t>
            </w:r>
          </w:p>
        </w:tc>
      </w:tr>
      <w:tr w:rsidR="002B30D8" w14:paraId="2AC50E81"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25864FE0" w14:textId="77777777" w:rsidR="002B30D8" w:rsidRDefault="002B30D8">
            <w:pPr>
              <w:pStyle w:val="Tabletext9pt"/>
              <w:rPr>
                <w:szCs w:val="18"/>
              </w:rPr>
            </w:pPr>
            <w:r>
              <w:rPr>
                <w:szCs w:val="18"/>
              </w:rPr>
              <w:lastRenderedPageBreak/>
              <w:t>34211</w:t>
            </w:r>
          </w:p>
        </w:tc>
        <w:tc>
          <w:tcPr>
            <w:tcW w:w="2977" w:type="dxa"/>
            <w:tcBorders>
              <w:top w:val="single" w:sz="4" w:space="0" w:color="auto"/>
              <w:left w:val="single" w:sz="4" w:space="0" w:color="auto"/>
              <w:bottom w:val="single" w:sz="4" w:space="0" w:color="auto"/>
              <w:right w:val="single" w:sz="4" w:space="0" w:color="auto"/>
            </w:tcBorders>
            <w:hideMark/>
          </w:tcPr>
          <w:p w14:paraId="2CB30B69" w14:textId="5A4ECB21" w:rsidR="002B30D8" w:rsidRDefault="002B30D8">
            <w:pPr>
              <w:pStyle w:val="Tabletext9pt"/>
              <w:rPr>
                <w:szCs w:val="18"/>
              </w:rPr>
            </w:pPr>
            <w:r>
              <w:rPr>
                <w:szCs w:val="18"/>
              </w:rPr>
              <w:t xml:space="preserve">Diversion </w:t>
            </w:r>
            <w:r w:rsidR="00DD3294">
              <w:rPr>
                <w:szCs w:val="18"/>
              </w:rPr>
              <w:t>programs</w:t>
            </w:r>
          </w:p>
        </w:tc>
        <w:tc>
          <w:tcPr>
            <w:tcW w:w="4342" w:type="dxa"/>
            <w:tcBorders>
              <w:top w:val="single" w:sz="4" w:space="0" w:color="auto"/>
              <w:left w:val="single" w:sz="4" w:space="0" w:color="auto"/>
              <w:bottom w:val="single" w:sz="4" w:space="0" w:color="auto"/>
              <w:right w:val="single" w:sz="4" w:space="0" w:color="auto"/>
            </w:tcBorders>
            <w:hideMark/>
          </w:tcPr>
          <w:p w14:paraId="6BC9761C" w14:textId="77777777" w:rsidR="002B30D8" w:rsidRDefault="002B30D8">
            <w:pPr>
              <w:pStyle w:val="Tabletext9pt"/>
              <w:rPr>
                <w:szCs w:val="18"/>
              </w:rPr>
            </w:pPr>
            <w:r>
              <w:rPr>
                <w:szCs w:val="18"/>
              </w:rPr>
              <w:t>To divert clients away from the justice system by providing AOD therapeutic treatment for those who were referred by other services who wish to address their AOD-related offending behaviour, or to meet a condition of a diversion plan.</w:t>
            </w:r>
          </w:p>
        </w:tc>
      </w:tr>
      <w:tr w:rsidR="002B30D8" w14:paraId="71B0E540"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64CA27EE" w14:textId="77777777" w:rsidR="002B30D8" w:rsidRDefault="002B30D8">
            <w:pPr>
              <w:pStyle w:val="Tabletext9pt"/>
              <w:rPr>
                <w:szCs w:val="18"/>
              </w:rPr>
            </w:pPr>
            <w:r>
              <w:rPr>
                <w:szCs w:val="18"/>
              </w:rPr>
              <w:t>34212</w:t>
            </w:r>
          </w:p>
        </w:tc>
        <w:tc>
          <w:tcPr>
            <w:tcW w:w="2977" w:type="dxa"/>
            <w:tcBorders>
              <w:top w:val="single" w:sz="4" w:space="0" w:color="auto"/>
              <w:left w:val="single" w:sz="4" w:space="0" w:color="auto"/>
              <w:bottom w:val="single" w:sz="4" w:space="0" w:color="auto"/>
              <w:right w:val="single" w:sz="4" w:space="0" w:color="auto"/>
            </w:tcBorders>
            <w:hideMark/>
          </w:tcPr>
          <w:p w14:paraId="3A6AB0B9" w14:textId="3BDBC5E7" w:rsidR="002B30D8" w:rsidRDefault="002B30D8">
            <w:pPr>
              <w:pStyle w:val="Tabletext9pt"/>
              <w:rPr>
                <w:szCs w:val="18"/>
              </w:rPr>
            </w:pPr>
            <w:r>
              <w:rPr>
                <w:szCs w:val="18"/>
              </w:rPr>
              <w:t xml:space="preserve">COATS </w:t>
            </w:r>
            <w:r w:rsidR="00DD3294">
              <w:rPr>
                <w:szCs w:val="18"/>
              </w:rPr>
              <w:t>post sentence</w:t>
            </w:r>
          </w:p>
        </w:tc>
        <w:tc>
          <w:tcPr>
            <w:tcW w:w="4342" w:type="dxa"/>
            <w:tcBorders>
              <w:top w:val="single" w:sz="4" w:space="0" w:color="auto"/>
              <w:left w:val="single" w:sz="4" w:space="0" w:color="auto"/>
              <w:bottom w:val="single" w:sz="4" w:space="0" w:color="auto"/>
              <w:right w:val="single" w:sz="4" w:space="0" w:color="auto"/>
            </w:tcBorders>
            <w:hideMark/>
          </w:tcPr>
          <w:p w14:paraId="2A0A8C30" w14:textId="77777777" w:rsidR="002B30D8" w:rsidRDefault="002B30D8">
            <w:pPr>
              <w:pStyle w:val="Tabletext9pt"/>
              <w:rPr>
                <w:szCs w:val="18"/>
              </w:rPr>
            </w:pPr>
            <w:r>
              <w:rPr>
                <w:szCs w:val="18"/>
              </w:rPr>
              <w:t>Community Offenders Advice and Treatment Service brokerage funds to purchase AOD therapeutic treatment for post-sentence/post-prison clients.</w:t>
            </w:r>
          </w:p>
        </w:tc>
      </w:tr>
      <w:tr w:rsidR="002B30D8" w14:paraId="0E7E6398"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2A57C3F5" w14:textId="77777777" w:rsidR="002B30D8" w:rsidRDefault="002B30D8">
            <w:pPr>
              <w:pStyle w:val="Tabletext9pt"/>
              <w:rPr>
                <w:szCs w:val="18"/>
              </w:rPr>
            </w:pPr>
            <w:r>
              <w:rPr>
                <w:szCs w:val="18"/>
              </w:rPr>
              <w:t>34213</w:t>
            </w:r>
          </w:p>
        </w:tc>
        <w:tc>
          <w:tcPr>
            <w:tcW w:w="2977" w:type="dxa"/>
            <w:tcBorders>
              <w:top w:val="single" w:sz="4" w:space="0" w:color="auto"/>
              <w:left w:val="single" w:sz="4" w:space="0" w:color="auto"/>
              <w:bottom w:val="single" w:sz="4" w:space="0" w:color="auto"/>
              <w:right w:val="single" w:sz="4" w:space="0" w:color="auto"/>
            </w:tcBorders>
            <w:hideMark/>
          </w:tcPr>
          <w:p w14:paraId="040563A7" w14:textId="1BD384D7" w:rsidR="002B30D8" w:rsidRDefault="002B30D8">
            <w:pPr>
              <w:pStyle w:val="Tabletext9pt"/>
              <w:rPr>
                <w:szCs w:val="18"/>
              </w:rPr>
            </w:pPr>
            <w:r>
              <w:rPr>
                <w:szCs w:val="18"/>
              </w:rPr>
              <w:t xml:space="preserve">Justice </w:t>
            </w:r>
            <w:r w:rsidR="00DD3294">
              <w:rPr>
                <w:szCs w:val="18"/>
              </w:rPr>
              <w:t>programs</w:t>
            </w:r>
          </w:p>
        </w:tc>
        <w:tc>
          <w:tcPr>
            <w:tcW w:w="4342" w:type="dxa"/>
            <w:tcBorders>
              <w:top w:val="single" w:sz="4" w:space="0" w:color="auto"/>
              <w:left w:val="single" w:sz="4" w:space="0" w:color="auto"/>
              <w:bottom w:val="single" w:sz="4" w:space="0" w:color="auto"/>
              <w:right w:val="single" w:sz="4" w:space="0" w:color="auto"/>
            </w:tcBorders>
            <w:hideMark/>
          </w:tcPr>
          <w:p w14:paraId="5DCCA262" w14:textId="77777777" w:rsidR="002B30D8" w:rsidRDefault="002B30D8">
            <w:pPr>
              <w:pStyle w:val="Tabletext9pt"/>
              <w:rPr>
                <w:szCs w:val="18"/>
              </w:rPr>
            </w:pPr>
            <w:r>
              <w:rPr>
                <w:szCs w:val="18"/>
              </w:rPr>
              <w:t>To deliver criminogenic AOD programs to clients attending treatment via the justice system. Programs currently funded under this activity include targeted criminogenic interventions delivered in group settings.</w:t>
            </w:r>
          </w:p>
        </w:tc>
      </w:tr>
      <w:tr w:rsidR="002B30D8" w14:paraId="1B67A3B1"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21BF7777" w14:textId="77777777" w:rsidR="002B30D8" w:rsidRDefault="002B30D8">
            <w:pPr>
              <w:pStyle w:val="Tabletext9pt"/>
              <w:rPr>
                <w:szCs w:val="18"/>
              </w:rPr>
            </w:pPr>
            <w:r>
              <w:rPr>
                <w:szCs w:val="18"/>
              </w:rPr>
              <w:t>34214</w:t>
            </w:r>
          </w:p>
        </w:tc>
        <w:tc>
          <w:tcPr>
            <w:tcW w:w="2977" w:type="dxa"/>
            <w:tcBorders>
              <w:top w:val="single" w:sz="4" w:space="0" w:color="auto"/>
              <w:left w:val="single" w:sz="4" w:space="0" w:color="auto"/>
              <w:bottom w:val="single" w:sz="4" w:space="0" w:color="auto"/>
              <w:right w:val="single" w:sz="4" w:space="0" w:color="auto"/>
            </w:tcBorders>
            <w:hideMark/>
          </w:tcPr>
          <w:p w14:paraId="4956E161" w14:textId="548982F9" w:rsidR="002B30D8" w:rsidRDefault="002B30D8">
            <w:pPr>
              <w:pStyle w:val="Tabletext9pt"/>
              <w:rPr>
                <w:szCs w:val="18"/>
              </w:rPr>
            </w:pPr>
            <w:r>
              <w:rPr>
                <w:szCs w:val="18"/>
              </w:rPr>
              <w:t xml:space="preserve">Severe </w:t>
            </w:r>
            <w:r w:rsidR="00DD3294">
              <w:rPr>
                <w:szCs w:val="18"/>
              </w:rPr>
              <w:t>substance dependence treatment withdrawal services</w:t>
            </w:r>
          </w:p>
        </w:tc>
        <w:tc>
          <w:tcPr>
            <w:tcW w:w="4342" w:type="dxa"/>
            <w:tcBorders>
              <w:top w:val="single" w:sz="4" w:space="0" w:color="auto"/>
              <w:left w:val="single" w:sz="4" w:space="0" w:color="auto"/>
              <w:bottom w:val="single" w:sz="4" w:space="0" w:color="auto"/>
              <w:right w:val="single" w:sz="4" w:space="0" w:color="auto"/>
            </w:tcBorders>
            <w:hideMark/>
          </w:tcPr>
          <w:p w14:paraId="25111537" w14:textId="77777777" w:rsidR="002B30D8" w:rsidRDefault="002B30D8">
            <w:pPr>
              <w:pStyle w:val="Tabletext9pt"/>
              <w:rPr>
                <w:szCs w:val="18"/>
              </w:rPr>
            </w:pPr>
            <w:r>
              <w:rPr>
                <w:szCs w:val="18"/>
              </w:rPr>
              <w:t>Specified services provided under the</w:t>
            </w:r>
            <w:r>
              <w:rPr>
                <w:i/>
                <w:szCs w:val="18"/>
              </w:rPr>
              <w:t xml:space="preserve"> Severe Substance Dependence Treatment Act 2010</w:t>
            </w:r>
            <w:r>
              <w:rPr>
                <w:szCs w:val="18"/>
              </w:rPr>
              <w:t xml:space="preserve"> including coordination of client care, individual care planning and ensuring clients are linked into services in their local area that provide appropriate care and support.</w:t>
            </w:r>
          </w:p>
        </w:tc>
      </w:tr>
      <w:tr w:rsidR="002B30D8" w14:paraId="21745209"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71FF866E" w14:textId="77777777" w:rsidR="002B30D8" w:rsidRDefault="002B30D8">
            <w:pPr>
              <w:pStyle w:val="Tabletext9pt"/>
              <w:rPr>
                <w:szCs w:val="18"/>
              </w:rPr>
            </w:pPr>
            <w:r>
              <w:rPr>
                <w:szCs w:val="18"/>
              </w:rPr>
              <w:t>34300</w:t>
            </w:r>
          </w:p>
        </w:tc>
        <w:tc>
          <w:tcPr>
            <w:tcW w:w="2977" w:type="dxa"/>
            <w:tcBorders>
              <w:top w:val="single" w:sz="4" w:space="0" w:color="auto"/>
              <w:left w:val="single" w:sz="4" w:space="0" w:color="auto"/>
              <w:bottom w:val="single" w:sz="4" w:space="0" w:color="auto"/>
              <w:right w:val="single" w:sz="4" w:space="0" w:color="auto"/>
            </w:tcBorders>
            <w:hideMark/>
          </w:tcPr>
          <w:p w14:paraId="72D50E96" w14:textId="2F83F564" w:rsidR="002B30D8" w:rsidRDefault="002B30D8">
            <w:pPr>
              <w:pStyle w:val="Tabletext9pt"/>
              <w:rPr>
                <w:szCs w:val="18"/>
              </w:rPr>
            </w:pPr>
            <w:r>
              <w:rPr>
                <w:szCs w:val="18"/>
              </w:rPr>
              <w:t xml:space="preserve">Care and </w:t>
            </w:r>
            <w:r w:rsidR="00DD3294">
              <w:rPr>
                <w:szCs w:val="18"/>
              </w:rPr>
              <w:t>recovery coordination</w:t>
            </w:r>
          </w:p>
        </w:tc>
        <w:tc>
          <w:tcPr>
            <w:tcW w:w="4342" w:type="dxa"/>
            <w:tcBorders>
              <w:top w:val="single" w:sz="4" w:space="0" w:color="auto"/>
              <w:left w:val="single" w:sz="4" w:space="0" w:color="auto"/>
              <w:bottom w:val="single" w:sz="4" w:space="0" w:color="auto"/>
              <w:right w:val="single" w:sz="4" w:space="0" w:color="auto"/>
            </w:tcBorders>
            <w:hideMark/>
          </w:tcPr>
          <w:p w14:paraId="729D8E98" w14:textId="77777777" w:rsidR="002B30D8" w:rsidRDefault="002B30D8">
            <w:pPr>
              <w:pStyle w:val="Tabletext9pt"/>
              <w:rPr>
                <w:szCs w:val="18"/>
              </w:rPr>
            </w:pPr>
            <w:r>
              <w:rPr>
                <w:szCs w:val="18"/>
              </w:rPr>
              <w:t>Facilitates seamless and integrated treatment pathways for complex clients and their families and improves access to other services and support systems in the community through a range of mechanisms including peer support options.</w:t>
            </w:r>
          </w:p>
        </w:tc>
      </w:tr>
      <w:tr w:rsidR="002B30D8" w14:paraId="593777FC"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067BDDA4" w14:textId="77777777" w:rsidR="002B30D8" w:rsidRDefault="002B30D8">
            <w:pPr>
              <w:pStyle w:val="Tabletext9pt"/>
              <w:rPr>
                <w:szCs w:val="18"/>
              </w:rPr>
            </w:pPr>
            <w:r>
              <w:rPr>
                <w:szCs w:val="18"/>
              </w:rPr>
              <w:t>34301</w:t>
            </w:r>
          </w:p>
        </w:tc>
        <w:tc>
          <w:tcPr>
            <w:tcW w:w="2977" w:type="dxa"/>
            <w:tcBorders>
              <w:top w:val="single" w:sz="4" w:space="0" w:color="auto"/>
              <w:left w:val="single" w:sz="4" w:space="0" w:color="auto"/>
              <w:bottom w:val="single" w:sz="4" w:space="0" w:color="auto"/>
              <w:right w:val="single" w:sz="4" w:space="0" w:color="auto"/>
            </w:tcBorders>
            <w:hideMark/>
          </w:tcPr>
          <w:p w14:paraId="58F2A329" w14:textId="77777777" w:rsidR="002B30D8" w:rsidRDefault="002B30D8">
            <w:pPr>
              <w:pStyle w:val="Tabletext9pt"/>
              <w:rPr>
                <w:szCs w:val="18"/>
              </w:rPr>
            </w:pPr>
            <w:r>
              <w:rPr>
                <w:szCs w:val="18"/>
              </w:rPr>
              <w:t>Counselling</w:t>
            </w:r>
          </w:p>
        </w:tc>
        <w:tc>
          <w:tcPr>
            <w:tcW w:w="4342" w:type="dxa"/>
            <w:tcBorders>
              <w:top w:val="single" w:sz="4" w:space="0" w:color="auto"/>
              <w:left w:val="single" w:sz="4" w:space="0" w:color="auto"/>
              <w:bottom w:val="single" w:sz="4" w:space="0" w:color="auto"/>
              <w:right w:val="single" w:sz="4" w:space="0" w:color="auto"/>
            </w:tcBorders>
            <w:hideMark/>
          </w:tcPr>
          <w:p w14:paraId="6F6A39C7" w14:textId="77777777" w:rsidR="002B30D8" w:rsidRDefault="002B30D8">
            <w:pPr>
              <w:pStyle w:val="Tabletext9pt"/>
              <w:rPr>
                <w:szCs w:val="18"/>
              </w:rPr>
            </w:pPr>
            <w:r>
              <w:rPr>
                <w:szCs w:val="18"/>
              </w:rPr>
              <w:t>Counselling includes providing face-to-face, online or telephone treatment and support for individuals and families, including group counselling and day programs. Duration can range from a single session to extended periods of engagement.</w:t>
            </w:r>
          </w:p>
        </w:tc>
      </w:tr>
      <w:tr w:rsidR="002B30D8" w14:paraId="097FE101"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4002DF94" w14:textId="77777777" w:rsidR="002B30D8" w:rsidRDefault="002B30D8">
            <w:pPr>
              <w:pStyle w:val="Tabletext9pt"/>
              <w:rPr>
                <w:szCs w:val="18"/>
              </w:rPr>
            </w:pPr>
            <w:r>
              <w:rPr>
                <w:szCs w:val="18"/>
              </w:rPr>
              <w:t>34303</w:t>
            </w:r>
          </w:p>
        </w:tc>
        <w:tc>
          <w:tcPr>
            <w:tcW w:w="2977" w:type="dxa"/>
            <w:tcBorders>
              <w:top w:val="single" w:sz="4" w:space="0" w:color="auto"/>
              <w:left w:val="single" w:sz="4" w:space="0" w:color="auto"/>
              <w:bottom w:val="single" w:sz="4" w:space="0" w:color="auto"/>
              <w:right w:val="single" w:sz="4" w:space="0" w:color="auto"/>
            </w:tcBorders>
            <w:hideMark/>
          </w:tcPr>
          <w:p w14:paraId="49481339" w14:textId="596D1573" w:rsidR="002B30D8" w:rsidRDefault="002B30D8">
            <w:pPr>
              <w:pStyle w:val="Tabletext9pt"/>
              <w:rPr>
                <w:szCs w:val="18"/>
              </w:rPr>
            </w:pPr>
            <w:r>
              <w:rPr>
                <w:szCs w:val="18"/>
              </w:rPr>
              <w:t>Non-</w:t>
            </w:r>
            <w:r w:rsidR="00DD3294">
              <w:rPr>
                <w:szCs w:val="18"/>
              </w:rPr>
              <w:t>residential withdrawal</w:t>
            </w:r>
          </w:p>
        </w:tc>
        <w:tc>
          <w:tcPr>
            <w:tcW w:w="4342" w:type="dxa"/>
            <w:tcBorders>
              <w:top w:val="single" w:sz="4" w:space="0" w:color="auto"/>
              <w:left w:val="single" w:sz="4" w:space="0" w:color="auto"/>
              <w:bottom w:val="single" w:sz="4" w:space="0" w:color="auto"/>
              <w:right w:val="single" w:sz="4" w:space="0" w:color="auto"/>
            </w:tcBorders>
            <w:hideMark/>
          </w:tcPr>
          <w:p w14:paraId="6D163F1B" w14:textId="77777777" w:rsidR="002B30D8" w:rsidRDefault="002B30D8">
            <w:pPr>
              <w:pStyle w:val="Tabletext9pt"/>
              <w:rPr>
                <w:szCs w:val="18"/>
              </w:rPr>
            </w:pPr>
            <w:r>
              <w:rPr>
                <w:szCs w:val="18"/>
              </w:rPr>
              <w:t>Non-residential withdrawal services support people to safely achieve neuroadaptation reversal in conjunction with a medical practitioner. Includes clinical withdrawal assessment, withdrawal treatment and referral and information provision via home-based, outpatient, outreach, or hospital-supported modalities.</w:t>
            </w:r>
          </w:p>
        </w:tc>
      </w:tr>
      <w:tr w:rsidR="002B30D8" w14:paraId="2D535325"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09E78FF3" w14:textId="77777777" w:rsidR="002B30D8" w:rsidRDefault="002B30D8">
            <w:pPr>
              <w:pStyle w:val="Tabletext9pt"/>
              <w:rPr>
                <w:szCs w:val="18"/>
              </w:rPr>
            </w:pPr>
            <w:r>
              <w:rPr>
                <w:szCs w:val="18"/>
              </w:rPr>
              <w:t>34304</w:t>
            </w:r>
          </w:p>
        </w:tc>
        <w:tc>
          <w:tcPr>
            <w:tcW w:w="2977" w:type="dxa"/>
            <w:tcBorders>
              <w:top w:val="single" w:sz="4" w:space="0" w:color="auto"/>
              <w:left w:val="single" w:sz="4" w:space="0" w:color="auto"/>
              <w:bottom w:val="single" w:sz="4" w:space="0" w:color="auto"/>
              <w:right w:val="single" w:sz="4" w:space="0" w:color="auto"/>
            </w:tcBorders>
            <w:hideMark/>
          </w:tcPr>
          <w:p w14:paraId="138A13AE" w14:textId="47276921" w:rsidR="002B30D8" w:rsidRDefault="002B30D8">
            <w:pPr>
              <w:pStyle w:val="Tabletext9pt"/>
              <w:rPr>
                <w:szCs w:val="18"/>
              </w:rPr>
            </w:pPr>
            <w:r>
              <w:rPr>
                <w:szCs w:val="18"/>
              </w:rPr>
              <w:t>Area-</w:t>
            </w:r>
            <w:r w:rsidR="00DD3294">
              <w:rPr>
                <w:szCs w:val="18"/>
              </w:rPr>
              <w:t>based planning</w:t>
            </w:r>
          </w:p>
        </w:tc>
        <w:tc>
          <w:tcPr>
            <w:tcW w:w="4342" w:type="dxa"/>
            <w:tcBorders>
              <w:top w:val="single" w:sz="4" w:space="0" w:color="auto"/>
              <w:left w:val="single" w:sz="4" w:space="0" w:color="auto"/>
              <w:bottom w:val="single" w:sz="4" w:space="0" w:color="auto"/>
              <w:right w:val="single" w:sz="4" w:space="0" w:color="auto"/>
            </w:tcBorders>
            <w:hideMark/>
          </w:tcPr>
          <w:p w14:paraId="3321A8BE" w14:textId="155B2A1D" w:rsidR="002B30D8" w:rsidRDefault="002B30D8">
            <w:pPr>
              <w:pStyle w:val="Tabletext9pt"/>
            </w:pPr>
            <w:r>
              <w:t>Area-based planning assists AOD treatment providers operating in a given Department of Health area to develop an evidence-based area plan which identifies essential service gaps and pressures and strategies to improve responsiveness to client and community need and population diversity, including disadvantaged population groups. Each plan provides the basis for improved cross-sector service coordination and by doing this achieves a more planned, joined-up approach to the needs of clients.</w:t>
            </w:r>
          </w:p>
        </w:tc>
      </w:tr>
      <w:tr w:rsidR="002B30D8" w14:paraId="025F80DD"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70A98F46" w14:textId="77777777" w:rsidR="002B30D8" w:rsidRDefault="002B30D8">
            <w:pPr>
              <w:pStyle w:val="Tabletext9pt"/>
              <w:rPr>
                <w:szCs w:val="18"/>
              </w:rPr>
            </w:pPr>
            <w:r>
              <w:rPr>
                <w:szCs w:val="18"/>
              </w:rPr>
              <w:t>34305</w:t>
            </w:r>
          </w:p>
        </w:tc>
        <w:tc>
          <w:tcPr>
            <w:tcW w:w="2977" w:type="dxa"/>
            <w:tcBorders>
              <w:top w:val="single" w:sz="4" w:space="0" w:color="auto"/>
              <w:left w:val="single" w:sz="4" w:space="0" w:color="auto"/>
              <w:bottom w:val="single" w:sz="4" w:space="0" w:color="auto"/>
              <w:right w:val="single" w:sz="4" w:space="0" w:color="auto"/>
            </w:tcBorders>
            <w:hideMark/>
          </w:tcPr>
          <w:p w14:paraId="33EA72A8" w14:textId="5259D29A" w:rsidR="002B30D8" w:rsidRDefault="002B30D8">
            <w:pPr>
              <w:pStyle w:val="Tabletext9pt"/>
              <w:rPr>
                <w:szCs w:val="18"/>
              </w:rPr>
            </w:pPr>
            <w:r>
              <w:rPr>
                <w:szCs w:val="18"/>
              </w:rPr>
              <w:t xml:space="preserve">Therapeutic </w:t>
            </w:r>
            <w:r w:rsidR="00DD3294">
              <w:rPr>
                <w:szCs w:val="18"/>
              </w:rPr>
              <w:t>day rehabilitation</w:t>
            </w:r>
          </w:p>
        </w:tc>
        <w:tc>
          <w:tcPr>
            <w:tcW w:w="4342" w:type="dxa"/>
            <w:tcBorders>
              <w:top w:val="single" w:sz="4" w:space="0" w:color="auto"/>
              <w:left w:val="single" w:sz="4" w:space="0" w:color="auto"/>
              <w:bottom w:val="single" w:sz="4" w:space="0" w:color="auto"/>
              <w:right w:val="single" w:sz="4" w:space="0" w:color="auto"/>
            </w:tcBorders>
            <w:hideMark/>
          </w:tcPr>
          <w:p w14:paraId="443D652E" w14:textId="77777777" w:rsidR="002B30D8" w:rsidRDefault="002B30D8">
            <w:pPr>
              <w:pStyle w:val="Tabletext9pt"/>
              <w:rPr>
                <w:szCs w:val="18"/>
              </w:rPr>
            </w:pPr>
            <w:r>
              <w:rPr>
                <w:szCs w:val="18"/>
              </w:rPr>
              <w:t>Non-residential rehabilitation programs for people recovering from AOD substance misuse. These programs are intensive, structured interventions to address the psychosocial causes for drug dependence through evidence-based treatment, with the aim of sustainable recovery. The program typically includes a mix of motivational enhancement, cognitive behavioural therapies and individual and group counselling, self-help and peer support, and supported reintegration into the community and the re-engagement with recreation and activities.</w:t>
            </w:r>
          </w:p>
        </w:tc>
      </w:tr>
      <w:tr w:rsidR="002B30D8" w14:paraId="64D4EA58"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24DF4806" w14:textId="77777777" w:rsidR="002B30D8" w:rsidRDefault="002B30D8">
            <w:pPr>
              <w:pStyle w:val="Tabletext9pt"/>
              <w:rPr>
                <w:szCs w:val="18"/>
              </w:rPr>
            </w:pPr>
            <w:r>
              <w:rPr>
                <w:szCs w:val="18"/>
              </w:rPr>
              <w:lastRenderedPageBreak/>
              <w:t>34306</w:t>
            </w:r>
          </w:p>
        </w:tc>
        <w:tc>
          <w:tcPr>
            <w:tcW w:w="2977" w:type="dxa"/>
            <w:tcBorders>
              <w:top w:val="single" w:sz="4" w:space="0" w:color="auto"/>
              <w:left w:val="single" w:sz="4" w:space="0" w:color="auto"/>
              <w:bottom w:val="single" w:sz="4" w:space="0" w:color="auto"/>
              <w:right w:val="single" w:sz="4" w:space="0" w:color="auto"/>
            </w:tcBorders>
            <w:hideMark/>
          </w:tcPr>
          <w:p w14:paraId="24DAC854" w14:textId="77777777" w:rsidR="002B30D8" w:rsidRDefault="002B30D8">
            <w:pPr>
              <w:pStyle w:val="Tabletext9pt"/>
              <w:rPr>
                <w:szCs w:val="18"/>
              </w:rPr>
            </w:pPr>
            <w:r>
              <w:rPr>
                <w:szCs w:val="18"/>
              </w:rPr>
              <w:t>Intake</w:t>
            </w:r>
          </w:p>
        </w:tc>
        <w:tc>
          <w:tcPr>
            <w:tcW w:w="4342" w:type="dxa"/>
            <w:tcBorders>
              <w:top w:val="single" w:sz="4" w:space="0" w:color="auto"/>
              <w:left w:val="single" w:sz="4" w:space="0" w:color="auto"/>
              <w:bottom w:val="single" w:sz="4" w:space="0" w:color="auto"/>
              <w:right w:val="single" w:sz="4" w:space="0" w:color="auto"/>
            </w:tcBorders>
            <w:hideMark/>
          </w:tcPr>
          <w:p w14:paraId="78440731" w14:textId="77777777" w:rsidR="002B30D8" w:rsidRDefault="002B30D8">
            <w:pPr>
              <w:pStyle w:val="Tabletext9pt"/>
              <w:rPr>
                <w:szCs w:val="18"/>
              </w:rPr>
            </w:pPr>
            <w:r>
              <w:rPr>
                <w:szCs w:val="18"/>
              </w:rPr>
              <w:t>The intake function delivers standardised good-practice triage to identify a person’s need for, and prioritise their referral to, specialist AOD treatment and other services. This activity includes brief interventions and bridging support, where appropriate, up until the point of a client’s assessment.</w:t>
            </w:r>
          </w:p>
        </w:tc>
      </w:tr>
      <w:tr w:rsidR="002B30D8" w14:paraId="1EF5CBE2"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572F226F" w14:textId="77777777" w:rsidR="002B30D8" w:rsidRDefault="002B30D8">
            <w:pPr>
              <w:pStyle w:val="Tabletext9pt"/>
              <w:rPr>
                <w:szCs w:val="18"/>
              </w:rPr>
            </w:pPr>
            <w:r>
              <w:t>34307</w:t>
            </w:r>
          </w:p>
        </w:tc>
        <w:tc>
          <w:tcPr>
            <w:tcW w:w="2977" w:type="dxa"/>
            <w:tcBorders>
              <w:top w:val="single" w:sz="4" w:space="0" w:color="auto"/>
              <w:left w:val="single" w:sz="4" w:space="0" w:color="auto"/>
              <w:bottom w:val="single" w:sz="4" w:space="0" w:color="auto"/>
              <w:right w:val="single" w:sz="4" w:space="0" w:color="auto"/>
            </w:tcBorders>
            <w:hideMark/>
          </w:tcPr>
          <w:p w14:paraId="4648EED1" w14:textId="77777777" w:rsidR="002B30D8" w:rsidRDefault="002B30D8">
            <w:pPr>
              <w:pStyle w:val="Tabletext9pt"/>
              <w:rPr>
                <w:szCs w:val="18"/>
              </w:rPr>
            </w:pPr>
            <w:r>
              <w:rPr>
                <w:szCs w:val="18"/>
              </w:rPr>
              <w:t>Assessment</w:t>
            </w:r>
          </w:p>
        </w:tc>
        <w:tc>
          <w:tcPr>
            <w:tcW w:w="4342" w:type="dxa"/>
            <w:tcBorders>
              <w:top w:val="single" w:sz="4" w:space="0" w:color="auto"/>
              <w:left w:val="single" w:sz="4" w:space="0" w:color="auto"/>
              <w:bottom w:val="single" w:sz="4" w:space="0" w:color="auto"/>
              <w:right w:val="single" w:sz="4" w:space="0" w:color="auto"/>
            </w:tcBorders>
            <w:hideMark/>
          </w:tcPr>
          <w:p w14:paraId="76FE9061" w14:textId="77777777" w:rsidR="002B30D8" w:rsidRDefault="002B30D8">
            <w:pPr>
              <w:pStyle w:val="Tabletext9pt"/>
              <w:rPr>
                <w:szCs w:val="18"/>
              </w:rPr>
            </w:pPr>
            <w:r>
              <w:t>The assessment function delivers standardised, good-practice comprehensive assessment and treatment planning to identify and prioritise a person’s treatment and referral needs. This activity includes brief interventions and bridging support, where appropriate.</w:t>
            </w:r>
          </w:p>
        </w:tc>
      </w:tr>
      <w:tr w:rsidR="002B30D8" w14:paraId="2707A592" w14:textId="77777777" w:rsidTr="3CDFC638">
        <w:trPr>
          <w:cantSplit/>
        </w:trPr>
        <w:tc>
          <w:tcPr>
            <w:tcW w:w="1980" w:type="dxa"/>
            <w:tcBorders>
              <w:top w:val="single" w:sz="4" w:space="0" w:color="auto"/>
              <w:left w:val="single" w:sz="4" w:space="0" w:color="auto"/>
              <w:bottom w:val="single" w:sz="4" w:space="0" w:color="auto"/>
              <w:right w:val="single" w:sz="4" w:space="0" w:color="auto"/>
            </w:tcBorders>
            <w:hideMark/>
          </w:tcPr>
          <w:p w14:paraId="569B4D48" w14:textId="77777777" w:rsidR="002B30D8" w:rsidRDefault="002B30D8">
            <w:pPr>
              <w:pStyle w:val="Tabletext9pt"/>
            </w:pPr>
            <w:r>
              <w:t>34308</w:t>
            </w:r>
          </w:p>
        </w:tc>
        <w:tc>
          <w:tcPr>
            <w:tcW w:w="2977" w:type="dxa"/>
            <w:tcBorders>
              <w:top w:val="single" w:sz="4" w:space="0" w:color="auto"/>
              <w:left w:val="single" w:sz="4" w:space="0" w:color="auto"/>
              <w:bottom w:val="single" w:sz="4" w:space="0" w:color="auto"/>
              <w:right w:val="single" w:sz="4" w:space="0" w:color="auto"/>
            </w:tcBorders>
            <w:hideMark/>
          </w:tcPr>
          <w:p w14:paraId="1EF09521" w14:textId="77777777" w:rsidR="002B30D8" w:rsidRDefault="002B30D8">
            <w:pPr>
              <w:pStyle w:val="Tabletext9pt"/>
              <w:rPr>
                <w:szCs w:val="18"/>
              </w:rPr>
            </w:pPr>
            <w:r>
              <w:rPr>
                <w:szCs w:val="18"/>
              </w:rPr>
              <w:t>Medically Supervised Injecting Room</w:t>
            </w:r>
          </w:p>
        </w:tc>
        <w:tc>
          <w:tcPr>
            <w:tcW w:w="4342" w:type="dxa"/>
            <w:tcBorders>
              <w:top w:val="single" w:sz="4" w:space="0" w:color="auto"/>
              <w:left w:val="single" w:sz="4" w:space="0" w:color="auto"/>
              <w:bottom w:val="single" w:sz="4" w:space="0" w:color="auto"/>
              <w:right w:val="single" w:sz="4" w:space="0" w:color="auto"/>
            </w:tcBorders>
            <w:hideMark/>
          </w:tcPr>
          <w:p w14:paraId="0E95E1E4" w14:textId="77777777" w:rsidR="002B30D8" w:rsidRDefault="002B30D8">
            <w:pPr>
              <w:pStyle w:val="Tabletext9pt"/>
            </w:pPr>
            <w:r>
              <w:t>To provide a safer setting for people to inject drugs, consistent with the objects outlined in Part IIA of the Drugs, Poisons and Controlled Substances Act 1981 (the Act).</w:t>
            </w:r>
          </w:p>
        </w:tc>
      </w:tr>
    </w:tbl>
    <w:p w14:paraId="1EE2E64C" w14:textId="1C9BDA0A" w:rsidR="00D77BCA" w:rsidRDefault="00333328" w:rsidP="00685B35">
      <w:pPr>
        <w:pStyle w:val="Tablecaption"/>
      </w:pPr>
      <w:bookmarkStart w:id="946" w:name="_Toc156568675"/>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32</w:t>
      </w:r>
      <w:r>
        <w:fldChar w:fldCharType="end"/>
      </w:r>
      <w:r>
        <w:t xml:space="preserve">: </w:t>
      </w:r>
      <w:bookmarkStart w:id="947" w:name="_Toc109894124"/>
      <w:r w:rsidR="000B27B9" w:rsidRPr="00E7554A">
        <w:t>Small rural health services</w:t>
      </w:r>
      <w:r w:rsidR="000B27B9">
        <w:t xml:space="preserve"> </w:t>
      </w:r>
      <w:r w:rsidR="000B27B9" w:rsidRPr="00E7554A">
        <w:t>– outputs and activities</w:t>
      </w:r>
      <w:r w:rsidR="000B27B9">
        <w:t xml:space="preserve"> </w:t>
      </w:r>
      <w:r w:rsidR="005D1FCB" w:rsidRPr="00697369">
        <w:t>202</w:t>
      </w:r>
      <w:r w:rsidR="00D3156E">
        <w:t>3</w:t>
      </w:r>
      <w:r w:rsidR="00CA1B3E">
        <w:t>–</w:t>
      </w:r>
      <w:r w:rsidR="005D1FCB" w:rsidRPr="00697369">
        <w:t>2</w:t>
      </w:r>
      <w:r w:rsidR="00D77BCA">
        <w:t>4</w:t>
      </w:r>
      <w:bookmarkEnd w:id="946"/>
    </w:p>
    <w:p w14:paraId="1973E94B" w14:textId="7BA4D281" w:rsidR="00333328" w:rsidRDefault="002B30D8" w:rsidP="00685B35">
      <w:pPr>
        <w:pStyle w:val="Body"/>
      </w:pPr>
      <w:bookmarkStart w:id="948" w:name="_Ref12016891"/>
      <w:bookmarkStart w:id="949" w:name="_Toc419623628"/>
      <w:bookmarkStart w:id="950" w:name="_Toc419623740"/>
      <w:bookmarkStart w:id="951" w:name="_Toc419644528"/>
      <w:bookmarkStart w:id="952" w:name="_Toc487742092"/>
      <w:bookmarkEnd w:id="935"/>
      <w:bookmarkEnd w:id="936"/>
      <w:bookmarkEnd w:id="937"/>
      <w:bookmarkEnd w:id="938"/>
      <w:bookmarkEnd w:id="939"/>
      <w:bookmarkEnd w:id="940"/>
      <w:bookmarkEnd w:id="941"/>
      <w:bookmarkEnd w:id="942"/>
      <w:bookmarkEnd w:id="943"/>
      <w:bookmarkEnd w:id="944"/>
      <w:bookmarkEnd w:id="945"/>
      <w:bookmarkEnd w:id="947"/>
      <w:r>
        <w:t>Output name: Acute health</w:t>
      </w:r>
    </w:p>
    <w:tbl>
      <w:tblPr>
        <w:tblStyle w:val="TableGrid1"/>
        <w:tblW w:w="9299" w:type="dxa"/>
        <w:tblLook w:val="06A0" w:firstRow="1" w:lastRow="0" w:firstColumn="1" w:lastColumn="0" w:noHBand="1" w:noVBand="1"/>
      </w:tblPr>
      <w:tblGrid>
        <w:gridCol w:w="1980"/>
        <w:gridCol w:w="2977"/>
        <w:gridCol w:w="4342"/>
      </w:tblGrid>
      <w:tr w:rsidR="00537B9A" w14:paraId="066DE6F7"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1F3BCFE" w14:textId="77777777" w:rsidR="002B30D8" w:rsidRPr="00685B35" w:rsidRDefault="002B30D8" w:rsidP="00685B35">
            <w:pPr>
              <w:pStyle w:val="Tablecolhead"/>
            </w:pPr>
            <w:r w:rsidRPr="00685B35">
              <w:rPr>
                <w:sz w:val="20"/>
              </w:rPr>
              <w:t>Activity no.</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EA6439A" w14:textId="77777777" w:rsidR="002B30D8" w:rsidRPr="00685B35" w:rsidRDefault="002B30D8" w:rsidP="00685B35">
            <w:pPr>
              <w:pStyle w:val="Tablecolhead"/>
            </w:pPr>
            <w:r w:rsidRPr="00685B35">
              <w:rPr>
                <w:sz w:val="20"/>
              </w:rPr>
              <w:t>Activity name</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14:paraId="1B7C30EE" w14:textId="77777777" w:rsidR="002B30D8" w:rsidRPr="00685B35" w:rsidRDefault="002B30D8" w:rsidP="00685B35">
            <w:pPr>
              <w:pStyle w:val="Tablecolhead"/>
            </w:pPr>
            <w:r w:rsidRPr="00685B35">
              <w:rPr>
                <w:sz w:val="20"/>
              </w:rPr>
              <w:t>Activity description</w:t>
            </w:r>
          </w:p>
        </w:tc>
      </w:tr>
      <w:tr w:rsidR="002B30D8" w14:paraId="69ADFCE1" w14:textId="77777777" w:rsidTr="002B30D8">
        <w:tc>
          <w:tcPr>
            <w:tcW w:w="1980" w:type="dxa"/>
            <w:tcBorders>
              <w:top w:val="single" w:sz="4" w:space="0" w:color="auto"/>
              <w:left w:val="single" w:sz="4" w:space="0" w:color="auto"/>
              <w:bottom w:val="single" w:sz="4" w:space="0" w:color="auto"/>
              <w:right w:val="single" w:sz="4" w:space="0" w:color="auto"/>
            </w:tcBorders>
            <w:hideMark/>
          </w:tcPr>
          <w:p w14:paraId="414256AA" w14:textId="77777777" w:rsidR="002B30D8" w:rsidRDefault="002B30D8">
            <w:pPr>
              <w:pStyle w:val="Tabletext9pt"/>
              <w:rPr>
                <w:szCs w:val="18"/>
              </w:rPr>
            </w:pPr>
            <w:r>
              <w:rPr>
                <w:szCs w:val="18"/>
              </w:rPr>
              <w:t>35024</w:t>
            </w:r>
          </w:p>
        </w:tc>
        <w:tc>
          <w:tcPr>
            <w:tcW w:w="2977" w:type="dxa"/>
            <w:tcBorders>
              <w:top w:val="single" w:sz="4" w:space="0" w:color="auto"/>
              <w:left w:val="single" w:sz="4" w:space="0" w:color="auto"/>
              <w:bottom w:val="single" w:sz="4" w:space="0" w:color="auto"/>
              <w:right w:val="single" w:sz="4" w:space="0" w:color="auto"/>
            </w:tcBorders>
            <w:hideMark/>
          </w:tcPr>
          <w:p w14:paraId="290395CB" w14:textId="77777777" w:rsidR="002B30D8" w:rsidRDefault="002B30D8">
            <w:pPr>
              <w:pStyle w:val="Tabletext9pt"/>
              <w:rPr>
                <w:szCs w:val="18"/>
              </w:rPr>
            </w:pPr>
            <w:r>
              <w:rPr>
                <w:szCs w:val="18"/>
              </w:rPr>
              <w:t>Small rural – flexible health service delivery</w:t>
            </w:r>
          </w:p>
        </w:tc>
        <w:tc>
          <w:tcPr>
            <w:tcW w:w="4342" w:type="dxa"/>
            <w:tcBorders>
              <w:top w:val="single" w:sz="4" w:space="0" w:color="auto"/>
              <w:left w:val="single" w:sz="4" w:space="0" w:color="auto"/>
              <w:bottom w:val="single" w:sz="4" w:space="0" w:color="auto"/>
              <w:right w:val="single" w:sz="4" w:space="0" w:color="auto"/>
            </w:tcBorders>
            <w:hideMark/>
          </w:tcPr>
          <w:p w14:paraId="09966504" w14:textId="77777777" w:rsidR="002B30D8" w:rsidRDefault="002B30D8">
            <w:pPr>
              <w:pStyle w:val="Tabletext9pt"/>
              <w:rPr>
                <w:szCs w:val="18"/>
              </w:rPr>
            </w:pPr>
            <w:r>
              <w:rPr>
                <w:szCs w:val="18"/>
              </w:rPr>
              <w:t>A range of health services provided to small rural communities.</w:t>
            </w:r>
          </w:p>
        </w:tc>
      </w:tr>
      <w:tr w:rsidR="002B30D8" w14:paraId="107F98D7" w14:textId="77777777" w:rsidTr="002B30D8">
        <w:tc>
          <w:tcPr>
            <w:tcW w:w="1980" w:type="dxa"/>
            <w:tcBorders>
              <w:top w:val="single" w:sz="4" w:space="0" w:color="auto"/>
              <w:left w:val="single" w:sz="4" w:space="0" w:color="auto"/>
              <w:bottom w:val="single" w:sz="4" w:space="0" w:color="auto"/>
              <w:right w:val="single" w:sz="4" w:space="0" w:color="auto"/>
            </w:tcBorders>
            <w:hideMark/>
          </w:tcPr>
          <w:p w14:paraId="52CB26F1" w14:textId="77777777" w:rsidR="002B30D8" w:rsidRDefault="002B30D8">
            <w:pPr>
              <w:pStyle w:val="Tabletext9pt"/>
              <w:rPr>
                <w:szCs w:val="18"/>
              </w:rPr>
            </w:pPr>
            <w:r>
              <w:rPr>
                <w:szCs w:val="18"/>
              </w:rPr>
              <w:t>35025</w:t>
            </w:r>
          </w:p>
        </w:tc>
        <w:tc>
          <w:tcPr>
            <w:tcW w:w="2977" w:type="dxa"/>
            <w:tcBorders>
              <w:top w:val="single" w:sz="4" w:space="0" w:color="auto"/>
              <w:left w:val="single" w:sz="4" w:space="0" w:color="auto"/>
              <w:bottom w:val="single" w:sz="4" w:space="0" w:color="auto"/>
              <w:right w:val="single" w:sz="4" w:space="0" w:color="auto"/>
            </w:tcBorders>
            <w:hideMark/>
          </w:tcPr>
          <w:p w14:paraId="56A1D845" w14:textId="77777777" w:rsidR="002B30D8" w:rsidRDefault="002B30D8">
            <w:pPr>
              <w:pStyle w:val="Tabletext9pt"/>
              <w:rPr>
                <w:szCs w:val="18"/>
              </w:rPr>
            </w:pPr>
            <w:r>
              <w:rPr>
                <w:szCs w:val="18"/>
              </w:rPr>
              <w:t>Small rural – TAC – acute health</w:t>
            </w:r>
          </w:p>
        </w:tc>
        <w:tc>
          <w:tcPr>
            <w:tcW w:w="4342" w:type="dxa"/>
            <w:tcBorders>
              <w:top w:val="single" w:sz="4" w:space="0" w:color="auto"/>
              <w:left w:val="single" w:sz="4" w:space="0" w:color="auto"/>
              <w:bottom w:val="single" w:sz="4" w:space="0" w:color="auto"/>
              <w:right w:val="single" w:sz="4" w:space="0" w:color="auto"/>
            </w:tcBorders>
            <w:hideMark/>
          </w:tcPr>
          <w:p w14:paraId="19F2BE6A" w14:textId="77777777" w:rsidR="002B30D8" w:rsidRDefault="002B30D8">
            <w:pPr>
              <w:pStyle w:val="Tabletext9pt"/>
              <w:rPr>
                <w:szCs w:val="18"/>
              </w:rPr>
            </w:pPr>
            <w:r>
              <w:rPr>
                <w:szCs w:val="18"/>
              </w:rPr>
              <w:t>Transport Accident Commission-funded inpatient services.</w:t>
            </w:r>
          </w:p>
        </w:tc>
      </w:tr>
      <w:tr w:rsidR="002B30D8" w14:paraId="7761B5EE" w14:textId="77777777" w:rsidTr="002B30D8">
        <w:tc>
          <w:tcPr>
            <w:tcW w:w="1980" w:type="dxa"/>
            <w:tcBorders>
              <w:top w:val="single" w:sz="4" w:space="0" w:color="auto"/>
              <w:left w:val="single" w:sz="4" w:space="0" w:color="auto"/>
              <w:bottom w:val="single" w:sz="4" w:space="0" w:color="auto"/>
              <w:right w:val="single" w:sz="4" w:space="0" w:color="auto"/>
            </w:tcBorders>
            <w:hideMark/>
          </w:tcPr>
          <w:p w14:paraId="0A1729A7" w14:textId="77777777" w:rsidR="002B30D8" w:rsidRDefault="002B30D8">
            <w:pPr>
              <w:pStyle w:val="Tabletext9pt"/>
              <w:rPr>
                <w:szCs w:val="18"/>
              </w:rPr>
            </w:pPr>
            <w:r>
              <w:rPr>
                <w:szCs w:val="18"/>
              </w:rPr>
              <w:t>35026</w:t>
            </w:r>
          </w:p>
        </w:tc>
        <w:tc>
          <w:tcPr>
            <w:tcW w:w="2977" w:type="dxa"/>
            <w:tcBorders>
              <w:top w:val="single" w:sz="4" w:space="0" w:color="auto"/>
              <w:left w:val="single" w:sz="4" w:space="0" w:color="auto"/>
              <w:bottom w:val="single" w:sz="4" w:space="0" w:color="auto"/>
              <w:right w:val="single" w:sz="4" w:space="0" w:color="auto"/>
            </w:tcBorders>
            <w:hideMark/>
          </w:tcPr>
          <w:p w14:paraId="35A5B254" w14:textId="77777777" w:rsidR="002B30D8" w:rsidRDefault="002B30D8">
            <w:pPr>
              <w:pStyle w:val="Tabletext9pt"/>
              <w:rPr>
                <w:szCs w:val="18"/>
              </w:rPr>
            </w:pPr>
            <w:r>
              <w:rPr>
                <w:szCs w:val="18"/>
              </w:rPr>
              <w:t>Small rural – DVA – acute health</w:t>
            </w:r>
          </w:p>
        </w:tc>
        <w:tc>
          <w:tcPr>
            <w:tcW w:w="4342" w:type="dxa"/>
            <w:tcBorders>
              <w:top w:val="single" w:sz="4" w:space="0" w:color="auto"/>
              <w:left w:val="single" w:sz="4" w:space="0" w:color="auto"/>
              <w:bottom w:val="single" w:sz="4" w:space="0" w:color="auto"/>
              <w:right w:val="single" w:sz="4" w:space="0" w:color="auto"/>
            </w:tcBorders>
            <w:hideMark/>
          </w:tcPr>
          <w:p w14:paraId="30B6FF02" w14:textId="77777777" w:rsidR="002B30D8" w:rsidRDefault="002B30D8">
            <w:pPr>
              <w:pStyle w:val="Tabletext9pt"/>
              <w:rPr>
                <w:szCs w:val="18"/>
              </w:rPr>
            </w:pPr>
            <w:r>
              <w:rPr>
                <w:szCs w:val="18"/>
              </w:rPr>
              <w:t>Department of Veterans’ Affairs-funded inpatient services.</w:t>
            </w:r>
          </w:p>
        </w:tc>
      </w:tr>
      <w:tr w:rsidR="002B30D8" w14:paraId="3949AA45" w14:textId="77777777" w:rsidTr="002B30D8">
        <w:tc>
          <w:tcPr>
            <w:tcW w:w="1980" w:type="dxa"/>
            <w:tcBorders>
              <w:top w:val="single" w:sz="4" w:space="0" w:color="auto"/>
              <w:left w:val="single" w:sz="4" w:space="0" w:color="auto"/>
              <w:bottom w:val="single" w:sz="4" w:space="0" w:color="auto"/>
              <w:right w:val="single" w:sz="4" w:space="0" w:color="auto"/>
            </w:tcBorders>
            <w:hideMark/>
          </w:tcPr>
          <w:p w14:paraId="7A8D733A" w14:textId="77777777" w:rsidR="002B30D8" w:rsidRDefault="002B30D8">
            <w:pPr>
              <w:pStyle w:val="Tabletext9pt"/>
              <w:rPr>
                <w:szCs w:val="18"/>
              </w:rPr>
            </w:pPr>
            <w:r>
              <w:rPr>
                <w:szCs w:val="18"/>
              </w:rPr>
              <w:t>35028</w:t>
            </w:r>
          </w:p>
        </w:tc>
        <w:tc>
          <w:tcPr>
            <w:tcW w:w="2977" w:type="dxa"/>
            <w:tcBorders>
              <w:top w:val="single" w:sz="4" w:space="0" w:color="auto"/>
              <w:left w:val="single" w:sz="4" w:space="0" w:color="auto"/>
              <w:bottom w:val="single" w:sz="4" w:space="0" w:color="auto"/>
              <w:right w:val="single" w:sz="4" w:space="0" w:color="auto"/>
            </w:tcBorders>
            <w:hideMark/>
          </w:tcPr>
          <w:p w14:paraId="1F8A7D5F" w14:textId="77777777" w:rsidR="002B30D8" w:rsidRDefault="002B30D8">
            <w:pPr>
              <w:pStyle w:val="Tabletext9pt"/>
              <w:rPr>
                <w:szCs w:val="18"/>
              </w:rPr>
            </w:pPr>
            <w:r>
              <w:rPr>
                <w:szCs w:val="18"/>
              </w:rPr>
              <w:t>Small rural – acute health service system development and resourcing</w:t>
            </w:r>
          </w:p>
        </w:tc>
        <w:tc>
          <w:tcPr>
            <w:tcW w:w="4342" w:type="dxa"/>
            <w:tcBorders>
              <w:top w:val="single" w:sz="4" w:space="0" w:color="auto"/>
              <w:left w:val="single" w:sz="4" w:space="0" w:color="auto"/>
              <w:bottom w:val="single" w:sz="4" w:space="0" w:color="auto"/>
              <w:right w:val="single" w:sz="4" w:space="0" w:color="auto"/>
            </w:tcBorders>
            <w:hideMark/>
          </w:tcPr>
          <w:p w14:paraId="1EF85E62" w14:textId="77777777" w:rsidR="002B30D8" w:rsidRDefault="002B30D8">
            <w:pPr>
              <w:pStyle w:val="Tabletext9pt"/>
              <w:rPr>
                <w:szCs w:val="18"/>
              </w:rPr>
            </w:pPr>
            <w:r>
              <w:rPr>
                <w:szCs w:val="18"/>
              </w:rPr>
              <w:t xml:space="preserve">Provides funds for workforce, community, service </w:t>
            </w:r>
            <w:r>
              <w:t>development</w:t>
            </w:r>
            <w:r>
              <w:rPr>
                <w:szCs w:val="18"/>
              </w:rPr>
              <w:t xml:space="preserve"> and IT projects that support SRHSs.</w:t>
            </w:r>
          </w:p>
        </w:tc>
      </w:tr>
      <w:tr w:rsidR="002B30D8" w14:paraId="0058F47F" w14:textId="77777777" w:rsidTr="002B30D8">
        <w:tc>
          <w:tcPr>
            <w:tcW w:w="1980" w:type="dxa"/>
            <w:tcBorders>
              <w:top w:val="single" w:sz="4" w:space="0" w:color="auto"/>
              <w:left w:val="single" w:sz="4" w:space="0" w:color="auto"/>
              <w:bottom w:val="single" w:sz="4" w:space="0" w:color="auto"/>
              <w:right w:val="single" w:sz="4" w:space="0" w:color="auto"/>
            </w:tcBorders>
            <w:hideMark/>
          </w:tcPr>
          <w:p w14:paraId="5A15FCA5" w14:textId="77777777" w:rsidR="002B30D8" w:rsidRDefault="002B30D8">
            <w:pPr>
              <w:pStyle w:val="Tabletext9pt"/>
              <w:rPr>
                <w:szCs w:val="18"/>
              </w:rPr>
            </w:pPr>
            <w:r>
              <w:rPr>
                <w:szCs w:val="18"/>
              </w:rPr>
              <w:t>35051</w:t>
            </w:r>
          </w:p>
        </w:tc>
        <w:tc>
          <w:tcPr>
            <w:tcW w:w="2977" w:type="dxa"/>
            <w:tcBorders>
              <w:top w:val="single" w:sz="4" w:space="0" w:color="auto"/>
              <w:left w:val="single" w:sz="4" w:space="0" w:color="auto"/>
              <w:bottom w:val="single" w:sz="4" w:space="0" w:color="auto"/>
              <w:right w:val="single" w:sz="4" w:space="0" w:color="auto"/>
            </w:tcBorders>
            <w:hideMark/>
          </w:tcPr>
          <w:p w14:paraId="188A2F25" w14:textId="77777777" w:rsidR="002B30D8" w:rsidRDefault="002B30D8">
            <w:pPr>
              <w:pStyle w:val="Tabletext9pt"/>
              <w:rPr>
                <w:szCs w:val="18"/>
              </w:rPr>
            </w:pPr>
            <w:r>
              <w:rPr>
                <w:szCs w:val="18"/>
              </w:rPr>
              <w:t>Acute health – bush nursing hospitals</w:t>
            </w:r>
          </w:p>
        </w:tc>
        <w:tc>
          <w:tcPr>
            <w:tcW w:w="4342" w:type="dxa"/>
            <w:tcBorders>
              <w:top w:val="single" w:sz="4" w:space="0" w:color="auto"/>
              <w:left w:val="single" w:sz="4" w:space="0" w:color="auto"/>
              <w:bottom w:val="single" w:sz="4" w:space="0" w:color="auto"/>
              <w:right w:val="single" w:sz="4" w:space="0" w:color="auto"/>
            </w:tcBorders>
            <w:hideMark/>
          </w:tcPr>
          <w:p w14:paraId="083F52D2" w14:textId="77777777" w:rsidR="002B30D8" w:rsidRDefault="002B30D8">
            <w:pPr>
              <w:pStyle w:val="Tabletext9pt"/>
              <w:rPr>
                <w:szCs w:val="18"/>
              </w:rPr>
            </w:pPr>
            <w:r>
              <w:rPr>
                <w:szCs w:val="18"/>
              </w:rPr>
              <w:t>Provides funds to bush nursing hospitals to support a variety of purposes including inpatient services, 24-hour emergency stabilisation services, agency support and stabilisation grants.</w:t>
            </w:r>
          </w:p>
        </w:tc>
      </w:tr>
      <w:tr w:rsidR="002B30D8" w14:paraId="3FD0699C" w14:textId="77777777" w:rsidTr="002B30D8">
        <w:trPr>
          <w:trHeight w:val="96"/>
        </w:trPr>
        <w:tc>
          <w:tcPr>
            <w:tcW w:w="1980" w:type="dxa"/>
            <w:tcBorders>
              <w:top w:val="single" w:sz="4" w:space="0" w:color="auto"/>
              <w:left w:val="single" w:sz="4" w:space="0" w:color="auto"/>
              <w:bottom w:val="single" w:sz="4" w:space="0" w:color="auto"/>
              <w:right w:val="single" w:sz="4" w:space="0" w:color="auto"/>
            </w:tcBorders>
            <w:hideMark/>
          </w:tcPr>
          <w:p w14:paraId="6FA85412" w14:textId="77777777" w:rsidR="002B30D8" w:rsidRDefault="002B30D8">
            <w:pPr>
              <w:pStyle w:val="Tabletext9pt"/>
              <w:rPr>
                <w:szCs w:val="18"/>
              </w:rPr>
            </w:pPr>
            <w:r>
              <w:rPr>
                <w:szCs w:val="18"/>
              </w:rPr>
              <w:t>35052</w:t>
            </w:r>
          </w:p>
        </w:tc>
        <w:tc>
          <w:tcPr>
            <w:tcW w:w="2977" w:type="dxa"/>
            <w:tcBorders>
              <w:top w:val="single" w:sz="4" w:space="0" w:color="auto"/>
              <w:left w:val="single" w:sz="4" w:space="0" w:color="auto"/>
              <w:bottom w:val="single" w:sz="4" w:space="0" w:color="auto"/>
              <w:right w:val="single" w:sz="4" w:space="0" w:color="auto"/>
            </w:tcBorders>
            <w:hideMark/>
          </w:tcPr>
          <w:p w14:paraId="27AE2FA0" w14:textId="77777777" w:rsidR="002B30D8" w:rsidRDefault="002B30D8">
            <w:pPr>
              <w:pStyle w:val="Tabletext9pt"/>
              <w:rPr>
                <w:szCs w:val="18"/>
              </w:rPr>
            </w:pPr>
            <w:r>
              <w:rPr>
                <w:szCs w:val="18"/>
              </w:rPr>
              <w:t>Small rural – specified services</w:t>
            </w:r>
          </w:p>
        </w:tc>
        <w:tc>
          <w:tcPr>
            <w:tcW w:w="4342" w:type="dxa"/>
            <w:tcBorders>
              <w:top w:val="single" w:sz="4" w:space="0" w:color="auto"/>
              <w:left w:val="single" w:sz="4" w:space="0" w:color="auto"/>
              <w:bottom w:val="single" w:sz="4" w:space="0" w:color="auto"/>
              <w:right w:val="single" w:sz="4" w:space="0" w:color="auto"/>
            </w:tcBorders>
            <w:hideMark/>
          </w:tcPr>
          <w:p w14:paraId="6065E35E" w14:textId="77777777" w:rsidR="002B30D8" w:rsidRDefault="002B30D8">
            <w:pPr>
              <w:pStyle w:val="Tabletext9pt"/>
              <w:rPr>
                <w:szCs w:val="18"/>
              </w:rPr>
            </w:pPr>
            <w:r>
              <w:rPr>
                <w:szCs w:val="18"/>
              </w:rPr>
              <w:t>Provides funding for services and projects as specified in applicable grant descriptions and conditions of funding. Includes specific-purpose activities of both a one-off and recurrent nature.</w:t>
            </w:r>
          </w:p>
        </w:tc>
      </w:tr>
      <w:tr w:rsidR="002B30D8" w14:paraId="1105A02B" w14:textId="77777777" w:rsidTr="002B30D8">
        <w:trPr>
          <w:trHeight w:val="96"/>
        </w:trPr>
        <w:tc>
          <w:tcPr>
            <w:tcW w:w="1980" w:type="dxa"/>
            <w:tcBorders>
              <w:top w:val="single" w:sz="4" w:space="0" w:color="auto"/>
              <w:left w:val="single" w:sz="4" w:space="0" w:color="auto"/>
              <w:bottom w:val="single" w:sz="4" w:space="0" w:color="auto"/>
              <w:right w:val="single" w:sz="4" w:space="0" w:color="auto"/>
            </w:tcBorders>
            <w:hideMark/>
          </w:tcPr>
          <w:p w14:paraId="3970650E" w14:textId="77777777" w:rsidR="002B30D8" w:rsidRDefault="002B30D8">
            <w:pPr>
              <w:pStyle w:val="Tabletext9pt"/>
              <w:rPr>
                <w:szCs w:val="18"/>
              </w:rPr>
            </w:pPr>
            <w:r>
              <w:rPr>
                <w:szCs w:val="18"/>
              </w:rPr>
              <w:t>35023</w:t>
            </w:r>
          </w:p>
        </w:tc>
        <w:tc>
          <w:tcPr>
            <w:tcW w:w="2977" w:type="dxa"/>
            <w:tcBorders>
              <w:top w:val="single" w:sz="4" w:space="0" w:color="auto"/>
              <w:left w:val="single" w:sz="4" w:space="0" w:color="auto"/>
              <w:bottom w:val="single" w:sz="4" w:space="0" w:color="auto"/>
              <w:right w:val="single" w:sz="4" w:space="0" w:color="auto"/>
            </w:tcBorders>
            <w:hideMark/>
          </w:tcPr>
          <w:p w14:paraId="27E1ACB2" w14:textId="77777777" w:rsidR="002B30D8" w:rsidRDefault="002B30D8">
            <w:pPr>
              <w:pStyle w:val="Tabletext9pt"/>
              <w:rPr>
                <w:szCs w:val="18"/>
              </w:rPr>
            </w:pPr>
            <w:r>
              <w:rPr>
                <w:szCs w:val="18"/>
              </w:rPr>
              <w:t>Acute health – bush nursing centres</w:t>
            </w:r>
          </w:p>
        </w:tc>
        <w:tc>
          <w:tcPr>
            <w:tcW w:w="4342" w:type="dxa"/>
            <w:tcBorders>
              <w:top w:val="single" w:sz="4" w:space="0" w:color="auto"/>
              <w:left w:val="single" w:sz="4" w:space="0" w:color="auto"/>
              <w:bottom w:val="single" w:sz="4" w:space="0" w:color="auto"/>
              <w:right w:val="single" w:sz="4" w:space="0" w:color="auto"/>
            </w:tcBorders>
            <w:hideMark/>
          </w:tcPr>
          <w:p w14:paraId="17AADDA4" w14:textId="77777777" w:rsidR="002B30D8" w:rsidRDefault="002B30D8">
            <w:pPr>
              <w:pStyle w:val="Tabletext9pt"/>
              <w:rPr>
                <w:szCs w:val="18"/>
              </w:rPr>
            </w:pPr>
            <w:r>
              <w:rPr>
                <w:szCs w:val="18"/>
              </w:rPr>
              <w:t>Provides funds to bush nursing centres to support clinical care, practical assistance, support, referral, and advocacy with the goal of improving quality of life, social function, and health.</w:t>
            </w:r>
          </w:p>
        </w:tc>
      </w:tr>
    </w:tbl>
    <w:p w14:paraId="1FDE3EF4" w14:textId="6D21424F" w:rsidR="002B30D8" w:rsidRDefault="002B30D8" w:rsidP="00FC00E9">
      <w:pPr>
        <w:pStyle w:val="Bodyaftertablefigure"/>
        <w:keepNext/>
      </w:pPr>
      <w:r>
        <w:t xml:space="preserve">Output name: </w:t>
      </w:r>
      <w:r w:rsidR="00FB4059">
        <w:t xml:space="preserve">Small </w:t>
      </w:r>
      <w:r w:rsidR="00DD3294">
        <w:t>rural services</w:t>
      </w:r>
    </w:p>
    <w:tbl>
      <w:tblPr>
        <w:tblStyle w:val="TableGrid1"/>
        <w:tblW w:w="9299" w:type="dxa"/>
        <w:tblLook w:val="06A0" w:firstRow="1" w:lastRow="0" w:firstColumn="1" w:lastColumn="0" w:noHBand="1" w:noVBand="1"/>
      </w:tblPr>
      <w:tblGrid>
        <w:gridCol w:w="1980"/>
        <w:gridCol w:w="2977"/>
        <w:gridCol w:w="4342"/>
      </w:tblGrid>
      <w:tr w:rsidR="00FC00E9" w14:paraId="7AB2CAD9"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2C21EC5C" w14:textId="77777777" w:rsidR="002B30D8" w:rsidRPr="00685B35" w:rsidRDefault="002B30D8" w:rsidP="00685B35">
            <w:pPr>
              <w:pStyle w:val="Tablecolhead"/>
            </w:pPr>
            <w:r w:rsidRPr="00685B35">
              <w:rPr>
                <w:sz w:val="20"/>
              </w:rPr>
              <w:t>Activity no.</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2C755778" w14:textId="77777777" w:rsidR="002B30D8" w:rsidRPr="00685B35" w:rsidRDefault="002B30D8" w:rsidP="00685B35">
            <w:pPr>
              <w:pStyle w:val="Tablecolhead"/>
            </w:pPr>
            <w:r w:rsidRPr="00685B35">
              <w:rPr>
                <w:sz w:val="20"/>
              </w:rPr>
              <w:t>Activity name</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2CA96C77" w14:textId="77777777" w:rsidR="002B30D8" w:rsidRPr="00685B35" w:rsidRDefault="002B30D8" w:rsidP="00685B35">
            <w:pPr>
              <w:pStyle w:val="Tablecolhead"/>
            </w:pPr>
            <w:r w:rsidRPr="00685B35">
              <w:rPr>
                <w:sz w:val="20"/>
              </w:rPr>
              <w:t>Activity description</w:t>
            </w:r>
          </w:p>
        </w:tc>
      </w:tr>
      <w:tr w:rsidR="002B30D8" w14:paraId="4210B5BA" w14:textId="77777777" w:rsidTr="002B30D8">
        <w:trPr>
          <w:trHeight w:val="96"/>
        </w:trPr>
        <w:tc>
          <w:tcPr>
            <w:tcW w:w="1980" w:type="dxa"/>
            <w:tcBorders>
              <w:top w:val="single" w:sz="4" w:space="0" w:color="auto"/>
              <w:left w:val="single" w:sz="4" w:space="0" w:color="auto"/>
              <w:bottom w:val="single" w:sz="4" w:space="0" w:color="auto"/>
              <w:right w:val="single" w:sz="4" w:space="0" w:color="auto"/>
            </w:tcBorders>
            <w:hideMark/>
          </w:tcPr>
          <w:p w14:paraId="381CDAD2" w14:textId="77777777" w:rsidR="002B30D8" w:rsidRDefault="002B30D8">
            <w:pPr>
              <w:pStyle w:val="Tabletext9pt"/>
              <w:rPr>
                <w:szCs w:val="18"/>
              </w:rPr>
            </w:pPr>
            <w:r>
              <w:rPr>
                <w:szCs w:val="18"/>
              </w:rPr>
              <w:t>35010</w:t>
            </w:r>
          </w:p>
        </w:tc>
        <w:tc>
          <w:tcPr>
            <w:tcW w:w="2977" w:type="dxa"/>
            <w:tcBorders>
              <w:top w:val="single" w:sz="4" w:space="0" w:color="auto"/>
              <w:left w:val="single" w:sz="4" w:space="0" w:color="auto"/>
              <w:bottom w:val="single" w:sz="4" w:space="0" w:color="auto"/>
              <w:right w:val="single" w:sz="4" w:space="0" w:color="auto"/>
            </w:tcBorders>
            <w:hideMark/>
          </w:tcPr>
          <w:p w14:paraId="46038B05" w14:textId="77777777" w:rsidR="002B30D8" w:rsidRDefault="002B30D8">
            <w:pPr>
              <w:pStyle w:val="Tabletext9pt"/>
              <w:rPr>
                <w:szCs w:val="18"/>
              </w:rPr>
            </w:pPr>
            <w:r>
              <w:rPr>
                <w:szCs w:val="18"/>
              </w:rPr>
              <w:t>Small rural – aged support services</w:t>
            </w:r>
          </w:p>
        </w:tc>
        <w:tc>
          <w:tcPr>
            <w:tcW w:w="4342" w:type="dxa"/>
            <w:tcBorders>
              <w:top w:val="single" w:sz="4" w:space="0" w:color="auto"/>
              <w:left w:val="single" w:sz="4" w:space="0" w:color="auto"/>
              <w:bottom w:val="single" w:sz="4" w:space="0" w:color="auto"/>
              <w:right w:val="single" w:sz="4" w:space="0" w:color="auto"/>
            </w:tcBorders>
            <w:hideMark/>
          </w:tcPr>
          <w:p w14:paraId="10F92BC4" w14:textId="77777777" w:rsidR="002B30D8" w:rsidRDefault="002B30D8">
            <w:pPr>
              <w:pStyle w:val="Tabletext9pt"/>
              <w:rPr>
                <w:szCs w:val="18"/>
              </w:rPr>
            </w:pPr>
            <w:r>
              <w:rPr>
                <w:szCs w:val="18"/>
              </w:rPr>
              <w:t>A range of health promotion and community service activities that support older Victorians and their carers in small rural communities such as seniors health promotion, aged carer support and respite, dementia services and aged care community grants.</w:t>
            </w:r>
          </w:p>
        </w:tc>
      </w:tr>
      <w:tr w:rsidR="002B30D8" w14:paraId="0A1FCDAF" w14:textId="77777777" w:rsidTr="002B30D8">
        <w:trPr>
          <w:trHeight w:val="96"/>
        </w:trPr>
        <w:tc>
          <w:tcPr>
            <w:tcW w:w="1980" w:type="dxa"/>
            <w:tcBorders>
              <w:top w:val="single" w:sz="4" w:space="0" w:color="auto"/>
              <w:left w:val="single" w:sz="4" w:space="0" w:color="auto"/>
              <w:bottom w:val="single" w:sz="4" w:space="0" w:color="auto"/>
              <w:right w:val="single" w:sz="4" w:space="0" w:color="auto"/>
            </w:tcBorders>
            <w:hideMark/>
          </w:tcPr>
          <w:p w14:paraId="16186AE7" w14:textId="77777777" w:rsidR="002B30D8" w:rsidRDefault="002B30D8">
            <w:pPr>
              <w:pStyle w:val="Tabletext9pt"/>
              <w:rPr>
                <w:szCs w:val="18"/>
              </w:rPr>
            </w:pPr>
            <w:r>
              <w:rPr>
                <w:szCs w:val="18"/>
              </w:rPr>
              <w:lastRenderedPageBreak/>
              <w:t>35052</w:t>
            </w:r>
          </w:p>
        </w:tc>
        <w:tc>
          <w:tcPr>
            <w:tcW w:w="2977" w:type="dxa"/>
            <w:tcBorders>
              <w:top w:val="single" w:sz="4" w:space="0" w:color="auto"/>
              <w:left w:val="single" w:sz="4" w:space="0" w:color="auto"/>
              <w:bottom w:val="single" w:sz="4" w:space="0" w:color="auto"/>
              <w:right w:val="single" w:sz="4" w:space="0" w:color="auto"/>
            </w:tcBorders>
            <w:hideMark/>
          </w:tcPr>
          <w:p w14:paraId="41C9DA96" w14:textId="4221D174" w:rsidR="002B30D8" w:rsidRDefault="002B30D8">
            <w:pPr>
              <w:pStyle w:val="Tabletext9pt"/>
              <w:rPr>
                <w:szCs w:val="18"/>
              </w:rPr>
            </w:pPr>
            <w:r>
              <w:rPr>
                <w:szCs w:val="18"/>
              </w:rPr>
              <w:t xml:space="preserve">Small </w:t>
            </w:r>
            <w:r w:rsidR="00DD3294">
              <w:rPr>
                <w:szCs w:val="18"/>
              </w:rPr>
              <w:t xml:space="preserve">rural services home and community care </w:t>
            </w:r>
          </w:p>
        </w:tc>
        <w:tc>
          <w:tcPr>
            <w:tcW w:w="4342" w:type="dxa"/>
            <w:tcBorders>
              <w:top w:val="single" w:sz="4" w:space="0" w:color="auto"/>
              <w:left w:val="single" w:sz="4" w:space="0" w:color="auto"/>
              <w:bottom w:val="single" w:sz="4" w:space="0" w:color="auto"/>
              <w:right w:val="single" w:sz="4" w:space="0" w:color="auto"/>
            </w:tcBorders>
            <w:hideMark/>
          </w:tcPr>
          <w:p w14:paraId="77D38EF2" w14:textId="77777777" w:rsidR="002B30D8" w:rsidRDefault="002B30D8">
            <w:pPr>
              <w:pStyle w:val="Tabletext9pt"/>
              <w:rPr>
                <w:szCs w:val="18"/>
              </w:rPr>
            </w:pPr>
            <w:r>
              <w:rPr>
                <w:szCs w:val="18"/>
              </w:rPr>
              <w:t>A range of services to support younger people who have difficulty with the activities of daily living and their carers to remain at home</w:t>
            </w:r>
            <w:r>
              <w:t xml:space="preserve"> and participate in the community</w:t>
            </w:r>
            <w:r>
              <w:rPr>
                <w:szCs w:val="18"/>
              </w:rPr>
              <w:t>.</w:t>
            </w:r>
          </w:p>
        </w:tc>
      </w:tr>
      <w:tr w:rsidR="002B30D8" w14:paraId="0ED827A5" w14:textId="77777777" w:rsidTr="002B30D8">
        <w:trPr>
          <w:trHeight w:val="96"/>
        </w:trPr>
        <w:tc>
          <w:tcPr>
            <w:tcW w:w="1980" w:type="dxa"/>
            <w:tcBorders>
              <w:top w:val="single" w:sz="4" w:space="0" w:color="auto"/>
              <w:left w:val="single" w:sz="4" w:space="0" w:color="auto"/>
              <w:bottom w:val="single" w:sz="4" w:space="0" w:color="auto"/>
              <w:right w:val="single" w:sz="4" w:space="0" w:color="auto"/>
            </w:tcBorders>
            <w:hideMark/>
          </w:tcPr>
          <w:p w14:paraId="0122581E" w14:textId="77777777" w:rsidR="002B30D8" w:rsidRDefault="002B30D8">
            <w:pPr>
              <w:pStyle w:val="Tabletext9pt"/>
              <w:rPr>
                <w:szCs w:val="18"/>
              </w:rPr>
            </w:pPr>
            <w:r>
              <w:rPr>
                <w:szCs w:val="18"/>
              </w:rPr>
              <w:t>35011</w:t>
            </w:r>
          </w:p>
        </w:tc>
        <w:tc>
          <w:tcPr>
            <w:tcW w:w="2977" w:type="dxa"/>
            <w:tcBorders>
              <w:top w:val="single" w:sz="4" w:space="0" w:color="auto"/>
              <w:left w:val="single" w:sz="4" w:space="0" w:color="auto"/>
              <w:bottom w:val="single" w:sz="4" w:space="0" w:color="auto"/>
              <w:right w:val="single" w:sz="4" w:space="0" w:color="auto"/>
            </w:tcBorders>
            <w:hideMark/>
          </w:tcPr>
          <w:p w14:paraId="1D9B2A74" w14:textId="77777777" w:rsidR="002B30D8" w:rsidRDefault="002B30D8">
            <w:pPr>
              <w:pStyle w:val="Tabletext9pt"/>
              <w:rPr>
                <w:szCs w:val="18"/>
              </w:rPr>
            </w:pPr>
            <w:r>
              <w:rPr>
                <w:szCs w:val="18"/>
              </w:rPr>
              <w:t>Small rural – residential aged care</w:t>
            </w:r>
          </w:p>
        </w:tc>
        <w:tc>
          <w:tcPr>
            <w:tcW w:w="4342" w:type="dxa"/>
            <w:tcBorders>
              <w:top w:val="single" w:sz="4" w:space="0" w:color="auto"/>
              <w:left w:val="single" w:sz="4" w:space="0" w:color="auto"/>
              <w:bottom w:val="single" w:sz="4" w:space="0" w:color="auto"/>
              <w:right w:val="single" w:sz="4" w:space="0" w:color="auto"/>
            </w:tcBorders>
            <w:hideMark/>
          </w:tcPr>
          <w:p w14:paraId="64B8566B" w14:textId="77777777" w:rsidR="002B30D8" w:rsidRDefault="002B30D8">
            <w:pPr>
              <w:pStyle w:val="Tabletext9pt"/>
              <w:rPr>
                <w:szCs w:val="18"/>
              </w:rPr>
            </w:pPr>
            <w:r>
              <w:rPr>
                <w:szCs w:val="18"/>
              </w:rPr>
              <w:t>Care and support for people in small rural communities who are approved for care and accommodation in residential aged care facilities. This includes the State contribution towards matching the reduction in the recurrent funding paid by the Commonwealth to public sector residential aged care providers for the adjusted subsidy reduction for pre-1997 places.</w:t>
            </w:r>
          </w:p>
        </w:tc>
      </w:tr>
      <w:tr w:rsidR="002B30D8" w14:paraId="5927E6D0" w14:textId="77777777" w:rsidTr="002B30D8">
        <w:trPr>
          <w:trHeight w:val="96"/>
        </w:trPr>
        <w:tc>
          <w:tcPr>
            <w:tcW w:w="1980" w:type="dxa"/>
            <w:tcBorders>
              <w:top w:val="single" w:sz="4" w:space="0" w:color="auto"/>
              <w:left w:val="single" w:sz="4" w:space="0" w:color="auto"/>
              <w:bottom w:val="single" w:sz="4" w:space="0" w:color="auto"/>
              <w:right w:val="single" w:sz="4" w:space="0" w:color="auto"/>
            </w:tcBorders>
            <w:hideMark/>
          </w:tcPr>
          <w:p w14:paraId="15759BCB" w14:textId="77777777" w:rsidR="002B30D8" w:rsidRDefault="002B30D8">
            <w:pPr>
              <w:pStyle w:val="Tabletext9pt"/>
              <w:rPr>
                <w:szCs w:val="18"/>
              </w:rPr>
            </w:pPr>
            <w:r>
              <w:rPr>
                <w:szCs w:val="18"/>
              </w:rPr>
              <w:t>35042</w:t>
            </w:r>
          </w:p>
        </w:tc>
        <w:tc>
          <w:tcPr>
            <w:tcW w:w="2977" w:type="dxa"/>
            <w:tcBorders>
              <w:top w:val="single" w:sz="4" w:space="0" w:color="auto"/>
              <w:left w:val="single" w:sz="4" w:space="0" w:color="auto"/>
              <w:bottom w:val="single" w:sz="4" w:space="0" w:color="auto"/>
              <w:right w:val="single" w:sz="4" w:space="0" w:color="auto"/>
            </w:tcBorders>
            <w:hideMark/>
          </w:tcPr>
          <w:p w14:paraId="5BE66CB9" w14:textId="77777777" w:rsidR="002B30D8" w:rsidRDefault="002B30D8">
            <w:pPr>
              <w:pStyle w:val="Tabletext9pt"/>
              <w:rPr>
                <w:szCs w:val="18"/>
              </w:rPr>
            </w:pPr>
            <w:r>
              <w:rPr>
                <w:szCs w:val="18"/>
              </w:rPr>
              <w:t>Small rural – drugs services</w:t>
            </w:r>
          </w:p>
        </w:tc>
        <w:tc>
          <w:tcPr>
            <w:tcW w:w="4342" w:type="dxa"/>
            <w:tcBorders>
              <w:top w:val="single" w:sz="4" w:space="0" w:color="auto"/>
              <w:left w:val="single" w:sz="4" w:space="0" w:color="auto"/>
              <w:bottom w:val="single" w:sz="4" w:space="0" w:color="auto"/>
              <w:right w:val="single" w:sz="4" w:space="0" w:color="auto"/>
            </w:tcBorders>
            <w:hideMark/>
          </w:tcPr>
          <w:p w14:paraId="31E5D4F7" w14:textId="77777777" w:rsidR="002B30D8" w:rsidRDefault="002B30D8">
            <w:pPr>
              <w:pStyle w:val="Tabletext9pt"/>
              <w:rPr>
                <w:szCs w:val="18"/>
              </w:rPr>
            </w:pPr>
            <w:r>
              <w:rPr>
                <w:szCs w:val="18"/>
              </w:rPr>
              <w:t>Delivery of a range of health and aged care services as per an agreed service profile and business rules.</w:t>
            </w:r>
          </w:p>
        </w:tc>
      </w:tr>
      <w:tr w:rsidR="002B30D8" w14:paraId="4E67B682" w14:textId="77777777" w:rsidTr="002B30D8">
        <w:trPr>
          <w:trHeight w:val="96"/>
        </w:trPr>
        <w:tc>
          <w:tcPr>
            <w:tcW w:w="1980" w:type="dxa"/>
            <w:tcBorders>
              <w:top w:val="single" w:sz="4" w:space="0" w:color="auto"/>
              <w:left w:val="single" w:sz="4" w:space="0" w:color="auto"/>
              <w:bottom w:val="single" w:sz="4" w:space="0" w:color="auto"/>
              <w:right w:val="single" w:sz="4" w:space="0" w:color="auto"/>
            </w:tcBorders>
            <w:hideMark/>
          </w:tcPr>
          <w:p w14:paraId="6ACEA6A8" w14:textId="77777777" w:rsidR="002B30D8" w:rsidRDefault="002B30D8">
            <w:pPr>
              <w:pStyle w:val="Tabletext9pt"/>
              <w:rPr>
                <w:szCs w:val="18"/>
              </w:rPr>
            </w:pPr>
            <w:r>
              <w:rPr>
                <w:szCs w:val="18"/>
              </w:rPr>
              <w:t>35048</w:t>
            </w:r>
          </w:p>
        </w:tc>
        <w:tc>
          <w:tcPr>
            <w:tcW w:w="2977" w:type="dxa"/>
            <w:tcBorders>
              <w:top w:val="single" w:sz="4" w:space="0" w:color="auto"/>
              <w:left w:val="single" w:sz="4" w:space="0" w:color="auto"/>
              <w:bottom w:val="single" w:sz="4" w:space="0" w:color="auto"/>
              <w:right w:val="single" w:sz="4" w:space="0" w:color="auto"/>
            </w:tcBorders>
            <w:hideMark/>
          </w:tcPr>
          <w:p w14:paraId="14DC66DB" w14:textId="587E146F" w:rsidR="002B30D8" w:rsidRDefault="002B30D8">
            <w:pPr>
              <w:pStyle w:val="Tabletext9pt"/>
              <w:rPr>
                <w:szCs w:val="18"/>
              </w:rPr>
            </w:pPr>
            <w:r>
              <w:rPr>
                <w:szCs w:val="18"/>
              </w:rPr>
              <w:t xml:space="preserve">Small rural – primary health </w:t>
            </w:r>
          </w:p>
        </w:tc>
        <w:tc>
          <w:tcPr>
            <w:tcW w:w="4342" w:type="dxa"/>
            <w:tcBorders>
              <w:top w:val="single" w:sz="4" w:space="0" w:color="auto"/>
              <w:left w:val="single" w:sz="4" w:space="0" w:color="auto"/>
              <w:bottom w:val="single" w:sz="4" w:space="0" w:color="auto"/>
              <w:right w:val="single" w:sz="4" w:space="0" w:color="auto"/>
            </w:tcBorders>
            <w:hideMark/>
          </w:tcPr>
          <w:p w14:paraId="6662A1B8" w14:textId="77777777" w:rsidR="002B30D8" w:rsidRDefault="002B30D8">
            <w:pPr>
              <w:pStyle w:val="Tabletext9pt"/>
              <w:rPr>
                <w:szCs w:val="18"/>
              </w:rPr>
            </w:pPr>
            <w:r>
              <w:rPr>
                <w:szCs w:val="18"/>
              </w:rPr>
              <w:t>Suitably qualified people assessing and providing direct care to individuals for therapeutic intervention, clinical care, practical assistance, support, referral, and advocacy with the goal of improving quality of life, social function, and health.</w:t>
            </w:r>
          </w:p>
          <w:p w14:paraId="70E2F897" w14:textId="77777777" w:rsidR="002B30D8" w:rsidRDefault="002B30D8">
            <w:pPr>
              <w:pStyle w:val="Tabletext9pt"/>
              <w:rPr>
                <w:szCs w:val="18"/>
              </w:rPr>
            </w:pPr>
            <w:r>
              <w:rPr>
                <w:szCs w:val="18"/>
              </w:rPr>
              <w:t>Promoting health, independence, and wellbeing to prevent illness, injury and disease through screening, risk assessment, immunisation, social marketing of health information, community action for social and environmental change, organisational development, workforce development and resources.</w:t>
            </w:r>
          </w:p>
        </w:tc>
      </w:tr>
    </w:tbl>
    <w:p w14:paraId="5F173C4F" w14:textId="578604D2" w:rsidR="000B27B9" w:rsidRDefault="00333328" w:rsidP="00685B35">
      <w:pPr>
        <w:pStyle w:val="Tablecaption"/>
      </w:pPr>
      <w:bookmarkStart w:id="953" w:name="_Toc14194761"/>
      <w:bookmarkStart w:id="954" w:name="_Toc54261417"/>
      <w:bookmarkStart w:id="955" w:name="_Toc54616291"/>
      <w:bookmarkStart w:id="956" w:name="_Toc109894125"/>
      <w:bookmarkStart w:id="957" w:name="_Toc156568676"/>
      <w:bookmarkEnd w:id="948"/>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33</w:t>
      </w:r>
      <w:r>
        <w:fldChar w:fldCharType="end"/>
      </w:r>
      <w:r>
        <w:t xml:space="preserve">: </w:t>
      </w:r>
      <w:r w:rsidR="000B27B9">
        <w:t>A</w:t>
      </w:r>
      <w:r w:rsidR="000B27B9" w:rsidRPr="00E7554A">
        <w:t xml:space="preserve">ged and home care – </w:t>
      </w:r>
      <w:r w:rsidR="000B27B9" w:rsidRPr="00333328">
        <w:t>outputs</w:t>
      </w:r>
      <w:r w:rsidR="000B27B9" w:rsidRPr="00E7554A">
        <w:t xml:space="preserve"> and activities</w:t>
      </w:r>
      <w:r w:rsidR="000B27B9">
        <w:t xml:space="preserve"> </w:t>
      </w:r>
      <w:bookmarkEnd w:id="953"/>
      <w:bookmarkEnd w:id="954"/>
      <w:bookmarkEnd w:id="955"/>
      <w:r w:rsidR="005D1FCB" w:rsidRPr="00697369">
        <w:t>202</w:t>
      </w:r>
      <w:r w:rsidR="00EA4491">
        <w:t>3</w:t>
      </w:r>
      <w:r w:rsidR="00E737C1">
        <w:t>–</w:t>
      </w:r>
      <w:r w:rsidR="005D1FCB" w:rsidRPr="00697369">
        <w:t>2</w:t>
      </w:r>
      <w:bookmarkEnd w:id="956"/>
      <w:r w:rsidR="00EA4491">
        <w:t>4</w:t>
      </w:r>
      <w:bookmarkEnd w:id="957"/>
    </w:p>
    <w:p w14:paraId="4E86CF8B" w14:textId="77777777" w:rsidR="00716405" w:rsidRDefault="00716405" w:rsidP="00716405">
      <w:pPr>
        <w:pStyle w:val="Body"/>
      </w:pPr>
      <w:bookmarkStart w:id="958" w:name="_Toc419623629"/>
      <w:bookmarkStart w:id="959" w:name="_Toc419623741"/>
      <w:bookmarkStart w:id="960" w:name="_Toc419644529"/>
      <w:bookmarkStart w:id="961" w:name="_Toc487742093"/>
      <w:bookmarkEnd w:id="949"/>
      <w:bookmarkEnd w:id="950"/>
      <w:bookmarkEnd w:id="951"/>
      <w:bookmarkEnd w:id="952"/>
      <w:r>
        <w:t>Output name: Commonwealth Aged Care Assessment – Aged Care Assessment Service</w:t>
      </w:r>
    </w:p>
    <w:tbl>
      <w:tblPr>
        <w:tblStyle w:val="TableGrid1"/>
        <w:tblW w:w="9299" w:type="dxa"/>
        <w:tblLook w:val="06A0" w:firstRow="1" w:lastRow="0" w:firstColumn="1" w:lastColumn="0" w:noHBand="1" w:noVBand="1"/>
      </w:tblPr>
      <w:tblGrid>
        <w:gridCol w:w="1838"/>
        <w:gridCol w:w="3119"/>
        <w:gridCol w:w="4342"/>
      </w:tblGrid>
      <w:tr w:rsidR="00716405" w14:paraId="2E894A3F"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24D4F604" w14:textId="77777777" w:rsidR="00716405" w:rsidRPr="00685B35" w:rsidRDefault="00716405" w:rsidP="00685B35">
            <w:pPr>
              <w:pStyle w:val="Tablecolhead"/>
            </w:pPr>
            <w:r w:rsidRPr="00685B35">
              <w:rPr>
                <w:sz w:val="20"/>
              </w:rPr>
              <w:t>Activity no.</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18EECE39" w14:textId="77777777" w:rsidR="00716405" w:rsidRPr="00685B35" w:rsidRDefault="00716405" w:rsidP="00685B35">
            <w:pPr>
              <w:pStyle w:val="Tablecolhead"/>
            </w:pPr>
            <w:r w:rsidRPr="00685B35">
              <w:rPr>
                <w:sz w:val="20"/>
              </w:rPr>
              <w:t>Activity name</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1C6A2139" w14:textId="77777777" w:rsidR="00716405" w:rsidRPr="00685B35" w:rsidRDefault="00716405" w:rsidP="00685B35">
            <w:pPr>
              <w:pStyle w:val="Tablecolhead"/>
            </w:pPr>
            <w:r w:rsidRPr="00685B35">
              <w:rPr>
                <w:sz w:val="20"/>
              </w:rPr>
              <w:t>Activity description</w:t>
            </w:r>
          </w:p>
        </w:tc>
      </w:tr>
      <w:tr w:rsidR="00716405" w14:paraId="6ED6A23C" w14:textId="77777777" w:rsidTr="00716405">
        <w:tc>
          <w:tcPr>
            <w:tcW w:w="1838" w:type="dxa"/>
            <w:tcBorders>
              <w:top w:val="single" w:sz="4" w:space="0" w:color="auto"/>
              <w:left w:val="single" w:sz="4" w:space="0" w:color="auto"/>
              <w:bottom w:val="single" w:sz="4" w:space="0" w:color="auto"/>
              <w:right w:val="single" w:sz="4" w:space="0" w:color="auto"/>
            </w:tcBorders>
            <w:hideMark/>
          </w:tcPr>
          <w:p w14:paraId="63F211C0" w14:textId="77777777" w:rsidR="00716405" w:rsidRDefault="00716405">
            <w:pPr>
              <w:pStyle w:val="Tabletext9pt"/>
              <w:rPr>
                <w:szCs w:val="18"/>
                <w:lang w:eastAsia="en-AU"/>
              </w:rPr>
            </w:pPr>
            <w:r>
              <w:t>13005</w:t>
            </w:r>
          </w:p>
        </w:tc>
        <w:tc>
          <w:tcPr>
            <w:tcW w:w="3119" w:type="dxa"/>
            <w:tcBorders>
              <w:top w:val="single" w:sz="4" w:space="0" w:color="auto"/>
              <w:left w:val="single" w:sz="4" w:space="0" w:color="auto"/>
              <w:bottom w:val="single" w:sz="4" w:space="0" w:color="auto"/>
              <w:right w:val="single" w:sz="4" w:space="0" w:color="auto"/>
            </w:tcBorders>
            <w:hideMark/>
          </w:tcPr>
          <w:p w14:paraId="589FDBCC" w14:textId="384749B1" w:rsidR="00716405" w:rsidRDefault="00716405">
            <w:pPr>
              <w:pStyle w:val="Tabletext9pt"/>
              <w:rPr>
                <w:lang w:eastAsia="en-AU"/>
              </w:rPr>
            </w:pPr>
            <w:r>
              <w:t>Aged Care Assessment Services Assessment</w:t>
            </w:r>
          </w:p>
        </w:tc>
        <w:tc>
          <w:tcPr>
            <w:tcW w:w="4342" w:type="dxa"/>
            <w:tcBorders>
              <w:top w:val="single" w:sz="4" w:space="0" w:color="auto"/>
              <w:left w:val="single" w:sz="4" w:space="0" w:color="auto"/>
              <w:bottom w:val="single" w:sz="4" w:space="0" w:color="auto"/>
              <w:right w:val="single" w:sz="4" w:space="0" w:color="auto"/>
            </w:tcBorders>
            <w:hideMark/>
          </w:tcPr>
          <w:p w14:paraId="07C01447" w14:textId="77777777" w:rsidR="00716405" w:rsidRDefault="00716405">
            <w:pPr>
              <w:pStyle w:val="Tabletext9pt"/>
              <w:rPr>
                <w:szCs w:val="18"/>
                <w:lang w:eastAsia="en-AU"/>
              </w:rPr>
            </w:pPr>
            <w:r>
              <w:t xml:space="preserve">Assess care needs of frail older people and determine eligibility for services under the </w:t>
            </w:r>
            <w:r>
              <w:rPr>
                <w:i/>
              </w:rPr>
              <w:t>Aged Care Act 1997.</w:t>
            </w:r>
          </w:p>
        </w:tc>
      </w:tr>
    </w:tbl>
    <w:p w14:paraId="3B1ACBB6" w14:textId="2C6B2F48" w:rsidR="00716405" w:rsidRDefault="00716405" w:rsidP="00716405">
      <w:pPr>
        <w:pStyle w:val="Bodyaftertablefigure"/>
      </w:pPr>
      <w:r>
        <w:t xml:space="preserve">Output name: </w:t>
      </w:r>
      <w:r>
        <w:rPr>
          <w:lang w:eastAsia="en-AU"/>
        </w:rPr>
        <w:t>Residential aged care</w:t>
      </w:r>
    </w:p>
    <w:tbl>
      <w:tblPr>
        <w:tblStyle w:val="TableGrid1"/>
        <w:tblW w:w="9299" w:type="dxa"/>
        <w:tblLook w:val="06A0" w:firstRow="1" w:lastRow="0" w:firstColumn="1" w:lastColumn="0" w:noHBand="1" w:noVBand="1"/>
      </w:tblPr>
      <w:tblGrid>
        <w:gridCol w:w="1980"/>
        <w:gridCol w:w="2977"/>
        <w:gridCol w:w="4342"/>
      </w:tblGrid>
      <w:tr w:rsidR="00716405" w14:paraId="7268FE62"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0E05DEF6" w14:textId="77777777" w:rsidR="00716405" w:rsidRDefault="00716405" w:rsidP="00685B35">
            <w:pPr>
              <w:pStyle w:val="Tablecolhead"/>
              <w:rPr>
                <w:szCs w:val="18"/>
                <w:lang w:eastAsia="en-AU"/>
              </w:rPr>
            </w:pPr>
            <w:r>
              <w:rPr>
                <w:lang w:eastAsia="en-AU"/>
              </w:rPr>
              <w:t>Activity no.</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12472EAE" w14:textId="77777777" w:rsidR="00716405" w:rsidRDefault="00716405" w:rsidP="00685B35">
            <w:pPr>
              <w:pStyle w:val="Tablecolhead"/>
              <w:rPr>
                <w:szCs w:val="18"/>
                <w:lang w:eastAsia="en-AU"/>
              </w:rPr>
            </w:pPr>
            <w:r>
              <w:rPr>
                <w:lang w:eastAsia="en-AU"/>
              </w:rPr>
              <w:t>Activity name</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4FD67C3D" w14:textId="77777777" w:rsidR="00716405" w:rsidRDefault="00716405" w:rsidP="00685B35">
            <w:pPr>
              <w:pStyle w:val="Tablecolhead"/>
              <w:rPr>
                <w:szCs w:val="18"/>
                <w:lang w:eastAsia="en-AU"/>
              </w:rPr>
            </w:pPr>
            <w:r>
              <w:rPr>
                <w:lang w:eastAsia="en-AU"/>
              </w:rPr>
              <w:t>Activity description</w:t>
            </w:r>
          </w:p>
        </w:tc>
      </w:tr>
      <w:tr w:rsidR="00716405" w14:paraId="7C8C8F3A" w14:textId="77777777" w:rsidTr="00716405">
        <w:tc>
          <w:tcPr>
            <w:tcW w:w="1980" w:type="dxa"/>
            <w:tcBorders>
              <w:top w:val="single" w:sz="4" w:space="0" w:color="auto"/>
              <w:left w:val="single" w:sz="4" w:space="0" w:color="auto"/>
              <w:bottom w:val="single" w:sz="4" w:space="0" w:color="auto"/>
              <w:right w:val="single" w:sz="4" w:space="0" w:color="auto"/>
            </w:tcBorders>
            <w:hideMark/>
          </w:tcPr>
          <w:p w14:paraId="40F3E7B8" w14:textId="77777777" w:rsidR="00716405" w:rsidRDefault="00716405">
            <w:pPr>
              <w:pStyle w:val="Tabletext9pt"/>
              <w:rPr>
                <w:szCs w:val="18"/>
                <w:lang w:eastAsia="en-AU"/>
              </w:rPr>
            </w:pPr>
            <w:r>
              <w:rPr>
                <w:szCs w:val="18"/>
                <w:lang w:eastAsia="en-AU"/>
              </w:rPr>
              <w:t>13031</w:t>
            </w:r>
          </w:p>
        </w:tc>
        <w:tc>
          <w:tcPr>
            <w:tcW w:w="2977" w:type="dxa"/>
            <w:tcBorders>
              <w:top w:val="single" w:sz="4" w:space="0" w:color="auto"/>
              <w:left w:val="single" w:sz="4" w:space="0" w:color="auto"/>
              <w:bottom w:val="single" w:sz="4" w:space="0" w:color="auto"/>
              <w:right w:val="single" w:sz="4" w:space="0" w:color="auto"/>
            </w:tcBorders>
            <w:hideMark/>
          </w:tcPr>
          <w:p w14:paraId="680D49E5" w14:textId="77777777" w:rsidR="00716405" w:rsidRDefault="00716405">
            <w:pPr>
              <w:pStyle w:val="Tabletext9pt"/>
              <w:rPr>
                <w:szCs w:val="18"/>
                <w:lang w:eastAsia="en-AU"/>
              </w:rPr>
            </w:pPr>
            <w:r>
              <w:rPr>
                <w:szCs w:val="18"/>
                <w:lang w:eastAsia="en-AU"/>
              </w:rPr>
              <w:t>Public sector residential aged care supplement</w:t>
            </w:r>
          </w:p>
        </w:tc>
        <w:tc>
          <w:tcPr>
            <w:tcW w:w="4342" w:type="dxa"/>
            <w:tcBorders>
              <w:top w:val="single" w:sz="4" w:space="0" w:color="auto"/>
              <w:left w:val="single" w:sz="4" w:space="0" w:color="auto"/>
              <w:bottom w:val="single" w:sz="4" w:space="0" w:color="auto"/>
              <w:right w:val="single" w:sz="4" w:space="0" w:color="auto"/>
            </w:tcBorders>
            <w:hideMark/>
          </w:tcPr>
          <w:p w14:paraId="60D8BE0A" w14:textId="3A5A9AEF" w:rsidR="00716405" w:rsidRDefault="00716405">
            <w:pPr>
              <w:pStyle w:val="Tablebullet9pt"/>
              <w:rPr>
                <w:lang w:eastAsia="en-AU"/>
              </w:rPr>
            </w:pPr>
            <w:r w:rsidRPr="204DFB60">
              <w:rPr>
                <w:lang w:eastAsia="en-AU"/>
              </w:rPr>
              <w:t>Funds designa</w:t>
            </w:r>
            <w:r w:rsidRPr="6E8A1694">
              <w:rPr>
                <w:lang w:eastAsia="en-AU"/>
              </w:rPr>
              <w:t>ted places for</w:t>
            </w:r>
            <w:r w:rsidR="799AD2A7" w:rsidRPr="6E8A1694">
              <w:rPr>
                <w:lang w:eastAsia="en-AU"/>
              </w:rPr>
              <w:t xml:space="preserve"> contribution to public sector wage adjustments.</w:t>
            </w:r>
          </w:p>
          <w:p w14:paraId="634581AC" w14:textId="74AEAAA1" w:rsidR="00716405" w:rsidRPr="002618FB" w:rsidRDefault="00716405" w:rsidP="002618FB">
            <w:pPr>
              <w:pStyle w:val="Tablebullet9pt"/>
              <w:spacing w:line="259" w:lineRule="auto"/>
              <w:rPr>
                <w:rFonts w:eastAsia="Times New Roman" w:cs="Times New Roman"/>
                <w:szCs w:val="18"/>
              </w:rPr>
            </w:pPr>
            <w:r>
              <w:rPr>
                <w:lang w:eastAsia="en-AU"/>
              </w:rPr>
              <w:t xml:space="preserve">The adjusted subsidy reduction </w:t>
            </w:r>
            <w:r w:rsidR="74DA7718" w:rsidRPr="204DFB60">
              <w:rPr>
                <w:lang w:eastAsia="en-AU"/>
              </w:rPr>
              <w:t>has been</w:t>
            </w:r>
            <w:r>
              <w:rPr>
                <w:lang w:eastAsia="en-AU"/>
              </w:rPr>
              <w:t xml:space="preserve"> removed by the Commonwealth part</w:t>
            </w:r>
            <w:r w:rsidR="00B34795">
              <w:rPr>
                <w:lang w:eastAsia="en-AU"/>
              </w:rPr>
              <w:t>-</w:t>
            </w:r>
            <w:r>
              <w:rPr>
                <w:lang w:eastAsia="en-AU"/>
              </w:rPr>
              <w:t>way through 2022</w:t>
            </w:r>
            <w:r w:rsidR="00DD3294">
              <w:rPr>
                <w:lang w:eastAsia="en-AU"/>
              </w:rPr>
              <w:t>–</w:t>
            </w:r>
            <w:r>
              <w:rPr>
                <w:lang w:eastAsia="en-AU"/>
              </w:rPr>
              <w:t xml:space="preserve">23 as their new funding model is introduced. </w:t>
            </w:r>
            <w:r w:rsidR="065DE6D3" w:rsidRPr="204DFB60">
              <w:rPr>
                <w:lang w:eastAsia="en-AU"/>
              </w:rPr>
              <w:t>T</w:t>
            </w:r>
            <w:r w:rsidRPr="204DFB60">
              <w:rPr>
                <w:lang w:eastAsia="en-AU"/>
              </w:rPr>
              <w:t>he</w:t>
            </w:r>
            <w:r>
              <w:rPr>
                <w:lang w:eastAsia="en-AU"/>
              </w:rPr>
              <w:t xml:space="preserve"> department </w:t>
            </w:r>
            <w:r w:rsidR="4055E859" w:rsidRPr="6E8A1694">
              <w:rPr>
                <w:lang w:eastAsia="en-AU"/>
              </w:rPr>
              <w:t>is</w:t>
            </w:r>
            <w:r w:rsidRPr="204DFB60">
              <w:rPr>
                <w:lang w:eastAsia="en-AU"/>
              </w:rPr>
              <w:t xml:space="preserve"> review</w:t>
            </w:r>
            <w:r w:rsidR="1596AFB0" w:rsidRPr="204DFB60">
              <w:rPr>
                <w:lang w:eastAsia="en-AU"/>
              </w:rPr>
              <w:t>ing</w:t>
            </w:r>
            <w:r>
              <w:rPr>
                <w:lang w:eastAsia="en-AU"/>
              </w:rPr>
              <w:t xml:space="preserve"> the allocation of funding and </w:t>
            </w:r>
            <w:r w:rsidR="7476D678" w:rsidRPr="6E8A1694">
              <w:rPr>
                <w:lang w:eastAsia="en-AU"/>
              </w:rPr>
              <w:t xml:space="preserve">this </w:t>
            </w:r>
            <w:r>
              <w:rPr>
                <w:lang w:eastAsia="en-AU"/>
              </w:rPr>
              <w:t>may change</w:t>
            </w:r>
            <w:r w:rsidR="002618FB">
              <w:rPr>
                <w:lang w:eastAsia="en-AU"/>
              </w:rPr>
              <w:t xml:space="preserve"> </w:t>
            </w:r>
            <w:r w:rsidR="27125E90" w:rsidRPr="6E8A1694">
              <w:rPr>
                <w:lang w:eastAsia="en-AU"/>
              </w:rPr>
              <w:t>in 2023</w:t>
            </w:r>
            <w:r w:rsidR="00DD3294">
              <w:rPr>
                <w:lang w:eastAsia="en-AU"/>
              </w:rPr>
              <w:t>–</w:t>
            </w:r>
            <w:r w:rsidR="27125E90" w:rsidRPr="6E8A1694">
              <w:rPr>
                <w:lang w:eastAsia="en-AU"/>
              </w:rPr>
              <w:t>24.</w:t>
            </w:r>
          </w:p>
        </w:tc>
      </w:tr>
      <w:tr w:rsidR="00716405" w14:paraId="0FC27F8B" w14:textId="77777777" w:rsidTr="00716405">
        <w:tc>
          <w:tcPr>
            <w:tcW w:w="1980" w:type="dxa"/>
            <w:tcBorders>
              <w:top w:val="single" w:sz="4" w:space="0" w:color="auto"/>
              <w:left w:val="single" w:sz="4" w:space="0" w:color="auto"/>
              <w:bottom w:val="single" w:sz="4" w:space="0" w:color="auto"/>
              <w:right w:val="single" w:sz="4" w:space="0" w:color="auto"/>
            </w:tcBorders>
            <w:hideMark/>
          </w:tcPr>
          <w:p w14:paraId="375FABEB" w14:textId="77777777" w:rsidR="00716405" w:rsidRDefault="00716405">
            <w:pPr>
              <w:pStyle w:val="Tabletext9pt"/>
              <w:rPr>
                <w:szCs w:val="18"/>
                <w:lang w:eastAsia="en-AU"/>
              </w:rPr>
            </w:pPr>
            <w:r>
              <w:rPr>
                <w:szCs w:val="18"/>
                <w:lang w:eastAsia="en-AU"/>
              </w:rPr>
              <w:t>13059</w:t>
            </w:r>
          </w:p>
        </w:tc>
        <w:tc>
          <w:tcPr>
            <w:tcW w:w="2977" w:type="dxa"/>
            <w:tcBorders>
              <w:top w:val="single" w:sz="4" w:space="0" w:color="auto"/>
              <w:left w:val="single" w:sz="4" w:space="0" w:color="auto"/>
              <w:bottom w:val="single" w:sz="4" w:space="0" w:color="auto"/>
              <w:right w:val="single" w:sz="4" w:space="0" w:color="auto"/>
            </w:tcBorders>
            <w:hideMark/>
          </w:tcPr>
          <w:p w14:paraId="6C5315FC" w14:textId="77777777" w:rsidR="00716405" w:rsidRDefault="00716405">
            <w:pPr>
              <w:pStyle w:val="Tabletext9pt"/>
              <w:rPr>
                <w:szCs w:val="18"/>
                <w:lang w:eastAsia="en-AU"/>
              </w:rPr>
            </w:pPr>
            <w:r>
              <w:rPr>
                <w:szCs w:val="18"/>
                <w:lang w:eastAsia="en-AU"/>
              </w:rPr>
              <w:t>Residential aged care complex supplement</w:t>
            </w:r>
          </w:p>
        </w:tc>
        <w:tc>
          <w:tcPr>
            <w:tcW w:w="4342" w:type="dxa"/>
            <w:tcBorders>
              <w:top w:val="single" w:sz="4" w:space="0" w:color="auto"/>
              <w:left w:val="single" w:sz="4" w:space="0" w:color="auto"/>
              <w:bottom w:val="single" w:sz="4" w:space="0" w:color="auto"/>
              <w:right w:val="single" w:sz="4" w:space="0" w:color="auto"/>
            </w:tcBorders>
            <w:hideMark/>
          </w:tcPr>
          <w:p w14:paraId="4A7F468E" w14:textId="77777777" w:rsidR="00716405" w:rsidRDefault="00716405">
            <w:pPr>
              <w:pStyle w:val="Tabletext9pt"/>
              <w:rPr>
                <w:szCs w:val="18"/>
                <w:lang w:eastAsia="en-AU"/>
              </w:rPr>
            </w:pPr>
            <w:r>
              <w:rPr>
                <w:szCs w:val="18"/>
                <w:lang w:eastAsia="en-AU"/>
              </w:rPr>
              <w:t>Funds designated places to support services targeting people with particular complex conditions to provide a higher level of specialised care management.</w:t>
            </w:r>
          </w:p>
        </w:tc>
      </w:tr>
      <w:tr w:rsidR="00716405" w14:paraId="31AD60A7" w14:textId="77777777" w:rsidTr="00716405">
        <w:tc>
          <w:tcPr>
            <w:tcW w:w="1980" w:type="dxa"/>
            <w:tcBorders>
              <w:top w:val="single" w:sz="4" w:space="0" w:color="auto"/>
              <w:left w:val="single" w:sz="4" w:space="0" w:color="auto"/>
              <w:bottom w:val="single" w:sz="4" w:space="0" w:color="auto"/>
              <w:right w:val="single" w:sz="4" w:space="0" w:color="auto"/>
            </w:tcBorders>
            <w:hideMark/>
          </w:tcPr>
          <w:p w14:paraId="33A3B5B0" w14:textId="77777777" w:rsidR="00716405" w:rsidRDefault="00716405">
            <w:pPr>
              <w:pStyle w:val="Tabletext9pt"/>
              <w:rPr>
                <w:szCs w:val="18"/>
                <w:lang w:eastAsia="en-AU"/>
              </w:rPr>
            </w:pPr>
            <w:r>
              <w:rPr>
                <w:szCs w:val="18"/>
                <w:lang w:eastAsia="en-AU"/>
              </w:rPr>
              <w:t>13107</w:t>
            </w:r>
          </w:p>
        </w:tc>
        <w:tc>
          <w:tcPr>
            <w:tcW w:w="2977" w:type="dxa"/>
            <w:tcBorders>
              <w:top w:val="single" w:sz="4" w:space="0" w:color="auto"/>
              <w:left w:val="single" w:sz="4" w:space="0" w:color="auto"/>
              <w:bottom w:val="single" w:sz="4" w:space="0" w:color="auto"/>
              <w:right w:val="single" w:sz="4" w:space="0" w:color="auto"/>
            </w:tcBorders>
            <w:hideMark/>
          </w:tcPr>
          <w:p w14:paraId="2A7DF1A3" w14:textId="6BD4D6ED" w:rsidR="00716405" w:rsidRDefault="00716405">
            <w:pPr>
              <w:pStyle w:val="Tabletext9pt"/>
              <w:rPr>
                <w:szCs w:val="18"/>
                <w:lang w:eastAsia="en-AU"/>
              </w:rPr>
            </w:pPr>
            <w:r>
              <w:rPr>
                <w:szCs w:val="18"/>
                <w:lang w:eastAsia="en-AU"/>
              </w:rPr>
              <w:t>Rural small high</w:t>
            </w:r>
            <w:r w:rsidR="00556817">
              <w:rPr>
                <w:szCs w:val="18"/>
                <w:lang w:eastAsia="en-AU"/>
              </w:rPr>
              <w:t>-</w:t>
            </w:r>
            <w:r>
              <w:rPr>
                <w:szCs w:val="18"/>
                <w:lang w:eastAsia="en-AU"/>
              </w:rPr>
              <w:t>care supplement</w:t>
            </w:r>
          </w:p>
        </w:tc>
        <w:tc>
          <w:tcPr>
            <w:tcW w:w="4342" w:type="dxa"/>
            <w:tcBorders>
              <w:top w:val="single" w:sz="4" w:space="0" w:color="auto"/>
              <w:left w:val="single" w:sz="4" w:space="0" w:color="auto"/>
              <w:bottom w:val="single" w:sz="4" w:space="0" w:color="auto"/>
              <w:right w:val="single" w:sz="4" w:space="0" w:color="auto"/>
            </w:tcBorders>
            <w:hideMark/>
          </w:tcPr>
          <w:p w14:paraId="3CABC5BE" w14:textId="77777777" w:rsidR="00716405" w:rsidRDefault="00716405">
            <w:pPr>
              <w:pStyle w:val="Tabletext9pt"/>
              <w:rPr>
                <w:szCs w:val="18"/>
                <w:lang w:eastAsia="en-AU"/>
              </w:rPr>
            </w:pPr>
            <w:r>
              <w:rPr>
                <w:szCs w:val="18"/>
                <w:lang w:eastAsia="en-AU"/>
              </w:rPr>
              <w:t>Funds designated small-sized high-care public sector residential aged care services (up to 30 places) that are located in rural Victoria. There are three levels of supplement paid for services of various sizes:</w:t>
            </w:r>
          </w:p>
          <w:p w14:paraId="24CDE776" w14:textId="77777777" w:rsidR="00716405" w:rsidRDefault="00716405" w:rsidP="00716405">
            <w:pPr>
              <w:pStyle w:val="Tablebullet9pt"/>
            </w:pPr>
            <w:r>
              <w:lastRenderedPageBreak/>
              <w:t>services with one to 10 high-care places</w:t>
            </w:r>
          </w:p>
          <w:p w14:paraId="0A3560C1" w14:textId="77777777" w:rsidR="00716405" w:rsidRDefault="00716405" w:rsidP="00716405">
            <w:pPr>
              <w:pStyle w:val="Tablebullet9pt"/>
            </w:pPr>
            <w:r>
              <w:t>services with 11–20 high-care places</w:t>
            </w:r>
          </w:p>
          <w:p w14:paraId="3CCD7925" w14:textId="77777777" w:rsidR="00716405" w:rsidRDefault="00716405" w:rsidP="00716405">
            <w:pPr>
              <w:pStyle w:val="Tablebullet9pt"/>
              <w:rPr>
                <w:lang w:eastAsia="en-AU"/>
              </w:rPr>
            </w:pPr>
            <w:r>
              <w:t>services with 2</w:t>
            </w:r>
            <w:r>
              <w:rPr>
                <w:lang w:eastAsia="en-AU"/>
              </w:rPr>
              <w:t>1–30 high-care places.</w:t>
            </w:r>
          </w:p>
        </w:tc>
      </w:tr>
      <w:tr w:rsidR="00716405" w14:paraId="4E957DD8" w14:textId="77777777" w:rsidTr="00716405">
        <w:tc>
          <w:tcPr>
            <w:tcW w:w="1980" w:type="dxa"/>
            <w:tcBorders>
              <w:top w:val="single" w:sz="4" w:space="0" w:color="auto"/>
              <w:left w:val="single" w:sz="4" w:space="0" w:color="auto"/>
              <w:bottom w:val="single" w:sz="4" w:space="0" w:color="auto"/>
              <w:right w:val="single" w:sz="4" w:space="0" w:color="auto"/>
            </w:tcBorders>
            <w:hideMark/>
          </w:tcPr>
          <w:p w14:paraId="6361A2D5" w14:textId="77777777" w:rsidR="00716405" w:rsidRDefault="00716405">
            <w:pPr>
              <w:pStyle w:val="Tabletext9pt"/>
              <w:rPr>
                <w:szCs w:val="18"/>
                <w:lang w:eastAsia="en-AU"/>
              </w:rPr>
            </w:pPr>
            <w:r>
              <w:rPr>
                <w:szCs w:val="18"/>
                <w:lang w:eastAsia="en-AU"/>
              </w:rPr>
              <w:lastRenderedPageBreak/>
              <w:t>13211</w:t>
            </w:r>
          </w:p>
        </w:tc>
        <w:tc>
          <w:tcPr>
            <w:tcW w:w="2977" w:type="dxa"/>
            <w:tcBorders>
              <w:top w:val="single" w:sz="4" w:space="0" w:color="auto"/>
              <w:left w:val="single" w:sz="4" w:space="0" w:color="auto"/>
              <w:bottom w:val="single" w:sz="4" w:space="0" w:color="auto"/>
              <w:right w:val="single" w:sz="4" w:space="0" w:color="auto"/>
            </w:tcBorders>
            <w:hideMark/>
          </w:tcPr>
          <w:p w14:paraId="33B0C01D" w14:textId="77777777" w:rsidR="00716405" w:rsidRDefault="00716405">
            <w:pPr>
              <w:pStyle w:val="Tabletext9pt"/>
              <w:rPr>
                <w:szCs w:val="18"/>
                <w:lang w:eastAsia="en-AU"/>
              </w:rPr>
            </w:pPr>
            <w:r>
              <w:rPr>
                <w:szCs w:val="18"/>
                <w:lang w:eastAsia="en-AU"/>
              </w:rPr>
              <w:t>Aged annual provisions – minor works</w:t>
            </w:r>
          </w:p>
        </w:tc>
        <w:tc>
          <w:tcPr>
            <w:tcW w:w="4342" w:type="dxa"/>
            <w:tcBorders>
              <w:top w:val="single" w:sz="4" w:space="0" w:color="auto"/>
              <w:left w:val="single" w:sz="4" w:space="0" w:color="auto"/>
              <w:bottom w:val="single" w:sz="4" w:space="0" w:color="auto"/>
              <w:right w:val="single" w:sz="4" w:space="0" w:color="auto"/>
            </w:tcBorders>
            <w:hideMark/>
          </w:tcPr>
          <w:p w14:paraId="1EC6E03E" w14:textId="77777777" w:rsidR="00716405" w:rsidRDefault="00716405">
            <w:pPr>
              <w:pStyle w:val="Tabletext9pt"/>
              <w:rPr>
                <w:szCs w:val="18"/>
                <w:lang w:eastAsia="en-AU"/>
              </w:rPr>
            </w:pPr>
            <w:r>
              <w:rPr>
                <w:szCs w:val="18"/>
                <w:lang w:eastAsia="en-AU"/>
              </w:rPr>
              <w:t>This activity provides minor capital funds for funded organisations and includes vehicles, minor building modifications, repairs and furniture and equipment expenses.</w:t>
            </w:r>
          </w:p>
        </w:tc>
      </w:tr>
      <w:tr w:rsidR="00716405" w14:paraId="221D9886" w14:textId="77777777" w:rsidTr="00716405">
        <w:tc>
          <w:tcPr>
            <w:tcW w:w="1980" w:type="dxa"/>
            <w:tcBorders>
              <w:top w:val="single" w:sz="4" w:space="0" w:color="auto"/>
              <w:left w:val="single" w:sz="4" w:space="0" w:color="auto"/>
              <w:bottom w:val="single" w:sz="4" w:space="0" w:color="auto"/>
              <w:right w:val="single" w:sz="4" w:space="0" w:color="auto"/>
            </w:tcBorders>
            <w:hideMark/>
          </w:tcPr>
          <w:p w14:paraId="5809A0B5" w14:textId="77777777" w:rsidR="00716405" w:rsidRDefault="00716405">
            <w:pPr>
              <w:pStyle w:val="Tabletext9pt"/>
              <w:rPr>
                <w:szCs w:val="18"/>
                <w:lang w:eastAsia="en-AU"/>
              </w:rPr>
            </w:pPr>
            <w:r>
              <w:rPr>
                <w:szCs w:val="18"/>
                <w:lang w:eastAsia="en-AU"/>
              </w:rPr>
              <w:t>13301</w:t>
            </w:r>
          </w:p>
        </w:tc>
        <w:tc>
          <w:tcPr>
            <w:tcW w:w="2977" w:type="dxa"/>
            <w:tcBorders>
              <w:top w:val="single" w:sz="4" w:space="0" w:color="auto"/>
              <w:left w:val="single" w:sz="4" w:space="0" w:color="auto"/>
              <w:bottom w:val="single" w:sz="4" w:space="0" w:color="auto"/>
              <w:right w:val="single" w:sz="4" w:space="0" w:color="auto"/>
            </w:tcBorders>
            <w:hideMark/>
          </w:tcPr>
          <w:p w14:paraId="04672669" w14:textId="77777777" w:rsidR="00716405" w:rsidRDefault="00716405">
            <w:pPr>
              <w:pStyle w:val="Tabletext9pt"/>
              <w:rPr>
                <w:szCs w:val="18"/>
                <w:lang w:eastAsia="en-AU"/>
              </w:rPr>
            </w:pPr>
            <w:r>
              <w:rPr>
                <w:szCs w:val="18"/>
                <w:lang w:eastAsia="en-AU"/>
              </w:rPr>
              <w:t>Aged quality improvement</w:t>
            </w:r>
          </w:p>
        </w:tc>
        <w:tc>
          <w:tcPr>
            <w:tcW w:w="4342" w:type="dxa"/>
            <w:tcBorders>
              <w:top w:val="single" w:sz="4" w:space="0" w:color="auto"/>
              <w:left w:val="single" w:sz="4" w:space="0" w:color="auto"/>
              <w:bottom w:val="single" w:sz="4" w:space="0" w:color="auto"/>
              <w:right w:val="single" w:sz="4" w:space="0" w:color="auto"/>
            </w:tcBorders>
            <w:hideMark/>
          </w:tcPr>
          <w:p w14:paraId="043937C8" w14:textId="77777777" w:rsidR="00716405" w:rsidRDefault="00716405">
            <w:pPr>
              <w:pStyle w:val="Tabletext9pt"/>
              <w:rPr>
                <w:szCs w:val="18"/>
                <w:lang w:eastAsia="en-AU"/>
              </w:rPr>
            </w:pPr>
            <w:r>
              <w:rPr>
                <w:szCs w:val="18"/>
                <w:lang w:eastAsia="en-AU"/>
              </w:rPr>
              <w:t>To support safety through a range of activities including performance monitoring, workforce development, infection management, infrastructure development and social inclusion.</w:t>
            </w:r>
          </w:p>
        </w:tc>
      </w:tr>
    </w:tbl>
    <w:p w14:paraId="7321E80E" w14:textId="68D2118D" w:rsidR="001E2C97" w:rsidRDefault="003544D0" w:rsidP="00716405">
      <w:pPr>
        <w:pStyle w:val="Bodyaftertablefigure"/>
      </w:pPr>
      <w:r w:rsidRPr="00FF3AE6">
        <w:t>Output name</w:t>
      </w:r>
      <w:r w:rsidR="00D863AC" w:rsidRPr="00FF3AE6">
        <w:t>:</w:t>
      </w:r>
      <w:r w:rsidRPr="00FF3AE6">
        <w:t xml:space="preserve"> Community </w:t>
      </w:r>
      <w:r w:rsidR="00DD3294" w:rsidRPr="00FF3AE6">
        <w:t>health care</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6A0" w:firstRow="1" w:lastRow="0" w:firstColumn="1" w:lastColumn="0" w:noHBand="1" w:noVBand="1"/>
      </w:tblPr>
      <w:tblGrid>
        <w:gridCol w:w="1923"/>
        <w:gridCol w:w="2977"/>
        <w:gridCol w:w="4399"/>
      </w:tblGrid>
      <w:tr w:rsidR="00DD3294" w:rsidRPr="005B481D" w14:paraId="7F58B7DF" w14:textId="77777777" w:rsidTr="00685B35">
        <w:trPr>
          <w:tblHeader/>
        </w:trPr>
        <w:tc>
          <w:tcPr>
            <w:tcW w:w="1923" w:type="dxa"/>
            <w:shd w:val="clear" w:color="auto" w:fill="auto"/>
          </w:tcPr>
          <w:p w14:paraId="33C846E7" w14:textId="071EFF5F" w:rsidR="00DD3294" w:rsidRPr="005B481D" w:rsidRDefault="00DD3294" w:rsidP="00685B35">
            <w:pPr>
              <w:pStyle w:val="Tablecolhead"/>
              <w:rPr>
                <w:lang w:eastAsia="en-AU"/>
              </w:rPr>
            </w:pPr>
            <w:r>
              <w:rPr>
                <w:lang w:eastAsia="en-AU"/>
              </w:rPr>
              <w:t>Activity no.</w:t>
            </w:r>
          </w:p>
        </w:tc>
        <w:tc>
          <w:tcPr>
            <w:tcW w:w="2977" w:type="dxa"/>
            <w:shd w:val="clear" w:color="auto" w:fill="auto"/>
          </w:tcPr>
          <w:p w14:paraId="2554D846" w14:textId="4B37825A" w:rsidR="00DD3294" w:rsidRPr="006E6C39" w:rsidRDefault="00DD3294" w:rsidP="00685B35">
            <w:pPr>
              <w:pStyle w:val="Tablecolhead"/>
              <w:rPr>
                <w:lang w:eastAsia="en-AU"/>
              </w:rPr>
            </w:pPr>
            <w:r>
              <w:rPr>
                <w:lang w:eastAsia="en-AU"/>
              </w:rPr>
              <w:t>Activity name</w:t>
            </w:r>
          </w:p>
        </w:tc>
        <w:tc>
          <w:tcPr>
            <w:tcW w:w="4399" w:type="dxa"/>
            <w:shd w:val="clear" w:color="auto" w:fill="auto"/>
          </w:tcPr>
          <w:p w14:paraId="42F9AC6D" w14:textId="2B90A24B" w:rsidR="00DD3294" w:rsidRPr="00D459D0" w:rsidRDefault="00DD3294" w:rsidP="00685B35">
            <w:pPr>
              <w:pStyle w:val="Tablecolhead"/>
              <w:rPr>
                <w:lang w:eastAsia="en-AU"/>
              </w:rPr>
            </w:pPr>
            <w:r>
              <w:rPr>
                <w:lang w:eastAsia="en-AU"/>
              </w:rPr>
              <w:t>Activity description</w:t>
            </w:r>
          </w:p>
        </w:tc>
      </w:tr>
      <w:tr w:rsidR="00DD3294" w:rsidRPr="005B481D" w14:paraId="65B81FCA" w14:textId="77777777" w:rsidTr="00685B35">
        <w:tc>
          <w:tcPr>
            <w:tcW w:w="1923" w:type="dxa"/>
            <w:shd w:val="clear" w:color="auto" w:fill="auto"/>
          </w:tcPr>
          <w:p w14:paraId="4B05E3A9" w14:textId="77777777" w:rsidR="00DD3294" w:rsidRPr="005B481D" w:rsidRDefault="00DD3294" w:rsidP="00DD3294">
            <w:pPr>
              <w:pStyle w:val="DHHStabletext"/>
              <w:rPr>
                <w:lang w:eastAsia="en-AU"/>
              </w:rPr>
            </w:pPr>
            <w:r w:rsidRPr="005B481D">
              <w:rPr>
                <w:lang w:eastAsia="en-AU"/>
              </w:rPr>
              <w:t>28066</w:t>
            </w:r>
          </w:p>
        </w:tc>
        <w:tc>
          <w:tcPr>
            <w:tcW w:w="2977" w:type="dxa"/>
            <w:shd w:val="clear" w:color="auto" w:fill="auto"/>
          </w:tcPr>
          <w:p w14:paraId="3BFB9C24" w14:textId="2439BFA3" w:rsidR="00DD3294" w:rsidRPr="005B481D" w:rsidRDefault="00DD3294" w:rsidP="00DD3294">
            <w:pPr>
              <w:pStyle w:val="DHHStabletext"/>
              <w:rPr>
                <w:lang w:eastAsia="en-AU"/>
              </w:rPr>
            </w:pPr>
            <w:r w:rsidRPr="006E6C39">
              <w:rPr>
                <w:lang w:eastAsia="en-AU"/>
              </w:rPr>
              <w:t>Innovative</w:t>
            </w:r>
            <w:r>
              <w:rPr>
                <w:lang w:eastAsia="en-AU"/>
              </w:rPr>
              <w:t xml:space="preserve"> </w:t>
            </w:r>
            <w:r w:rsidRPr="006E6C39">
              <w:rPr>
                <w:lang w:eastAsia="en-AU"/>
              </w:rPr>
              <w:t>health</w:t>
            </w:r>
            <w:r>
              <w:rPr>
                <w:lang w:eastAsia="en-AU"/>
              </w:rPr>
              <w:t xml:space="preserve"> </w:t>
            </w:r>
            <w:r w:rsidRPr="006E6C39">
              <w:rPr>
                <w:lang w:eastAsia="en-AU"/>
              </w:rPr>
              <w:t>services</w:t>
            </w:r>
            <w:r>
              <w:rPr>
                <w:lang w:eastAsia="en-AU"/>
              </w:rPr>
              <w:t xml:space="preserve"> </w:t>
            </w:r>
            <w:r w:rsidRPr="006E6C39">
              <w:rPr>
                <w:lang w:eastAsia="en-AU"/>
              </w:rPr>
              <w:t>for</w:t>
            </w:r>
            <w:r>
              <w:rPr>
                <w:lang w:eastAsia="en-AU"/>
              </w:rPr>
              <w:t xml:space="preserve"> </w:t>
            </w:r>
            <w:r w:rsidRPr="006E6C39">
              <w:rPr>
                <w:lang w:eastAsia="en-AU"/>
              </w:rPr>
              <w:t>homeless</w:t>
            </w:r>
            <w:r>
              <w:rPr>
                <w:lang w:eastAsia="en-AU"/>
              </w:rPr>
              <w:t xml:space="preserve"> </w:t>
            </w:r>
            <w:r w:rsidRPr="006E6C39">
              <w:rPr>
                <w:lang w:eastAsia="en-AU"/>
              </w:rPr>
              <w:t>youth</w:t>
            </w:r>
          </w:p>
        </w:tc>
        <w:tc>
          <w:tcPr>
            <w:tcW w:w="4399" w:type="dxa"/>
            <w:shd w:val="clear" w:color="auto" w:fill="auto"/>
          </w:tcPr>
          <w:p w14:paraId="3EA1F170" w14:textId="04EB6353" w:rsidR="00DD3294" w:rsidRPr="005B481D" w:rsidRDefault="00DD3294" w:rsidP="00DD3294">
            <w:pPr>
              <w:pStyle w:val="DHHStabletext"/>
              <w:rPr>
                <w:lang w:eastAsia="en-AU"/>
              </w:rPr>
            </w:pPr>
            <w:r w:rsidRPr="00D459D0">
              <w:rPr>
                <w:lang w:eastAsia="en-AU"/>
              </w:rPr>
              <w:t>To promote health care and improve access to ACCO Services that respond to and support the Aboriginal Community.</w:t>
            </w:r>
          </w:p>
        </w:tc>
      </w:tr>
      <w:tr w:rsidR="00DD3294" w:rsidRPr="005B481D" w14:paraId="3341C16D" w14:textId="77777777" w:rsidTr="00685B35">
        <w:tc>
          <w:tcPr>
            <w:tcW w:w="1923" w:type="dxa"/>
            <w:shd w:val="clear" w:color="auto" w:fill="auto"/>
          </w:tcPr>
          <w:p w14:paraId="63A87ADF" w14:textId="77777777" w:rsidR="00DD3294" w:rsidRPr="005B481D" w:rsidRDefault="00DD3294" w:rsidP="00DD3294">
            <w:pPr>
              <w:pStyle w:val="DHHStabletext"/>
              <w:rPr>
                <w:lang w:eastAsia="en-AU"/>
              </w:rPr>
            </w:pPr>
            <w:r w:rsidRPr="005B481D">
              <w:rPr>
                <w:lang w:eastAsia="en-AU"/>
              </w:rPr>
              <w:t>28068</w:t>
            </w:r>
          </w:p>
        </w:tc>
        <w:tc>
          <w:tcPr>
            <w:tcW w:w="2977" w:type="dxa"/>
            <w:shd w:val="clear" w:color="auto" w:fill="auto"/>
          </w:tcPr>
          <w:p w14:paraId="517EABD4" w14:textId="77777777" w:rsidR="00DD3294" w:rsidRPr="005B481D" w:rsidRDefault="00DD3294" w:rsidP="00DD3294">
            <w:pPr>
              <w:pStyle w:val="DHHStabletext"/>
              <w:rPr>
                <w:lang w:eastAsia="en-AU"/>
              </w:rPr>
            </w:pPr>
            <w:r w:rsidRPr="005B481D">
              <w:rPr>
                <w:lang w:eastAsia="en-AU"/>
              </w:rPr>
              <w:t>Family</w:t>
            </w:r>
            <w:r>
              <w:rPr>
                <w:lang w:eastAsia="en-AU"/>
              </w:rPr>
              <w:t xml:space="preserve"> </w:t>
            </w:r>
            <w:r w:rsidRPr="005B481D">
              <w:rPr>
                <w:lang w:eastAsia="en-AU"/>
              </w:rPr>
              <w:t>planning</w:t>
            </w:r>
            <w:r>
              <w:rPr>
                <w:lang w:eastAsia="en-AU"/>
              </w:rPr>
              <w:t xml:space="preserve"> </w:t>
            </w:r>
          </w:p>
        </w:tc>
        <w:tc>
          <w:tcPr>
            <w:tcW w:w="4399" w:type="dxa"/>
            <w:shd w:val="clear" w:color="auto" w:fill="auto"/>
          </w:tcPr>
          <w:p w14:paraId="0392D6A9" w14:textId="2914184F" w:rsidR="00DD3294" w:rsidRPr="005B481D" w:rsidRDefault="00DD3294" w:rsidP="00DD3294">
            <w:pPr>
              <w:pStyle w:val="DHHStabletext"/>
              <w:rPr>
                <w:lang w:eastAsia="en-AU"/>
              </w:rPr>
            </w:pPr>
            <w:r w:rsidRPr="00DF1B50">
              <w:rPr>
                <w:lang w:eastAsia="en-AU"/>
              </w:rPr>
              <w:t>Provision of therapeutic intervention, clinical care, practical assistance, support, referral and/or advocacy that is responsive and culturally relevant.</w:t>
            </w:r>
          </w:p>
        </w:tc>
      </w:tr>
      <w:tr w:rsidR="00DD3294" w:rsidRPr="005B481D" w14:paraId="1B083FB5" w14:textId="77777777" w:rsidTr="00685B35">
        <w:tc>
          <w:tcPr>
            <w:tcW w:w="1923" w:type="dxa"/>
            <w:shd w:val="clear" w:color="auto" w:fill="auto"/>
          </w:tcPr>
          <w:p w14:paraId="35E1EB43" w14:textId="4735A8DD" w:rsidR="00DD3294" w:rsidRPr="005B481D" w:rsidRDefault="00DD3294" w:rsidP="00DD3294">
            <w:pPr>
              <w:pStyle w:val="DHHStabletext"/>
              <w:rPr>
                <w:lang w:eastAsia="en-AU"/>
              </w:rPr>
            </w:pPr>
            <w:r w:rsidRPr="00523F60">
              <w:rPr>
                <w:lang w:eastAsia="en-AU"/>
              </w:rPr>
              <w:t>28069</w:t>
            </w:r>
          </w:p>
        </w:tc>
        <w:tc>
          <w:tcPr>
            <w:tcW w:w="2977" w:type="dxa"/>
            <w:shd w:val="clear" w:color="auto" w:fill="auto"/>
          </w:tcPr>
          <w:p w14:paraId="370B370B" w14:textId="3CAD374D" w:rsidR="00DD3294" w:rsidRPr="005B481D" w:rsidRDefault="00DD3294" w:rsidP="00DD3294">
            <w:pPr>
              <w:pStyle w:val="DHHStabletext"/>
              <w:rPr>
                <w:lang w:eastAsia="en-AU"/>
              </w:rPr>
            </w:pPr>
            <w:r w:rsidRPr="00355DE5">
              <w:rPr>
                <w:lang w:eastAsia="en-AU"/>
              </w:rPr>
              <w:t>Service system development</w:t>
            </w:r>
          </w:p>
        </w:tc>
        <w:tc>
          <w:tcPr>
            <w:tcW w:w="4399" w:type="dxa"/>
            <w:shd w:val="clear" w:color="auto" w:fill="auto"/>
          </w:tcPr>
          <w:p w14:paraId="444B6255" w14:textId="5C16B405" w:rsidR="00DD3294" w:rsidRPr="00DF1B50" w:rsidRDefault="00DD3294" w:rsidP="00DD3294">
            <w:pPr>
              <w:pStyle w:val="DHHStabletext"/>
              <w:rPr>
                <w:lang w:eastAsia="en-AU"/>
              </w:rPr>
            </w:pPr>
            <w:r w:rsidRPr="004E3CB1">
              <w:rPr>
                <w:lang w:eastAsia="en-AU"/>
              </w:rPr>
              <w:t>Funding to improve the planning, coordination and delivery of primary care services that is not specific to a direct care activity. For example, board expenses funding or non-recurrent funding for projects.</w:t>
            </w:r>
          </w:p>
        </w:tc>
      </w:tr>
      <w:tr w:rsidR="00DD3294" w:rsidRPr="005B481D" w14:paraId="02BFB4F5" w14:textId="77777777" w:rsidTr="00685B35">
        <w:tc>
          <w:tcPr>
            <w:tcW w:w="1923" w:type="dxa"/>
            <w:shd w:val="clear" w:color="auto" w:fill="auto"/>
          </w:tcPr>
          <w:p w14:paraId="784B5FA5" w14:textId="77777777" w:rsidR="00DD3294" w:rsidRPr="005B481D" w:rsidRDefault="00DD3294" w:rsidP="00DD3294">
            <w:pPr>
              <w:pStyle w:val="DHHStabletext"/>
              <w:rPr>
                <w:lang w:eastAsia="en-AU"/>
              </w:rPr>
            </w:pPr>
            <w:r w:rsidRPr="005B481D">
              <w:rPr>
                <w:lang w:eastAsia="en-AU"/>
              </w:rPr>
              <w:t>28072</w:t>
            </w:r>
          </w:p>
        </w:tc>
        <w:tc>
          <w:tcPr>
            <w:tcW w:w="2977" w:type="dxa"/>
            <w:shd w:val="clear" w:color="auto" w:fill="auto"/>
          </w:tcPr>
          <w:p w14:paraId="7EA13B1E" w14:textId="77777777" w:rsidR="00DD3294" w:rsidRPr="005B481D" w:rsidRDefault="00DD3294" w:rsidP="00DD3294">
            <w:pPr>
              <w:pStyle w:val="DHHStabletext"/>
              <w:rPr>
                <w:lang w:eastAsia="en-AU"/>
              </w:rPr>
            </w:pPr>
            <w:r w:rsidRPr="005B481D">
              <w:rPr>
                <w:lang w:eastAsia="en-AU"/>
              </w:rPr>
              <w:t>Integrated</w:t>
            </w:r>
            <w:r>
              <w:rPr>
                <w:lang w:eastAsia="en-AU"/>
              </w:rPr>
              <w:t xml:space="preserve"> </w:t>
            </w:r>
            <w:r w:rsidRPr="005B481D">
              <w:rPr>
                <w:lang w:eastAsia="en-AU"/>
              </w:rPr>
              <w:t>chronic</w:t>
            </w:r>
            <w:r>
              <w:rPr>
                <w:lang w:eastAsia="en-AU"/>
              </w:rPr>
              <w:t xml:space="preserve"> </w:t>
            </w:r>
            <w:r w:rsidRPr="005B481D">
              <w:rPr>
                <w:lang w:eastAsia="en-AU"/>
              </w:rPr>
              <w:t>disease</w:t>
            </w:r>
            <w:r>
              <w:rPr>
                <w:lang w:eastAsia="en-AU"/>
              </w:rPr>
              <w:t xml:space="preserve"> </w:t>
            </w:r>
            <w:r w:rsidRPr="005B481D">
              <w:rPr>
                <w:lang w:eastAsia="en-AU"/>
              </w:rPr>
              <w:t>management</w:t>
            </w:r>
          </w:p>
        </w:tc>
        <w:tc>
          <w:tcPr>
            <w:tcW w:w="4399" w:type="dxa"/>
            <w:shd w:val="clear" w:color="auto" w:fill="auto"/>
          </w:tcPr>
          <w:p w14:paraId="0A65E99C" w14:textId="7C87B147" w:rsidR="00DD3294" w:rsidRPr="005B481D" w:rsidRDefault="00DD3294" w:rsidP="00DD3294">
            <w:pPr>
              <w:pStyle w:val="DHHStabletext"/>
              <w:rPr>
                <w:lang w:eastAsia="en-AU"/>
              </w:rPr>
            </w:pPr>
            <w:r w:rsidRPr="00AD5DEB">
              <w:rPr>
                <w:lang w:eastAsia="en-AU"/>
              </w:rPr>
              <w:t>Provides funds to community health services for integrated chronic disease management encompassing direct care and change management</w:t>
            </w:r>
          </w:p>
        </w:tc>
      </w:tr>
      <w:tr w:rsidR="00DD3294" w:rsidRPr="005B481D" w14:paraId="5A5C1C5A" w14:textId="77777777" w:rsidTr="00685B35">
        <w:tc>
          <w:tcPr>
            <w:tcW w:w="1923" w:type="dxa"/>
            <w:shd w:val="clear" w:color="auto" w:fill="auto"/>
          </w:tcPr>
          <w:p w14:paraId="0F8DBFB9" w14:textId="77777777" w:rsidR="00DD3294" w:rsidRPr="005B481D" w:rsidRDefault="00DD3294" w:rsidP="00DD3294">
            <w:pPr>
              <w:pStyle w:val="DHHStabletext"/>
              <w:rPr>
                <w:lang w:eastAsia="en-AU"/>
              </w:rPr>
            </w:pPr>
            <w:r w:rsidRPr="005B481D">
              <w:rPr>
                <w:lang w:eastAsia="en-AU"/>
              </w:rPr>
              <w:t>28076</w:t>
            </w:r>
          </w:p>
        </w:tc>
        <w:tc>
          <w:tcPr>
            <w:tcW w:w="2977" w:type="dxa"/>
            <w:shd w:val="clear" w:color="auto" w:fill="auto"/>
          </w:tcPr>
          <w:p w14:paraId="4C00CFD6" w14:textId="77777777" w:rsidR="00DD3294" w:rsidRPr="005B481D" w:rsidRDefault="00DD3294" w:rsidP="00DD3294">
            <w:pPr>
              <w:pStyle w:val="DHHStabletext"/>
              <w:rPr>
                <w:lang w:eastAsia="en-AU"/>
              </w:rPr>
            </w:pPr>
            <w:r w:rsidRPr="005B481D">
              <w:rPr>
                <w:lang w:eastAsia="en-AU"/>
              </w:rPr>
              <w:t>Refugee</w:t>
            </w:r>
            <w:r>
              <w:rPr>
                <w:lang w:eastAsia="en-AU"/>
              </w:rPr>
              <w:t xml:space="preserve"> </w:t>
            </w:r>
            <w:r w:rsidRPr="005B481D">
              <w:rPr>
                <w:lang w:eastAsia="en-AU"/>
              </w:rPr>
              <w:t>and</w:t>
            </w:r>
            <w:r>
              <w:rPr>
                <w:lang w:eastAsia="en-AU"/>
              </w:rPr>
              <w:t xml:space="preserve"> </w:t>
            </w:r>
            <w:r w:rsidRPr="005B481D">
              <w:rPr>
                <w:lang w:eastAsia="en-AU"/>
              </w:rPr>
              <w:t>asylum</w:t>
            </w:r>
            <w:r>
              <w:rPr>
                <w:lang w:eastAsia="en-AU"/>
              </w:rPr>
              <w:t xml:space="preserve"> </w:t>
            </w:r>
            <w:r w:rsidRPr="005B481D">
              <w:rPr>
                <w:lang w:eastAsia="en-AU"/>
              </w:rPr>
              <w:t>seeker</w:t>
            </w:r>
            <w:r>
              <w:rPr>
                <w:lang w:eastAsia="en-AU"/>
              </w:rPr>
              <w:t xml:space="preserve"> </w:t>
            </w:r>
            <w:r w:rsidRPr="005B481D">
              <w:rPr>
                <w:lang w:eastAsia="en-AU"/>
              </w:rPr>
              <w:t>health</w:t>
            </w:r>
            <w:r>
              <w:rPr>
                <w:lang w:eastAsia="en-AU"/>
              </w:rPr>
              <w:t xml:space="preserve"> </w:t>
            </w:r>
            <w:r w:rsidRPr="005B481D">
              <w:rPr>
                <w:lang w:eastAsia="en-AU"/>
              </w:rPr>
              <w:t>services</w:t>
            </w:r>
          </w:p>
        </w:tc>
        <w:tc>
          <w:tcPr>
            <w:tcW w:w="4399" w:type="dxa"/>
            <w:shd w:val="clear" w:color="auto" w:fill="auto"/>
          </w:tcPr>
          <w:p w14:paraId="563214FD" w14:textId="04AD12D7" w:rsidR="00DD3294" w:rsidRPr="005B481D" w:rsidRDefault="00DD3294" w:rsidP="00DD3294">
            <w:pPr>
              <w:pStyle w:val="DHHStabletext"/>
              <w:rPr>
                <w:lang w:eastAsia="en-AU"/>
              </w:rPr>
            </w:pPr>
            <w:r w:rsidRPr="00DF1B50">
              <w:rPr>
                <w:lang w:eastAsia="en-AU"/>
              </w:rPr>
              <w:t>Responding to the poor health and complex health issues of arriving refugees in Victoria.</w:t>
            </w:r>
          </w:p>
        </w:tc>
      </w:tr>
      <w:tr w:rsidR="00DD3294" w:rsidRPr="005B481D" w14:paraId="635C3CEB" w14:textId="77777777" w:rsidTr="00685B35">
        <w:tc>
          <w:tcPr>
            <w:tcW w:w="1923" w:type="dxa"/>
            <w:shd w:val="clear" w:color="auto" w:fill="auto"/>
          </w:tcPr>
          <w:p w14:paraId="1AB89EDC" w14:textId="77777777" w:rsidR="00DD3294" w:rsidRPr="005B481D" w:rsidRDefault="00DD3294" w:rsidP="00DD3294">
            <w:pPr>
              <w:pStyle w:val="DHHStabletext"/>
              <w:rPr>
                <w:lang w:eastAsia="en-AU"/>
              </w:rPr>
            </w:pPr>
            <w:r w:rsidRPr="005B481D">
              <w:rPr>
                <w:lang w:eastAsia="en-AU"/>
              </w:rPr>
              <w:t>28080</w:t>
            </w:r>
          </w:p>
        </w:tc>
        <w:tc>
          <w:tcPr>
            <w:tcW w:w="2977" w:type="dxa"/>
            <w:shd w:val="clear" w:color="auto" w:fill="auto"/>
          </w:tcPr>
          <w:p w14:paraId="37B3228F" w14:textId="77777777" w:rsidR="00DD3294" w:rsidRPr="005B481D" w:rsidRDefault="00DD3294" w:rsidP="00DD3294">
            <w:pPr>
              <w:pStyle w:val="DHHStabletext"/>
              <w:rPr>
                <w:lang w:eastAsia="en-AU"/>
              </w:rPr>
            </w:pPr>
            <w:r w:rsidRPr="005B481D">
              <w:rPr>
                <w:lang w:eastAsia="en-AU"/>
              </w:rPr>
              <w:t>Healthy</w:t>
            </w:r>
            <w:r>
              <w:rPr>
                <w:lang w:eastAsia="en-AU"/>
              </w:rPr>
              <w:t xml:space="preserve"> </w:t>
            </w:r>
            <w:r w:rsidRPr="005B481D">
              <w:rPr>
                <w:lang w:eastAsia="en-AU"/>
              </w:rPr>
              <w:t>Mothers</w:t>
            </w:r>
            <w:r>
              <w:rPr>
                <w:lang w:eastAsia="en-AU"/>
              </w:rPr>
              <w:t xml:space="preserve"> </w:t>
            </w:r>
            <w:r w:rsidRPr="005B481D">
              <w:rPr>
                <w:lang w:eastAsia="en-AU"/>
              </w:rPr>
              <w:t>Healthy</w:t>
            </w:r>
            <w:r>
              <w:rPr>
                <w:lang w:eastAsia="en-AU"/>
              </w:rPr>
              <w:t xml:space="preserve"> </w:t>
            </w:r>
            <w:r w:rsidRPr="005B481D">
              <w:rPr>
                <w:lang w:eastAsia="en-AU"/>
              </w:rPr>
              <w:t>Babies</w:t>
            </w:r>
          </w:p>
        </w:tc>
        <w:tc>
          <w:tcPr>
            <w:tcW w:w="4399" w:type="dxa"/>
            <w:shd w:val="clear" w:color="auto" w:fill="auto"/>
          </w:tcPr>
          <w:p w14:paraId="6E418A1C" w14:textId="06B28F7B" w:rsidR="00DD3294" w:rsidRPr="005B481D" w:rsidRDefault="00DD3294" w:rsidP="00DD3294">
            <w:pPr>
              <w:pStyle w:val="DHHStabletext"/>
              <w:rPr>
                <w:lang w:eastAsia="en-AU"/>
              </w:rPr>
            </w:pPr>
            <w:r w:rsidRPr="00976697">
              <w:rPr>
                <w:lang w:eastAsia="en-AU"/>
              </w:rPr>
              <w:t>To improve the health and wellbeing of mothers and babies and reduce health inequity by addressing maternal risk behaviours and providing support during pregnancy.</w:t>
            </w:r>
          </w:p>
        </w:tc>
      </w:tr>
      <w:tr w:rsidR="00DD3294" w:rsidRPr="00C530DF" w14:paraId="0C991EFD" w14:textId="77777777" w:rsidTr="00685B35">
        <w:tc>
          <w:tcPr>
            <w:tcW w:w="1923" w:type="dxa"/>
            <w:shd w:val="clear" w:color="auto" w:fill="auto"/>
          </w:tcPr>
          <w:p w14:paraId="649A012C" w14:textId="77777777" w:rsidR="00DD3294" w:rsidRPr="005B481D" w:rsidRDefault="00DD3294" w:rsidP="00DD3294">
            <w:pPr>
              <w:pStyle w:val="DHHStabletext"/>
              <w:rPr>
                <w:lang w:eastAsia="en-AU"/>
              </w:rPr>
            </w:pPr>
            <w:r w:rsidRPr="005B481D">
              <w:rPr>
                <w:lang w:eastAsia="en-AU"/>
              </w:rPr>
              <w:t>28081</w:t>
            </w:r>
          </w:p>
        </w:tc>
        <w:tc>
          <w:tcPr>
            <w:tcW w:w="2977" w:type="dxa"/>
            <w:shd w:val="clear" w:color="auto" w:fill="auto"/>
          </w:tcPr>
          <w:p w14:paraId="032BF437" w14:textId="77777777" w:rsidR="00DD3294" w:rsidRPr="00C530DF" w:rsidRDefault="00DD3294" w:rsidP="00DD3294">
            <w:pPr>
              <w:pStyle w:val="DHHStabletext"/>
              <w:rPr>
                <w:lang w:eastAsia="en-AU"/>
              </w:rPr>
            </w:pPr>
            <w:r w:rsidRPr="005B481D">
              <w:rPr>
                <w:lang w:eastAsia="en-AU"/>
              </w:rPr>
              <w:t>National</w:t>
            </w:r>
            <w:r>
              <w:rPr>
                <w:lang w:eastAsia="en-AU"/>
              </w:rPr>
              <w:t xml:space="preserve"> </w:t>
            </w:r>
            <w:r w:rsidRPr="005B481D">
              <w:rPr>
                <w:lang w:eastAsia="en-AU"/>
              </w:rPr>
              <w:t>Diabetes</w:t>
            </w:r>
            <w:r>
              <w:rPr>
                <w:lang w:eastAsia="en-AU"/>
              </w:rPr>
              <w:t xml:space="preserve"> </w:t>
            </w:r>
            <w:r w:rsidRPr="005B481D">
              <w:rPr>
                <w:lang w:eastAsia="en-AU"/>
              </w:rPr>
              <w:t>Services</w:t>
            </w:r>
            <w:r>
              <w:rPr>
                <w:lang w:eastAsia="en-AU"/>
              </w:rPr>
              <w:t xml:space="preserve"> </w:t>
            </w:r>
            <w:r w:rsidRPr="005B481D">
              <w:rPr>
                <w:lang w:eastAsia="en-AU"/>
              </w:rPr>
              <w:t>Scheme</w:t>
            </w:r>
            <w:r>
              <w:rPr>
                <w:lang w:eastAsia="en-AU"/>
              </w:rPr>
              <w:t xml:space="preserve"> </w:t>
            </w:r>
          </w:p>
        </w:tc>
        <w:tc>
          <w:tcPr>
            <w:tcW w:w="4399" w:type="dxa"/>
            <w:shd w:val="clear" w:color="auto" w:fill="auto"/>
          </w:tcPr>
          <w:p w14:paraId="4844A5CA" w14:textId="303B4241" w:rsidR="00DD3294" w:rsidRPr="00C530DF" w:rsidRDefault="00DD3294" w:rsidP="00DD3294">
            <w:pPr>
              <w:pStyle w:val="DHHStabletext"/>
              <w:rPr>
                <w:lang w:eastAsia="en-AU"/>
              </w:rPr>
            </w:pPr>
            <w:r w:rsidRPr="00C15718">
              <w:rPr>
                <w:lang w:eastAsia="en-AU"/>
              </w:rPr>
              <w:t>To enhance the capacity of people with diabetes to understand and self-manage their condition and distribute of packs of needles and syringes.</w:t>
            </w:r>
          </w:p>
        </w:tc>
      </w:tr>
      <w:tr w:rsidR="00DD3294" w:rsidRPr="00C530DF" w14:paraId="38F0ED09" w14:textId="77777777" w:rsidTr="00685B35">
        <w:tc>
          <w:tcPr>
            <w:tcW w:w="1923" w:type="dxa"/>
            <w:shd w:val="clear" w:color="auto" w:fill="auto"/>
          </w:tcPr>
          <w:p w14:paraId="39355342" w14:textId="18239BB6" w:rsidR="00DD3294" w:rsidRPr="005B481D" w:rsidRDefault="00DD3294" w:rsidP="00DD3294">
            <w:pPr>
              <w:pStyle w:val="DHHStabletext"/>
              <w:rPr>
                <w:lang w:eastAsia="en-AU"/>
              </w:rPr>
            </w:pPr>
            <w:r w:rsidRPr="003F049C">
              <w:rPr>
                <w:lang w:eastAsia="en-AU"/>
              </w:rPr>
              <w:t>28048</w:t>
            </w:r>
          </w:p>
        </w:tc>
        <w:tc>
          <w:tcPr>
            <w:tcW w:w="2977" w:type="dxa"/>
            <w:shd w:val="clear" w:color="auto" w:fill="auto"/>
          </w:tcPr>
          <w:p w14:paraId="4DC7E2B8" w14:textId="5F46266D" w:rsidR="00DD3294" w:rsidRPr="005B481D" w:rsidRDefault="00DD3294" w:rsidP="00DD3294">
            <w:pPr>
              <w:pStyle w:val="DHHStabletext"/>
              <w:rPr>
                <w:lang w:eastAsia="en-AU"/>
              </w:rPr>
            </w:pPr>
            <w:r>
              <w:rPr>
                <w:rStyle w:val="normaltextrun"/>
                <w:rFonts w:cs="Arial"/>
                <w:color w:val="000000"/>
                <w:sz w:val="20"/>
                <w:shd w:val="clear" w:color="auto" w:fill="FFFFFF"/>
              </w:rPr>
              <w:t>L</w:t>
            </w:r>
            <w:r>
              <w:rPr>
                <w:rStyle w:val="normaltextrun"/>
                <w:rFonts w:cs="Arial"/>
                <w:color w:val="000000"/>
                <w:shd w:val="clear" w:color="auto" w:fill="FFFFFF"/>
              </w:rPr>
              <w:t>anguage services</w:t>
            </w:r>
          </w:p>
        </w:tc>
        <w:tc>
          <w:tcPr>
            <w:tcW w:w="4399" w:type="dxa"/>
            <w:shd w:val="clear" w:color="auto" w:fill="auto"/>
          </w:tcPr>
          <w:p w14:paraId="08517B39" w14:textId="145DB1B2" w:rsidR="00DD3294" w:rsidRPr="00C15718" w:rsidRDefault="00DD3294" w:rsidP="00DD3294">
            <w:pPr>
              <w:pStyle w:val="DHHStabletext"/>
              <w:rPr>
                <w:lang w:eastAsia="en-AU"/>
              </w:rPr>
            </w:pPr>
            <w:r w:rsidRPr="00643C70">
              <w:rPr>
                <w:lang w:eastAsia="en-AU"/>
              </w:rPr>
              <w:t>Provision of accredited interpreting and translation services by specialist agencies</w:t>
            </w:r>
          </w:p>
        </w:tc>
      </w:tr>
      <w:tr w:rsidR="00DD3294" w:rsidRPr="00C530DF" w14:paraId="5164960A" w14:textId="77777777" w:rsidTr="00685B35">
        <w:tc>
          <w:tcPr>
            <w:tcW w:w="1923" w:type="dxa"/>
            <w:shd w:val="clear" w:color="auto" w:fill="auto"/>
          </w:tcPr>
          <w:p w14:paraId="184B98B4" w14:textId="77777777" w:rsidR="00DD3294" w:rsidRPr="005B481D" w:rsidRDefault="00DD3294" w:rsidP="00DD3294">
            <w:pPr>
              <w:pStyle w:val="DHHStabletext"/>
              <w:rPr>
                <w:lang w:eastAsia="en-AU"/>
              </w:rPr>
            </w:pPr>
            <w:r w:rsidRPr="005B481D">
              <w:rPr>
                <w:lang w:eastAsia="en-AU"/>
              </w:rPr>
              <w:t>28086</w:t>
            </w:r>
          </w:p>
        </w:tc>
        <w:tc>
          <w:tcPr>
            <w:tcW w:w="2977" w:type="dxa"/>
            <w:shd w:val="clear" w:color="auto" w:fill="auto"/>
          </w:tcPr>
          <w:p w14:paraId="272DE864" w14:textId="77777777" w:rsidR="00DD3294" w:rsidRPr="00C530DF" w:rsidRDefault="00DD3294" w:rsidP="00DD3294">
            <w:pPr>
              <w:pStyle w:val="DHHStabletext"/>
              <w:rPr>
                <w:lang w:eastAsia="en-AU"/>
              </w:rPr>
            </w:pPr>
            <w:r w:rsidRPr="005B481D">
              <w:rPr>
                <w:lang w:eastAsia="en-AU"/>
              </w:rPr>
              <w:t>Community</w:t>
            </w:r>
            <w:r>
              <w:rPr>
                <w:lang w:eastAsia="en-AU"/>
              </w:rPr>
              <w:t xml:space="preserve"> </w:t>
            </w:r>
            <w:r w:rsidRPr="005B481D">
              <w:rPr>
                <w:lang w:eastAsia="en-AU"/>
              </w:rPr>
              <w:t>health</w:t>
            </w:r>
          </w:p>
        </w:tc>
        <w:tc>
          <w:tcPr>
            <w:tcW w:w="4399" w:type="dxa"/>
            <w:shd w:val="clear" w:color="auto" w:fill="auto"/>
          </w:tcPr>
          <w:p w14:paraId="2739043E" w14:textId="3CB8A57C" w:rsidR="00DD3294" w:rsidRPr="00C530DF" w:rsidRDefault="00DD3294" w:rsidP="00DD3294">
            <w:pPr>
              <w:pStyle w:val="DHHStabletext"/>
              <w:rPr>
                <w:lang w:eastAsia="en-AU"/>
              </w:rPr>
            </w:pPr>
            <w:r w:rsidRPr="006954FD">
              <w:rPr>
                <w:lang w:eastAsia="en-AU"/>
              </w:rPr>
              <w:t>The program funds general counselling, allied health and nursing services.</w:t>
            </w:r>
          </w:p>
        </w:tc>
      </w:tr>
      <w:tr w:rsidR="00DD3294" w:rsidRPr="00993142" w14:paraId="46F7FAEC" w14:textId="77777777" w:rsidTr="00685B35">
        <w:tc>
          <w:tcPr>
            <w:tcW w:w="1923" w:type="dxa"/>
            <w:shd w:val="clear" w:color="auto" w:fill="auto"/>
          </w:tcPr>
          <w:p w14:paraId="7F353500" w14:textId="77777777" w:rsidR="00DD3294" w:rsidRPr="00993142" w:rsidRDefault="00DD3294" w:rsidP="00DD3294">
            <w:pPr>
              <w:pStyle w:val="DHHStabletext"/>
              <w:rPr>
                <w:lang w:eastAsia="en-AU"/>
              </w:rPr>
            </w:pPr>
            <w:r w:rsidRPr="00993142">
              <w:rPr>
                <w:lang w:eastAsia="en-AU"/>
              </w:rPr>
              <w:t>28090</w:t>
            </w:r>
          </w:p>
        </w:tc>
        <w:tc>
          <w:tcPr>
            <w:tcW w:w="2977" w:type="dxa"/>
            <w:shd w:val="clear" w:color="auto" w:fill="auto"/>
          </w:tcPr>
          <w:p w14:paraId="373F348A" w14:textId="7A3CAB3B" w:rsidR="00DD3294" w:rsidRPr="00993142" w:rsidRDefault="00DD3294" w:rsidP="00DD3294">
            <w:pPr>
              <w:pStyle w:val="DHHStabletext"/>
              <w:rPr>
                <w:lang w:eastAsia="en-AU"/>
              </w:rPr>
            </w:pPr>
            <w:r w:rsidRPr="00993142">
              <w:rPr>
                <w:lang w:eastAsia="en-AU"/>
              </w:rPr>
              <w:t>MDC</w:t>
            </w:r>
            <w:r>
              <w:rPr>
                <w:lang w:eastAsia="en-AU"/>
              </w:rPr>
              <w:t xml:space="preserve"> </w:t>
            </w:r>
            <w:r w:rsidRPr="00993142">
              <w:rPr>
                <w:lang w:eastAsia="en-AU"/>
              </w:rPr>
              <w:t>–</w:t>
            </w:r>
            <w:r>
              <w:rPr>
                <w:lang w:eastAsia="en-AU"/>
              </w:rPr>
              <w:t xml:space="preserve"> </w:t>
            </w:r>
            <w:r w:rsidRPr="00993142">
              <w:rPr>
                <w:lang w:eastAsia="en-AU"/>
              </w:rPr>
              <w:t>community</w:t>
            </w:r>
            <w:r>
              <w:rPr>
                <w:lang w:eastAsia="en-AU"/>
              </w:rPr>
              <w:t xml:space="preserve"> </w:t>
            </w:r>
            <w:r w:rsidRPr="00993142">
              <w:rPr>
                <w:lang w:eastAsia="en-AU"/>
              </w:rPr>
              <w:t>health</w:t>
            </w:r>
            <w:r>
              <w:rPr>
                <w:lang w:eastAsia="en-AU"/>
              </w:rPr>
              <w:t xml:space="preserve"> </w:t>
            </w:r>
            <w:r w:rsidRPr="00993142">
              <w:rPr>
                <w:lang w:eastAsia="en-AU"/>
              </w:rPr>
              <w:t>nurse</w:t>
            </w:r>
          </w:p>
        </w:tc>
        <w:tc>
          <w:tcPr>
            <w:tcW w:w="4399" w:type="dxa"/>
            <w:shd w:val="clear" w:color="auto" w:fill="auto"/>
          </w:tcPr>
          <w:p w14:paraId="0ECF6F92" w14:textId="3697B236" w:rsidR="00DD3294" w:rsidRPr="00993142" w:rsidRDefault="00DD3294" w:rsidP="00DD3294">
            <w:pPr>
              <w:pStyle w:val="DHHStabletext"/>
              <w:rPr>
                <w:lang w:eastAsia="en-AU"/>
              </w:rPr>
            </w:pPr>
            <w:r w:rsidRPr="00DC423E">
              <w:rPr>
                <w:lang w:eastAsia="en-AU"/>
              </w:rPr>
              <w:t xml:space="preserve">Community health nurses work with clients to identity and determine health and care needs and provide support to navigate and access services and programs to meet each individual’s needs.  </w:t>
            </w:r>
          </w:p>
        </w:tc>
      </w:tr>
      <w:tr w:rsidR="00DD3294" w:rsidRPr="008A243A" w14:paraId="1618521C" w14:textId="77777777" w:rsidTr="00685B35">
        <w:trPr>
          <w:cantSplit/>
        </w:trPr>
        <w:tc>
          <w:tcPr>
            <w:tcW w:w="1923" w:type="dxa"/>
            <w:shd w:val="clear" w:color="auto" w:fill="auto"/>
          </w:tcPr>
          <w:p w14:paraId="32620321" w14:textId="77777777" w:rsidR="00DD3294" w:rsidRPr="008A243A" w:rsidRDefault="00DD3294" w:rsidP="00DD3294">
            <w:pPr>
              <w:pStyle w:val="DHHStabletext"/>
              <w:rPr>
                <w:lang w:eastAsia="en-AU"/>
              </w:rPr>
            </w:pPr>
            <w:r>
              <w:rPr>
                <w:lang w:eastAsia="en-AU"/>
              </w:rPr>
              <w:t>28091</w:t>
            </w:r>
          </w:p>
        </w:tc>
        <w:tc>
          <w:tcPr>
            <w:tcW w:w="2977" w:type="dxa"/>
            <w:shd w:val="clear" w:color="auto" w:fill="auto"/>
          </w:tcPr>
          <w:p w14:paraId="751EE931" w14:textId="77777777" w:rsidR="00DD3294" w:rsidRPr="008A243A" w:rsidRDefault="00DD3294" w:rsidP="00DD3294">
            <w:pPr>
              <w:pStyle w:val="DHHStabletext"/>
              <w:rPr>
                <w:lang w:eastAsia="en-AU"/>
              </w:rPr>
            </w:pPr>
            <w:r>
              <w:rPr>
                <w:lang w:eastAsia="en-AU"/>
              </w:rPr>
              <w:t>Community Asthma Program</w:t>
            </w:r>
          </w:p>
        </w:tc>
        <w:tc>
          <w:tcPr>
            <w:tcW w:w="4399" w:type="dxa"/>
            <w:shd w:val="clear" w:color="auto" w:fill="auto"/>
          </w:tcPr>
          <w:p w14:paraId="3DE505B2" w14:textId="213D05D5" w:rsidR="00DD3294" w:rsidRPr="008A243A" w:rsidRDefault="00DD3294" w:rsidP="00DD3294">
            <w:pPr>
              <w:pStyle w:val="DHHStabletext"/>
              <w:rPr>
                <w:lang w:eastAsia="en-AU"/>
              </w:rPr>
            </w:pPr>
            <w:r w:rsidRPr="0050157B">
              <w:rPr>
                <w:lang w:eastAsia="en-AU"/>
              </w:rPr>
              <w:t>The Community Asthma Program supports avoidable hospital admissions through the delivery of community</w:t>
            </w:r>
            <w:r>
              <w:rPr>
                <w:lang w:eastAsia="en-AU"/>
              </w:rPr>
              <w:t>-</w:t>
            </w:r>
            <w:r w:rsidRPr="0050157B">
              <w:rPr>
                <w:lang w:eastAsia="en-AU"/>
              </w:rPr>
              <w:t xml:space="preserve">based services, with a focus on asthma self-management and improved cohesion of services for children and young people presenting with asthma symptoms.  </w:t>
            </w:r>
          </w:p>
        </w:tc>
      </w:tr>
      <w:tr w:rsidR="00DD3294" w:rsidRPr="008A243A" w14:paraId="5C7504F5" w14:textId="77777777" w:rsidTr="00685B35">
        <w:tc>
          <w:tcPr>
            <w:tcW w:w="1923" w:type="dxa"/>
            <w:shd w:val="clear" w:color="auto" w:fill="auto"/>
          </w:tcPr>
          <w:p w14:paraId="7E59BAF8" w14:textId="102B1595" w:rsidR="00DD3294" w:rsidRDefault="00DD3294" w:rsidP="00DD3294">
            <w:pPr>
              <w:pStyle w:val="DHHStabletext"/>
              <w:rPr>
                <w:lang w:eastAsia="en-AU"/>
              </w:rPr>
            </w:pPr>
            <w:r w:rsidRPr="00866022">
              <w:rPr>
                <w:lang w:eastAsia="en-AU"/>
              </w:rPr>
              <w:lastRenderedPageBreak/>
              <w:t>28092</w:t>
            </w:r>
          </w:p>
        </w:tc>
        <w:tc>
          <w:tcPr>
            <w:tcW w:w="2977" w:type="dxa"/>
            <w:shd w:val="clear" w:color="auto" w:fill="auto"/>
          </w:tcPr>
          <w:p w14:paraId="5366B7B9" w14:textId="66BEFDA6" w:rsidR="00DD3294" w:rsidRDefault="00DD3294" w:rsidP="00DD3294">
            <w:pPr>
              <w:pStyle w:val="DHHStabletext"/>
              <w:rPr>
                <w:lang w:eastAsia="en-AU"/>
              </w:rPr>
            </w:pPr>
            <w:r w:rsidRPr="001F4069">
              <w:rPr>
                <w:lang w:eastAsia="en-AU"/>
              </w:rPr>
              <w:t>Infant Child and Family Health and Wellbeing Hubs – Community Health</w:t>
            </w:r>
          </w:p>
        </w:tc>
        <w:tc>
          <w:tcPr>
            <w:tcW w:w="4399" w:type="dxa"/>
            <w:shd w:val="clear" w:color="auto" w:fill="auto"/>
          </w:tcPr>
          <w:p w14:paraId="26A32952" w14:textId="3D1574E0" w:rsidR="00DD3294" w:rsidRPr="0050157B" w:rsidRDefault="00DD3294" w:rsidP="00DD3294">
            <w:pPr>
              <w:pStyle w:val="DHHStabletext"/>
              <w:rPr>
                <w:lang w:eastAsia="en-AU"/>
              </w:rPr>
            </w:pPr>
            <w:r w:rsidRPr="009D3DA1">
              <w:rPr>
                <w:lang w:eastAsia="en-AU"/>
              </w:rPr>
              <w:t>Provision of integrated and community-based multidisciplinary health services and supports for children experiencing developmental, emotional, relational and behavioural challenges and their families. Hub services delivered in community health will include the establishment of the service and delivery of specialist medical appointments, allied health service hours, intake, care coordination and in</w:t>
            </w:r>
            <w:r>
              <w:rPr>
                <w:lang w:eastAsia="en-AU"/>
              </w:rPr>
              <w:t>-</w:t>
            </w:r>
            <w:r w:rsidRPr="009D3DA1">
              <w:rPr>
                <w:lang w:eastAsia="en-AU"/>
              </w:rPr>
              <w:t>reach supports.</w:t>
            </w:r>
          </w:p>
        </w:tc>
      </w:tr>
      <w:tr w:rsidR="00DD3294" w:rsidRPr="008A243A" w14:paraId="71601080" w14:textId="77777777" w:rsidTr="00685B35">
        <w:tc>
          <w:tcPr>
            <w:tcW w:w="1923" w:type="dxa"/>
            <w:shd w:val="clear" w:color="auto" w:fill="auto"/>
          </w:tcPr>
          <w:p w14:paraId="55433F91" w14:textId="0B8C0FC1" w:rsidR="00DD3294" w:rsidRPr="00866022" w:rsidRDefault="00DD3294" w:rsidP="00DD3294">
            <w:pPr>
              <w:pStyle w:val="DHHStabletext"/>
              <w:rPr>
                <w:lang w:eastAsia="en-AU"/>
              </w:rPr>
            </w:pPr>
            <w:r w:rsidRPr="00130D99">
              <w:rPr>
                <w:lang w:eastAsia="en-AU"/>
              </w:rPr>
              <w:t>28095</w:t>
            </w:r>
          </w:p>
        </w:tc>
        <w:tc>
          <w:tcPr>
            <w:tcW w:w="2977" w:type="dxa"/>
            <w:shd w:val="clear" w:color="auto" w:fill="auto"/>
          </w:tcPr>
          <w:p w14:paraId="0FEA806F" w14:textId="55A05DAF" w:rsidR="00DD3294" w:rsidRPr="001F4069" w:rsidRDefault="00DD3294" w:rsidP="00DD3294">
            <w:pPr>
              <w:pStyle w:val="DHHStabletext"/>
              <w:rPr>
                <w:lang w:eastAsia="en-AU"/>
              </w:rPr>
            </w:pPr>
            <w:r w:rsidRPr="008D3414">
              <w:rPr>
                <w:lang w:eastAsia="en-AU"/>
              </w:rPr>
              <w:t>Putting Families First – Community Health</w:t>
            </w:r>
          </w:p>
        </w:tc>
        <w:tc>
          <w:tcPr>
            <w:tcW w:w="4399" w:type="dxa"/>
            <w:shd w:val="clear" w:color="auto" w:fill="auto"/>
          </w:tcPr>
          <w:p w14:paraId="324DE53D" w14:textId="67F074D4" w:rsidR="00DD3294" w:rsidRPr="009D3DA1" w:rsidRDefault="00DD3294" w:rsidP="00DD3294">
            <w:pPr>
              <w:pStyle w:val="DHHStabletext"/>
              <w:rPr>
                <w:lang w:eastAsia="en-AU"/>
              </w:rPr>
            </w:pPr>
            <w:r w:rsidRPr="00AD73A8">
              <w:rPr>
                <w:lang w:eastAsia="en-AU"/>
              </w:rPr>
              <w:t>To work as part of an interdisciplinary team to enhance family health, wellbeing and inclusion by improving identification of family health needs and access and engagement with relevant health services.</w:t>
            </w:r>
          </w:p>
        </w:tc>
      </w:tr>
      <w:tr w:rsidR="00DD3294" w:rsidRPr="008A243A" w14:paraId="60CC1372" w14:textId="77777777" w:rsidTr="00685B35">
        <w:tc>
          <w:tcPr>
            <w:tcW w:w="1923" w:type="dxa"/>
            <w:shd w:val="clear" w:color="auto" w:fill="auto"/>
          </w:tcPr>
          <w:p w14:paraId="3E12CAD9" w14:textId="77777777" w:rsidR="00DD3294" w:rsidRPr="008A243A" w:rsidRDefault="00DD3294" w:rsidP="00DD3294">
            <w:pPr>
              <w:pStyle w:val="DHHStabletext"/>
              <w:rPr>
                <w:lang w:eastAsia="en-AU"/>
              </w:rPr>
            </w:pPr>
            <w:r w:rsidRPr="008A243A">
              <w:rPr>
                <w:lang w:eastAsia="en-AU"/>
              </w:rPr>
              <w:t>35048</w:t>
            </w:r>
          </w:p>
        </w:tc>
        <w:tc>
          <w:tcPr>
            <w:tcW w:w="2977" w:type="dxa"/>
            <w:shd w:val="clear" w:color="auto" w:fill="auto"/>
          </w:tcPr>
          <w:p w14:paraId="71FCB607" w14:textId="785BCF8B" w:rsidR="00DD3294" w:rsidRPr="008A243A" w:rsidRDefault="00DD3294" w:rsidP="00DD3294">
            <w:pPr>
              <w:pStyle w:val="DHHStabletext"/>
              <w:rPr>
                <w:lang w:eastAsia="en-AU"/>
              </w:rPr>
            </w:pPr>
            <w:r w:rsidRPr="008A243A">
              <w:rPr>
                <w:lang w:eastAsia="en-AU"/>
              </w:rPr>
              <w:t>Small</w:t>
            </w:r>
            <w:r>
              <w:rPr>
                <w:lang w:eastAsia="en-AU"/>
              </w:rPr>
              <w:t xml:space="preserve"> r</w:t>
            </w:r>
            <w:r w:rsidRPr="008A243A">
              <w:rPr>
                <w:lang w:eastAsia="en-AU"/>
              </w:rPr>
              <w:t>ural</w:t>
            </w:r>
            <w:r>
              <w:rPr>
                <w:lang w:eastAsia="en-AU"/>
              </w:rPr>
              <w:t xml:space="preserve"> </w:t>
            </w:r>
            <w:r w:rsidRPr="008A243A">
              <w:rPr>
                <w:lang w:eastAsia="en-AU"/>
              </w:rPr>
              <w:t>–</w:t>
            </w:r>
            <w:r>
              <w:rPr>
                <w:lang w:eastAsia="en-AU"/>
              </w:rPr>
              <w:t xml:space="preserve"> </w:t>
            </w:r>
            <w:r w:rsidRPr="008A243A">
              <w:rPr>
                <w:lang w:eastAsia="en-AU"/>
              </w:rPr>
              <w:t>Primary</w:t>
            </w:r>
            <w:r>
              <w:rPr>
                <w:lang w:eastAsia="en-AU"/>
              </w:rPr>
              <w:t xml:space="preserve"> </w:t>
            </w:r>
            <w:r w:rsidRPr="008A243A">
              <w:rPr>
                <w:lang w:eastAsia="en-AU"/>
              </w:rPr>
              <w:t>Health</w:t>
            </w:r>
            <w:r>
              <w:rPr>
                <w:lang w:eastAsia="en-AU"/>
              </w:rPr>
              <w:t xml:space="preserve"> </w:t>
            </w:r>
          </w:p>
        </w:tc>
        <w:tc>
          <w:tcPr>
            <w:tcW w:w="4399" w:type="dxa"/>
            <w:shd w:val="clear" w:color="auto" w:fill="auto"/>
          </w:tcPr>
          <w:p w14:paraId="06E02A86" w14:textId="0B228236" w:rsidR="00DD3294" w:rsidRPr="008A243A" w:rsidRDefault="00DD3294" w:rsidP="00DD3294">
            <w:pPr>
              <w:pStyle w:val="DHHStabletext"/>
              <w:rPr>
                <w:lang w:eastAsia="en-AU"/>
              </w:rPr>
            </w:pPr>
            <w:r w:rsidRPr="000648BF">
              <w:rPr>
                <w:lang w:eastAsia="en-AU"/>
              </w:rPr>
              <w:t xml:space="preserve">Provision of general counselling, allied health, nursing and health promotion services. Note this funding can be used flexibly to provide other service types under the small rural health services funding model.  </w:t>
            </w:r>
          </w:p>
        </w:tc>
      </w:tr>
    </w:tbl>
    <w:p w14:paraId="64710E3D" w14:textId="4BA24E47" w:rsidR="00716405" w:rsidRDefault="00716405" w:rsidP="00716405">
      <w:pPr>
        <w:pStyle w:val="Bodyaftertablefigure"/>
      </w:pPr>
      <w:r>
        <w:t xml:space="preserve">Output name: </w:t>
      </w:r>
      <w:r w:rsidR="00525E87">
        <w:rPr>
          <w:lang w:eastAsia="en-AU"/>
        </w:rPr>
        <w:t>Home and Community Care Program for Younger People</w:t>
      </w:r>
      <w:r>
        <w:rPr>
          <w:lang w:eastAsia="en-AU"/>
        </w:rPr>
        <w:t xml:space="preserve"> </w:t>
      </w:r>
    </w:p>
    <w:tbl>
      <w:tblPr>
        <w:tblStyle w:val="TableGrid1"/>
        <w:tblW w:w="9299" w:type="dxa"/>
        <w:tblLook w:val="06A0" w:firstRow="1" w:lastRow="0" w:firstColumn="1" w:lastColumn="0" w:noHBand="1" w:noVBand="1"/>
      </w:tblPr>
      <w:tblGrid>
        <w:gridCol w:w="1980"/>
        <w:gridCol w:w="2977"/>
        <w:gridCol w:w="4342"/>
      </w:tblGrid>
      <w:tr w:rsidR="00716405" w14:paraId="4EC3B0BA"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603C37E3" w14:textId="77777777" w:rsidR="00716405" w:rsidRPr="00685B35" w:rsidRDefault="00716405" w:rsidP="00685B35">
            <w:pPr>
              <w:pStyle w:val="Tablecolhead"/>
            </w:pPr>
            <w:r w:rsidRPr="00685B35">
              <w:rPr>
                <w:sz w:val="20"/>
              </w:rPr>
              <w:t>Activity no.</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0138F7BB" w14:textId="77777777" w:rsidR="00716405" w:rsidRPr="00685B35" w:rsidRDefault="00716405" w:rsidP="00685B35">
            <w:pPr>
              <w:pStyle w:val="Tablecolhead"/>
            </w:pPr>
            <w:r w:rsidRPr="00685B35">
              <w:rPr>
                <w:sz w:val="20"/>
              </w:rPr>
              <w:t>Activity name</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01846281" w14:textId="77777777" w:rsidR="00716405" w:rsidRPr="00685B35" w:rsidRDefault="00716405" w:rsidP="00685B35">
            <w:pPr>
              <w:pStyle w:val="Tablecolhead"/>
            </w:pPr>
            <w:r w:rsidRPr="00685B35">
              <w:rPr>
                <w:sz w:val="20"/>
              </w:rPr>
              <w:t>Activity description</w:t>
            </w:r>
          </w:p>
        </w:tc>
      </w:tr>
      <w:tr w:rsidR="00716405" w14:paraId="6E52AF35" w14:textId="77777777" w:rsidTr="00716405">
        <w:trPr>
          <w:trHeight w:val="322"/>
        </w:trPr>
        <w:tc>
          <w:tcPr>
            <w:tcW w:w="1980" w:type="dxa"/>
            <w:tcBorders>
              <w:top w:val="single" w:sz="4" w:space="0" w:color="auto"/>
              <w:left w:val="single" w:sz="4" w:space="0" w:color="auto"/>
              <w:bottom w:val="single" w:sz="4" w:space="0" w:color="auto"/>
              <w:right w:val="single" w:sz="4" w:space="0" w:color="auto"/>
            </w:tcBorders>
            <w:hideMark/>
          </w:tcPr>
          <w:p w14:paraId="445FA7F2" w14:textId="77777777" w:rsidR="00716405" w:rsidRDefault="00716405">
            <w:pPr>
              <w:pStyle w:val="Tabletext9pt"/>
              <w:rPr>
                <w:szCs w:val="18"/>
                <w:lang w:eastAsia="en-AU"/>
              </w:rPr>
            </w:pPr>
            <w:r>
              <w:rPr>
                <w:szCs w:val="18"/>
                <w:lang w:eastAsia="en-AU"/>
              </w:rPr>
              <w:t>13015</w:t>
            </w:r>
          </w:p>
        </w:tc>
        <w:tc>
          <w:tcPr>
            <w:tcW w:w="2977" w:type="dxa"/>
            <w:tcBorders>
              <w:top w:val="single" w:sz="4" w:space="0" w:color="auto"/>
              <w:left w:val="single" w:sz="4" w:space="0" w:color="auto"/>
              <w:bottom w:val="single" w:sz="4" w:space="0" w:color="auto"/>
              <w:right w:val="single" w:sz="4" w:space="0" w:color="auto"/>
            </w:tcBorders>
            <w:hideMark/>
          </w:tcPr>
          <w:p w14:paraId="24BACE60" w14:textId="19758077" w:rsidR="00716405" w:rsidRDefault="00716405">
            <w:pPr>
              <w:pStyle w:val="Tabletext9pt"/>
              <w:rPr>
                <w:szCs w:val="18"/>
                <w:lang w:eastAsia="en-AU"/>
              </w:rPr>
            </w:pPr>
            <w:r>
              <w:rPr>
                <w:szCs w:val="18"/>
                <w:lang w:eastAsia="en-AU"/>
              </w:rPr>
              <w:t xml:space="preserve">HACC-PYP </w:t>
            </w:r>
            <w:r w:rsidR="004E0D08">
              <w:rPr>
                <w:szCs w:val="18"/>
                <w:lang w:eastAsia="en-AU"/>
              </w:rPr>
              <w:t>l</w:t>
            </w:r>
            <w:r>
              <w:rPr>
                <w:szCs w:val="18"/>
                <w:lang w:eastAsia="en-AU"/>
              </w:rPr>
              <w:t>inkages</w:t>
            </w:r>
          </w:p>
        </w:tc>
        <w:tc>
          <w:tcPr>
            <w:tcW w:w="4342" w:type="dxa"/>
            <w:tcBorders>
              <w:top w:val="single" w:sz="4" w:space="0" w:color="auto"/>
              <w:left w:val="single" w:sz="4" w:space="0" w:color="auto"/>
              <w:bottom w:val="single" w:sz="4" w:space="0" w:color="auto"/>
              <w:right w:val="single" w:sz="4" w:space="0" w:color="auto"/>
            </w:tcBorders>
            <w:hideMark/>
          </w:tcPr>
          <w:p w14:paraId="2D8BFC16" w14:textId="77777777" w:rsidR="00716405" w:rsidRDefault="00716405">
            <w:pPr>
              <w:pStyle w:val="Tabletext9pt"/>
              <w:rPr>
                <w:szCs w:val="18"/>
                <w:lang w:eastAsia="en-AU"/>
              </w:rPr>
            </w:pPr>
            <w:r>
              <w:rPr>
                <w:szCs w:val="18"/>
                <w:lang w:eastAsia="en-AU"/>
              </w:rPr>
              <w:t xml:space="preserve">Individualised packages of care incorporating assessment, case management and funds to purchase services to </w:t>
            </w:r>
            <w:r>
              <w:t xml:space="preserve">support </w:t>
            </w:r>
            <w:r>
              <w:rPr>
                <w:szCs w:val="18"/>
                <w:lang w:eastAsia="en-AU"/>
              </w:rPr>
              <w:t>HACC-PYP clients.</w:t>
            </w:r>
          </w:p>
        </w:tc>
      </w:tr>
      <w:tr w:rsidR="00716405" w14:paraId="1AD00871" w14:textId="77777777" w:rsidTr="00716405">
        <w:tc>
          <w:tcPr>
            <w:tcW w:w="1980" w:type="dxa"/>
            <w:tcBorders>
              <w:top w:val="single" w:sz="4" w:space="0" w:color="auto"/>
              <w:left w:val="single" w:sz="4" w:space="0" w:color="auto"/>
              <w:bottom w:val="single" w:sz="4" w:space="0" w:color="auto"/>
              <w:right w:val="single" w:sz="4" w:space="0" w:color="auto"/>
            </w:tcBorders>
            <w:hideMark/>
          </w:tcPr>
          <w:p w14:paraId="75186E93" w14:textId="77777777" w:rsidR="00716405" w:rsidRDefault="00716405">
            <w:pPr>
              <w:pStyle w:val="Tabletext9pt"/>
              <w:rPr>
                <w:szCs w:val="18"/>
                <w:lang w:eastAsia="en-AU"/>
              </w:rPr>
            </w:pPr>
            <w:r>
              <w:rPr>
                <w:szCs w:val="18"/>
                <w:lang w:eastAsia="en-AU"/>
              </w:rPr>
              <w:t>13023</w:t>
            </w:r>
          </w:p>
        </w:tc>
        <w:tc>
          <w:tcPr>
            <w:tcW w:w="2977" w:type="dxa"/>
            <w:tcBorders>
              <w:top w:val="single" w:sz="4" w:space="0" w:color="auto"/>
              <w:left w:val="single" w:sz="4" w:space="0" w:color="auto"/>
              <w:bottom w:val="single" w:sz="4" w:space="0" w:color="auto"/>
              <w:right w:val="single" w:sz="4" w:space="0" w:color="auto"/>
            </w:tcBorders>
            <w:hideMark/>
          </w:tcPr>
          <w:p w14:paraId="4556F404" w14:textId="77777777" w:rsidR="00716405" w:rsidRDefault="00716405">
            <w:pPr>
              <w:pStyle w:val="Tabletext9pt"/>
              <w:rPr>
                <w:szCs w:val="18"/>
                <w:lang w:eastAsia="en-AU"/>
              </w:rPr>
            </w:pPr>
            <w:r>
              <w:rPr>
                <w:szCs w:val="18"/>
                <w:lang w:eastAsia="en-AU"/>
              </w:rPr>
              <w:t>HACC-PYP Service Development Grant</w:t>
            </w:r>
          </w:p>
        </w:tc>
        <w:tc>
          <w:tcPr>
            <w:tcW w:w="4342" w:type="dxa"/>
            <w:tcBorders>
              <w:top w:val="single" w:sz="4" w:space="0" w:color="auto"/>
              <w:left w:val="single" w:sz="4" w:space="0" w:color="auto"/>
              <w:bottom w:val="single" w:sz="4" w:space="0" w:color="auto"/>
              <w:right w:val="single" w:sz="4" w:space="0" w:color="auto"/>
            </w:tcBorders>
            <w:hideMark/>
          </w:tcPr>
          <w:p w14:paraId="33DC059C" w14:textId="77777777" w:rsidR="00716405" w:rsidRDefault="00716405">
            <w:pPr>
              <w:pStyle w:val="Tabletext9pt"/>
              <w:rPr>
                <w:szCs w:val="18"/>
                <w:lang w:eastAsia="en-AU"/>
              </w:rPr>
            </w:pPr>
            <w:r>
              <w:rPr>
                <w:szCs w:val="18"/>
                <w:lang w:eastAsia="en-AU"/>
              </w:rPr>
              <w:t xml:space="preserve">One-off projects (up to six months’ duration) to improve quality, effectiveness, and efficiency of HACC-PYP services and service system. </w:t>
            </w:r>
          </w:p>
        </w:tc>
      </w:tr>
      <w:tr w:rsidR="00716405" w14:paraId="22ECEB98" w14:textId="77777777" w:rsidTr="00716405">
        <w:trPr>
          <w:trHeight w:val="322"/>
        </w:trPr>
        <w:tc>
          <w:tcPr>
            <w:tcW w:w="1980" w:type="dxa"/>
            <w:tcBorders>
              <w:top w:val="single" w:sz="4" w:space="0" w:color="auto"/>
              <w:left w:val="single" w:sz="4" w:space="0" w:color="auto"/>
              <w:bottom w:val="single" w:sz="4" w:space="0" w:color="auto"/>
              <w:right w:val="single" w:sz="4" w:space="0" w:color="auto"/>
            </w:tcBorders>
            <w:hideMark/>
          </w:tcPr>
          <w:p w14:paraId="39E09791" w14:textId="77777777" w:rsidR="00716405" w:rsidRDefault="00716405">
            <w:pPr>
              <w:pStyle w:val="Tabletext9pt"/>
              <w:rPr>
                <w:szCs w:val="18"/>
                <w:lang w:eastAsia="en-AU"/>
              </w:rPr>
            </w:pPr>
            <w:r>
              <w:rPr>
                <w:szCs w:val="18"/>
                <w:lang w:eastAsia="en-AU"/>
              </w:rPr>
              <w:t>13024</w:t>
            </w:r>
          </w:p>
        </w:tc>
        <w:tc>
          <w:tcPr>
            <w:tcW w:w="2977" w:type="dxa"/>
            <w:tcBorders>
              <w:top w:val="single" w:sz="4" w:space="0" w:color="auto"/>
              <w:left w:val="single" w:sz="4" w:space="0" w:color="auto"/>
              <w:bottom w:val="single" w:sz="4" w:space="0" w:color="auto"/>
              <w:right w:val="single" w:sz="4" w:space="0" w:color="auto"/>
            </w:tcBorders>
            <w:hideMark/>
          </w:tcPr>
          <w:p w14:paraId="78235836" w14:textId="4BCE1B37" w:rsidR="00716405" w:rsidRDefault="00716405">
            <w:pPr>
              <w:pStyle w:val="Tabletext9pt"/>
              <w:rPr>
                <w:szCs w:val="18"/>
                <w:lang w:eastAsia="en-AU"/>
              </w:rPr>
            </w:pPr>
            <w:r>
              <w:rPr>
                <w:szCs w:val="18"/>
                <w:lang w:eastAsia="en-AU"/>
              </w:rPr>
              <w:t xml:space="preserve">HACC-PYP </w:t>
            </w:r>
            <w:r w:rsidR="004E0D08">
              <w:rPr>
                <w:szCs w:val="18"/>
                <w:lang w:eastAsia="en-AU"/>
              </w:rPr>
              <w:t>assessment</w:t>
            </w:r>
          </w:p>
        </w:tc>
        <w:tc>
          <w:tcPr>
            <w:tcW w:w="4342" w:type="dxa"/>
            <w:tcBorders>
              <w:top w:val="single" w:sz="4" w:space="0" w:color="auto"/>
              <w:left w:val="single" w:sz="4" w:space="0" w:color="auto"/>
              <w:bottom w:val="single" w:sz="4" w:space="0" w:color="auto"/>
              <w:right w:val="single" w:sz="4" w:space="0" w:color="auto"/>
            </w:tcBorders>
            <w:hideMark/>
          </w:tcPr>
          <w:p w14:paraId="7EFBF4D8" w14:textId="77777777" w:rsidR="00716405" w:rsidRDefault="00716405">
            <w:pPr>
              <w:pStyle w:val="Tabletext9pt"/>
              <w:rPr>
                <w:szCs w:val="18"/>
                <w:lang w:eastAsia="en-AU"/>
              </w:rPr>
            </w:pPr>
            <w:r>
              <w:rPr>
                <w:szCs w:val="18"/>
                <w:lang w:eastAsia="en-AU"/>
              </w:rPr>
              <w:t xml:space="preserve">This activity is described in the </w:t>
            </w:r>
            <w:r>
              <w:rPr>
                <w:i/>
                <w:iCs/>
                <w:szCs w:val="18"/>
                <w:lang w:eastAsia="en-AU"/>
              </w:rPr>
              <w:t>Framework for assessment</w:t>
            </w:r>
            <w:r>
              <w:rPr>
                <w:szCs w:val="18"/>
                <w:lang w:eastAsia="en-AU"/>
              </w:rPr>
              <w:t xml:space="preserve"> </w:t>
            </w:r>
            <w:r>
              <w:rPr>
                <w:i/>
                <w:szCs w:val="18"/>
                <w:lang w:eastAsia="en-AU"/>
              </w:rPr>
              <w:t>in the HACC program</w:t>
            </w:r>
            <w:r>
              <w:rPr>
                <w:szCs w:val="18"/>
                <w:lang w:eastAsia="en-AU"/>
              </w:rPr>
              <w:t xml:space="preserve">. Living-at-home assessments for </w:t>
            </w:r>
            <w:r>
              <w:t>HACC-PYP clients</w:t>
            </w:r>
            <w:r>
              <w:rPr>
                <w:szCs w:val="18"/>
                <w:lang w:eastAsia="en-AU"/>
              </w:rPr>
              <w:t xml:space="preserve"> include home-based holistic assessment of need, service-specific assessments, and warm transfer to more relevant programs.</w:t>
            </w:r>
          </w:p>
        </w:tc>
      </w:tr>
      <w:tr w:rsidR="00716405" w14:paraId="5535A36A" w14:textId="77777777" w:rsidTr="00716405">
        <w:trPr>
          <w:trHeight w:val="322"/>
        </w:trPr>
        <w:tc>
          <w:tcPr>
            <w:tcW w:w="1980" w:type="dxa"/>
            <w:tcBorders>
              <w:top w:val="single" w:sz="4" w:space="0" w:color="auto"/>
              <w:left w:val="single" w:sz="4" w:space="0" w:color="auto"/>
              <w:bottom w:val="single" w:sz="4" w:space="0" w:color="auto"/>
              <w:right w:val="single" w:sz="4" w:space="0" w:color="auto"/>
            </w:tcBorders>
            <w:hideMark/>
          </w:tcPr>
          <w:p w14:paraId="7616FA0F" w14:textId="77777777" w:rsidR="00716405" w:rsidRDefault="00716405">
            <w:pPr>
              <w:pStyle w:val="Tabletext9pt"/>
              <w:rPr>
                <w:szCs w:val="18"/>
                <w:lang w:eastAsia="en-AU"/>
              </w:rPr>
            </w:pPr>
            <w:r>
              <w:rPr>
                <w:szCs w:val="18"/>
                <w:lang w:eastAsia="en-AU"/>
              </w:rPr>
              <w:t>13026</w:t>
            </w:r>
          </w:p>
        </w:tc>
        <w:tc>
          <w:tcPr>
            <w:tcW w:w="2977" w:type="dxa"/>
            <w:tcBorders>
              <w:top w:val="single" w:sz="4" w:space="0" w:color="auto"/>
              <w:left w:val="single" w:sz="4" w:space="0" w:color="auto"/>
              <w:bottom w:val="single" w:sz="4" w:space="0" w:color="auto"/>
              <w:right w:val="single" w:sz="4" w:space="0" w:color="auto"/>
            </w:tcBorders>
            <w:hideMark/>
          </w:tcPr>
          <w:p w14:paraId="6A841B77" w14:textId="65022EFB" w:rsidR="00716405" w:rsidRDefault="00716405">
            <w:pPr>
              <w:pStyle w:val="Tabletext9pt"/>
              <w:rPr>
                <w:szCs w:val="18"/>
                <w:lang w:eastAsia="en-AU"/>
              </w:rPr>
            </w:pPr>
            <w:r>
              <w:rPr>
                <w:szCs w:val="18"/>
                <w:lang w:eastAsia="en-AU"/>
              </w:rPr>
              <w:t xml:space="preserve">HACC-PYP </w:t>
            </w:r>
            <w:r w:rsidR="004E0D08">
              <w:rPr>
                <w:szCs w:val="18"/>
                <w:lang w:eastAsia="en-AU"/>
              </w:rPr>
              <w:t>c</w:t>
            </w:r>
            <w:r>
              <w:rPr>
                <w:szCs w:val="18"/>
                <w:lang w:eastAsia="en-AU"/>
              </w:rPr>
              <w:t xml:space="preserve">ommunity </w:t>
            </w:r>
            <w:r w:rsidR="004E0D08">
              <w:rPr>
                <w:szCs w:val="18"/>
                <w:lang w:eastAsia="en-AU"/>
              </w:rPr>
              <w:t>care</w:t>
            </w:r>
          </w:p>
        </w:tc>
        <w:tc>
          <w:tcPr>
            <w:tcW w:w="4342" w:type="dxa"/>
            <w:tcBorders>
              <w:top w:val="single" w:sz="4" w:space="0" w:color="auto"/>
              <w:left w:val="single" w:sz="4" w:space="0" w:color="auto"/>
              <w:bottom w:val="single" w:sz="4" w:space="0" w:color="auto"/>
              <w:right w:val="single" w:sz="4" w:space="0" w:color="auto"/>
            </w:tcBorders>
            <w:hideMark/>
          </w:tcPr>
          <w:p w14:paraId="691E948C" w14:textId="77777777" w:rsidR="00716405" w:rsidRDefault="00716405">
            <w:pPr>
              <w:pStyle w:val="Tabletext9pt"/>
              <w:rPr>
                <w:szCs w:val="18"/>
                <w:lang w:eastAsia="en-AU"/>
              </w:rPr>
            </w:pPr>
            <w:r>
              <w:rPr>
                <w:szCs w:val="18"/>
                <w:lang w:eastAsia="en-AU"/>
              </w:rPr>
              <w:t>Personal and in-home supports to people</w:t>
            </w:r>
            <w:r>
              <w:t xml:space="preserve"> birth to 65 years of age who have difficulty with the activities of daily living</w:t>
            </w:r>
          </w:p>
        </w:tc>
      </w:tr>
      <w:tr w:rsidR="00716405" w14:paraId="2D3E4B9A" w14:textId="77777777" w:rsidTr="00716405">
        <w:tc>
          <w:tcPr>
            <w:tcW w:w="1980" w:type="dxa"/>
            <w:tcBorders>
              <w:top w:val="single" w:sz="4" w:space="0" w:color="auto"/>
              <w:left w:val="single" w:sz="4" w:space="0" w:color="auto"/>
              <w:bottom w:val="single" w:sz="4" w:space="0" w:color="auto"/>
              <w:right w:val="single" w:sz="4" w:space="0" w:color="auto"/>
            </w:tcBorders>
            <w:hideMark/>
          </w:tcPr>
          <w:p w14:paraId="05CAEA36" w14:textId="77777777" w:rsidR="00716405" w:rsidRDefault="00716405">
            <w:pPr>
              <w:pStyle w:val="Tabletext9pt"/>
              <w:rPr>
                <w:szCs w:val="18"/>
                <w:lang w:eastAsia="en-AU"/>
              </w:rPr>
            </w:pPr>
            <w:r>
              <w:rPr>
                <w:szCs w:val="18"/>
                <w:lang w:eastAsia="en-AU"/>
              </w:rPr>
              <w:t>13038</w:t>
            </w:r>
          </w:p>
        </w:tc>
        <w:tc>
          <w:tcPr>
            <w:tcW w:w="2977" w:type="dxa"/>
            <w:tcBorders>
              <w:top w:val="single" w:sz="4" w:space="0" w:color="auto"/>
              <w:left w:val="single" w:sz="4" w:space="0" w:color="auto"/>
              <w:bottom w:val="single" w:sz="4" w:space="0" w:color="auto"/>
              <w:right w:val="single" w:sz="4" w:space="0" w:color="auto"/>
            </w:tcBorders>
            <w:hideMark/>
          </w:tcPr>
          <w:p w14:paraId="5487BEC8" w14:textId="029C6B06" w:rsidR="00716405" w:rsidRDefault="00716405">
            <w:pPr>
              <w:pStyle w:val="Tabletext9pt"/>
              <w:rPr>
                <w:szCs w:val="18"/>
                <w:lang w:eastAsia="en-AU"/>
              </w:rPr>
            </w:pPr>
            <w:r>
              <w:rPr>
                <w:szCs w:val="18"/>
                <w:lang w:eastAsia="en-AU"/>
              </w:rPr>
              <w:t xml:space="preserve">HACC-PYP </w:t>
            </w:r>
            <w:r w:rsidR="004E0D08">
              <w:rPr>
                <w:szCs w:val="18"/>
                <w:lang w:eastAsia="en-AU"/>
              </w:rPr>
              <w:t>service system resourcing</w:t>
            </w:r>
          </w:p>
        </w:tc>
        <w:tc>
          <w:tcPr>
            <w:tcW w:w="4342" w:type="dxa"/>
            <w:tcBorders>
              <w:top w:val="single" w:sz="4" w:space="0" w:color="auto"/>
              <w:left w:val="single" w:sz="4" w:space="0" w:color="auto"/>
              <w:bottom w:val="single" w:sz="4" w:space="0" w:color="auto"/>
              <w:right w:val="single" w:sz="4" w:space="0" w:color="auto"/>
            </w:tcBorders>
            <w:hideMark/>
          </w:tcPr>
          <w:p w14:paraId="76AEDC17" w14:textId="25C65C72" w:rsidR="00716405" w:rsidRDefault="00716405">
            <w:pPr>
              <w:pStyle w:val="Tabletext9pt"/>
              <w:rPr>
                <w:lang w:eastAsia="en-AU"/>
              </w:rPr>
            </w:pPr>
            <w:r>
              <w:rPr>
                <w:lang w:eastAsia="en-AU"/>
              </w:rPr>
              <w:t xml:space="preserve">Resources to assist the sector to better meet the needs of younger people in the HACC-PYP target group and assist clients to gain better access to services. This also </w:t>
            </w:r>
            <w:r w:rsidR="002F5FA3">
              <w:rPr>
                <w:lang w:eastAsia="en-AU"/>
              </w:rPr>
              <w:t>includes the</w:t>
            </w:r>
            <w:r>
              <w:rPr>
                <w:lang w:eastAsia="en-AU"/>
              </w:rPr>
              <w:t xml:space="preserve"> SACS Award.</w:t>
            </w:r>
          </w:p>
        </w:tc>
      </w:tr>
      <w:tr w:rsidR="00716405" w14:paraId="234ED27F" w14:textId="77777777" w:rsidTr="00716405">
        <w:trPr>
          <w:trHeight w:val="322"/>
        </w:trPr>
        <w:tc>
          <w:tcPr>
            <w:tcW w:w="1980" w:type="dxa"/>
            <w:tcBorders>
              <w:top w:val="single" w:sz="4" w:space="0" w:color="auto"/>
              <w:left w:val="single" w:sz="4" w:space="0" w:color="auto"/>
              <w:bottom w:val="single" w:sz="4" w:space="0" w:color="auto"/>
              <w:right w:val="single" w:sz="4" w:space="0" w:color="auto"/>
            </w:tcBorders>
            <w:hideMark/>
          </w:tcPr>
          <w:p w14:paraId="49E7267D" w14:textId="77777777" w:rsidR="00716405" w:rsidRDefault="00716405">
            <w:pPr>
              <w:pStyle w:val="Tabletext9pt"/>
              <w:rPr>
                <w:szCs w:val="18"/>
                <w:lang w:eastAsia="en-AU"/>
              </w:rPr>
            </w:pPr>
            <w:r>
              <w:rPr>
                <w:szCs w:val="18"/>
                <w:lang w:eastAsia="en-AU"/>
              </w:rPr>
              <w:t>13043</w:t>
            </w:r>
          </w:p>
        </w:tc>
        <w:tc>
          <w:tcPr>
            <w:tcW w:w="2977" w:type="dxa"/>
            <w:tcBorders>
              <w:top w:val="single" w:sz="4" w:space="0" w:color="auto"/>
              <w:left w:val="single" w:sz="4" w:space="0" w:color="auto"/>
              <w:bottom w:val="single" w:sz="4" w:space="0" w:color="auto"/>
              <w:right w:val="single" w:sz="4" w:space="0" w:color="auto"/>
            </w:tcBorders>
            <w:hideMark/>
          </w:tcPr>
          <w:p w14:paraId="43BC778E" w14:textId="57CA3A6F" w:rsidR="00716405" w:rsidRDefault="00716405">
            <w:pPr>
              <w:pStyle w:val="Tabletext9pt"/>
              <w:rPr>
                <w:szCs w:val="18"/>
                <w:lang w:eastAsia="en-AU"/>
              </w:rPr>
            </w:pPr>
            <w:r>
              <w:rPr>
                <w:szCs w:val="18"/>
                <w:lang w:eastAsia="en-AU"/>
              </w:rPr>
              <w:t xml:space="preserve">HACC-PYP </w:t>
            </w:r>
            <w:r w:rsidR="004E0D08">
              <w:rPr>
                <w:szCs w:val="18"/>
                <w:lang w:eastAsia="en-AU"/>
              </w:rPr>
              <w:t>flexible service response</w:t>
            </w:r>
          </w:p>
        </w:tc>
        <w:tc>
          <w:tcPr>
            <w:tcW w:w="4342" w:type="dxa"/>
            <w:tcBorders>
              <w:top w:val="single" w:sz="4" w:space="0" w:color="auto"/>
              <w:left w:val="single" w:sz="4" w:space="0" w:color="auto"/>
              <w:bottom w:val="single" w:sz="4" w:space="0" w:color="auto"/>
              <w:right w:val="single" w:sz="4" w:space="0" w:color="auto"/>
            </w:tcBorders>
            <w:hideMark/>
          </w:tcPr>
          <w:p w14:paraId="30435CE0" w14:textId="77777777" w:rsidR="00716405" w:rsidRDefault="00716405">
            <w:pPr>
              <w:pStyle w:val="Tabletext9pt"/>
              <w:rPr>
                <w:szCs w:val="18"/>
                <w:lang w:eastAsia="en-AU"/>
              </w:rPr>
            </w:pPr>
            <w:r>
              <w:rPr>
                <w:szCs w:val="18"/>
                <w:lang w:eastAsia="en-AU"/>
              </w:rPr>
              <w:t>Funding to support innovative</w:t>
            </w:r>
            <w:r>
              <w:t xml:space="preserve"> and/or</w:t>
            </w:r>
            <w:r>
              <w:rPr>
                <w:szCs w:val="18"/>
                <w:lang w:eastAsia="en-AU"/>
              </w:rPr>
              <w:t xml:space="preserve"> developmental approaches to HACC-PYP and/or service delivery that cannot be funded under the unit pricing structure.</w:t>
            </w:r>
          </w:p>
        </w:tc>
      </w:tr>
      <w:tr w:rsidR="00716405" w14:paraId="3514235B" w14:textId="77777777" w:rsidTr="00685B35">
        <w:trPr>
          <w:cantSplit/>
        </w:trPr>
        <w:tc>
          <w:tcPr>
            <w:tcW w:w="0" w:type="dxa"/>
            <w:tcBorders>
              <w:top w:val="single" w:sz="4" w:space="0" w:color="auto"/>
              <w:left w:val="single" w:sz="4" w:space="0" w:color="auto"/>
              <w:bottom w:val="single" w:sz="4" w:space="0" w:color="auto"/>
              <w:right w:val="single" w:sz="4" w:space="0" w:color="auto"/>
            </w:tcBorders>
            <w:hideMark/>
          </w:tcPr>
          <w:p w14:paraId="21EE12CD" w14:textId="77777777" w:rsidR="00716405" w:rsidRDefault="00716405">
            <w:pPr>
              <w:pStyle w:val="Tabletext9pt"/>
              <w:rPr>
                <w:szCs w:val="18"/>
                <w:lang w:eastAsia="en-AU"/>
              </w:rPr>
            </w:pPr>
            <w:r>
              <w:rPr>
                <w:szCs w:val="18"/>
                <w:lang w:eastAsia="en-AU"/>
              </w:rPr>
              <w:t>13056</w:t>
            </w:r>
          </w:p>
        </w:tc>
        <w:tc>
          <w:tcPr>
            <w:tcW w:w="0" w:type="dxa"/>
            <w:tcBorders>
              <w:top w:val="single" w:sz="4" w:space="0" w:color="auto"/>
              <w:left w:val="single" w:sz="4" w:space="0" w:color="auto"/>
              <w:bottom w:val="single" w:sz="4" w:space="0" w:color="auto"/>
              <w:right w:val="single" w:sz="4" w:space="0" w:color="auto"/>
            </w:tcBorders>
            <w:hideMark/>
          </w:tcPr>
          <w:p w14:paraId="455412F2" w14:textId="2D056B05" w:rsidR="00716405" w:rsidRDefault="00716405">
            <w:pPr>
              <w:pStyle w:val="Tabletext9pt"/>
              <w:rPr>
                <w:szCs w:val="18"/>
                <w:lang w:eastAsia="en-AU"/>
              </w:rPr>
            </w:pPr>
            <w:r>
              <w:rPr>
                <w:szCs w:val="18"/>
                <w:lang w:eastAsia="en-AU"/>
              </w:rPr>
              <w:t xml:space="preserve">HACC-PYP </w:t>
            </w:r>
            <w:r w:rsidR="004E0D08">
              <w:rPr>
                <w:szCs w:val="18"/>
                <w:lang w:eastAsia="en-AU"/>
              </w:rPr>
              <w:t xml:space="preserve">planned activity group </w:t>
            </w:r>
            <w:r>
              <w:rPr>
                <w:szCs w:val="18"/>
                <w:lang w:eastAsia="en-AU"/>
              </w:rPr>
              <w:t>(PAG)</w:t>
            </w:r>
          </w:p>
        </w:tc>
        <w:tc>
          <w:tcPr>
            <w:tcW w:w="0" w:type="dxa"/>
            <w:tcBorders>
              <w:top w:val="single" w:sz="4" w:space="0" w:color="auto"/>
              <w:left w:val="single" w:sz="4" w:space="0" w:color="auto"/>
              <w:bottom w:val="single" w:sz="4" w:space="0" w:color="auto"/>
              <w:right w:val="single" w:sz="4" w:space="0" w:color="auto"/>
            </w:tcBorders>
            <w:hideMark/>
          </w:tcPr>
          <w:p w14:paraId="4567AAE6" w14:textId="77777777" w:rsidR="00716405" w:rsidRDefault="00716405">
            <w:pPr>
              <w:pStyle w:val="Tabletext9pt"/>
              <w:rPr>
                <w:szCs w:val="18"/>
                <w:lang w:eastAsia="en-AU"/>
              </w:rPr>
            </w:pPr>
            <w:r>
              <w:rPr>
                <w:szCs w:val="18"/>
                <w:lang w:eastAsia="en-AU"/>
              </w:rPr>
              <w:t>Planned program of group activity to maintain a younger person’s capacity to perform the activities of daily living and social skills. PAG can be offered in a centre or in the community</w:t>
            </w:r>
          </w:p>
        </w:tc>
      </w:tr>
      <w:tr w:rsidR="00716405" w14:paraId="2478F8C1" w14:textId="77777777" w:rsidTr="00716405">
        <w:tc>
          <w:tcPr>
            <w:tcW w:w="1980" w:type="dxa"/>
            <w:tcBorders>
              <w:top w:val="single" w:sz="4" w:space="0" w:color="auto"/>
              <w:left w:val="single" w:sz="4" w:space="0" w:color="auto"/>
              <w:bottom w:val="single" w:sz="4" w:space="0" w:color="auto"/>
              <w:right w:val="single" w:sz="4" w:space="0" w:color="auto"/>
            </w:tcBorders>
            <w:hideMark/>
          </w:tcPr>
          <w:p w14:paraId="609D1FD1" w14:textId="77777777" w:rsidR="00716405" w:rsidRDefault="00716405">
            <w:pPr>
              <w:pStyle w:val="Tabletext9pt"/>
              <w:rPr>
                <w:szCs w:val="18"/>
                <w:lang w:eastAsia="en-AU"/>
              </w:rPr>
            </w:pPr>
            <w:r>
              <w:rPr>
                <w:szCs w:val="18"/>
                <w:lang w:eastAsia="en-AU"/>
              </w:rPr>
              <w:t>13063</w:t>
            </w:r>
          </w:p>
        </w:tc>
        <w:tc>
          <w:tcPr>
            <w:tcW w:w="2977" w:type="dxa"/>
            <w:tcBorders>
              <w:top w:val="single" w:sz="4" w:space="0" w:color="auto"/>
              <w:left w:val="single" w:sz="4" w:space="0" w:color="auto"/>
              <w:bottom w:val="single" w:sz="4" w:space="0" w:color="auto"/>
              <w:right w:val="single" w:sz="4" w:space="0" w:color="auto"/>
            </w:tcBorders>
            <w:hideMark/>
          </w:tcPr>
          <w:p w14:paraId="06DA72E4" w14:textId="7866714C" w:rsidR="00716405" w:rsidRDefault="00716405">
            <w:pPr>
              <w:pStyle w:val="Tabletext9pt"/>
              <w:rPr>
                <w:szCs w:val="18"/>
                <w:lang w:eastAsia="en-AU"/>
              </w:rPr>
            </w:pPr>
            <w:r>
              <w:rPr>
                <w:szCs w:val="18"/>
                <w:lang w:eastAsia="en-AU"/>
              </w:rPr>
              <w:t xml:space="preserve">HACC-PYP </w:t>
            </w:r>
            <w:r w:rsidR="004E0D08">
              <w:rPr>
                <w:szCs w:val="18"/>
                <w:lang w:eastAsia="en-AU"/>
              </w:rPr>
              <w:t>volunteer coordination</w:t>
            </w:r>
          </w:p>
        </w:tc>
        <w:tc>
          <w:tcPr>
            <w:tcW w:w="4342" w:type="dxa"/>
            <w:tcBorders>
              <w:top w:val="single" w:sz="4" w:space="0" w:color="auto"/>
              <w:left w:val="single" w:sz="4" w:space="0" w:color="auto"/>
              <w:bottom w:val="single" w:sz="4" w:space="0" w:color="auto"/>
              <w:right w:val="single" w:sz="4" w:space="0" w:color="auto"/>
            </w:tcBorders>
            <w:hideMark/>
          </w:tcPr>
          <w:p w14:paraId="05763FC4" w14:textId="77777777" w:rsidR="00716405" w:rsidRDefault="00716405">
            <w:pPr>
              <w:pStyle w:val="Tabletext9pt"/>
              <w:rPr>
                <w:szCs w:val="18"/>
                <w:lang w:eastAsia="en-AU"/>
              </w:rPr>
            </w:pPr>
            <w:r>
              <w:rPr>
                <w:szCs w:val="18"/>
                <w:lang w:eastAsia="en-AU"/>
              </w:rPr>
              <w:t>Funding to coordinators to recruit, train and supervise volunteers and manage the volunteer services to HACC-PYP clients.</w:t>
            </w:r>
          </w:p>
        </w:tc>
      </w:tr>
      <w:tr w:rsidR="00716405" w14:paraId="7E7061E1" w14:textId="77777777" w:rsidTr="00716405">
        <w:tc>
          <w:tcPr>
            <w:tcW w:w="1980" w:type="dxa"/>
            <w:tcBorders>
              <w:top w:val="single" w:sz="4" w:space="0" w:color="auto"/>
              <w:left w:val="single" w:sz="4" w:space="0" w:color="auto"/>
              <w:bottom w:val="single" w:sz="4" w:space="0" w:color="auto"/>
              <w:right w:val="single" w:sz="4" w:space="0" w:color="auto"/>
            </w:tcBorders>
            <w:hideMark/>
          </w:tcPr>
          <w:p w14:paraId="4FEBC094" w14:textId="77777777" w:rsidR="00716405" w:rsidRDefault="00716405">
            <w:pPr>
              <w:pStyle w:val="Tabletext9pt"/>
              <w:rPr>
                <w:szCs w:val="18"/>
                <w:lang w:eastAsia="en-AU"/>
              </w:rPr>
            </w:pPr>
            <w:r>
              <w:rPr>
                <w:szCs w:val="18"/>
                <w:lang w:eastAsia="en-AU"/>
              </w:rPr>
              <w:t>13096</w:t>
            </w:r>
          </w:p>
        </w:tc>
        <w:tc>
          <w:tcPr>
            <w:tcW w:w="2977" w:type="dxa"/>
            <w:tcBorders>
              <w:top w:val="single" w:sz="4" w:space="0" w:color="auto"/>
              <w:left w:val="single" w:sz="4" w:space="0" w:color="auto"/>
              <w:bottom w:val="single" w:sz="4" w:space="0" w:color="auto"/>
              <w:right w:val="single" w:sz="4" w:space="0" w:color="auto"/>
            </w:tcBorders>
            <w:hideMark/>
          </w:tcPr>
          <w:p w14:paraId="2247DE03" w14:textId="48EA83CD" w:rsidR="00716405" w:rsidRDefault="00716405">
            <w:pPr>
              <w:pStyle w:val="Tabletext9pt"/>
              <w:rPr>
                <w:szCs w:val="18"/>
                <w:lang w:eastAsia="en-AU"/>
              </w:rPr>
            </w:pPr>
            <w:r>
              <w:rPr>
                <w:szCs w:val="18"/>
                <w:lang w:eastAsia="en-AU"/>
              </w:rPr>
              <w:t xml:space="preserve">HACC-PYP </w:t>
            </w:r>
            <w:r w:rsidR="004E0D08">
              <w:rPr>
                <w:szCs w:val="18"/>
                <w:lang w:eastAsia="en-AU"/>
              </w:rPr>
              <w:t>allied health</w:t>
            </w:r>
          </w:p>
        </w:tc>
        <w:tc>
          <w:tcPr>
            <w:tcW w:w="4342" w:type="dxa"/>
            <w:tcBorders>
              <w:top w:val="single" w:sz="4" w:space="0" w:color="auto"/>
              <w:left w:val="single" w:sz="4" w:space="0" w:color="auto"/>
              <w:bottom w:val="single" w:sz="4" w:space="0" w:color="auto"/>
              <w:right w:val="single" w:sz="4" w:space="0" w:color="auto"/>
            </w:tcBorders>
            <w:hideMark/>
          </w:tcPr>
          <w:p w14:paraId="3A1CD050" w14:textId="77777777" w:rsidR="00716405" w:rsidRDefault="00716405">
            <w:pPr>
              <w:pStyle w:val="Tabletext9pt"/>
              <w:rPr>
                <w:szCs w:val="18"/>
                <w:lang w:eastAsia="en-AU"/>
              </w:rPr>
            </w:pPr>
            <w:r>
              <w:rPr>
                <w:szCs w:val="18"/>
                <w:lang w:eastAsia="en-AU"/>
              </w:rPr>
              <w:t>Allied health services, including clinical assessment, treatment, therapy, or professional advice</w:t>
            </w:r>
            <w:r>
              <w:t xml:space="preserve"> to HACC-</w:t>
            </w:r>
            <w:r>
              <w:lastRenderedPageBreak/>
              <w:t>PYP clients</w:t>
            </w:r>
            <w:r>
              <w:rPr>
                <w:szCs w:val="18"/>
                <w:lang w:eastAsia="en-AU"/>
              </w:rPr>
              <w:t xml:space="preserve">, </w:t>
            </w:r>
            <w:r>
              <w:t>that</w:t>
            </w:r>
            <w:r>
              <w:rPr>
                <w:szCs w:val="18"/>
                <w:lang w:eastAsia="en-AU"/>
              </w:rPr>
              <w:t xml:space="preserve"> may be provided in the home or at a centre.</w:t>
            </w:r>
          </w:p>
        </w:tc>
      </w:tr>
      <w:tr w:rsidR="00716405" w14:paraId="3E0D4E75" w14:textId="77777777" w:rsidTr="00716405">
        <w:trPr>
          <w:trHeight w:val="322"/>
        </w:trPr>
        <w:tc>
          <w:tcPr>
            <w:tcW w:w="1980" w:type="dxa"/>
            <w:tcBorders>
              <w:top w:val="single" w:sz="4" w:space="0" w:color="auto"/>
              <w:left w:val="single" w:sz="4" w:space="0" w:color="auto"/>
              <w:bottom w:val="single" w:sz="4" w:space="0" w:color="auto"/>
              <w:right w:val="single" w:sz="4" w:space="0" w:color="auto"/>
            </w:tcBorders>
            <w:hideMark/>
          </w:tcPr>
          <w:p w14:paraId="3867E641" w14:textId="77777777" w:rsidR="00716405" w:rsidRDefault="00716405">
            <w:pPr>
              <w:pStyle w:val="Tabletext9pt"/>
              <w:rPr>
                <w:szCs w:val="18"/>
                <w:lang w:eastAsia="en-AU"/>
              </w:rPr>
            </w:pPr>
            <w:r>
              <w:rPr>
                <w:szCs w:val="18"/>
                <w:lang w:eastAsia="en-AU"/>
              </w:rPr>
              <w:lastRenderedPageBreak/>
              <w:t>13097</w:t>
            </w:r>
          </w:p>
        </w:tc>
        <w:tc>
          <w:tcPr>
            <w:tcW w:w="2977" w:type="dxa"/>
            <w:tcBorders>
              <w:top w:val="single" w:sz="4" w:space="0" w:color="auto"/>
              <w:left w:val="single" w:sz="4" w:space="0" w:color="auto"/>
              <w:bottom w:val="single" w:sz="4" w:space="0" w:color="auto"/>
              <w:right w:val="single" w:sz="4" w:space="0" w:color="auto"/>
            </w:tcBorders>
            <w:hideMark/>
          </w:tcPr>
          <w:p w14:paraId="04F92CA6" w14:textId="3B73CB6A" w:rsidR="00716405" w:rsidRDefault="00716405">
            <w:pPr>
              <w:pStyle w:val="Tabletext9pt"/>
              <w:rPr>
                <w:szCs w:val="18"/>
                <w:lang w:eastAsia="en-AU"/>
              </w:rPr>
            </w:pPr>
            <w:r>
              <w:rPr>
                <w:szCs w:val="18"/>
                <w:lang w:eastAsia="en-AU"/>
              </w:rPr>
              <w:t xml:space="preserve">HACC-PYP </w:t>
            </w:r>
            <w:r w:rsidR="004E0D08">
              <w:rPr>
                <w:szCs w:val="18"/>
                <w:lang w:eastAsia="en-AU"/>
              </w:rPr>
              <w:t>delivered meals</w:t>
            </w:r>
          </w:p>
        </w:tc>
        <w:tc>
          <w:tcPr>
            <w:tcW w:w="4342" w:type="dxa"/>
            <w:tcBorders>
              <w:top w:val="single" w:sz="4" w:space="0" w:color="auto"/>
              <w:left w:val="single" w:sz="4" w:space="0" w:color="auto"/>
              <w:bottom w:val="single" w:sz="4" w:space="0" w:color="auto"/>
              <w:right w:val="single" w:sz="4" w:space="0" w:color="auto"/>
            </w:tcBorders>
            <w:hideMark/>
          </w:tcPr>
          <w:p w14:paraId="66329865" w14:textId="77777777" w:rsidR="00716405" w:rsidRDefault="00716405">
            <w:pPr>
              <w:pStyle w:val="Tabletext9pt"/>
              <w:rPr>
                <w:szCs w:val="18"/>
                <w:lang w:eastAsia="en-AU"/>
              </w:rPr>
            </w:pPr>
            <w:r>
              <w:rPr>
                <w:szCs w:val="18"/>
                <w:lang w:eastAsia="en-AU"/>
              </w:rPr>
              <w:t>Subsidy for meals delivered to people in the HACC-PYP target group at home and or in a local venue.</w:t>
            </w:r>
          </w:p>
        </w:tc>
      </w:tr>
      <w:tr w:rsidR="00716405" w14:paraId="23A1FF67" w14:textId="77777777" w:rsidTr="00716405">
        <w:tc>
          <w:tcPr>
            <w:tcW w:w="1980" w:type="dxa"/>
            <w:tcBorders>
              <w:top w:val="single" w:sz="4" w:space="0" w:color="auto"/>
              <w:left w:val="single" w:sz="4" w:space="0" w:color="auto"/>
              <w:bottom w:val="single" w:sz="4" w:space="0" w:color="auto"/>
              <w:right w:val="single" w:sz="4" w:space="0" w:color="auto"/>
            </w:tcBorders>
            <w:hideMark/>
          </w:tcPr>
          <w:p w14:paraId="1F87AA55" w14:textId="77777777" w:rsidR="00716405" w:rsidRDefault="00716405">
            <w:pPr>
              <w:pStyle w:val="Tabletext9pt"/>
              <w:rPr>
                <w:szCs w:val="18"/>
                <w:lang w:eastAsia="en-AU"/>
              </w:rPr>
            </w:pPr>
            <w:r>
              <w:rPr>
                <w:szCs w:val="18"/>
                <w:lang w:eastAsia="en-AU"/>
              </w:rPr>
              <w:t>13099</w:t>
            </w:r>
          </w:p>
        </w:tc>
        <w:tc>
          <w:tcPr>
            <w:tcW w:w="2977" w:type="dxa"/>
            <w:tcBorders>
              <w:top w:val="single" w:sz="4" w:space="0" w:color="auto"/>
              <w:left w:val="single" w:sz="4" w:space="0" w:color="auto"/>
              <w:bottom w:val="single" w:sz="4" w:space="0" w:color="auto"/>
              <w:right w:val="single" w:sz="4" w:space="0" w:color="auto"/>
            </w:tcBorders>
            <w:hideMark/>
          </w:tcPr>
          <w:p w14:paraId="329E51D3" w14:textId="0E316123" w:rsidR="00716405" w:rsidRDefault="00716405">
            <w:pPr>
              <w:pStyle w:val="Tabletext9pt"/>
              <w:rPr>
                <w:szCs w:val="18"/>
                <w:lang w:eastAsia="en-AU"/>
              </w:rPr>
            </w:pPr>
            <w:r>
              <w:rPr>
                <w:szCs w:val="18"/>
                <w:lang w:eastAsia="en-AU"/>
              </w:rPr>
              <w:t xml:space="preserve">HACC-PYP </w:t>
            </w:r>
            <w:r w:rsidR="00D2485B">
              <w:rPr>
                <w:szCs w:val="18"/>
                <w:lang w:eastAsia="en-AU"/>
              </w:rPr>
              <w:t>property maintenance</w:t>
            </w:r>
          </w:p>
        </w:tc>
        <w:tc>
          <w:tcPr>
            <w:tcW w:w="4342" w:type="dxa"/>
            <w:tcBorders>
              <w:top w:val="single" w:sz="4" w:space="0" w:color="auto"/>
              <w:left w:val="single" w:sz="4" w:space="0" w:color="auto"/>
              <w:bottom w:val="single" w:sz="4" w:space="0" w:color="auto"/>
              <w:right w:val="single" w:sz="4" w:space="0" w:color="auto"/>
            </w:tcBorders>
            <w:hideMark/>
          </w:tcPr>
          <w:p w14:paraId="7EB5E869" w14:textId="77777777" w:rsidR="00716405" w:rsidRDefault="00716405">
            <w:pPr>
              <w:pStyle w:val="Tabletext9pt"/>
              <w:rPr>
                <w:szCs w:val="18"/>
                <w:lang w:eastAsia="en-AU"/>
              </w:rPr>
            </w:pPr>
            <w:r>
              <w:rPr>
                <w:szCs w:val="18"/>
                <w:lang w:eastAsia="en-AU"/>
              </w:rPr>
              <w:t>Assistance with home maintenance or modification, including maintenance and repair of the client’s home, garden, or yard to keep it in a safe and habitable condition, and home modification or minor renovations to the client’s home to help them cope with a disabling condition.</w:t>
            </w:r>
          </w:p>
        </w:tc>
      </w:tr>
      <w:tr w:rsidR="00716405" w14:paraId="44CE7448" w14:textId="77777777" w:rsidTr="00716405">
        <w:trPr>
          <w:trHeight w:val="322"/>
        </w:trPr>
        <w:tc>
          <w:tcPr>
            <w:tcW w:w="1980" w:type="dxa"/>
            <w:tcBorders>
              <w:top w:val="single" w:sz="4" w:space="0" w:color="auto"/>
              <w:left w:val="single" w:sz="4" w:space="0" w:color="auto"/>
              <w:bottom w:val="single" w:sz="4" w:space="0" w:color="auto"/>
              <w:right w:val="single" w:sz="4" w:space="0" w:color="auto"/>
            </w:tcBorders>
            <w:hideMark/>
          </w:tcPr>
          <w:p w14:paraId="18CFE49E" w14:textId="77777777" w:rsidR="00716405" w:rsidRDefault="00716405">
            <w:pPr>
              <w:pStyle w:val="Tabletext9pt"/>
              <w:rPr>
                <w:szCs w:val="18"/>
                <w:lang w:eastAsia="en-AU"/>
              </w:rPr>
            </w:pPr>
            <w:r>
              <w:rPr>
                <w:szCs w:val="18"/>
                <w:lang w:eastAsia="en-AU"/>
              </w:rPr>
              <w:t>13130</w:t>
            </w:r>
          </w:p>
        </w:tc>
        <w:tc>
          <w:tcPr>
            <w:tcW w:w="2977" w:type="dxa"/>
            <w:tcBorders>
              <w:top w:val="single" w:sz="4" w:space="0" w:color="auto"/>
              <w:left w:val="single" w:sz="4" w:space="0" w:color="auto"/>
              <w:bottom w:val="single" w:sz="4" w:space="0" w:color="auto"/>
              <w:right w:val="single" w:sz="4" w:space="0" w:color="auto"/>
            </w:tcBorders>
            <w:hideMark/>
          </w:tcPr>
          <w:p w14:paraId="7A823ED6" w14:textId="6D5D4E2A" w:rsidR="00716405" w:rsidRDefault="00716405">
            <w:pPr>
              <w:pStyle w:val="Tabletext9pt"/>
              <w:rPr>
                <w:szCs w:val="18"/>
                <w:lang w:eastAsia="en-AU"/>
              </w:rPr>
            </w:pPr>
            <w:r>
              <w:rPr>
                <w:szCs w:val="18"/>
                <w:lang w:eastAsia="en-AU"/>
              </w:rPr>
              <w:t xml:space="preserve">HACC-PYP </w:t>
            </w:r>
            <w:r w:rsidR="00D2485B">
              <w:rPr>
                <w:szCs w:val="18"/>
                <w:lang w:eastAsia="en-AU"/>
              </w:rPr>
              <w:t>volunteer coordination – other</w:t>
            </w:r>
          </w:p>
        </w:tc>
        <w:tc>
          <w:tcPr>
            <w:tcW w:w="4342" w:type="dxa"/>
            <w:tcBorders>
              <w:top w:val="single" w:sz="4" w:space="0" w:color="auto"/>
              <w:left w:val="single" w:sz="4" w:space="0" w:color="auto"/>
              <w:bottom w:val="single" w:sz="4" w:space="0" w:color="auto"/>
              <w:right w:val="single" w:sz="4" w:space="0" w:color="auto"/>
            </w:tcBorders>
            <w:hideMark/>
          </w:tcPr>
          <w:p w14:paraId="71B195D8" w14:textId="71ED284F" w:rsidR="00716405" w:rsidRDefault="00716405">
            <w:pPr>
              <w:pStyle w:val="Tabletext9pt"/>
              <w:rPr>
                <w:szCs w:val="18"/>
                <w:lang w:eastAsia="en-AU"/>
              </w:rPr>
            </w:pPr>
            <w:r>
              <w:rPr>
                <w:szCs w:val="18"/>
                <w:lang w:eastAsia="en-AU"/>
              </w:rPr>
              <w:t>Block</w:t>
            </w:r>
            <w:r w:rsidR="00D9542F">
              <w:rPr>
                <w:szCs w:val="18"/>
                <w:lang w:eastAsia="en-AU"/>
              </w:rPr>
              <w:t xml:space="preserve"> </w:t>
            </w:r>
            <w:r>
              <w:rPr>
                <w:szCs w:val="18"/>
                <w:lang w:eastAsia="en-AU"/>
              </w:rPr>
              <w:t>funding to offset costs of volunteer programs including volunteer reimbursements, police checks and some program costs.</w:t>
            </w:r>
          </w:p>
        </w:tc>
      </w:tr>
      <w:tr w:rsidR="00716405" w14:paraId="61952E4F" w14:textId="77777777" w:rsidTr="00716405">
        <w:trPr>
          <w:trHeight w:val="322"/>
        </w:trPr>
        <w:tc>
          <w:tcPr>
            <w:tcW w:w="1980" w:type="dxa"/>
            <w:tcBorders>
              <w:top w:val="single" w:sz="4" w:space="0" w:color="auto"/>
              <w:left w:val="single" w:sz="4" w:space="0" w:color="auto"/>
              <w:bottom w:val="single" w:sz="4" w:space="0" w:color="auto"/>
              <w:right w:val="single" w:sz="4" w:space="0" w:color="auto"/>
            </w:tcBorders>
            <w:hideMark/>
          </w:tcPr>
          <w:p w14:paraId="3F4FCEE4" w14:textId="77777777" w:rsidR="00716405" w:rsidRDefault="00716405">
            <w:pPr>
              <w:pStyle w:val="Tabletext9pt"/>
              <w:rPr>
                <w:szCs w:val="18"/>
                <w:lang w:eastAsia="en-AU"/>
              </w:rPr>
            </w:pPr>
            <w:r>
              <w:rPr>
                <w:szCs w:val="18"/>
                <w:lang w:eastAsia="en-AU"/>
              </w:rPr>
              <w:t>13217</w:t>
            </w:r>
          </w:p>
        </w:tc>
        <w:tc>
          <w:tcPr>
            <w:tcW w:w="2977" w:type="dxa"/>
            <w:tcBorders>
              <w:top w:val="single" w:sz="4" w:space="0" w:color="auto"/>
              <w:left w:val="single" w:sz="4" w:space="0" w:color="auto"/>
              <w:bottom w:val="single" w:sz="4" w:space="0" w:color="auto"/>
              <w:right w:val="single" w:sz="4" w:space="0" w:color="auto"/>
            </w:tcBorders>
            <w:hideMark/>
          </w:tcPr>
          <w:p w14:paraId="73C0C768" w14:textId="15D7920B" w:rsidR="00716405" w:rsidRDefault="00716405">
            <w:pPr>
              <w:pStyle w:val="Tabletext9pt"/>
              <w:rPr>
                <w:szCs w:val="18"/>
                <w:lang w:eastAsia="en-AU"/>
              </w:rPr>
            </w:pPr>
            <w:r>
              <w:rPr>
                <w:szCs w:val="18"/>
                <w:lang w:eastAsia="en-AU"/>
              </w:rPr>
              <w:t xml:space="preserve">HACC-PYP </w:t>
            </w:r>
            <w:r w:rsidR="0082338F">
              <w:rPr>
                <w:szCs w:val="18"/>
                <w:lang w:eastAsia="en-AU"/>
              </w:rPr>
              <w:t>minor capital</w:t>
            </w:r>
          </w:p>
        </w:tc>
        <w:tc>
          <w:tcPr>
            <w:tcW w:w="4342" w:type="dxa"/>
            <w:tcBorders>
              <w:top w:val="single" w:sz="4" w:space="0" w:color="auto"/>
              <w:left w:val="single" w:sz="4" w:space="0" w:color="auto"/>
              <w:bottom w:val="single" w:sz="4" w:space="0" w:color="auto"/>
              <w:right w:val="single" w:sz="4" w:space="0" w:color="auto"/>
            </w:tcBorders>
            <w:hideMark/>
          </w:tcPr>
          <w:p w14:paraId="45AEE508" w14:textId="77777777" w:rsidR="00716405" w:rsidRDefault="00716405">
            <w:pPr>
              <w:pStyle w:val="Tabletext9pt"/>
              <w:rPr>
                <w:szCs w:val="18"/>
                <w:lang w:eastAsia="en-AU"/>
              </w:rPr>
            </w:pPr>
            <w:r>
              <w:rPr>
                <w:szCs w:val="18"/>
                <w:lang w:eastAsia="en-AU"/>
              </w:rPr>
              <w:t>Minor capital funds to HACC-PYP funded organisations to maintain, refurbish or upgrade infrastructure to support HACC-PYP services.</w:t>
            </w:r>
          </w:p>
        </w:tc>
      </w:tr>
      <w:tr w:rsidR="00716405" w14:paraId="00F6429F" w14:textId="77777777" w:rsidTr="00716405">
        <w:tc>
          <w:tcPr>
            <w:tcW w:w="1980" w:type="dxa"/>
            <w:tcBorders>
              <w:top w:val="single" w:sz="4" w:space="0" w:color="auto"/>
              <w:left w:val="single" w:sz="4" w:space="0" w:color="auto"/>
              <w:bottom w:val="single" w:sz="4" w:space="0" w:color="auto"/>
              <w:right w:val="single" w:sz="4" w:space="0" w:color="auto"/>
            </w:tcBorders>
            <w:hideMark/>
          </w:tcPr>
          <w:p w14:paraId="331E74B3" w14:textId="77777777" w:rsidR="00716405" w:rsidRDefault="00716405">
            <w:pPr>
              <w:pStyle w:val="Tabletext9pt"/>
              <w:rPr>
                <w:szCs w:val="18"/>
                <w:lang w:eastAsia="en-AU"/>
              </w:rPr>
            </w:pPr>
            <w:r>
              <w:rPr>
                <w:szCs w:val="18"/>
                <w:lang w:eastAsia="en-AU"/>
              </w:rPr>
              <w:t>13223</w:t>
            </w:r>
          </w:p>
        </w:tc>
        <w:tc>
          <w:tcPr>
            <w:tcW w:w="2977" w:type="dxa"/>
            <w:tcBorders>
              <w:top w:val="single" w:sz="4" w:space="0" w:color="auto"/>
              <w:left w:val="single" w:sz="4" w:space="0" w:color="auto"/>
              <w:bottom w:val="single" w:sz="4" w:space="0" w:color="auto"/>
              <w:right w:val="single" w:sz="4" w:space="0" w:color="auto"/>
            </w:tcBorders>
            <w:hideMark/>
          </w:tcPr>
          <w:p w14:paraId="326FD55D" w14:textId="1FD13139" w:rsidR="00716405" w:rsidRDefault="00716405">
            <w:pPr>
              <w:pStyle w:val="Tabletext9pt"/>
              <w:rPr>
                <w:szCs w:val="18"/>
                <w:lang w:eastAsia="en-AU"/>
              </w:rPr>
            </w:pPr>
            <w:r>
              <w:rPr>
                <w:szCs w:val="18"/>
                <w:lang w:eastAsia="en-AU"/>
              </w:rPr>
              <w:t xml:space="preserve">HACC-PYP </w:t>
            </w:r>
            <w:r w:rsidR="0082338F">
              <w:rPr>
                <w:szCs w:val="18"/>
                <w:lang w:eastAsia="en-AU"/>
              </w:rPr>
              <w:t>nursing</w:t>
            </w:r>
          </w:p>
        </w:tc>
        <w:tc>
          <w:tcPr>
            <w:tcW w:w="4342" w:type="dxa"/>
            <w:tcBorders>
              <w:top w:val="single" w:sz="4" w:space="0" w:color="auto"/>
              <w:left w:val="single" w:sz="4" w:space="0" w:color="auto"/>
              <w:bottom w:val="single" w:sz="4" w:space="0" w:color="auto"/>
              <w:right w:val="single" w:sz="4" w:space="0" w:color="auto"/>
            </w:tcBorders>
            <w:hideMark/>
          </w:tcPr>
          <w:p w14:paraId="07591E91" w14:textId="77777777" w:rsidR="00716405" w:rsidRDefault="00716405">
            <w:pPr>
              <w:pStyle w:val="Tabletext9pt"/>
              <w:rPr>
                <w:szCs w:val="18"/>
                <w:lang w:eastAsia="en-AU"/>
              </w:rPr>
            </w:pPr>
            <w:r>
              <w:rPr>
                <w:szCs w:val="18"/>
                <w:lang w:eastAsia="en-AU"/>
              </w:rPr>
              <w:t xml:space="preserve">Professional nursing care including direct clinical care, clinical assessment to </w:t>
            </w:r>
            <w:r>
              <w:t>HACC-PYP clients</w:t>
            </w:r>
            <w:r>
              <w:rPr>
                <w:szCs w:val="18"/>
                <w:lang w:eastAsia="en-AU"/>
              </w:rPr>
              <w:t>.</w:t>
            </w:r>
          </w:p>
        </w:tc>
      </w:tr>
      <w:tr w:rsidR="00716405" w14:paraId="385EFC57" w14:textId="77777777" w:rsidTr="00716405">
        <w:tc>
          <w:tcPr>
            <w:tcW w:w="1980" w:type="dxa"/>
            <w:tcBorders>
              <w:top w:val="single" w:sz="4" w:space="0" w:color="auto"/>
              <w:left w:val="single" w:sz="4" w:space="0" w:color="auto"/>
              <w:bottom w:val="single" w:sz="4" w:space="0" w:color="auto"/>
              <w:right w:val="single" w:sz="4" w:space="0" w:color="auto"/>
            </w:tcBorders>
            <w:hideMark/>
          </w:tcPr>
          <w:p w14:paraId="02668C1B" w14:textId="77777777" w:rsidR="00716405" w:rsidRDefault="00716405">
            <w:pPr>
              <w:pStyle w:val="Tabletext9pt"/>
              <w:rPr>
                <w:szCs w:val="18"/>
                <w:lang w:eastAsia="en-AU"/>
              </w:rPr>
            </w:pPr>
            <w:r>
              <w:rPr>
                <w:szCs w:val="18"/>
                <w:lang w:eastAsia="en-AU"/>
              </w:rPr>
              <w:t>13227</w:t>
            </w:r>
          </w:p>
        </w:tc>
        <w:tc>
          <w:tcPr>
            <w:tcW w:w="2977" w:type="dxa"/>
            <w:tcBorders>
              <w:top w:val="single" w:sz="4" w:space="0" w:color="auto"/>
              <w:left w:val="single" w:sz="4" w:space="0" w:color="auto"/>
              <w:bottom w:val="single" w:sz="4" w:space="0" w:color="auto"/>
              <w:right w:val="single" w:sz="4" w:space="0" w:color="auto"/>
            </w:tcBorders>
            <w:hideMark/>
          </w:tcPr>
          <w:p w14:paraId="3319A015" w14:textId="375A099C" w:rsidR="00716405" w:rsidRDefault="00716405">
            <w:pPr>
              <w:pStyle w:val="Tabletext9pt"/>
              <w:rPr>
                <w:szCs w:val="18"/>
                <w:lang w:eastAsia="en-AU"/>
              </w:rPr>
            </w:pPr>
            <w:r>
              <w:rPr>
                <w:szCs w:val="18"/>
                <w:lang w:eastAsia="en-AU"/>
              </w:rPr>
              <w:t xml:space="preserve">ACCO </w:t>
            </w:r>
            <w:r w:rsidR="0082338F">
              <w:rPr>
                <w:szCs w:val="18"/>
                <w:lang w:eastAsia="en-AU"/>
              </w:rPr>
              <w:t xml:space="preserve">services </w:t>
            </w:r>
            <w:r>
              <w:rPr>
                <w:szCs w:val="18"/>
                <w:lang w:eastAsia="en-AU"/>
              </w:rPr>
              <w:t>– HACC-PYP</w:t>
            </w:r>
          </w:p>
        </w:tc>
        <w:tc>
          <w:tcPr>
            <w:tcW w:w="4342" w:type="dxa"/>
            <w:tcBorders>
              <w:top w:val="single" w:sz="4" w:space="0" w:color="auto"/>
              <w:left w:val="single" w:sz="4" w:space="0" w:color="auto"/>
              <w:bottom w:val="single" w:sz="4" w:space="0" w:color="auto"/>
              <w:right w:val="single" w:sz="4" w:space="0" w:color="auto"/>
            </w:tcBorders>
            <w:hideMark/>
          </w:tcPr>
          <w:p w14:paraId="791F1469" w14:textId="77777777" w:rsidR="00716405" w:rsidRDefault="00716405">
            <w:pPr>
              <w:pStyle w:val="Tabletext9pt"/>
              <w:rPr>
                <w:szCs w:val="18"/>
                <w:lang w:eastAsia="en-AU"/>
              </w:rPr>
            </w:pPr>
            <w:r>
              <w:rPr>
                <w:szCs w:val="18"/>
                <w:lang w:eastAsia="en-AU"/>
              </w:rPr>
              <w:t>Funding for HACC-PYP services provided by Aboriginal community-controlled organisations.</w:t>
            </w:r>
          </w:p>
        </w:tc>
      </w:tr>
      <w:tr w:rsidR="00716405" w14:paraId="4DB08C38" w14:textId="77777777" w:rsidTr="00716405">
        <w:tc>
          <w:tcPr>
            <w:tcW w:w="1980" w:type="dxa"/>
            <w:tcBorders>
              <w:top w:val="single" w:sz="4" w:space="0" w:color="auto"/>
              <w:left w:val="single" w:sz="4" w:space="0" w:color="auto"/>
              <w:bottom w:val="single" w:sz="4" w:space="0" w:color="auto"/>
              <w:right w:val="single" w:sz="4" w:space="0" w:color="auto"/>
            </w:tcBorders>
            <w:hideMark/>
          </w:tcPr>
          <w:p w14:paraId="2F035EF6" w14:textId="77777777" w:rsidR="00716405" w:rsidRDefault="00716405">
            <w:pPr>
              <w:pStyle w:val="Tabletext9pt"/>
              <w:rPr>
                <w:szCs w:val="18"/>
                <w:lang w:eastAsia="en-AU"/>
              </w:rPr>
            </w:pPr>
            <w:r>
              <w:rPr>
                <w:szCs w:val="18"/>
                <w:lang w:eastAsia="en-AU"/>
              </w:rPr>
              <w:t>13229</w:t>
            </w:r>
          </w:p>
        </w:tc>
        <w:tc>
          <w:tcPr>
            <w:tcW w:w="2977" w:type="dxa"/>
            <w:tcBorders>
              <w:top w:val="single" w:sz="4" w:space="0" w:color="auto"/>
              <w:left w:val="single" w:sz="4" w:space="0" w:color="auto"/>
              <w:bottom w:val="single" w:sz="4" w:space="0" w:color="auto"/>
              <w:right w:val="single" w:sz="4" w:space="0" w:color="auto"/>
            </w:tcBorders>
            <w:hideMark/>
          </w:tcPr>
          <w:p w14:paraId="2F5ED68A" w14:textId="72D3CFAB" w:rsidR="00716405" w:rsidRDefault="00716405">
            <w:pPr>
              <w:pStyle w:val="Tabletext9pt"/>
              <w:keepNext/>
              <w:keepLines/>
              <w:rPr>
                <w:szCs w:val="18"/>
                <w:lang w:eastAsia="en-AU"/>
              </w:rPr>
            </w:pPr>
            <w:r>
              <w:rPr>
                <w:szCs w:val="18"/>
                <w:lang w:eastAsia="en-AU"/>
              </w:rPr>
              <w:t xml:space="preserve">HACC-PYP </w:t>
            </w:r>
            <w:r w:rsidR="0082338F">
              <w:rPr>
                <w:szCs w:val="18"/>
                <w:lang w:eastAsia="en-AU"/>
              </w:rPr>
              <w:t>access and support</w:t>
            </w:r>
          </w:p>
        </w:tc>
        <w:tc>
          <w:tcPr>
            <w:tcW w:w="4342" w:type="dxa"/>
            <w:tcBorders>
              <w:top w:val="single" w:sz="4" w:space="0" w:color="auto"/>
              <w:left w:val="single" w:sz="4" w:space="0" w:color="auto"/>
              <w:bottom w:val="single" w:sz="4" w:space="0" w:color="auto"/>
              <w:right w:val="single" w:sz="4" w:space="0" w:color="auto"/>
            </w:tcBorders>
            <w:hideMark/>
          </w:tcPr>
          <w:p w14:paraId="6459376F" w14:textId="4BC5D436" w:rsidR="00716405" w:rsidRDefault="00716405">
            <w:pPr>
              <w:pStyle w:val="Tabletext9pt"/>
              <w:rPr>
                <w:szCs w:val="18"/>
                <w:lang w:eastAsia="en-AU"/>
              </w:rPr>
            </w:pPr>
            <w:r>
              <w:rPr>
                <w:szCs w:val="18"/>
                <w:lang w:eastAsia="en-AU"/>
              </w:rPr>
              <w:t xml:space="preserve">One-on-one support for </w:t>
            </w:r>
            <w:r w:rsidR="008142CF">
              <w:rPr>
                <w:szCs w:val="18"/>
                <w:lang w:eastAsia="en-AU"/>
              </w:rPr>
              <w:t>eligible</w:t>
            </w:r>
            <w:r>
              <w:rPr>
                <w:szCs w:val="18"/>
                <w:lang w:eastAsia="en-AU"/>
              </w:rPr>
              <w:t xml:space="preserve"> people aged birth to 65 years who experience barriers in accessing a wide range of services.  </w:t>
            </w:r>
          </w:p>
        </w:tc>
      </w:tr>
    </w:tbl>
    <w:p w14:paraId="09001398" w14:textId="31836735" w:rsidR="00716405" w:rsidRDefault="00716405" w:rsidP="00716405">
      <w:pPr>
        <w:pStyle w:val="Bodyaftertablefigure"/>
        <w:keepNext/>
        <w:keepLines/>
      </w:pPr>
      <w:r>
        <w:t>Output name: Aged Care Assessment Service</w:t>
      </w:r>
    </w:p>
    <w:tbl>
      <w:tblPr>
        <w:tblStyle w:val="TableGrid1"/>
        <w:tblW w:w="9299" w:type="dxa"/>
        <w:tblLook w:val="06A0" w:firstRow="1" w:lastRow="0" w:firstColumn="1" w:lastColumn="0" w:noHBand="1" w:noVBand="1"/>
      </w:tblPr>
      <w:tblGrid>
        <w:gridCol w:w="1980"/>
        <w:gridCol w:w="2977"/>
        <w:gridCol w:w="4342"/>
      </w:tblGrid>
      <w:tr w:rsidR="00716405" w14:paraId="02088F9A"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62FC5A20" w14:textId="77777777" w:rsidR="00716405" w:rsidRPr="00685B35" w:rsidRDefault="00716405" w:rsidP="00685B35">
            <w:pPr>
              <w:pStyle w:val="Tablecolhead"/>
            </w:pPr>
            <w:r w:rsidRPr="00685B35">
              <w:rPr>
                <w:sz w:val="20"/>
              </w:rPr>
              <w:t>Activity no.</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061A6867" w14:textId="77777777" w:rsidR="00716405" w:rsidRPr="00685B35" w:rsidRDefault="00716405" w:rsidP="00685B35">
            <w:pPr>
              <w:pStyle w:val="Tablecolhead"/>
            </w:pPr>
            <w:r w:rsidRPr="00685B35">
              <w:rPr>
                <w:sz w:val="20"/>
              </w:rPr>
              <w:t>Activity name</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3E23E4AD" w14:textId="77777777" w:rsidR="00716405" w:rsidRPr="00685B35" w:rsidRDefault="00716405" w:rsidP="00685B35">
            <w:pPr>
              <w:pStyle w:val="Tablecolhead"/>
            </w:pPr>
            <w:r w:rsidRPr="00685B35">
              <w:rPr>
                <w:sz w:val="20"/>
              </w:rPr>
              <w:t>Activity description</w:t>
            </w:r>
          </w:p>
        </w:tc>
      </w:tr>
      <w:tr w:rsidR="00716405" w14:paraId="1C0D5E13" w14:textId="77777777" w:rsidTr="00716405">
        <w:tc>
          <w:tcPr>
            <w:tcW w:w="1980" w:type="dxa"/>
            <w:tcBorders>
              <w:top w:val="single" w:sz="4" w:space="0" w:color="auto"/>
              <w:left w:val="single" w:sz="4" w:space="0" w:color="auto"/>
              <w:bottom w:val="single" w:sz="4" w:space="0" w:color="auto"/>
              <w:right w:val="single" w:sz="4" w:space="0" w:color="auto"/>
            </w:tcBorders>
            <w:hideMark/>
          </w:tcPr>
          <w:p w14:paraId="1D79B6C1" w14:textId="77777777" w:rsidR="00716405" w:rsidRDefault="00716405">
            <w:pPr>
              <w:pStyle w:val="Tabletext9pt"/>
              <w:rPr>
                <w:szCs w:val="18"/>
                <w:lang w:eastAsia="en-AU"/>
              </w:rPr>
            </w:pPr>
            <w:r>
              <w:t>13109</w:t>
            </w:r>
          </w:p>
        </w:tc>
        <w:tc>
          <w:tcPr>
            <w:tcW w:w="2977" w:type="dxa"/>
            <w:tcBorders>
              <w:top w:val="single" w:sz="4" w:space="0" w:color="auto"/>
              <w:left w:val="single" w:sz="4" w:space="0" w:color="auto"/>
              <w:bottom w:val="single" w:sz="4" w:space="0" w:color="auto"/>
              <w:right w:val="single" w:sz="4" w:space="0" w:color="auto"/>
            </w:tcBorders>
            <w:hideMark/>
          </w:tcPr>
          <w:p w14:paraId="6164B93E" w14:textId="142F7E77" w:rsidR="00716405" w:rsidRDefault="00716405">
            <w:pPr>
              <w:pStyle w:val="Tabletext9pt"/>
              <w:rPr>
                <w:szCs w:val="18"/>
                <w:lang w:eastAsia="en-AU"/>
              </w:rPr>
            </w:pPr>
            <w:r>
              <w:t xml:space="preserve">Aged Care Assessment Services </w:t>
            </w:r>
            <w:r w:rsidR="0082338F">
              <w:t>evaluation</w:t>
            </w:r>
          </w:p>
        </w:tc>
        <w:tc>
          <w:tcPr>
            <w:tcW w:w="4342" w:type="dxa"/>
            <w:tcBorders>
              <w:top w:val="single" w:sz="4" w:space="0" w:color="auto"/>
              <w:left w:val="single" w:sz="4" w:space="0" w:color="auto"/>
              <w:bottom w:val="single" w:sz="4" w:space="0" w:color="auto"/>
              <w:right w:val="single" w:sz="4" w:space="0" w:color="auto"/>
            </w:tcBorders>
            <w:hideMark/>
          </w:tcPr>
          <w:p w14:paraId="70237A07" w14:textId="77777777" w:rsidR="00716405" w:rsidRDefault="00716405">
            <w:pPr>
              <w:pStyle w:val="Tabletext9pt"/>
              <w:rPr>
                <w:szCs w:val="18"/>
                <w:lang w:eastAsia="en-AU"/>
              </w:rPr>
            </w:pPr>
            <w:r>
              <w:t>Audit data integrity and conformance with My Aged Care systems and processes.</w:t>
            </w:r>
          </w:p>
        </w:tc>
      </w:tr>
    </w:tbl>
    <w:p w14:paraId="47DEB85F" w14:textId="6F498EA6" w:rsidR="00716405" w:rsidRDefault="00716405" w:rsidP="00716405">
      <w:pPr>
        <w:pStyle w:val="Bodyaftertablefigure"/>
        <w:rPr>
          <w:lang w:eastAsia="en-AU"/>
        </w:rPr>
      </w:pPr>
      <w:r>
        <w:t xml:space="preserve">Output name: </w:t>
      </w:r>
      <w:r>
        <w:rPr>
          <w:lang w:eastAsia="en-AU"/>
        </w:rPr>
        <w:t xml:space="preserve">Commonwealth Aged Care Assessment </w:t>
      </w:r>
      <w:r>
        <w:t>–</w:t>
      </w:r>
      <w:r w:rsidR="00CA1B3E">
        <w:t xml:space="preserve"> </w:t>
      </w:r>
      <w:r>
        <w:rPr>
          <w:lang w:eastAsia="en-AU"/>
        </w:rPr>
        <w:t>Regional Assessment Service</w:t>
      </w:r>
    </w:p>
    <w:tbl>
      <w:tblPr>
        <w:tblStyle w:val="TableGrid1"/>
        <w:tblW w:w="9299" w:type="dxa"/>
        <w:tblLook w:val="06A0" w:firstRow="1" w:lastRow="0" w:firstColumn="1" w:lastColumn="0" w:noHBand="1" w:noVBand="1"/>
      </w:tblPr>
      <w:tblGrid>
        <w:gridCol w:w="1980"/>
        <w:gridCol w:w="2977"/>
        <w:gridCol w:w="4342"/>
      </w:tblGrid>
      <w:tr w:rsidR="00716405" w14:paraId="0DCC446A"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4653FA90" w14:textId="77777777" w:rsidR="00716405" w:rsidRPr="00685B35" w:rsidRDefault="00716405" w:rsidP="00685B35">
            <w:pPr>
              <w:pStyle w:val="Tablecolhead"/>
            </w:pPr>
            <w:r w:rsidRPr="00685B35">
              <w:rPr>
                <w:sz w:val="20"/>
              </w:rPr>
              <w:t>Activity no.</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1EC04F4A" w14:textId="77777777" w:rsidR="00716405" w:rsidRPr="00685B35" w:rsidRDefault="00716405" w:rsidP="00685B35">
            <w:pPr>
              <w:pStyle w:val="Tablecolhead"/>
            </w:pPr>
            <w:r w:rsidRPr="00685B35">
              <w:rPr>
                <w:sz w:val="20"/>
              </w:rPr>
              <w:t>Activity name</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52AE8FB7" w14:textId="77777777" w:rsidR="00716405" w:rsidRPr="00685B35" w:rsidRDefault="00716405" w:rsidP="00685B35">
            <w:pPr>
              <w:pStyle w:val="Tablecolhead"/>
            </w:pPr>
            <w:r w:rsidRPr="00685B35">
              <w:rPr>
                <w:sz w:val="20"/>
              </w:rPr>
              <w:t>Activity description</w:t>
            </w:r>
          </w:p>
        </w:tc>
      </w:tr>
      <w:tr w:rsidR="00716405" w14:paraId="675E7B20" w14:textId="77777777" w:rsidTr="00716405">
        <w:tc>
          <w:tcPr>
            <w:tcW w:w="1980" w:type="dxa"/>
            <w:tcBorders>
              <w:top w:val="single" w:sz="4" w:space="0" w:color="auto"/>
              <w:left w:val="single" w:sz="4" w:space="0" w:color="auto"/>
              <w:bottom w:val="single" w:sz="4" w:space="0" w:color="auto"/>
              <w:right w:val="single" w:sz="4" w:space="0" w:color="auto"/>
            </w:tcBorders>
            <w:hideMark/>
          </w:tcPr>
          <w:p w14:paraId="70693D51" w14:textId="77777777" w:rsidR="00716405" w:rsidRDefault="00716405">
            <w:pPr>
              <w:pStyle w:val="Tabletext9pt"/>
              <w:rPr>
                <w:szCs w:val="18"/>
                <w:lang w:eastAsia="en-AU"/>
              </w:rPr>
            </w:pPr>
            <w:r>
              <w:t>13230</w:t>
            </w:r>
          </w:p>
        </w:tc>
        <w:tc>
          <w:tcPr>
            <w:tcW w:w="2977" w:type="dxa"/>
            <w:tcBorders>
              <w:top w:val="single" w:sz="4" w:space="0" w:color="auto"/>
              <w:left w:val="single" w:sz="4" w:space="0" w:color="auto"/>
              <w:bottom w:val="single" w:sz="4" w:space="0" w:color="auto"/>
              <w:right w:val="single" w:sz="4" w:space="0" w:color="auto"/>
            </w:tcBorders>
            <w:hideMark/>
          </w:tcPr>
          <w:p w14:paraId="10625014" w14:textId="77777777" w:rsidR="00716405" w:rsidRDefault="00716405">
            <w:pPr>
              <w:pStyle w:val="Tabletext9pt"/>
              <w:rPr>
                <w:szCs w:val="18"/>
                <w:lang w:eastAsia="en-AU"/>
              </w:rPr>
            </w:pPr>
            <w:r>
              <w:t>Regional Assessment Service</w:t>
            </w:r>
          </w:p>
        </w:tc>
        <w:tc>
          <w:tcPr>
            <w:tcW w:w="4342" w:type="dxa"/>
            <w:tcBorders>
              <w:top w:val="single" w:sz="4" w:space="0" w:color="auto"/>
              <w:left w:val="single" w:sz="4" w:space="0" w:color="auto"/>
              <w:bottom w:val="single" w:sz="4" w:space="0" w:color="auto"/>
              <w:right w:val="single" w:sz="4" w:space="0" w:color="auto"/>
            </w:tcBorders>
            <w:hideMark/>
          </w:tcPr>
          <w:p w14:paraId="26A6C84A" w14:textId="77777777" w:rsidR="00716405" w:rsidRDefault="00716405">
            <w:pPr>
              <w:pStyle w:val="Tabletext9pt"/>
              <w:rPr>
                <w:szCs w:val="18"/>
                <w:lang w:eastAsia="en-AU"/>
              </w:rPr>
            </w:pPr>
            <w:r>
              <w:t>Assess care needs of frail older people and determine eligibility for the Commonwealth Home Support Programme.</w:t>
            </w:r>
          </w:p>
        </w:tc>
      </w:tr>
    </w:tbl>
    <w:p w14:paraId="2EA655F7" w14:textId="77777777" w:rsidR="00716405" w:rsidRDefault="00716405" w:rsidP="00685B35">
      <w:pPr>
        <w:pStyle w:val="Bodyaftertablefigure"/>
        <w:keepNext/>
        <w:keepLines/>
        <w:spacing w:line="240" w:lineRule="auto"/>
        <w:rPr>
          <w:lang w:eastAsia="en-AU"/>
        </w:rPr>
      </w:pPr>
      <w:r>
        <w:t>Output name: Aged support services</w:t>
      </w:r>
    </w:p>
    <w:tbl>
      <w:tblPr>
        <w:tblStyle w:val="TableGrid1"/>
        <w:tblW w:w="9299" w:type="dxa"/>
        <w:tblLook w:val="06A0" w:firstRow="1" w:lastRow="0" w:firstColumn="1" w:lastColumn="0" w:noHBand="1" w:noVBand="1"/>
      </w:tblPr>
      <w:tblGrid>
        <w:gridCol w:w="1980"/>
        <w:gridCol w:w="2977"/>
        <w:gridCol w:w="4342"/>
      </w:tblGrid>
      <w:tr w:rsidR="00716405" w14:paraId="190BF83C"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3E3CA851" w14:textId="77777777" w:rsidR="00716405" w:rsidRPr="00685B35" w:rsidRDefault="00716405" w:rsidP="00685B35">
            <w:pPr>
              <w:pStyle w:val="Tablecolhead"/>
              <w:keepNext/>
              <w:keepLines/>
            </w:pPr>
            <w:r w:rsidRPr="00685B35">
              <w:rPr>
                <w:sz w:val="20"/>
              </w:rPr>
              <w:t>Activity no.</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3811FF1F" w14:textId="77777777" w:rsidR="00716405" w:rsidRPr="00685B35" w:rsidRDefault="00716405" w:rsidP="00685B35">
            <w:pPr>
              <w:pStyle w:val="Tablecolhead"/>
              <w:keepNext/>
              <w:keepLines/>
            </w:pPr>
            <w:r w:rsidRPr="00685B35">
              <w:rPr>
                <w:sz w:val="20"/>
              </w:rPr>
              <w:t>Activity name</w:t>
            </w:r>
          </w:p>
        </w:tc>
        <w:tc>
          <w:tcPr>
            <w:tcW w:w="0" w:type="dxa"/>
            <w:tcBorders>
              <w:top w:val="single" w:sz="4" w:space="0" w:color="auto"/>
              <w:left w:val="single" w:sz="4" w:space="0" w:color="auto"/>
              <w:bottom w:val="single" w:sz="4" w:space="0" w:color="auto"/>
              <w:right w:val="single" w:sz="4" w:space="0" w:color="auto"/>
            </w:tcBorders>
            <w:shd w:val="clear" w:color="auto" w:fill="auto"/>
            <w:hideMark/>
          </w:tcPr>
          <w:p w14:paraId="25751DFB" w14:textId="77777777" w:rsidR="00716405" w:rsidRPr="00685B35" w:rsidRDefault="00716405" w:rsidP="00685B35">
            <w:pPr>
              <w:pStyle w:val="Tablecolhead"/>
              <w:keepNext/>
              <w:keepLines/>
            </w:pPr>
            <w:r w:rsidRPr="00685B35">
              <w:rPr>
                <w:sz w:val="20"/>
              </w:rPr>
              <w:t>Activity description</w:t>
            </w:r>
          </w:p>
        </w:tc>
      </w:tr>
      <w:tr w:rsidR="00716405" w14:paraId="498E1F17" w14:textId="77777777" w:rsidTr="00716405">
        <w:tc>
          <w:tcPr>
            <w:tcW w:w="1980" w:type="dxa"/>
            <w:tcBorders>
              <w:top w:val="single" w:sz="4" w:space="0" w:color="auto"/>
              <w:left w:val="single" w:sz="4" w:space="0" w:color="auto"/>
              <w:bottom w:val="single" w:sz="4" w:space="0" w:color="auto"/>
              <w:right w:val="single" w:sz="4" w:space="0" w:color="auto"/>
            </w:tcBorders>
            <w:hideMark/>
          </w:tcPr>
          <w:p w14:paraId="7B3EC54C" w14:textId="191B2995" w:rsidR="00716405" w:rsidRDefault="00716405" w:rsidP="00685B35">
            <w:pPr>
              <w:pStyle w:val="Tabletext9pt"/>
              <w:keepNext/>
              <w:keepLines/>
            </w:pPr>
            <w:r>
              <w:t>13019</w:t>
            </w:r>
          </w:p>
        </w:tc>
        <w:tc>
          <w:tcPr>
            <w:tcW w:w="2977" w:type="dxa"/>
            <w:tcBorders>
              <w:top w:val="single" w:sz="4" w:space="0" w:color="auto"/>
              <w:left w:val="single" w:sz="4" w:space="0" w:color="auto"/>
              <w:bottom w:val="single" w:sz="4" w:space="0" w:color="auto"/>
              <w:right w:val="single" w:sz="4" w:space="0" w:color="auto"/>
            </w:tcBorders>
            <w:hideMark/>
          </w:tcPr>
          <w:p w14:paraId="3223FAF5" w14:textId="77777777" w:rsidR="00716405" w:rsidRDefault="00716405" w:rsidP="00685B35">
            <w:pPr>
              <w:pStyle w:val="Tabletext9pt"/>
              <w:keepNext/>
              <w:keepLines/>
            </w:pPr>
            <w:r>
              <w:t>Personal Alert Victoria</w:t>
            </w:r>
          </w:p>
        </w:tc>
        <w:tc>
          <w:tcPr>
            <w:tcW w:w="4342" w:type="dxa"/>
            <w:tcBorders>
              <w:top w:val="single" w:sz="4" w:space="0" w:color="auto"/>
              <w:left w:val="single" w:sz="4" w:space="0" w:color="auto"/>
              <w:bottom w:val="single" w:sz="4" w:space="0" w:color="auto"/>
              <w:right w:val="single" w:sz="4" w:space="0" w:color="auto"/>
            </w:tcBorders>
            <w:hideMark/>
          </w:tcPr>
          <w:p w14:paraId="295F56B5" w14:textId="77777777" w:rsidR="00716405" w:rsidRDefault="00716405" w:rsidP="00685B35">
            <w:pPr>
              <w:pStyle w:val="Tabletext9pt"/>
              <w:keepNext/>
              <w:keepLines/>
            </w:pPr>
            <w:r>
              <w:t>Daily monitoring and emergency response service for frail older people and people with a disability who have high ongoing health and support needs and mostly live alone.</w:t>
            </w:r>
          </w:p>
        </w:tc>
      </w:tr>
      <w:tr w:rsidR="00716405" w14:paraId="6D607FDE" w14:textId="77777777" w:rsidTr="00716405">
        <w:tc>
          <w:tcPr>
            <w:tcW w:w="1980" w:type="dxa"/>
            <w:tcBorders>
              <w:top w:val="single" w:sz="4" w:space="0" w:color="auto"/>
              <w:left w:val="single" w:sz="4" w:space="0" w:color="auto"/>
              <w:bottom w:val="single" w:sz="4" w:space="0" w:color="auto"/>
              <w:right w:val="single" w:sz="4" w:space="0" w:color="auto"/>
            </w:tcBorders>
            <w:hideMark/>
          </w:tcPr>
          <w:p w14:paraId="6C4B9E2E" w14:textId="77777777" w:rsidR="00716405" w:rsidRDefault="00716405" w:rsidP="00685B35">
            <w:pPr>
              <w:pStyle w:val="Tabletext9pt"/>
              <w:keepNext/>
              <w:keepLines/>
            </w:pPr>
            <w:r>
              <w:t>13053</w:t>
            </w:r>
          </w:p>
        </w:tc>
        <w:tc>
          <w:tcPr>
            <w:tcW w:w="2977" w:type="dxa"/>
            <w:tcBorders>
              <w:top w:val="single" w:sz="4" w:space="0" w:color="auto"/>
              <w:left w:val="single" w:sz="4" w:space="0" w:color="auto"/>
              <w:bottom w:val="single" w:sz="4" w:space="0" w:color="auto"/>
              <w:right w:val="single" w:sz="4" w:space="0" w:color="auto"/>
            </w:tcBorders>
            <w:hideMark/>
          </w:tcPr>
          <w:p w14:paraId="2C0028F9" w14:textId="77777777" w:rsidR="00716405" w:rsidRDefault="00716405" w:rsidP="00685B35">
            <w:pPr>
              <w:pStyle w:val="Tabletext9pt"/>
              <w:keepNext/>
              <w:keepLines/>
            </w:pPr>
            <w:r>
              <w:t>Victorian Eyecare Service</w:t>
            </w:r>
          </w:p>
        </w:tc>
        <w:tc>
          <w:tcPr>
            <w:tcW w:w="4342" w:type="dxa"/>
            <w:tcBorders>
              <w:top w:val="single" w:sz="4" w:space="0" w:color="auto"/>
              <w:left w:val="single" w:sz="4" w:space="0" w:color="auto"/>
              <w:bottom w:val="single" w:sz="4" w:space="0" w:color="auto"/>
              <w:right w:val="single" w:sz="4" w:space="0" w:color="auto"/>
            </w:tcBorders>
            <w:hideMark/>
          </w:tcPr>
          <w:p w14:paraId="1D309F6B" w14:textId="77777777" w:rsidR="00716405" w:rsidRDefault="00716405" w:rsidP="00685B35">
            <w:pPr>
              <w:pStyle w:val="Tabletext9pt"/>
              <w:keepNext/>
              <w:keepLines/>
            </w:pPr>
            <w:r>
              <w:t>Provides subsidised eyecare and visual aids to people experiencing disadvantage via metropolitan, outreach and rural services.</w:t>
            </w:r>
          </w:p>
        </w:tc>
      </w:tr>
      <w:tr w:rsidR="00716405" w14:paraId="4BA562D5" w14:textId="77777777" w:rsidTr="00716405">
        <w:tc>
          <w:tcPr>
            <w:tcW w:w="1980" w:type="dxa"/>
            <w:tcBorders>
              <w:top w:val="single" w:sz="4" w:space="0" w:color="auto"/>
              <w:left w:val="single" w:sz="4" w:space="0" w:color="auto"/>
              <w:bottom w:val="single" w:sz="4" w:space="0" w:color="auto"/>
              <w:right w:val="single" w:sz="4" w:space="0" w:color="auto"/>
            </w:tcBorders>
            <w:hideMark/>
          </w:tcPr>
          <w:p w14:paraId="2A166A1A" w14:textId="4216FDFD" w:rsidR="00716405" w:rsidRDefault="00716405">
            <w:pPr>
              <w:pStyle w:val="Tabletext9pt"/>
            </w:pPr>
            <w:r>
              <w:t>13155</w:t>
            </w:r>
          </w:p>
        </w:tc>
        <w:tc>
          <w:tcPr>
            <w:tcW w:w="2977" w:type="dxa"/>
            <w:tcBorders>
              <w:top w:val="single" w:sz="4" w:space="0" w:color="auto"/>
              <w:left w:val="single" w:sz="4" w:space="0" w:color="auto"/>
              <w:bottom w:val="single" w:sz="4" w:space="0" w:color="auto"/>
              <w:right w:val="single" w:sz="4" w:space="0" w:color="auto"/>
            </w:tcBorders>
            <w:hideMark/>
          </w:tcPr>
          <w:p w14:paraId="38F12410" w14:textId="77777777" w:rsidR="00716405" w:rsidRDefault="00716405">
            <w:pPr>
              <w:pStyle w:val="Tabletext9pt"/>
            </w:pPr>
            <w:r>
              <w:t>Dementia Services</w:t>
            </w:r>
          </w:p>
        </w:tc>
        <w:tc>
          <w:tcPr>
            <w:tcW w:w="4342" w:type="dxa"/>
            <w:tcBorders>
              <w:top w:val="single" w:sz="4" w:space="0" w:color="auto"/>
              <w:left w:val="single" w:sz="4" w:space="0" w:color="auto"/>
              <w:bottom w:val="single" w:sz="4" w:space="0" w:color="auto"/>
              <w:right w:val="single" w:sz="4" w:space="0" w:color="auto"/>
            </w:tcBorders>
            <w:hideMark/>
          </w:tcPr>
          <w:p w14:paraId="160151A2" w14:textId="3DD7B244" w:rsidR="00716405" w:rsidRDefault="00716405">
            <w:pPr>
              <w:pStyle w:val="Tabletext9pt"/>
            </w:pPr>
            <w:r>
              <w:t>Funding to Dementia Australia (Victoria) for support, counselling, education and training, dementia awareness week activities and dementia services</w:t>
            </w:r>
            <w:r w:rsidR="00E570B7">
              <w:t>.</w:t>
            </w:r>
          </w:p>
        </w:tc>
      </w:tr>
      <w:tr w:rsidR="00716405" w14:paraId="55BDFC23" w14:textId="77777777" w:rsidTr="00716405">
        <w:trPr>
          <w:cantSplit/>
        </w:trPr>
        <w:tc>
          <w:tcPr>
            <w:tcW w:w="1980" w:type="dxa"/>
            <w:tcBorders>
              <w:top w:val="single" w:sz="4" w:space="0" w:color="auto"/>
              <w:left w:val="single" w:sz="4" w:space="0" w:color="auto"/>
              <w:bottom w:val="single" w:sz="4" w:space="0" w:color="auto"/>
              <w:right w:val="single" w:sz="4" w:space="0" w:color="auto"/>
            </w:tcBorders>
            <w:hideMark/>
          </w:tcPr>
          <w:p w14:paraId="22CD5AF3" w14:textId="77777777" w:rsidR="00716405" w:rsidRDefault="00716405">
            <w:pPr>
              <w:pStyle w:val="Tabletext9pt"/>
            </w:pPr>
            <w:r>
              <w:rPr>
                <w:rFonts w:ascii="Helv" w:hAnsi="Helv" w:cs="Helv"/>
                <w:color w:val="000000"/>
              </w:rPr>
              <w:lastRenderedPageBreak/>
              <w:t>13082</w:t>
            </w:r>
          </w:p>
        </w:tc>
        <w:tc>
          <w:tcPr>
            <w:tcW w:w="2977" w:type="dxa"/>
            <w:tcBorders>
              <w:top w:val="single" w:sz="4" w:space="0" w:color="auto"/>
              <w:left w:val="single" w:sz="4" w:space="0" w:color="auto"/>
              <w:bottom w:val="single" w:sz="4" w:space="0" w:color="auto"/>
              <w:right w:val="single" w:sz="4" w:space="0" w:color="auto"/>
            </w:tcBorders>
            <w:hideMark/>
          </w:tcPr>
          <w:p w14:paraId="3B26E063" w14:textId="77777777" w:rsidR="00716405" w:rsidRDefault="00716405">
            <w:pPr>
              <w:pStyle w:val="Tabletext9pt"/>
            </w:pPr>
            <w:r>
              <w:rPr>
                <w:rFonts w:ascii="Helv" w:hAnsi="Helv" w:cs="Helv"/>
                <w:color w:val="000000"/>
              </w:rPr>
              <w:t>Low-cost Accommodation Support</w:t>
            </w:r>
          </w:p>
        </w:tc>
        <w:tc>
          <w:tcPr>
            <w:tcW w:w="4342" w:type="dxa"/>
            <w:tcBorders>
              <w:top w:val="single" w:sz="4" w:space="0" w:color="auto"/>
              <w:left w:val="single" w:sz="4" w:space="0" w:color="auto"/>
              <w:bottom w:val="single" w:sz="4" w:space="0" w:color="auto"/>
              <w:right w:val="single" w:sz="4" w:space="0" w:color="auto"/>
            </w:tcBorders>
            <w:hideMark/>
          </w:tcPr>
          <w:p w14:paraId="5D7B1413" w14:textId="77777777" w:rsidR="00716405" w:rsidRDefault="00716405">
            <w:pPr>
              <w:pStyle w:val="Tabletext9pt"/>
            </w:pPr>
            <w:r>
              <w:t>Outreach programs for older and vulnerable Victorians with unmet complex needs who are homeless or living in insecure or low-cost accommodation. Programs link clients to relevant health, community care and welfare services to improve their health, social connectedness and stabilise their tenancies.</w:t>
            </w:r>
          </w:p>
        </w:tc>
      </w:tr>
    </w:tbl>
    <w:p w14:paraId="1BC2C9DC" w14:textId="6585AE65" w:rsidR="000B27B9" w:rsidRDefault="00E737C1" w:rsidP="00685B35">
      <w:pPr>
        <w:pStyle w:val="Tablecaption"/>
      </w:pPr>
      <w:bookmarkStart w:id="962" w:name="_Toc14194762"/>
      <w:bookmarkStart w:id="963" w:name="_Toc54261418"/>
      <w:bookmarkStart w:id="964" w:name="_Toc54616292"/>
      <w:bookmarkStart w:id="965" w:name="_Toc109894126"/>
      <w:bookmarkStart w:id="966" w:name="_Toc156568677"/>
      <w:r>
        <w:t xml:space="preserve">Table </w:t>
      </w:r>
      <w:r>
        <w:fldChar w:fldCharType="begin"/>
      </w:r>
      <w:r>
        <w:instrText>STYLEREF 1 \s</w:instrText>
      </w:r>
      <w:r>
        <w:fldChar w:fldCharType="separate"/>
      </w:r>
      <w:r w:rsidR="00892F13">
        <w:rPr>
          <w:noProof/>
        </w:rPr>
        <w:t>1</w:t>
      </w:r>
      <w:r>
        <w:fldChar w:fldCharType="end"/>
      </w:r>
      <w:r w:rsidR="00742C12">
        <w:t>.</w:t>
      </w:r>
      <w:r>
        <w:fldChar w:fldCharType="begin"/>
      </w:r>
      <w:r>
        <w:instrText>SEQ Table \* ARABIC \s 1</w:instrText>
      </w:r>
      <w:r>
        <w:fldChar w:fldCharType="separate"/>
      </w:r>
      <w:r w:rsidR="00892F13">
        <w:rPr>
          <w:noProof/>
        </w:rPr>
        <w:t>34</w:t>
      </w:r>
      <w:r>
        <w:fldChar w:fldCharType="end"/>
      </w:r>
      <w:r>
        <w:t xml:space="preserve">: </w:t>
      </w:r>
      <w:r w:rsidR="000B27B9">
        <w:t>P</w:t>
      </w:r>
      <w:r w:rsidR="000B27B9" w:rsidRPr="00E7554A">
        <w:t>ublic health – outputs and activities</w:t>
      </w:r>
      <w:r w:rsidR="000B27B9">
        <w:t xml:space="preserve"> </w:t>
      </w:r>
      <w:bookmarkEnd w:id="962"/>
      <w:bookmarkEnd w:id="963"/>
      <w:bookmarkEnd w:id="964"/>
      <w:r w:rsidR="005D1FCB" w:rsidRPr="00FC00E9">
        <w:t>202</w:t>
      </w:r>
      <w:r w:rsidR="00A22DB0">
        <w:t>3</w:t>
      </w:r>
      <w:bookmarkEnd w:id="965"/>
      <w:r w:rsidR="0082338F">
        <w:t>–</w:t>
      </w:r>
      <w:r w:rsidR="005D1FCB" w:rsidRPr="00FC00E9">
        <w:t>2</w:t>
      </w:r>
      <w:r w:rsidR="00DC0981">
        <w:t>4</w:t>
      </w:r>
      <w:bookmarkEnd w:id="966"/>
    </w:p>
    <w:p w14:paraId="21AA2A0D" w14:textId="2749BA15" w:rsidR="00E737C1" w:rsidRDefault="7B4B5A75" w:rsidP="00685B35">
      <w:pPr>
        <w:pStyle w:val="Body"/>
      </w:pPr>
      <w:r>
        <w:t>Output name: Health advancement</w:t>
      </w:r>
    </w:p>
    <w:tbl>
      <w:tblPr>
        <w:tblStyle w:val="TableGrid1"/>
        <w:tblW w:w="9848" w:type="dxa"/>
        <w:tblLook w:val="06A0" w:firstRow="1" w:lastRow="0" w:firstColumn="1" w:lastColumn="0" w:noHBand="1" w:noVBand="1"/>
      </w:tblPr>
      <w:tblGrid>
        <w:gridCol w:w="909"/>
        <w:gridCol w:w="4261"/>
        <w:gridCol w:w="4678"/>
      </w:tblGrid>
      <w:tr w:rsidR="00FC7AB6" w:rsidRPr="0090298C" w14:paraId="520778E2"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909" w:type="dxa"/>
            <w:shd w:val="clear" w:color="auto" w:fill="auto"/>
          </w:tcPr>
          <w:p w14:paraId="54C01B56" w14:textId="77777777" w:rsidR="00DA25C1" w:rsidRPr="00674F20" w:rsidRDefault="00DA25C1" w:rsidP="00685B35">
            <w:pPr>
              <w:pStyle w:val="Tablecolhead"/>
              <w:rPr>
                <w:szCs w:val="18"/>
                <w:lang w:eastAsia="en-AU"/>
              </w:rPr>
            </w:pPr>
            <w:r w:rsidRPr="00D0520C">
              <w:rPr>
                <w:lang w:eastAsia="en-AU"/>
              </w:rPr>
              <w:t>Activity no.</w:t>
            </w:r>
          </w:p>
        </w:tc>
        <w:tc>
          <w:tcPr>
            <w:tcW w:w="4261" w:type="dxa"/>
            <w:shd w:val="clear" w:color="auto" w:fill="auto"/>
          </w:tcPr>
          <w:p w14:paraId="68E593F2" w14:textId="77777777" w:rsidR="00DA25C1" w:rsidRPr="00674F20" w:rsidRDefault="00DA25C1" w:rsidP="00685B35">
            <w:pPr>
              <w:pStyle w:val="Tablecolhead"/>
              <w:rPr>
                <w:szCs w:val="18"/>
                <w:lang w:eastAsia="en-AU"/>
              </w:rPr>
            </w:pPr>
            <w:r w:rsidRPr="00D0520C">
              <w:rPr>
                <w:lang w:eastAsia="en-AU"/>
              </w:rPr>
              <w:t>Activity name</w:t>
            </w:r>
          </w:p>
        </w:tc>
        <w:tc>
          <w:tcPr>
            <w:tcW w:w="4678" w:type="dxa"/>
            <w:shd w:val="clear" w:color="auto" w:fill="auto"/>
          </w:tcPr>
          <w:p w14:paraId="4A69A5B9" w14:textId="77777777" w:rsidR="00DA25C1" w:rsidRPr="00674F20" w:rsidRDefault="00DA25C1" w:rsidP="00685B35">
            <w:pPr>
              <w:pStyle w:val="Tablecolhead"/>
              <w:rPr>
                <w:szCs w:val="18"/>
                <w:lang w:eastAsia="en-AU"/>
              </w:rPr>
            </w:pPr>
            <w:r w:rsidRPr="00D0520C">
              <w:rPr>
                <w:lang w:eastAsia="en-AU"/>
              </w:rPr>
              <w:t>Activity description</w:t>
            </w:r>
          </w:p>
        </w:tc>
      </w:tr>
      <w:tr w:rsidR="00FC7AB6" w:rsidRPr="004E0550" w14:paraId="7BED130D" w14:textId="77777777" w:rsidTr="00685B35">
        <w:tc>
          <w:tcPr>
            <w:tcW w:w="909" w:type="dxa"/>
          </w:tcPr>
          <w:p w14:paraId="5C307496" w14:textId="77777777" w:rsidR="00DA25C1" w:rsidRPr="00674F20" w:rsidRDefault="00DA25C1" w:rsidP="0064265C">
            <w:pPr>
              <w:pStyle w:val="Tabletext9pt"/>
              <w:rPr>
                <w:szCs w:val="18"/>
              </w:rPr>
            </w:pPr>
            <w:r w:rsidRPr="00674F20">
              <w:rPr>
                <w:szCs w:val="18"/>
              </w:rPr>
              <w:t>16035</w:t>
            </w:r>
          </w:p>
        </w:tc>
        <w:tc>
          <w:tcPr>
            <w:tcW w:w="4261" w:type="dxa"/>
          </w:tcPr>
          <w:p w14:paraId="49F5819F" w14:textId="001F3B4A" w:rsidR="00DA25C1" w:rsidRPr="00674F20" w:rsidRDefault="00DA25C1" w:rsidP="0064265C">
            <w:pPr>
              <w:pStyle w:val="Tabletext9pt"/>
              <w:rPr>
                <w:szCs w:val="18"/>
              </w:rPr>
            </w:pPr>
            <w:r w:rsidRPr="00674F20">
              <w:rPr>
                <w:szCs w:val="18"/>
              </w:rPr>
              <w:t>Communication</w:t>
            </w:r>
            <w:r>
              <w:rPr>
                <w:szCs w:val="18"/>
              </w:rPr>
              <w:t>,</w:t>
            </w:r>
            <w:r w:rsidRPr="00674F20">
              <w:rPr>
                <w:szCs w:val="18"/>
              </w:rPr>
              <w:t xml:space="preserve"> </w:t>
            </w:r>
            <w:r>
              <w:rPr>
                <w:szCs w:val="18"/>
              </w:rPr>
              <w:t>i</w:t>
            </w:r>
            <w:r w:rsidRPr="00674F20">
              <w:rPr>
                <w:szCs w:val="18"/>
              </w:rPr>
              <w:t>nformation,</w:t>
            </w:r>
            <w:r>
              <w:rPr>
                <w:szCs w:val="18"/>
              </w:rPr>
              <w:t xml:space="preserve"> and</w:t>
            </w:r>
            <w:r w:rsidRPr="00674F20">
              <w:rPr>
                <w:szCs w:val="18"/>
              </w:rPr>
              <w:t xml:space="preserve"> </w:t>
            </w:r>
            <w:r>
              <w:rPr>
                <w:szCs w:val="18"/>
              </w:rPr>
              <w:t>a</w:t>
            </w:r>
            <w:r w:rsidRPr="00674F20">
              <w:rPr>
                <w:szCs w:val="18"/>
              </w:rPr>
              <w:t>dvice</w:t>
            </w:r>
          </w:p>
        </w:tc>
        <w:tc>
          <w:tcPr>
            <w:tcW w:w="4678" w:type="dxa"/>
          </w:tcPr>
          <w:p w14:paraId="6A7A9683" w14:textId="77777777" w:rsidR="00DA25C1" w:rsidRPr="00674F20" w:rsidRDefault="00DA25C1" w:rsidP="0064265C">
            <w:pPr>
              <w:pStyle w:val="Tabletext9pt"/>
              <w:rPr>
                <w:szCs w:val="18"/>
              </w:rPr>
            </w:pPr>
            <w:r w:rsidRPr="00674F20">
              <w:rPr>
                <w:szCs w:val="18"/>
              </w:rPr>
              <w:t>To communicate information, via one or more media, to members of the public or other specific external people and groups.</w:t>
            </w:r>
          </w:p>
        </w:tc>
      </w:tr>
      <w:tr w:rsidR="00FC7AB6" w:rsidRPr="004E0550" w14:paraId="4E4D09D8" w14:textId="77777777" w:rsidTr="00685B35">
        <w:tc>
          <w:tcPr>
            <w:tcW w:w="909" w:type="dxa"/>
          </w:tcPr>
          <w:p w14:paraId="282E10D9" w14:textId="77777777" w:rsidR="00DA25C1" w:rsidRPr="00674F20" w:rsidRDefault="00DA25C1" w:rsidP="0064265C">
            <w:pPr>
              <w:pStyle w:val="Tabletext9pt"/>
              <w:rPr>
                <w:color w:val="000000"/>
                <w:szCs w:val="18"/>
              </w:rPr>
            </w:pPr>
            <w:r w:rsidRPr="00674F20">
              <w:rPr>
                <w:color w:val="000000"/>
                <w:szCs w:val="18"/>
              </w:rPr>
              <w:t>16308</w:t>
            </w:r>
          </w:p>
        </w:tc>
        <w:tc>
          <w:tcPr>
            <w:tcW w:w="4261" w:type="dxa"/>
          </w:tcPr>
          <w:p w14:paraId="0A493019" w14:textId="77777777" w:rsidR="00DA25C1" w:rsidRPr="00674F20" w:rsidRDefault="00DA25C1" w:rsidP="0064265C">
            <w:pPr>
              <w:pStyle w:val="Tabletext9pt"/>
              <w:rPr>
                <w:color w:val="000000"/>
                <w:szCs w:val="18"/>
              </w:rPr>
            </w:pPr>
            <w:r w:rsidRPr="00674F20">
              <w:rPr>
                <w:color w:val="000000"/>
                <w:szCs w:val="18"/>
              </w:rPr>
              <w:t>Injury prevention</w:t>
            </w:r>
          </w:p>
        </w:tc>
        <w:tc>
          <w:tcPr>
            <w:tcW w:w="4678" w:type="dxa"/>
          </w:tcPr>
          <w:p w14:paraId="34C6EBB3" w14:textId="77777777" w:rsidR="00DA25C1" w:rsidRPr="00674F20" w:rsidRDefault="00DA25C1" w:rsidP="0064265C">
            <w:pPr>
              <w:pStyle w:val="Tabletext9pt"/>
              <w:rPr>
                <w:color w:val="000000"/>
                <w:szCs w:val="18"/>
              </w:rPr>
            </w:pPr>
            <w:r w:rsidRPr="00674F20">
              <w:rPr>
                <w:color w:val="000000"/>
                <w:szCs w:val="18"/>
              </w:rPr>
              <w:t>To undertake the design, management and evaluation of projects aimed at fostering best practice in injury prevention program planning and delivery.</w:t>
            </w:r>
          </w:p>
        </w:tc>
      </w:tr>
      <w:tr w:rsidR="00FC7AB6" w:rsidRPr="004E0550" w14:paraId="4E05D992" w14:textId="77777777" w:rsidTr="00685B35">
        <w:tc>
          <w:tcPr>
            <w:tcW w:w="909" w:type="dxa"/>
          </w:tcPr>
          <w:p w14:paraId="2C861A6F" w14:textId="77777777" w:rsidR="00DA25C1" w:rsidRPr="00674F20" w:rsidRDefault="00DA25C1" w:rsidP="0064265C">
            <w:pPr>
              <w:pStyle w:val="Tabletext9pt"/>
              <w:rPr>
                <w:color w:val="000000"/>
                <w:szCs w:val="18"/>
              </w:rPr>
            </w:pPr>
            <w:r w:rsidRPr="00674F20">
              <w:rPr>
                <w:color w:val="000000"/>
                <w:szCs w:val="18"/>
              </w:rPr>
              <w:t>16348</w:t>
            </w:r>
          </w:p>
        </w:tc>
        <w:tc>
          <w:tcPr>
            <w:tcW w:w="4261" w:type="dxa"/>
          </w:tcPr>
          <w:p w14:paraId="2FB0D450" w14:textId="77777777" w:rsidR="00DA25C1" w:rsidRPr="00674F20" w:rsidRDefault="00DA25C1" w:rsidP="0064265C">
            <w:pPr>
              <w:pStyle w:val="Tabletext9pt"/>
              <w:rPr>
                <w:color w:val="000000"/>
                <w:szCs w:val="18"/>
              </w:rPr>
            </w:pPr>
            <w:r w:rsidRPr="00674F20">
              <w:rPr>
                <w:color w:val="000000"/>
                <w:szCs w:val="18"/>
              </w:rPr>
              <w:t>Children’s obesity</w:t>
            </w:r>
          </w:p>
        </w:tc>
        <w:tc>
          <w:tcPr>
            <w:tcW w:w="4678" w:type="dxa"/>
          </w:tcPr>
          <w:p w14:paraId="2DCDDF8C" w14:textId="77777777" w:rsidR="00DA25C1" w:rsidRPr="00674F20" w:rsidRDefault="00DA25C1" w:rsidP="0064265C">
            <w:pPr>
              <w:pStyle w:val="Tabletext9pt"/>
              <w:rPr>
                <w:color w:val="000000"/>
                <w:szCs w:val="18"/>
              </w:rPr>
            </w:pPr>
            <w:r w:rsidRPr="00674F20">
              <w:rPr>
                <w:color w:val="000000"/>
                <w:szCs w:val="18"/>
              </w:rPr>
              <w:t>To implement initiatives to increase healthy eating and physical activity among children.</w:t>
            </w:r>
          </w:p>
        </w:tc>
      </w:tr>
      <w:tr w:rsidR="00FC7AB6" w:rsidRPr="004E0550" w14:paraId="03D2A262" w14:textId="77777777" w:rsidTr="00685B35">
        <w:tc>
          <w:tcPr>
            <w:tcW w:w="909" w:type="dxa"/>
          </w:tcPr>
          <w:p w14:paraId="1B1766B0" w14:textId="77777777" w:rsidR="00DA25C1" w:rsidRPr="00674F20" w:rsidRDefault="00DA25C1" w:rsidP="0064265C">
            <w:pPr>
              <w:pStyle w:val="Tabletext9pt"/>
              <w:rPr>
                <w:color w:val="000000"/>
                <w:szCs w:val="18"/>
              </w:rPr>
            </w:pPr>
            <w:r w:rsidRPr="00674F20">
              <w:rPr>
                <w:color w:val="000000"/>
                <w:szCs w:val="18"/>
              </w:rPr>
              <w:t>16349</w:t>
            </w:r>
          </w:p>
        </w:tc>
        <w:tc>
          <w:tcPr>
            <w:tcW w:w="4261" w:type="dxa"/>
          </w:tcPr>
          <w:p w14:paraId="6BCB1F2A" w14:textId="77777777" w:rsidR="00DA25C1" w:rsidRPr="00674F20" w:rsidRDefault="00DA25C1" w:rsidP="0064265C">
            <w:pPr>
              <w:pStyle w:val="Tabletext9pt"/>
              <w:rPr>
                <w:color w:val="000000"/>
                <w:szCs w:val="18"/>
              </w:rPr>
            </w:pPr>
            <w:r w:rsidRPr="00674F20">
              <w:rPr>
                <w:color w:val="000000"/>
                <w:szCs w:val="18"/>
              </w:rPr>
              <w:t>Obesity</w:t>
            </w:r>
            <w:r w:rsidRPr="00674F20">
              <w:rPr>
                <w:szCs w:val="18"/>
                <w:lang w:eastAsia="en-AU"/>
              </w:rPr>
              <w:t xml:space="preserve"> – </w:t>
            </w:r>
            <w:r w:rsidRPr="00674F20">
              <w:rPr>
                <w:color w:val="000000"/>
                <w:szCs w:val="18"/>
              </w:rPr>
              <w:t>community projects</w:t>
            </w:r>
          </w:p>
        </w:tc>
        <w:tc>
          <w:tcPr>
            <w:tcW w:w="4678" w:type="dxa"/>
          </w:tcPr>
          <w:p w14:paraId="6A77750F" w14:textId="77777777" w:rsidR="00DA25C1" w:rsidRPr="00674F20" w:rsidRDefault="00DA25C1" w:rsidP="0064265C">
            <w:pPr>
              <w:pStyle w:val="Tabletext9pt"/>
              <w:rPr>
                <w:color w:val="000000"/>
                <w:szCs w:val="18"/>
              </w:rPr>
            </w:pPr>
            <w:r w:rsidRPr="00674F20">
              <w:rPr>
                <w:color w:val="000000"/>
                <w:szCs w:val="18"/>
              </w:rPr>
              <w:t xml:space="preserve">To implement obesity prevention </w:t>
            </w:r>
            <w:r>
              <w:rPr>
                <w:color w:val="000000"/>
                <w:szCs w:val="18"/>
              </w:rPr>
              <w:t xml:space="preserve">place-based </w:t>
            </w:r>
            <w:r w:rsidRPr="00674F20">
              <w:rPr>
                <w:color w:val="000000"/>
                <w:szCs w:val="18"/>
              </w:rPr>
              <w:t>initiatives in a community and develop activities to increase healthy eating and physical activity.</w:t>
            </w:r>
          </w:p>
        </w:tc>
      </w:tr>
      <w:tr w:rsidR="00FC7AB6" w:rsidRPr="004E0550" w14:paraId="44135D7C" w14:textId="77777777" w:rsidTr="00685B35">
        <w:tc>
          <w:tcPr>
            <w:tcW w:w="909" w:type="dxa"/>
          </w:tcPr>
          <w:p w14:paraId="6702FF2A" w14:textId="77777777" w:rsidR="00DA25C1" w:rsidRPr="00674F20" w:rsidRDefault="00DA25C1" w:rsidP="0064265C">
            <w:pPr>
              <w:pStyle w:val="Tabletext9pt"/>
              <w:rPr>
                <w:color w:val="000000"/>
                <w:szCs w:val="18"/>
              </w:rPr>
            </w:pPr>
            <w:r w:rsidRPr="00674F20">
              <w:rPr>
                <w:color w:val="000000"/>
                <w:szCs w:val="18"/>
              </w:rPr>
              <w:t>16449</w:t>
            </w:r>
          </w:p>
        </w:tc>
        <w:tc>
          <w:tcPr>
            <w:tcW w:w="4261" w:type="dxa"/>
          </w:tcPr>
          <w:p w14:paraId="7903E4F1" w14:textId="12304E5D" w:rsidR="00DA25C1" w:rsidRPr="00674F20" w:rsidRDefault="00DA25C1" w:rsidP="0064265C">
            <w:pPr>
              <w:pStyle w:val="Tabletext9pt"/>
              <w:rPr>
                <w:color w:val="000000"/>
              </w:rPr>
            </w:pPr>
            <w:r w:rsidRPr="11B019B1">
              <w:rPr>
                <w:color w:val="000000" w:themeColor="text1"/>
              </w:rPr>
              <w:t>Smoking</w:t>
            </w:r>
            <w:r w:rsidR="00E313BE" w:rsidRPr="11B019B1">
              <w:rPr>
                <w:color w:val="000000" w:themeColor="text1"/>
              </w:rPr>
              <w:t>/vaping</w:t>
            </w:r>
            <w:r w:rsidRPr="11B019B1">
              <w:rPr>
                <w:color w:val="000000" w:themeColor="text1"/>
              </w:rPr>
              <w:t xml:space="preserve"> information</w:t>
            </w:r>
            <w:r w:rsidRPr="11B019B1">
              <w:rPr>
                <w:lang w:eastAsia="en-AU"/>
              </w:rPr>
              <w:t xml:space="preserve"> – </w:t>
            </w:r>
            <w:r w:rsidRPr="11B019B1">
              <w:rPr>
                <w:color w:val="000000" w:themeColor="text1"/>
              </w:rPr>
              <w:t>advice and interventions</w:t>
            </w:r>
          </w:p>
        </w:tc>
        <w:tc>
          <w:tcPr>
            <w:tcW w:w="4678" w:type="dxa"/>
          </w:tcPr>
          <w:p w14:paraId="2572E6F7" w14:textId="2F104EF2" w:rsidR="00DA25C1" w:rsidRPr="00674F20" w:rsidRDefault="00DA25C1" w:rsidP="4C4A7851">
            <w:pPr>
              <w:pStyle w:val="Tabletext9pt"/>
              <w:rPr>
                <w:color w:val="000000"/>
              </w:rPr>
            </w:pPr>
            <w:r w:rsidRPr="4C4A7851">
              <w:rPr>
                <w:color w:val="000000" w:themeColor="text1"/>
              </w:rPr>
              <w:t xml:space="preserve">To provide smoking </w:t>
            </w:r>
            <w:r w:rsidR="00B10167" w:rsidRPr="4C4A7851">
              <w:rPr>
                <w:color w:val="000000" w:themeColor="text1"/>
              </w:rPr>
              <w:t>and vaping</w:t>
            </w:r>
            <w:r w:rsidRPr="4C4A7851">
              <w:rPr>
                <w:color w:val="000000" w:themeColor="text1"/>
              </w:rPr>
              <w:t xml:space="preserve"> cessation advice/support and to educate the community and stakeholders about tobacco</w:t>
            </w:r>
            <w:r w:rsidR="4DE07484" w:rsidRPr="4C4A7851">
              <w:rPr>
                <w:color w:val="000000" w:themeColor="text1"/>
              </w:rPr>
              <w:t>, e-cigarettes</w:t>
            </w:r>
            <w:r w:rsidRPr="4C4A7851">
              <w:rPr>
                <w:color w:val="000000" w:themeColor="text1"/>
              </w:rPr>
              <w:t xml:space="preserve"> and smoking</w:t>
            </w:r>
            <w:r w:rsidR="5ADA4CD8" w:rsidRPr="4C4A7851">
              <w:rPr>
                <w:color w:val="000000" w:themeColor="text1"/>
              </w:rPr>
              <w:t>/vaping</w:t>
            </w:r>
            <w:r w:rsidRPr="4C4A7851">
              <w:rPr>
                <w:color w:val="000000" w:themeColor="text1"/>
              </w:rPr>
              <w:t xml:space="preserve">-related legislative requirements and to enforce the </w:t>
            </w:r>
            <w:r w:rsidRPr="4C4A7851">
              <w:rPr>
                <w:rStyle w:val="Emphasis"/>
              </w:rPr>
              <w:t>Tobacco Act 1987</w:t>
            </w:r>
            <w:r w:rsidRPr="4C4A7851">
              <w:rPr>
                <w:color w:val="000000" w:themeColor="text1"/>
              </w:rPr>
              <w:t>.</w:t>
            </w:r>
          </w:p>
        </w:tc>
      </w:tr>
      <w:tr w:rsidR="00FC7AB6" w:rsidRPr="004E0550" w14:paraId="2A78A0D6" w14:textId="77777777" w:rsidTr="00685B35">
        <w:tc>
          <w:tcPr>
            <w:tcW w:w="909" w:type="dxa"/>
          </w:tcPr>
          <w:p w14:paraId="3FB70910" w14:textId="77777777" w:rsidR="00DA25C1" w:rsidRPr="00674F20" w:rsidRDefault="00DA25C1" w:rsidP="0064265C">
            <w:pPr>
              <w:pStyle w:val="Tabletext9pt"/>
              <w:rPr>
                <w:color w:val="000000"/>
              </w:rPr>
            </w:pPr>
            <w:r w:rsidRPr="72967CCD">
              <w:rPr>
                <w:color w:val="000000" w:themeColor="text1"/>
              </w:rPr>
              <w:t>16450</w:t>
            </w:r>
          </w:p>
        </w:tc>
        <w:tc>
          <w:tcPr>
            <w:tcW w:w="4261" w:type="dxa"/>
          </w:tcPr>
          <w:p w14:paraId="6BE37F54" w14:textId="15912811" w:rsidR="00DA25C1" w:rsidRPr="00674F20" w:rsidRDefault="00DA25C1" w:rsidP="0064265C">
            <w:pPr>
              <w:pStyle w:val="Tabletext9pt"/>
              <w:rPr>
                <w:color w:val="000000"/>
              </w:rPr>
            </w:pPr>
            <w:r w:rsidRPr="72967CCD">
              <w:rPr>
                <w:color w:val="000000" w:themeColor="text1"/>
              </w:rPr>
              <w:t>Diabetes prevention</w:t>
            </w:r>
          </w:p>
        </w:tc>
        <w:tc>
          <w:tcPr>
            <w:tcW w:w="4678" w:type="dxa"/>
          </w:tcPr>
          <w:p w14:paraId="1198B586" w14:textId="77777777" w:rsidR="00DA25C1" w:rsidRPr="00674F20" w:rsidRDefault="00DA25C1" w:rsidP="0064265C">
            <w:pPr>
              <w:pStyle w:val="Tabletext9pt"/>
              <w:rPr>
                <w:color w:val="000000"/>
                <w:szCs w:val="18"/>
              </w:rPr>
            </w:pPr>
            <w:r w:rsidRPr="0049731B">
              <w:rPr>
                <w:color w:val="000000"/>
                <w:szCs w:val="18"/>
              </w:rPr>
              <w:t>To undertake</w:t>
            </w:r>
            <w:r>
              <w:rPr>
                <w:color w:val="000000"/>
                <w:szCs w:val="18"/>
              </w:rPr>
              <w:t xml:space="preserve"> primary and secondary prevention</w:t>
            </w:r>
            <w:r w:rsidRPr="0049731B">
              <w:rPr>
                <w:color w:val="000000"/>
                <w:szCs w:val="18"/>
              </w:rPr>
              <w:t xml:space="preserve"> initiatives aimed at </w:t>
            </w:r>
            <w:r>
              <w:rPr>
                <w:color w:val="000000"/>
                <w:szCs w:val="18"/>
              </w:rPr>
              <w:t>reducing</w:t>
            </w:r>
            <w:r w:rsidRPr="0049731B">
              <w:rPr>
                <w:color w:val="000000"/>
                <w:szCs w:val="18"/>
              </w:rPr>
              <w:t xml:space="preserve"> the number of people in the Victorian community </w:t>
            </w:r>
            <w:r>
              <w:rPr>
                <w:color w:val="000000"/>
                <w:szCs w:val="18"/>
              </w:rPr>
              <w:t>developing</w:t>
            </w:r>
            <w:r w:rsidRPr="0049731B">
              <w:rPr>
                <w:color w:val="000000"/>
                <w:szCs w:val="18"/>
              </w:rPr>
              <w:t xml:space="preserve"> type 2 diabetes and cardiovascular disease.</w:t>
            </w:r>
          </w:p>
        </w:tc>
      </w:tr>
      <w:tr w:rsidR="00FC7AB6" w:rsidRPr="004E0550" w14:paraId="5ECB73ED" w14:textId="77777777" w:rsidTr="00685B35">
        <w:tc>
          <w:tcPr>
            <w:tcW w:w="909" w:type="dxa"/>
          </w:tcPr>
          <w:p w14:paraId="4DDB165D" w14:textId="77777777" w:rsidR="00DA25C1" w:rsidRPr="00674F20" w:rsidRDefault="00DA25C1" w:rsidP="0064265C">
            <w:pPr>
              <w:pStyle w:val="Tabletext9pt"/>
              <w:rPr>
                <w:szCs w:val="18"/>
              </w:rPr>
            </w:pPr>
            <w:r w:rsidRPr="00674F20">
              <w:rPr>
                <w:szCs w:val="18"/>
              </w:rPr>
              <w:t>16454</w:t>
            </w:r>
          </w:p>
        </w:tc>
        <w:tc>
          <w:tcPr>
            <w:tcW w:w="4261" w:type="dxa"/>
          </w:tcPr>
          <w:p w14:paraId="68F5D509" w14:textId="7D0BC10C" w:rsidR="00DA25C1" w:rsidRPr="00674F20" w:rsidRDefault="00DA25C1" w:rsidP="0064265C">
            <w:pPr>
              <w:pStyle w:val="Tabletext9pt"/>
            </w:pPr>
            <w:r>
              <w:t>Health promotion initiatives</w:t>
            </w:r>
          </w:p>
        </w:tc>
        <w:tc>
          <w:tcPr>
            <w:tcW w:w="4678" w:type="dxa"/>
          </w:tcPr>
          <w:p w14:paraId="39FA9FA6" w14:textId="0ACF8465" w:rsidR="00DA25C1" w:rsidRPr="00674F20" w:rsidRDefault="00DA25C1" w:rsidP="0064265C">
            <w:pPr>
              <w:pStyle w:val="Tabletext9pt"/>
              <w:rPr>
                <w:szCs w:val="18"/>
              </w:rPr>
            </w:pPr>
            <w:r w:rsidRPr="00674F20">
              <w:rPr>
                <w:szCs w:val="18"/>
              </w:rPr>
              <w:t xml:space="preserve">To develop and support programs that prevent illness and promote wellbeing through using a mix of health promotion interventions and capacity-building strategies </w:t>
            </w:r>
            <w:r>
              <w:rPr>
                <w:szCs w:val="18"/>
              </w:rPr>
              <w:t>delivering place-based approaches in Victorian communities</w:t>
            </w:r>
            <w:r w:rsidR="003E6F87">
              <w:rPr>
                <w:szCs w:val="18"/>
              </w:rPr>
              <w:t xml:space="preserve"> - </w:t>
            </w:r>
            <w:r w:rsidR="003E6F87" w:rsidRPr="003E6F87">
              <w:rPr>
                <w:szCs w:val="18"/>
              </w:rPr>
              <w:t>including activity delivered through LPHU catchment plans</w:t>
            </w:r>
          </w:p>
        </w:tc>
      </w:tr>
      <w:tr w:rsidR="00FC7AB6" w:rsidRPr="004E0550" w14:paraId="3AA9D6C4" w14:textId="77777777" w:rsidTr="00685B35">
        <w:tc>
          <w:tcPr>
            <w:tcW w:w="909" w:type="dxa"/>
          </w:tcPr>
          <w:p w14:paraId="1AC43F60" w14:textId="77777777" w:rsidR="00DA25C1" w:rsidRPr="00674F20" w:rsidRDefault="00DA25C1" w:rsidP="0064265C">
            <w:pPr>
              <w:pStyle w:val="Tabletext9pt"/>
              <w:rPr>
                <w:szCs w:val="18"/>
              </w:rPr>
            </w:pPr>
            <w:r w:rsidRPr="00674F20">
              <w:rPr>
                <w:szCs w:val="18"/>
              </w:rPr>
              <w:t>16460</w:t>
            </w:r>
          </w:p>
        </w:tc>
        <w:tc>
          <w:tcPr>
            <w:tcW w:w="4261" w:type="dxa"/>
          </w:tcPr>
          <w:p w14:paraId="75C00C61" w14:textId="2C4D4EB0" w:rsidR="00DA25C1" w:rsidRPr="00674F20" w:rsidRDefault="00DA25C1" w:rsidP="0064265C">
            <w:pPr>
              <w:pStyle w:val="Tabletext9pt"/>
            </w:pPr>
            <w:r>
              <w:t>Targeted recruitment for screening programs</w:t>
            </w:r>
          </w:p>
        </w:tc>
        <w:tc>
          <w:tcPr>
            <w:tcW w:w="4678" w:type="dxa"/>
          </w:tcPr>
          <w:p w14:paraId="63A7E284" w14:textId="77777777" w:rsidR="00DA25C1" w:rsidRPr="00674F20" w:rsidRDefault="00DA25C1" w:rsidP="0064265C">
            <w:pPr>
              <w:pStyle w:val="Tabletext9pt"/>
              <w:rPr>
                <w:szCs w:val="18"/>
              </w:rPr>
            </w:pPr>
            <w:r w:rsidRPr="00674F20">
              <w:rPr>
                <w:szCs w:val="18"/>
              </w:rPr>
              <w:t>To undertake a range of activities aimed at improving participation of under-screened and never-screened people in screening programs.</w:t>
            </w:r>
          </w:p>
        </w:tc>
      </w:tr>
      <w:tr w:rsidR="00FC7AB6" w:rsidRPr="004E0550" w14:paraId="512FFA42" w14:textId="77777777" w:rsidTr="00685B35">
        <w:tc>
          <w:tcPr>
            <w:tcW w:w="909" w:type="dxa"/>
          </w:tcPr>
          <w:p w14:paraId="5B37C6E6" w14:textId="77777777" w:rsidR="00DA25C1" w:rsidRPr="00674F20" w:rsidRDefault="00DA25C1" w:rsidP="0064265C">
            <w:pPr>
              <w:pStyle w:val="Tabletext9pt"/>
              <w:rPr>
                <w:szCs w:val="18"/>
              </w:rPr>
            </w:pPr>
            <w:r w:rsidRPr="00674F20">
              <w:rPr>
                <w:szCs w:val="18"/>
              </w:rPr>
              <w:t>16461</w:t>
            </w:r>
          </w:p>
        </w:tc>
        <w:tc>
          <w:tcPr>
            <w:tcW w:w="4261" w:type="dxa"/>
          </w:tcPr>
          <w:p w14:paraId="05D64791" w14:textId="2CD07674" w:rsidR="00DA25C1" w:rsidRPr="00674F20" w:rsidRDefault="00DA25C1" w:rsidP="0064265C">
            <w:pPr>
              <w:pStyle w:val="Tabletext9pt"/>
            </w:pPr>
            <w:r>
              <w:t>ACCO services</w:t>
            </w:r>
            <w:r w:rsidRPr="72967CCD">
              <w:rPr>
                <w:lang w:eastAsia="en-AU"/>
              </w:rPr>
              <w:t xml:space="preserve"> – </w:t>
            </w:r>
            <w:r>
              <w:t>public health</w:t>
            </w:r>
          </w:p>
        </w:tc>
        <w:tc>
          <w:tcPr>
            <w:tcW w:w="4678" w:type="dxa"/>
          </w:tcPr>
          <w:p w14:paraId="08842945" w14:textId="77777777" w:rsidR="00DA25C1" w:rsidRPr="00674F20" w:rsidRDefault="00DA25C1" w:rsidP="0064265C">
            <w:pPr>
              <w:pStyle w:val="Tabletext9pt"/>
              <w:rPr>
                <w:szCs w:val="18"/>
              </w:rPr>
            </w:pPr>
            <w:r w:rsidRPr="00674F20">
              <w:rPr>
                <w:szCs w:val="18"/>
              </w:rPr>
              <w:t>Funding for those public health services provided by Aboriginal community-controlled organisations.</w:t>
            </w:r>
          </w:p>
        </w:tc>
      </w:tr>
      <w:tr w:rsidR="00FC7AB6" w:rsidRPr="004E0550" w14:paraId="78514C07" w14:textId="77777777" w:rsidTr="00685B35">
        <w:tc>
          <w:tcPr>
            <w:tcW w:w="909" w:type="dxa"/>
            <w:shd w:val="clear" w:color="auto" w:fill="auto"/>
          </w:tcPr>
          <w:p w14:paraId="233FA1DB" w14:textId="77CC2EA9" w:rsidR="00DA25C1" w:rsidRPr="00674F20" w:rsidRDefault="00DA25C1" w:rsidP="00FE3E5D">
            <w:pPr>
              <w:pStyle w:val="Tabletext9pt"/>
              <w:rPr>
                <w:szCs w:val="18"/>
              </w:rPr>
            </w:pPr>
            <w:r w:rsidRPr="00674F20">
              <w:rPr>
                <w:szCs w:val="18"/>
              </w:rPr>
              <w:t>16508</w:t>
            </w:r>
          </w:p>
        </w:tc>
        <w:tc>
          <w:tcPr>
            <w:tcW w:w="4261" w:type="dxa"/>
            <w:shd w:val="clear" w:color="auto" w:fill="auto"/>
          </w:tcPr>
          <w:p w14:paraId="5B311896" w14:textId="2E3F7F32" w:rsidR="00DA25C1" w:rsidRPr="00674F20" w:rsidRDefault="00DA25C1" w:rsidP="00FE3E5D">
            <w:pPr>
              <w:pStyle w:val="Tabletext9pt"/>
              <w:rPr>
                <w:szCs w:val="18"/>
              </w:rPr>
            </w:pPr>
            <w:r w:rsidRPr="00674F20">
              <w:rPr>
                <w:szCs w:val="18"/>
              </w:rPr>
              <w:t>BBV and STI – health promotion</w:t>
            </w:r>
            <w:r>
              <w:rPr>
                <w:szCs w:val="18"/>
              </w:rPr>
              <w:t xml:space="preserve"> </w:t>
            </w:r>
          </w:p>
        </w:tc>
        <w:tc>
          <w:tcPr>
            <w:tcW w:w="4678" w:type="dxa"/>
            <w:shd w:val="clear" w:color="auto" w:fill="auto"/>
          </w:tcPr>
          <w:p w14:paraId="05891E05" w14:textId="48ECD5A4" w:rsidR="00DA25C1" w:rsidRPr="00674F20" w:rsidRDefault="00DA25C1" w:rsidP="00FE3E5D">
            <w:pPr>
              <w:pStyle w:val="Tabletext9pt"/>
              <w:rPr>
                <w:szCs w:val="18"/>
              </w:rPr>
            </w:pPr>
            <w:r w:rsidRPr="00674F20">
              <w:rPr>
                <w:szCs w:val="18"/>
              </w:rPr>
              <w:t>To provide for the delivery of BBV/STI health promotion/prevention services to the community or targeted population groups.</w:t>
            </w:r>
          </w:p>
        </w:tc>
      </w:tr>
      <w:tr w:rsidR="00FC7AB6" w:rsidRPr="004E0550" w14:paraId="03EEBD51" w14:textId="77777777" w:rsidTr="00685B35">
        <w:tc>
          <w:tcPr>
            <w:tcW w:w="909" w:type="dxa"/>
            <w:shd w:val="clear" w:color="auto" w:fill="auto"/>
          </w:tcPr>
          <w:p w14:paraId="5D846196" w14:textId="40CCC8B9" w:rsidR="00DA25C1" w:rsidRPr="00674F20" w:rsidRDefault="00DA25C1" w:rsidP="00FE3E5D">
            <w:pPr>
              <w:pStyle w:val="Tabletext9pt"/>
              <w:rPr>
                <w:szCs w:val="18"/>
              </w:rPr>
            </w:pPr>
            <w:r w:rsidRPr="00674F20">
              <w:rPr>
                <w:szCs w:val="18"/>
              </w:rPr>
              <w:t>16509</w:t>
            </w:r>
          </w:p>
        </w:tc>
        <w:tc>
          <w:tcPr>
            <w:tcW w:w="4261" w:type="dxa"/>
            <w:shd w:val="clear" w:color="auto" w:fill="auto"/>
          </w:tcPr>
          <w:p w14:paraId="3AA0AA35" w14:textId="54FF7D53" w:rsidR="00DA25C1" w:rsidRPr="00674F20" w:rsidRDefault="00DA25C1" w:rsidP="00FE3E5D">
            <w:pPr>
              <w:pStyle w:val="Tabletext9pt"/>
            </w:pPr>
            <w:r>
              <w:t xml:space="preserve">BBV and STI – community-based care and support </w:t>
            </w:r>
          </w:p>
        </w:tc>
        <w:tc>
          <w:tcPr>
            <w:tcW w:w="4678" w:type="dxa"/>
            <w:shd w:val="clear" w:color="auto" w:fill="auto"/>
          </w:tcPr>
          <w:p w14:paraId="40AE909D" w14:textId="46F52E32" w:rsidR="00DA25C1" w:rsidRPr="00674F20" w:rsidRDefault="00DA25C1" w:rsidP="00FE3E5D">
            <w:pPr>
              <w:pStyle w:val="Tabletext9pt"/>
              <w:rPr>
                <w:szCs w:val="18"/>
              </w:rPr>
            </w:pPr>
            <w:r w:rsidRPr="00674F20">
              <w:rPr>
                <w:szCs w:val="18"/>
              </w:rPr>
              <w:t>To provide the delivery of community-based care and support to clients, carers, and significant others.</w:t>
            </w:r>
          </w:p>
        </w:tc>
      </w:tr>
      <w:tr w:rsidR="00FC7AB6" w:rsidRPr="004E0550" w14:paraId="778D2C15" w14:textId="77777777" w:rsidTr="00685B35">
        <w:tc>
          <w:tcPr>
            <w:tcW w:w="909" w:type="dxa"/>
            <w:shd w:val="clear" w:color="auto" w:fill="auto"/>
          </w:tcPr>
          <w:p w14:paraId="1CBDB408" w14:textId="46FA0C48" w:rsidR="00DA25C1" w:rsidRPr="00674F20" w:rsidRDefault="00DA25C1" w:rsidP="00FE3E5D">
            <w:pPr>
              <w:pStyle w:val="Tabletext9pt"/>
              <w:rPr>
                <w:szCs w:val="18"/>
              </w:rPr>
            </w:pPr>
            <w:r w:rsidRPr="00B67FDD">
              <w:rPr>
                <w:szCs w:val="18"/>
              </w:rPr>
              <w:t>16513</w:t>
            </w:r>
          </w:p>
        </w:tc>
        <w:tc>
          <w:tcPr>
            <w:tcW w:w="4261" w:type="dxa"/>
            <w:shd w:val="clear" w:color="auto" w:fill="auto"/>
          </w:tcPr>
          <w:p w14:paraId="34B04776" w14:textId="7099704A" w:rsidR="00DA25C1" w:rsidRPr="00674F20" w:rsidRDefault="00DA25C1" w:rsidP="00FE3E5D">
            <w:pPr>
              <w:pStyle w:val="Tabletext9pt"/>
              <w:rPr>
                <w:szCs w:val="18"/>
              </w:rPr>
            </w:pPr>
            <w:r w:rsidRPr="00674F20">
              <w:rPr>
                <w:szCs w:val="18"/>
              </w:rPr>
              <w:t>Screening and preventive messages</w:t>
            </w:r>
            <w:r>
              <w:rPr>
                <w:szCs w:val="18"/>
              </w:rPr>
              <w:t xml:space="preserve"> </w:t>
            </w:r>
          </w:p>
        </w:tc>
        <w:tc>
          <w:tcPr>
            <w:tcW w:w="4678" w:type="dxa"/>
            <w:shd w:val="clear" w:color="auto" w:fill="auto"/>
          </w:tcPr>
          <w:p w14:paraId="69B24851" w14:textId="3BEBC52D" w:rsidR="00DA25C1" w:rsidRPr="00674F20" w:rsidRDefault="00DA25C1" w:rsidP="00FE3E5D">
            <w:pPr>
              <w:pStyle w:val="Tabletext9pt"/>
              <w:rPr>
                <w:szCs w:val="18"/>
              </w:rPr>
            </w:pPr>
            <w:r w:rsidRPr="00674F20">
              <w:rPr>
                <w:szCs w:val="18"/>
              </w:rPr>
              <w:t>To undertake a range of activities within the community aimed at enabling people to make positive decisions about their health and wellbeing.</w:t>
            </w:r>
          </w:p>
        </w:tc>
      </w:tr>
      <w:tr w:rsidR="00FC7AB6" w:rsidRPr="004E0550" w14:paraId="4CE7EFFB" w14:textId="77777777" w:rsidTr="00685B35">
        <w:trPr>
          <w:trHeight w:val="615"/>
        </w:trPr>
        <w:tc>
          <w:tcPr>
            <w:tcW w:w="909" w:type="dxa"/>
            <w:shd w:val="clear" w:color="auto" w:fill="auto"/>
          </w:tcPr>
          <w:p w14:paraId="301533BA" w14:textId="5EF814F5" w:rsidR="00DA25C1" w:rsidRPr="00674F20" w:rsidRDefault="00DA25C1" w:rsidP="00FE3E5D">
            <w:pPr>
              <w:pStyle w:val="Tabletext9pt"/>
              <w:rPr>
                <w:szCs w:val="18"/>
              </w:rPr>
            </w:pPr>
            <w:r w:rsidRPr="00B67FDD">
              <w:rPr>
                <w:szCs w:val="18"/>
              </w:rPr>
              <w:lastRenderedPageBreak/>
              <w:t>16514</w:t>
            </w:r>
          </w:p>
        </w:tc>
        <w:tc>
          <w:tcPr>
            <w:tcW w:w="4261" w:type="dxa"/>
            <w:shd w:val="clear" w:color="auto" w:fill="auto"/>
          </w:tcPr>
          <w:p w14:paraId="386E370B" w14:textId="157F35F5" w:rsidR="00DA25C1" w:rsidRPr="00674F20" w:rsidRDefault="00DA25C1" w:rsidP="00FE3E5D">
            <w:pPr>
              <w:pStyle w:val="Tabletext9pt"/>
              <w:rPr>
                <w:szCs w:val="18"/>
              </w:rPr>
            </w:pPr>
            <w:r w:rsidRPr="00674F20">
              <w:rPr>
                <w:szCs w:val="18"/>
              </w:rPr>
              <w:t>Screening service development</w:t>
            </w:r>
            <w:r>
              <w:rPr>
                <w:szCs w:val="18"/>
              </w:rPr>
              <w:t xml:space="preserve"> </w:t>
            </w:r>
          </w:p>
        </w:tc>
        <w:tc>
          <w:tcPr>
            <w:tcW w:w="4678" w:type="dxa"/>
            <w:shd w:val="clear" w:color="auto" w:fill="auto"/>
          </w:tcPr>
          <w:p w14:paraId="77427DFB" w14:textId="7D141D60" w:rsidR="00DA25C1" w:rsidRPr="00674F20" w:rsidRDefault="00DA25C1" w:rsidP="00FE3E5D">
            <w:pPr>
              <w:pStyle w:val="Tabletext9pt"/>
              <w:rPr>
                <w:szCs w:val="18"/>
              </w:rPr>
            </w:pPr>
            <w:r w:rsidRPr="00674F20">
              <w:rPr>
                <w:szCs w:val="18"/>
              </w:rPr>
              <w:t>To undertake specific activities to improve service delivery, capacity, and program effectiveness.</w:t>
            </w:r>
          </w:p>
        </w:tc>
      </w:tr>
      <w:tr w:rsidR="00FC7AB6" w:rsidRPr="004E0550" w14:paraId="7088BE0C" w14:textId="77777777" w:rsidTr="00685B35">
        <w:trPr>
          <w:trHeight w:val="742"/>
        </w:trPr>
        <w:tc>
          <w:tcPr>
            <w:tcW w:w="909" w:type="dxa"/>
            <w:shd w:val="clear" w:color="auto" w:fill="auto"/>
          </w:tcPr>
          <w:p w14:paraId="24E4289B" w14:textId="07B7EF61" w:rsidR="00DA25C1" w:rsidRPr="00674F20" w:rsidRDefault="00DA25C1" w:rsidP="00FE3E5D">
            <w:pPr>
              <w:pStyle w:val="Tabletext9pt"/>
              <w:rPr>
                <w:szCs w:val="18"/>
              </w:rPr>
            </w:pPr>
            <w:r w:rsidRPr="00B67FDD">
              <w:rPr>
                <w:szCs w:val="18"/>
              </w:rPr>
              <w:t>16515</w:t>
            </w:r>
          </w:p>
        </w:tc>
        <w:tc>
          <w:tcPr>
            <w:tcW w:w="4261" w:type="dxa"/>
            <w:shd w:val="clear" w:color="auto" w:fill="auto"/>
          </w:tcPr>
          <w:p w14:paraId="5FF69301" w14:textId="4C45AB2E" w:rsidR="00DA25C1" w:rsidRPr="00674F20" w:rsidRDefault="00DA25C1" w:rsidP="00FE3E5D">
            <w:pPr>
              <w:pStyle w:val="Tabletext9pt"/>
              <w:rPr>
                <w:szCs w:val="18"/>
              </w:rPr>
            </w:pPr>
            <w:r w:rsidRPr="00674F20">
              <w:rPr>
                <w:szCs w:val="18"/>
              </w:rPr>
              <w:t>Education and training in screening programs</w:t>
            </w:r>
            <w:r>
              <w:rPr>
                <w:szCs w:val="18"/>
              </w:rPr>
              <w:t xml:space="preserve"> </w:t>
            </w:r>
          </w:p>
        </w:tc>
        <w:tc>
          <w:tcPr>
            <w:tcW w:w="4678" w:type="dxa"/>
            <w:shd w:val="clear" w:color="auto" w:fill="auto"/>
          </w:tcPr>
          <w:p w14:paraId="11727F42" w14:textId="2990BFA3" w:rsidR="00DA25C1" w:rsidRPr="00674F20" w:rsidRDefault="00DA25C1" w:rsidP="00FE3E5D">
            <w:pPr>
              <w:pStyle w:val="Tabletext9pt"/>
              <w:rPr>
                <w:szCs w:val="18"/>
              </w:rPr>
            </w:pPr>
            <w:r w:rsidRPr="00674F20">
              <w:rPr>
                <w:szCs w:val="18"/>
              </w:rPr>
              <w:t xml:space="preserve">To undertake a range of education and training activities with program stakeholders to support and </w:t>
            </w:r>
            <w:r w:rsidRPr="00FD40FF">
              <w:rPr>
                <w:szCs w:val="18"/>
              </w:rPr>
              <w:t xml:space="preserve">enhance </w:t>
            </w:r>
            <w:r>
              <w:rPr>
                <w:szCs w:val="18"/>
              </w:rPr>
              <w:t xml:space="preserve">the </w:t>
            </w:r>
            <w:r w:rsidRPr="00FD40FF">
              <w:rPr>
                <w:szCs w:val="18"/>
              </w:rPr>
              <w:t>delivery of organised</w:t>
            </w:r>
            <w:r w:rsidRPr="00674F20">
              <w:rPr>
                <w:szCs w:val="18"/>
              </w:rPr>
              <w:t xml:space="preserve"> screening programs.</w:t>
            </w:r>
          </w:p>
        </w:tc>
      </w:tr>
      <w:tr w:rsidR="00FC7AB6" w:rsidRPr="004E0550" w14:paraId="052B64A1" w14:textId="77777777" w:rsidTr="00685B35">
        <w:tc>
          <w:tcPr>
            <w:tcW w:w="909" w:type="dxa"/>
            <w:shd w:val="clear" w:color="auto" w:fill="auto"/>
          </w:tcPr>
          <w:p w14:paraId="6EAB22CD" w14:textId="5008EA72" w:rsidR="00DA25C1" w:rsidRPr="00674F20" w:rsidRDefault="00DA25C1" w:rsidP="00FE3E5D">
            <w:pPr>
              <w:pStyle w:val="Tabletext9pt"/>
              <w:rPr>
                <w:szCs w:val="18"/>
              </w:rPr>
            </w:pPr>
            <w:r w:rsidRPr="00B67FDD">
              <w:rPr>
                <w:szCs w:val="18"/>
              </w:rPr>
              <w:t>16519</w:t>
            </w:r>
          </w:p>
        </w:tc>
        <w:tc>
          <w:tcPr>
            <w:tcW w:w="4261" w:type="dxa"/>
            <w:shd w:val="clear" w:color="auto" w:fill="auto"/>
          </w:tcPr>
          <w:p w14:paraId="3662F3CE" w14:textId="46CD57E3" w:rsidR="00DA25C1" w:rsidRPr="00674F20" w:rsidRDefault="00DA25C1" w:rsidP="00FE3E5D">
            <w:pPr>
              <w:pStyle w:val="Tabletext9pt"/>
            </w:pPr>
            <w:r>
              <w:t xml:space="preserve">Screening tests and assessments </w:t>
            </w:r>
          </w:p>
        </w:tc>
        <w:tc>
          <w:tcPr>
            <w:tcW w:w="4678" w:type="dxa"/>
            <w:shd w:val="clear" w:color="auto" w:fill="auto"/>
          </w:tcPr>
          <w:p w14:paraId="0D2FFDE1" w14:textId="66B3CD7C" w:rsidR="00DA25C1" w:rsidRPr="00674F20" w:rsidRDefault="00DA25C1" w:rsidP="00FE3E5D">
            <w:pPr>
              <w:pStyle w:val="Tabletext9pt"/>
              <w:rPr>
                <w:szCs w:val="18"/>
              </w:rPr>
            </w:pPr>
            <w:r w:rsidRPr="00674F20">
              <w:rPr>
                <w:szCs w:val="18"/>
              </w:rPr>
              <w:t>To provide screening tests and assessments to the target population of an organised screening program.</w:t>
            </w:r>
          </w:p>
        </w:tc>
      </w:tr>
    </w:tbl>
    <w:p w14:paraId="3DEBF8DA" w14:textId="07EBCBE1" w:rsidR="00DA25C1" w:rsidRPr="00CA1B3E" w:rsidRDefault="00DA25C1" w:rsidP="00FC00E9">
      <w:pPr>
        <w:pStyle w:val="Bodyaftertablefigure"/>
      </w:pPr>
      <w:bookmarkStart w:id="967" w:name="_Toc487742053"/>
      <w:bookmarkStart w:id="968" w:name="_Toc14172284"/>
      <w:bookmarkStart w:id="969" w:name="_Toc55381148"/>
      <w:bookmarkStart w:id="970" w:name="_Ref77755748"/>
      <w:bookmarkStart w:id="971" w:name="_Ref77755771"/>
      <w:bookmarkStart w:id="972" w:name="_Toc100263355"/>
      <w:bookmarkStart w:id="973" w:name="_Toc55381157"/>
      <w:bookmarkStart w:id="974" w:name="_Toc486151653"/>
      <w:bookmarkStart w:id="975" w:name="_Toc12780585"/>
      <w:bookmarkStart w:id="976" w:name="_Toc487742063"/>
      <w:bookmarkEnd w:id="958"/>
      <w:bookmarkEnd w:id="959"/>
      <w:bookmarkEnd w:id="960"/>
      <w:bookmarkEnd w:id="961"/>
      <w:r>
        <w:t xml:space="preserve">Output name: Health </w:t>
      </w:r>
      <w:r w:rsidR="000C5322">
        <w:t>protection</w:t>
      </w:r>
    </w:p>
    <w:tbl>
      <w:tblPr>
        <w:tblStyle w:val="TableGrid1"/>
        <w:tblW w:w="9351" w:type="dxa"/>
        <w:tblLook w:val="04A0" w:firstRow="1" w:lastRow="0" w:firstColumn="1" w:lastColumn="0" w:noHBand="0" w:noVBand="1"/>
      </w:tblPr>
      <w:tblGrid>
        <w:gridCol w:w="2122"/>
        <w:gridCol w:w="2551"/>
        <w:gridCol w:w="4678"/>
      </w:tblGrid>
      <w:tr w:rsidR="00594560" w:rsidRPr="0090298C" w14:paraId="189B33D8"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0" w:type="dxa"/>
            <w:shd w:val="clear" w:color="auto" w:fill="auto"/>
          </w:tcPr>
          <w:p w14:paraId="4F199F52" w14:textId="77777777" w:rsidR="00594560" w:rsidRPr="00674F20" w:rsidRDefault="00594560" w:rsidP="00685B35">
            <w:pPr>
              <w:pStyle w:val="Tablecolhead"/>
              <w:rPr>
                <w:szCs w:val="18"/>
                <w:lang w:eastAsia="en-AU"/>
              </w:rPr>
            </w:pPr>
            <w:r w:rsidRPr="00D0520C">
              <w:rPr>
                <w:lang w:eastAsia="en-AU"/>
              </w:rPr>
              <w:t>Activity no.</w:t>
            </w:r>
          </w:p>
        </w:tc>
        <w:tc>
          <w:tcPr>
            <w:tcW w:w="0" w:type="dxa"/>
            <w:shd w:val="clear" w:color="auto" w:fill="auto"/>
          </w:tcPr>
          <w:p w14:paraId="2501DD57" w14:textId="77777777" w:rsidR="00594560" w:rsidRPr="00674F20" w:rsidRDefault="00594560" w:rsidP="00685B35">
            <w:pPr>
              <w:pStyle w:val="Tablecolhead"/>
              <w:rPr>
                <w:szCs w:val="18"/>
                <w:lang w:eastAsia="en-AU"/>
              </w:rPr>
            </w:pPr>
            <w:r w:rsidRPr="00D0520C">
              <w:rPr>
                <w:lang w:eastAsia="en-AU"/>
              </w:rPr>
              <w:t>Activity name</w:t>
            </w:r>
          </w:p>
        </w:tc>
        <w:tc>
          <w:tcPr>
            <w:tcW w:w="0" w:type="dxa"/>
            <w:shd w:val="clear" w:color="auto" w:fill="auto"/>
          </w:tcPr>
          <w:p w14:paraId="53951032" w14:textId="77777777" w:rsidR="00594560" w:rsidRPr="00674F20" w:rsidRDefault="00594560" w:rsidP="00685B35">
            <w:pPr>
              <w:pStyle w:val="Tablecolhead"/>
              <w:rPr>
                <w:szCs w:val="18"/>
                <w:lang w:eastAsia="en-AU"/>
              </w:rPr>
            </w:pPr>
            <w:r w:rsidRPr="00D0520C">
              <w:rPr>
                <w:lang w:eastAsia="en-AU"/>
              </w:rPr>
              <w:t>Activity description</w:t>
            </w:r>
          </w:p>
        </w:tc>
      </w:tr>
      <w:tr w:rsidR="00594560" w:rsidRPr="00674F20" w14:paraId="1ED23ABD" w14:textId="77777777" w:rsidTr="002F5FA3">
        <w:tblPrEx>
          <w:tblLook w:val="06A0" w:firstRow="1" w:lastRow="0" w:firstColumn="1" w:lastColumn="0" w:noHBand="1" w:noVBand="1"/>
        </w:tblPrEx>
        <w:tc>
          <w:tcPr>
            <w:tcW w:w="2122" w:type="dxa"/>
          </w:tcPr>
          <w:p w14:paraId="6B463844" w14:textId="77777777" w:rsidR="00594560" w:rsidRPr="00674F20" w:rsidRDefault="00594560" w:rsidP="00C26ED4">
            <w:pPr>
              <w:pStyle w:val="Tabletext9pt"/>
              <w:rPr>
                <w:szCs w:val="18"/>
              </w:rPr>
            </w:pPr>
            <w:r w:rsidRPr="00674F20">
              <w:rPr>
                <w:szCs w:val="18"/>
              </w:rPr>
              <w:t>16037</w:t>
            </w:r>
          </w:p>
        </w:tc>
        <w:tc>
          <w:tcPr>
            <w:tcW w:w="2551" w:type="dxa"/>
          </w:tcPr>
          <w:p w14:paraId="7FE97499" w14:textId="77777777" w:rsidR="00594560" w:rsidRPr="00674F20" w:rsidRDefault="00594560" w:rsidP="00C26ED4">
            <w:pPr>
              <w:pStyle w:val="Tabletext9pt"/>
              <w:rPr>
                <w:szCs w:val="18"/>
              </w:rPr>
            </w:pPr>
            <w:r w:rsidRPr="00674F20">
              <w:rPr>
                <w:szCs w:val="18"/>
              </w:rPr>
              <w:t>Immunisation education</w:t>
            </w:r>
          </w:p>
        </w:tc>
        <w:tc>
          <w:tcPr>
            <w:tcW w:w="4678" w:type="dxa"/>
          </w:tcPr>
          <w:p w14:paraId="3A2B0100" w14:textId="77777777" w:rsidR="00594560" w:rsidRPr="00674F20" w:rsidRDefault="00594560" w:rsidP="00C26ED4">
            <w:pPr>
              <w:pStyle w:val="Tabletext9pt"/>
              <w:rPr>
                <w:szCs w:val="18"/>
              </w:rPr>
            </w:pPr>
            <w:r w:rsidRPr="00674F20">
              <w:rPr>
                <w:szCs w:val="18"/>
              </w:rPr>
              <w:t>To provide educational and promotional resources and programs for immunisation providers as well as parents, adolescents, and older people.</w:t>
            </w:r>
          </w:p>
        </w:tc>
      </w:tr>
      <w:tr w:rsidR="00594560" w:rsidRPr="00674F20" w14:paraId="5B98AD7A" w14:textId="77777777" w:rsidTr="002F5FA3">
        <w:tblPrEx>
          <w:tblLook w:val="06A0" w:firstRow="1" w:lastRow="0" w:firstColumn="1" w:lastColumn="0" w:noHBand="1" w:noVBand="1"/>
        </w:tblPrEx>
        <w:tc>
          <w:tcPr>
            <w:tcW w:w="2122" w:type="dxa"/>
          </w:tcPr>
          <w:p w14:paraId="3F14D8FF" w14:textId="77777777" w:rsidR="00594560" w:rsidRPr="00674F20" w:rsidRDefault="00594560" w:rsidP="00C26ED4">
            <w:pPr>
              <w:pStyle w:val="Tabletext9pt"/>
              <w:rPr>
                <w:szCs w:val="18"/>
              </w:rPr>
            </w:pPr>
            <w:r w:rsidRPr="00674F20">
              <w:rPr>
                <w:szCs w:val="18"/>
              </w:rPr>
              <w:t>16038</w:t>
            </w:r>
          </w:p>
        </w:tc>
        <w:tc>
          <w:tcPr>
            <w:tcW w:w="2551" w:type="dxa"/>
          </w:tcPr>
          <w:p w14:paraId="1DD59059" w14:textId="77777777" w:rsidR="00594560" w:rsidRPr="00674F20" w:rsidRDefault="00594560" w:rsidP="00C26ED4">
            <w:pPr>
              <w:pStyle w:val="Tabletext9pt"/>
              <w:rPr>
                <w:szCs w:val="18"/>
              </w:rPr>
            </w:pPr>
            <w:r w:rsidRPr="00674F20">
              <w:rPr>
                <w:szCs w:val="18"/>
              </w:rPr>
              <w:t>Tuberculosis screening</w:t>
            </w:r>
            <w:r w:rsidRPr="00674F20">
              <w:rPr>
                <w:szCs w:val="18"/>
                <w:lang w:eastAsia="en-AU"/>
              </w:rPr>
              <w:t xml:space="preserve"> – </w:t>
            </w:r>
            <w:r w:rsidRPr="00674F20">
              <w:rPr>
                <w:szCs w:val="18"/>
              </w:rPr>
              <w:t>management</w:t>
            </w:r>
          </w:p>
        </w:tc>
        <w:tc>
          <w:tcPr>
            <w:tcW w:w="4678" w:type="dxa"/>
          </w:tcPr>
          <w:p w14:paraId="250F6B6B" w14:textId="77777777" w:rsidR="00594560" w:rsidRPr="00674F20" w:rsidRDefault="00594560" w:rsidP="00C26ED4">
            <w:pPr>
              <w:pStyle w:val="Tabletext9pt"/>
              <w:rPr>
                <w:szCs w:val="18"/>
              </w:rPr>
            </w:pPr>
            <w:r w:rsidRPr="00674F20">
              <w:rPr>
                <w:szCs w:val="18"/>
              </w:rPr>
              <w:t xml:space="preserve">To provide services and activities related to </w:t>
            </w:r>
            <w:r>
              <w:rPr>
                <w:szCs w:val="18"/>
              </w:rPr>
              <w:t>tuberculosis</w:t>
            </w:r>
            <w:r w:rsidRPr="00674F20">
              <w:rPr>
                <w:szCs w:val="18"/>
              </w:rPr>
              <w:t xml:space="preserve"> management.</w:t>
            </w:r>
          </w:p>
        </w:tc>
      </w:tr>
      <w:tr w:rsidR="00594560" w:rsidRPr="00674F20" w14:paraId="5BE261C2" w14:textId="77777777" w:rsidTr="002F5FA3">
        <w:tblPrEx>
          <w:tblLook w:val="06A0" w:firstRow="1" w:lastRow="0" w:firstColumn="1" w:lastColumn="0" w:noHBand="1" w:noVBand="1"/>
        </w:tblPrEx>
        <w:tc>
          <w:tcPr>
            <w:tcW w:w="2122" w:type="dxa"/>
          </w:tcPr>
          <w:p w14:paraId="4E4E544B" w14:textId="77777777" w:rsidR="00594560" w:rsidRPr="00674F20" w:rsidRDefault="00594560" w:rsidP="00C26ED4">
            <w:pPr>
              <w:pStyle w:val="Tabletext9pt"/>
              <w:rPr>
                <w:szCs w:val="18"/>
              </w:rPr>
            </w:pPr>
            <w:r w:rsidRPr="00674F20">
              <w:rPr>
                <w:szCs w:val="18"/>
              </w:rPr>
              <w:t>16042</w:t>
            </w:r>
          </w:p>
        </w:tc>
        <w:tc>
          <w:tcPr>
            <w:tcW w:w="2551" w:type="dxa"/>
          </w:tcPr>
          <w:p w14:paraId="2E049D69" w14:textId="77777777" w:rsidR="00594560" w:rsidRPr="00674F20" w:rsidRDefault="00594560" w:rsidP="00C26ED4">
            <w:pPr>
              <w:pStyle w:val="Tabletext9pt"/>
              <w:rPr>
                <w:szCs w:val="18"/>
              </w:rPr>
            </w:pPr>
            <w:r w:rsidRPr="00674F20">
              <w:rPr>
                <w:szCs w:val="18"/>
              </w:rPr>
              <w:t>Infectious disease investigation and response</w:t>
            </w:r>
          </w:p>
        </w:tc>
        <w:tc>
          <w:tcPr>
            <w:tcW w:w="4678" w:type="dxa"/>
          </w:tcPr>
          <w:p w14:paraId="021788A9" w14:textId="77777777" w:rsidR="00594560" w:rsidRPr="00674F20" w:rsidRDefault="00594560" w:rsidP="00C26ED4">
            <w:pPr>
              <w:pStyle w:val="Tabletext9pt"/>
              <w:rPr>
                <w:szCs w:val="18"/>
              </w:rPr>
            </w:pPr>
            <w:r w:rsidRPr="00674F20">
              <w:rPr>
                <w:szCs w:val="18"/>
              </w:rPr>
              <w:t xml:space="preserve">To investigate sporadic cases or outbreaks of infectious disease and </w:t>
            </w:r>
            <w:r>
              <w:rPr>
                <w:szCs w:val="18"/>
              </w:rPr>
              <w:t xml:space="preserve">the </w:t>
            </w:r>
            <w:r w:rsidRPr="00674F20">
              <w:rPr>
                <w:szCs w:val="18"/>
              </w:rPr>
              <w:t>institution of suitable control measures.</w:t>
            </w:r>
          </w:p>
        </w:tc>
      </w:tr>
      <w:tr w:rsidR="00594560" w:rsidRPr="00674F20" w14:paraId="2896CF14" w14:textId="77777777" w:rsidTr="00685B35">
        <w:tblPrEx>
          <w:tblLook w:val="06A0" w:firstRow="1" w:lastRow="0" w:firstColumn="1" w:lastColumn="0" w:noHBand="1" w:noVBand="1"/>
        </w:tblPrEx>
        <w:trPr>
          <w:cantSplit/>
        </w:trPr>
        <w:tc>
          <w:tcPr>
            <w:tcW w:w="0" w:type="dxa"/>
          </w:tcPr>
          <w:p w14:paraId="57B6F119" w14:textId="77777777" w:rsidR="00594560" w:rsidRPr="00674F20" w:rsidRDefault="00594560" w:rsidP="00C26ED4">
            <w:pPr>
              <w:pStyle w:val="Tabletext9pt"/>
              <w:rPr>
                <w:szCs w:val="18"/>
              </w:rPr>
            </w:pPr>
            <w:r w:rsidRPr="00674F20">
              <w:rPr>
                <w:szCs w:val="18"/>
              </w:rPr>
              <w:t>16047</w:t>
            </w:r>
          </w:p>
        </w:tc>
        <w:tc>
          <w:tcPr>
            <w:tcW w:w="0" w:type="dxa"/>
          </w:tcPr>
          <w:p w14:paraId="204C42C5" w14:textId="77777777" w:rsidR="00594560" w:rsidRPr="00674F20" w:rsidRDefault="00594560" w:rsidP="00C26ED4">
            <w:pPr>
              <w:pStyle w:val="Tabletext9pt"/>
              <w:rPr>
                <w:szCs w:val="18"/>
              </w:rPr>
            </w:pPr>
            <w:r w:rsidRPr="00674F20">
              <w:rPr>
                <w:szCs w:val="18"/>
              </w:rPr>
              <w:t>Food system quality improvement</w:t>
            </w:r>
          </w:p>
        </w:tc>
        <w:tc>
          <w:tcPr>
            <w:tcW w:w="0" w:type="dxa"/>
          </w:tcPr>
          <w:p w14:paraId="28AA4E9E" w14:textId="50DB56DD" w:rsidR="00594560" w:rsidRPr="00674F20" w:rsidRDefault="00594560" w:rsidP="00C26ED4">
            <w:pPr>
              <w:pStyle w:val="Tabletext9pt"/>
              <w:rPr>
                <w:szCs w:val="18"/>
              </w:rPr>
            </w:pPr>
            <w:r w:rsidRPr="00674F20">
              <w:rPr>
                <w:szCs w:val="18"/>
              </w:rPr>
              <w:t>To oversee the State Safe Food System through intersectoral linkages with an aim of continuous improvement in system operation through consultation and cooperation.</w:t>
            </w:r>
          </w:p>
        </w:tc>
      </w:tr>
      <w:tr w:rsidR="00594560" w:rsidRPr="00674F20" w14:paraId="24790D08" w14:textId="77777777" w:rsidTr="002F5FA3">
        <w:tblPrEx>
          <w:tblLook w:val="06A0" w:firstRow="1" w:lastRow="0" w:firstColumn="1" w:lastColumn="0" w:noHBand="1" w:noVBand="1"/>
        </w:tblPrEx>
        <w:tc>
          <w:tcPr>
            <w:tcW w:w="2122" w:type="dxa"/>
          </w:tcPr>
          <w:p w14:paraId="6D251D6E" w14:textId="77777777" w:rsidR="00594560" w:rsidRPr="00674F20" w:rsidRDefault="00594560" w:rsidP="00C26ED4">
            <w:pPr>
              <w:pStyle w:val="Tabletext9pt"/>
              <w:rPr>
                <w:szCs w:val="18"/>
              </w:rPr>
            </w:pPr>
            <w:r w:rsidRPr="000D467A">
              <w:rPr>
                <w:szCs w:val="18"/>
              </w:rPr>
              <w:t>16049</w:t>
            </w:r>
          </w:p>
        </w:tc>
        <w:tc>
          <w:tcPr>
            <w:tcW w:w="2551" w:type="dxa"/>
          </w:tcPr>
          <w:p w14:paraId="43E6FF78" w14:textId="77777777" w:rsidR="00594560" w:rsidRPr="00674F20" w:rsidRDefault="00594560" w:rsidP="00C26ED4">
            <w:pPr>
              <w:pStyle w:val="Tabletext9pt"/>
              <w:rPr>
                <w:szCs w:val="18"/>
              </w:rPr>
            </w:pPr>
            <w:r w:rsidRPr="00674F20">
              <w:rPr>
                <w:szCs w:val="18"/>
              </w:rPr>
              <w:t>Cemetery sector governance</w:t>
            </w:r>
          </w:p>
        </w:tc>
        <w:tc>
          <w:tcPr>
            <w:tcW w:w="4678" w:type="dxa"/>
          </w:tcPr>
          <w:p w14:paraId="0FE377D6" w14:textId="77777777" w:rsidR="00594560" w:rsidRPr="00674F20" w:rsidRDefault="00594560" w:rsidP="00C26ED4">
            <w:pPr>
              <w:pStyle w:val="Tabletext9pt"/>
              <w:rPr>
                <w:szCs w:val="18"/>
              </w:rPr>
            </w:pPr>
            <w:r w:rsidRPr="00674F20">
              <w:rPr>
                <w:szCs w:val="18"/>
              </w:rPr>
              <w:t>To undertake a range of projects relating to the governance of the cemetery sector.</w:t>
            </w:r>
          </w:p>
        </w:tc>
      </w:tr>
      <w:tr w:rsidR="00594560" w:rsidRPr="00674F20" w14:paraId="37E8F9DA" w14:textId="77777777" w:rsidTr="002F5FA3">
        <w:tblPrEx>
          <w:tblLook w:val="06A0" w:firstRow="1" w:lastRow="0" w:firstColumn="1" w:lastColumn="0" w:noHBand="1" w:noVBand="1"/>
        </w:tblPrEx>
        <w:tc>
          <w:tcPr>
            <w:tcW w:w="2122" w:type="dxa"/>
          </w:tcPr>
          <w:p w14:paraId="38CFCC26" w14:textId="77777777" w:rsidR="00594560" w:rsidRPr="00674F20" w:rsidRDefault="00594560" w:rsidP="00C26ED4">
            <w:pPr>
              <w:pStyle w:val="Tabletext9pt"/>
              <w:rPr>
                <w:szCs w:val="18"/>
              </w:rPr>
            </w:pPr>
            <w:r w:rsidRPr="00674F20">
              <w:rPr>
                <w:szCs w:val="18"/>
              </w:rPr>
              <w:t>16084</w:t>
            </w:r>
          </w:p>
        </w:tc>
        <w:tc>
          <w:tcPr>
            <w:tcW w:w="2551" w:type="dxa"/>
          </w:tcPr>
          <w:p w14:paraId="16D78F5F" w14:textId="77777777" w:rsidR="00594560" w:rsidRPr="00674F20" w:rsidRDefault="00594560" w:rsidP="00C26ED4">
            <w:pPr>
              <w:pStyle w:val="Tabletext9pt"/>
              <w:rPr>
                <w:szCs w:val="18"/>
              </w:rPr>
            </w:pPr>
            <w:r w:rsidRPr="00674F20">
              <w:rPr>
                <w:szCs w:val="18"/>
              </w:rPr>
              <w:t>Immunisation services</w:t>
            </w:r>
          </w:p>
        </w:tc>
        <w:tc>
          <w:tcPr>
            <w:tcW w:w="4678" w:type="dxa"/>
          </w:tcPr>
          <w:p w14:paraId="66A3E083" w14:textId="77777777" w:rsidR="00594560" w:rsidRPr="00674F20" w:rsidRDefault="00594560" w:rsidP="00C26ED4">
            <w:pPr>
              <w:pStyle w:val="Tabletext9pt"/>
              <w:rPr>
                <w:szCs w:val="18"/>
              </w:rPr>
            </w:pPr>
            <w:r w:rsidRPr="00674F20">
              <w:rPr>
                <w:szCs w:val="18"/>
              </w:rPr>
              <w:t>To provide subsidy payments to local governments for childhood immunisation (under six years old) plus associated activities.</w:t>
            </w:r>
          </w:p>
        </w:tc>
      </w:tr>
      <w:tr w:rsidR="00594560" w:rsidRPr="00674F20" w14:paraId="744C67BE" w14:textId="77777777" w:rsidTr="002F5FA3">
        <w:tblPrEx>
          <w:tblLook w:val="06A0" w:firstRow="1" w:lastRow="0" w:firstColumn="1" w:lastColumn="0" w:noHBand="1" w:noVBand="1"/>
        </w:tblPrEx>
        <w:tc>
          <w:tcPr>
            <w:tcW w:w="2122" w:type="dxa"/>
          </w:tcPr>
          <w:p w14:paraId="6666FBD9" w14:textId="77777777" w:rsidR="00594560" w:rsidRPr="00674F20" w:rsidRDefault="00594560" w:rsidP="00C26ED4">
            <w:pPr>
              <w:pStyle w:val="Tabletext9pt"/>
              <w:rPr>
                <w:szCs w:val="18"/>
              </w:rPr>
            </w:pPr>
            <w:r w:rsidRPr="00674F20">
              <w:rPr>
                <w:szCs w:val="18"/>
              </w:rPr>
              <w:t>16102</w:t>
            </w:r>
          </w:p>
        </w:tc>
        <w:tc>
          <w:tcPr>
            <w:tcW w:w="2551" w:type="dxa"/>
          </w:tcPr>
          <w:p w14:paraId="17D8A726" w14:textId="77777777" w:rsidR="00594560" w:rsidRPr="00674F20" w:rsidRDefault="00594560" w:rsidP="00C26ED4">
            <w:pPr>
              <w:pStyle w:val="Tabletext9pt"/>
              <w:rPr>
                <w:szCs w:val="18"/>
              </w:rPr>
            </w:pPr>
            <w:r w:rsidRPr="00674F20">
              <w:rPr>
                <w:szCs w:val="18"/>
              </w:rPr>
              <w:t>Infectious disease surveillance</w:t>
            </w:r>
          </w:p>
        </w:tc>
        <w:tc>
          <w:tcPr>
            <w:tcW w:w="4678" w:type="dxa"/>
          </w:tcPr>
          <w:p w14:paraId="6D91252F" w14:textId="77777777" w:rsidR="00594560" w:rsidRPr="00674F20" w:rsidRDefault="00594560" w:rsidP="00C26ED4">
            <w:pPr>
              <w:pStyle w:val="Tabletext9pt"/>
              <w:rPr>
                <w:szCs w:val="18"/>
              </w:rPr>
            </w:pPr>
            <w:r w:rsidRPr="00674F20">
              <w:rPr>
                <w:szCs w:val="18"/>
              </w:rPr>
              <w:t>To collect, collate and report on data relating to notifiable infectious diseases, as required by legislation.</w:t>
            </w:r>
          </w:p>
        </w:tc>
      </w:tr>
      <w:tr w:rsidR="00594560" w:rsidRPr="00674F20" w14:paraId="3F2AB1F1" w14:textId="77777777" w:rsidTr="002F5FA3">
        <w:tblPrEx>
          <w:tblLook w:val="06A0" w:firstRow="1" w:lastRow="0" w:firstColumn="1" w:lastColumn="0" w:noHBand="1" w:noVBand="1"/>
        </w:tblPrEx>
        <w:tc>
          <w:tcPr>
            <w:tcW w:w="2122" w:type="dxa"/>
          </w:tcPr>
          <w:p w14:paraId="32411586" w14:textId="77777777" w:rsidR="00594560" w:rsidRPr="00674F20" w:rsidRDefault="00594560" w:rsidP="00C26ED4">
            <w:pPr>
              <w:pStyle w:val="Tabletext9pt"/>
              <w:rPr>
                <w:szCs w:val="18"/>
              </w:rPr>
            </w:pPr>
            <w:r w:rsidRPr="00030D5A">
              <w:rPr>
                <w:szCs w:val="18"/>
              </w:rPr>
              <w:t>16103</w:t>
            </w:r>
          </w:p>
        </w:tc>
        <w:tc>
          <w:tcPr>
            <w:tcW w:w="2551" w:type="dxa"/>
          </w:tcPr>
          <w:p w14:paraId="05E39332" w14:textId="77777777" w:rsidR="00594560" w:rsidRPr="00674F20" w:rsidRDefault="00594560" w:rsidP="00C26ED4">
            <w:pPr>
              <w:pStyle w:val="Tabletext9pt"/>
              <w:rPr>
                <w:szCs w:val="18"/>
              </w:rPr>
            </w:pPr>
            <w:r w:rsidRPr="00030D5A">
              <w:rPr>
                <w:szCs w:val="18"/>
              </w:rPr>
              <w:t xml:space="preserve">Food </w:t>
            </w:r>
            <w:r>
              <w:rPr>
                <w:szCs w:val="18"/>
              </w:rPr>
              <w:t>s</w:t>
            </w:r>
            <w:r w:rsidRPr="00030D5A">
              <w:rPr>
                <w:szCs w:val="18"/>
              </w:rPr>
              <w:t xml:space="preserve">afety </w:t>
            </w:r>
            <w:r>
              <w:rPr>
                <w:rFonts w:ascii="Helv" w:hAnsi="Helv" w:cs="Helv"/>
                <w:bCs/>
                <w:color w:val="000000"/>
                <w:lang w:eastAsia="en-AU"/>
              </w:rPr>
              <w:t>s</w:t>
            </w:r>
            <w:r w:rsidRPr="00030D5A">
              <w:rPr>
                <w:rFonts w:ascii="Helv" w:hAnsi="Helv" w:cs="Helv"/>
                <w:bCs/>
                <w:color w:val="000000"/>
                <w:lang w:eastAsia="en-AU"/>
              </w:rPr>
              <w:t>urveillance</w:t>
            </w:r>
            <w:r>
              <w:rPr>
                <w:szCs w:val="18"/>
              </w:rPr>
              <w:t xml:space="preserve"> </w:t>
            </w:r>
          </w:p>
        </w:tc>
        <w:tc>
          <w:tcPr>
            <w:tcW w:w="4678" w:type="dxa"/>
          </w:tcPr>
          <w:p w14:paraId="06928CA8" w14:textId="77777777" w:rsidR="00594560" w:rsidRPr="00674F20" w:rsidRDefault="00594560" w:rsidP="00C26ED4">
            <w:pPr>
              <w:pStyle w:val="Tabletext9pt"/>
              <w:rPr>
                <w:szCs w:val="18"/>
              </w:rPr>
            </w:pPr>
            <w:r w:rsidRPr="00F17BCD">
              <w:rPr>
                <w:szCs w:val="18"/>
              </w:rPr>
              <w:t>To provide microbiological testing and analysis of food samples and surfaces in food premises</w:t>
            </w:r>
            <w:r>
              <w:rPr>
                <w:szCs w:val="18"/>
              </w:rPr>
              <w:t>.</w:t>
            </w:r>
          </w:p>
        </w:tc>
      </w:tr>
      <w:tr w:rsidR="00594560" w:rsidRPr="00674F20" w14:paraId="7C67F76A" w14:textId="77777777" w:rsidTr="002F5FA3">
        <w:tblPrEx>
          <w:tblLook w:val="06A0" w:firstRow="1" w:lastRow="0" w:firstColumn="1" w:lastColumn="0" w:noHBand="1" w:noVBand="1"/>
        </w:tblPrEx>
        <w:tc>
          <w:tcPr>
            <w:tcW w:w="2122" w:type="dxa"/>
          </w:tcPr>
          <w:p w14:paraId="6DC4365C" w14:textId="77777777" w:rsidR="00594560" w:rsidRPr="00674F20" w:rsidRDefault="00594560" w:rsidP="00C26ED4">
            <w:pPr>
              <w:pStyle w:val="Tabletext9pt"/>
              <w:rPr>
                <w:szCs w:val="18"/>
              </w:rPr>
            </w:pPr>
            <w:r w:rsidRPr="00674F20">
              <w:rPr>
                <w:szCs w:val="18"/>
              </w:rPr>
              <w:t>16119</w:t>
            </w:r>
          </w:p>
        </w:tc>
        <w:tc>
          <w:tcPr>
            <w:tcW w:w="2551" w:type="dxa"/>
          </w:tcPr>
          <w:p w14:paraId="1B664D8D" w14:textId="77777777" w:rsidR="00594560" w:rsidRPr="00674F20" w:rsidRDefault="00594560" w:rsidP="00C26ED4">
            <w:pPr>
              <w:pStyle w:val="Tabletext9pt"/>
              <w:rPr>
                <w:szCs w:val="18"/>
              </w:rPr>
            </w:pPr>
            <w:r w:rsidRPr="00674F20">
              <w:rPr>
                <w:szCs w:val="18"/>
              </w:rPr>
              <w:t>School and adult immunisation services</w:t>
            </w:r>
          </w:p>
        </w:tc>
        <w:tc>
          <w:tcPr>
            <w:tcW w:w="4678" w:type="dxa"/>
          </w:tcPr>
          <w:p w14:paraId="3EB9E3E1" w14:textId="77777777" w:rsidR="00594560" w:rsidRPr="00674F20" w:rsidRDefault="00594560" w:rsidP="00C26ED4">
            <w:pPr>
              <w:pStyle w:val="Tabletext9pt"/>
              <w:rPr>
                <w:szCs w:val="18"/>
              </w:rPr>
            </w:pPr>
            <w:r w:rsidRPr="00674F20">
              <w:rPr>
                <w:szCs w:val="18"/>
              </w:rPr>
              <w:t>To provide subsidy payments to local governments for immunisation service delivery in secondary schools and for adults.</w:t>
            </w:r>
          </w:p>
        </w:tc>
      </w:tr>
      <w:tr w:rsidR="00594560" w:rsidRPr="00674F20" w14:paraId="18630CA7" w14:textId="77777777" w:rsidTr="002F5FA3">
        <w:tblPrEx>
          <w:tblLook w:val="06A0" w:firstRow="1" w:lastRow="0" w:firstColumn="1" w:lastColumn="0" w:noHBand="1" w:noVBand="1"/>
        </w:tblPrEx>
        <w:tc>
          <w:tcPr>
            <w:tcW w:w="2122" w:type="dxa"/>
          </w:tcPr>
          <w:p w14:paraId="7747D430" w14:textId="77777777" w:rsidR="00594560" w:rsidRPr="00674F20" w:rsidRDefault="00594560" w:rsidP="00C26ED4">
            <w:pPr>
              <w:pStyle w:val="Tabletext9pt"/>
              <w:rPr>
                <w:szCs w:val="18"/>
              </w:rPr>
            </w:pPr>
            <w:r>
              <w:rPr>
                <w:szCs w:val="18"/>
              </w:rPr>
              <w:t>16132</w:t>
            </w:r>
          </w:p>
        </w:tc>
        <w:tc>
          <w:tcPr>
            <w:tcW w:w="2551" w:type="dxa"/>
          </w:tcPr>
          <w:p w14:paraId="19A427EE" w14:textId="77777777" w:rsidR="00594560" w:rsidRPr="00674F20" w:rsidRDefault="00594560" w:rsidP="00C26ED4">
            <w:pPr>
              <w:pStyle w:val="Tabletext9pt"/>
              <w:rPr>
                <w:szCs w:val="18"/>
              </w:rPr>
            </w:pPr>
            <w:r>
              <w:rPr>
                <w:szCs w:val="18"/>
              </w:rPr>
              <w:t>Food safety research</w:t>
            </w:r>
          </w:p>
        </w:tc>
        <w:tc>
          <w:tcPr>
            <w:tcW w:w="4678" w:type="dxa"/>
          </w:tcPr>
          <w:p w14:paraId="499C9DEB" w14:textId="77777777" w:rsidR="00594560" w:rsidRPr="00674F20" w:rsidRDefault="00594560" w:rsidP="00C26ED4">
            <w:pPr>
              <w:pStyle w:val="Tabletext9pt"/>
              <w:rPr>
                <w:szCs w:val="18"/>
              </w:rPr>
            </w:pPr>
            <w:r w:rsidRPr="00FD04C0">
              <w:rPr>
                <w:szCs w:val="18"/>
              </w:rPr>
              <w:t>To provide research into food risks.</w:t>
            </w:r>
          </w:p>
        </w:tc>
      </w:tr>
      <w:tr w:rsidR="00594560" w:rsidRPr="00674F20" w14:paraId="0EC192EF" w14:textId="77777777" w:rsidTr="002F5FA3">
        <w:tblPrEx>
          <w:tblLook w:val="06A0" w:firstRow="1" w:lastRow="0" w:firstColumn="1" w:lastColumn="0" w:noHBand="1" w:noVBand="1"/>
        </w:tblPrEx>
        <w:tc>
          <w:tcPr>
            <w:tcW w:w="2122" w:type="dxa"/>
          </w:tcPr>
          <w:p w14:paraId="4A7F2110" w14:textId="77777777" w:rsidR="00594560" w:rsidRPr="00674F20" w:rsidRDefault="00594560" w:rsidP="00C26ED4">
            <w:pPr>
              <w:pStyle w:val="Tabletext9pt"/>
              <w:rPr>
                <w:szCs w:val="18"/>
              </w:rPr>
            </w:pPr>
            <w:r w:rsidRPr="00674F20">
              <w:rPr>
                <w:szCs w:val="18"/>
              </w:rPr>
              <w:t>16163</w:t>
            </w:r>
          </w:p>
        </w:tc>
        <w:tc>
          <w:tcPr>
            <w:tcW w:w="2551" w:type="dxa"/>
          </w:tcPr>
          <w:p w14:paraId="0A2439F5" w14:textId="77777777" w:rsidR="00594560" w:rsidRPr="00674F20" w:rsidRDefault="00594560" w:rsidP="00C26ED4">
            <w:pPr>
              <w:pStyle w:val="Tabletext9pt"/>
              <w:rPr>
                <w:szCs w:val="18"/>
              </w:rPr>
            </w:pPr>
            <w:r w:rsidRPr="00674F20">
              <w:rPr>
                <w:szCs w:val="18"/>
              </w:rPr>
              <w:t>Food safety education</w:t>
            </w:r>
          </w:p>
        </w:tc>
        <w:tc>
          <w:tcPr>
            <w:tcW w:w="4678" w:type="dxa"/>
          </w:tcPr>
          <w:p w14:paraId="2AD028FF" w14:textId="77777777" w:rsidR="00594560" w:rsidRPr="00674F20" w:rsidRDefault="00594560" w:rsidP="00C26ED4">
            <w:pPr>
              <w:pStyle w:val="Tabletext9pt"/>
              <w:rPr>
                <w:szCs w:val="18"/>
              </w:rPr>
            </w:pPr>
            <w:r w:rsidRPr="00674F20">
              <w:rPr>
                <w:szCs w:val="18"/>
              </w:rPr>
              <w:t>To provide education to local government, public and food businesses on food safety.</w:t>
            </w:r>
          </w:p>
        </w:tc>
      </w:tr>
      <w:tr w:rsidR="00594560" w:rsidRPr="00674F20" w14:paraId="61EC5EDF" w14:textId="77777777" w:rsidTr="002F5FA3">
        <w:tblPrEx>
          <w:tblLook w:val="06A0" w:firstRow="1" w:lastRow="0" w:firstColumn="1" w:lastColumn="0" w:noHBand="1" w:noVBand="1"/>
        </w:tblPrEx>
        <w:tc>
          <w:tcPr>
            <w:tcW w:w="2122" w:type="dxa"/>
          </w:tcPr>
          <w:p w14:paraId="1E12BAC2" w14:textId="77777777" w:rsidR="00594560" w:rsidRPr="00674F20" w:rsidRDefault="00594560" w:rsidP="00C26ED4">
            <w:pPr>
              <w:pStyle w:val="Tabletext9pt"/>
              <w:rPr>
                <w:szCs w:val="18"/>
              </w:rPr>
            </w:pPr>
            <w:r w:rsidRPr="00674F20">
              <w:rPr>
                <w:szCs w:val="18"/>
              </w:rPr>
              <w:t>16206</w:t>
            </w:r>
          </w:p>
        </w:tc>
        <w:tc>
          <w:tcPr>
            <w:tcW w:w="2551" w:type="dxa"/>
          </w:tcPr>
          <w:p w14:paraId="4F9356FA" w14:textId="77777777" w:rsidR="00594560" w:rsidRPr="00674F20" w:rsidRDefault="00594560" w:rsidP="00C26ED4">
            <w:pPr>
              <w:pStyle w:val="Tabletext9pt"/>
              <w:rPr>
                <w:szCs w:val="18"/>
              </w:rPr>
            </w:pPr>
            <w:r w:rsidRPr="00674F20">
              <w:rPr>
                <w:szCs w:val="18"/>
              </w:rPr>
              <w:t>Laboratory testing</w:t>
            </w:r>
          </w:p>
        </w:tc>
        <w:tc>
          <w:tcPr>
            <w:tcW w:w="4678" w:type="dxa"/>
          </w:tcPr>
          <w:p w14:paraId="627C9EFE" w14:textId="77777777" w:rsidR="00594560" w:rsidRPr="00674F20" w:rsidRDefault="00594560" w:rsidP="00C26ED4">
            <w:pPr>
              <w:pStyle w:val="Tabletext9pt"/>
              <w:rPr>
                <w:szCs w:val="18"/>
              </w:rPr>
            </w:pPr>
            <w:r w:rsidRPr="00674F20">
              <w:rPr>
                <w:szCs w:val="18"/>
              </w:rPr>
              <w:t>To provide a range of laboratory tests for infectious diseases (including arbovirus where applicable), including reference functions, advice on microbiological issues and undertaking education and training in relation to laboratory services.</w:t>
            </w:r>
          </w:p>
        </w:tc>
      </w:tr>
      <w:tr w:rsidR="00594560" w:rsidRPr="00674F20" w14:paraId="175EE86D" w14:textId="77777777" w:rsidTr="002F5FA3">
        <w:tblPrEx>
          <w:tblLook w:val="06A0" w:firstRow="1" w:lastRow="0" w:firstColumn="1" w:lastColumn="0" w:noHBand="1" w:noVBand="1"/>
        </w:tblPrEx>
        <w:tc>
          <w:tcPr>
            <w:tcW w:w="2122" w:type="dxa"/>
          </w:tcPr>
          <w:p w14:paraId="6257591A" w14:textId="77777777" w:rsidR="00594560" w:rsidRPr="00674F20" w:rsidRDefault="00594560" w:rsidP="00C26ED4">
            <w:pPr>
              <w:pStyle w:val="Tabletext9pt"/>
              <w:rPr>
                <w:szCs w:val="18"/>
              </w:rPr>
            </w:pPr>
            <w:r w:rsidRPr="00EE4C9B">
              <w:rPr>
                <w:szCs w:val="18"/>
              </w:rPr>
              <w:t>16360</w:t>
            </w:r>
          </w:p>
        </w:tc>
        <w:tc>
          <w:tcPr>
            <w:tcW w:w="2551" w:type="dxa"/>
          </w:tcPr>
          <w:p w14:paraId="4C022C1C" w14:textId="77777777" w:rsidR="00594560" w:rsidRPr="00674F20" w:rsidRDefault="00594560" w:rsidP="00C26ED4">
            <w:pPr>
              <w:pStyle w:val="Tabletext9pt"/>
              <w:rPr>
                <w:szCs w:val="18"/>
              </w:rPr>
            </w:pPr>
            <w:r w:rsidRPr="00EE4C9B">
              <w:rPr>
                <w:szCs w:val="18"/>
              </w:rPr>
              <w:t xml:space="preserve">Infectious </w:t>
            </w:r>
            <w:r>
              <w:rPr>
                <w:szCs w:val="18"/>
              </w:rPr>
              <w:t>d</w:t>
            </w:r>
            <w:r w:rsidRPr="00EE4C9B">
              <w:rPr>
                <w:szCs w:val="18"/>
              </w:rPr>
              <w:t xml:space="preserve">isease </w:t>
            </w:r>
            <w:r>
              <w:rPr>
                <w:szCs w:val="18"/>
              </w:rPr>
              <w:t>e</w:t>
            </w:r>
            <w:r w:rsidRPr="00EE4C9B">
              <w:rPr>
                <w:szCs w:val="18"/>
              </w:rPr>
              <w:t xml:space="preserve">ducation </w:t>
            </w:r>
            <w:r>
              <w:rPr>
                <w:szCs w:val="18"/>
              </w:rPr>
              <w:t>and</w:t>
            </w:r>
            <w:r w:rsidRPr="00EE4C9B">
              <w:rPr>
                <w:szCs w:val="18"/>
              </w:rPr>
              <w:t xml:space="preserve"> </w:t>
            </w:r>
            <w:r>
              <w:rPr>
                <w:szCs w:val="18"/>
              </w:rPr>
              <w:t>a</w:t>
            </w:r>
            <w:r w:rsidRPr="00EE4C9B">
              <w:rPr>
                <w:szCs w:val="18"/>
              </w:rPr>
              <w:t>dvice</w:t>
            </w:r>
          </w:p>
        </w:tc>
        <w:tc>
          <w:tcPr>
            <w:tcW w:w="4678" w:type="dxa"/>
          </w:tcPr>
          <w:p w14:paraId="0A631D12" w14:textId="77777777" w:rsidR="00594560" w:rsidRPr="00674F20" w:rsidRDefault="00594560" w:rsidP="00C26ED4">
            <w:pPr>
              <w:pStyle w:val="Tabletext9pt"/>
              <w:rPr>
                <w:szCs w:val="18"/>
              </w:rPr>
            </w:pPr>
            <w:r w:rsidRPr="00EE4C9B">
              <w:rPr>
                <w:szCs w:val="18"/>
              </w:rPr>
              <w:t>To provide education and awareness programs in the investigation and control of infectious diseases.</w:t>
            </w:r>
          </w:p>
        </w:tc>
      </w:tr>
      <w:tr w:rsidR="00594560" w:rsidRPr="00674F20" w14:paraId="4D572BF1" w14:textId="77777777" w:rsidTr="002F5FA3">
        <w:tblPrEx>
          <w:tblLook w:val="06A0" w:firstRow="1" w:lastRow="0" w:firstColumn="1" w:lastColumn="0" w:noHBand="1" w:noVBand="1"/>
        </w:tblPrEx>
        <w:tc>
          <w:tcPr>
            <w:tcW w:w="2122" w:type="dxa"/>
          </w:tcPr>
          <w:p w14:paraId="459BC4A3" w14:textId="77777777" w:rsidR="00594560" w:rsidRPr="00674F20" w:rsidRDefault="00594560" w:rsidP="00C26ED4">
            <w:pPr>
              <w:pStyle w:val="Tabletext9pt"/>
              <w:rPr>
                <w:szCs w:val="18"/>
              </w:rPr>
            </w:pPr>
            <w:r w:rsidRPr="00674F20">
              <w:rPr>
                <w:szCs w:val="18"/>
              </w:rPr>
              <w:t>16373</w:t>
            </w:r>
          </w:p>
        </w:tc>
        <w:tc>
          <w:tcPr>
            <w:tcW w:w="2551" w:type="dxa"/>
          </w:tcPr>
          <w:p w14:paraId="03D374D7" w14:textId="77777777" w:rsidR="00594560" w:rsidRPr="00674F20" w:rsidRDefault="00594560" w:rsidP="00C26ED4">
            <w:pPr>
              <w:pStyle w:val="Tabletext9pt"/>
              <w:rPr>
                <w:szCs w:val="18"/>
              </w:rPr>
            </w:pPr>
            <w:r w:rsidRPr="00674F20">
              <w:rPr>
                <w:szCs w:val="18"/>
              </w:rPr>
              <w:t>BBV and STI – clinical services</w:t>
            </w:r>
          </w:p>
        </w:tc>
        <w:tc>
          <w:tcPr>
            <w:tcW w:w="4678" w:type="dxa"/>
          </w:tcPr>
          <w:p w14:paraId="6236047D" w14:textId="77777777" w:rsidR="00594560" w:rsidRPr="00674F20" w:rsidRDefault="00594560" w:rsidP="00C26ED4">
            <w:pPr>
              <w:pStyle w:val="Tabletext9pt"/>
              <w:rPr>
                <w:szCs w:val="18"/>
              </w:rPr>
            </w:pPr>
            <w:r w:rsidRPr="00674F20">
              <w:rPr>
                <w:szCs w:val="18"/>
              </w:rPr>
              <w:t xml:space="preserve">To provide diagnoses and </w:t>
            </w:r>
            <w:r>
              <w:rPr>
                <w:szCs w:val="18"/>
              </w:rPr>
              <w:t xml:space="preserve">the </w:t>
            </w:r>
            <w:r w:rsidRPr="00674F20">
              <w:rPr>
                <w:szCs w:val="18"/>
              </w:rPr>
              <w:t xml:space="preserve">clinical management of clients in relation to </w:t>
            </w:r>
            <w:r w:rsidRPr="00B56AE6">
              <w:t>blood-borne viruses</w:t>
            </w:r>
            <w:r w:rsidRPr="00674F20">
              <w:rPr>
                <w:szCs w:val="18"/>
              </w:rPr>
              <w:t xml:space="preserve"> (BBVs)</w:t>
            </w:r>
            <w:r>
              <w:rPr>
                <w:szCs w:val="18"/>
              </w:rPr>
              <w:t xml:space="preserve">, </w:t>
            </w:r>
            <w:r w:rsidRPr="00674F20">
              <w:rPr>
                <w:szCs w:val="18"/>
              </w:rPr>
              <w:t>sexually transmi</w:t>
            </w:r>
            <w:r>
              <w:rPr>
                <w:szCs w:val="18"/>
              </w:rPr>
              <w:t>ssible</w:t>
            </w:r>
            <w:r w:rsidRPr="00674F20">
              <w:rPr>
                <w:szCs w:val="18"/>
              </w:rPr>
              <w:t xml:space="preserve"> infections (STIs</w:t>
            </w:r>
            <w:r>
              <w:rPr>
                <w:szCs w:val="18"/>
              </w:rPr>
              <w:t>)</w:t>
            </w:r>
            <w:r w:rsidRPr="00674F20" w:rsidDel="004E3550">
              <w:rPr>
                <w:szCs w:val="18"/>
              </w:rPr>
              <w:t xml:space="preserve"> </w:t>
            </w:r>
            <w:r w:rsidRPr="00674F20">
              <w:rPr>
                <w:szCs w:val="18"/>
              </w:rPr>
              <w:t>and sexual health.</w:t>
            </w:r>
          </w:p>
        </w:tc>
      </w:tr>
      <w:tr w:rsidR="00594560" w:rsidRPr="00E75567" w14:paraId="5C2D8716" w14:textId="77777777" w:rsidTr="002F5FA3">
        <w:tblPrEx>
          <w:tblLook w:val="06A0" w:firstRow="1" w:lastRow="0" w:firstColumn="1" w:lastColumn="0" w:noHBand="1" w:noVBand="1"/>
        </w:tblPrEx>
        <w:tc>
          <w:tcPr>
            <w:tcW w:w="2122" w:type="dxa"/>
          </w:tcPr>
          <w:p w14:paraId="69189380" w14:textId="77777777" w:rsidR="00594560" w:rsidRPr="00E75567" w:rsidRDefault="00594560" w:rsidP="00C26ED4">
            <w:pPr>
              <w:pStyle w:val="Tabletext9pt"/>
              <w:rPr>
                <w:szCs w:val="18"/>
              </w:rPr>
            </w:pPr>
            <w:r w:rsidRPr="00E75567">
              <w:rPr>
                <w:szCs w:val="18"/>
              </w:rPr>
              <w:lastRenderedPageBreak/>
              <w:t>16377</w:t>
            </w:r>
          </w:p>
        </w:tc>
        <w:tc>
          <w:tcPr>
            <w:tcW w:w="2551" w:type="dxa"/>
          </w:tcPr>
          <w:p w14:paraId="6EDF77BA" w14:textId="77777777" w:rsidR="00594560" w:rsidRPr="00E75567" w:rsidRDefault="00594560" w:rsidP="00C26ED4">
            <w:pPr>
              <w:pStyle w:val="Tabletext9pt"/>
              <w:rPr>
                <w:szCs w:val="18"/>
              </w:rPr>
            </w:pPr>
            <w:r w:rsidRPr="00E75567">
              <w:rPr>
                <w:szCs w:val="18"/>
              </w:rPr>
              <w:t>BBV and STI – surveillance</w:t>
            </w:r>
          </w:p>
        </w:tc>
        <w:tc>
          <w:tcPr>
            <w:tcW w:w="4678" w:type="dxa"/>
          </w:tcPr>
          <w:p w14:paraId="0E011FCC" w14:textId="77777777" w:rsidR="00594560" w:rsidRPr="00E75567" w:rsidRDefault="00594560" w:rsidP="00C26ED4">
            <w:pPr>
              <w:pStyle w:val="Tabletext9pt"/>
              <w:rPr>
                <w:szCs w:val="18"/>
              </w:rPr>
            </w:pPr>
            <w:r w:rsidRPr="00E75567">
              <w:rPr>
                <w:szCs w:val="18"/>
              </w:rPr>
              <w:t>To collect, collate and report on data relating to notifiable BBVs/STIs.</w:t>
            </w:r>
          </w:p>
        </w:tc>
      </w:tr>
      <w:tr w:rsidR="00594560" w:rsidRPr="00674F20" w14:paraId="67C855BE" w14:textId="77777777" w:rsidTr="002F5FA3">
        <w:tblPrEx>
          <w:tblLook w:val="06A0" w:firstRow="1" w:lastRow="0" w:firstColumn="1" w:lastColumn="0" w:noHBand="1" w:noVBand="1"/>
        </w:tblPrEx>
        <w:tc>
          <w:tcPr>
            <w:tcW w:w="2122" w:type="dxa"/>
          </w:tcPr>
          <w:p w14:paraId="0BD542D6" w14:textId="77777777" w:rsidR="00594560" w:rsidRPr="00674F20" w:rsidRDefault="00594560" w:rsidP="00C26ED4">
            <w:pPr>
              <w:pStyle w:val="Tabletext9pt"/>
              <w:rPr>
                <w:szCs w:val="18"/>
              </w:rPr>
            </w:pPr>
            <w:r w:rsidRPr="00674F20">
              <w:rPr>
                <w:szCs w:val="18"/>
              </w:rPr>
              <w:t>16381</w:t>
            </w:r>
          </w:p>
        </w:tc>
        <w:tc>
          <w:tcPr>
            <w:tcW w:w="2551" w:type="dxa"/>
          </w:tcPr>
          <w:p w14:paraId="0F71D27A" w14:textId="77777777" w:rsidR="00594560" w:rsidRPr="00674F20" w:rsidRDefault="00594560" w:rsidP="00C26ED4">
            <w:pPr>
              <w:pStyle w:val="Tabletext9pt"/>
              <w:rPr>
                <w:szCs w:val="18"/>
              </w:rPr>
            </w:pPr>
            <w:r w:rsidRPr="00674F20">
              <w:rPr>
                <w:szCs w:val="18"/>
              </w:rPr>
              <w:t>Risk management and emergency response</w:t>
            </w:r>
          </w:p>
        </w:tc>
        <w:tc>
          <w:tcPr>
            <w:tcW w:w="4678" w:type="dxa"/>
          </w:tcPr>
          <w:p w14:paraId="1CA457C8" w14:textId="77777777" w:rsidR="00594560" w:rsidRPr="00674F20" w:rsidRDefault="00594560" w:rsidP="00C26ED4">
            <w:pPr>
              <w:pStyle w:val="Tabletext9pt"/>
              <w:rPr>
                <w:szCs w:val="18"/>
              </w:rPr>
            </w:pPr>
            <w:r w:rsidRPr="00674F20">
              <w:rPr>
                <w:szCs w:val="18"/>
              </w:rPr>
              <w:t>To investigate, evaluate and respond to environmental health risks, emergencies, or incidents, and to perform activities that help us to better respond to emergencies.</w:t>
            </w:r>
          </w:p>
        </w:tc>
      </w:tr>
      <w:tr w:rsidR="00594560" w:rsidRPr="00674F20" w14:paraId="2703BE3D" w14:textId="77777777" w:rsidTr="002F5FA3">
        <w:tblPrEx>
          <w:tblLook w:val="06A0" w:firstRow="1" w:lastRow="0" w:firstColumn="1" w:lastColumn="0" w:noHBand="1" w:noVBand="1"/>
        </w:tblPrEx>
        <w:tc>
          <w:tcPr>
            <w:tcW w:w="2122" w:type="dxa"/>
          </w:tcPr>
          <w:p w14:paraId="6A99293F" w14:textId="77777777" w:rsidR="00594560" w:rsidRPr="000D467A" w:rsidRDefault="00594560" w:rsidP="00C26ED4">
            <w:pPr>
              <w:pStyle w:val="Tabletext9pt"/>
              <w:rPr>
                <w:szCs w:val="18"/>
              </w:rPr>
            </w:pPr>
            <w:r w:rsidRPr="000D467A">
              <w:rPr>
                <w:szCs w:val="18"/>
              </w:rPr>
              <w:t>16505</w:t>
            </w:r>
          </w:p>
        </w:tc>
        <w:tc>
          <w:tcPr>
            <w:tcW w:w="2551" w:type="dxa"/>
          </w:tcPr>
          <w:p w14:paraId="10D046CF" w14:textId="77777777" w:rsidR="00594560" w:rsidRPr="00674F20" w:rsidRDefault="00594560" w:rsidP="00C26ED4">
            <w:pPr>
              <w:pStyle w:val="Tabletext9pt"/>
              <w:rPr>
                <w:szCs w:val="18"/>
              </w:rPr>
            </w:pPr>
            <w:r w:rsidRPr="00674F20">
              <w:rPr>
                <w:szCs w:val="18"/>
              </w:rPr>
              <w:t>BBV and STI – training and development</w:t>
            </w:r>
          </w:p>
        </w:tc>
        <w:tc>
          <w:tcPr>
            <w:tcW w:w="4678" w:type="dxa"/>
          </w:tcPr>
          <w:p w14:paraId="21391C69" w14:textId="77777777" w:rsidR="00594560" w:rsidRPr="00674F20" w:rsidRDefault="00594560" w:rsidP="00C26ED4">
            <w:pPr>
              <w:pStyle w:val="Tabletext9pt"/>
              <w:rPr>
                <w:szCs w:val="18"/>
              </w:rPr>
            </w:pPr>
            <w:r w:rsidRPr="00674F20">
              <w:rPr>
                <w:szCs w:val="18"/>
              </w:rPr>
              <w:t xml:space="preserve">To provide education and training to the BBV/STI sector, including volunteers and </w:t>
            </w:r>
            <w:r w:rsidRPr="00674F20">
              <w:rPr>
                <w:bCs/>
                <w:szCs w:val="18"/>
              </w:rPr>
              <w:t>organisation</w:t>
            </w:r>
            <w:r w:rsidRPr="00674F20">
              <w:rPr>
                <w:szCs w:val="18"/>
              </w:rPr>
              <w:t xml:space="preserve"> staff, and coordination of information updates.</w:t>
            </w:r>
          </w:p>
        </w:tc>
      </w:tr>
      <w:tr w:rsidR="00594560" w:rsidRPr="00674F20" w14:paraId="6F9A89FA" w14:textId="77777777" w:rsidTr="002F5FA3">
        <w:tblPrEx>
          <w:tblLook w:val="06A0" w:firstRow="1" w:lastRow="0" w:firstColumn="1" w:lastColumn="0" w:noHBand="1" w:noVBand="1"/>
        </w:tblPrEx>
        <w:tc>
          <w:tcPr>
            <w:tcW w:w="2122" w:type="dxa"/>
          </w:tcPr>
          <w:p w14:paraId="5B423933" w14:textId="77777777" w:rsidR="00594560" w:rsidRPr="000D467A" w:rsidRDefault="00594560" w:rsidP="00C26ED4">
            <w:pPr>
              <w:pStyle w:val="Tabletext9pt"/>
              <w:rPr>
                <w:szCs w:val="18"/>
              </w:rPr>
            </w:pPr>
            <w:r w:rsidRPr="000D467A">
              <w:rPr>
                <w:szCs w:val="18"/>
              </w:rPr>
              <w:t>16506</w:t>
            </w:r>
          </w:p>
        </w:tc>
        <w:tc>
          <w:tcPr>
            <w:tcW w:w="2551" w:type="dxa"/>
          </w:tcPr>
          <w:p w14:paraId="16993B63" w14:textId="77777777" w:rsidR="00594560" w:rsidRPr="00674F20" w:rsidRDefault="00594560" w:rsidP="00C26ED4">
            <w:pPr>
              <w:pStyle w:val="Tabletext9pt"/>
              <w:rPr>
                <w:szCs w:val="18"/>
              </w:rPr>
            </w:pPr>
            <w:r w:rsidRPr="00674F20">
              <w:rPr>
                <w:szCs w:val="18"/>
              </w:rPr>
              <w:t>BBV and STI – research</w:t>
            </w:r>
          </w:p>
        </w:tc>
        <w:tc>
          <w:tcPr>
            <w:tcW w:w="4678" w:type="dxa"/>
          </w:tcPr>
          <w:p w14:paraId="0F8800FC" w14:textId="77777777" w:rsidR="00594560" w:rsidRPr="00674F20" w:rsidRDefault="00594560" w:rsidP="00C26ED4">
            <w:pPr>
              <w:pStyle w:val="Tabletext9pt"/>
              <w:rPr>
                <w:szCs w:val="18"/>
              </w:rPr>
            </w:pPr>
            <w:r w:rsidRPr="00674F20">
              <w:rPr>
                <w:szCs w:val="18"/>
              </w:rPr>
              <w:t>To support commission or undertake research projects related to BBV/STIs in Victoria.</w:t>
            </w:r>
          </w:p>
        </w:tc>
      </w:tr>
      <w:tr w:rsidR="00594560" w:rsidRPr="00674F20" w14:paraId="1B34FD18" w14:textId="77777777" w:rsidTr="002F5FA3">
        <w:tblPrEx>
          <w:tblLook w:val="06A0" w:firstRow="1" w:lastRow="0" w:firstColumn="1" w:lastColumn="0" w:noHBand="1" w:noVBand="1"/>
        </w:tblPrEx>
        <w:tc>
          <w:tcPr>
            <w:tcW w:w="2122" w:type="dxa"/>
          </w:tcPr>
          <w:p w14:paraId="670C14FF" w14:textId="77777777" w:rsidR="00594560" w:rsidRPr="000D467A" w:rsidRDefault="00594560" w:rsidP="00C26ED4">
            <w:pPr>
              <w:pStyle w:val="Tabletext9pt"/>
              <w:rPr>
                <w:szCs w:val="18"/>
              </w:rPr>
            </w:pPr>
            <w:r w:rsidRPr="000D467A">
              <w:rPr>
                <w:szCs w:val="18"/>
              </w:rPr>
              <w:t>16507</w:t>
            </w:r>
          </w:p>
        </w:tc>
        <w:tc>
          <w:tcPr>
            <w:tcW w:w="2551" w:type="dxa"/>
          </w:tcPr>
          <w:p w14:paraId="558E61E3" w14:textId="77777777" w:rsidR="00594560" w:rsidRPr="00674F20" w:rsidRDefault="00594560" w:rsidP="00C26ED4">
            <w:pPr>
              <w:pStyle w:val="Tabletext9pt"/>
              <w:rPr>
                <w:szCs w:val="18"/>
              </w:rPr>
            </w:pPr>
            <w:r w:rsidRPr="00674F20">
              <w:rPr>
                <w:szCs w:val="18"/>
              </w:rPr>
              <w:t>BBV and STI – laboratory services</w:t>
            </w:r>
          </w:p>
        </w:tc>
        <w:tc>
          <w:tcPr>
            <w:tcW w:w="4678" w:type="dxa"/>
          </w:tcPr>
          <w:p w14:paraId="524E26D8" w14:textId="77777777" w:rsidR="00594560" w:rsidRPr="00674F20" w:rsidRDefault="00594560" w:rsidP="00C26ED4">
            <w:pPr>
              <w:pStyle w:val="Tabletext9pt"/>
              <w:rPr>
                <w:szCs w:val="18"/>
              </w:rPr>
            </w:pPr>
            <w:r w:rsidRPr="00674F20">
              <w:rPr>
                <w:szCs w:val="18"/>
              </w:rPr>
              <w:t>To provide laboratory-testing services related to BBV/STIs in Victoria.</w:t>
            </w:r>
          </w:p>
        </w:tc>
      </w:tr>
      <w:tr w:rsidR="00594560" w:rsidRPr="00674F20" w14:paraId="0DA4AAA7" w14:textId="77777777" w:rsidTr="002F5FA3">
        <w:tblPrEx>
          <w:tblLook w:val="06A0" w:firstRow="1" w:lastRow="0" w:firstColumn="1" w:lastColumn="0" w:noHBand="1" w:noVBand="1"/>
        </w:tblPrEx>
        <w:tc>
          <w:tcPr>
            <w:tcW w:w="2122" w:type="dxa"/>
          </w:tcPr>
          <w:p w14:paraId="1C3AF35A" w14:textId="77777777" w:rsidR="00594560" w:rsidRPr="00B67FDD" w:rsidRDefault="00594560" w:rsidP="00C26ED4">
            <w:pPr>
              <w:pStyle w:val="Tabletext9pt"/>
              <w:rPr>
                <w:szCs w:val="18"/>
              </w:rPr>
            </w:pPr>
            <w:r w:rsidRPr="00B67FDD">
              <w:rPr>
                <w:szCs w:val="18"/>
              </w:rPr>
              <w:t>16517</w:t>
            </w:r>
          </w:p>
        </w:tc>
        <w:tc>
          <w:tcPr>
            <w:tcW w:w="2551" w:type="dxa"/>
          </w:tcPr>
          <w:p w14:paraId="1C968A35" w14:textId="77777777" w:rsidR="00594560" w:rsidRPr="00674F20" w:rsidRDefault="00594560" w:rsidP="00C26ED4">
            <w:pPr>
              <w:pStyle w:val="Tabletext9pt"/>
              <w:rPr>
                <w:szCs w:val="18"/>
              </w:rPr>
            </w:pPr>
            <w:r w:rsidRPr="00674F20">
              <w:rPr>
                <w:szCs w:val="18"/>
              </w:rPr>
              <w:t>Cancer and screening registers</w:t>
            </w:r>
          </w:p>
        </w:tc>
        <w:tc>
          <w:tcPr>
            <w:tcW w:w="4678" w:type="dxa"/>
          </w:tcPr>
          <w:p w14:paraId="5640C3CE" w14:textId="77777777" w:rsidR="00594560" w:rsidRPr="00674F20" w:rsidRDefault="00594560" w:rsidP="00C26ED4">
            <w:pPr>
              <w:pStyle w:val="Tabletext9pt"/>
              <w:rPr>
                <w:szCs w:val="18"/>
              </w:rPr>
            </w:pPr>
            <w:r w:rsidRPr="00674F20">
              <w:rPr>
                <w:szCs w:val="18"/>
              </w:rPr>
              <w:t>To maintain a register (as prescribed by legislation where applicable) to record data about cancers and screening results for Victorians.</w:t>
            </w:r>
          </w:p>
        </w:tc>
      </w:tr>
    </w:tbl>
    <w:p w14:paraId="7822468B" w14:textId="2D80ABA2" w:rsidR="00594560" w:rsidRDefault="00594560" w:rsidP="00685B35">
      <w:pPr>
        <w:pStyle w:val="Bodyaftertablefigure"/>
        <w:keepNext/>
        <w:keepLines/>
      </w:pPr>
      <w:r>
        <w:t>Output name: Public heal</w:t>
      </w:r>
      <w:r w:rsidR="2D387871">
        <w:t>th</w:t>
      </w:r>
      <w:r>
        <w:t xml:space="preserve"> development</w:t>
      </w:r>
    </w:p>
    <w:tbl>
      <w:tblPr>
        <w:tblStyle w:val="TableGrid1"/>
        <w:tblW w:w="9493" w:type="dxa"/>
        <w:tblLayout w:type="fixed"/>
        <w:tblLook w:val="04A0" w:firstRow="1" w:lastRow="0" w:firstColumn="1" w:lastColumn="0" w:noHBand="0" w:noVBand="1"/>
      </w:tblPr>
      <w:tblGrid>
        <w:gridCol w:w="2122"/>
        <w:gridCol w:w="2551"/>
        <w:gridCol w:w="4820"/>
      </w:tblGrid>
      <w:tr w:rsidR="002F5FA3" w:rsidRPr="0090298C" w14:paraId="545B1064"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2122" w:type="dxa"/>
            <w:shd w:val="clear" w:color="auto" w:fill="auto"/>
          </w:tcPr>
          <w:p w14:paraId="2CF7110B" w14:textId="77777777" w:rsidR="00594560" w:rsidRPr="00685B35" w:rsidRDefault="00594560" w:rsidP="00685B35">
            <w:pPr>
              <w:pStyle w:val="Tablecolhead"/>
            </w:pPr>
            <w:r w:rsidRPr="00685B35">
              <w:rPr>
                <w:sz w:val="20"/>
              </w:rPr>
              <w:t>Activity no.</w:t>
            </w:r>
          </w:p>
        </w:tc>
        <w:tc>
          <w:tcPr>
            <w:tcW w:w="2551" w:type="dxa"/>
            <w:shd w:val="clear" w:color="auto" w:fill="auto"/>
          </w:tcPr>
          <w:p w14:paraId="1D55A0D9" w14:textId="77777777" w:rsidR="00594560" w:rsidRPr="00685B35" w:rsidRDefault="00594560" w:rsidP="00685B35">
            <w:pPr>
              <w:pStyle w:val="Tablecolhead"/>
            </w:pPr>
            <w:r w:rsidRPr="00685B35">
              <w:rPr>
                <w:sz w:val="20"/>
              </w:rPr>
              <w:t>Activity name</w:t>
            </w:r>
          </w:p>
        </w:tc>
        <w:tc>
          <w:tcPr>
            <w:tcW w:w="4820" w:type="dxa"/>
            <w:shd w:val="clear" w:color="auto" w:fill="auto"/>
          </w:tcPr>
          <w:p w14:paraId="7908741A" w14:textId="77777777" w:rsidR="00594560" w:rsidRPr="00685B35" w:rsidRDefault="00594560" w:rsidP="00685B35">
            <w:pPr>
              <w:pStyle w:val="Tablecolhead"/>
            </w:pPr>
            <w:r w:rsidRPr="00685B35">
              <w:rPr>
                <w:sz w:val="20"/>
              </w:rPr>
              <w:t>Activity description</w:t>
            </w:r>
          </w:p>
        </w:tc>
      </w:tr>
      <w:tr w:rsidR="00594560" w:rsidRPr="00674F20" w14:paraId="070922D6" w14:textId="77777777" w:rsidTr="00685B35">
        <w:tblPrEx>
          <w:tblLook w:val="06A0" w:firstRow="1" w:lastRow="0" w:firstColumn="1" w:lastColumn="0" w:noHBand="1" w:noVBand="1"/>
        </w:tblPrEx>
        <w:tc>
          <w:tcPr>
            <w:tcW w:w="2122" w:type="dxa"/>
          </w:tcPr>
          <w:p w14:paraId="043031F9" w14:textId="77777777" w:rsidR="00594560" w:rsidRPr="00020A6E" w:rsidRDefault="00594560" w:rsidP="00C26ED4">
            <w:pPr>
              <w:pStyle w:val="Tabletext9pt"/>
              <w:rPr>
                <w:szCs w:val="18"/>
              </w:rPr>
            </w:pPr>
            <w:r w:rsidRPr="00020A6E">
              <w:rPr>
                <w:szCs w:val="18"/>
              </w:rPr>
              <w:t>16203</w:t>
            </w:r>
          </w:p>
        </w:tc>
        <w:tc>
          <w:tcPr>
            <w:tcW w:w="2551" w:type="dxa"/>
          </w:tcPr>
          <w:p w14:paraId="47F9C671" w14:textId="77777777" w:rsidR="00594560" w:rsidRPr="00674F20" w:rsidRDefault="00594560" w:rsidP="00C26ED4">
            <w:pPr>
              <w:pStyle w:val="Tabletext9pt"/>
              <w:rPr>
                <w:szCs w:val="18"/>
              </w:rPr>
            </w:pPr>
            <w:r w:rsidRPr="00674F20">
              <w:rPr>
                <w:szCs w:val="18"/>
              </w:rPr>
              <w:t>Regulation of ART and associated legislation</w:t>
            </w:r>
            <w:r>
              <w:rPr>
                <w:szCs w:val="18"/>
              </w:rPr>
              <w:t xml:space="preserve"> – this is the responsibility of Regulation, Risk, Integrity &amp; Legal Division</w:t>
            </w:r>
          </w:p>
        </w:tc>
        <w:tc>
          <w:tcPr>
            <w:tcW w:w="4820" w:type="dxa"/>
          </w:tcPr>
          <w:p w14:paraId="543EC49A" w14:textId="77777777" w:rsidR="00594560" w:rsidRPr="00674F20" w:rsidRDefault="00594560" w:rsidP="00C26ED4">
            <w:pPr>
              <w:pStyle w:val="Tabletext9pt"/>
              <w:rPr>
                <w:szCs w:val="18"/>
              </w:rPr>
            </w:pPr>
            <w:r w:rsidRPr="00674F20">
              <w:rPr>
                <w:szCs w:val="18"/>
              </w:rPr>
              <w:t>To provide funding and support of legislation for assisted reproductive technology (ART).</w:t>
            </w:r>
          </w:p>
        </w:tc>
      </w:tr>
      <w:tr w:rsidR="00594560" w:rsidRPr="00324C15" w14:paraId="0AD580C8" w14:textId="77777777" w:rsidTr="00685B35">
        <w:tblPrEx>
          <w:tblLook w:val="06A0" w:firstRow="1" w:lastRow="0" w:firstColumn="1" w:lastColumn="0" w:noHBand="1" w:noVBand="1"/>
        </w:tblPrEx>
        <w:tc>
          <w:tcPr>
            <w:tcW w:w="2122" w:type="dxa"/>
          </w:tcPr>
          <w:p w14:paraId="43C24329" w14:textId="77777777" w:rsidR="00594560" w:rsidRPr="00020A6E" w:rsidRDefault="00594560" w:rsidP="00C26ED4">
            <w:pPr>
              <w:pStyle w:val="Tabletext9pt"/>
              <w:rPr>
                <w:szCs w:val="18"/>
              </w:rPr>
            </w:pPr>
            <w:r w:rsidRPr="00E170C6">
              <w:rPr>
                <w:szCs w:val="18"/>
              </w:rPr>
              <w:t>16107</w:t>
            </w:r>
          </w:p>
        </w:tc>
        <w:tc>
          <w:tcPr>
            <w:tcW w:w="2551" w:type="dxa"/>
          </w:tcPr>
          <w:p w14:paraId="0E974F5E" w14:textId="77777777" w:rsidR="00594560" w:rsidRPr="00674F20" w:rsidRDefault="00594560" w:rsidP="00C26ED4">
            <w:pPr>
              <w:pStyle w:val="Tabletext9pt"/>
              <w:rPr>
                <w:szCs w:val="18"/>
              </w:rPr>
            </w:pPr>
            <w:r w:rsidRPr="00E170C6">
              <w:rPr>
                <w:szCs w:val="18"/>
              </w:rPr>
              <w:t>Public Health Research Capacity Building</w:t>
            </w:r>
          </w:p>
        </w:tc>
        <w:tc>
          <w:tcPr>
            <w:tcW w:w="4820" w:type="dxa"/>
          </w:tcPr>
          <w:p w14:paraId="5DCC89F6" w14:textId="77777777" w:rsidR="00594560" w:rsidRPr="00324C15" w:rsidRDefault="00594560" w:rsidP="00C26ED4">
            <w:pPr>
              <w:pStyle w:val="Tabletext9pt"/>
              <w:rPr>
                <w:rFonts w:eastAsia="MS Gothic"/>
                <w:b/>
                <w:sz w:val="24"/>
                <w:szCs w:val="24"/>
              </w:rPr>
            </w:pPr>
            <w:r>
              <w:t>To develop an evidence base that will assist Victorian medical practitioners to safely prescribe cannabidiol, a medicinal cannabis product, to children with severe intractable epilepsy.</w:t>
            </w:r>
          </w:p>
        </w:tc>
      </w:tr>
    </w:tbl>
    <w:p w14:paraId="56BDAE71" w14:textId="09F5F125" w:rsidR="00594560" w:rsidRDefault="7D029CB8" w:rsidP="00FC00E9">
      <w:pPr>
        <w:pStyle w:val="Bodyaftertablefigure"/>
      </w:pPr>
      <w:r>
        <w:t xml:space="preserve">Output name: </w:t>
      </w:r>
      <w:r w:rsidR="00594560" w:rsidDel="7D029CB8">
        <w:t>Primary and dental health</w:t>
      </w:r>
      <w:r w:rsidR="009833D8">
        <w:t xml:space="preserve"> –</w:t>
      </w:r>
      <w:r w:rsidR="00B702B9" w:rsidRPr="00B702B9">
        <w:t xml:space="preserve"> </w:t>
      </w:r>
      <w:r w:rsidR="00B702B9">
        <w:t xml:space="preserve">this table refers to </w:t>
      </w:r>
      <w:r w:rsidR="009833D8">
        <w:t>public h</w:t>
      </w:r>
      <w:r w:rsidR="00B702B9">
        <w:t>ealth activity and programs</w:t>
      </w:r>
    </w:p>
    <w:tbl>
      <w:tblPr>
        <w:tblStyle w:val="TableGrid1"/>
        <w:tblW w:w="9351" w:type="dxa"/>
        <w:tblLook w:val="04A0" w:firstRow="1" w:lastRow="0" w:firstColumn="1" w:lastColumn="0" w:noHBand="0" w:noVBand="1"/>
      </w:tblPr>
      <w:tblGrid>
        <w:gridCol w:w="2122"/>
        <w:gridCol w:w="2551"/>
        <w:gridCol w:w="4678"/>
      </w:tblGrid>
      <w:tr w:rsidR="00594560" w:rsidRPr="0090298C" w14:paraId="1CD3D096" w14:textId="77777777" w:rsidTr="00685B35">
        <w:trPr>
          <w:cnfStyle w:val="100000000000" w:firstRow="1" w:lastRow="0" w:firstColumn="0" w:lastColumn="0" w:oddVBand="0" w:evenVBand="0" w:oddHBand="0" w:evenHBand="0" w:firstRowFirstColumn="0" w:firstRowLastColumn="0" w:lastRowFirstColumn="0" w:lastRowLastColumn="0"/>
          <w:tblHeader/>
        </w:trPr>
        <w:tc>
          <w:tcPr>
            <w:tcW w:w="0" w:type="dxa"/>
            <w:shd w:val="clear" w:color="auto" w:fill="auto"/>
          </w:tcPr>
          <w:p w14:paraId="765727C6" w14:textId="77777777" w:rsidR="00594560" w:rsidRPr="00685B35" w:rsidRDefault="00594560" w:rsidP="00685B35">
            <w:pPr>
              <w:pStyle w:val="Tablecolhead"/>
            </w:pPr>
            <w:r w:rsidRPr="00685B35">
              <w:rPr>
                <w:rFonts w:eastAsia="Times New Roman"/>
                <w:sz w:val="20"/>
              </w:rPr>
              <w:t>Activity no.</w:t>
            </w:r>
          </w:p>
        </w:tc>
        <w:tc>
          <w:tcPr>
            <w:tcW w:w="0" w:type="dxa"/>
            <w:shd w:val="clear" w:color="auto" w:fill="auto"/>
          </w:tcPr>
          <w:p w14:paraId="089DD304" w14:textId="77777777" w:rsidR="00594560" w:rsidRPr="00685B35" w:rsidRDefault="00594560" w:rsidP="00685B35">
            <w:pPr>
              <w:pStyle w:val="Tablecolhead"/>
            </w:pPr>
            <w:r w:rsidRPr="00685B35">
              <w:rPr>
                <w:rFonts w:eastAsia="Times New Roman"/>
                <w:sz w:val="20"/>
              </w:rPr>
              <w:t>Activity name</w:t>
            </w:r>
          </w:p>
        </w:tc>
        <w:tc>
          <w:tcPr>
            <w:tcW w:w="0" w:type="dxa"/>
            <w:shd w:val="clear" w:color="auto" w:fill="auto"/>
          </w:tcPr>
          <w:p w14:paraId="29B4EC23" w14:textId="77777777" w:rsidR="00594560" w:rsidRPr="00685B35" w:rsidRDefault="00594560" w:rsidP="00685B35">
            <w:pPr>
              <w:pStyle w:val="Tablecolhead"/>
            </w:pPr>
            <w:r w:rsidRPr="00685B35">
              <w:rPr>
                <w:rFonts w:eastAsia="Times New Roman"/>
                <w:sz w:val="20"/>
              </w:rPr>
              <w:t>Activity description</w:t>
            </w:r>
          </w:p>
        </w:tc>
      </w:tr>
      <w:tr w:rsidR="00594560" w:rsidRPr="005D703B" w14:paraId="6565EE8E" w14:textId="77777777" w:rsidTr="002F5FA3">
        <w:tblPrEx>
          <w:tblLook w:val="06A0" w:firstRow="1" w:lastRow="0" w:firstColumn="1" w:lastColumn="0" w:noHBand="1" w:noVBand="1"/>
        </w:tblPrEx>
        <w:tc>
          <w:tcPr>
            <w:tcW w:w="2122" w:type="dxa"/>
          </w:tcPr>
          <w:p w14:paraId="3BDDADC7" w14:textId="77777777" w:rsidR="00594560" w:rsidRPr="009833D8" w:rsidRDefault="00594560" w:rsidP="00685B35">
            <w:pPr>
              <w:pStyle w:val="Tabletext9pt"/>
            </w:pPr>
            <w:r w:rsidRPr="009833D8">
              <w:t>28043</w:t>
            </w:r>
          </w:p>
        </w:tc>
        <w:tc>
          <w:tcPr>
            <w:tcW w:w="2551" w:type="dxa"/>
          </w:tcPr>
          <w:p w14:paraId="42608941" w14:textId="77777777" w:rsidR="00594560" w:rsidRPr="009833D8" w:rsidRDefault="00594560" w:rsidP="00685B35">
            <w:pPr>
              <w:pStyle w:val="Tabletext9pt"/>
            </w:pPr>
            <w:r w:rsidRPr="009833D8">
              <w:t>Workforce development</w:t>
            </w:r>
          </w:p>
        </w:tc>
        <w:tc>
          <w:tcPr>
            <w:tcW w:w="4678" w:type="dxa"/>
          </w:tcPr>
          <w:p w14:paraId="0C7E53EA" w14:textId="77777777" w:rsidR="00594560" w:rsidRPr="009833D8" w:rsidRDefault="00594560" w:rsidP="00685B35">
            <w:pPr>
              <w:pStyle w:val="Tabletext9pt"/>
            </w:pPr>
            <w:r w:rsidRPr="009833D8">
              <w:t>Provision of professional, management and organisational development activities for agency staff, managers, and board members</w:t>
            </w:r>
          </w:p>
        </w:tc>
      </w:tr>
      <w:tr w:rsidR="00594560" w:rsidRPr="00973B2D" w14:paraId="38519DD6" w14:textId="77777777" w:rsidTr="00685B35">
        <w:tblPrEx>
          <w:tblLook w:val="06A0" w:firstRow="1" w:lastRow="0" w:firstColumn="1" w:lastColumn="0" w:noHBand="1" w:noVBand="1"/>
        </w:tblPrEx>
        <w:trPr>
          <w:cantSplit/>
        </w:trPr>
        <w:tc>
          <w:tcPr>
            <w:tcW w:w="0" w:type="dxa"/>
          </w:tcPr>
          <w:p w14:paraId="787FF2BF" w14:textId="77777777" w:rsidR="00594560" w:rsidRPr="009833D8" w:rsidRDefault="00594560" w:rsidP="00685B35">
            <w:pPr>
              <w:pStyle w:val="Tabletext9pt"/>
            </w:pPr>
            <w:r w:rsidRPr="009833D8">
              <w:t>28050</w:t>
            </w:r>
          </w:p>
        </w:tc>
        <w:tc>
          <w:tcPr>
            <w:tcW w:w="0" w:type="dxa"/>
          </w:tcPr>
          <w:p w14:paraId="5F908D55" w14:textId="3B30BF68" w:rsidR="00594560" w:rsidRPr="009833D8" w:rsidRDefault="00594560" w:rsidP="00685B35">
            <w:pPr>
              <w:pStyle w:val="Tabletext9pt"/>
            </w:pPr>
            <w:r w:rsidRPr="009833D8">
              <w:t xml:space="preserve">Women’s health – </w:t>
            </w:r>
            <w:r w:rsidR="009833D8" w:rsidRPr="009833D8">
              <w:t xml:space="preserve">health </w:t>
            </w:r>
            <w:r w:rsidRPr="009833D8">
              <w:t>promotion (Prevention &amp; Population Health contributes)</w:t>
            </w:r>
          </w:p>
        </w:tc>
        <w:tc>
          <w:tcPr>
            <w:tcW w:w="0" w:type="dxa"/>
          </w:tcPr>
          <w:p w14:paraId="478AF123" w14:textId="582BBDA4" w:rsidR="00594560" w:rsidRPr="009833D8" w:rsidRDefault="0060296B" w:rsidP="00685B35">
            <w:pPr>
              <w:pStyle w:val="Tabletext9pt"/>
            </w:pPr>
            <w:r w:rsidRPr="009833D8">
              <w:t xml:space="preserve">Statewide health promotion through </w:t>
            </w:r>
            <w:r w:rsidR="00594560" w:rsidRPr="009833D8">
              <w:t>system change by influencing, advising, and working with other health services and local organisations as they seek to respond effectively to the health needs of women. Direct work includes engagement by the service itself, or in partnership or collaboration with others, with women and communities.</w:t>
            </w:r>
          </w:p>
        </w:tc>
      </w:tr>
      <w:tr w:rsidR="00594560" w:rsidRPr="00A17B28" w14:paraId="69E5961A" w14:textId="77777777" w:rsidTr="002F5FA3">
        <w:tblPrEx>
          <w:tblLook w:val="06A0" w:firstRow="1" w:lastRow="0" w:firstColumn="1" w:lastColumn="0" w:noHBand="1" w:noVBand="1"/>
        </w:tblPrEx>
        <w:tc>
          <w:tcPr>
            <w:tcW w:w="2122" w:type="dxa"/>
          </w:tcPr>
          <w:p w14:paraId="41C6C4A1" w14:textId="77777777" w:rsidR="00594560" w:rsidRPr="009833D8" w:rsidRDefault="00594560" w:rsidP="00685B35">
            <w:pPr>
              <w:pStyle w:val="Tabletext9pt"/>
            </w:pPr>
            <w:r w:rsidRPr="009833D8">
              <w:t>28063</w:t>
            </w:r>
          </w:p>
        </w:tc>
        <w:tc>
          <w:tcPr>
            <w:tcW w:w="2551" w:type="dxa"/>
          </w:tcPr>
          <w:p w14:paraId="0172227E" w14:textId="211713A6" w:rsidR="00594560" w:rsidRPr="009833D8" w:rsidRDefault="00594560" w:rsidP="00685B35">
            <w:pPr>
              <w:pStyle w:val="Tabletext9pt"/>
            </w:pPr>
            <w:r w:rsidRPr="009833D8">
              <w:t xml:space="preserve">Family planning – </w:t>
            </w:r>
            <w:r w:rsidR="006B42FC">
              <w:t>e</w:t>
            </w:r>
            <w:r w:rsidR="006B42FC" w:rsidRPr="009833D8">
              <w:t xml:space="preserve">ducation </w:t>
            </w:r>
            <w:r w:rsidRPr="009833D8">
              <w:t>&amp; training</w:t>
            </w:r>
          </w:p>
        </w:tc>
        <w:tc>
          <w:tcPr>
            <w:tcW w:w="4678" w:type="dxa"/>
          </w:tcPr>
          <w:p w14:paraId="12A1F2A0" w14:textId="77777777" w:rsidR="00594560" w:rsidRPr="009833D8" w:rsidRDefault="00594560" w:rsidP="00685B35">
            <w:pPr>
              <w:pStyle w:val="Tabletext9pt"/>
            </w:pPr>
            <w:bookmarkStart w:id="977" w:name="_Hlk10731708"/>
            <w:r w:rsidRPr="009833D8">
              <w:t>To improve women’s health for all Victorian women, especially disadvantaged groups.</w:t>
            </w:r>
            <w:bookmarkEnd w:id="977"/>
          </w:p>
        </w:tc>
      </w:tr>
      <w:tr w:rsidR="00594560" w:rsidRPr="00674F20" w14:paraId="36BB075B" w14:textId="77777777" w:rsidTr="002F5FA3">
        <w:tblPrEx>
          <w:tblLook w:val="06A0" w:firstRow="1" w:lastRow="0" w:firstColumn="1" w:lastColumn="0" w:noHBand="1" w:noVBand="1"/>
        </w:tblPrEx>
        <w:tc>
          <w:tcPr>
            <w:tcW w:w="2122" w:type="dxa"/>
          </w:tcPr>
          <w:p w14:paraId="7E243D15" w14:textId="77777777" w:rsidR="00594560" w:rsidRPr="009833D8" w:rsidRDefault="00594560" w:rsidP="00685B35">
            <w:pPr>
              <w:pStyle w:val="Tabletext9pt"/>
            </w:pPr>
            <w:r w:rsidRPr="009833D8">
              <w:t>28064</w:t>
            </w:r>
          </w:p>
        </w:tc>
        <w:tc>
          <w:tcPr>
            <w:tcW w:w="2551" w:type="dxa"/>
          </w:tcPr>
          <w:p w14:paraId="4F484BD5" w14:textId="3D29D7EE" w:rsidR="00594560" w:rsidRPr="009833D8" w:rsidRDefault="00594560" w:rsidP="00685B35">
            <w:pPr>
              <w:pStyle w:val="Tabletext9pt"/>
            </w:pPr>
            <w:r w:rsidRPr="009833D8">
              <w:t xml:space="preserve">Family </w:t>
            </w:r>
            <w:r w:rsidR="006B42FC">
              <w:t>p</w:t>
            </w:r>
            <w:r w:rsidR="006B42FC" w:rsidRPr="009833D8">
              <w:t xml:space="preserve">lanning </w:t>
            </w:r>
            <w:r w:rsidRPr="009833D8">
              <w:t xml:space="preserve">– </w:t>
            </w:r>
            <w:r w:rsidR="006B42FC">
              <w:t>c</w:t>
            </w:r>
            <w:r w:rsidR="006B42FC" w:rsidRPr="009833D8">
              <w:t xml:space="preserve">linical </w:t>
            </w:r>
            <w:r w:rsidRPr="009833D8">
              <w:t>services &amp; training</w:t>
            </w:r>
          </w:p>
        </w:tc>
        <w:tc>
          <w:tcPr>
            <w:tcW w:w="4678" w:type="dxa"/>
          </w:tcPr>
          <w:p w14:paraId="2392184D" w14:textId="77777777" w:rsidR="00594560" w:rsidRPr="009833D8" w:rsidRDefault="00594560" w:rsidP="00685B35">
            <w:pPr>
              <w:pStyle w:val="Tabletext9pt"/>
            </w:pPr>
            <w:r w:rsidRPr="009833D8">
              <w:t>To improve women’s health for all Victorian women, especially disadvantaged groups.</w:t>
            </w:r>
          </w:p>
        </w:tc>
      </w:tr>
      <w:tr w:rsidR="00594560" w:rsidRPr="00D65B27" w14:paraId="73541B1B" w14:textId="77777777" w:rsidTr="002F5FA3">
        <w:tblPrEx>
          <w:tblLook w:val="06A0" w:firstRow="1" w:lastRow="0" w:firstColumn="1" w:lastColumn="0" w:noHBand="1" w:noVBand="1"/>
        </w:tblPrEx>
        <w:tc>
          <w:tcPr>
            <w:tcW w:w="2122" w:type="dxa"/>
          </w:tcPr>
          <w:p w14:paraId="295F0709" w14:textId="77777777" w:rsidR="00594560" w:rsidRPr="009833D8" w:rsidRDefault="00594560" w:rsidP="00685B35">
            <w:pPr>
              <w:pStyle w:val="Tabletext9pt"/>
            </w:pPr>
            <w:r w:rsidRPr="009833D8">
              <w:t>28068</w:t>
            </w:r>
          </w:p>
        </w:tc>
        <w:tc>
          <w:tcPr>
            <w:tcW w:w="2551" w:type="dxa"/>
          </w:tcPr>
          <w:p w14:paraId="3D9DBF4F" w14:textId="77777777" w:rsidR="00594560" w:rsidRPr="009833D8" w:rsidRDefault="00594560" w:rsidP="00685B35">
            <w:pPr>
              <w:pStyle w:val="Tabletext9pt"/>
            </w:pPr>
            <w:r w:rsidRPr="009833D8">
              <w:t>Family planning</w:t>
            </w:r>
          </w:p>
        </w:tc>
        <w:tc>
          <w:tcPr>
            <w:tcW w:w="4678" w:type="dxa"/>
          </w:tcPr>
          <w:p w14:paraId="67C107C6" w14:textId="77777777" w:rsidR="00594560" w:rsidRPr="009833D8" w:rsidRDefault="00594560" w:rsidP="00685B35">
            <w:pPr>
              <w:pStyle w:val="Tabletext9pt"/>
            </w:pPr>
            <w:r w:rsidRPr="009833D8">
              <w:t>To assist Victorians to make individual choices on sexual and reproductive health matters</w:t>
            </w:r>
          </w:p>
        </w:tc>
      </w:tr>
      <w:tr w:rsidR="00594560" w:rsidRPr="00674F20" w14:paraId="4B7DA100" w14:textId="77777777" w:rsidTr="00685B35">
        <w:tblPrEx>
          <w:tblLook w:val="06A0" w:firstRow="1" w:lastRow="0" w:firstColumn="1" w:lastColumn="0" w:noHBand="1" w:noVBand="1"/>
        </w:tblPrEx>
        <w:trPr>
          <w:cantSplit/>
        </w:trPr>
        <w:tc>
          <w:tcPr>
            <w:tcW w:w="0" w:type="dxa"/>
          </w:tcPr>
          <w:p w14:paraId="41273D76" w14:textId="77777777" w:rsidR="00594560" w:rsidRPr="009833D8" w:rsidRDefault="00594560" w:rsidP="00685B35">
            <w:pPr>
              <w:pStyle w:val="Tabletext9pt"/>
            </w:pPr>
            <w:r w:rsidRPr="009833D8">
              <w:lastRenderedPageBreak/>
              <w:t>28085</w:t>
            </w:r>
          </w:p>
          <w:p w14:paraId="196DB382" w14:textId="77777777" w:rsidR="00594560" w:rsidRPr="009833D8" w:rsidRDefault="00594560" w:rsidP="00685B35">
            <w:pPr>
              <w:pStyle w:val="Tabletext9pt"/>
            </w:pPr>
          </w:p>
        </w:tc>
        <w:tc>
          <w:tcPr>
            <w:tcW w:w="0" w:type="dxa"/>
          </w:tcPr>
          <w:p w14:paraId="208C3B53" w14:textId="094DAC31" w:rsidR="00594560" w:rsidRPr="009833D8" w:rsidRDefault="00594560" w:rsidP="00685B35">
            <w:pPr>
              <w:pStyle w:val="Tabletext9pt"/>
            </w:pPr>
            <w:r w:rsidRPr="009833D8">
              <w:t xml:space="preserve">Community health – </w:t>
            </w:r>
            <w:r w:rsidR="006B42FC">
              <w:t>h</w:t>
            </w:r>
            <w:r w:rsidR="006B42FC" w:rsidRPr="009833D8">
              <w:t xml:space="preserve">ealth </w:t>
            </w:r>
            <w:r w:rsidRPr="009833D8">
              <w:t>promotion</w:t>
            </w:r>
          </w:p>
        </w:tc>
        <w:tc>
          <w:tcPr>
            <w:tcW w:w="0" w:type="dxa"/>
          </w:tcPr>
          <w:p w14:paraId="3ECCA25D" w14:textId="03D38868" w:rsidR="00594560" w:rsidRPr="009833D8" w:rsidRDefault="00594560" w:rsidP="00685B35">
            <w:pPr>
              <w:pStyle w:val="Tabletext9pt"/>
            </w:pPr>
            <w:r w:rsidRPr="009833D8">
              <w:t xml:space="preserve">Health </w:t>
            </w:r>
            <w:r w:rsidR="006B42FC">
              <w:t>p</w:t>
            </w:r>
            <w:r w:rsidR="006B42FC" w:rsidRPr="009833D8">
              <w:t xml:space="preserve">romotion </w:t>
            </w:r>
            <w:r w:rsidRPr="009833D8">
              <w:t xml:space="preserve">funding is provided to agencies across Victoria (primarily community health services) to develop and implement prevention and health promotion initiatives. Initiatives should have a focus on primary prevention (aimed at preventing problems from occurring in the first place), and be developed and delivered at a scale that can impact on the health and wellbeing at a population level. </w:t>
            </w:r>
          </w:p>
        </w:tc>
      </w:tr>
    </w:tbl>
    <w:p w14:paraId="4AE10529" w14:textId="77777777" w:rsidR="00DA25C1" w:rsidRDefault="00DA25C1"/>
    <w:p w14:paraId="3F560107" w14:textId="4DAB9787" w:rsidR="00DA25C1" w:rsidRDefault="00DA25C1">
      <w:r>
        <w:br w:type="page"/>
      </w:r>
    </w:p>
    <w:p w14:paraId="3DB344AE" w14:textId="733FEF32" w:rsidR="000B27B9" w:rsidRPr="0026034E" w:rsidRDefault="000B27B9" w:rsidP="00E02B46">
      <w:pPr>
        <w:pStyle w:val="Heading1"/>
      </w:pPr>
      <w:bookmarkStart w:id="978" w:name="_Toc100263363"/>
      <w:bookmarkStart w:id="979" w:name="_Toc156569687"/>
      <w:bookmarkEnd w:id="967"/>
      <w:bookmarkEnd w:id="968"/>
      <w:bookmarkEnd w:id="969"/>
      <w:bookmarkEnd w:id="970"/>
      <w:bookmarkEnd w:id="971"/>
      <w:bookmarkEnd w:id="972"/>
      <w:r>
        <w:lastRenderedPageBreak/>
        <w:t xml:space="preserve">Funding and </w:t>
      </w:r>
      <w:r w:rsidR="006B42FC">
        <w:t xml:space="preserve">activity </w:t>
      </w:r>
      <w:bookmarkEnd w:id="973"/>
      <w:bookmarkEnd w:id="978"/>
      <w:r w:rsidR="006B42FC">
        <w:t>levels</w:t>
      </w:r>
      <w:bookmarkEnd w:id="979"/>
    </w:p>
    <w:p w14:paraId="45892A94" w14:textId="77777777" w:rsidR="000B27B9" w:rsidRDefault="000B27B9" w:rsidP="00B92CD4">
      <w:pPr>
        <w:pStyle w:val="Body"/>
      </w:pPr>
    </w:p>
    <w:p w14:paraId="2C3CD0CC" w14:textId="77777777" w:rsidR="00DF3E40" w:rsidRDefault="00DF3E40" w:rsidP="00685B35">
      <w:pPr>
        <w:pStyle w:val="Heading2"/>
        <w:sectPr w:rsidR="00DF3E40" w:rsidSect="003A5AF1">
          <w:headerReference w:type="even" r:id="rId83"/>
          <w:headerReference w:type="default" r:id="rId84"/>
          <w:footerReference w:type="default" r:id="rId85"/>
          <w:pgSz w:w="11906" w:h="16838" w:code="9"/>
          <w:pgMar w:top="1843" w:right="1304" w:bottom="1134" w:left="1304" w:header="680" w:footer="851" w:gutter="0"/>
          <w:cols w:space="340"/>
          <w:docGrid w:linePitch="360"/>
        </w:sectPr>
      </w:pPr>
      <w:bookmarkStart w:id="980" w:name="_Toc12780655"/>
      <w:bookmarkStart w:id="981" w:name="_Toc14172296"/>
      <w:bookmarkStart w:id="982" w:name="_Toc33703970"/>
      <w:bookmarkStart w:id="983" w:name="_Toc55381158"/>
    </w:p>
    <w:p w14:paraId="3A333AD8" w14:textId="7B7F3091" w:rsidR="000B27B9" w:rsidRPr="004903A7" w:rsidRDefault="000B27B9" w:rsidP="00685B35">
      <w:pPr>
        <w:pStyle w:val="Heading2"/>
      </w:pPr>
      <w:bookmarkStart w:id="984" w:name="_Ref74211066"/>
      <w:bookmarkStart w:id="985" w:name="_Ref74211072"/>
      <w:bookmarkStart w:id="986" w:name="_Ref74211078"/>
      <w:bookmarkStart w:id="987" w:name="_Ref74211087"/>
      <w:bookmarkStart w:id="988" w:name="_Toc100263364"/>
      <w:bookmarkStart w:id="989" w:name="_Toc156569688"/>
      <w:r w:rsidRPr="004903A7">
        <w:lastRenderedPageBreak/>
        <w:t xml:space="preserve">Budget </w:t>
      </w:r>
      <w:bookmarkEnd w:id="980"/>
      <w:bookmarkEnd w:id="981"/>
      <w:bookmarkEnd w:id="982"/>
      <w:bookmarkEnd w:id="983"/>
      <w:bookmarkEnd w:id="984"/>
      <w:bookmarkEnd w:id="985"/>
      <w:bookmarkEnd w:id="986"/>
      <w:bookmarkEnd w:id="987"/>
      <w:bookmarkEnd w:id="988"/>
      <w:r w:rsidR="006B42FC">
        <w:t>t</w:t>
      </w:r>
      <w:r w:rsidR="006B42FC" w:rsidRPr="004903A7">
        <w:t>ables</w:t>
      </w:r>
      <w:bookmarkEnd w:id="989"/>
    </w:p>
    <w:p w14:paraId="5A654A75" w14:textId="1B1E561A" w:rsidR="000B27B9" w:rsidRPr="00A67ABC" w:rsidRDefault="000B27B9" w:rsidP="00081936">
      <w:pPr>
        <w:pStyle w:val="Heading3"/>
        <w:numPr>
          <w:ilvl w:val="2"/>
          <w:numId w:val="33"/>
        </w:numPr>
        <w:spacing w:before="240"/>
        <w:ind w:left="1134"/>
      </w:pPr>
      <w:bookmarkStart w:id="990" w:name="_Toc12780656"/>
      <w:bookmarkStart w:id="991" w:name="_Toc14172297"/>
      <w:bookmarkStart w:id="992" w:name="_Toc33703971"/>
      <w:bookmarkStart w:id="993" w:name="_Toc55381159"/>
      <w:bookmarkStart w:id="994" w:name="_Toc156569689"/>
      <w:r w:rsidRPr="00A67ABC">
        <w:t xml:space="preserve">Health </w:t>
      </w:r>
      <w:r w:rsidR="006B42FC" w:rsidRPr="00A67ABC">
        <w:t xml:space="preserve">service modelled budgets </w:t>
      </w:r>
      <w:r w:rsidRPr="00A67ABC">
        <w:t>20</w:t>
      </w:r>
      <w:r w:rsidR="006979F4" w:rsidRPr="00A67ABC">
        <w:t>2</w:t>
      </w:r>
      <w:r w:rsidR="009B304D">
        <w:t>2</w:t>
      </w:r>
      <w:r w:rsidR="00CA1B3E" w:rsidRPr="00A67ABC">
        <w:t>–</w:t>
      </w:r>
      <w:r w:rsidR="006979F4" w:rsidRPr="00A67ABC">
        <w:t>2</w:t>
      </w:r>
      <w:r w:rsidR="009B304D">
        <w:t>3</w:t>
      </w:r>
      <w:r w:rsidRPr="00A67ABC">
        <w:t xml:space="preserve"> and </w:t>
      </w:r>
      <w:bookmarkEnd w:id="990"/>
      <w:bookmarkEnd w:id="991"/>
      <w:bookmarkEnd w:id="992"/>
      <w:bookmarkEnd w:id="993"/>
      <w:r w:rsidR="005D1FCB" w:rsidRPr="00A67ABC">
        <w:t>202</w:t>
      </w:r>
      <w:r w:rsidR="009B304D">
        <w:t>3</w:t>
      </w:r>
      <w:r w:rsidR="00CA1B3E" w:rsidRPr="00A67ABC">
        <w:t>–</w:t>
      </w:r>
      <w:r w:rsidR="005D1FCB" w:rsidRPr="00A67ABC">
        <w:t>2</w:t>
      </w:r>
      <w:r w:rsidR="009B304D">
        <w:t>4</w:t>
      </w:r>
      <w:bookmarkEnd w:id="994"/>
    </w:p>
    <w:p w14:paraId="7AE64A1C" w14:textId="7AC55246" w:rsidR="000B27B9" w:rsidRPr="00A67ABC" w:rsidRDefault="000B27B9" w:rsidP="0064265C">
      <w:pPr>
        <w:pStyle w:val="Tablefigurenote9pt"/>
      </w:pPr>
      <w:r w:rsidRPr="00A67ABC">
        <w:t>Notes:</w:t>
      </w:r>
    </w:p>
    <w:p w14:paraId="6FB60BAE" w14:textId="0F2BF484" w:rsidR="000B27B9" w:rsidRPr="00A67ABC" w:rsidRDefault="000B27B9" w:rsidP="00BF6845">
      <w:pPr>
        <w:pStyle w:val="Tablenoteroman"/>
      </w:pPr>
      <w:r w:rsidRPr="00A67ABC">
        <w:t xml:space="preserve">Please see </w:t>
      </w:r>
      <w:r w:rsidRPr="00A67ABC">
        <w:fldChar w:fldCharType="begin"/>
      </w:r>
      <w:r w:rsidRPr="00A67ABC">
        <w:instrText xml:space="preserve"> REF _Ref485757837 \h </w:instrText>
      </w:r>
      <w:r w:rsidR="00A67ABC">
        <w:instrText xml:space="preserve"> \* MERGEFORMAT </w:instrText>
      </w:r>
      <w:r w:rsidRPr="00A67ABC">
        <w:fldChar w:fldCharType="separate"/>
      </w:r>
      <w:r w:rsidR="00892F13" w:rsidRPr="00216EF2">
        <w:t xml:space="preserve">Table </w:t>
      </w:r>
      <w:r w:rsidR="00892F13">
        <w:rPr>
          <w:noProof/>
        </w:rPr>
        <w:t>2.3</w:t>
      </w:r>
      <w:r w:rsidRPr="00A67ABC">
        <w:fldChar w:fldCharType="end"/>
      </w:r>
      <w:r w:rsidRPr="00A67ABC">
        <w:t xml:space="preserve"> for details on funding </w:t>
      </w:r>
      <w:r w:rsidRPr="00A67ABC">
        <w:rPr>
          <w:rFonts w:cs="Arial"/>
          <w:color w:val="000000" w:themeColor="text1"/>
          <w:lang w:eastAsia="en-AU"/>
        </w:rPr>
        <w:t>flowing through the National Health Funding Pool</w:t>
      </w:r>
      <w:r w:rsidRPr="00A67ABC">
        <w:t>.</w:t>
      </w:r>
    </w:p>
    <w:p w14:paraId="35EB07A0" w14:textId="5FD307FE" w:rsidR="000B27B9" w:rsidRPr="00A67ABC" w:rsidRDefault="000B27B9" w:rsidP="000B27B9">
      <w:pPr>
        <w:pStyle w:val="Tablenoteroman"/>
      </w:pPr>
      <w:r w:rsidRPr="00A67ABC">
        <w:t xml:space="preserve">Please see </w:t>
      </w:r>
      <w:r w:rsidRPr="00A67ABC">
        <w:fldChar w:fldCharType="begin"/>
      </w:r>
      <w:r w:rsidRPr="00A67ABC">
        <w:instrText xml:space="preserve"> REF _Ref452894778 \h </w:instrText>
      </w:r>
      <w:r w:rsidR="00A67ABC">
        <w:instrText xml:space="preserve"> \* MERGEFORMAT </w:instrText>
      </w:r>
      <w:r w:rsidRPr="00A67ABC">
        <w:fldChar w:fldCharType="separate"/>
      </w:r>
      <w:r w:rsidR="00892F13">
        <w:t xml:space="preserve">Table </w:t>
      </w:r>
      <w:r w:rsidR="00892F13">
        <w:rPr>
          <w:noProof/>
        </w:rPr>
        <w:t>2.4</w:t>
      </w:r>
      <w:r w:rsidRPr="00A67ABC">
        <w:fldChar w:fldCharType="end"/>
      </w:r>
      <w:r w:rsidRPr="00A67ABC">
        <w:t xml:space="preserve"> for details on mental health expenditure.</w:t>
      </w:r>
    </w:p>
    <w:p w14:paraId="7F7B93B6" w14:textId="77777777" w:rsidR="000B27B9" w:rsidRPr="00A67ABC" w:rsidRDefault="000B27B9" w:rsidP="000B27B9">
      <w:pPr>
        <w:pStyle w:val="Tablenoteroman"/>
        <w:rPr>
          <w:b/>
          <w:lang w:eastAsia="en-AU"/>
        </w:rPr>
      </w:pPr>
      <w:r w:rsidRPr="00A67ABC">
        <w:rPr>
          <w:lang w:eastAsia="en-AU"/>
        </w:rPr>
        <w:t>Subtotals and totals may not add up due to rounding.</w:t>
      </w:r>
    </w:p>
    <w:p w14:paraId="628DCF1A" w14:textId="17EB0AA3" w:rsidR="00925E8D" w:rsidRPr="00A67ABC" w:rsidRDefault="00925E8D" w:rsidP="000B27B9">
      <w:pPr>
        <w:pStyle w:val="Tablenoteroman"/>
        <w:rPr>
          <w:lang w:eastAsia="en-AU"/>
        </w:rPr>
      </w:pPr>
      <w:r w:rsidRPr="00A67ABC">
        <w:rPr>
          <w:lang w:eastAsia="en-AU"/>
        </w:rPr>
        <w:t xml:space="preserve">When published, Statement of Priorities </w:t>
      </w:r>
      <w:r w:rsidR="00BA5CF5" w:rsidRPr="00A67ABC">
        <w:rPr>
          <w:lang w:eastAsia="en-AU"/>
        </w:rPr>
        <w:t xml:space="preserve">Part C </w:t>
      </w:r>
      <w:r w:rsidR="007615EC" w:rsidRPr="00A67ABC">
        <w:rPr>
          <w:lang w:eastAsia="en-AU"/>
        </w:rPr>
        <w:t>supersede</w:t>
      </w:r>
      <w:r w:rsidR="00BA5CF5" w:rsidRPr="00A67ABC">
        <w:rPr>
          <w:lang w:eastAsia="en-AU"/>
        </w:rPr>
        <w:t xml:space="preserve"> these table</w:t>
      </w:r>
      <w:r w:rsidR="004A627F" w:rsidRPr="00A67ABC">
        <w:rPr>
          <w:lang w:eastAsia="en-AU"/>
        </w:rPr>
        <w:t>s.</w:t>
      </w:r>
    </w:p>
    <w:p w14:paraId="42DEB45D" w14:textId="033DD7CB" w:rsidR="000B27B9" w:rsidRDefault="000B27B9" w:rsidP="000E08EF">
      <w:pPr>
        <w:pStyle w:val="Tablecaption"/>
      </w:pPr>
      <w:bookmarkStart w:id="995" w:name="_Toc12780560"/>
      <w:bookmarkStart w:id="996" w:name="_Toc14194816"/>
      <w:bookmarkStart w:id="997" w:name="_Toc33703997"/>
      <w:bookmarkStart w:id="998" w:name="_Toc156568678"/>
      <w:r w:rsidRPr="00A67ABC">
        <w:t xml:space="preserve">Table </w:t>
      </w:r>
      <w:r>
        <w:fldChar w:fldCharType="begin"/>
      </w:r>
      <w:r>
        <w:instrText>STYLEREF 1 \s</w:instrText>
      </w:r>
      <w:r>
        <w:fldChar w:fldCharType="separate"/>
      </w:r>
      <w:r w:rsidR="00892F13">
        <w:rPr>
          <w:noProof/>
        </w:rPr>
        <w:t>2</w:t>
      </w:r>
      <w:r>
        <w:fldChar w:fldCharType="end"/>
      </w:r>
      <w:r w:rsidR="00742C12">
        <w:t>.</w:t>
      </w:r>
      <w:r>
        <w:fldChar w:fldCharType="begin"/>
      </w:r>
      <w:r>
        <w:instrText>SEQ Table \* ARABIC \s 1</w:instrText>
      </w:r>
      <w:r>
        <w:fldChar w:fldCharType="separate"/>
      </w:r>
      <w:r w:rsidR="00892F13">
        <w:rPr>
          <w:noProof/>
        </w:rPr>
        <w:t>1</w:t>
      </w:r>
      <w:r>
        <w:fldChar w:fldCharType="end"/>
      </w:r>
      <w:r w:rsidRPr="00A67ABC">
        <w:t xml:space="preserve">: Expenditure budgets </w:t>
      </w:r>
      <w:bookmarkEnd w:id="995"/>
      <w:bookmarkEnd w:id="996"/>
      <w:bookmarkEnd w:id="997"/>
      <w:r w:rsidR="001F5EE4" w:rsidRPr="00A67ABC">
        <w:t>202</w:t>
      </w:r>
      <w:r w:rsidR="008F2EE7">
        <w:t>2</w:t>
      </w:r>
      <w:r w:rsidR="004A627F" w:rsidRPr="00A67ABC">
        <w:t>–</w:t>
      </w:r>
      <w:r w:rsidR="001F5EE4" w:rsidRPr="00A67ABC">
        <w:t>2</w:t>
      </w:r>
      <w:r w:rsidR="008F2EE7">
        <w:t>3</w:t>
      </w:r>
      <w:r w:rsidRPr="00A67ABC">
        <w:t xml:space="preserve"> and </w:t>
      </w:r>
      <w:r w:rsidR="001F5EE4" w:rsidRPr="00A67ABC">
        <w:t>202</w:t>
      </w:r>
      <w:r w:rsidR="008F2EE7">
        <w:t>3</w:t>
      </w:r>
      <w:r w:rsidR="004A627F" w:rsidRPr="00A67ABC">
        <w:t>–</w:t>
      </w:r>
      <w:r w:rsidR="001F5EE4" w:rsidRPr="00A67ABC">
        <w:t>2</w:t>
      </w:r>
      <w:r w:rsidR="008F2EE7">
        <w:t>4</w:t>
      </w:r>
      <w:bookmarkEnd w:id="998"/>
    </w:p>
    <w:p w14:paraId="6579E1EE" w14:textId="768C44B5" w:rsidR="007521B3" w:rsidRDefault="007521B3" w:rsidP="007521B3">
      <w:pPr>
        <w:pStyle w:val="Body"/>
      </w:pPr>
      <w:r>
        <w:t>Metropolitan</w:t>
      </w:r>
      <w:r w:rsidR="00790C0B">
        <w:t xml:space="preserve"> and </w:t>
      </w:r>
      <w:r w:rsidR="006B42FC">
        <w:t>regional</w:t>
      </w:r>
      <w:r w:rsidR="00DA050E">
        <w:t xml:space="preserve"> – $’000s</w:t>
      </w:r>
    </w:p>
    <w:tbl>
      <w:tblPr>
        <w:tblW w:w="15060" w:type="dxa"/>
        <w:tblInd w:w="-147" w:type="dxa"/>
        <w:tblLayout w:type="fixed"/>
        <w:tblLook w:val="04A0" w:firstRow="1" w:lastRow="0" w:firstColumn="1" w:lastColumn="0" w:noHBand="0" w:noVBand="1"/>
      </w:tblPr>
      <w:tblGrid>
        <w:gridCol w:w="1418"/>
        <w:gridCol w:w="992"/>
        <w:gridCol w:w="958"/>
        <w:gridCol w:w="958"/>
        <w:gridCol w:w="958"/>
        <w:gridCol w:w="959"/>
        <w:gridCol w:w="958"/>
        <w:gridCol w:w="1055"/>
        <w:gridCol w:w="992"/>
        <w:gridCol w:w="958"/>
        <w:gridCol w:w="959"/>
        <w:gridCol w:w="958"/>
        <w:gridCol w:w="958"/>
        <w:gridCol w:w="958"/>
        <w:gridCol w:w="1021"/>
      </w:tblGrid>
      <w:tr w:rsidR="00BF36E2" w:rsidRPr="00BF0CAC" w14:paraId="5E2427F6" w14:textId="77777777" w:rsidTr="00096B07">
        <w:trPr>
          <w:trHeight w:val="885"/>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5380B" w14:textId="05D1AB95" w:rsidR="00942D11" w:rsidRPr="00BF0CAC" w:rsidRDefault="00942D11" w:rsidP="003D68D1">
            <w:pPr>
              <w:spacing w:after="0" w:line="240" w:lineRule="auto"/>
              <w:jc w:val="both"/>
              <w:rPr>
                <w:rFonts w:cs="Arial"/>
                <w:b/>
                <w:bCs/>
                <w:color w:val="53565A"/>
                <w:sz w:val="16"/>
                <w:szCs w:val="16"/>
                <w:lang w:eastAsia="en-AU"/>
              </w:rPr>
            </w:pPr>
            <w:r w:rsidRPr="00BF0CAC">
              <w:rPr>
                <w:rFonts w:cs="Arial"/>
                <w:b/>
                <w:bCs/>
                <w:color w:val="53565A"/>
                <w:sz w:val="16"/>
                <w:szCs w:val="16"/>
                <w:lang w:eastAsia="en-AU"/>
              </w:rPr>
              <w:t>Health</w:t>
            </w:r>
            <w:r>
              <w:rPr>
                <w:rFonts w:cs="Arial"/>
                <w:b/>
                <w:bCs/>
                <w:color w:val="53565A"/>
                <w:sz w:val="16"/>
                <w:szCs w:val="16"/>
                <w:lang w:eastAsia="en-AU"/>
              </w:rPr>
              <w:t xml:space="preserve"> </w:t>
            </w:r>
            <w:r w:rsidRPr="00BF0CAC">
              <w:rPr>
                <w:rFonts w:cs="Arial"/>
                <w:b/>
                <w:bCs/>
                <w:color w:val="53565A"/>
                <w:sz w:val="16"/>
                <w:szCs w:val="16"/>
                <w:lang w:eastAsia="en-AU"/>
              </w:rPr>
              <w:t>Service</w:t>
            </w:r>
          </w:p>
        </w:tc>
        <w:tc>
          <w:tcPr>
            <w:tcW w:w="992" w:type="dxa"/>
            <w:tcBorders>
              <w:top w:val="single" w:sz="4" w:space="0" w:color="auto"/>
              <w:left w:val="nil"/>
              <w:bottom w:val="single" w:sz="4" w:space="0" w:color="auto"/>
              <w:right w:val="single" w:sz="4" w:space="0" w:color="auto"/>
            </w:tcBorders>
            <w:shd w:val="clear" w:color="auto" w:fill="auto"/>
            <w:hideMark/>
          </w:tcPr>
          <w:p w14:paraId="2FC3C09C" w14:textId="77777777" w:rsidR="00942D11" w:rsidRPr="00BF0CAC" w:rsidRDefault="00942D11" w:rsidP="003D68D1">
            <w:pPr>
              <w:spacing w:after="0" w:line="240" w:lineRule="auto"/>
              <w:jc w:val="right"/>
              <w:rPr>
                <w:rFonts w:cs="Arial"/>
                <w:b/>
                <w:bCs/>
                <w:color w:val="53565A"/>
                <w:sz w:val="16"/>
                <w:szCs w:val="16"/>
                <w:lang w:eastAsia="en-AU"/>
              </w:rPr>
            </w:pPr>
            <w:r w:rsidRPr="00BF0CAC">
              <w:rPr>
                <w:rFonts w:cs="Arial"/>
                <w:b/>
                <w:bCs/>
                <w:color w:val="53565A"/>
                <w:sz w:val="16"/>
                <w:szCs w:val="16"/>
                <w:lang w:eastAsia="en-AU"/>
              </w:rPr>
              <w:t xml:space="preserve">2022-23 </w:t>
            </w:r>
            <w:r w:rsidRPr="00BF0CAC">
              <w:rPr>
                <w:rFonts w:cs="Arial"/>
                <w:b/>
                <w:bCs/>
                <w:color w:val="53565A"/>
                <w:sz w:val="16"/>
                <w:szCs w:val="16"/>
                <w:lang w:eastAsia="en-AU"/>
              </w:rPr>
              <w:br/>
              <w:t>Acute health services</w:t>
            </w:r>
          </w:p>
        </w:tc>
        <w:tc>
          <w:tcPr>
            <w:tcW w:w="958" w:type="dxa"/>
            <w:tcBorders>
              <w:top w:val="single" w:sz="4" w:space="0" w:color="auto"/>
              <w:left w:val="nil"/>
              <w:bottom w:val="single" w:sz="4" w:space="0" w:color="auto"/>
              <w:right w:val="single" w:sz="4" w:space="0" w:color="auto"/>
            </w:tcBorders>
            <w:shd w:val="clear" w:color="auto" w:fill="auto"/>
            <w:hideMark/>
          </w:tcPr>
          <w:p w14:paraId="03C0E682" w14:textId="77777777" w:rsidR="00942D11" w:rsidRPr="00BF0CAC" w:rsidRDefault="00942D11" w:rsidP="003D68D1">
            <w:pPr>
              <w:spacing w:after="0" w:line="240" w:lineRule="auto"/>
              <w:jc w:val="right"/>
              <w:rPr>
                <w:rFonts w:cs="Arial"/>
                <w:b/>
                <w:bCs/>
                <w:color w:val="53565A"/>
                <w:sz w:val="16"/>
                <w:szCs w:val="16"/>
                <w:lang w:eastAsia="en-AU"/>
              </w:rPr>
            </w:pPr>
            <w:r w:rsidRPr="00BF0CAC">
              <w:rPr>
                <w:rFonts w:cs="Arial"/>
                <w:b/>
                <w:bCs/>
                <w:color w:val="53565A"/>
                <w:sz w:val="16"/>
                <w:szCs w:val="16"/>
                <w:lang w:eastAsia="en-AU"/>
              </w:rPr>
              <w:t>2022–23</w:t>
            </w:r>
            <w:r w:rsidRPr="00BF0CAC">
              <w:rPr>
                <w:rFonts w:cs="Arial"/>
                <w:b/>
                <w:bCs/>
                <w:color w:val="53565A"/>
                <w:sz w:val="16"/>
                <w:szCs w:val="16"/>
                <w:lang w:eastAsia="en-AU"/>
              </w:rPr>
              <w:br/>
              <w:t>Ageing, aged and home care</w:t>
            </w:r>
          </w:p>
        </w:tc>
        <w:tc>
          <w:tcPr>
            <w:tcW w:w="958" w:type="dxa"/>
            <w:tcBorders>
              <w:top w:val="single" w:sz="4" w:space="0" w:color="auto"/>
              <w:left w:val="nil"/>
              <w:bottom w:val="single" w:sz="4" w:space="0" w:color="auto"/>
              <w:right w:val="single" w:sz="4" w:space="0" w:color="auto"/>
            </w:tcBorders>
            <w:shd w:val="clear" w:color="auto" w:fill="auto"/>
            <w:hideMark/>
          </w:tcPr>
          <w:p w14:paraId="1A57C7CB" w14:textId="77777777" w:rsidR="00942D11" w:rsidRPr="00BF0CAC" w:rsidRDefault="00942D11" w:rsidP="003D68D1">
            <w:pPr>
              <w:spacing w:after="0" w:line="240" w:lineRule="auto"/>
              <w:jc w:val="right"/>
              <w:rPr>
                <w:rFonts w:cs="Arial"/>
                <w:b/>
                <w:bCs/>
                <w:color w:val="53565A"/>
                <w:sz w:val="16"/>
                <w:szCs w:val="16"/>
                <w:lang w:eastAsia="en-AU"/>
              </w:rPr>
            </w:pPr>
            <w:r w:rsidRPr="00BF0CAC">
              <w:rPr>
                <w:rFonts w:cs="Arial"/>
                <w:b/>
                <w:bCs/>
                <w:color w:val="53565A"/>
                <w:sz w:val="16"/>
                <w:szCs w:val="16"/>
                <w:lang w:eastAsia="en-AU"/>
              </w:rPr>
              <w:t>2022–23</w:t>
            </w:r>
            <w:r w:rsidRPr="00BF0CAC">
              <w:rPr>
                <w:rFonts w:cs="Arial"/>
                <w:b/>
                <w:bCs/>
                <w:color w:val="53565A"/>
                <w:sz w:val="16"/>
                <w:szCs w:val="16"/>
                <w:lang w:eastAsia="en-AU"/>
              </w:rPr>
              <w:br/>
              <w:t>Drugs services</w:t>
            </w:r>
          </w:p>
        </w:tc>
        <w:tc>
          <w:tcPr>
            <w:tcW w:w="958" w:type="dxa"/>
            <w:tcBorders>
              <w:top w:val="single" w:sz="4" w:space="0" w:color="auto"/>
              <w:left w:val="nil"/>
              <w:bottom w:val="single" w:sz="4" w:space="0" w:color="auto"/>
              <w:right w:val="single" w:sz="4" w:space="0" w:color="auto"/>
            </w:tcBorders>
            <w:shd w:val="clear" w:color="auto" w:fill="auto"/>
            <w:hideMark/>
          </w:tcPr>
          <w:p w14:paraId="349883EC" w14:textId="77777777" w:rsidR="00942D11" w:rsidRPr="00BF0CAC" w:rsidRDefault="00942D11" w:rsidP="003D68D1">
            <w:pPr>
              <w:spacing w:after="0" w:line="240" w:lineRule="auto"/>
              <w:jc w:val="right"/>
              <w:rPr>
                <w:rFonts w:cs="Arial"/>
                <w:b/>
                <w:bCs/>
                <w:color w:val="53565A"/>
                <w:sz w:val="16"/>
                <w:szCs w:val="16"/>
                <w:lang w:eastAsia="en-AU"/>
              </w:rPr>
            </w:pPr>
            <w:r w:rsidRPr="00BF0CAC">
              <w:rPr>
                <w:rFonts w:cs="Arial"/>
                <w:b/>
                <w:bCs/>
                <w:color w:val="53565A"/>
                <w:sz w:val="16"/>
                <w:szCs w:val="16"/>
                <w:lang w:eastAsia="en-AU"/>
              </w:rPr>
              <w:t>2022–23</w:t>
            </w:r>
            <w:r w:rsidRPr="00BF0CAC">
              <w:rPr>
                <w:rFonts w:cs="Arial"/>
                <w:b/>
                <w:bCs/>
                <w:color w:val="53565A"/>
                <w:sz w:val="16"/>
                <w:szCs w:val="16"/>
                <w:lang w:eastAsia="en-AU"/>
              </w:rPr>
              <w:br/>
              <w:t>Mental health</w:t>
            </w:r>
          </w:p>
        </w:tc>
        <w:tc>
          <w:tcPr>
            <w:tcW w:w="959" w:type="dxa"/>
            <w:tcBorders>
              <w:top w:val="single" w:sz="4" w:space="0" w:color="auto"/>
              <w:left w:val="nil"/>
              <w:bottom w:val="single" w:sz="4" w:space="0" w:color="auto"/>
              <w:right w:val="single" w:sz="4" w:space="0" w:color="auto"/>
            </w:tcBorders>
            <w:shd w:val="clear" w:color="auto" w:fill="auto"/>
            <w:hideMark/>
          </w:tcPr>
          <w:p w14:paraId="5A09D205" w14:textId="77777777" w:rsidR="00942D11" w:rsidRPr="00BF0CAC" w:rsidRDefault="00942D11" w:rsidP="003D68D1">
            <w:pPr>
              <w:spacing w:after="0" w:line="240" w:lineRule="auto"/>
              <w:jc w:val="right"/>
              <w:rPr>
                <w:rFonts w:cs="Arial"/>
                <w:b/>
                <w:bCs/>
                <w:color w:val="53565A"/>
                <w:sz w:val="16"/>
                <w:szCs w:val="16"/>
                <w:lang w:eastAsia="en-AU"/>
              </w:rPr>
            </w:pPr>
            <w:r w:rsidRPr="00BF0CAC">
              <w:rPr>
                <w:rFonts w:cs="Arial"/>
                <w:b/>
                <w:bCs/>
                <w:color w:val="53565A"/>
                <w:sz w:val="16"/>
                <w:szCs w:val="16"/>
                <w:lang w:eastAsia="en-AU"/>
              </w:rPr>
              <w:t>2022–23</w:t>
            </w:r>
            <w:r w:rsidRPr="00BF0CAC">
              <w:rPr>
                <w:rFonts w:cs="Arial"/>
                <w:b/>
                <w:bCs/>
                <w:color w:val="53565A"/>
                <w:sz w:val="16"/>
                <w:szCs w:val="16"/>
                <w:lang w:eastAsia="en-AU"/>
              </w:rPr>
              <w:br/>
              <w:t>Primary and dental health</w:t>
            </w:r>
          </w:p>
        </w:tc>
        <w:tc>
          <w:tcPr>
            <w:tcW w:w="958" w:type="dxa"/>
            <w:tcBorders>
              <w:top w:val="single" w:sz="4" w:space="0" w:color="auto"/>
              <w:left w:val="nil"/>
              <w:bottom w:val="single" w:sz="4" w:space="0" w:color="auto"/>
              <w:right w:val="single" w:sz="4" w:space="0" w:color="auto"/>
            </w:tcBorders>
            <w:shd w:val="clear" w:color="auto" w:fill="auto"/>
            <w:hideMark/>
          </w:tcPr>
          <w:p w14:paraId="45CAE920" w14:textId="77777777" w:rsidR="00942D11" w:rsidRPr="00BF0CAC" w:rsidRDefault="00942D11" w:rsidP="003D68D1">
            <w:pPr>
              <w:spacing w:after="0" w:line="240" w:lineRule="auto"/>
              <w:jc w:val="right"/>
              <w:rPr>
                <w:rFonts w:cs="Arial"/>
                <w:b/>
                <w:bCs/>
                <w:color w:val="53565A"/>
                <w:sz w:val="16"/>
                <w:szCs w:val="16"/>
                <w:lang w:eastAsia="en-AU"/>
              </w:rPr>
            </w:pPr>
            <w:r w:rsidRPr="00BF0CAC">
              <w:rPr>
                <w:rFonts w:cs="Arial"/>
                <w:b/>
                <w:bCs/>
                <w:color w:val="53565A"/>
                <w:sz w:val="16"/>
                <w:szCs w:val="16"/>
                <w:lang w:eastAsia="en-AU"/>
              </w:rPr>
              <w:t>2022–23</w:t>
            </w:r>
            <w:r w:rsidRPr="00BF0CAC">
              <w:rPr>
                <w:rFonts w:cs="Arial"/>
                <w:b/>
                <w:bCs/>
                <w:color w:val="53565A"/>
                <w:sz w:val="16"/>
                <w:szCs w:val="16"/>
                <w:lang w:eastAsia="en-AU"/>
              </w:rPr>
              <w:br/>
              <w:t>Public health</w:t>
            </w:r>
          </w:p>
        </w:tc>
        <w:tc>
          <w:tcPr>
            <w:tcW w:w="1055" w:type="dxa"/>
            <w:tcBorders>
              <w:top w:val="single" w:sz="4" w:space="0" w:color="auto"/>
              <w:left w:val="nil"/>
              <w:bottom w:val="single" w:sz="4" w:space="0" w:color="auto"/>
              <w:right w:val="single" w:sz="4" w:space="0" w:color="auto"/>
            </w:tcBorders>
            <w:shd w:val="clear" w:color="auto" w:fill="auto"/>
            <w:hideMark/>
          </w:tcPr>
          <w:p w14:paraId="145E4C44" w14:textId="77777777" w:rsidR="00942D11" w:rsidRPr="00BF0CAC" w:rsidRDefault="00942D11" w:rsidP="003D68D1">
            <w:pPr>
              <w:spacing w:after="0" w:line="240" w:lineRule="auto"/>
              <w:jc w:val="right"/>
              <w:rPr>
                <w:rFonts w:cs="Arial"/>
                <w:b/>
                <w:bCs/>
                <w:color w:val="53565A"/>
                <w:sz w:val="16"/>
                <w:szCs w:val="16"/>
                <w:lang w:eastAsia="en-AU"/>
              </w:rPr>
            </w:pPr>
            <w:r w:rsidRPr="00BF0CAC">
              <w:rPr>
                <w:rFonts w:cs="Arial"/>
                <w:b/>
                <w:bCs/>
                <w:color w:val="53565A"/>
                <w:sz w:val="16"/>
                <w:szCs w:val="16"/>
                <w:lang w:eastAsia="en-AU"/>
              </w:rPr>
              <w:t>2022–23</w:t>
            </w:r>
            <w:r w:rsidRPr="00BF0CAC">
              <w:rPr>
                <w:rFonts w:cs="Arial"/>
                <w:b/>
                <w:bCs/>
                <w:color w:val="53565A"/>
                <w:sz w:val="16"/>
                <w:szCs w:val="16"/>
                <w:lang w:eastAsia="en-AU"/>
              </w:rPr>
              <w:br/>
              <w:t>Total</w:t>
            </w:r>
          </w:p>
        </w:tc>
        <w:tc>
          <w:tcPr>
            <w:tcW w:w="992" w:type="dxa"/>
            <w:tcBorders>
              <w:top w:val="single" w:sz="4" w:space="0" w:color="auto"/>
              <w:left w:val="nil"/>
              <w:bottom w:val="single" w:sz="4" w:space="0" w:color="auto"/>
              <w:right w:val="single" w:sz="4" w:space="0" w:color="auto"/>
            </w:tcBorders>
            <w:shd w:val="clear" w:color="auto" w:fill="auto"/>
            <w:hideMark/>
          </w:tcPr>
          <w:p w14:paraId="00A085CD" w14:textId="77777777" w:rsidR="00942D11" w:rsidRPr="00BF0CAC" w:rsidRDefault="00942D11" w:rsidP="003D68D1">
            <w:pPr>
              <w:spacing w:after="0" w:line="240" w:lineRule="auto"/>
              <w:jc w:val="right"/>
              <w:rPr>
                <w:rFonts w:cs="Arial"/>
                <w:b/>
                <w:bCs/>
                <w:color w:val="53565A"/>
                <w:sz w:val="16"/>
                <w:szCs w:val="16"/>
                <w:lang w:eastAsia="en-AU"/>
              </w:rPr>
            </w:pPr>
            <w:r w:rsidRPr="00BF0CAC">
              <w:rPr>
                <w:rFonts w:cs="Arial"/>
                <w:b/>
                <w:bCs/>
                <w:color w:val="53565A"/>
                <w:sz w:val="16"/>
                <w:szCs w:val="16"/>
                <w:lang w:eastAsia="en-AU"/>
              </w:rPr>
              <w:t>2023–24</w:t>
            </w:r>
            <w:r w:rsidRPr="00BF0CAC">
              <w:rPr>
                <w:rFonts w:cs="Arial"/>
                <w:b/>
                <w:bCs/>
                <w:color w:val="53565A"/>
                <w:sz w:val="16"/>
                <w:szCs w:val="16"/>
                <w:lang w:eastAsia="en-AU"/>
              </w:rPr>
              <w:br/>
              <w:t>Acute health services</w:t>
            </w:r>
          </w:p>
        </w:tc>
        <w:tc>
          <w:tcPr>
            <w:tcW w:w="958" w:type="dxa"/>
            <w:tcBorders>
              <w:top w:val="single" w:sz="4" w:space="0" w:color="auto"/>
              <w:left w:val="nil"/>
              <w:bottom w:val="single" w:sz="4" w:space="0" w:color="auto"/>
              <w:right w:val="single" w:sz="4" w:space="0" w:color="auto"/>
            </w:tcBorders>
            <w:shd w:val="clear" w:color="auto" w:fill="auto"/>
            <w:hideMark/>
          </w:tcPr>
          <w:p w14:paraId="2939CCAF" w14:textId="77777777" w:rsidR="00942D11" w:rsidRPr="00BF0CAC" w:rsidRDefault="00942D11" w:rsidP="003D68D1">
            <w:pPr>
              <w:spacing w:after="0" w:line="240" w:lineRule="auto"/>
              <w:jc w:val="right"/>
              <w:rPr>
                <w:rFonts w:cs="Arial"/>
                <w:b/>
                <w:bCs/>
                <w:color w:val="53565A"/>
                <w:sz w:val="16"/>
                <w:szCs w:val="16"/>
                <w:lang w:eastAsia="en-AU"/>
              </w:rPr>
            </w:pPr>
            <w:r w:rsidRPr="00BF0CAC">
              <w:rPr>
                <w:rFonts w:cs="Arial"/>
                <w:b/>
                <w:bCs/>
                <w:color w:val="53565A"/>
                <w:sz w:val="16"/>
                <w:szCs w:val="16"/>
                <w:lang w:eastAsia="en-AU"/>
              </w:rPr>
              <w:t>2023–24</w:t>
            </w:r>
            <w:r w:rsidRPr="00BF0CAC">
              <w:rPr>
                <w:rFonts w:cs="Arial"/>
                <w:b/>
                <w:bCs/>
                <w:color w:val="53565A"/>
                <w:sz w:val="16"/>
                <w:szCs w:val="16"/>
                <w:lang w:eastAsia="en-AU"/>
              </w:rPr>
              <w:br/>
              <w:t>Ageing, aged and home care</w:t>
            </w:r>
          </w:p>
        </w:tc>
        <w:tc>
          <w:tcPr>
            <w:tcW w:w="959" w:type="dxa"/>
            <w:tcBorders>
              <w:top w:val="single" w:sz="4" w:space="0" w:color="auto"/>
              <w:left w:val="nil"/>
              <w:bottom w:val="single" w:sz="4" w:space="0" w:color="auto"/>
              <w:right w:val="single" w:sz="4" w:space="0" w:color="auto"/>
            </w:tcBorders>
            <w:shd w:val="clear" w:color="auto" w:fill="auto"/>
            <w:hideMark/>
          </w:tcPr>
          <w:p w14:paraId="296E2CCB" w14:textId="77777777" w:rsidR="00942D11" w:rsidRPr="00BF0CAC" w:rsidRDefault="00942D11" w:rsidP="003D68D1">
            <w:pPr>
              <w:spacing w:after="0" w:line="240" w:lineRule="auto"/>
              <w:jc w:val="right"/>
              <w:rPr>
                <w:rFonts w:cs="Arial"/>
                <w:b/>
                <w:bCs/>
                <w:color w:val="53565A"/>
                <w:sz w:val="16"/>
                <w:szCs w:val="16"/>
                <w:lang w:eastAsia="en-AU"/>
              </w:rPr>
            </w:pPr>
            <w:r w:rsidRPr="00BF0CAC">
              <w:rPr>
                <w:rFonts w:cs="Arial"/>
                <w:b/>
                <w:bCs/>
                <w:color w:val="53565A"/>
                <w:sz w:val="16"/>
                <w:szCs w:val="16"/>
                <w:lang w:eastAsia="en-AU"/>
              </w:rPr>
              <w:t>2023–24</w:t>
            </w:r>
            <w:r w:rsidRPr="00BF0CAC">
              <w:rPr>
                <w:rFonts w:cs="Arial"/>
                <w:b/>
                <w:bCs/>
                <w:color w:val="53565A"/>
                <w:sz w:val="16"/>
                <w:szCs w:val="16"/>
                <w:lang w:eastAsia="en-AU"/>
              </w:rPr>
              <w:br/>
              <w:t>Drugs services</w:t>
            </w:r>
          </w:p>
        </w:tc>
        <w:tc>
          <w:tcPr>
            <w:tcW w:w="958" w:type="dxa"/>
            <w:tcBorders>
              <w:top w:val="single" w:sz="4" w:space="0" w:color="auto"/>
              <w:left w:val="nil"/>
              <w:bottom w:val="single" w:sz="4" w:space="0" w:color="auto"/>
              <w:right w:val="single" w:sz="4" w:space="0" w:color="auto"/>
            </w:tcBorders>
            <w:shd w:val="clear" w:color="auto" w:fill="auto"/>
            <w:hideMark/>
          </w:tcPr>
          <w:p w14:paraId="02B93736" w14:textId="77777777" w:rsidR="00942D11" w:rsidRPr="00BF0CAC" w:rsidRDefault="00942D11" w:rsidP="003D68D1">
            <w:pPr>
              <w:spacing w:after="0" w:line="240" w:lineRule="auto"/>
              <w:jc w:val="right"/>
              <w:rPr>
                <w:rFonts w:cs="Arial"/>
                <w:b/>
                <w:bCs/>
                <w:color w:val="53565A"/>
                <w:sz w:val="16"/>
                <w:szCs w:val="16"/>
                <w:lang w:eastAsia="en-AU"/>
              </w:rPr>
            </w:pPr>
            <w:r w:rsidRPr="00BF0CAC">
              <w:rPr>
                <w:rFonts w:cs="Arial"/>
                <w:b/>
                <w:bCs/>
                <w:color w:val="53565A"/>
                <w:sz w:val="16"/>
                <w:szCs w:val="16"/>
                <w:lang w:eastAsia="en-AU"/>
              </w:rPr>
              <w:t>2023–24</w:t>
            </w:r>
            <w:r w:rsidRPr="00BF0CAC">
              <w:rPr>
                <w:rFonts w:cs="Arial"/>
                <w:b/>
                <w:bCs/>
                <w:color w:val="53565A"/>
                <w:sz w:val="16"/>
                <w:szCs w:val="16"/>
                <w:lang w:eastAsia="en-AU"/>
              </w:rPr>
              <w:br/>
              <w:t>Mental health</w:t>
            </w:r>
          </w:p>
        </w:tc>
        <w:tc>
          <w:tcPr>
            <w:tcW w:w="958" w:type="dxa"/>
            <w:tcBorders>
              <w:top w:val="single" w:sz="4" w:space="0" w:color="auto"/>
              <w:left w:val="nil"/>
              <w:bottom w:val="single" w:sz="4" w:space="0" w:color="auto"/>
              <w:right w:val="single" w:sz="4" w:space="0" w:color="auto"/>
            </w:tcBorders>
            <w:shd w:val="clear" w:color="auto" w:fill="auto"/>
            <w:hideMark/>
          </w:tcPr>
          <w:p w14:paraId="1687CB14" w14:textId="77777777" w:rsidR="00942D11" w:rsidRPr="00BF0CAC" w:rsidRDefault="00942D11" w:rsidP="003D68D1">
            <w:pPr>
              <w:spacing w:after="0" w:line="240" w:lineRule="auto"/>
              <w:jc w:val="right"/>
              <w:rPr>
                <w:rFonts w:cs="Arial"/>
                <w:b/>
                <w:bCs/>
                <w:color w:val="53565A"/>
                <w:sz w:val="16"/>
                <w:szCs w:val="16"/>
                <w:lang w:eastAsia="en-AU"/>
              </w:rPr>
            </w:pPr>
            <w:r w:rsidRPr="00BF0CAC">
              <w:rPr>
                <w:rFonts w:cs="Arial"/>
                <w:b/>
                <w:bCs/>
                <w:color w:val="53565A"/>
                <w:sz w:val="16"/>
                <w:szCs w:val="16"/>
                <w:lang w:eastAsia="en-AU"/>
              </w:rPr>
              <w:t>2023–24</w:t>
            </w:r>
            <w:r w:rsidRPr="00BF0CAC">
              <w:rPr>
                <w:rFonts w:cs="Arial"/>
                <w:b/>
                <w:bCs/>
                <w:color w:val="53565A"/>
                <w:sz w:val="16"/>
                <w:szCs w:val="16"/>
                <w:lang w:eastAsia="en-AU"/>
              </w:rPr>
              <w:br/>
              <w:t>Primary and dental health</w:t>
            </w:r>
          </w:p>
        </w:tc>
        <w:tc>
          <w:tcPr>
            <w:tcW w:w="958" w:type="dxa"/>
            <w:tcBorders>
              <w:top w:val="single" w:sz="4" w:space="0" w:color="auto"/>
              <w:left w:val="nil"/>
              <w:bottom w:val="single" w:sz="4" w:space="0" w:color="auto"/>
              <w:right w:val="single" w:sz="4" w:space="0" w:color="auto"/>
            </w:tcBorders>
            <w:shd w:val="clear" w:color="auto" w:fill="auto"/>
            <w:hideMark/>
          </w:tcPr>
          <w:p w14:paraId="72867FCA" w14:textId="77777777" w:rsidR="00942D11" w:rsidRPr="00BF0CAC" w:rsidRDefault="00942D11" w:rsidP="003D68D1">
            <w:pPr>
              <w:spacing w:after="0" w:line="240" w:lineRule="auto"/>
              <w:jc w:val="right"/>
              <w:rPr>
                <w:rFonts w:cs="Arial"/>
                <w:b/>
                <w:bCs/>
                <w:color w:val="53565A"/>
                <w:sz w:val="16"/>
                <w:szCs w:val="16"/>
                <w:lang w:eastAsia="en-AU"/>
              </w:rPr>
            </w:pPr>
            <w:r w:rsidRPr="00BF0CAC">
              <w:rPr>
                <w:rFonts w:cs="Arial"/>
                <w:b/>
                <w:bCs/>
                <w:color w:val="53565A"/>
                <w:sz w:val="16"/>
                <w:szCs w:val="16"/>
                <w:lang w:eastAsia="en-AU"/>
              </w:rPr>
              <w:t>2023–24</w:t>
            </w:r>
            <w:r w:rsidRPr="00BF0CAC">
              <w:rPr>
                <w:rFonts w:cs="Arial"/>
                <w:b/>
                <w:bCs/>
                <w:color w:val="53565A"/>
                <w:sz w:val="16"/>
                <w:szCs w:val="16"/>
                <w:lang w:eastAsia="en-AU"/>
              </w:rPr>
              <w:br/>
              <w:t>Public health</w:t>
            </w:r>
          </w:p>
        </w:tc>
        <w:tc>
          <w:tcPr>
            <w:tcW w:w="1021" w:type="dxa"/>
            <w:tcBorders>
              <w:top w:val="single" w:sz="4" w:space="0" w:color="auto"/>
              <w:left w:val="nil"/>
              <w:bottom w:val="single" w:sz="4" w:space="0" w:color="auto"/>
              <w:right w:val="single" w:sz="4" w:space="0" w:color="auto"/>
            </w:tcBorders>
            <w:shd w:val="clear" w:color="auto" w:fill="auto"/>
            <w:hideMark/>
          </w:tcPr>
          <w:p w14:paraId="2CE16673" w14:textId="77777777" w:rsidR="00942D11" w:rsidRPr="00BF0CAC" w:rsidRDefault="00942D11" w:rsidP="003D68D1">
            <w:pPr>
              <w:spacing w:after="0" w:line="240" w:lineRule="auto"/>
              <w:jc w:val="right"/>
              <w:rPr>
                <w:rFonts w:cs="Arial"/>
                <w:b/>
                <w:bCs/>
                <w:color w:val="53565A"/>
                <w:sz w:val="16"/>
                <w:szCs w:val="16"/>
                <w:lang w:eastAsia="en-AU"/>
              </w:rPr>
            </w:pPr>
            <w:r w:rsidRPr="00BF0CAC">
              <w:rPr>
                <w:rFonts w:cs="Arial"/>
                <w:b/>
                <w:bCs/>
                <w:color w:val="53565A"/>
                <w:sz w:val="16"/>
                <w:szCs w:val="16"/>
                <w:lang w:eastAsia="en-AU"/>
              </w:rPr>
              <w:t>2023–24</w:t>
            </w:r>
            <w:r w:rsidRPr="00BF0CAC">
              <w:rPr>
                <w:rFonts w:cs="Arial"/>
                <w:b/>
                <w:bCs/>
                <w:color w:val="53565A"/>
                <w:sz w:val="16"/>
                <w:szCs w:val="16"/>
                <w:lang w:eastAsia="en-AU"/>
              </w:rPr>
              <w:br/>
              <w:t>Total</w:t>
            </w:r>
          </w:p>
        </w:tc>
      </w:tr>
      <w:tr w:rsidR="00003D7E" w:rsidRPr="00BF0CAC" w14:paraId="4F6D15E5" w14:textId="77777777" w:rsidTr="00FE1263">
        <w:trPr>
          <w:trHeight w:val="27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C1DEE92" w14:textId="77777777" w:rsidR="00942D11" w:rsidRPr="00BF0CAC" w:rsidRDefault="00942D11" w:rsidP="003D68D1">
            <w:pPr>
              <w:spacing w:after="0" w:line="240" w:lineRule="auto"/>
              <w:rPr>
                <w:rFonts w:cs="Arial"/>
                <w:color w:val="000000"/>
                <w:sz w:val="15"/>
                <w:szCs w:val="15"/>
                <w:lang w:eastAsia="en-AU"/>
              </w:rPr>
            </w:pPr>
            <w:r w:rsidRPr="00BF0CAC">
              <w:rPr>
                <w:rFonts w:cs="Arial"/>
                <w:color w:val="000000"/>
                <w:sz w:val="15"/>
                <w:szCs w:val="15"/>
                <w:lang w:eastAsia="en-AU"/>
              </w:rPr>
              <w:t>Albury Wodonga Health</w:t>
            </w:r>
          </w:p>
        </w:tc>
        <w:tc>
          <w:tcPr>
            <w:tcW w:w="992" w:type="dxa"/>
            <w:tcBorders>
              <w:top w:val="nil"/>
              <w:left w:val="nil"/>
              <w:bottom w:val="single" w:sz="4" w:space="0" w:color="auto"/>
              <w:right w:val="single" w:sz="4" w:space="0" w:color="auto"/>
            </w:tcBorders>
            <w:shd w:val="clear" w:color="auto" w:fill="auto"/>
            <w:noWrap/>
            <w:vAlign w:val="center"/>
            <w:hideMark/>
          </w:tcPr>
          <w:p w14:paraId="13562797"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265,432</w:t>
            </w:r>
          </w:p>
        </w:tc>
        <w:tc>
          <w:tcPr>
            <w:tcW w:w="958" w:type="dxa"/>
            <w:tcBorders>
              <w:top w:val="nil"/>
              <w:left w:val="nil"/>
              <w:bottom w:val="single" w:sz="4" w:space="0" w:color="auto"/>
              <w:right w:val="single" w:sz="4" w:space="0" w:color="auto"/>
            </w:tcBorders>
            <w:shd w:val="clear" w:color="auto" w:fill="auto"/>
            <w:noWrap/>
            <w:vAlign w:val="center"/>
            <w:hideMark/>
          </w:tcPr>
          <w:p w14:paraId="6B398972"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894</w:t>
            </w:r>
          </w:p>
        </w:tc>
        <w:tc>
          <w:tcPr>
            <w:tcW w:w="958" w:type="dxa"/>
            <w:tcBorders>
              <w:top w:val="nil"/>
              <w:left w:val="nil"/>
              <w:bottom w:val="single" w:sz="4" w:space="0" w:color="auto"/>
              <w:right w:val="single" w:sz="4" w:space="0" w:color="auto"/>
            </w:tcBorders>
            <w:shd w:val="clear" w:color="auto" w:fill="auto"/>
            <w:noWrap/>
            <w:vAlign w:val="center"/>
            <w:hideMark/>
          </w:tcPr>
          <w:p w14:paraId="195AC018"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974</w:t>
            </w:r>
          </w:p>
        </w:tc>
        <w:tc>
          <w:tcPr>
            <w:tcW w:w="958" w:type="dxa"/>
            <w:tcBorders>
              <w:top w:val="nil"/>
              <w:left w:val="nil"/>
              <w:bottom w:val="single" w:sz="4" w:space="0" w:color="auto"/>
              <w:right w:val="single" w:sz="4" w:space="0" w:color="auto"/>
            </w:tcBorders>
            <w:shd w:val="clear" w:color="auto" w:fill="auto"/>
            <w:noWrap/>
            <w:vAlign w:val="center"/>
            <w:hideMark/>
          </w:tcPr>
          <w:p w14:paraId="49881EED"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53,231</w:t>
            </w:r>
          </w:p>
        </w:tc>
        <w:tc>
          <w:tcPr>
            <w:tcW w:w="959" w:type="dxa"/>
            <w:tcBorders>
              <w:top w:val="nil"/>
              <w:left w:val="nil"/>
              <w:bottom w:val="single" w:sz="4" w:space="0" w:color="auto"/>
              <w:right w:val="single" w:sz="4" w:space="0" w:color="auto"/>
            </w:tcBorders>
            <w:shd w:val="clear" w:color="auto" w:fill="auto"/>
            <w:noWrap/>
            <w:vAlign w:val="center"/>
            <w:hideMark/>
          </w:tcPr>
          <w:p w14:paraId="06174B82"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4,567</w:t>
            </w:r>
          </w:p>
        </w:tc>
        <w:tc>
          <w:tcPr>
            <w:tcW w:w="958" w:type="dxa"/>
            <w:tcBorders>
              <w:top w:val="nil"/>
              <w:left w:val="nil"/>
              <w:bottom w:val="single" w:sz="4" w:space="0" w:color="auto"/>
              <w:right w:val="single" w:sz="4" w:space="0" w:color="auto"/>
            </w:tcBorders>
            <w:shd w:val="clear" w:color="auto" w:fill="auto"/>
            <w:noWrap/>
            <w:vAlign w:val="center"/>
            <w:hideMark/>
          </w:tcPr>
          <w:p w14:paraId="46B872CC"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722</w:t>
            </w:r>
          </w:p>
        </w:tc>
        <w:tc>
          <w:tcPr>
            <w:tcW w:w="1055" w:type="dxa"/>
            <w:tcBorders>
              <w:top w:val="nil"/>
              <w:left w:val="nil"/>
              <w:bottom w:val="single" w:sz="4" w:space="0" w:color="auto"/>
              <w:right w:val="single" w:sz="4" w:space="0" w:color="auto"/>
            </w:tcBorders>
            <w:shd w:val="clear" w:color="auto" w:fill="auto"/>
            <w:noWrap/>
            <w:vAlign w:val="center"/>
            <w:hideMark/>
          </w:tcPr>
          <w:p w14:paraId="2D18DB45"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325,819</w:t>
            </w:r>
          </w:p>
        </w:tc>
        <w:tc>
          <w:tcPr>
            <w:tcW w:w="992" w:type="dxa"/>
            <w:tcBorders>
              <w:top w:val="nil"/>
              <w:left w:val="nil"/>
              <w:bottom w:val="single" w:sz="4" w:space="0" w:color="auto"/>
              <w:right w:val="single" w:sz="4" w:space="0" w:color="auto"/>
            </w:tcBorders>
            <w:shd w:val="clear" w:color="auto" w:fill="auto"/>
            <w:noWrap/>
            <w:vAlign w:val="center"/>
            <w:hideMark/>
          </w:tcPr>
          <w:p w14:paraId="2DA0B3C5"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274,807</w:t>
            </w:r>
          </w:p>
        </w:tc>
        <w:tc>
          <w:tcPr>
            <w:tcW w:w="958" w:type="dxa"/>
            <w:tcBorders>
              <w:top w:val="nil"/>
              <w:left w:val="nil"/>
              <w:bottom w:val="single" w:sz="4" w:space="0" w:color="auto"/>
              <w:right w:val="single" w:sz="4" w:space="0" w:color="auto"/>
            </w:tcBorders>
            <w:shd w:val="clear" w:color="auto" w:fill="auto"/>
            <w:noWrap/>
            <w:vAlign w:val="center"/>
            <w:hideMark/>
          </w:tcPr>
          <w:p w14:paraId="091D4DE8"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952</w:t>
            </w:r>
          </w:p>
        </w:tc>
        <w:tc>
          <w:tcPr>
            <w:tcW w:w="959" w:type="dxa"/>
            <w:tcBorders>
              <w:top w:val="nil"/>
              <w:left w:val="nil"/>
              <w:bottom w:val="single" w:sz="4" w:space="0" w:color="auto"/>
              <w:right w:val="single" w:sz="4" w:space="0" w:color="auto"/>
            </w:tcBorders>
            <w:shd w:val="clear" w:color="auto" w:fill="auto"/>
            <w:noWrap/>
            <w:vAlign w:val="center"/>
            <w:hideMark/>
          </w:tcPr>
          <w:p w14:paraId="44427FBE"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840</w:t>
            </w:r>
          </w:p>
        </w:tc>
        <w:tc>
          <w:tcPr>
            <w:tcW w:w="958" w:type="dxa"/>
            <w:tcBorders>
              <w:top w:val="nil"/>
              <w:left w:val="nil"/>
              <w:bottom w:val="single" w:sz="4" w:space="0" w:color="auto"/>
              <w:right w:val="single" w:sz="4" w:space="0" w:color="auto"/>
            </w:tcBorders>
            <w:shd w:val="clear" w:color="auto" w:fill="auto"/>
            <w:noWrap/>
            <w:vAlign w:val="center"/>
            <w:hideMark/>
          </w:tcPr>
          <w:p w14:paraId="462B7A48"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54,841</w:t>
            </w:r>
          </w:p>
        </w:tc>
        <w:tc>
          <w:tcPr>
            <w:tcW w:w="958" w:type="dxa"/>
            <w:tcBorders>
              <w:top w:val="nil"/>
              <w:left w:val="nil"/>
              <w:bottom w:val="single" w:sz="4" w:space="0" w:color="auto"/>
              <w:right w:val="single" w:sz="4" w:space="0" w:color="auto"/>
            </w:tcBorders>
            <w:shd w:val="clear" w:color="auto" w:fill="auto"/>
            <w:noWrap/>
            <w:vAlign w:val="center"/>
            <w:hideMark/>
          </w:tcPr>
          <w:p w14:paraId="0CFF0955"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4,652</w:t>
            </w:r>
          </w:p>
        </w:tc>
        <w:tc>
          <w:tcPr>
            <w:tcW w:w="958" w:type="dxa"/>
            <w:tcBorders>
              <w:top w:val="nil"/>
              <w:left w:val="nil"/>
              <w:bottom w:val="single" w:sz="4" w:space="0" w:color="auto"/>
              <w:right w:val="single" w:sz="4" w:space="0" w:color="auto"/>
            </w:tcBorders>
            <w:shd w:val="clear" w:color="auto" w:fill="auto"/>
            <w:noWrap/>
            <w:vAlign w:val="center"/>
            <w:hideMark/>
          </w:tcPr>
          <w:p w14:paraId="2F15A7F2"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699</w:t>
            </w:r>
          </w:p>
        </w:tc>
        <w:tc>
          <w:tcPr>
            <w:tcW w:w="1021" w:type="dxa"/>
            <w:tcBorders>
              <w:top w:val="nil"/>
              <w:left w:val="nil"/>
              <w:bottom w:val="single" w:sz="4" w:space="0" w:color="auto"/>
              <w:right w:val="single" w:sz="4" w:space="0" w:color="auto"/>
            </w:tcBorders>
            <w:shd w:val="clear" w:color="auto" w:fill="auto"/>
            <w:noWrap/>
            <w:vAlign w:val="center"/>
            <w:hideMark/>
          </w:tcPr>
          <w:p w14:paraId="6CD8ACE1"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336,791</w:t>
            </w:r>
          </w:p>
        </w:tc>
      </w:tr>
      <w:tr w:rsidR="00003D7E" w:rsidRPr="00BF0CAC" w14:paraId="3126708D" w14:textId="77777777" w:rsidTr="00FE1263">
        <w:trPr>
          <w:trHeight w:val="37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6EDCA3C" w14:textId="53481D48" w:rsidR="00942D11" w:rsidRPr="00BF0CAC" w:rsidRDefault="00942D11" w:rsidP="003D68D1">
            <w:pPr>
              <w:spacing w:after="0" w:line="240" w:lineRule="auto"/>
              <w:rPr>
                <w:rFonts w:cs="Arial"/>
                <w:color w:val="000000"/>
                <w:sz w:val="15"/>
                <w:szCs w:val="15"/>
                <w:lang w:eastAsia="en-AU"/>
              </w:rPr>
            </w:pPr>
            <w:r w:rsidRPr="00BF0CAC">
              <w:rPr>
                <w:rFonts w:cs="Arial"/>
                <w:color w:val="000000"/>
                <w:sz w:val="15"/>
                <w:szCs w:val="15"/>
                <w:lang w:eastAsia="en-AU"/>
              </w:rPr>
              <w:t>Alfred Health</w:t>
            </w:r>
          </w:p>
        </w:tc>
        <w:tc>
          <w:tcPr>
            <w:tcW w:w="992" w:type="dxa"/>
            <w:tcBorders>
              <w:top w:val="nil"/>
              <w:left w:val="nil"/>
              <w:bottom w:val="single" w:sz="4" w:space="0" w:color="auto"/>
              <w:right w:val="single" w:sz="4" w:space="0" w:color="auto"/>
            </w:tcBorders>
            <w:shd w:val="clear" w:color="auto" w:fill="auto"/>
            <w:noWrap/>
            <w:vAlign w:val="center"/>
            <w:hideMark/>
          </w:tcPr>
          <w:p w14:paraId="0B7423AF"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997,059</w:t>
            </w:r>
          </w:p>
        </w:tc>
        <w:tc>
          <w:tcPr>
            <w:tcW w:w="958" w:type="dxa"/>
            <w:tcBorders>
              <w:top w:val="nil"/>
              <w:left w:val="nil"/>
              <w:bottom w:val="single" w:sz="4" w:space="0" w:color="auto"/>
              <w:right w:val="single" w:sz="4" w:space="0" w:color="auto"/>
            </w:tcBorders>
            <w:shd w:val="clear" w:color="auto" w:fill="auto"/>
            <w:noWrap/>
            <w:vAlign w:val="center"/>
            <w:hideMark/>
          </w:tcPr>
          <w:p w14:paraId="0189B9C9"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1,356</w:t>
            </w:r>
          </w:p>
        </w:tc>
        <w:tc>
          <w:tcPr>
            <w:tcW w:w="958" w:type="dxa"/>
            <w:tcBorders>
              <w:top w:val="nil"/>
              <w:left w:val="nil"/>
              <w:bottom w:val="single" w:sz="4" w:space="0" w:color="auto"/>
              <w:right w:val="single" w:sz="4" w:space="0" w:color="auto"/>
            </w:tcBorders>
            <w:shd w:val="clear" w:color="auto" w:fill="auto"/>
            <w:noWrap/>
            <w:vAlign w:val="center"/>
            <w:hideMark/>
          </w:tcPr>
          <w:p w14:paraId="1BA8F2E4"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689</w:t>
            </w:r>
          </w:p>
        </w:tc>
        <w:tc>
          <w:tcPr>
            <w:tcW w:w="958" w:type="dxa"/>
            <w:tcBorders>
              <w:top w:val="nil"/>
              <w:left w:val="nil"/>
              <w:bottom w:val="single" w:sz="4" w:space="0" w:color="auto"/>
              <w:right w:val="single" w:sz="4" w:space="0" w:color="auto"/>
            </w:tcBorders>
            <w:shd w:val="clear" w:color="auto" w:fill="auto"/>
            <w:noWrap/>
            <w:vAlign w:val="center"/>
            <w:hideMark/>
          </w:tcPr>
          <w:p w14:paraId="3B7AE860"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116,049</w:t>
            </w:r>
          </w:p>
        </w:tc>
        <w:tc>
          <w:tcPr>
            <w:tcW w:w="959" w:type="dxa"/>
            <w:tcBorders>
              <w:top w:val="nil"/>
              <w:left w:val="nil"/>
              <w:bottom w:val="single" w:sz="4" w:space="0" w:color="auto"/>
              <w:right w:val="single" w:sz="4" w:space="0" w:color="auto"/>
            </w:tcBorders>
            <w:shd w:val="clear" w:color="auto" w:fill="auto"/>
            <w:noWrap/>
            <w:vAlign w:val="center"/>
            <w:hideMark/>
          </w:tcPr>
          <w:p w14:paraId="75317E28"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2,521</w:t>
            </w:r>
          </w:p>
        </w:tc>
        <w:tc>
          <w:tcPr>
            <w:tcW w:w="958" w:type="dxa"/>
            <w:tcBorders>
              <w:top w:val="nil"/>
              <w:left w:val="nil"/>
              <w:bottom w:val="single" w:sz="4" w:space="0" w:color="auto"/>
              <w:right w:val="single" w:sz="4" w:space="0" w:color="auto"/>
            </w:tcBorders>
            <w:shd w:val="clear" w:color="auto" w:fill="auto"/>
            <w:noWrap/>
            <w:vAlign w:val="center"/>
            <w:hideMark/>
          </w:tcPr>
          <w:p w14:paraId="06C1AD6F"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10,090</w:t>
            </w:r>
          </w:p>
        </w:tc>
        <w:tc>
          <w:tcPr>
            <w:tcW w:w="1055" w:type="dxa"/>
            <w:tcBorders>
              <w:top w:val="nil"/>
              <w:left w:val="nil"/>
              <w:bottom w:val="single" w:sz="4" w:space="0" w:color="auto"/>
              <w:right w:val="single" w:sz="4" w:space="0" w:color="auto"/>
            </w:tcBorders>
            <w:shd w:val="clear" w:color="auto" w:fill="auto"/>
            <w:noWrap/>
            <w:vAlign w:val="center"/>
            <w:hideMark/>
          </w:tcPr>
          <w:p w14:paraId="4F273A30"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1,127,763</w:t>
            </w:r>
          </w:p>
        </w:tc>
        <w:tc>
          <w:tcPr>
            <w:tcW w:w="992" w:type="dxa"/>
            <w:tcBorders>
              <w:top w:val="nil"/>
              <w:left w:val="nil"/>
              <w:bottom w:val="single" w:sz="4" w:space="0" w:color="auto"/>
              <w:right w:val="single" w:sz="4" w:space="0" w:color="auto"/>
            </w:tcBorders>
            <w:shd w:val="clear" w:color="auto" w:fill="auto"/>
            <w:noWrap/>
            <w:vAlign w:val="center"/>
            <w:hideMark/>
          </w:tcPr>
          <w:p w14:paraId="2EF02C7D"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1,025,084</w:t>
            </w:r>
          </w:p>
        </w:tc>
        <w:tc>
          <w:tcPr>
            <w:tcW w:w="958" w:type="dxa"/>
            <w:tcBorders>
              <w:top w:val="nil"/>
              <w:left w:val="nil"/>
              <w:bottom w:val="single" w:sz="4" w:space="0" w:color="auto"/>
              <w:right w:val="single" w:sz="4" w:space="0" w:color="auto"/>
            </w:tcBorders>
            <w:shd w:val="clear" w:color="auto" w:fill="auto"/>
            <w:noWrap/>
            <w:vAlign w:val="center"/>
            <w:hideMark/>
          </w:tcPr>
          <w:p w14:paraId="4EE78436"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1,415</w:t>
            </w:r>
          </w:p>
        </w:tc>
        <w:tc>
          <w:tcPr>
            <w:tcW w:w="959" w:type="dxa"/>
            <w:tcBorders>
              <w:top w:val="nil"/>
              <w:left w:val="nil"/>
              <w:bottom w:val="single" w:sz="4" w:space="0" w:color="auto"/>
              <w:right w:val="single" w:sz="4" w:space="0" w:color="auto"/>
            </w:tcBorders>
            <w:shd w:val="clear" w:color="auto" w:fill="auto"/>
            <w:noWrap/>
            <w:vAlign w:val="center"/>
            <w:hideMark/>
          </w:tcPr>
          <w:p w14:paraId="22C7EC6D"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711</w:t>
            </w:r>
          </w:p>
        </w:tc>
        <w:tc>
          <w:tcPr>
            <w:tcW w:w="958" w:type="dxa"/>
            <w:tcBorders>
              <w:top w:val="nil"/>
              <w:left w:val="nil"/>
              <w:bottom w:val="single" w:sz="4" w:space="0" w:color="auto"/>
              <w:right w:val="single" w:sz="4" w:space="0" w:color="auto"/>
            </w:tcBorders>
            <w:shd w:val="clear" w:color="auto" w:fill="auto"/>
            <w:noWrap/>
            <w:vAlign w:val="center"/>
            <w:hideMark/>
          </w:tcPr>
          <w:p w14:paraId="6AC5DF25"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125,042</w:t>
            </w:r>
          </w:p>
        </w:tc>
        <w:tc>
          <w:tcPr>
            <w:tcW w:w="958" w:type="dxa"/>
            <w:tcBorders>
              <w:top w:val="nil"/>
              <w:left w:val="nil"/>
              <w:bottom w:val="single" w:sz="4" w:space="0" w:color="auto"/>
              <w:right w:val="single" w:sz="4" w:space="0" w:color="auto"/>
            </w:tcBorders>
            <w:shd w:val="clear" w:color="auto" w:fill="auto"/>
            <w:noWrap/>
            <w:vAlign w:val="center"/>
            <w:hideMark/>
          </w:tcPr>
          <w:p w14:paraId="440E8E92"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2,191</w:t>
            </w:r>
          </w:p>
        </w:tc>
        <w:tc>
          <w:tcPr>
            <w:tcW w:w="958" w:type="dxa"/>
            <w:tcBorders>
              <w:top w:val="nil"/>
              <w:left w:val="nil"/>
              <w:bottom w:val="single" w:sz="4" w:space="0" w:color="auto"/>
              <w:right w:val="single" w:sz="4" w:space="0" w:color="auto"/>
            </w:tcBorders>
            <w:shd w:val="clear" w:color="auto" w:fill="auto"/>
            <w:noWrap/>
            <w:vAlign w:val="center"/>
            <w:hideMark/>
          </w:tcPr>
          <w:p w14:paraId="7D8041E4"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9,275</w:t>
            </w:r>
          </w:p>
        </w:tc>
        <w:tc>
          <w:tcPr>
            <w:tcW w:w="1021" w:type="dxa"/>
            <w:tcBorders>
              <w:top w:val="nil"/>
              <w:left w:val="nil"/>
              <w:bottom w:val="single" w:sz="4" w:space="0" w:color="auto"/>
              <w:right w:val="single" w:sz="4" w:space="0" w:color="auto"/>
            </w:tcBorders>
            <w:shd w:val="clear" w:color="auto" w:fill="auto"/>
            <w:noWrap/>
            <w:vAlign w:val="center"/>
            <w:hideMark/>
          </w:tcPr>
          <w:p w14:paraId="3C6CB347"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1,163,718</w:t>
            </w:r>
          </w:p>
        </w:tc>
      </w:tr>
      <w:tr w:rsidR="00003D7E" w:rsidRPr="00BF0CAC" w14:paraId="0BC4D047" w14:textId="77777777" w:rsidTr="00FE1263">
        <w:trPr>
          <w:trHeight w:val="293"/>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AB8AF2F" w14:textId="77777777" w:rsidR="00942D11" w:rsidRPr="00BF0CAC" w:rsidRDefault="00942D11" w:rsidP="003D68D1">
            <w:pPr>
              <w:spacing w:after="0" w:line="240" w:lineRule="auto"/>
              <w:rPr>
                <w:rFonts w:cs="Arial"/>
                <w:color w:val="000000"/>
                <w:sz w:val="15"/>
                <w:szCs w:val="15"/>
                <w:lang w:eastAsia="en-AU"/>
              </w:rPr>
            </w:pPr>
            <w:r w:rsidRPr="00BF0CAC">
              <w:rPr>
                <w:rFonts w:cs="Arial"/>
                <w:color w:val="000000"/>
                <w:sz w:val="15"/>
                <w:szCs w:val="15"/>
                <w:lang w:eastAsia="en-AU"/>
              </w:rPr>
              <w:t>Austin Health</w:t>
            </w:r>
          </w:p>
        </w:tc>
        <w:tc>
          <w:tcPr>
            <w:tcW w:w="992" w:type="dxa"/>
            <w:tcBorders>
              <w:top w:val="nil"/>
              <w:left w:val="nil"/>
              <w:bottom w:val="single" w:sz="4" w:space="0" w:color="auto"/>
              <w:right w:val="single" w:sz="4" w:space="0" w:color="auto"/>
            </w:tcBorders>
            <w:shd w:val="clear" w:color="auto" w:fill="auto"/>
            <w:noWrap/>
            <w:vAlign w:val="center"/>
            <w:hideMark/>
          </w:tcPr>
          <w:p w14:paraId="0A256F60"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867,042</w:t>
            </w:r>
          </w:p>
        </w:tc>
        <w:tc>
          <w:tcPr>
            <w:tcW w:w="958" w:type="dxa"/>
            <w:tcBorders>
              <w:top w:val="nil"/>
              <w:left w:val="nil"/>
              <w:bottom w:val="single" w:sz="4" w:space="0" w:color="auto"/>
              <w:right w:val="single" w:sz="4" w:space="0" w:color="auto"/>
            </w:tcBorders>
            <w:shd w:val="clear" w:color="auto" w:fill="auto"/>
            <w:noWrap/>
            <w:vAlign w:val="center"/>
            <w:hideMark/>
          </w:tcPr>
          <w:p w14:paraId="592E6C6C"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374</w:t>
            </w:r>
          </w:p>
        </w:tc>
        <w:tc>
          <w:tcPr>
            <w:tcW w:w="958" w:type="dxa"/>
            <w:tcBorders>
              <w:top w:val="nil"/>
              <w:left w:val="nil"/>
              <w:bottom w:val="single" w:sz="4" w:space="0" w:color="auto"/>
              <w:right w:val="single" w:sz="4" w:space="0" w:color="auto"/>
            </w:tcBorders>
            <w:shd w:val="clear" w:color="auto" w:fill="auto"/>
            <w:noWrap/>
            <w:vAlign w:val="center"/>
            <w:hideMark/>
          </w:tcPr>
          <w:p w14:paraId="65024E10"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2,376</w:t>
            </w:r>
          </w:p>
        </w:tc>
        <w:tc>
          <w:tcPr>
            <w:tcW w:w="958" w:type="dxa"/>
            <w:tcBorders>
              <w:top w:val="nil"/>
              <w:left w:val="nil"/>
              <w:bottom w:val="single" w:sz="4" w:space="0" w:color="auto"/>
              <w:right w:val="single" w:sz="4" w:space="0" w:color="auto"/>
            </w:tcBorders>
            <w:shd w:val="clear" w:color="auto" w:fill="auto"/>
            <w:noWrap/>
            <w:vAlign w:val="center"/>
            <w:hideMark/>
          </w:tcPr>
          <w:p w14:paraId="2479AC0F"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91,808</w:t>
            </w:r>
          </w:p>
        </w:tc>
        <w:tc>
          <w:tcPr>
            <w:tcW w:w="959" w:type="dxa"/>
            <w:tcBorders>
              <w:top w:val="nil"/>
              <w:left w:val="nil"/>
              <w:bottom w:val="single" w:sz="4" w:space="0" w:color="auto"/>
              <w:right w:val="single" w:sz="4" w:space="0" w:color="auto"/>
            </w:tcBorders>
            <w:shd w:val="clear" w:color="auto" w:fill="auto"/>
            <w:noWrap/>
            <w:vAlign w:val="center"/>
            <w:hideMark/>
          </w:tcPr>
          <w:p w14:paraId="6ACA72AB" w14:textId="77777777" w:rsidR="00942D11" w:rsidRPr="00BF0CAC" w:rsidRDefault="00942D11" w:rsidP="003D68D1">
            <w:pPr>
              <w:spacing w:after="0" w:line="240" w:lineRule="auto"/>
              <w:rPr>
                <w:rFonts w:cs="Arial"/>
                <w:color w:val="000000"/>
                <w:sz w:val="15"/>
                <w:szCs w:val="15"/>
                <w:lang w:eastAsia="en-AU"/>
              </w:rPr>
            </w:pPr>
            <w:r w:rsidRPr="00BF0CAC">
              <w:rPr>
                <w:rFonts w:cs="Arial"/>
                <w:color w:val="000000"/>
                <w:sz w:val="15"/>
                <w:szCs w:val="15"/>
                <w:lang w:eastAsia="en-AU"/>
              </w:rPr>
              <w:t> </w:t>
            </w:r>
          </w:p>
        </w:tc>
        <w:tc>
          <w:tcPr>
            <w:tcW w:w="958" w:type="dxa"/>
            <w:tcBorders>
              <w:top w:val="nil"/>
              <w:left w:val="nil"/>
              <w:bottom w:val="single" w:sz="4" w:space="0" w:color="auto"/>
              <w:right w:val="single" w:sz="4" w:space="0" w:color="auto"/>
            </w:tcBorders>
            <w:shd w:val="clear" w:color="auto" w:fill="auto"/>
            <w:noWrap/>
            <w:vAlign w:val="center"/>
            <w:hideMark/>
          </w:tcPr>
          <w:p w14:paraId="739E054D"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2,490</w:t>
            </w:r>
          </w:p>
        </w:tc>
        <w:tc>
          <w:tcPr>
            <w:tcW w:w="1055" w:type="dxa"/>
            <w:tcBorders>
              <w:top w:val="nil"/>
              <w:left w:val="nil"/>
              <w:bottom w:val="single" w:sz="4" w:space="0" w:color="auto"/>
              <w:right w:val="single" w:sz="4" w:space="0" w:color="auto"/>
            </w:tcBorders>
            <w:shd w:val="clear" w:color="auto" w:fill="auto"/>
            <w:noWrap/>
            <w:vAlign w:val="center"/>
            <w:hideMark/>
          </w:tcPr>
          <w:p w14:paraId="103E4C7E"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964,090</w:t>
            </w:r>
          </w:p>
        </w:tc>
        <w:tc>
          <w:tcPr>
            <w:tcW w:w="992" w:type="dxa"/>
            <w:tcBorders>
              <w:top w:val="nil"/>
              <w:left w:val="nil"/>
              <w:bottom w:val="single" w:sz="4" w:space="0" w:color="auto"/>
              <w:right w:val="single" w:sz="4" w:space="0" w:color="auto"/>
            </w:tcBorders>
            <w:shd w:val="clear" w:color="auto" w:fill="auto"/>
            <w:noWrap/>
            <w:vAlign w:val="center"/>
            <w:hideMark/>
          </w:tcPr>
          <w:p w14:paraId="41093871"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853,875</w:t>
            </w:r>
          </w:p>
        </w:tc>
        <w:tc>
          <w:tcPr>
            <w:tcW w:w="958" w:type="dxa"/>
            <w:tcBorders>
              <w:top w:val="nil"/>
              <w:left w:val="nil"/>
              <w:bottom w:val="single" w:sz="4" w:space="0" w:color="auto"/>
              <w:right w:val="single" w:sz="4" w:space="0" w:color="auto"/>
            </w:tcBorders>
            <w:shd w:val="clear" w:color="auto" w:fill="auto"/>
            <w:noWrap/>
            <w:vAlign w:val="center"/>
            <w:hideMark/>
          </w:tcPr>
          <w:p w14:paraId="19C72982"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378</w:t>
            </w:r>
          </w:p>
        </w:tc>
        <w:tc>
          <w:tcPr>
            <w:tcW w:w="959" w:type="dxa"/>
            <w:tcBorders>
              <w:top w:val="nil"/>
              <w:left w:val="nil"/>
              <w:bottom w:val="single" w:sz="4" w:space="0" w:color="auto"/>
              <w:right w:val="single" w:sz="4" w:space="0" w:color="auto"/>
            </w:tcBorders>
            <w:shd w:val="clear" w:color="auto" w:fill="auto"/>
            <w:noWrap/>
            <w:vAlign w:val="center"/>
            <w:hideMark/>
          </w:tcPr>
          <w:p w14:paraId="08902DA2"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2,454</w:t>
            </w:r>
          </w:p>
        </w:tc>
        <w:tc>
          <w:tcPr>
            <w:tcW w:w="958" w:type="dxa"/>
            <w:tcBorders>
              <w:top w:val="nil"/>
              <w:left w:val="nil"/>
              <w:bottom w:val="single" w:sz="4" w:space="0" w:color="auto"/>
              <w:right w:val="single" w:sz="4" w:space="0" w:color="auto"/>
            </w:tcBorders>
            <w:shd w:val="clear" w:color="auto" w:fill="auto"/>
            <w:noWrap/>
            <w:vAlign w:val="center"/>
            <w:hideMark/>
          </w:tcPr>
          <w:p w14:paraId="1E334551"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100,097</w:t>
            </w:r>
          </w:p>
        </w:tc>
        <w:tc>
          <w:tcPr>
            <w:tcW w:w="958" w:type="dxa"/>
            <w:tcBorders>
              <w:top w:val="nil"/>
              <w:left w:val="nil"/>
              <w:bottom w:val="single" w:sz="4" w:space="0" w:color="auto"/>
              <w:right w:val="single" w:sz="4" w:space="0" w:color="auto"/>
            </w:tcBorders>
            <w:shd w:val="clear" w:color="auto" w:fill="auto"/>
            <w:noWrap/>
            <w:vAlign w:val="center"/>
            <w:hideMark/>
          </w:tcPr>
          <w:p w14:paraId="2FF7075F" w14:textId="77777777" w:rsidR="00942D11" w:rsidRPr="00BF0CAC" w:rsidRDefault="00942D11" w:rsidP="003D68D1">
            <w:pPr>
              <w:spacing w:after="0" w:line="240" w:lineRule="auto"/>
              <w:rPr>
                <w:rFonts w:cs="Arial"/>
                <w:color w:val="000000"/>
                <w:sz w:val="15"/>
                <w:szCs w:val="15"/>
                <w:lang w:eastAsia="en-AU"/>
              </w:rPr>
            </w:pPr>
            <w:r w:rsidRPr="00BF0CAC">
              <w:rPr>
                <w:rFonts w:cs="Arial"/>
                <w:color w:val="000000"/>
                <w:sz w:val="15"/>
                <w:szCs w:val="15"/>
                <w:lang w:eastAsia="en-AU"/>
              </w:rPr>
              <w:t> </w:t>
            </w:r>
          </w:p>
        </w:tc>
        <w:tc>
          <w:tcPr>
            <w:tcW w:w="958" w:type="dxa"/>
            <w:tcBorders>
              <w:top w:val="nil"/>
              <w:left w:val="nil"/>
              <w:bottom w:val="single" w:sz="4" w:space="0" w:color="auto"/>
              <w:right w:val="single" w:sz="4" w:space="0" w:color="auto"/>
            </w:tcBorders>
            <w:shd w:val="clear" w:color="auto" w:fill="auto"/>
            <w:noWrap/>
            <w:vAlign w:val="center"/>
            <w:hideMark/>
          </w:tcPr>
          <w:p w14:paraId="32E2A446"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1,947</w:t>
            </w:r>
          </w:p>
        </w:tc>
        <w:tc>
          <w:tcPr>
            <w:tcW w:w="1021" w:type="dxa"/>
            <w:tcBorders>
              <w:top w:val="nil"/>
              <w:left w:val="nil"/>
              <w:bottom w:val="single" w:sz="4" w:space="0" w:color="auto"/>
              <w:right w:val="single" w:sz="4" w:space="0" w:color="auto"/>
            </w:tcBorders>
            <w:shd w:val="clear" w:color="auto" w:fill="auto"/>
            <w:noWrap/>
            <w:vAlign w:val="center"/>
            <w:hideMark/>
          </w:tcPr>
          <w:p w14:paraId="3BC4E653"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958,751</w:t>
            </w:r>
          </w:p>
        </w:tc>
      </w:tr>
      <w:tr w:rsidR="00003D7E" w:rsidRPr="00BF0CAC" w14:paraId="194487CF" w14:textId="77777777" w:rsidTr="00FE1263">
        <w:trPr>
          <w:trHeight w:val="269"/>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876EA45" w14:textId="77777777" w:rsidR="00942D11" w:rsidRPr="00BF0CAC" w:rsidRDefault="00942D11" w:rsidP="003D68D1">
            <w:pPr>
              <w:spacing w:after="0" w:line="240" w:lineRule="auto"/>
              <w:rPr>
                <w:rFonts w:cs="Arial"/>
                <w:color w:val="000000"/>
                <w:sz w:val="15"/>
                <w:szCs w:val="15"/>
                <w:lang w:eastAsia="en-AU"/>
              </w:rPr>
            </w:pPr>
            <w:r w:rsidRPr="00BF0CAC">
              <w:rPr>
                <w:rFonts w:cs="Arial"/>
                <w:color w:val="000000"/>
                <w:sz w:val="15"/>
                <w:szCs w:val="15"/>
                <w:lang w:eastAsia="en-AU"/>
              </w:rPr>
              <w:t>Barwon Health</w:t>
            </w:r>
          </w:p>
        </w:tc>
        <w:tc>
          <w:tcPr>
            <w:tcW w:w="992" w:type="dxa"/>
            <w:tcBorders>
              <w:top w:val="nil"/>
              <w:left w:val="nil"/>
              <w:bottom w:val="single" w:sz="4" w:space="0" w:color="auto"/>
              <w:right w:val="single" w:sz="4" w:space="0" w:color="auto"/>
            </w:tcBorders>
            <w:shd w:val="clear" w:color="auto" w:fill="auto"/>
            <w:noWrap/>
            <w:vAlign w:val="center"/>
            <w:hideMark/>
          </w:tcPr>
          <w:p w14:paraId="25060E91"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639,579</w:t>
            </w:r>
          </w:p>
        </w:tc>
        <w:tc>
          <w:tcPr>
            <w:tcW w:w="958" w:type="dxa"/>
            <w:tcBorders>
              <w:top w:val="nil"/>
              <w:left w:val="nil"/>
              <w:bottom w:val="single" w:sz="4" w:space="0" w:color="auto"/>
              <w:right w:val="single" w:sz="4" w:space="0" w:color="auto"/>
            </w:tcBorders>
            <w:shd w:val="clear" w:color="auto" w:fill="auto"/>
            <w:noWrap/>
            <w:vAlign w:val="center"/>
            <w:hideMark/>
          </w:tcPr>
          <w:p w14:paraId="74699EAC"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11,318</w:t>
            </w:r>
          </w:p>
        </w:tc>
        <w:tc>
          <w:tcPr>
            <w:tcW w:w="958" w:type="dxa"/>
            <w:tcBorders>
              <w:top w:val="nil"/>
              <w:left w:val="nil"/>
              <w:bottom w:val="single" w:sz="4" w:space="0" w:color="auto"/>
              <w:right w:val="single" w:sz="4" w:space="0" w:color="auto"/>
            </w:tcBorders>
            <w:shd w:val="clear" w:color="auto" w:fill="auto"/>
            <w:noWrap/>
            <w:vAlign w:val="center"/>
            <w:hideMark/>
          </w:tcPr>
          <w:p w14:paraId="12F93010"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2,890</w:t>
            </w:r>
          </w:p>
        </w:tc>
        <w:tc>
          <w:tcPr>
            <w:tcW w:w="958" w:type="dxa"/>
            <w:tcBorders>
              <w:top w:val="nil"/>
              <w:left w:val="nil"/>
              <w:bottom w:val="single" w:sz="4" w:space="0" w:color="auto"/>
              <w:right w:val="single" w:sz="4" w:space="0" w:color="auto"/>
            </w:tcBorders>
            <w:shd w:val="clear" w:color="auto" w:fill="auto"/>
            <w:noWrap/>
            <w:vAlign w:val="center"/>
            <w:hideMark/>
          </w:tcPr>
          <w:p w14:paraId="7CB587C9"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98,332</w:t>
            </w:r>
          </w:p>
        </w:tc>
        <w:tc>
          <w:tcPr>
            <w:tcW w:w="959" w:type="dxa"/>
            <w:tcBorders>
              <w:top w:val="nil"/>
              <w:left w:val="nil"/>
              <w:bottom w:val="single" w:sz="4" w:space="0" w:color="auto"/>
              <w:right w:val="single" w:sz="4" w:space="0" w:color="auto"/>
            </w:tcBorders>
            <w:shd w:val="clear" w:color="auto" w:fill="auto"/>
            <w:noWrap/>
            <w:vAlign w:val="center"/>
            <w:hideMark/>
          </w:tcPr>
          <w:p w14:paraId="5B273024"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5,687</w:t>
            </w:r>
          </w:p>
        </w:tc>
        <w:tc>
          <w:tcPr>
            <w:tcW w:w="958" w:type="dxa"/>
            <w:tcBorders>
              <w:top w:val="nil"/>
              <w:left w:val="nil"/>
              <w:bottom w:val="single" w:sz="4" w:space="0" w:color="auto"/>
              <w:right w:val="single" w:sz="4" w:space="0" w:color="auto"/>
            </w:tcBorders>
            <w:shd w:val="clear" w:color="auto" w:fill="auto"/>
            <w:noWrap/>
            <w:vAlign w:val="center"/>
            <w:hideMark/>
          </w:tcPr>
          <w:p w14:paraId="096EB451"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1,757</w:t>
            </w:r>
          </w:p>
        </w:tc>
        <w:tc>
          <w:tcPr>
            <w:tcW w:w="1055" w:type="dxa"/>
            <w:tcBorders>
              <w:top w:val="nil"/>
              <w:left w:val="nil"/>
              <w:bottom w:val="single" w:sz="4" w:space="0" w:color="auto"/>
              <w:right w:val="single" w:sz="4" w:space="0" w:color="auto"/>
            </w:tcBorders>
            <w:shd w:val="clear" w:color="auto" w:fill="auto"/>
            <w:noWrap/>
            <w:vAlign w:val="center"/>
            <w:hideMark/>
          </w:tcPr>
          <w:p w14:paraId="770835BA"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759,564</w:t>
            </w:r>
          </w:p>
        </w:tc>
        <w:tc>
          <w:tcPr>
            <w:tcW w:w="992" w:type="dxa"/>
            <w:tcBorders>
              <w:top w:val="nil"/>
              <w:left w:val="nil"/>
              <w:bottom w:val="single" w:sz="4" w:space="0" w:color="auto"/>
              <w:right w:val="single" w:sz="4" w:space="0" w:color="auto"/>
            </w:tcBorders>
            <w:shd w:val="clear" w:color="auto" w:fill="auto"/>
            <w:noWrap/>
            <w:vAlign w:val="center"/>
            <w:hideMark/>
          </w:tcPr>
          <w:p w14:paraId="11022A84"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675,409</w:t>
            </w:r>
          </w:p>
        </w:tc>
        <w:tc>
          <w:tcPr>
            <w:tcW w:w="958" w:type="dxa"/>
            <w:tcBorders>
              <w:top w:val="nil"/>
              <w:left w:val="nil"/>
              <w:bottom w:val="single" w:sz="4" w:space="0" w:color="auto"/>
              <w:right w:val="single" w:sz="4" w:space="0" w:color="auto"/>
            </w:tcBorders>
            <w:shd w:val="clear" w:color="auto" w:fill="auto"/>
            <w:noWrap/>
            <w:vAlign w:val="center"/>
            <w:hideMark/>
          </w:tcPr>
          <w:p w14:paraId="1B25CCDE"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11,670</w:t>
            </w:r>
          </w:p>
        </w:tc>
        <w:tc>
          <w:tcPr>
            <w:tcW w:w="959" w:type="dxa"/>
            <w:tcBorders>
              <w:top w:val="nil"/>
              <w:left w:val="nil"/>
              <w:bottom w:val="single" w:sz="4" w:space="0" w:color="auto"/>
              <w:right w:val="single" w:sz="4" w:space="0" w:color="auto"/>
            </w:tcBorders>
            <w:shd w:val="clear" w:color="auto" w:fill="auto"/>
            <w:noWrap/>
            <w:vAlign w:val="center"/>
            <w:hideMark/>
          </w:tcPr>
          <w:p w14:paraId="14311BFF"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2,928</w:t>
            </w:r>
          </w:p>
        </w:tc>
        <w:tc>
          <w:tcPr>
            <w:tcW w:w="958" w:type="dxa"/>
            <w:tcBorders>
              <w:top w:val="nil"/>
              <w:left w:val="nil"/>
              <w:bottom w:val="single" w:sz="4" w:space="0" w:color="auto"/>
              <w:right w:val="single" w:sz="4" w:space="0" w:color="auto"/>
            </w:tcBorders>
            <w:shd w:val="clear" w:color="auto" w:fill="auto"/>
            <w:noWrap/>
            <w:vAlign w:val="center"/>
            <w:hideMark/>
          </w:tcPr>
          <w:p w14:paraId="3B0BB3B8"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107,625</w:t>
            </w:r>
          </w:p>
        </w:tc>
        <w:tc>
          <w:tcPr>
            <w:tcW w:w="958" w:type="dxa"/>
            <w:tcBorders>
              <w:top w:val="nil"/>
              <w:left w:val="nil"/>
              <w:bottom w:val="single" w:sz="4" w:space="0" w:color="auto"/>
              <w:right w:val="single" w:sz="4" w:space="0" w:color="auto"/>
            </w:tcBorders>
            <w:shd w:val="clear" w:color="auto" w:fill="auto"/>
            <w:noWrap/>
            <w:vAlign w:val="center"/>
            <w:hideMark/>
          </w:tcPr>
          <w:p w14:paraId="4AFA6885"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5,366</w:t>
            </w:r>
          </w:p>
        </w:tc>
        <w:tc>
          <w:tcPr>
            <w:tcW w:w="958" w:type="dxa"/>
            <w:tcBorders>
              <w:top w:val="nil"/>
              <w:left w:val="nil"/>
              <w:bottom w:val="single" w:sz="4" w:space="0" w:color="auto"/>
              <w:right w:val="single" w:sz="4" w:space="0" w:color="auto"/>
            </w:tcBorders>
            <w:shd w:val="clear" w:color="auto" w:fill="auto"/>
            <w:noWrap/>
            <w:vAlign w:val="center"/>
            <w:hideMark/>
          </w:tcPr>
          <w:p w14:paraId="03888585"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1,350</w:t>
            </w:r>
          </w:p>
        </w:tc>
        <w:tc>
          <w:tcPr>
            <w:tcW w:w="1021" w:type="dxa"/>
            <w:tcBorders>
              <w:top w:val="nil"/>
              <w:left w:val="nil"/>
              <w:bottom w:val="single" w:sz="4" w:space="0" w:color="auto"/>
              <w:right w:val="single" w:sz="4" w:space="0" w:color="auto"/>
            </w:tcBorders>
            <w:shd w:val="clear" w:color="auto" w:fill="auto"/>
            <w:noWrap/>
            <w:vAlign w:val="center"/>
            <w:hideMark/>
          </w:tcPr>
          <w:p w14:paraId="2776F292"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804,347</w:t>
            </w:r>
          </w:p>
        </w:tc>
      </w:tr>
      <w:tr w:rsidR="00003D7E" w:rsidRPr="00BF0CAC" w14:paraId="307EBC09" w14:textId="77777777" w:rsidTr="00FE1263">
        <w:trPr>
          <w:trHeight w:val="27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51ACF96" w14:textId="77777777" w:rsidR="00942D11" w:rsidRPr="00BF0CAC" w:rsidRDefault="00942D11" w:rsidP="003D68D1">
            <w:pPr>
              <w:spacing w:after="0" w:line="240" w:lineRule="auto"/>
              <w:rPr>
                <w:rFonts w:cs="Arial"/>
                <w:color w:val="000000"/>
                <w:sz w:val="15"/>
                <w:szCs w:val="15"/>
                <w:lang w:eastAsia="en-AU"/>
              </w:rPr>
            </w:pPr>
            <w:r w:rsidRPr="00BF0CAC">
              <w:rPr>
                <w:rFonts w:cs="Arial"/>
                <w:color w:val="000000"/>
                <w:sz w:val="15"/>
                <w:szCs w:val="15"/>
                <w:lang w:eastAsia="en-AU"/>
              </w:rPr>
              <w:t>Bendigo Health</w:t>
            </w:r>
          </w:p>
        </w:tc>
        <w:tc>
          <w:tcPr>
            <w:tcW w:w="992" w:type="dxa"/>
            <w:tcBorders>
              <w:top w:val="nil"/>
              <w:left w:val="nil"/>
              <w:bottom w:val="single" w:sz="4" w:space="0" w:color="auto"/>
              <w:right w:val="single" w:sz="4" w:space="0" w:color="auto"/>
            </w:tcBorders>
            <w:shd w:val="clear" w:color="auto" w:fill="auto"/>
            <w:noWrap/>
            <w:vAlign w:val="center"/>
            <w:hideMark/>
          </w:tcPr>
          <w:p w14:paraId="209AA0F5"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337,097</w:t>
            </w:r>
          </w:p>
        </w:tc>
        <w:tc>
          <w:tcPr>
            <w:tcW w:w="958" w:type="dxa"/>
            <w:tcBorders>
              <w:top w:val="nil"/>
              <w:left w:val="nil"/>
              <w:bottom w:val="single" w:sz="4" w:space="0" w:color="auto"/>
              <w:right w:val="single" w:sz="4" w:space="0" w:color="auto"/>
            </w:tcBorders>
            <w:shd w:val="clear" w:color="auto" w:fill="auto"/>
            <w:noWrap/>
            <w:vAlign w:val="center"/>
            <w:hideMark/>
          </w:tcPr>
          <w:p w14:paraId="671DAD65"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9,865</w:t>
            </w:r>
          </w:p>
        </w:tc>
        <w:tc>
          <w:tcPr>
            <w:tcW w:w="958" w:type="dxa"/>
            <w:tcBorders>
              <w:top w:val="nil"/>
              <w:left w:val="nil"/>
              <w:bottom w:val="single" w:sz="4" w:space="0" w:color="auto"/>
              <w:right w:val="single" w:sz="4" w:space="0" w:color="auto"/>
            </w:tcBorders>
            <w:shd w:val="clear" w:color="auto" w:fill="auto"/>
            <w:noWrap/>
            <w:vAlign w:val="center"/>
            <w:hideMark/>
          </w:tcPr>
          <w:p w14:paraId="7891E616"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2,327</w:t>
            </w:r>
          </w:p>
        </w:tc>
        <w:tc>
          <w:tcPr>
            <w:tcW w:w="958" w:type="dxa"/>
            <w:tcBorders>
              <w:top w:val="nil"/>
              <w:left w:val="nil"/>
              <w:bottom w:val="single" w:sz="4" w:space="0" w:color="auto"/>
              <w:right w:val="single" w:sz="4" w:space="0" w:color="auto"/>
            </w:tcBorders>
            <w:shd w:val="clear" w:color="auto" w:fill="auto"/>
            <w:noWrap/>
            <w:vAlign w:val="center"/>
            <w:hideMark/>
          </w:tcPr>
          <w:p w14:paraId="1034D780"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83,439</w:t>
            </w:r>
          </w:p>
        </w:tc>
        <w:tc>
          <w:tcPr>
            <w:tcW w:w="959" w:type="dxa"/>
            <w:tcBorders>
              <w:top w:val="nil"/>
              <w:left w:val="nil"/>
              <w:bottom w:val="single" w:sz="4" w:space="0" w:color="auto"/>
              <w:right w:val="single" w:sz="4" w:space="0" w:color="auto"/>
            </w:tcBorders>
            <w:shd w:val="clear" w:color="auto" w:fill="auto"/>
            <w:noWrap/>
            <w:vAlign w:val="center"/>
            <w:hideMark/>
          </w:tcPr>
          <w:p w14:paraId="563C0691"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1,381</w:t>
            </w:r>
          </w:p>
        </w:tc>
        <w:tc>
          <w:tcPr>
            <w:tcW w:w="958" w:type="dxa"/>
            <w:tcBorders>
              <w:top w:val="nil"/>
              <w:left w:val="nil"/>
              <w:bottom w:val="single" w:sz="4" w:space="0" w:color="auto"/>
              <w:right w:val="single" w:sz="4" w:space="0" w:color="auto"/>
            </w:tcBorders>
            <w:shd w:val="clear" w:color="auto" w:fill="auto"/>
            <w:noWrap/>
            <w:vAlign w:val="center"/>
            <w:hideMark/>
          </w:tcPr>
          <w:p w14:paraId="57D4C3F0"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1,849</w:t>
            </w:r>
          </w:p>
        </w:tc>
        <w:tc>
          <w:tcPr>
            <w:tcW w:w="1055" w:type="dxa"/>
            <w:tcBorders>
              <w:top w:val="nil"/>
              <w:left w:val="nil"/>
              <w:bottom w:val="single" w:sz="4" w:space="0" w:color="auto"/>
              <w:right w:val="single" w:sz="4" w:space="0" w:color="auto"/>
            </w:tcBorders>
            <w:shd w:val="clear" w:color="auto" w:fill="auto"/>
            <w:noWrap/>
            <w:vAlign w:val="center"/>
            <w:hideMark/>
          </w:tcPr>
          <w:p w14:paraId="186DB12C"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435,957</w:t>
            </w:r>
          </w:p>
        </w:tc>
        <w:tc>
          <w:tcPr>
            <w:tcW w:w="992" w:type="dxa"/>
            <w:tcBorders>
              <w:top w:val="nil"/>
              <w:left w:val="nil"/>
              <w:bottom w:val="single" w:sz="4" w:space="0" w:color="auto"/>
              <w:right w:val="single" w:sz="4" w:space="0" w:color="auto"/>
            </w:tcBorders>
            <w:shd w:val="clear" w:color="auto" w:fill="auto"/>
            <w:noWrap/>
            <w:vAlign w:val="center"/>
            <w:hideMark/>
          </w:tcPr>
          <w:p w14:paraId="43329670"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346,045</w:t>
            </w:r>
          </w:p>
        </w:tc>
        <w:tc>
          <w:tcPr>
            <w:tcW w:w="958" w:type="dxa"/>
            <w:tcBorders>
              <w:top w:val="nil"/>
              <w:left w:val="nil"/>
              <w:bottom w:val="single" w:sz="4" w:space="0" w:color="auto"/>
              <w:right w:val="single" w:sz="4" w:space="0" w:color="auto"/>
            </w:tcBorders>
            <w:shd w:val="clear" w:color="auto" w:fill="auto"/>
            <w:noWrap/>
            <w:vAlign w:val="center"/>
            <w:hideMark/>
          </w:tcPr>
          <w:p w14:paraId="06C21C09"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10,047</w:t>
            </w:r>
          </w:p>
        </w:tc>
        <w:tc>
          <w:tcPr>
            <w:tcW w:w="959" w:type="dxa"/>
            <w:tcBorders>
              <w:top w:val="nil"/>
              <w:left w:val="nil"/>
              <w:bottom w:val="single" w:sz="4" w:space="0" w:color="auto"/>
              <w:right w:val="single" w:sz="4" w:space="0" w:color="auto"/>
            </w:tcBorders>
            <w:shd w:val="clear" w:color="auto" w:fill="auto"/>
            <w:noWrap/>
            <w:vAlign w:val="center"/>
            <w:hideMark/>
          </w:tcPr>
          <w:p w14:paraId="5FBA3479"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2,404</w:t>
            </w:r>
          </w:p>
        </w:tc>
        <w:tc>
          <w:tcPr>
            <w:tcW w:w="958" w:type="dxa"/>
            <w:tcBorders>
              <w:top w:val="nil"/>
              <w:left w:val="nil"/>
              <w:bottom w:val="single" w:sz="4" w:space="0" w:color="auto"/>
              <w:right w:val="single" w:sz="4" w:space="0" w:color="auto"/>
            </w:tcBorders>
            <w:shd w:val="clear" w:color="auto" w:fill="auto"/>
            <w:noWrap/>
            <w:vAlign w:val="center"/>
            <w:hideMark/>
          </w:tcPr>
          <w:p w14:paraId="057BF06F"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86,419</w:t>
            </w:r>
          </w:p>
        </w:tc>
        <w:tc>
          <w:tcPr>
            <w:tcW w:w="958" w:type="dxa"/>
            <w:tcBorders>
              <w:top w:val="nil"/>
              <w:left w:val="nil"/>
              <w:bottom w:val="single" w:sz="4" w:space="0" w:color="auto"/>
              <w:right w:val="single" w:sz="4" w:space="0" w:color="auto"/>
            </w:tcBorders>
            <w:shd w:val="clear" w:color="auto" w:fill="auto"/>
            <w:noWrap/>
            <w:vAlign w:val="center"/>
            <w:hideMark/>
          </w:tcPr>
          <w:p w14:paraId="7EC38A11"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1,226</w:t>
            </w:r>
          </w:p>
        </w:tc>
        <w:tc>
          <w:tcPr>
            <w:tcW w:w="958" w:type="dxa"/>
            <w:tcBorders>
              <w:top w:val="nil"/>
              <w:left w:val="nil"/>
              <w:bottom w:val="single" w:sz="4" w:space="0" w:color="auto"/>
              <w:right w:val="single" w:sz="4" w:space="0" w:color="auto"/>
            </w:tcBorders>
            <w:shd w:val="clear" w:color="auto" w:fill="auto"/>
            <w:noWrap/>
            <w:vAlign w:val="center"/>
            <w:hideMark/>
          </w:tcPr>
          <w:p w14:paraId="2E94B3C6"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1,829</w:t>
            </w:r>
          </w:p>
        </w:tc>
        <w:tc>
          <w:tcPr>
            <w:tcW w:w="1021" w:type="dxa"/>
            <w:tcBorders>
              <w:top w:val="nil"/>
              <w:left w:val="nil"/>
              <w:bottom w:val="single" w:sz="4" w:space="0" w:color="auto"/>
              <w:right w:val="single" w:sz="4" w:space="0" w:color="auto"/>
            </w:tcBorders>
            <w:shd w:val="clear" w:color="auto" w:fill="auto"/>
            <w:noWrap/>
            <w:vAlign w:val="center"/>
            <w:hideMark/>
          </w:tcPr>
          <w:p w14:paraId="19C187AD"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447,968</w:t>
            </w:r>
          </w:p>
        </w:tc>
      </w:tr>
      <w:tr w:rsidR="00003D7E" w:rsidRPr="00BF0CAC" w14:paraId="53CF4EC9" w14:textId="77777777" w:rsidTr="00FE1263">
        <w:trPr>
          <w:trHeight w:val="24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90063FD" w14:textId="77777777" w:rsidR="00942D11" w:rsidRPr="00BF0CAC" w:rsidRDefault="00942D11" w:rsidP="003D68D1">
            <w:pPr>
              <w:spacing w:after="0" w:line="240" w:lineRule="auto"/>
              <w:rPr>
                <w:rFonts w:cs="Arial"/>
                <w:color w:val="000000"/>
                <w:sz w:val="15"/>
                <w:szCs w:val="15"/>
                <w:lang w:eastAsia="en-AU"/>
              </w:rPr>
            </w:pPr>
            <w:r w:rsidRPr="00BF0CAC">
              <w:rPr>
                <w:rFonts w:cs="Arial"/>
                <w:color w:val="000000"/>
                <w:sz w:val="15"/>
                <w:szCs w:val="15"/>
                <w:lang w:eastAsia="en-AU"/>
              </w:rPr>
              <w:t>Calvary Health Care Bethlehem Limited</w:t>
            </w:r>
          </w:p>
        </w:tc>
        <w:tc>
          <w:tcPr>
            <w:tcW w:w="992" w:type="dxa"/>
            <w:tcBorders>
              <w:top w:val="nil"/>
              <w:left w:val="nil"/>
              <w:bottom w:val="single" w:sz="4" w:space="0" w:color="auto"/>
              <w:right w:val="single" w:sz="4" w:space="0" w:color="auto"/>
            </w:tcBorders>
            <w:shd w:val="clear" w:color="auto" w:fill="auto"/>
            <w:noWrap/>
            <w:vAlign w:val="center"/>
            <w:hideMark/>
          </w:tcPr>
          <w:p w14:paraId="6F0895A8"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24,108</w:t>
            </w:r>
          </w:p>
        </w:tc>
        <w:tc>
          <w:tcPr>
            <w:tcW w:w="958" w:type="dxa"/>
            <w:tcBorders>
              <w:top w:val="nil"/>
              <w:left w:val="nil"/>
              <w:bottom w:val="single" w:sz="4" w:space="0" w:color="auto"/>
              <w:right w:val="single" w:sz="4" w:space="0" w:color="auto"/>
            </w:tcBorders>
            <w:shd w:val="clear" w:color="auto" w:fill="auto"/>
            <w:noWrap/>
            <w:vAlign w:val="center"/>
            <w:hideMark/>
          </w:tcPr>
          <w:p w14:paraId="37624970"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8" w:type="dxa"/>
            <w:tcBorders>
              <w:top w:val="nil"/>
              <w:left w:val="nil"/>
              <w:bottom w:val="single" w:sz="4" w:space="0" w:color="auto"/>
              <w:right w:val="single" w:sz="4" w:space="0" w:color="auto"/>
            </w:tcBorders>
            <w:shd w:val="clear" w:color="auto" w:fill="auto"/>
            <w:noWrap/>
            <w:vAlign w:val="center"/>
            <w:hideMark/>
          </w:tcPr>
          <w:p w14:paraId="50A82DD2"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8" w:type="dxa"/>
            <w:tcBorders>
              <w:top w:val="nil"/>
              <w:left w:val="nil"/>
              <w:bottom w:val="single" w:sz="4" w:space="0" w:color="auto"/>
              <w:right w:val="single" w:sz="4" w:space="0" w:color="auto"/>
            </w:tcBorders>
            <w:shd w:val="clear" w:color="auto" w:fill="auto"/>
            <w:noWrap/>
            <w:vAlign w:val="center"/>
            <w:hideMark/>
          </w:tcPr>
          <w:p w14:paraId="5EF2ACDA"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9" w:type="dxa"/>
            <w:tcBorders>
              <w:top w:val="nil"/>
              <w:left w:val="nil"/>
              <w:bottom w:val="single" w:sz="4" w:space="0" w:color="auto"/>
              <w:right w:val="single" w:sz="4" w:space="0" w:color="auto"/>
            </w:tcBorders>
            <w:shd w:val="clear" w:color="auto" w:fill="auto"/>
            <w:noWrap/>
            <w:vAlign w:val="center"/>
            <w:hideMark/>
          </w:tcPr>
          <w:p w14:paraId="1EDDFFB0"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8" w:type="dxa"/>
            <w:tcBorders>
              <w:top w:val="nil"/>
              <w:left w:val="nil"/>
              <w:bottom w:val="single" w:sz="4" w:space="0" w:color="auto"/>
              <w:right w:val="single" w:sz="4" w:space="0" w:color="auto"/>
            </w:tcBorders>
            <w:shd w:val="clear" w:color="auto" w:fill="auto"/>
            <w:noWrap/>
            <w:vAlign w:val="center"/>
            <w:hideMark/>
          </w:tcPr>
          <w:p w14:paraId="45A6CA45"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1055" w:type="dxa"/>
            <w:tcBorders>
              <w:top w:val="nil"/>
              <w:left w:val="nil"/>
              <w:bottom w:val="single" w:sz="4" w:space="0" w:color="auto"/>
              <w:right w:val="single" w:sz="4" w:space="0" w:color="auto"/>
            </w:tcBorders>
            <w:shd w:val="clear" w:color="auto" w:fill="auto"/>
            <w:noWrap/>
            <w:vAlign w:val="center"/>
            <w:hideMark/>
          </w:tcPr>
          <w:p w14:paraId="2AAA8FE9"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24,108</w:t>
            </w:r>
          </w:p>
        </w:tc>
        <w:tc>
          <w:tcPr>
            <w:tcW w:w="992" w:type="dxa"/>
            <w:tcBorders>
              <w:top w:val="nil"/>
              <w:left w:val="nil"/>
              <w:bottom w:val="single" w:sz="4" w:space="0" w:color="auto"/>
              <w:right w:val="single" w:sz="4" w:space="0" w:color="auto"/>
            </w:tcBorders>
            <w:shd w:val="clear" w:color="auto" w:fill="auto"/>
            <w:noWrap/>
            <w:vAlign w:val="center"/>
            <w:hideMark/>
          </w:tcPr>
          <w:p w14:paraId="6C5FA520"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24,266</w:t>
            </w:r>
          </w:p>
        </w:tc>
        <w:tc>
          <w:tcPr>
            <w:tcW w:w="958" w:type="dxa"/>
            <w:tcBorders>
              <w:top w:val="nil"/>
              <w:left w:val="nil"/>
              <w:bottom w:val="single" w:sz="4" w:space="0" w:color="auto"/>
              <w:right w:val="single" w:sz="4" w:space="0" w:color="auto"/>
            </w:tcBorders>
            <w:shd w:val="clear" w:color="auto" w:fill="auto"/>
            <w:noWrap/>
            <w:vAlign w:val="center"/>
            <w:hideMark/>
          </w:tcPr>
          <w:p w14:paraId="2C4EA168"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9" w:type="dxa"/>
            <w:tcBorders>
              <w:top w:val="nil"/>
              <w:left w:val="nil"/>
              <w:bottom w:val="single" w:sz="4" w:space="0" w:color="auto"/>
              <w:right w:val="single" w:sz="4" w:space="0" w:color="auto"/>
            </w:tcBorders>
            <w:shd w:val="clear" w:color="auto" w:fill="auto"/>
            <w:noWrap/>
            <w:vAlign w:val="center"/>
            <w:hideMark/>
          </w:tcPr>
          <w:p w14:paraId="5F92D218"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8" w:type="dxa"/>
            <w:tcBorders>
              <w:top w:val="nil"/>
              <w:left w:val="nil"/>
              <w:bottom w:val="single" w:sz="4" w:space="0" w:color="auto"/>
              <w:right w:val="single" w:sz="4" w:space="0" w:color="auto"/>
            </w:tcBorders>
            <w:shd w:val="clear" w:color="auto" w:fill="auto"/>
            <w:noWrap/>
            <w:vAlign w:val="center"/>
            <w:hideMark/>
          </w:tcPr>
          <w:p w14:paraId="1E92CF38"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8" w:type="dxa"/>
            <w:tcBorders>
              <w:top w:val="nil"/>
              <w:left w:val="nil"/>
              <w:bottom w:val="single" w:sz="4" w:space="0" w:color="auto"/>
              <w:right w:val="single" w:sz="4" w:space="0" w:color="auto"/>
            </w:tcBorders>
            <w:shd w:val="clear" w:color="auto" w:fill="auto"/>
            <w:noWrap/>
            <w:vAlign w:val="center"/>
            <w:hideMark/>
          </w:tcPr>
          <w:p w14:paraId="01244B6C"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8" w:type="dxa"/>
            <w:tcBorders>
              <w:top w:val="nil"/>
              <w:left w:val="nil"/>
              <w:bottom w:val="single" w:sz="4" w:space="0" w:color="auto"/>
              <w:right w:val="single" w:sz="4" w:space="0" w:color="auto"/>
            </w:tcBorders>
            <w:shd w:val="clear" w:color="auto" w:fill="auto"/>
            <w:noWrap/>
            <w:vAlign w:val="center"/>
            <w:hideMark/>
          </w:tcPr>
          <w:p w14:paraId="686E2AED" w14:textId="77777777" w:rsidR="00942D11" w:rsidRPr="00BF0CAC"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 xml:space="preserve"> 0</w:t>
            </w:r>
            <w:r w:rsidRPr="00BF0CAC">
              <w:rPr>
                <w:rFonts w:cs="Arial"/>
                <w:color w:val="000000"/>
                <w:sz w:val="15"/>
                <w:szCs w:val="15"/>
                <w:lang w:eastAsia="en-AU"/>
              </w:rPr>
              <w:t> </w:t>
            </w:r>
          </w:p>
        </w:tc>
        <w:tc>
          <w:tcPr>
            <w:tcW w:w="1021" w:type="dxa"/>
            <w:tcBorders>
              <w:top w:val="nil"/>
              <w:left w:val="nil"/>
              <w:bottom w:val="single" w:sz="4" w:space="0" w:color="auto"/>
              <w:right w:val="single" w:sz="4" w:space="0" w:color="auto"/>
            </w:tcBorders>
            <w:shd w:val="clear" w:color="auto" w:fill="auto"/>
            <w:noWrap/>
            <w:vAlign w:val="center"/>
            <w:hideMark/>
          </w:tcPr>
          <w:p w14:paraId="6571A4E2"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24,266</w:t>
            </w:r>
          </w:p>
        </w:tc>
      </w:tr>
      <w:tr w:rsidR="00003D7E" w:rsidRPr="00BF0CAC" w14:paraId="317E03AD" w14:textId="77777777" w:rsidTr="00FE1263">
        <w:trPr>
          <w:trHeight w:val="24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30E694F" w14:textId="77777777" w:rsidR="00942D11" w:rsidRPr="00BF0CAC" w:rsidRDefault="00942D11" w:rsidP="003D68D1">
            <w:pPr>
              <w:spacing w:after="0" w:line="240" w:lineRule="auto"/>
              <w:rPr>
                <w:rFonts w:cs="Arial"/>
                <w:color w:val="000000"/>
                <w:sz w:val="15"/>
                <w:szCs w:val="15"/>
                <w:lang w:eastAsia="en-AU"/>
              </w:rPr>
            </w:pPr>
            <w:r w:rsidRPr="00BF0CAC">
              <w:rPr>
                <w:rFonts w:cs="Arial"/>
                <w:color w:val="000000"/>
                <w:sz w:val="15"/>
                <w:szCs w:val="15"/>
                <w:lang w:eastAsia="en-AU"/>
              </w:rPr>
              <w:t>Eastern Health</w:t>
            </w:r>
          </w:p>
        </w:tc>
        <w:tc>
          <w:tcPr>
            <w:tcW w:w="992" w:type="dxa"/>
            <w:tcBorders>
              <w:top w:val="nil"/>
              <w:left w:val="nil"/>
              <w:bottom w:val="single" w:sz="4" w:space="0" w:color="auto"/>
              <w:right w:val="single" w:sz="4" w:space="0" w:color="auto"/>
            </w:tcBorders>
            <w:shd w:val="clear" w:color="auto" w:fill="auto"/>
            <w:noWrap/>
            <w:vAlign w:val="center"/>
            <w:hideMark/>
          </w:tcPr>
          <w:p w14:paraId="6AEAD1F0"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939,278</w:t>
            </w:r>
          </w:p>
        </w:tc>
        <w:tc>
          <w:tcPr>
            <w:tcW w:w="958" w:type="dxa"/>
            <w:tcBorders>
              <w:top w:val="nil"/>
              <w:left w:val="nil"/>
              <w:bottom w:val="single" w:sz="4" w:space="0" w:color="auto"/>
              <w:right w:val="single" w:sz="4" w:space="0" w:color="auto"/>
            </w:tcBorders>
            <w:shd w:val="clear" w:color="auto" w:fill="auto"/>
            <w:noWrap/>
            <w:vAlign w:val="center"/>
            <w:hideMark/>
          </w:tcPr>
          <w:p w14:paraId="4D84E703"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4,307</w:t>
            </w:r>
          </w:p>
        </w:tc>
        <w:tc>
          <w:tcPr>
            <w:tcW w:w="958" w:type="dxa"/>
            <w:tcBorders>
              <w:top w:val="nil"/>
              <w:left w:val="nil"/>
              <w:bottom w:val="single" w:sz="4" w:space="0" w:color="auto"/>
              <w:right w:val="single" w:sz="4" w:space="0" w:color="auto"/>
            </w:tcBorders>
            <w:shd w:val="clear" w:color="auto" w:fill="auto"/>
            <w:noWrap/>
            <w:vAlign w:val="center"/>
            <w:hideMark/>
          </w:tcPr>
          <w:p w14:paraId="7E9F3D9F"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15,795</w:t>
            </w:r>
          </w:p>
        </w:tc>
        <w:tc>
          <w:tcPr>
            <w:tcW w:w="958" w:type="dxa"/>
            <w:tcBorders>
              <w:top w:val="nil"/>
              <w:left w:val="nil"/>
              <w:bottom w:val="single" w:sz="4" w:space="0" w:color="auto"/>
              <w:right w:val="single" w:sz="4" w:space="0" w:color="auto"/>
            </w:tcBorders>
            <w:shd w:val="clear" w:color="auto" w:fill="auto"/>
            <w:noWrap/>
            <w:vAlign w:val="center"/>
            <w:hideMark/>
          </w:tcPr>
          <w:p w14:paraId="3E0BED4E"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185,770</w:t>
            </w:r>
          </w:p>
        </w:tc>
        <w:tc>
          <w:tcPr>
            <w:tcW w:w="959" w:type="dxa"/>
            <w:tcBorders>
              <w:top w:val="nil"/>
              <w:left w:val="nil"/>
              <w:bottom w:val="single" w:sz="4" w:space="0" w:color="auto"/>
              <w:right w:val="single" w:sz="4" w:space="0" w:color="auto"/>
            </w:tcBorders>
            <w:shd w:val="clear" w:color="auto" w:fill="auto"/>
            <w:noWrap/>
            <w:vAlign w:val="center"/>
            <w:hideMark/>
          </w:tcPr>
          <w:p w14:paraId="6A9B9C94"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4,646</w:t>
            </w:r>
          </w:p>
        </w:tc>
        <w:tc>
          <w:tcPr>
            <w:tcW w:w="958" w:type="dxa"/>
            <w:tcBorders>
              <w:top w:val="nil"/>
              <w:left w:val="nil"/>
              <w:bottom w:val="single" w:sz="4" w:space="0" w:color="auto"/>
              <w:right w:val="single" w:sz="4" w:space="0" w:color="auto"/>
            </w:tcBorders>
            <w:shd w:val="clear" w:color="auto" w:fill="auto"/>
            <w:noWrap/>
            <w:vAlign w:val="center"/>
            <w:hideMark/>
          </w:tcPr>
          <w:p w14:paraId="6ED2D266"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1055" w:type="dxa"/>
            <w:tcBorders>
              <w:top w:val="nil"/>
              <w:left w:val="nil"/>
              <w:bottom w:val="single" w:sz="4" w:space="0" w:color="auto"/>
              <w:right w:val="single" w:sz="4" w:space="0" w:color="auto"/>
            </w:tcBorders>
            <w:shd w:val="clear" w:color="auto" w:fill="auto"/>
            <w:noWrap/>
            <w:vAlign w:val="center"/>
            <w:hideMark/>
          </w:tcPr>
          <w:p w14:paraId="28DE7DD4"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1,149,796</w:t>
            </w:r>
          </w:p>
        </w:tc>
        <w:tc>
          <w:tcPr>
            <w:tcW w:w="992" w:type="dxa"/>
            <w:tcBorders>
              <w:top w:val="nil"/>
              <w:left w:val="nil"/>
              <w:bottom w:val="single" w:sz="4" w:space="0" w:color="auto"/>
              <w:right w:val="single" w:sz="4" w:space="0" w:color="auto"/>
            </w:tcBorders>
            <w:shd w:val="clear" w:color="auto" w:fill="auto"/>
            <w:noWrap/>
            <w:vAlign w:val="center"/>
            <w:hideMark/>
          </w:tcPr>
          <w:p w14:paraId="7A8E01B5"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970,228</w:t>
            </w:r>
          </w:p>
        </w:tc>
        <w:tc>
          <w:tcPr>
            <w:tcW w:w="958" w:type="dxa"/>
            <w:tcBorders>
              <w:top w:val="nil"/>
              <w:left w:val="nil"/>
              <w:bottom w:val="single" w:sz="4" w:space="0" w:color="auto"/>
              <w:right w:val="single" w:sz="4" w:space="0" w:color="auto"/>
            </w:tcBorders>
            <w:shd w:val="clear" w:color="auto" w:fill="auto"/>
            <w:noWrap/>
            <w:vAlign w:val="center"/>
            <w:hideMark/>
          </w:tcPr>
          <w:p w14:paraId="34E478D6"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4,844</w:t>
            </w:r>
          </w:p>
        </w:tc>
        <w:tc>
          <w:tcPr>
            <w:tcW w:w="959" w:type="dxa"/>
            <w:tcBorders>
              <w:top w:val="nil"/>
              <w:left w:val="nil"/>
              <w:bottom w:val="single" w:sz="4" w:space="0" w:color="auto"/>
              <w:right w:val="single" w:sz="4" w:space="0" w:color="auto"/>
            </w:tcBorders>
            <w:shd w:val="clear" w:color="auto" w:fill="auto"/>
            <w:noWrap/>
            <w:vAlign w:val="center"/>
            <w:hideMark/>
          </w:tcPr>
          <w:p w14:paraId="3BFC7BCA"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16,091</w:t>
            </w:r>
          </w:p>
        </w:tc>
        <w:tc>
          <w:tcPr>
            <w:tcW w:w="958" w:type="dxa"/>
            <w:tcBorders>
              <w:top w:val="nil"/>
              <w:left w:val="nil"/>
              <w:bottom w:val="single" w:sz="4" w:space="0" w:color="auto"/>
              <w:right w:val="single" w:sz="4" w:space="0" w:color="auto"/>
            </w:tcBorders>
            <w:shd w:val="clear" w:color="auto" w:fill="auto"/>
            <w:noWrap/>
            <w:vAlign w:val="center"/>
            <w:hideMark/>
          </w:tcPr>
          <w:p w14:paraId="6025CA40"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186,880</w:t>
            </w:r>
          </w:p>
        </w:tc>
        <w:tc>
          <w:tcPr>
            <w:tcW w:w="958" w:type="dxa"/>
            <w:tcBorders>
              <w:top w:val="nil"/>
              <w:left w:val="nil"/>
              <w:bottom w:val="single" w:sz="4" w:space="0" w:color="auto"/>
              <w:right w:val="single" w:sz="4" w:space="0" w:color="auto"/>
            </w:tcBorders>
            <w:shd w:val="clear" w:color="auto" w:fill="auto"/>
            <w:noWrap/>
            <w:vAlign w:val="center"/>
            <w:hideMark/>
          </w:tcPr>
          <w:p w14:paraId="24CCD93C"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4,350</w:t>
            </w:r>
          </w:p>
        </w:tc>
        <w:tc>
          <w:tcPr>
            <w:tcW w:w="958" w:type="dxa"/>
            <w:tcBorders>
              <w:top w:val="nil"/>
              <w:left w:val="nil"/>
              <w:bottom w:val="single" w:sz="4" w:space="0" w:color="auto"/>
              <w:right w:val="single" w:sz="4" w:space="0" w:color="auto"/>
            </w:tcBorders>
            <w:shd w:val="clear" w:color="auto" w:fill="auto"/>
            <w:noWrap/>
            <w:vAlign w:val="center"/>
            <w:hideMark/>
          </w:tcPr>
          <w:p w14:paraId="61B6A06C"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1021" w:type="dxa"/>
            <w:tcBorders>
              <w:top w:val="nil"/>
              <w:left w:val="nil"/>
              <w:bottom w:val="single" w:sz="4" w:space="0" w:color="auto"/>
              <w:right w:val="single" w:sz="4" w:space="0" w:color="auto"/>
            </w:tcBorders>
            <w:shd w:val="clear" w:color="auto" w:fill="auto"/>
            <w:noWrap/>
            <w:vAlign w:val="center"/>
            <w:hideMark/>
          </w:tcPr>
          <w:p w14:paraId="36352FF8"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1,182,393</w:t>
            </w:r>
          </w:p>
        </w:tc>
      </w:tr>
      <w:tr w:rsidR="00003D7E" w:rsidRPr="00BF0CAC" w14:paraId="453954CE" w14:textId="77777777" w:rsidTr="00FE1263">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A5FE1BC" w14:textId="77777777" w:rsidR="00942D11" w:rsidRPr="00BF0CAC" w:rsidRDefault="00942D11" w:rsidP="003D68D1">
            <w:pPr>
              <w:spacing w:after="0" w:line="240" w:lineRule="auto"/>
              <w:rPr>
                <w:rFonts w:cs="Arial"/>
                <w:color w:val="000000"/>
                <w:sz w:val="15"/>
                <w:szCs w:val="15"/>
                <w:lang w:eastAsia="en-AU"/>
              </w:rPr>
            </w:pPr>
            <w:r w:rsidRPr="00BF0CAC">
              <w:rPr>
                <w:rFonts w:cs="Arial"/>
                <w:color w:val="000000"/>
                <w:sz w:val="15"/>
                <w:szCs w:val="15"/>
                <w:lang w:eastAsia="en-AU"/>
              </w:rPr>
              <w:t>Goulburn Valley Health</w:t>
            </w:r>
          </w:p>
        </w:tc>
        <w:tc>
          <w:tcPr>
            <w:tcW w:w="992" w:type="dxa"/>
            <w:tcBorders>
              <w:top w:val="nil"/>
              <w:left w:val="nil"/>
              <w:bottom w:val="single" w:sz="4" w:space="0" w:color="auto"/>
              <w:right w:val="single" w:sz="4" w:space="0" w:color="auto"/>
            </w:tcBorders>
            <w:shd w:val="clear" w:color="auto" w:fill="auto"/>
            <w:noWrap/>
            <w:vAlign w:val="center"/>
            <w:hideMark/>
          </w:tcPr>
          <w:p w14:paraId="5B63B3A0"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270,201</w:t>
            </w:r>
          </w:p>
        </w:tc>
        <w:tc>
          <w:tcPr>
            <w:tcW w:w="958" w:type="dxa"/>
            <w:tcBorders>
              <w:top w:val="nil"/>
              <w:left w:val="nil"/>
              <w:bottom w:val="single" w:sz="4" w:space="0" w:color="auto"/>
              <w:right w:val="single" w:sz="4" w:space="0" w:color="auto"/>
            </w:tcBorders>
            <w:shd w:val="clear" w:color="auto" w:fill="auto"/>
            <w:noWrap/>
            <w:vAlign w:val="center"/>
            <w:hideMark/>
          </w:tcPr>
          <w:p w14:paraId="1AEEE229"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2,787</w:t>
            </w:r>
          </w:p>
        </w:tc>
        <w:tc>
          <w:tcPr>
            <w:tcW w:w="958" w:type="dxa"/>
            <w:tcBorders>
              <w:top w:val="nil"/>
              <w:left w:val="nil"/>
              <w:bottom w:val="single" w:sz="4" w:space="0" w:color="auto"/>
              <w:right w:val="single" w:sz="4" w:space="0" w:color="auto"/>
            </w:tcBorders>
            <w:shd w:val="clear" w:color="auto" w:fill="auto"/>
            <w:noWrap/>
            <w:vAlign w:val="center"/>
            <w:hideMark/>
          </w:tcPr>
          <w:p w14:paraId="5966FAFC"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3,015</w:t>
            </w:r>
          </w:p>
        </w:tc>
        <w:tc>
          <w:tcPr>
            <w:tcW w:w="958" w:type="dxa"/>
            <w:tcBorders>
              <w:top w:val="nil"/>
              <w:left w:val="nil"/>
              <w:bottom w:val="single" w:sz="4" w:space="0" w:color="auto"/>
              <w:right w:val="single" w:sz="4" w:space="0" w:color="auto"/>
            </w:tcBorders>
            <w:shd w:val="clear" w:color="auto" w:fill="auto"/>
            <w:noWrap/>
            <w:vAlign w:val="center"/>
            <w:hideMark/>
          </w:tcPr>
          <w:p w14:paraId="5EB7894F"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41,436</w:t>
            </w:r>
          </w:p>
        </w:tc>
        <w:tc>
          <w:tcPr>
            <w:tcW w:w="959" w:type="dxa"/>
            <w:tcBorders>
              <w:top w:val="nil"/>
              <w:left w:val="nil"/>
              <w:bottom w:val="single" w:sz="4" w:space="0" w:color="auto"/>
              <w:right w:val="single" w:sz="4" w:space="0" w:color="auto"/>
            </w:tcBorders>
            <w:shd w:val="clear" w:color="auto" w:fill="auto"/>
            <w:noWrap/>
            <w:vAlign w:val="center"/>
            <w:hideMark/>
          </w:tcPr>
          <w:p w14:paraId="421B8DE4"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1,849</w:t>
            </w:r>
          </w:p>
        </w:tc>
        <w:tc>
          <w:tcPr>
            <w:tcW w:w="958" w:type="dxa"/>
            <w:tcBorders>
              <w:top w:val="nil"/>
              <w:left w:val="nil"/>
              <w:bottom w:val="single" w:sz="4" w:space="0" w:color="auto"/>
              <w:right w:val="single" w:sz="4" w:space="0" w:color="auto"/>
            </w:tcBorders>
            <w:shd w:val="clear" w:color="auto" w:fill="auto"/>
            <w:noWrap/>
            <w:vAlign w:val="center"/>
            <w:hideMark/>
          </w:tcPr>
          <w:p w14:paraId="361F36C6"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687</w:t>
            </w:r>
          </w:p>
        </w:tc>
        <w:tc>
          <w:tcPr>
            <w:tcW w:w="1055" w:type="dxa"/>
            <w:tcBorders>
              <w:top w:val="nil"/>
              <w:left w:val="nil"/>
              <w:bottom w:val="single" w:sz="4" w:space="0" w:color="auto"/>
              <w:right w:val="single" w:sz="4" w:space="0" w:color="auto"/>
            </w:tcBorders>
            <w:shd w:val="clear" w:color="auto" w:fill="auto"/>
            <w:noWrap/>
            <w:vAlign w:val="center"/>
            <w:hideMark/>
          </w:tcPr>
          <w:p w14:paraId="668526B0"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319,976</w:t>
            </w:r>
          </w:p>
        </w:tc>
        <w:tc>
          <w:tcPr>
            <w:tcW w:w="992" w:type="dxa"/>
            <w:tcBorders>
              <w:top w:val="nil"/>
              <w:left w:val="nil"/>
              <w:bottom w:val="single" w:sz="4" w:space="0" w:color="auto"/>
              <w:right w:val="single" w:sz="4" w:space="0" w:color="auto"/>
            </w:tcBorders>
            <w:shd w:val="clear" w:color="auto" w:fill="auto"/>
            <w:noWrap/>
            <w:vAlign w:val="center"/>
            <w:hideMark/>
          </w:tcPr>
          <w:p w14:paraId="1D2A2932"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275,929</w:t>
            </w:r>
          </w:p>
        </w:tc>
        <w:tc>
          <w:tcPr>
            <w:tcW w:w="958" w:type="dxa"/>
            <w:tcBorders>
              <w:top w:val="nil"/>
              <w:left w:val="nil"/>
              <w:bottom w:val="single" w:sz="4" w:space="0" w:color="auto"/>
              <w:right w:val="single" w:sz="4" w:space="0" w:color="auto"/>
            </w:tcBorders>
            <w:shd w:val="clear" w:color="auto" w:fill="auto"/>
            <w:noWrap/>
            <w:vAlign w:val="center"/>
            <w:hideMark/>
          </w:tcPr>
          <w:p w14:paraId="757B3548"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2,892</w:t>
            </w:r>
          </w:p>
        </w:tc>
        <w:tc>
          <w:tcPr>
            <w:tcW w:w="959" w:type="dxa"/>
            <w:tcBorders>
              <w:top w:val="nil"/>
              <w:left w:val="nil"/>
              <w:bottom w:val="single" w:sz="4" w:space="0" w:color="auto"/>
              <w:right w:val="single" w:sz="4" w:space="0" w:color="auto"/>
            </w:tcBorders>
            <w:shd w:val="clear" w:color="auto" w:fill="auto"/>
            <w:noWrap/>
            <w:vAlign w:val="center"/>
            <w:hideMark/>
          </w:tcPr>
          <w:p w14:paraId="12B80E5C"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3,115</w:t>
            </w:r>
          </w:p>
        </w:tc>
        <w:tc>
          <w:tcPr>
            <w:tcW w:w="958" w:type="dxa"/>
            <w:tcBorders>
              <w:top w:val="nil"/>
              <w:left w:val="nil"/>
              <w:bottom w:val="single" w:sz="4" w:space="0" w:color="auto"/>
              <w:right w:val="single" w:sz="4" w:space="0" w:color="auto"/>
            </w:tcBorders>
            <w:shd w:val="clear" w:color="auto" w:fill="auto"/>
            <w:noWrap/>
            <w:vAlign w:val="center"/>
            <w:hideMark/>
          </w:tcPr>
          <w:p w14:paraId="3A0B94FF"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42,772</w:t>
            </w:r>
          </w:p>
        </w:tc>
        <w:tc>
          <w:tcPr>
            <w:tcW w:w="958" w:type="dxa"/>
            <w:tcBorders>
              <w:top w:val="nil"/>
              <w:left w:val="nil"/>
              <w:bottom w:val="single" w:sz="4" w:space="0" w:color="auto"/>
              <w:right w:val="single" w:sz="4" w:space="0" w:color="auto"/>
            </w:tcBorders>
            <w:shd w:val="clear" w:color="auto" w:fill="auto"/>
            <w:noWrap/>
            <w:vAlign w:val="center"/>
            <w:hideMark/>
          </w:tcPr>
          <w:p w14:paraId="695FCF9A"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1,818</w:t>
            </w:r>
          </w:p>
        </w:tc>
        <w:tc>
          <w:tcPr>
            <w:tcW w:w="958" w:type="dxa"/>
            <w:tcBorders>
              <w:top w:val="nil"/>
              <w:left w:val="nil"/>
              <w:bottom w:val="single" w:sz="4" w:space="0" w:color="auto"/>
              <w:right w:val="single" w:sz="4" w:space="0" w:color="auto"/>
            </w:tcBorders>
            <w:shd w:val="clear" w:color="auto" w:fill="auto"/>
            <w:noWrap/>
            <w:vAlign w:val="center"/>
            <w:hideMark/>
          </w:tcPr>
          <w:p w14:paraId="1BAC4667"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710</w:t>
            </w:r>
          </w:p>
        </w:tc>
        <w:tc>
          <w:tcPr>
            <w:tcW w:w="1021" w:type="dxa"/>
            <w:tcBorders>
              <w:top w:val="nil"/>
              <w:left w:val="nil"/>
              <w:bottom w:val="single" w:sz="4" w:space="0" w:color="auto"/>
              <w:right w:val="single" w:sz="4" w:space="0" w:color="auto"/>
            </w:tcBorders>
            <w:shd w:val="clear" w:color="auto" w:fill="auto"/>
            <w:noWrap/>
            <w:vAlign w:val="center"/>
            <w:hideMark/>
          </w:tcPr>
          <w:p w14:paraId="3B158FC5"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327,235</w:t>
            </w:r>
          </w:p>
        </w:tc>
      </w:tr>
      <w:tr w:rsidR="00003D7E" w:rsidRPr="00BF0CAC" w14:paraId="3525B134" w14:textId="77777777" w:rsidTr="00FE1263">
        <w:trPr>
          <w:trHeight w:val="24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3772D51" w14:textId="77777777" w:rsidR="00942D11" w:rsidRPr="00BF0CAC" w:rsidRDefault="00942D11" w:rsidP="003D68D1">
            <w:pPr>
              <w:spacing w:after="0" w:line="240" w:lineRule="auto"/>
              <w:rPr>
                <w:rFonts w:cs="Arial"/>
                <w:color w:val="000000"/>
                <w:sz w:val="15"/>
                <w:szCs w:val="15"/>
                <w:lang w:eastAsia="en-AU"/>
              </w:rPr>
            </w:pPr>
            <w:r w:rsidRPr="00BF0CAC">
              <w:rPr>
                <w:rFonts w:cs="Arial"/>
                <w:color w:val="000000"/>
                <w:sz w:val="15"/>
                <w:szCs w:val="15"/>
                <w:lang w:eastAsia="en-AU"/>
              </w:rPr>
              <w:t>Grampians Health</w:t>
            </w:r>
          </w:p>
        </w:tc>
        <w:tc>
          <w:tcPr>
            <w:tcW w:w="992" w:type="dxa"/>
            <w:tcBorders>
              <w:top w:val="nil"/>
              <w:left w:val="nil"/>
              <w:bottom w:val="single" w:sz="4" w:space="0" w:color="auto"/>
              <w:right w:val="single" w:sz="4" w:space="0" w:color="auto"/>
            </w:tcBorders>
            <w:shd w:val="clear" w:color="auto" w:fill="auto"/>
            <w:noWrap/>
            <w:vAlign w:val="center"/>
            <w:hideMark/>
          </w:tcPr>
          <w:p w14:paraId="4E124508"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430,997</w:t>
            </w:r>
          </w:p>
        </w:tc>
        <w:tc>
          <w:tcPr>
            <w:tcW w:w="958" w:type="dxa"/>
            <w:tcBorders>
              <w:top w:val="nil"/>
              <w:left w:val="nil"/>
              <w:bottom w:val="single" w:sz="4" w:space="0" w:color="auto"/>
              <w:right w:val="single" w:sz="4" w:space="0" w:color="auto"/>
            </w:tcBorders>
            <w:shd w:val="clear" w:color="auto" w:fill="auto"/>
            <w:noWrap/>
            <w:vAlign w:val="center"/>
            <w:hideMark/>
          </w:tcPr>
          <w:p w14:paraId="2DEF1E1F"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38,878</w:t>
            </w:r>
          </w:p>
        </w:tc>
        <w:tc>
          <w:tcPr>
            <w:tcW w:w="958" w:type="dxa"/>
            <w:tcBorders>
              <w:top w:val="nil"/>
              <w:left w:val="nil"/>
              <w:bottom w:val="single" w:sz="4" w:space="0" w:color="auto"/>
              <w:right w:val="single" w:sz="4" w:space="0" w:color="auto"/>
            </w:tcBorders>
            <w:shd w:val="clear" w:color="auto" w:fill="auto"/>
            <w:noWrap/>
            <w:vAlign w:val="center"/>
            <w:hideMark/>
          </w:tcPr>
          <w:p w14:paraId="49635969"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310</w:t>
            </w:r>
          </w:p>
        </w:tc>
        <w:tc>
          <w:tcPr>
            <w:tcW w:w="958" w:type="dxa"/>
            <w:tcBorders>
              <w:top w:val="nil"/>
              <w:left w:val="nil"/>
              <w:bottom w:val="single" w:sz="4" w:space="0" w:color="auto"/>
              <w:right w:val="single" w:sz="4" w:space="0" w:color="auto"/>
            </w:tcBorders>
            <w:shd w:val="clear" w:color="auto" w:fill="auto"/>
            <w:noWrap/>
            <w:vAlign w:val="center"/>
            <w:hideMark/>
          </w:tcPr>
          <w:p w14:paraId="0369FC4C"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62,649</w:t>
            </w:r>
          </w:p>
        </w:tc>
        <w:tc>
          <w:tcPr>
            <w:tcW w:w="959" w:type="dxa"/>
            <w:tcBorders>
              <w:top w:val="nil"/>
              <w:left w:val="nil"/>
              <w:bottom w:val="single" w:sz="4" w:space="0" w:color="auto"/>
              <w:right w:val="single" w:sz="4" w:space="0" w:color="auto"/>
            </w:tcBorders>
            <w:shd w:val="clear" w:color="auto" w:fill="auto"/>
            <w:noWrap/>
            <w:vAlign w:val="center"/>
            <w:hideMark/>
          </w:tcPr>
          <w:p w14:paraId="14009959"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4,180</w:t>
            </w:r>
          </w:p>
        </w:tc>
        <w:tc>
          <w:tcPr>
            <w:tcW w:w="958" w:type="dxa"/>
            <w:tcBorders>
              <w:top w:val="nil"/>
              <w:left w:val="nil"/>
              <w:bottom w:val="single" w:sz="4" w:space="0" w:color="auto"/>
              <w:right w:val="single" w:sz="4" w:space="0" w:color="auto"/>
            </w:tcBorders>
            <w:shd w:val="clear" w:color="auto" w:fill="auto"/>
            <w:noWrap/>
            <w:vAlign w:val="center"/>
            <w:hideMark/>
          </w:tcPr>
          <w:p w14:paraId="7607A579"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1,290</w:t>
            </w:r>
          </w:p>
        </w:tc>
        <w:tc>
          <w:tcPr>
            <w:tcW w:w="1055" w:type="dxa"/>
            <w:tcBorders>
              <w:top w:val="nil"/>
              <w:left w:val="nil"/>
              <w:bottom w:val="single" w:sz="4" w:space="0" w:color="auto"/>
              <w:right w:val="single" w:sz="4" w:space="0" w:color="auto"/>
            </w:tcBorders>
            <w:shd w:val="clear" w:color="auto" w:fill="auto"/>
            <w:noWrap/>
            <w:vAlign w:val="center"/>
            <w:hideMark/>
          </w:tcPr>
          <w:p w14:paraId="1E64115D"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538,305</w:t>
            </w:r>
          </w:p>
        </w:tc>
        <w:tc>
          <w:tcPr>
            <w:tcW w:w="992" w:type="dxa"/>
            <w:tcBorders>
              <w:top w:val="nil"/>
              <w:left w:val="nil"/>
              <w:bottom w:val="single" w:sz="4" w:space="0" w:color="auto"/>
              <w:right w:val="single" w:sz="4" w:space="0" w:color="auto"/>
            </w:tcBorders>
            <w:shd w:val="clear" w:color="auto" w:fill="auto"/>
            <w:noWrap/>
            <w:vAlign w:val="center"/>
            <w:hideMark/>
          </w:tcPr>
          <w:p w14:paraId="7FFAE0BE"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448,744</w:t>
            </w:r>
          </w:p>
        </w:tc>
        <w:tc>
          <w:tcPr>
            <w:tcW w:w="958" w:type="dxa"/>
            <w:tcBorders>
              <w:top w:val="nil"/>
              <w:left w:val="nil"/>
              <w:bottom w:val="single" w:sz="4" w:space="0" w:color="auto"/>
              <w:right w:val="single" w:sz="4" w:space="0" w:color="auto"/>
            </w:tcBorders>
            <w:shd w:val="clear" w:color="auto" w:fill="auto"/>
            <w:noWrap/>
            <w:vAlign w:val="center"/>
            <w:hideMark/>
          </w:tcPr>
          <w:p w14:paraId="568CCF8F"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34,523</w:t>
            </w:r>
          </w:p>
        </w:tc>
        <w:tc>
          <w:tcPr>
            <w:tcW w:w="959" w:type="dxa"/>
            <w:tcBorders>
              <w:top w:val="nil"/>
              <w:left w:val="nil"/>
              <w:bottom w:val="single" w:sz="4" w:space="0" w:color="auto"/>
              <w:right w:val="single" w:sz="4" w:space="0" w:color="auto"/>
            </w:tcBorders>
            <w:shd w:val="clear" w:color="auto" w:fill="auto"/>
            <w:noWrap/>
            <w:vAlign w:val="center"/>
            <w:hideMark/>
          </w:tcPr>
          <w:p w14:paraId="73038892"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320</w:t>
            </w:r>
          </w:p>
        </w:tc>
        <w:tc>
          <w:tcPr>
            <w:tcW w:w="958" w:type="dxa"/>
            <w:tcBorders>
              <w:top w:val="nil"/>
              <w:left w:val="nil"/>
              <w:bottom w:val="single" w:sz="4" w:space="0" w:color="auto"/>
              <w:right w:val="single" w:sz="4" w:space="0" w:color="auto"/>
            </w:tcBorders>
            <w:shd w:val="clear" w:color="auto" w:fill="auto"/>
            <w:noWrap/>
            <w:vAlign w:val="center"/>
            <w:hideMark/>
          </w:tcPr>
          <w:p w14:paraId="699B5142"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64,225</w:t>
            </w:r>
          </w:p>
        </w:tc>
        <w:tc>
          <w:tcPr>
            <w:tcW w:w="958" w:type="dxa"/>
            <w:tcBorders>
              <w:top w:val="nil"/>
              <w:left w:val="nil"/>
              <w:bottom w:val="single" w:sz="4" w:space="0" w:color="auto"/>
              <w:right w:val="single" w:sz="4" w:space="0" w:color="auto"/>
            </w:tcBorders>
            <w:shd w:val="clear" w:color="auto" w:fill="auto"/>
            <w:noWrap/>
            <w:vAlign w:val="center"/>
            <w:hideMark/>
          </w:tcPr>
          <w:p w14:paraId="06893383"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3,915</w:t>
            </w:r>
          </w:p>
        </w:tc>
        <w:tc>
          <w:tcPr>
            <w:tcW w:w="958" w:type="dxa"/>
            <w:tcBorders>
              <w:top w:val="nil"/>
              <w:left w:val="nil"/>
              <w:bottom w:val="single" w:sz="4" w:space="0" w:color="auto"/>
              <w:right w:val="single" w:sz="4" w:space="0" w:color="auto"/>
            </w:tcBorders>
            <w:shd w:val="clear" w:color="auto" w:fill="auto"/>
            <w:noWrap/>
            <w:vAlign w:val="center"/>
            <w:hideMark/>
          </w:tcPr>
          <w:p w14:paraId="5889D698"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1,246</w:t>
            </w:r>
          </w:p>
        </w:tc>
        <w:tc>
          <w:tcPr>
            <w:tcW w:w="1021" w:type="dxa"/>
            <w:tcBorders>
              <w:top w:val="nil"/>
              <w:left w:val="nil"/>
              <w:bottom w:val="single" w:sz="4" w:space="0" w:color="auto"/>
              <w:right w:val="single" w:sz="4" w:space="0" w:color="auto"/>
            </w:tcBorders>
            <w:shd w:val="clear" w:color="auto" w:fill="auto"/>
            <w:noWrap/>
            <w:vAlign w:val="center"/>
            <w:hideMark/>
          </w:tcPr>
          <w:p w14:paraId="3AFA734A"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552,973</w:t>
            </w:r>
          </w:p>
        </w:tc>
      </w:tr>
      <w:tr w:rsidR="00003D7E" w:rsidRPr="00BF0CAC" w14:paraId="30E3B931" w14:textId="77777777" w:rsidTr="00FE1263">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20BF122" w14:textId="77777777" w:rsidR="00942D11" w:rsidRPr="00BF0CAC" w:rsidRDefault="00942D11" w:rsidP="003D68D1">
            <w:pPr>
              <w:spacing w:after="0" w:line="240" w:lineRule="auto"/>
              <w:rPr>
                <w:rFonts w:cs="Arial"/>
                <w:color w:val="000000"/>
                <w:sz w:val="15"/>
                <w:szCs w:val="15"/>
                <w:lang w:eastAsia="en-AU"/>
              </w:rPr>
            </w:pPr>
            <w:r w:rsidRPr="00BF0CAC">
              <w:rPr>
                <w:rFonts w:cs="Arial"/>
                <w:color w:val="000000"/>
                <w:sz w:val="15"/>
                <w:szCs w:val="15"/>
                <w:lang w:eastAsia="en-AU"/>
              </w:rPr>
              <w:t>Latrobe Regional Health</w:t>
            </w:r>
          </w:p>
        </w:tc>
        <w:tc>
          <w:tcPr>
            <w:tcW w:w="992" w:type="dxa"/>
            <w:tcBorders>
              <w:top w:val="nil"/>
              <w:left w:val="nil"/>
              <w:bottom w:val="single" w:sz="4" w:space="0" w:color="auto"/>
              <w:right w:val="single" w:sz="4" w:space="0" w:color="auto"/>
            </w:tcBorders>
            <w:shd w:val="clear" w:color="auto" w:fill="auto"/>
            <w:noWrap/>
            <w:vAlign w:val="center"/>
            <w:hideMark/>
          </w:tcPr>
          <w:p w14:paraId="1F2E65A4"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210,346</w:t>
            </w:r>
          </w:p>
        </w:tc>
        <w:tc>
          <w:tcPr>
            <w:tcW w:w="958" w:type="dxa"/>
            <w:tcBorders>
              <w:top w:val="nil"/>
              <w:left w:val="nil"/>
              <w:bottom w:val="single" w:sz="4" w:space="0" w:color="auto"/>
              <w:right w:val="single" w:sz="4" w:space="0" w:color="auto"/>
            </w:tcBorders>
            <w:shd w:val="clear" w:color="auto" w:fill="auto"/>
            <w:noWrap/>
            <w:vAlign w:val="center"/>
            <w:hideMark/>
          </w:tcPr>
          <w:p w14:paraId="51FE1893"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8" w:type="dxa"/>
            <w:tcBorders>
              <w:top w:val="nil"/>
              <w:left w:val="nil"/>
              <w:bottom w:val="single" w:sz="4" w:space="0" w:color="auto"/>
              <w:right w:val="single" w:sz="4" w:space="0" w:color="auto"/>
            </w:tcBorders>
            <w:shd w:val="clear" w:color="auto" w:fill="auto"/>
            <w:noWrap/>
            <w:vAlign w:val="center"/>
            <w:hideMark/>
          </w:tcPr>
          <w:p w14:paraId="1C01A1A3"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156</w:t>
            </w:r>
          </w:p>
        </w:tc>
        <w:tc>
          <w:tcPr>
            <w:tcW w:w="958" w:type="dxa"/>
            <w:tcBorders>
              <w:top w:val="nil"/>
              <w:left w:val="nil"/>
              <w:bottom w:val="single" w:sz="4" w:space="0" w:color="auto"/>
              <w:right w:val="single" w:sz="4" w:space="0" w:color="auto"/>
            </w:tcBorders>
            <w:shd w:val="clear" w:color="auto" w:fill="auto"/>
            <w:noWrap/>
            <w:vAlign w:val="center"/>
            <w:hideMark/>
          </w:tcPr>
          <w:p w14:paraId="05A2A2B7"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70,987</w:t>
            </w:r>
          </w:p>
        </w:tc>
        <w:tc>
          <w:tcPr>
            <w:tcW w:w="959" w:type="dxa"/>
            <w:tcBorders>
              <w:top w:val="nil"/>
              <w:left w:val="nil"/>
              <w:bottom w:val="single" w:sz="4" w:space="0" w:color="auto"/>
              <w:right w:val="single" w:sz="4" w:space="0" w:color="auto"/>
            </w:tcBorders>
            <w:shd w:val="clear" w:color="auto" w:fill="auto"/>
            <w:noWrap/>
            <w:vAlign w:val="center"/>
            <w:hideMark/>
          </w:tcPr>
          <w:p w14:paraId="4B48F84F"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4,589</w:t>
            </w:r>
          </w:p>
        </w:tc>
        <w:tc>
          <w:tcPr>
            <w:tcW w:w="958" w:type="dxa"/>
            <w:tcBorders>
              <w:top w:val="nil"/>
              <w:left w:val="nil"/>
              <w:bottom w:val="single" w:sz="4" w:space="0" w:color="auto"/>
              <w:right w:val="single" w:sz="4" w:space="0" w:color="auto"/>
            </w:tcBorders>
            <w:shd w:val="clear" w:color="auto" w:fill="auto"/>
            <w:noWrap/>
            <w:vAlign w:val="center"/>
            <w:hideMark/>
          </w:tcPr>
          <w:p w14:paraId="496AC085"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1,661</w:t>
            </w:r>
          </w:p>
        </w:tc>
        <w:tc>
          <w:tcPr>
            <w:tcW w:w="1055" w:type="dxa"/>
            <w:tcBorders>
              <w:top w:val="nil"/>
              <w:left w:val="nil"/>
              <w:bottom w:val="single" w:sz="4" w:space="0" w:color="auto"/>
              <w:right w:val="single" w:sz="4" w:space="0" w:color="auto"/>
            </w:tcBorders>
            <w:shd w:val="clear" w:color="auto" w:fill="auto"/>
            <w:noWrap/>
            <w:vAlign w:val="center"/>
            <w:hideMark/>
          </w:tcPr>
          <w:p w14:paraId="1F6895A5"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287,739</w:t>
            </w:r>
          </w:p>
        </w:tc>
        <w:tc>
          <w:tcPr>
            <w:tcW w:w="992" w:type="dxa"/>
            <w:tcBorders>
              <w:top w:val="nil"/>
              <w:left w:val="nil"/>
              <w:bottom w:val="single" w:sz="4" w:space="0" w:color="auto"/>
              <w:right w:val="single" w:sz="4" w:space="0" w:color="auto"/>
            </w:tcBorders>
            <w:shd w:val="clear" w:color="auto" w:fill="auto"/>
            <w:noWrap/>
            <w:vAlign w:val="center"/>
            <w:hideMark/>
          </w:tcPr>
          <w:p w14:paraId="0A41A0EE"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222,440</w:t>
            </w:r>
          </w:p>
        </w:tc>
        <w:tc>
          <w:tcPr>
            <w:tcW w:w="958" w:type="dxa"/>
            <w:tcBorders>
              <w:top w:val="nil"/>
              <w:left w:val="nil"/>
              <w:bottom w:val="single" w:sz="4" w:space="0" w:color="auto"/>
              <w:right w:val="single" w:sz="4" w:space="0" w:color="auto"/>
            </w:tcBorders>
            <w:shd w:val="clear" w:color="auto" w:fill="auto"/>
            <w:noWrap/>
            <w:vAlign w:val="center"/>
            <w:hideMark/>
          </w:tcPr>
          <w:p w14:paraId="12C7709A"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9" w:type="dxa"/>
            <w:tcBorders>
              <w:top w:val="nil"/>
              <w:left w:val="nil"/>
              <w:bottom w:val="single" w:sz="4" w:space="0" w:color="auto"/>
              <w:right w:val="single" w:sz="4" w:space="0" w:color="auto"/>
            </w:tcBorders>
            <w:shd w:val="clear" w:color="auto" w:fill="auto"/>
            <w:noWrap/>
            <w:vAlign w:val="center"/>
            <w:hideMark/>
          </w:tcPr>
          <w:p w14:paraId="083788E2"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161</w:t>
            </w:r>
          </w:p>
        </w:tc>
        <w:tc>
          <w:tcPr>
            <w:tcW w:w="958" w:type="dxa"/>
            <w:tcBorders>
              <w:top w:val="nil"/>
              <w:left w:val="nil"/>
              <w:bottom w:val="single" w:sz="4" w:space="0" w:color="auto"/>
              <w:right w:val="single" w:sz="4" w:space="0" w:color="auto"/>
            </w:tcBorders>
            <w:shd w:val="clear" w:color="auto" w:fill="auto"/>
            <w:noWrap/>
            <w:vAlign w:val="center"/>
            <w:hideMark/>
          </w:tcPr>
          <w:p w14:paraId="558AFDC6"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72,378</w:t>
            </w:r>
          </w:p>
        </w:tc>
        <w:tc>
          <w:tcPr>
            <w:tcW w:w="958" w:type="dxa"/>
            <w:tcBorders>
              <w:top w:val="nil"/>
              <w:left w:val="nil"/>
              <w:bottom w:val="single" w:sz="4" w:space="0" w:color="auto"/>
              <w:right w:val="single" w:sz="4" w:space="0" w:color="auto"/>
            </w:tcBorders>
            <w:shd w:val="clear" w:color="auto" w:fill="auto"/>
            <w:noWrap/>
            <w:vAlign w:val="center"/>
            <w:hideMark/>
          </w:tcPr>
          <w:p w14:paraId="50366D32"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1,464</w:t>
            </w:r>
          </w:p>
        </w:tc>
        <w:tc>
          <w:tcPr>
            <w:tcW w:w="958" w:type="dxa"/>
            <w:tcBorders>
              <w:top w:val="nil"/>
              <w:left w:val="nil"/>
              <w:bottom w:val="single" w:sz="4" w:space="0" w:color="auto"/>
              <w:right w:val="single" w:sz="4" w:space="0" w:color="auto"/>
            </w:tcBorders>
            <w:shd w:val="clear" w:color="auto" w:fill="auto"/>
            <w:noWrap/>
            <w:vAlign w:val="center"/>
            <w:hideMark/>
          </w:tcPr>
          <w:p w14:paraId="5307EFF4"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1,484</w:t>
            </w:r>
          </w:p>
        </w:tc>
        <w:tc>
          <w:tcPr>
            <w:tcW w:w="1021" w:type="dxa"/>
            <w:tcBorders>
              <w:top w:val="nil"/>
              <w:left w:val="nil"/>
              <w:bottom w:val="single" w:sz="4" w:space="0" w:color="auto"/>
              <w:right w:val="single" w:sz="4" w:space="0" w:color="auto"/>
            </w:tcBorders>
            <w:shd w:val="clear" w:color="auto" w:fill="auto"/>
            <w:noWrap/>
            <w:vAlign w:val="center"/>
            <w:hideMark/>
          </w:tcPr>
          <w:p w14:paraId="728D46D8"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297,927</w:t>
            </w:r>
          </w:p>
        </w:tc>
      </w:tr>
      <w:tr w:rsidR="00003D7E" w:rsidRPr="00BF0CAC" w14:paraId="355E0E0B" w14:textId="77777777" w:rsidTr="00FE1263">
        <w:trPr>
          <w:trHeight w:val="27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B4455DC" w14:textId="77777777" w:rsidR="00942D11" w:rsidRPr="00BF0CAC" w:rsidRDefault="00942D11" w:rsidP="003D68D1">
            <w:pPr>
              <w:spacing w:after="0" w:line="240" w:lineRule="auto"/>
              <w:rPr>
                <w:rFonts w:cs="Arial"/>
                <w:color w:val="000000"/>
                <w:sz w:val="15"/>
                <w:szCs w:val="15"/>
                <w:lang w:eastAsia="en-AU"/>
              </w:rPr>
            </w:pPr>
            <w:r w:rsidRPr="00BF0CAC">
              <w:rPr>
                <w:rFonts w:cs="Arial"/>
                <w:color w:val="000000"/>
                <w:sz w:val="15"/>
                <w:szCs w:val="15"/>
                <w:lang w:eastAsia="en-AU"/>
              </w:rPr>
              <w:t>Melbourne Health</w:t>
            </w:r>
          </w:p>
        </w:tc>
        <w:tc>
          <w:tcPr>
            <w:tcW w:w="992" w:type="dxa"/>
            <w:tcBorders>
              <w:top w:val="nil"/>
              <w:left w:val="nil"/>
              <w:bottom w:val="single" w:sz="4" w:space="0" w:color="auto"/>
              <w:right w:val="single" w:sz="4" w:space="0" w:color="auto"/>
            </w:tcBorders>
            <w:shd w:val="clear" w:color="auto" w:fill="auto"/>
            <w:noWrap/>
            <w:vAlign w:val="center"/>
            <w:hideMark/>
          </w:tcPr>
          <w:p w14:paraId="779E9037"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821,094</w:t>
            </w:r>
          </w:p>
        </w:tc>
        <w:tc>
          <w:tcPr>
            <w:tcW w:w="958" w:type="dxa"/>
            <w:tcBorders>
              <w:top w:val="nil"/>
              <w:left w:val="nil"/>
              <w:bottom w:val="single" w:sz="4" w:space="0" w:color="auto"/>
              <w:right w:val="single" w:sz="4" w:space="0" w:color="auto"/>
            </w:tcBorders>
            <w:shd w:val="clear" w:color="auto" w:fill="auto"/>
            <w:noWrap/>
            <w:vAlign w:val="center"/>
            <w:hideMark/>
          </w:tcPr>
          <w:p w14:paraId="190F9022"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4,095</w:t>
            </w:r>
          </w:p>
        </w:tc>
        <w:tc>
          <w:tcPr>
            <w:tcW w:w="958" w:type="dxa"/>
            <w:tcBorders>
              <w:top w:val="nil"/>
              <w:left w:val="nil"/>
              <w:bottom w:val="single" w:sz="4" w:space="0" w:color="auto"/>
              <w:right w:val="single" w:sz="4" w:space="0" w:color="auto"/>
            </w:tcBorders>
            <w:shd w:val="clear" w:color="auto" w:fill="auto"/>
            <w:noWrap/>
            <w:vAlign w:val="center"/>
            <w:hideMark/>
          </w:tcPr>
          <w:p w14:paraId="05192F76"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457</w:t>
            </w:r>
          </w:p>
        </w:tc>
        <w:tc>
          <w:tcPr>
            <w:tcW w:w="958" w:type="dxa"/>
            <w:tcBorders>
              <w:top w:val="nil"/>
              <w:left w:val="nil"/>
              <w:bottom w:val="single" w:sz="4" w:space="0" w:color="auto"/>
              <w:right w:val="single" w:sz="4" w:space="0" w:color="auto"/>
            </w:tcBorders>
            <w:shd w:val="clear" w:color="auto" w:fill="auto"/>
            <w:noWrap/>
            <w:vAlign w:val="center"/>
            <w:hideMark/>
          </w:tcPr>
          <w:p w14:paraId="323E83CE"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233,418</w:t>
            </w:r>
          </w:p>
        </w:tc>
        <w:tc>
          <w:tcPr>
            <w:tcW w:w="959" w:type="dxa"/>
            <w:tcBorders>
              <w:top w:val="nil"/>
              <w:left w:val="nil"/>
              <w:bottom w:val="single" w:sz="4" w:space="0" w:color="auto"/>
              <w:right w:val="single" w:sz="4" w:space="0" w:color="auto"/>
            </w:tcBorders>
            <w:shd w:val="clear" w:color="auto" w:fill="auto"/>
            <w:noWrap/>
            <w:vAlign w:val="center"/>
            <w:hideMark/>
          </w:tcPr>
          <w:p w14:paraId="235349AF"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8" w:type="dxa"/>
            <w:tcBorders>
              <w:top w:val="nil"/>
              <w:left w:val="nil"/>
              <w:bottom w:val="single" w:sz="4" w:space="0" w:color="auto"/>
              <w:right w:val="single" w:sz="4" w:space="0" w:color="auto"/>
            </w:tcBorders>
            <w:shd w:val="clear" w:color="auto" w:fill="auto"/>
            <w:noWrap/>
            <w:vAlign w:val="center"/>
            <w:hideMark/>
          </w:tcPr>
          <w:p w14:paraId="4D3E7BDD"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16,766</w:t>
            </w:r>
          </w:p>
        </w:tc>
        <w:tc>
          <w:tcPr>
            <w:tcW w:w="1055" w:type="dxa"/>
            <w:tcBorders>
              <w:top w:val="nil"/>
              <w:left w:val="nil"/>
              <w:bottom w:val="single" w:sz="4" w:space="0" w:color="auto"/>
              <w:right w:val="single" w:sz="4" w:space="0" w:color="auto"/>
            </w:tcBorders>
            <w:shd w:val="clear" w:color="auto" w:fill="auto"/>
            <w:noWrap/>
            <w:vAlign w:val="center"/>
            <w:hideMark/>
          </w:tcPr>
          <w:p w14:paraId="7122BD73"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1,075,830</w:t>
            </w:r>
          </w:p>
        </w:tc>
        <w:tc>
          <w:tcPr>
            <w:tcW w:w="992" w:type="dxa"/>
            <w:tcBorders>
              <w:top w:val="nil"/>
              <w:left w:val="nil"/>
              <w:bottom w:val="single" w:sz="4" w:space="0" w:color="auto"/>
              <w:right w:val="single" w:sz="4" w:space="0" w:color="auto"/>
            </w:tcBorders>
            <w:shd w:val="clear" w:color="auto" w:fill="auto"/>
            <w:noWrap/>
            <w:vAlign w:val="center"/>
            <w:hideMark/>
          </w:tcPr>
          <w:p w14:paraId="5CCAE1C2"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851,945</w:t>
            </w:r>
          </w:p>
        </w:tc>
        <w:tc>
          <w:tcPr>
            <w:tcW w:w="958" w:type="dxa"/>
            <w:tcBorders>
              <w:top w:val="nil"/>
              <w:left w:val="nil"/>
              <w:bottom w:val="single" w:sz="4" w:space="0" w:color="auto"/>
              <w:right w:val="single" w:sz="4" w:space="0" w:color="auto"/>
            </w:tcBorders>
            <w:shd w:val="clear" w:color="auto" w:fill="auto"/>
            <w:noWrap/>
            <w:vAlign w:val="center"/>
            <w:hideMark/>
          </w:tcPr>
          <w:p w14:paraId="6E43A86A"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4,161</w:t>
            </w:r>
          </w:p>
        </w:tc>
        <w:tc>
          <w:tcPr>
            <w:tcW w:w="959" w:type="dxa"/>
            <w:tcBorders>
              <w:top w:val="nil"/>
              <w:left w:val="nil"/>
              <w:bottom w:val="single" w:sz="4" w:space="0" w:color="auto"/>
              <w:right w:val="single" w:sz="4" w:space="0" w:color="auto"/>
            </w:tcBorders>
            <w:shd w:val="clear" w:color="auto" w:fill="auto"/>
            <w:noWrap/>
            <w:vAlign w:val="center"/>
            <w:hideMark/>
          </w:tcPr>
          <w:p w14:paraId="34A0DBA7"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479</w:t>
            </w:r>
          </w:p>
        </w:tc>
        <w:tc>
          <w:tcPr>
            <w:tcW w:w="958" w:type="dxa"/>
            <w:tcBorders>
              <w:top w:val="nil"/>
              <w:left w:val="nil"/>
              <w:bottom w:val="single" w:sz="4" w:space="0" w:color="auto"/>
              <w:right w:val="single" w:sz="4" w:space="0" w:color="auto"/>
            </w:tcBorders>
            <w:shd w:val="clear" w:color="auto" w:fill="auto"/>
            <w:noWrap/>
            <w:vAlign w:val="center"/>
            <w:hideMark/>
          </w:tcPr>
          <w:p w14:paraId="1A1753F0"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137,871</w:t>
            </w:r>
          </w:p>
        </w:tc>
        <w:tc>
          <w:tcPr>
            <w:tcW w:w="958" w:type="dxa"/>
            <w:tcBorders>
              <w:top w:val="nil"/>
              <w:left w:val="nil"/>
              <w:bottom w:val="single" w:sz="4" w:space="0" w:color="auto"/>
              <w:right w:val="single" w:sz="4" w:space="0" w:color="auto"/>
            </w:tcBorders>
            <w:shd w:val="clear" w:color="auto" w:fill="auto"/>
            <w:noWrap/>
            <w:vAlign w:val="center"/>
            <w:hideMark/>
          </w:tcPr>
          <w:p w14:paraId="0BFBCF7E"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8" w:type="dxa"/>
            <w:tcBorders>
              <w:top w:val="nil"/>
              <w:left w:val="nil"/>
              <w:bottom w:val="single" w:sz="4" w:space="0" w:color="auto"/>
              <w:right w:val="single" w:sz="4" w:space="0" w:color="auto"/>
            </w:tcBorders>
            <w:shd w:val="clear" w:color="auto" w:fill="auto"/>
            <w:noWrap/>
            <w:vAlign w:val="center"/>
            <w:hideMark/>
          </w:tcPr>
          <w:p w14:paraId="5653DC2E"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17,227</w:t>
            </w:r>
          </w:p>
        </w:tc>
        <w:tc>
          <w:tcPr>
            <w:tcW w:w="1021" w:type="dxa"/>
            <w:tcBorders>
              <w:top w:val="nil"/>
              <w:left w:val="nil"/>
              <w:bottom w:val="single" w:sz="4" w:space="0" w:color="auto"/>
              <w:right w:val="single" w:sz="4" w:space="0" w:color="auto"/>
            </w:tcBorders>
            <w:shd w:val="clear" w:color="auto" w:fill="auto"/>
            <w:noWrap/>
            <w:vAlign w:val="center"/>
            <w:hideMark/>
          </w:tcPr>
          <w:p w14:paraId="6A32AE85"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1,011,684</w:t>
            </w:r>
          </w:p>
        </w:tc>
      </w:tr>
      <w:tr w:rsidR="00003D7E" w:rsidRPr="00BF0CAC" w14:paraId="1C4A8C6B" w14:textId="77777777" w:rsidTr="00FE1263">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44D7AC8" w14:textId="77777777" w:rsidR="00942D11" w:rsidRPr="00BF0CAC" w:rsidRDefault="00942D11" w:rsidP="003D68D1">
            <w:pPr>
              <w:spacing w:after="0" w:line="240" w:lineRule="auto"/>
              <w:rPr>
                <w:rFonts w:cs="Arial"/>
                <w:color w:val="000000"/>
                <w:sz w:val="15"/>
                <w:szCs w:val="15"/>
                <w:lang w:eastAsia="en-AU"/>
              </w:rPr>
            </w:pPr>
            <w:r w:rsidRPr="00BF0CAC">
              <w:rPr>
                <w:rFonts w:cs="Arial"/>
                <w:color w:val="000000"/>
                <w:sz w:val="15"/>
                <w:szCs w:val="15"/>
                <w:lang w:eastAsia="en-AU"/>
              </w:rPr>
              <w:t>Mercy Hospitals Victoria Limited</w:t>
            </w:r>
          </w:p>
        </w:tc>
        <w:tc>
          <w:tcPr>
            <w:tcW w:w="992" w:type="dxa"/>
            <w:tcBorders>
              <w:top w:val="nil"/>
              <w:left w:val="nil"/>
              <w:bottom w:val="single" w:sz="4" w:space="0" w:color="auto"/>
              <w:right w:val="single" w:sz="4" w:space="0" w:color="auto"/>
            </w:tcBorders>
            <w:shd w:val="clear" w:color="auto" w:fill="auto"/>
            <w:noWrap/>
            <w:vAlign w:val="center"/>
            <w:hideMark/>
          </w:tcPr>
          <w:p w14:paraId="5B6C5319"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400,195</w:t>
            </w:r>
          </w:p>
        </w:tc>
        <w:tc>
          <w:tcPr>
            <w:tcW w:w="958" w:type="dxa"/>
            <w:tcBorders>
              <w:top w:val="nil"/>
              <w:left w:val="nil"/>
              <w:bottom w:val="single" w:sz="4" w:space="0" w:color="auto"/>
              <w:right w:val="single" w:sz="4" w:space="0" w:color="auto"/>
            </w:tcBorders>
            <w:shd w:val="clear" w:color="auto" w:fill="auto"/>
            <w:noWrap/>
            <w:vAlign w:val="center"/>
            <w:hideMark/>
          </w:tcPr>
          <w:p w14:paraId="65BCDD71" w14:textId="77777777" w:rsidR="00942D11" w:rsidRPr="00BF0CAC"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BF0CAC">
              <w:rPr>
                <w:rFonts w:cs="Arial"/>
                <w:color w:val="000000"/>
                <w:sz w:val="15"/>
                <w:szCs w:val="15"/>
                <w:lang w:eastAsia="en-AU"/>
              </w:rPr>
              <w:t> </w:t>
            </w:r>
          </w:p>
        </w:tc>
        <w:tc>
          <w:tcPr>
            <w:tcW w:w="958" w:type="dxa"/>
            <w:tcBorders>
              <w:top w:val="nil"/>
              <w:left w:val="nil"/>
              <w:bottom w:val="single" w:sz="4" w:space="0" w:color="auto"/>
              <w:right w:val="single" w:sz="4" w:space="0" w:color="auto"/>
            </w:tcBorders>
            <w:shd w:val="clear" w:color="auto" w:fill="auto"/>
            <w:noWrap/>
            <w:vAlign w:val="center"/>
            <w:hideMark/>
          </w:tcPr>
          <w:p w14:paraId="19881F74"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201</w:t>
            </w:r>
          </w:p>
        </w:tc>
        <w:tc>
          <w:tcPr>
            <w:tcW w:w="958" w:type="dxa"/>
            <w:tcBorders>
              <w:top w:val="nil"/>
              <w:left w:val="nil"/>
              <w:bottom w:val="single" w:sz="4" w:space="0" w:color="auto"/>
              <w:right w:val="single" w:sz="4" w:space="0" w:color="auto"/>
            </w:tcBorders>
            <w:shd w:val="clear" w:color="auto" w:fill="auto"/>
            <w:noWrap/>
            <w:vAlign w:val="center"/>
            <w:hideMark/>
          </w:tcPr>
          <w:p w14:paraId="162B7218"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82,509</w:t>
            </w:r>
          </w:p>
        </w:tc>
        <w:tc>
          <w:tcPr>
            <w:tcW w:w="959" w:type="dxa"/>
            <w:tcBorders>
              <w:top w:val="nil"/>
              <w:left w:val="nil"/>
              <w:bottom w:val="single" w:sz="4" w:space="0" w:color="auto"/>
              <w:right w:val="single" w:sz="4" w:space="0" w:color="auto"/>
            </w:tcBorders>
            <w:shd w:val="clear" w:color="auto" w:fill="auto"/>
            <w:noWrap/>
            <w:vAlign w:val="center"/>
            <w:hideMark/>
          </w:tcPr>
          <w:p w14:paraId="1BC4CB1A"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4,709</w:t>
            </w:r>
          </w:p>
        </w:tc>
        <w:tc>
          <w:tcPr>
            <w:tcW w:w="958" w:type="dxa"/>
            <w:tcBorders>
              <w:top w:val="nil"/>
              <w:left w:val="nil"/>
              <w:bottom w:val="single" w:sz="4" w:space="0" w:color="auto"/>
              <w:right w:val="single" w:sz="4" w:space="0" w:color="auto"/>
            </w:tcBorders>
            <w:shd w:val="clear" w:color="auto" w:fill="auto"/>
            <w:noWrap/>
            <w:vAlign w:val="center"/>
            <w:hideMark/>
          </w:tcPr>
          <w:p w14:paraId="67B069C0"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1055" w:type="dxa"/>
            <w:tcBorders>
              <w:top w:val="nil"/>
              <w:left w:val="nil"/>
              <w:bottom w:val="single" w:sz="4" w:space="0" w:color="auto"/>
              <w:right w:val="single" w:sz="4" w:space="0" w:color="auto"/>
            </w:tcBorders>
            <w:shd w:val="clear" w:color="auto" w:fill="auto"/>
            <w:noWrap/>
            <w:vAlign w:val="center"/>
            <w:hideMark/>
          </w:tcPr>
          <w:p w14:paraId="75D5EBA0"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487,613</w:t>
            </w:r>
          </w:p>
        </w:tc>
        <w:tc>
          <w:tcPr>
            <w:tcW w:w="992" w:type="dxa"/>
            <w:tcBorders>
              <w:top w:val="nil"/>
              <w:left w:val="nil"/>
              <w:bottom w:val="single" w:sz="4" w:space="0" w:color="auto"/>
              <w:right w:val="single" w:sz="4" w:space="0" w:color="auto"/>
            </w:tcBorders>
            <w:shd w:val="clear" w:color="auto" w:fill="auto"/>
            <w:noWrap/>
            <w:vAlign w:val="center"/>
            <w:hideMark/>
          </w:tcPr>
          <w:p w14:paraId="2ABD4326"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410,595</w:t>
            </w:r>
          </w:p>
        </w:tc>
        <w:tc>
          <w:tcPr>
            <w:tcW w:w="958" w:type="dxa"/>
            <w:tcBorders>
              <w:top w:val="nil"/>
              <w:left w:val="nil"/>
              <w:bottom w:val="single" w:sz="4" w:space="0" w:color="auto"/>
              <w:right w:val="single" w:sz="4" w:space="0" w:color="auto"/>
            </w:tcBorders>
            <w:shd w:val="clear" w:color="auto" w:fill="auto"/>
            <w:noWrap/>
            <w:vAlign w:val="center"/>
            <w:hideMark/>
          </w:tcPr>
          <w:p w14:paraId="39C5E38B"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9" w:type="dxa"/>
            <w:tcBorders>
              <w:top w:val="nil"/>
              <w:left w:val="nil"/>
              <w:bottom w:val="single" w:sz="4" w:space="0" w:color="auto"/>
              <w:right w:val="single" w:sz="4" w:space="0" w:color="auto"/>
            </w:tcBorders>
            <w:shd w:val="clear" w:color="auto" w:fill="auto"/>
            <w:noWrap/>
            <w:vAlign w:val="center"/>
            <w:hideMark/>
          </w:tcPr>
          <w:p w14:paraId="77B7240F"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206</w:t>
            </w:r>
          </w:p>
        </w:tc>
        <w:tc>
          <w:tcPr>
            <w:tcW w:w="958" w:type="dxa"/>
            <w:tcBorders>
              <w:top w:val="nil"/>
              <w:left w:val="nil"/>
              <w:bottom w:val="single" w:sz="4" w:space="0" w:color="auto"/>
              <w:right w:val="single" w:sz="4" w:space="0" w:color="auto"/>
            </w:tcBorders>
            <w:shd w:val="clear" w:color="auto" w:fill="auto"/>
            <w:noWrap/>
            <w:vAlign w:val="center"/>
            <w:hideMark/>
          </w:tcPr>
          <w:p w14:paraId="47EF481D"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78,788</w:t>
            </w:r>
          </w:p>
        </w:tc>
        <w:tc>
          <w:tcPr>
            <w:tcW w:w="958" w:type="dxa"/>
            <w:tcBorders>
              <w:top w:val="nil"/>
              <w:left w:val="nil"/>
              <w:bottom w:val="single" w:sz="4" w:space="0" w:color="auto"/>
              <w:right w:val="single" w:sz="4" w:space="0" w:color="auto"/>
            </w:tcBorders>
            <w:shd w:val="clear" w:color="auto" w:fill="auto"/>
            <w:noWrap/>
            <w:vAlign w:val="center"/>
            <w:hideMark/>
          </w:tcPr>
          <w:p w14:paraId="41AE5355"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3,725</w:t>
            </w:r>
          </w:p>
        </w:tc>
        <w:tc>
          <w:tcPr>
            <w:tcW w:w="958" w:type="dxa"/>
            <w:tcBorders>
              <w:top w:val="nil"/>
              <w:left w:val="nil"/>
              <w:bottom w:val="single" w:sz="4" w:space="0" w:color="auto"/>
              <w:right w:val="single" w:sz="4" w:space="0" w:color="auto"/>
            </w:tcBorders>
            <w:shd w:val="clear" w:color="auto" w:fill="auto"/>
            <w:noWrap/>
            <w:vAlign w:val="center"/>
            <w:hideMark/>
          </w:tcPr>
          <w:p w14:paraId="57BFB2B4"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1021" w:type="dxa"/>
            <w:tcBorders>
              <w:top w:val="nil"/>
              <w:left w:val="nil"/>
              <w:bottom w:val="single" w:sz="4" w:space="0" w:color="auto"/>
              <w:right w:val="single" w:sz="4" w:space="0" w:color="auto"/>
            </w:tcBorders>
            <w:shd w:val="clear" w:color="auto" w:fill="auto"/>
            <w:noWrap/>
            <w:vAlign w:val="center"/>
            <w:hideMark/>
          </w:tcPr>
          <w:p w14:paraId="70378086"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493,314</w:t>
            </w:r>
          </w:p>
        </w:tc>
      </w:tr>
      <w:tr w:rsidR="00003D7E" w:rsidRPr="00BF0CAC" w14:paraId="361792B0" w14:textId="77777777" w:rsidTr="00FE1263">
        <w:trPr>
          <w:trHeight w:val="369"/>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2F9A289" w14:textId="77777777" w:rsidR="00942D11" w:rsidRPr="00BF0CAC" w:rsidRDefault="00942D11" w:rsidP="003D68D1">
            <w:pPr>
              <w:spacing w:after="0" w:line="240" w:lineRule="auto"/>
              <w:rPr>
                <w:rFonts w:cs="Arial"/>
                <w:color w:val="000000"/>
                <w:sz w:val="15"/>
                <w:szCs w:val="15"/>
                <w:lang w:eastAsia="en-AU"/>
              </w:rPr>
            </w:pPr>
            <w:r w:rsidRPr="00BF0CAC">
              <w:rPr>
                <w:rFonts w:cs="Arial"/>
                <w:color w:val="000000"/>
                <w:sz w:val="15"/>
                <w:szCs w:val="15"/>
                <w:lang w:eastAsia="en-AU"/>
              </w:rPr>
              <w:t>Monash Health</w:t>
            </w:r>
          </w:p>
        </w:tc>
        <w:tc>
          <w:tcPr>
            <w:tcW w:w="992" w:type="dxa"/>
            <w:tcBorders>
              <w:top w:val="nil"/>
              <w:left w:val="nil"/>
              <w:bottom w:val="single" w:sz="4" w:space="0" w:color="auto"/>
              <w:right w:val="single" w:sz="4" w:space="0" w:color="auto"/>
            </w:tcBorders>
            <w:shd w:val="clear" w:color="auto" w:fill="auto"/>
            <w:noWrap/>
            <w:vAlign w:val="center"/>
            <w:hideMark/>
          </w:tcPr>
          <w:p w14:paraId="6DDD4E6A"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1,960,046</w:t>
            </w:r>
          </w:p>
        </w:tc>
        <w:tc>
          <w:tcPr>
            <w:tcW w:w="958" w:type="dxa"/>
            <w:tcBorders>
              <w:top w:val="nil"/>
              <w:left w:val="nil"/>
              <w:bottom w:val="single" w:sz="4" w:space="0" w:color="auto"/>
              <w:right w:val="single" w:sz="4" w:space="0" w:color="auto"/>
            </w:tcBorders>
            <w:shd w:val="clear" w:color="auto" w:fill="auto"/>
            <w:noWrap/>
            <w:vAlign w:val="center"/>
            <w:hideMark/>
          </w:tcPr>
          <w:p w14:paraId="5E162108"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8,095</w:t>
            </w:r>
          </w:p>
        </w:tc>
        <w:tc>
          <w:tcPr>
            <w:tcW w:w="958" w:type="dxa"/>
            <w:tcBorders>
              <w:top w:val="nil"/>
              <w:left w:val="nil"/>
              <w:bottom w:val="single" w:sz="4" w:space="0" w:color="auto"/>
              <w:right w:val="single" w:sz="4" w:space="0" w:color="auto"/>
            </w:tcBorders>
            <w:shd w:val="clear" w:color="auto" w:fill="auto"/>
            <w:noWrap/>
            <w:vAlign w:val="center"/>
            <w:hideMark/>
          </w:tcPr>
          <w:p w14:paraId="11FE18BC"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4,770</w:t>
            </w:r>
          </w:p>
        </w:tc>
        <w:tc>
          <w:tcPr>
            <w:tcW w:w="958" w:type="dxa"/>
            <w:tcBorders>
              <w:top w:val="nil"/>
              <w:left w:val="nil"/>
              <w:bottom w:val="single" w:sz="4" w:space="0" w:color="auto"/>
              <w:right w:val="single" w:sz="4" w:space="0" w:color="auto"/>
            </w:tcBorders>
            <w:shd w:val="clear" w:color="auto" w:fill="auto"/>
            <w:noWrap/>
            <w:vAlign w:val="center"/>
            <w:hideMark/>
          </w:tcPr>
          <w:p w14:paraId="5C079C31"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268,617</w:t>
            </w:r>
          </w:p>
        </w:tc>
        <w:tc>
          <w:tcPr>
            <w:tcW w:w="959" w:type="dxa"/>
            <w:tcBorders>
              <w:top w:val="nil"/>
              <w:left w:val="nil"/>
              <w:bottom w:val="single" w:sz="4" w:space="0" w:color="auto"/>
              <w:right w:val="single" w:sz="4" w:space="0" w:color="auto"/>
            </w:tcBorders>
            <w:shd w:val="clear" w:color="auto" w:fill="auto"/>
            <w:noWrap/>
            <w:vAlign w:val="center"/>
            <w:hideMark/>
          </w:tcPr>
          <w:p w14:paraId="2AFFF0F9"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17,202</w:t>
            </w:r>
          </w:p>
        </w:tc>
        <w:tc>
          <w:tcPr>
            <w:tcW w:w="958" w:type="dxa"/>
            <w:tcBorders>
              <w:top w:val="nil"/>
              <w:left w:val="nil"/>
              <w:bottom w:val="single" w:sz="4" w:space="0" w:color="auto"/>
              <w:right w:val="single" w:sz="4" w:space="0" w:color="auto"/>
            </w:tcBorders>
            <w:shd w:val="clear" w:color="auto" w:fill="auto"/>
            <w:noWrap/>
            <w:vAlign w:val="center"/>
            <w:hideMark/>
          </w:tcPr>
          <w:p w14:paraId="37CC4CE2"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2,726</w:t>
            </w:r>
          </w:p>
        </w:tc>
        <w:tc>
          <w:tcPr>
            <w:tcW w:w="1055" w:type="dxa"/>
            <w:tcBorders>
              <w:top w:val="nil"/>
              <w:left w:val="nil"/>
              <w:bottom w:val="single" w:sz="4" w:space="0" w:color="auto"/>
              <w:right w:val="single" w:sz="4" w:space="0" w:color="auto"/>
            </w:tcBorders>
            <w:shd w:val="clear" w:color="auto" w:fill="auto"/>
            <w:noWrap/>
            <w:vAlign w:val="center"/>
            <w:hideMark/>
          </w:tcPr>
          <w:p w14:paraId="33AE5E6E"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2,261,456</w:t>
            </w:r>
          </w:p>
        </w:tc>
        <w:tc>
          <w:tcPr>
            <w:tcW w:w="992" w:type="dxa"/>
            <w:tcBorders>
              <w:top w:val="nil"/>
              <w:left w:val="nil"/>
              <w:bottom w:val="single" w:sz="4" w:space="0" w:color="auto"/>
              <w:right w:val="single" w:sz="4" w:space="0" w:color="auto"/>
            </w:tcBorders>
            <w:shd w:val="clear" w:color="auto" w:fill="auto"/>
            <w:noWrap/>
            <w:vAlign w:val="center"/>
            <w:hideMark/>
          </w:tcPr>
          <w:p w14:paraId="4369841E"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1,943,853</w:t>
            </w:r>
          </w:p>
        </w:tc>
        <w:tc>
          <w:tcPr>
            <w:tcW w:w="958" w:type="dxa"/>
            <w:tcBorders>
              <w:top w:val="nil"/>
              <w:left w:val="nil"/>
              <w:bottom w:val="single" w:sz="4" w:space="0" w:color="auto"/>
              <w:right w:val="single" w:sz="4" w:space="0" w:color="auto"/>
            </w:tcBorders>
            <w:shd w:val="clear" w:color="auto" w:fill="auto"/>
            <w:noWrap/>
            <w:vAlign w:val="center"/>
            <w:hideMark/>
          </w:tcPr>
          <w:p w14:paraId="41FE4ACA"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8,463</w:t>
            </w:r>
          </w:p>
        </w:tc>
        <w:tc>
          <w:tcPr>
            <w:tcW w:w="959" w:type="dxa"/>
            <w:tcBorders>
              <w:top w:val="nil"/>
              <w:left w:val="nil"/>
              <w:bottom w:val="single" w:sz="4" w:space="0" w:color="auto"/>
              <w:right w:val="single" w:sz="4" w:space="0" w:color="auto"/>
            </w:tcBorders>
            <w:shd w:val="clear" w:color="auto" w:fill="auto"/>
            <w:noWrap/>
            <w:vAlign w:val="center"/>
            <w:hideMark/>
          </w:tcPr>
          <w:p w14:paraId="538803B2"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4,927</w:t>
            </w:r>
          </w:p>
        </w:tc>
        <w:tc>
          <w:tcPr>
            <w:tcW w:w="958" w:type="dxa"/>
            <w:tcBorders>
              <w:top w:val="nil"/>
              <w:left w:val="nil"/>
              <w:bottom w:val="single" w:sz="4" w:space="0" w:color="auto"/>
              <w:right w:val="single" w:sz="4" w:space="0" w:color="auto"/>
            </w:tcBorders>
            <w:shd w:val="clear" w:color="auto" w:fill="auto"/>
            <w:noWrap/>
            <w:vAlign w:val="center"/>
            <w:hideMark/>
          </w:tcPr>
          <w:p w14:paraId="2402951D"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268,672</w:t>
            </w:r>
          </w:p>
        </w:tc>
        <w:tc>
          <w:tcPr>
            <w:tcW w:w="958" w:type="dxa"/>
            <w:tcBorders>
              <w:top w:val="nil"/>
              <w:left w:val="nil"/>
              <w:bottom w:val="single" w:sz="4" w:space="0" w:color="auto"/>
              <w:right w:val="single" w:sz="4" w:space="0" w:color="auto"/>
            </w:tcBorders>
            <w:shd w:val="clear" w:color="auto" w:fill="auto"/>
            <w:noWrap/>
            <w:vAlign w:val="center"/>
            <w:hideMark/>
          </w:tcPr>
          <w:p w14:paraId="121F3E06"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16,674</w:t>
            </w:r>
          </w:p>
        </w:tc>
        <w:tc>
          <w:tcPr>
            <w:tcW w:w="958" w:type="dxa"/>
            <w:tcBorders>
              <w:top w:val="nil"/>
              <w:left w:val="nil"/>
              <w:bottom w:val="single" w:sz="4" w:space="0" w:color="auto"/>
              <w:right w:val="single" w:sz="4" w:space="0" w:color="auto"/>
            </w:tcBorders>
            <w:shd w:val="clear" w:color="auto" w:fill="auto"/>
            <w:noWrap/>
            <w:vAlign w:val="center"/>
            <w:hideMark/>
          </w:tcPr>
          <w:p w14:paraId="539B2067"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1,726</w:t>
            </w:r>
          </w:p>
        </w:tc>
        <w:tc>
          <w:tcPr>
            <w:tcW w:w="1021" w:type="dxa"/>
            <w:tcBorders>
              <w:top w:val="nil"/>
              <w:left w:val="nil"/>
              <w:bottom w:val="single" w:sz="4" w:space="0" w:color="auto"/>
              <w:right w:val="single" w:sz="4" w:space="0" w:color="auto"/>
            </w:tcBorders>
            <w:shd w:val="clear" w:color="auto" w:fill="auto"/>
            <w:noWrap/>
            <w:vAlign w:val="center"/>
            <w:hideMark/>
          </w:tcPr>
          <w:p w14:paraId="0137006A"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2,244,316</w:t>
            </w:r>
          </w:p>
        </w:tc>
      </w:tr>
      <w:tr w:rsidR="00003D7E" w:rsidRPr="00BF0CAC" w14:paraId="04A37CB2" w14:textId="77777777" w:rsidTr="00FE1263">
        <w:trPr>
          <w:trHeight w:val="34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1633BE9" w14:textId="77777777" w:rsidR="00942D11" w:rsidRPr="00BF0CAC" w:rsidRDefault="00942D11" w:rsidP="003D68D1">
            <w:pPr>
              <w:spacing w:after="0" w:line="240" w:lineRule="auto"/>
              <w:rPr>
                <w:rFonts w:cs="Arial"/>
                <w:color w:val="000000"/>
                <w:sz w:val="15"/>
                <w:szCs w:val="15"/>
                <w:lang w:eastAsia="en-AU"/>
              </w:rPr>
            </w:pPr>
            <w:r w:rsidRPr="00BF0CAC">
              <w:rPr>
                <w:rFonts w:cs="Arial"/>
                <w:color w:val="000000"/>
                <w:sz w:val="15"/>
                <w:szCs w:val="15"/>
                <w:lang w:eastAsia="en-AU"/>
              </w:rPr>
              <w:lastRenderedPageBreak/>
              <w:t>Northern Health</w:t>
            </w:r>
          </w:p>
        </w:tc>
        <w:tc>
          <w:tcPr>
            <w:tcW w:w="992" w:type="dxa"/>
            <w:tcBorders>
              <w:top w:val="nil"/>
              <w:left w:val="nil"/>
              <w:bottom w:val="single" w:sz="4" w:space="0" w:color="auto"/>
              <w:right w:val="single" w:sz="4" w:space="0" w:color="auto"/>
            </w:tcBorders>
            <w:shd w:val="clear" w:color="auto" w:fill="auto"/>
            <w:noWrap/>
            <w:vAlign w:val="center"/>
            <w:hideMark/>
          </w:tcPr>
          <w:p w14:paraId="16FE3403"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689,046</w:t>
            </w:r>
          </w:p>
        </w:tc>
        <w:tc>
          <w:tcPr>
            <w:tcW w:w="958" w:type="dxa"/>
            <w:tcBorders>
              <w:top w:val="nil"/>
              <w:left w:val="nil"/>
              <w:bottom w:val="single" w:sz="4" w:space="0" w:color="auto"/>
              <w:right w:val="single" w:sz="4" w:space="0" w:color="auto"/>
            </w:tcBorders>
            <w:shd w:val="clear" w:color="auto" w:fill="auto"/>
            <w:noWrap/>
            <w:vAlign w:val="center"/>
            <w:hideMark/>
          </w:tcPr>
          <w:p w14:paraId="311E0CD1"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2,504</w:t>
            </w:r>
          </w:p>
        </w:tc>
        <w:tc>
          <w:tcPr>
            <w:tcW w:w="958" w:type="dxa"/>
            <w:tcBorders>
              <w:top w:val="nil"/>
              <w:left w:val="nil"/>
              <w:bottom w:val="single" w:sz="4" w:space="0" w:color="auto"/>
              <w:right w:val="single" w:sz="4" w:space="0" w:color="auto"/>
            </w:tcBorders>
            <w:shd w:val="clear" w:color="auto" w:fill="auto"/>
            <w:noWrap/>
            <w:vAlign w:val="center"/>
            <w:hideMark/>
          </w:tcPr>
          <w:p w14:paraId="68DE6A77"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155</w:t>
            </w:r>
          </w:p>
        </w:tc>
        <w:tc>
          <w:tcPr>
            <w:tcW w:w="958" w:type="dxa"/>
            <w:tcBorders>
              <w:top w:val="nil"/>
              <w:left w:val="nil"/>
              <w:bottom w:val="single" w:sz="4" w:space="0" w:color="auto"/>
              <w:right w:val="single" w:sz="4" w:space="0" w:color="auto"/>
            </w:tcBorders>
            <w:shd w:val="clear" w:color="auto" w:fill="auto"/>
            <w:noWrap/>
            <w:vAlign w:val="center"/>
            <w:hideMark/>
          </w:tcPr>
          <w:p w14:paraId="37A74E71"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119,116</w:t>
            </w:r>
          </w:p>
        </w:tc>
        <w:tc>
          <w:tcPr>
            <w:tcW w:w="959" w:type="dxa"/>
            <w:tcBorders>
              <w:top w:val="nil"/>
              <w:left w:val="nil"/>
              <w:bottom w:val="single" w:sz="4" w:space="0" w:color="auto"/>
              <w:right w:val="single" w:sz="4" w:space="0" w:color="auto"/>
            </w:tcBorders>
            <w:shd w:val="clear" w:color="auto" w:fill="auto"/>
            <w:noWrap/>
            <w:vAlign w:val="center"/>
            <w:hideMark/>
          </w:tcPr>
          <w:p w14:paraId="28791E84"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875</w:t>
            </w:r>
          </w:p>
        </w:tc>
        <w:tc>
          <w:tcPr>
            <w:tcW w:w="958" w:type="dxa"/>
            <w:tcBorders>
              <w:top w:val="nil"/>
              <w:left w:val="nil"/>
              <w:bottom w:val="single" w:sz="4" w:space="0" w:color="auto"/>
              <w:right w:val="single" w:sz="4" w:space="0" w:color="auto"/>
            </w:tcBorders>
            <w:shd w:val="clear" w:color="auto" w:fill="auto"/>
            <w:noWrap/>
            <w:vAlign w:val="center"/>
            <w:hideMark/>
          </w:tcPr>
          <w:p w14:paraId="49948325"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1055" w:type="dxa"/>
            <w:tcBorders>
              <w:top w:val="nil"/>
              <w:left w:val="nil"/>
              <w:bottom w:val="single" w:sz="4" w:space="0" w:color="auto"/>
              <w:right w:val="single" w:sz="4" w:space="0" w:color="auto"/>
            </w:tcBorders>
            <w:shd w:val="clear" w:color="auto" w:fill="auto"/>
            <w:noWrap/>
            <w:vAlign w:val="center"/>
            <w:hideMark/>
          </w:tcPr>
          <w:p w14:paraId="6178106F"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811,697</w:t>
            </w:r>
          </w:p>
        </w:tc>
        <w:tc>
          <w:tcPr>
            <w:tcW w:w="992" w:type="dxa"/>
            <w:tcBorders>
              <w:top w:val="nil"/>
              <w:left w:val="nil"/>
              <w:bottom w:val="single" w:sz="4" w:space="0" w:color="auto"/>
              <w:right w:val="single" w:sz="4" w:space="0" w:color="auto"/>
            </w:tcBorders>
            <w:shd w:val="clear" w:color="auto" w:fill="auto"/>
            <w:noWrap/>
            <w:vAlign w:val="center"/>
            <w:hideMark/>
          </w:tcPr>
          <w:p w14:paraId="561B650A"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699,965</w:t>
            </w:r>
          </w:p>
        </w:tc>
        <w:tc>
          <w:tcPr>
            <w:tcW w:w="958" w:type="dxa"/>
            <w:tcBorders>
              <w:top w:val="nil"/>
              <w:left w:val="nil"/>
              <w:bottom w:val="single" w:sz="4" w:space="0" w:color="auto"/>
              <w:right w:val="single" w:sz="4" w:space="0" w:color="auto"/>
            </w:tcBorders>
            <w:shd w:val="clear" w:color="auto" w:fill="auto"/>
            <w:noWrap/>
            <w:vAlign w:val="center"/>
            <w:hideMark/>
          </w:tcPr>
          <w:p w14:paraId="74000DFE"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2,551</w:t>
            </w:r>
          </w:p>
        </w:tc>
        <w:tc>
          <w:tcPr>
            <w:tcW w:w="959" w:type="dxa"/>
            <w:tcBorders>
              <w:top w:val="nil"/>
              <w:left w:val="nil"/>
              <w:bottom w:val="single" w:sz="4" w:space="0" w:color="auto"/>
              <w:right w:val="single" w:sz="4" w:space="0" w:color="auto"/>
            </w:tcBorders>
            <w:shd w:val="clear" w:color="auto" w:fill="auto"/>
            <w:noWrap/>
            <w:vAlign w:val="center"/>
            <w:hideMark/>
          </w:tcPr>
          <w:p w14:paraId="4125AF8D"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160</w:t>
            </w:r>
          </w:p>
        </w:tc>
        <w:tc>
          <w:tcPr>
            <w:tcW w:w="958" w:type="dxa"/>
            <w:tcBorders>
              <w:top w:val="nil"/>
              <w:left w:val="nil"/>
              <w:bottom w:val="single" w:sz="4" w:space="0" w:color="auto"/>
              <w:right w:val="single" w:sz="4" w:space="0" w:color="auto"/>
            </w:tcBorders>
            <w:shd w:val="clear" w:color="auto" w:fill="auto"/>
            <w:noWrap/>
            <w:vAlign w:val="center"/>
            <w:hideMark/>
          </w:tcPr>
          <w:p w14:paraId="5DCC8BD0"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150,966</w:t>
            </w:r>
          </w:p>
        </w:tc>
        <w:tc>
          <w:tcPr>
            <w:tcW w:w="958" w:type="dxa"/>
            <w:tcBorders>
              <w:top w:val="nil"/>
              <w:left w:val="nil"/>
              <w:bottom w:val="single" w:sz="4" w:space="0" w:color="auto"/>
              <w:right w:val="single" w:sz="4" w:space="0" w:color="auto"/>
            </w:tcBorders>
            <w:shd w:val="clear" w:color="auto" w:fill="auto"/>
            <w:noWrap/>
            <w:vAlign w:val="center"/>
            <w:hideMark/>
          </w:tcPr>
          <w:p w14:paraId="0B1C915E"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8" w:type="dxa"/>
            <w:tcBorders>
              <w:top w:val="nil"/>
              <w:left w:val="nil"/>
              <w:bottom w:val="single" w:sz="4" w:space="0" w:color="auto"/>
              <w:right w:val="single" w:sz="4" w:space="0" w:color="auto"/>
            </w:tcBorders>
            <w:shd w:val="clear" w:color="auto" w:fill="auto"/>
            <w:noWrap/>
            <w:vAlign w:val="center"/>
            <w:hideMark/>
          </w:tcPr>
          <w:p w14:paraId="62017EB7"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1021" w:type="dxa"/>
            <w:tcBorders>
              <w:top w:val="nil"/>
              <w:left w:val="nil"/>
              <w:bottom w:val="single" w:sz="4" w:space="0" w:color="auto"/>
              <w:right w:val="single" w:sz="4" w:space="0" w:color="auto"/>
            </w:tcBorders>
            <w:shd w:val="clear" w:color="auto" w:fill="auto"/>
            <w:noWrap/>
            <w:vAlign w:val="center"/>
            <w:hideMark/>
          </w:tcPr>
          <w:p w14:paraId="6E671BD4"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853,643</w:t>
            </w:r>
          </w:p>
        </w:tc>
      </w:tr>
      <w:tr w:rsidR="00003D7E" w:rsidRPr="00BF0CAC" w14:paraId="1C845B69" w14:textId="77777777" w:rsidTr="00FE1263">
        <w:trPr>
          <w:trHeight w:val="27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EF362B4" w14:textId="77777777" w:rsidR="00942D11" w:rsidRPr="00BF0CAC" w:rsidRDefault="00942D11" w:rsidP="003D68D1">
            <w:pPr>
              <w:spacing w:after="0" w:line="240" w:lineRule="auto"/>
              <w:rPr>
                <w:rFonts w:cs="Arial"/>
                <w:color w:val="000000"/>
                <w:sz w:val="15"/>
                <w:szCs w:val="15"/>
                <w:lang w:eastAsia="en-AU"/>
              </w:rPr>
            </w:pPr>
            <w:r w:rsidRPr="00BF0CAC">
              <w:rPr>
                <w:rFonts w:cs="Arial"/>
                <w:color w:val="000000"/>
                <w:sz w:val="15"/>
                <w:szCs w:val="15"/>
                <w:lang w:eastAsia="en-AU"/>
              </w:rPr>
              <w:t>Peninsula Health</w:t>
            </w:r>
          </w:p>
        </w:tc>
        <w:tc>
          <w:tcPr>
            <w:tcW w:w="992" w:type="dxa"/>
            <w:tcBorders>
              <w:top w:val="nil"/>
              <w:left w:val="nil"/>
              <w:bottom w:val="single" w:sz="4" w:space="0" w:color="auto"/>
              <w:right w:val="single" w:sz="4" w:space="0" w:color="auto"/>
            </w:tcBorders>
            <w:shd w:val="clear" w:color="auto" w:fill="auto"/>
            <w:noWrap/>
            <w:vAlign w:val="center"/>
            <w:hideMark/>
          </w:tcPr>
          <w:p w14:paraId="2A1E430C"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581,384</w:t>
            </w:r>
          </w:p>
        </w:tc>
        <w:tc>
          <w:tcPr>
            <w:tcW w:w="958" w:type="dxa"/>
            <w:tcBorders>
              <w:top w:val="nil"/>
              <w:left w:val="nil"/>
              <w:bottom w:val="single" w:sz="4" w:space="0" w:color="auto"/>
              <w:right w:val="single" w:sz="4" w:space="0" w:color="auto"/>
            </w:tcBorders>
            <w:shd w:val="clear" w:color="auto" w:fill="auto"/>
            <w:noWrap/>
            <w:vAlign w:val="center"/>
            <w:hideMark/>
          </w:tcPr>
          <w:p w14:paraId="65FEEAEA"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3,866</w:t>
            </w:r>
          </w:p>
        </w:tc>
        <w:tc>
          <w:tcPr>
            <w:tcW w:w="958" w:type="dxa"/>
            <w:tcBorders>
              <w:top w:val="nil"/>
              <w:left w:val="nil"/>
              <w:bottom w:val="single" w:sz="4" w:space="0" w:color="auto"/>
              <w:right w:val="single" w:sz="4" w:space="0" w:color="auto"/>
            </w:tcBorders>
            <w:shd w:val="clear" w:color="auto" w:fill="auto"/>
            <w:noWrap/>
            <w:vAlign w:val="center"/>
            <w:hideMark/>
          </w:tcPr>
          <w:p w14:paraId="7F86FEC0"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2,918</w:t>
            </w:r>
          </w:p>
        </w:tc>
        <w:tc>
          <w:tcPr>
            <w:tcW w:w="958" w:type="dxa"/>
            <w:tcBorders>
              <w:top w:val="nil"/>
              <w:left w:val="nil"/>
              <w:bottom w:val="single" w:sz="4" w:space="0" w:color="auto"/>
              <w:right w:val="single" w:sz="4" w:space="0" w:color="auto"/>
            </w:tcBorders>
            <w:shd w:val="clear" w:color="auto" w:fill="auto"/>
            <w:noWrap/>
            <w:vAlign w:val="center"/>
            <w:hideMark/>
          </w:tcPr>
          <w:p w14:paraId="78E81398"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73,808</w:t>
            </w:r>
          </w:p>
        </w:tc>
        <w:tc>
          <w:tcPr>
            <w:tcW w:w="959" w:type="dxa"/>
            <w:tcBorders>
              <w:top w:val="nil"/>
              <w:left w:val="nil"/>
              <w:bottom w:val="single" w:sz="4" w:space="0" w:color="auto"/>
              <w:right w:val="single" w:sz="4" w:space="0" w:color="auto"/>
            </w:tcBorders>
            <w:shd w:val="clear" w:color="auto" w:fill="auto"/>
            <w:noWrap/>
            <w:vAlign w:val="center"/>
            <w:hideMark/>
          </w:tcPr>
          <w:p w14:paraId="7A449431"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7,823</w:t>
            </w:r>
          </w:p>
        </w:tc>
        <w:tc>
          <w:tcPr>
            <w:tcW w:w="958" w:type="dxa"/>
            <w:tcBorders>
              <w:top w:val="nil"/>
              <w:left w:val="nil"/>
              <w:bottom w:val="single" w:sz="4" w:space="0" w:color="auto"/>
              <w:right w:val="single" w:sz="4" w:space="0" w:color="auto"/>
            </w:tcBorders>
            <w:shd w:val="clear" w:color="auto" w:fill="auto"/>
            <w:noWrap/>
            <w:vAlign w:val="center"/>
            <w:hideMark/>
          </w:tcPr>
          <w:p w14:paraId="33F6243F"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1055" w:type="dxa"/>
            <w:tcBorders>
              <w:top w:val="nil"/>
              <w:left w:val="nil"/>
              <w:bottom w:val="single" w:sz="4" w:space="0" w:color="auto"/>
              <w:right w:val="single" w:sz="4" w:space="0" w:color="auto"/>
            </w:tcBorders>
            <w:shd w:val="clear" w:color="auto" w:fill="auto"/>
            <w:noWrap/>
            <w:vAlign w:val="center"/>
            <w:hideMark/>
          </w:tcPr>
          <w:p w14:paraId="04D955E3"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669,798</w:t>
            </w:r>
          </w:p>
        </w:tc>
        <w:tc>
          <w:tcPr>
            <w:tcW w:w="992" w:type="dxa"/>
            <w:tcBorders>
              <w:top w:val="nil"/>
              <w:left w:val="nil"/>
              <w:bottom w:val="single" w:sz="4" w:space="0" w:color="auto"/>
              <w:right w:val="single" w:sz="4" w:space="0" w:color="auto"/>
            </w:tcBorders>
            <w:shd w:val="clear" w:color="auto" w:fill="auto"/>
            <w:noWrap/>
            <w:vAlign w:val="center"/>
            <w:hideMark/>
          </w:tcPr>
          <w:p w14:paraId="20C0A681"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597,314</w:t>
            </w:r>
          </w:p>
        </w:tc>
        <w:tc>
          <w:tcPr>
            <w:tcW w:w="958" w:type="dxa"/>
            <w:tcBorders>
              <w:top w:val="nil"/>
              <w:left w:val="nil"/>
              <w:bottom w:val="single" w:sz="4" w:space="0" w:color="auto"/>
              <w:right w:val="single" w:sz="4" w:space="0" w:color="auto"/>
            </w:tcBorders>
            <w:shd w:val="clear" w:color="auto" w:fill="auto"/>
            <w:noWrap/>
            <w:vAlign w:val="center"/>
            <w:hideMark/>
          </w:tcPr>
          <w:p w14:paraId="19C06FD1"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3,932</w:t>
            </w:r>
          </w:p>
        </w:tc>
        <w:tc>
          <w:tcPr>
            <w:tcW w:w="959" w:type="dxa"/>
            <w:tcBorders>
              <w:top w:val="nil"/>
              <w:left w:val="nil"/>
              <w:bottom w:val="single" w:sz="4" w:space="0" w:color="auto"/>
              <w:right w:val="single" w:sz="4" w:space="0" w:color="auto"/>
            </w:tcBorders>
            <w:shd w:val="clear" w:color="auto" w:fill="auto"/>
            <w:noWrap/>
            <w:vAlign w:val="center"/>
            <w:hideMark/>
          </w:tcPr>
          <w:p w14:paraId="068E6D4F"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3,012</w:t>
            </w:r>
          </w:p>
        </w:tc>
        <w:tc>
          <w:tcPr>
            <w:tcW w:w="958" w:type="dxa"/>
            <w:tcBorders>
              <w:top w:val="nil"/>
              <w:left w:val="nil"/>
              <w:bottom w:val="single" w:sz="4" w:space="0" w:color="auto"/>
              <w:right w:val="single" w:sz="4" w:space="0" w:color="auto"/>
            </w:tcBorders>
            <w:shd w:val="clear" w:color="auto" w:fill="auto"/>
            <w:noWrap/>
            <w:vAlign w:val="center"/>
            <w:hideMark/>
          </w:tcPr>
          <w:p w14:paraId="21043503"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74,515</w:t>
            </w:r>
          </w:p>
        </w:tc>
        <w:tc>
          <w:tcPr>
            <w:tcW w:w="958" w:type="dxa"/>
            <w:tcBorders>
              <w:top w:val="nil"/>
              <w:left w:val="nil"/>
              <w:bottom w:val="single" w:sz="4" w:space="0" w:color="auto"/>
              <w:right w:val="single" w:sz="4" w:space="0" w:color="auto"/>
            </w:tcBorders>
            <w:shd w:val="clear" w:color="auto" w:fill="auto"/>
            <w:noWrap/>
            <w:vAlign w:val="center"/>
            <w:hideMark/>
          </w:tcPr>
          <w:p w14:paraId="3972683E"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7,650</w:t>
            </w:r>
          </w:p>
        </w:tc>
        <w:tc>
          <w:tcPr>
            <w:tcW w:w="958" w:type="dxa"/>
            <w:tcBorders>
              <w:top w:val="nil"/>
              <w:left w:val="nil"/>
              <w:bottom w:val="single" w:sz="4" w:space="0" w:color="auto"/>
              <w:right w:val="single" w:sz="4" w:space="0" w:color="auto"/>
            </w:tcBorders>
            <w:shd w:val="clear" w:color="auto" w:fill="auto"/>
            <w:noWrap/>
            <w:vAlign w:val="center"/>
            <w:hideMark/>
          </w:tcPr>
          <w:p w14:paraId="7515D62E" w14:textId="77777777" w:rsidR="00942D11" w:rsidRPr="00BF0CAC" w:rsidRDefault="00942D11" w:rsidP="003D68D1">
            <w:pPr>
              <w:spacing w:after="0" w:line="240" w:lineRule="auto"/>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1021" w:type="dxa"/>
            <w:tcBorders>
              <w:top w:val="nil"/>
              <w:left w:val="nil"/>
              <w:bottom w:val="single" w:sz="4" w:space="0" w:color="auto"/>
              <w:right w:val="single" w:sz="4" w:space="0" w:color="auto"/>
            </w:tcBorders>
            <w:shd w:val="clear" w:color="auto" w:fill="auto"/>
            <w:noWrap/>
            <w:vAlign w:val="center"/>
            <w:hideMark/>
          </w:tcPr>
          <w:p w14:paraId="61C6A3BC"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686,424</w:t>
            </w:r>
          </w:p>
        </w:tc>
      </w:tr>
      <w:tr w:rsidR="00003D7E" w:rsidRPr="00BF0CAC" w14:paraId="155AC2D4" w14:textId="77777777" w:rsidTr="00FE1263">
        <w:trPr>
          <w:trHeight w:val="22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CB38524" w14:textId="77777777" w:rsidR="00942D11" w:rsidRPr="00BF0CAC" w:rsidRDefault="00942D11" w:rsidP="003D68D1">
            <w:pPr>
              <w:spacing w:after="0" w:line="240" w:lineRule="auto"/>
              <w:rPr>
                <w:rFonts w:cs="Arial"/>
                <w:color w:val="000000"/>
                <w:sz w:val="15"/>
                <w:szCs w:val="15"/>
                <w:lang w:eastAsia="en-AU"/>
              </w:rPr>
            </w:pPr>
            <w:r w:rsidRPr="00BF0CAC">
              <w:rPr>
                <w:rFonts w:cs="Arial"/>
                <w:color w:val="000000"/>
                <w:sz w:val="15"/>
                <w:szCs w:val="15"/>
                <w:lang w:eastAsia="en-AU"/>
              </w:rPr>
              <w:t>Peter Mac</w:t>
            </w:r>
            <w:r>
              <w:rPr>
                <w:rFonts w:cs="Arial"/>
                <w:color w:val="000000"/>
                <w:sz w:val="15"/>
                <w:szCs w:val="15"/>
                <w:lang w:eastAsia="en-AU"/>
              </w:rPr>
              <w:t>C</w:t>
            </w:r>
            <w:r w:rsidRPr="00BF0CAC">
              <w:rPr>
                <w:rFonts w:cs="Arial"/>
                <w:color w:val="000000"/>
                <w:sz w:val="15"/>
                <w:szCs w:val="15"/>
                <w:lang w:eastAsia="en-AU"/>
              </w:rPr>
              <w:t>allum Cancer Institute</w:t>
            </w:r>
          </w:p>
        </w:tc>
        <w:tc>
          <w:tcPr>
            <w:tcW w:w="992" w:type="dxa"/>
            <w:tcBorders>
              <w:top w:val="nil"/>
              <w:left w:val="nil"/>
              <w:bottom w:val="single" w:sz="4" w:space="0" w:color="auto"/>
              <w:right w:val="single" w:sz="4" w:space="0" w:color="auto"/>
            </w:tcBorders>
            <w:shd w:val="clear" w:color="auto" w:fill="auto"/>
            <w:noWrap/>
            <w:vAlign w:val="center"/>
            <w:hideMark/>
          </w:tcPr>
          <w:p w14:paraId="2E07802F"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307,838</w:t>
            </w:r>
          </w:p>
        </w:tc>
        <w:tc>
          <w:tcPr>
            <w:tcW w:w="958" w:type="dxa"/>
            <w:tcBorders>
              <w:top w:val="nil"/>
              <w:left w:val="nil"/>
              <w:bottom w:val="single" w:sz="4" w:space="0" w:color="auto"/>
              <w:right w:val="single" w:sz="4" w:space="0" w:color="auto"/>
            </w:tcBorders>
            <w:shd w:val="clear" w:color="auto" w:fill="auto"/>
            <w:noWrap/>
            <w:vAlign w:val="center"/>
            <w:hideMark/>
          </w:tcPr>
          <w:p w14:paraId="70CD5733"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8" w:type="dxa"/>
            <w:tcBorders>
              <w:top w:val="nil"/>
              <w:left w:val="nil"/>
              <w:bottom w:val="single" w:sz="4" w:space="0" w:color="auto"/>
              <w:right w:val="single" w:sz="4" w:space="0" w:color="auto"/>
            </w:tcBorders>
            <w:shd w:val="clear" w:color="auto" w:fill="auto"/>
            <w:noWrap/>
            <w:vAlign w:val="center"/>
            <w:hideMark/>
          </w:tcPr>
          <w:p w14:paraId="10972E59"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8" w:type="dxa"/>
            <w:tcBorders>
              <w:top w:val="nil"/>
              <w:left w:val="nil"/>
              <w:bottom w:val="single" w:sz="4" w:space="0" w:color="auto"/>
              <w:right w:val="single" w:sz="4" w:space="0" w:color="auto"/>
            </w:tcBorders>
            <w:shd w:val="clear" w:color="auto" w:fill="auto"/>
            <w:noWrap/>
            <w:vAlign w:val="center"/>
            <w:hideMark/>
          </w:tcPr>
          <w:p w14:paraId="12D9D8B0"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175</w:t>
            </w:r>
          </w:p>
        </w:tc>
        <w:tc>
          <w:tcPr>
            <w:tcW w:w="959" w:type="dxa"/>
            <w:tcBorders>
              <w:top w:val="nil"/>
              <w:left w:val="nil"/>
              <w:bottom w:val="single" w:sz="4" w:space="0" w:color="auto"/>
              <w:right w:val="single" w:sz="4" w:space="0" w:color="auto"/>
            </w:tcBorders>
            <w:shd w:val="clear" w:color="auto" w:fill="auto"/>
            <w:noWrap/>
            <w:vAlign w:val="center"/>
            <w:hideMark/>
          </w:tcPr>
          <w:p w14:paraId="4A5A8EEF"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p>
        </w:tc>
        <w:tc>
          <w:tcPr>
            <w:tcW w:w="958" w:type="dxa"/>
            <w:tcBorders>
              <w:top w:val="nil"/>
              <w:left w:val="nil"/>
              <w:bottom w:val="single" w:sz="4" w:space="0" w:color="auto"/>
              <w:right w:val="single" w:sz="4" w:space="0" w:color="auto"/>
            </w:tcBorders>
            <w:shd w:val="clear" w:color="auto" w:fill="auto"/>
            <w:noWrap/>
            <w:vAlign w:val="center"/>
            <w:hideMark/>
          </w:tcPr>
          <w:p w14:paraId="0F2A4D1B"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377</w:t>
            </w:r>
          </w:p>
        </w:tc>
        <w:tc>
          <w:tcPr>
            <w:tcW w:w="1055" w:type="dxa"/>
            <w:tcBorders>
              <w:top w:val="nil"/>
              <w:left w:val="nil"/>
              <w:bottom w:val="single" w:sz="4" w:space="0" w:color="auto"/>
              <w:right w:val="single" w:sz="4" w:space="0" w:color="auto"/>
            </w:tcBorders>
            <w:shd w:val="clear" w:color="auto" w:fill="auto"/>
            <w:noWrap/>
            <w:vAlign w:val="center"/>
            <w:hideMark/>
          </w:tcPr>
          <w:p w14:paraId="64DCB5F6"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308,389</w:t>
            </w:r>
          </w:p>
        </w:tc>
        <w:tc>
          <w:tcPr>
            <w:tcW w:w="992" w:type="dxa"/>
            <w:tcBorders>
              <w:top w:val="nil"/>
              <w:left w:val="nil"/>
              <w:bottom w:val="single" w:sz="4" w:space="0" w:color="auto"/>
              <w:right w:val="single" w:sz="4" w:space="0" w:color="auto"/>
            </w:tcBorders>
            <w:shd w:val="clear" w:color="auto" w:fill="auto"/>
            <w:noWrap/>
            <w:vAlign w:val="center"/>
            <w:hideMark/>
          </w:tcPr>
          <w:p w14:paraId="023D7E34"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310,781</w:t>
            </w:r>
          </w:p>
        </w:tc>
        <w:tc>
          <w:tcPr>
            <w:tcW w:w="958" w:type="dxa"/>
            <w:tcBorders>
              <w:top w:val="nil"/>
              <w:left w:val="nil"/>
              <w:bottom w:val="single" w:sz="4" w:space="0" w:color="auto"/>
              <w:right w:val="single" w:sz="4" w:space="0" w:color="auto"/>
            </w:tcBorders>
            <w:shd w:val="clear" w:color="auto" w:fill="auto"/>
            <w:noWrap/>
            <w:vAlign w:val="center"/>
            <w:hideMark/>
          </w:tcPr>
          <w:p w14:paraId="0C1F5095"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9" w:type="dxa"/>
            <w:tcBorders>
              <w:top w:val="nil"/>
              <w:left w:val="nil"/>
              <w:bottom w:val="single" w:sz="4" w:space="0" w:color="auto"/>
              <w:right w:val="single" w:sz="4" w:space="0" w:color="auto"/>
            </w:tcBorders>
            <w:shd w:val="clear" w:color="auto" w:fill="auto"/>
            <w:noWrap/>
            <w:vAlign w:val="center"/>
            <w:hideMark/>
          </w:tcPr>
          <w:p w14:paraId="286326BF"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8" w:type="dxa"/>
            <w:tcBorders>
              <w:top w:val="nil"/>
              <w:left w:val="nil"/>
              <w:bottom w:val="single" w:sz="4" w:space="0" w:color="auto"/>
              <w:right w:val="single" w:sz="4" w:space="0" w:color="auto"/>
            </w:tcBorders>
            <w:shd w:val="clear" w:color="auto" w:fill="auto"/>
            <w:noWrap/>
            <w:vAlign w:val="center"/>
            <w:hideMark/>
          </w:tcPr>
          <w:p w14:paraId="7ED223D9"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537</w:t>
            </w:r>
          </w:p>
        </w:tc>
        <w:tc>
          <w:tcPr>
            <w:tcW w:w="958" w:type="dxa"/>
            <w:tcBorders>
              <w:top w:val="nil"/>
              <w:left w:val="nil"/>
              <w:bottom w:val="single" w:sz="4" w:space="0" w:color="auto"/>
              <w:right w:val="single" w:sz="4" w:space="0" w:color="auto"/>
            </w:tcBorders>
            <w:shd w:val="clear" w:color="auto" w:fill="auto"/>
            <w:noWrap/>
            <w:vAlign w:val="center"/>
            <w:hideMark/>
          </w:tcPr>
          <w:p w14:paraId="5EB62ECF"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8" w:type="dxa"/>
            <w:tcBorders>
              <w:top w:val="nil"/>
              <w:left w:val="nil"/>
              <w:bottom w:val="single" w:sz="4" w:space="0" w:color="auto"/>
              <w:right w:val="single" w:sz="4" w:space="0" w:color="auto"/>
            </w:tcBorders>
            <w:shd w:val="clear" w:color="auto" w:fill="auto"/>
            <w:noWrap/>
            <w:vAlign w:val="center"/>
            <w:hideMark/>
          </w:tcPr>
          <w:p w14:paraId="0E2E9DE2"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377</w:t>
            </w:r>
          </w:p>
        </w:tc>
        <w:tc>
          <w:tcPr>
            <w:tcW w:w="1021" w:type="dxa"/>
            <w:tcBorders>
              <w:top w:val="nil"/>
              <w:left w:val="nil"/>
              <w:bottom w:val="single" w:sz="4" w:space="0" w:color="auto"/>
              <w:right w:val="single" w:sz="4" w:space="0" w:color="auto"/>
            </w:tcBorders>
            <w:shd w:val="clear" w:color="auto" w:fill="auto"/>
            <w:noWrap/>
            <w:vAlign w:val="center"/>
            <w:hideMark/>
          </w:tcPr>
          <w:p w14:paraId="2D6BA30C"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311,695</w:t>
            </w:r>
          </w:p>
        </w:tc>
      </w:tr>
      <w:tr w:rsidR="00003D7E" w:rsidRPr="00BF0CAC" w14:paraId="37B101ED" w14:textId="77777777" w:rsidTr="00FE1263">
        <w:trPr>
          <w:trHeight w:val="27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5F0ECB9" w14:textId="77777777" w:rsidR="00942D11" w:rsidRPr="00BF0CAC" w:rsidRDefault="00942D11" w:rsidP="003D68D1">
            <w:pPr>
              <w:spacing w:after="0" w:line="240" w:lineRule="auto"/>
              <w:rPr>
                <w:rFonts w:cs="Arial"/>
                <w:color w:val="000000"/>
                <w:sz w:val="15"/>
                <w:szCs w:val="15"/>
                <w:lang w:eastAsia="en-AU"/>
              </w:rPr>
            </w:pPr>
            <w:r w:rsidRPr="00BF0CAC">
              <w:rPr>
                <w:rFonts w:cs="Arial"/>
                <w:color w:val="000000"/>
                <w:sz w:val="15"/>
                <w:szCs w:val="15"/>
                <w:lang w:eastAsia="en-AU"/>
              </w:rPr>
              <w:t>St Vincent</w:t>
            </w:r>
            <w:r>
              <w:rPr>
                <w:rFonts w:cs="Arial"/>
                <w:color w:val="000000"/>
                <w:sz w:val="15"/>
                <w:szCs w:val="15"/>
                <w:lang w:eastAsia="en-AU"/>
              </w:rPr>
              <w:t>’</w:t>
            </w:r>
            <w:r w:rsidRPr="00BF0CAC">
              <w:rPr>
                <w:rFonts w:cs="Arial"/>
                <w:color w:val="000000"/>
                <w:sz w:val="15"/>
                <w:szCs w:val="15"/>
                <w:lang w:eastAsia="en-AU"/>
              </w:rPr>
              <w:t>s Hospital Melbourne Limited</w:t>
            </w:r>
          </w:p>
        </w:tc>
        <w:tc>
          <w:tcPr>
            <w:tcW w:w="992" w:type="dxa"/>
            <w:tcBorders>
              <w:top w:val="nil"/>
              <w:left w:val="nil"/>
              <w:bottom w:val="single" w:sz="4" w:space="0" w:color="auto"/>
              <w:right w:val="single" w:sz="4" w:space="0" w:color="auto"/>
            </w:tcBorders>
            <w:shd w:val="clear" w:color="auto" w:fill="auto"/>
            <w:noWrap/>
            <w:vAlign w:val="center"/>
            <w:hideMark/>
          </w:tcPr>
          <w:p w14:paraId="16B64768" w14:textId="77777777" w:rsidR="00942D11" w:rsidRPr="00BF0CAC" w:rsidRDefault="00942D11" w:rsidP="00096B07">
            <w:pPr>
              <w:spacing w:after="0" w:line="240" w:lineRule="auto"/>
              <w:ind w:left="-245" w:firstLine="245"/>
              <w:jc w:val="right"/>
              <w:rPr>
                <w:rFonts w:cs="Arial"/>
                <w:color w:val="000000"/>
                <w:sz w:val="15"/>
                <w:szCs w:val="15"/>
                <w:lang w:eastAsia="en-AU"/>
              </w:rPr>
            </w:pPr>
            <w:r w:rsidRPr="00BF0CAC">
              <w:rPr>
                <w:rFonts w:cs="Arial"/>
                <w:color w:val="000000"/>
                <w:sz w:val="15"/>
                <w:szCs w:val="15"/>
                <w:lang w:eastAsia="en-AU"/>
              </w:rPr>
              <w:t>576,722</w:t>
            </w:r>
          </w:p>
        </w:tc>
        <w:tc>
          <w:tcPr>
            <w:tcW w:w="958" w:type="dxa"/>
            <w:tcBorders>
              <w:top w:val="nil"/>
              <w:left w:val="nil"/>
              <w:bottom w:val="single" w:sz="4" w:space="0" w:color="auto"/>
              <w:right w:val="single" w:sz="4" w:space="0" w:color="auto"/>
            </w:tcBorders>
            <w:shd w:val="clear" w:color="auto" w:fill="auto"/>
            <w:noWrap/>
            <w:vAlign w:val="center"/>
            <w:hideMark/>
          </w:tcPr>
          <w:p w14:paraId="69DE1E38"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3,123</w:t>
            </w:r>
          </w:p>
        </w:tc>
        <w:tc>
          <w:tcPr>
            <w:tcW w:w="958" w:type="dxa"/>
            <w:tcBorders>
              <w:top w:val="nil"/>
              <w:left w:val="nil"/>
              <w:bottom w:val="single" w:sz="4" w:space="0" w:color="auto"/>
              <w:right w:val="single" w:sz="4" w:space="0" w:color="auto"/>
            </w:tcBorders>
            <w:shd w:val="clear" w:color="auto" w:fill="auto"/>
            <w:noWrap/>
            <w:vAlign w:val="center"/>
            <w:hideMark/>
          </w:tcPr>
          <w:p w14:paraId="093A4874"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3,420</w:t>
            </w:r>
          </w:p>
        </w:tc>
        <w:tc>
          <w:tcPr>
            <w:tcW w:w="958" w:type="dxa"/>
            <w:tcBorders>
              <w:top w:val="nil"/>
              <w:left w:val="nil"/>
              <w:bottom w:val="single" w:sz="4" w:space="0" w:color="auto"/>
              <w:right w:val="single" w:sz="4" w:space="0" w:color="auto"/>
            </w:tcBorders>
            <w:shd w:val="clear" w:color="auto" w:fill="auto"/>
            <w:noWrap/>
            <w:vAlign w:val="center"/>
            <w:hideMark/>
          </w:tcPr>
          <w:p w14:paraId="1BFA3228"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85,137</w:t>
            </w:r>
          </w:p>
        </w:tc>
        <w:tc>
          <w:tcPr>
            <w:tcW w:w="959" w:type="dxa"/>
            <w:tcBorders>
              <w:top w:val="nil"/>
              <w:left w:val="nil"/>
              <w:bottom w:val="single" w:sz="4" w:space="0" w:color="auto"/>
              <w:right w:val="single" w:sz="4" w:space="0" w:color="auto"/>
            </w:tcBorders>
            <w:shd w:val="clear" w:color="auto" w:fill="auto"/>
            <w:noWrap/>
            <w:vAlign w:val="center"/>
            <w:hideMark/>
          </w:tcPr>
          <w:p w14:paraId="6862DBDB"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317</w:t>
            </w:r>
          </w:p>
        </w:tc>
        <w:tc>
          <w:tcPr>
            <w:tcW w:w="958" w:type="dxa"/>
            <w:tcBorders>
              <w:top w:val="nil"/>
              <w:left w:val="nil"/>
              <w:bottom w:val="single" w:sz="4" w:space="0" w:color="auto"/>
              <w:right w:val="single" w:sz="4" w:space="0" w:color="auto"/>
            </w:tcBorders>
            <w:shd w:val="clear" w:color="auto" w:fill="auto"/>
            <w:noWrap/>
            <w:vAlign w:val="center"/>
            <w:hideMark/>
          </w:tcPr>
          <w:p w14:paraId="33994AA8"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207</w:t>
            </w:r>
          </w:p>
        </w:tc>
        <w:tc>
          <w:tcPr>
            <w:tcW w:w="1055" w:type="dxa"/>
            <w:tcBorders>
              <w:top w:val="nil"/>
              <w:left w:val="nil"/>
              <w:bottom w:val="single" w:sz="4" w:space="0" w:color="auto"/>
              <w:right w:val="single" w:sz="4" w:space="0" w:color="auto"/>
            </w:tcBorders>
            <w:shd w:val="clear" w:color="auto" w:fill="auto"/>
            <w:noWrap/>
            <w:vAlign w:val="center"/>
            <w:hideMark/>
          </w:tcPr>
          <w:p w14:paraId="1AD1F0AA"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668,927</w:t>
            </w:r>
          </w:p>
        </w:tc>
        <w:tc>
          <w:tcPr>
            <w:tcW w:w="992" w:type="dxa"/>
            <w:tcBorders>
              <w:top w:val="nil"/>
              <w:left w:val="nil"/>
              <w:bottom w:val="single" w:sz="4" w:space="0" w:color="auto"/>
              <w:right w:val="single" w:sz="4" w:space="0" w:color="auto"/>
            </w:tcBorders>
            <w:shd w:val="clear" w:color="auto" w:fill="auto"/>
            <w:noWrap/>
            <w:vAlign w:val="center"/>
            <w:hideMark/>
          </w:tcPr>
          <w:p w14:paraId="030A773D"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609,164</w:t>
            </w:r>
          </w:p>
        </w:tc>
        <w:tc>
          <w:tcPr>
            <w:tcW w:w="958" w:type="dxa"/>
            <w:tcBorders>
              <w:top w:val="nil"/>
              <w:left w:val="nil"/>
              <w:bottom w:val="single" w:sz="4" w:space="0" w:color="auto"/>
              <w:right w:val="single" w:sz="4" w:space="0" w:color="auto"/>
            </w:tcBorders>
            <w:shd w:val="clear" w:color="auto" w:fill="auto"/>
            <w:noWrap/>
            <w:vAlign w:val="center"/>
            <w:hideMark/>
          </w:tcPr>
          <w:p w14:paraId="438D0B98"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3,181</w:t>
            </w:r>
          </w:p>
        </w:tc>
        <w:tc>
          <w:tcPr>
            <w:tcW w:w="959" w:type="dxa"/>
            <w:tcBorders>
              <w:top w:val="nil"/>
              <w:left w:val="nil"/>
              <w:bottom w:val="single" w:sz="4" w:space="0" w:color="auto"/>
              <w:right w:val="single" w:sz="4" w:space="0" w:color="auto"/>
            </w:tcBorders>
            <w:shd w:val="clear" w:color="auto" w:fill="auto"/>
            <w:noWrap/>
            <w:vAlign w:val="center"/>
            <w:hideMark/>
          </w:tcPr>
          <w:p w14:paraId="1502950C"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3,532</w:t>
            </w:r>
          </w:p>
        </w:tc>
        <w:tc>
          <w:tcPr>
            <w:tcW w:w="958" w:type="dxa"/>
            <w:tcBorders>
              <w:top w:val="nil"/>
              <w:left w:val="nil"/>
              <w:bottom w:val="single" w:sz="4" w:space="0" w:color="auto"/>
              <w:right w:val="single" w:sz="4" w:space="0" w:color="auto"/>
            </w:tcBorders>
            <w:shd w:val="clear" w:color="auto" w:fill="auto"/>
            <w:noWrap/>
            <w:vAlign w:val="center"/>
            <w:hideMark/>
          </w:tcPr>
          <w:p w14:paraId="1F1CBB23"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86,479</w:t>
            </w:r>
          </w:p>
        </w:tc>
        <w:tc>
          <w:tcPr>
            <w:tcW w:w="958" w:type="dxa"/>
            <w:tcBorders>
              <w:top w:val="nil"/>
              <w:left w:val="nil"/>
              <w:bottom w:val="single" w:sz="4" w:space="0" w:color="auto"/>
              <w:right w:val="single" w:sz="4" w:space="0" w:color="auto"/>
            </w:tcBorders>
            <w:shd w:val="clear" w:color="auto" w:fill="auto"/>
            <w:noWrap/>
            <w:vAlign w:val="center"/>
            <w:hideMark/>
          </w:tcPr>
          <w:p w14:paraId="2C43F606"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325</w:t>
            </w:r>
          </w:p>
        </w:tc>
        <w:tc>
          <w:tcPr>
            <w:tcW w:w="958" w:type="dxa"/>
            <w:tcBorders>
              <w:top w:val="nil"/>
              <w:left w:val="nil"/>
              <w:bottom w:val="single" w:sz="4" w:space="0" w:color="auto"/>
              <w:right w:val="single" w:sz="4" w:space="0" w:color="auto"/>
            </w:tcBorders>
            <w:shd w:val="clear" w:color="auto" w:fill="auto"/>
            <w:noWrap/>
            <w:vAlign w:val="center"/>
            <w:hideMark/>
          </w:tcPr>
          <w:p w14:paraId="46420285"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214</w:t>
            </w:r>
          </w:p>
        </w:tc>
        <w:tc>
          <w:tcPr>
            <w:tcW w:w="1021" w:type="dxa"/>
            <w:tcBorders>
              <w:top w:val="nil"/>
              <w:left w:val="nil"/>
              <w:bottom w:val="single" w:sz="4" w:space="0" w:color="auto"/>
              <w:right w:val="single" w:sz="4" w:space="0" w:color="auto"/>
            </w:tcBorders>
            <w:shd w:val="clear" w:color="auto" w:fill="auto"/>
            <w:noWrap/>
            <w:vAlign w:val="center"/>
            <w:hideMark/>
          </w:tcPr>
          <w:p w14:paraId="6D6786F3"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702,894</w:t>
            </w:r>
          </w:p>
        </w:tc>
      </w:tr>
      <w:tr w:rsidR="00003D7E" w:rsidRPr="00BF0CAC" w14:paraId="5586E94D" w14:textId="77777777" w:rsidTr="00FE1263">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CA3BF6F" w14:textId="77777777" w:rsidR="00942D11" w:rsidRPr="00BF0CAC" w:rsidRDefault="00942D11" w:rsidP="003D68D1">
            <w:pPr>
              <w:spacing w:after="0" w:line="240" w:lineRule="auto"/>
              <w:rPr>
                <w:rFonts w:cs="Arial"/>
                <w:color w:val="000000"/>
                <w:sz w:val="15"/>
                <w:szCs w:val="15"/>
                <w:lang w:eastAsia="en-AU"/>
              </w:rPr>
            </w:pPr>
            <w:r w:rsidRPr="00BF0CAC">
              <w:rPr>
                <w:rFonts w:cs="Arial"/>
                <w:color w:val="000000"/>
                <w:sz w:val="15"/>
                <w:szCs w:val="15"/>
                <w:lang w:eastAsia="en-AU"/>
              </w:rPr>
              <w:t>The Royal Childrens Hospital</w:t>
            </w:r>
          </w:p>
        </w:tc>
        <w:tc>
          <w:tcPr>
            <w:tcW w:w="992" w:type="dxa"/>
            <w:tcBorders>
              <w:top w:val="nil"/>
              <w:left w:val="nil"/>
              <w:bottom w:val="single" w:sz="4" w:space="0" w:color="auto"/>
              <w:right w:val="single" w:sz="4" w:space="0" w:color="auto"/>
            </w:tcBorders>
            <w:shd w:val="clear" w:color="auto" w:fill="auto"/>
            <w:noWrap/>
            <w:vAlign w:val="center"/>
            <w:hideMark/>
          </w:tcPr>
          <w:p w14:paraId="50F3D319"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566,187</w:t>
            </w:r>
          </w:p>
        </w:tc>
        <w:tc>
          <w:tcPr>
            <w:tcW w:w="958" w:type="dxa"/>
            <w:tcBorders>
              <w:top w:val="nil"/>
              <w:left w:val="nil"/>
              <w:bottom w:val="single" w:sz="4" w:space="0" w:color="auto"/>
              <w:right w:val="single" w:sz="4" w:space="0" w:color="auto"/>
            </w:tcBorders>
            <w:shd w:val="clear" w:color="auto" w:fill="auto"/>
            <w:noWrap/>
            <w:vAlign w:val="center"/>
            <w:hideMark/>
          </w:tcPr>
          <w:p w14:paraId="34F654C1"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21</w:t>
            </w:r>
          </w:p>
        </w:tc>
        <w:tc>
          <w:tcPr>
            <w:tcW w:w="958" w:type="dxa"/>
            <w:tcBorders>
              <w:top w:val="nil"/>
              <w:left w:val="nil"/>
              <w:bottom w:val="single" w:sz="4" w:space="0" w:color="auto"/>
              <w:right w:val="single" w:sz="4" w:space="0" w:color="auto"/>
            </w:tcBorders>
            <w:shd w:val="clear" w:color="auto" w:fill="auto"/>
            <w:noWrap/>
            <w:vAlign w:val="center"/>
            <w:hideMark/>
          </w:tcPr>
          <w:p w14:paraId="691E2E74"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381</w:t>
            </w:r>
          </w:p>
        </w:tc>
        <w:tc>
          <w:tcPr>
            <w:tcW w:w="958" w:type="dxa"/>
            <w:tcBorders>
              <w:top w:val="nil"/>
              <w:left w:val="nil"/>
              <w:bottom w:val="single" w:sz="4" w:space="0" w:color="auto"/>
              <w:right w:val="single" w:sz="4" w:space="0" w:color="auto"/>
            </w:tcBorders>
            <w:shd w:val="clear" w:color="auto" w:fill="auto"/>
            <w:noWrap/>
            <w:vAlign w:val="center"/>
            <w:hideMark/>
          </w:tcPr>
          <w:p w14:paraId="45E8F6C6"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31,619</w:t>
            </w:r>
          </w:p>
        </w:tc>
        <w:tc>
          <w:tcPr>
            <w:tcW w:w="959" w:type="dxa"/>
            <w:tcBorders>
              <w:top w:val="nil"/>
              <w:left w:val="nil"/>
              <w:bottom w:val="single" w:sz="4" w:space="0" w:color="auto"/>
              <w:right w:val="single" w:sz="4" w:space="0" w:color="auto"/>
            </w:tcBorders>
            <w:shd w:val="clear" w:color="auto" w:fill="auto"/>
            <w:noWrap/>
            <w:vAlign w:val="center"/>
            <w:hideMark/>
          </w:tcPr>
          <w:p w14:paraId="154FF395"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522</w:t>
            </w:r>
          </w:p>
        </w:tc>
        <w:tc>
          <w:tcPr>
            <w:tcW w:w="958" w:type="dxa"/>
            <w:tcBorders>
              <w:top w:val="nil"/>
              <w:left w:val="nil"/>
              <w:bottom w:val="single" w:sz="4" w:space="0" w:color="auto"/>
              <w:right w:val="single" w:sz="4" w:space="0" w:color="auto"/>
            </w:tcBorders>
            <w:shd w:val="clear" w:color="auto" w:fill="auto"/>
            <w:noWrap/>
            <w:vAlign w:val="center"/>
            <w:hideMark/>
          </w:tcPr>
          <w:p w14:paraId="374052F4"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945</w:t>
            </w:r>
          </w:p>
        </w:tc>
        <w:tc>
          <w:tcPr>
            <w:tcW w:w="1055" w:type="dxa"/>
            <w:tcBorders>
              <w:top w:val="nil"/>
              <w:left w:val="nil"/>
              <w:bottom w:val="single" w:sz="4" w:space="0" w:color="auto"/>
              <w:right w:val="single" w:sz="4" w:space="0" w:color="auto"/>
            </w:tcBorders>
            <w:shd w:val="clear" w:color="auto" w:fill="auto"/>
            <w:noWrap/>
            <w:vAlign w:val="center"/>
            <w:hideMark/>
          </w:tcPr>
          <w:p w14:paraId="39BB1A7B"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599,675</w:t>
            </w:r>
          </w:p>
        </w:tc>
        <w:tc>
          <w:tcPr>
            <w:tcW w:w="992" w:type="dxa"/>
            <w:tcBorders>
              <w:top w:val="nil"/>
              <w:left w:val="nil"/>
              <w:bottom w:val="single" w:sz="4" w:space="0" w:color="auto"/>
              <w:right w:val="single" w:sz="4" w:space="0" w:color="auto"/>
            </w:tcBorders>
            <w:shd w:val="clear" w:color="auto" w:fill="auto"/>
            <w:noWrap/>
            <w:vAlign w:val="center"/>
            <w:hideMark/>
          </w:tcPr>
          <w:p w14:paraId="59F3B13B"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615,568</w:t>
            </w:r>
          </w:p>
        </w:tc>
        <w:tc>
          <w:tcPr>
            <w:tcW w:w="958" w:type="dxa"/>
            <w:tcBorders>
              <w:top w:val="nil"/>
              <w:left w:val="nil"/>
              <w:bottom w:val="single" w:sz="4" w:space="0" w:color="auto"/>
              <w:right w:val="single" w:sz="4" w:space="0" w:color="auto"/>
            </w:tcBorders>
            <w:shd w:val="clear" w:color="auto" w:fill="auto"/>
            <w:noWrap/>
            <w:vAlign w:val="center"/>
            <w:hideMark/>
          </w:tcPr>
          <w:p w14:paraId="74E30863"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9" w:type="dxa"/>
            <w:tcBorders>
              <w:top w:val="nil"/>
              <w:left w:val="nil"/>
              <w:bottom w:val="single" w:sz="4" w:space="0" w:color="auto"/>
              <w:right w:val="single" w:sz="4" w:space="0" w:color="auto"/>
            </w:tcBorders>
            <w:shd w:val="clear" w:color="auto" w:fill="auto"/>
            <w:noWrap/>
            <w:vAlign w:val="center"/>
            <w:hideMark/>
          </w:tcPr>
          <w:p w14:paraId="44C5A3A4"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193</w:t>
            </w:r>
          </w:p>
        </w:tc>
        <w:tc>
          <w:tcPr>
            <w:tcW w:w="958" w:type="dxa"/>
            <w:tcBorders>
              <w:top w:val="nil"/>
              <w:left w:val="nil"/>
              <w:bottom w:val="single" w:sz="4" w:space="0" w:color="auto"/>
              <w:right w:val="single" w:sz="4" w:space="0" w:color="auto"/>
            </w:tcBorders>
            <w:shd w:val="clear" w:color="auto" w:fill="auto"/>
            <w:noWrap/>
            <w:vAlign w:val="center"/>
            <w:hideMark/>
          </w:tcPr>
          <w:p w14:paraId="6D23B726"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34,159</w:t>
            </w:r>
          </w:p>
        </w:tc>
        <w:tc>
          <w:tcPr>
            <w:tcW w:w="958" w:type="dxa"/>
            <w:tcBorders>
              <w:top w:val="nil"/>
              <w:left w:val="nil"/>
              <w:bottom w:val="single" w:sz="4" w:space="0" w:color="auto"/>
              <w:right w:val="single" w:sz="4" w:space="0" w:color="auto"/>
            </w:tcBorders>
            <w:shd w:val="clear" w:color="auto" w:fill="auto"/>
            <w:noWrap/>
            <w:vAlign w:val="center"/>
            <w:hideMark/>
          </w:tcPr>
          <w:p w14:paraId="0E360E37"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527</w:t>
            </w:r>
          </w:p>
        </w:tc>
        <w:tc>
          <w:tcPr>
            <w:tcW w:w="958" w:type="dxa"/>
            <w:tcBorders>
              <w:top w:val="nil"/>
              <w:left w:val="nil"/>
              <w:bottom w:val="single" w:sz="4" w:space="0" w:color="auto"/>
              <w:right w:val="single" w:sz="4" w:space="0" w:color="auto"/>
            </w:tcBorders>
            <w:shd w:val="clear" w:color="auto" w:fill="auto"/>
            <w:noWrap/>
            <w:vAlign w:val="center"/>
            <w:hideMark/>
          </w:tcPr>
          <w:p w14:paraId="4ACC0C8D"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291</w:t>
            </w:r>
          </w:p>
        </w:tc>
        <w:tc>
          <w:tcPr>
            <w:tcW w:w="1021" w:type="dxa"/>
            <w:tcBorders>
              <w:top w:val="nil"/>
              <w:left w:val="nil"/>
              <w:bottom w:val="single" w:sz="4" w:space="0" w:color="auto"/>
              <w:right w:val="single" w:sz="4" w:space="0" w:color="auto"/>
            </w:tcBorders>
            <w:shd w:val="clear" w:color="auto" w:fill="auto"/>
            <w:noWrap/>
            <w:vAlign w:val="center"/>
            <w:hideMark/>
          </w:tcPr>
          <w:p w14:paraId="110A5C63"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650,738</w:t>
            </w:r>
          </w:p>
        </w:tc>
      </w:tr>
      <w:tr w:rsidR="00003D7E" w:rsidRPr="00BF0CAC" w14:paraId="14654EB5" w14:textId="77777777" w:rsidTr="00FE1263">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3B116AD" w14:textId="77777777" w:rsidR="00942D11" w:rsidRPr="00BF0CAC" w:rsidRDefault="00942D11" w:rsidP="003D68D1">
            <w:pPr>
              <w:spacing w:after="0" w:line="240" w:lineRule="auto"/>
              <w:rPr>
                <w:rFonts w:cs="Arial"/>
                <w:color w:val="000000"/>
                <w:sz w:val="15"/>
                <w:szCs w:val="15"/>
                <w:lang w:eastAsia="en-AU"/>
              </w:rPr>
            </w:pPr>
            <w:r w:rsidRPr="00BF0CAC">
              <w:rPr>
                <w:rFonts w:cs="Arial"/>
                <w:color w:val="000000"/>
                <w:sz w:val="15"/>
                <w:szCs w:val="15"/>
                <w:lang w:eastAsia="en-AU"/>
              </w:rPr>
              <w:t>The Royal Victorian Eye And Ear Hospital</w:t>
            </w:r>
          </w:p>
        </w:tc>
        <w:tc>
          <w:tcPr>
            <w:tcW w:w="992" w:type="dxa"/>
            <w:tcBorders>
              <w:top w:val="nil"/>
              <w:left w:val="nil"/>
              <w:bottom w:val="single" w:sz="4" w:space="0" w:color="auto"/>
              <w:right w:val="single" w:sz="4" w:space="0" w:color="auto"/>
            </w:tcBorders>
            <w:shd w:val="clear" w:color="auto" w:fill="auto"/>
            <w:noWrap/>
            <w:vAlign w:val="center"/>
            <w:hideMark/>
          </w:tcPr>
          <w:p w14:paraId="2BBFAD50"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114,825</w:t>
            </w:r>
          </w:p>
        </w:tc>
        <w:tc>
          <w:tcPr>
            <w:tcW w:w="958" w:type="dxa"/>
            <w:tcBorders>
              <w:top w:val="nil"/>
              <w:left w:val="nil"/>
              <w:bottom w:val="single" w:sz="4" w:space="0" w:color="auto"/>
              <w:right w:val="single" w:sz="4" w:space="0" w:color="auto"/>
            </w:tcBorders>
            <w:shd w:val="clear" w:color="auto" w:fill="auto"/>
            <w:noWrap/>
            <w:vAlign w:val="center"/>
            <w:hideMark/>
          </w:tcPr>
          <w:p w14:paraId="73688DF5"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8" w:type="dxa"/>
            <w:tcBorders>
              <w:top w:val="nil"/>
              <w:left w:val="nil"/>
              <w:bottom w:val="single" w:sz="4" w:space="0" w:color="auto"/>
              <w:right w:val="single" w:sz="4" w:space="0" w:color="auto"/>
            </w:tcBorders>
            <w:shd w:val="clear" w:color="auto" w:fill="auto"/>
            <w:noWrap/>
            <w:vAlign w:val="center"/>
            <w:hideMark/>
          </w:tcPr>
          <w:p w14:paraId="0D1ADD2E"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8" w:type="dxa"/>
            <w:tcBorders>
              <w:top w:val="nil"/>
              <w:left w:val="nil"/>
              <w:bottom w:val="single" w:sz="4" w:space="0" w:color="auto"/>
              <w:right w:val="single" w:sz="4" w:space="0" w:color="auto"/>
            </w:tcBorders>
            <w:shd w:val="clear" w:color="auto" w:fill="auto"/>
            <w:noWrap/>
            <w:vAlign w:val="center"/>
            <w:hideMark/>
          </w:tcPr>
          <w:p w14:paraId="5AA3D3D9"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9" w:type="dxa"/>
            <w:tcBorders>
              <w:top w:val="nil"/>
              <w:left w:val="nil"/>
              <w:bottom w:val="single" w:sz="4" w:space="0" w:color="auto"/>
              <w:right w:val="single" w:sz="4" w:space="0" w:color="auto"/>
            </w:tcBorders>
            <w:shd w:val="clear" w:color="auto" w:fill="auto"/>
            <w:noWrap/>
            <w:vAlign w:val="center"/>
            <w:hideMark/>
          </w:tcPr>
          <w:p w14:paraId="5A031721"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8" w:type="dxa"/>
            <w:tcBorders>
              <w:top w:val="nil"/>
              <w:left w:val="nil"/>
              <w:bottom w:val="single" w:sz="4" w:space="0" w:color="auto"/>
              <w:right w:val="single" w:sz="4" w:space="0" w:color="auto"/>
            </w:tcBorders>
            <w:shd w:val="clear" w:color="auto" w:fill="auto"/>
            <w:noWrap/>
            <w:vAlign w:val="center"/>
            <w:hideMark/>
          </w:tcPr>
          <w:p w14:paraId="439B2B06"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1055" w:type="dxa"/>
            <w:tcBorders>
              <w:top w:val="nil"/>
              <w:left w:val="nil"/>
              <w:bottom w:val="single" w:sz="4" w:space="0" w:color="auto"/>
              <w:right w:val="single" w:sz="4" w:space="0" w:color="auto"/>
            </w:tcBorders>
            <w:shd w:val="clear" w:color="auto" w:fill="auto"/>
            <w:noWrap/>
            <w:vAlign w:val="center"/>
            <w:hideMark/>
          </w:tcPr>
          <w:p w14:paraId="32CE5D72"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114,825</w:t>
            </w:r>
          </w:p>
        </w:tc>
        <w:tc>
          <w:tcPr>
            <w:tcW w:w="992" w:type="dxa"/>
            <w:tcBorders>
              <w:top w:val="nil"/>
              <w:left w:val="nil"/>
              <w:bottom w:val="single" w:sz="4" w:space="0" w:color="auto"/>
              <w:right w:val="single" w:sz="4" w:space="0" w:color="auto"/>
            </w:tcBorders>
            <w:shd w:val="clear" w:color="auto" w:fill="auto"/>
            <w:noWrap/>
            <w:vAlign w:val="center"/>
            <w:hideMark/>
          </w:tcPr>
          <w:p w14:paraId="31E3B735"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123,251</w:t>
            </w:r>
          </w:p>
        </w:tc>
        <w:tc>
          <w:tcPr>
            <w:tcW w:w="958" w:type="dxa"/>
            <w:tcBorders>
              <w:top w:val="nil"/>
              <w:left w:val="nil"/>
              <w:bottom w:val="single" w:sz="4" w:space="0" w:color="auto"/>
              <w:right w:val="single" w:sz="4" w:space="0" w:color="auto"/>
            </w:tcBorders>
            <w:shd w:val="clear" w:color="auto" w:fill="auto"/>
            <w:noWrap/>
            <w:vAlign w:val="center"/>
            <w:hideMark/>
          </w:tcPr>
          <w:p w14:paraId="07F82919"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9" w:type="dxa"/>
            <w:tcBorders>
              <w:top w:val="nil"/>
              <w:left w:val="nil"/>
              <w:bottom w:val="single" w:sz="4" w:space="0" w:color="auto"/>
              <w:right w:val="single" w:sz="4" w:space="0" w:color="auto"/>
            </w:tcBorders>
            <w:shd w:val="clear" w:color="auto" w:fill="auto"/>
            <w:noWrap/>
            <w:vAlign w:val="center"/>
            <w:hideMark/>
          </w:tcPr>
          <w:p w14:paraId="564D6A70"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8" w:type="dxa"/>
            <w:tcBorders>
              <w:top w:val="nil"/>
              <w:left w:val="nil"/>
              <w:bottom w:val="single" w:sz="4" w:space="0" w:color="auto"/>
              <w:right w:val="single" w:sz="4" w:space="0" w:color="auto"/>
            </w:tcBorders>
            <w:shd w:val="clear" w:color="auto" w:fill="auto"/>
            <w:noWrap/>
            <w:vAlign w:val="center"/>
            <w:hideMark/>
          </w:tcPr>
          <w:p w14:paraId="72F93A07"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8" w:type="dxa"/>
            <w:tcBorders>
              <w:top w:val="nil"/>
              <w:left w:val="nil"/>
              <w:bottom w:val="single" w:sz="4" w:space="0" w:color="auto"/>
              <w:right w:val="single" w:sz="4" w:space="0" w:color="auto"/>
            </w:tcBorders>
            <w:shd w:val="clear" w:color="auto" w:fill="auto"/>
            <w:noWrap/>
            <w:vAlign w:val="center"/>
            <w:hideMark/>
          </w:tcPr>
          <w:p w14:paraId="5E341B99"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8" w:type="dxa"/>
            <w:tcBorders>
              <w:top w:val="nil"/>
              <w:left w:val="nil"/>
              <w:bottom w:val="single" w:sz="4" w:space="0" w:color="auto"/>
              <w:right w:val="single" w:sz="4" w:space="0" w:color="auto"/>
            </w:tcBorders>
            <w:shd w:val="clear" w:color="auto" w:fill="auto"/>
            <w:noWrap/>
            <w:vAlign w:val="center"/>
            <w:hideMark/>
          </w:tcPr>
          <w:p w14:paraId="10139C92"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1021" w:type="dxa"/>
            <w:tcBorders>
              <w:top w:val="nil"/>
              <w:left w:val="nil"/>
              <w:bottom w:val="single" w:sz="4" w:space="0" w:color="auto"/>
              <w:right w:val="single" w:sz="4" w:space="0" w:color="auto"/>
            </w:tcBorders>
            <w:shd w:val="clear" w:color="auto" w:fill="auto"/>
            <w:noWrap/>
            <w:vAlign w:val="center"/>
            <w:hideMark/>
          </w:tcPr>
          <w:p w14:paraId="5B6A344D"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123,251</w:t>
            </w:r>
          </w:p>
        </w:tc>
      </w:tr>
      <w:tr w:rsidR="00003D7E" w:rsidRPr="00BF0CAC" w14:paraId="2FEAA5B0" w14:textId="77777777" w:rsidTr="00FE1263">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D893C57" w14:textId="77777777" w:rsidR="00942D11" w:rsidRPr="00BF0CAC" w:rsidRDefault="00942D11" w:rsidP="003D68D1">
            <w:pPr>
              <w:spacing w:after="0" w:line="240" w:lineRule="auto"/>
              <w:rPr>
                <w:rFonts w:cs="Arial"/>
                <w:color w:val="000000"/>
                <w:sz w:val="15"/>
                <w:szCs w:val="15"/>
                <w:lang w:eastAsia="en-AU"/>
              </w:rPr>
            </w:pPr>
            <w:r w:rsidRPr="00BF0CAC">
              <w:rPr>
                <w:rFonts w:cs="Arial"/>
                <w:color w:val="000000"/>
                <w:sz w:val="15"/>
                <w:szCs w:val="15"/>
                <w:lang w:eastAsia="en-AU"/>
              </w:rPr>
              <w:t>The Royal Women</w:t>
            </w:r>
            <w:r>
              <w:rPr>
                <w:rFonts w:cs="Arial"/>
                <w:color w:val="000000"/>
                <w:sz w:val="15"/>
                <w:szCs w:val="15"/>
                <w:lang w:eastAsia="en-AU"/>
              </w:rPr>
              <w:t>’</w:t>
            </w:r>
            <w:r w:rsidRPr="00BF0CAC">
              <w:rPr>
                <w:rFonts w:cs="Arial"/>
                <w:color w:val="000000"/>
                <w:sz w:val="15"/>
                <w:szCs w:val="15"/>
                <w:lang w:eastAsia="en-AU"/>
              </w:rPr>
              <w:t>s Hospital</w:t>
            </w:r>
          </w:p>
        </w:tc>
        <w:tc>
          <w:tcPr>
            <w:tcW w:w="992" w:type="dxa"/>
            <w:tcBorders>
              <w:top w:val="nil"/>
              <w:left w:val="nil"/>
              <w:bottom w:val="single" w:sz="4" w:space="0" w:color="auto"/>
              <w:right w:val="single" w:sz="4" w:space="0" w:color="auto"/>
            </w:tcBorders>
            <w:shd w:val="clear" w:color="auto" w:fill="auto"/>
            <w:noWrap/>
            <w:vAlign w:val="center"/>
            <w:hideMark/>
          </w:tcPr>
          <w:p w14:paraId="64DC8D20"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251,763</w:t>
            </w:r>
          </w:p>
        </w:tc>
        <w:tc>
          <w:tcPr>
            <w:tcW w:w="958" w:type="dxa"/>
            <w:tcBorders>
              <w:top w:val="nil"/>
              <w:left w:val="nil"/>
              <w:bottom w:val="single" w:sz="4" w:space="0" w:color="auto"/>
              <w:right w:val="single" w:sz="4" w:space="0" w:color="auto"/>
            </w:tcBorders>
            <w:shd w:val="clear" w:color="auto" w:fill="auto"/>
            <w:noWrap/>
            <w:vAlign w:val="center"/>
            <w:hideMark/>
          </w:tcPr>
          <w:p w14:paraId="7C1EF550"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8" w:type="dxa"/>
            <w:tcBorders>
              <w:top w:val="nil"/>
              <w:left w:val="nil"/>
              <w:bottom w:val="single" w:sz="4" w:space="0" w:color="auto"/>
              <w:right w:val="single" w:sz="4" w:space="0" w:color="auto"/>
            </w:tcBorders>
            <w:shd w:val="clear" w:color="auto" w:fill="auto"/>
            <w:noWrap/>
            <w:vAlign w:val="center"/>
            <w:hideMark/>
          </w:tcPr>
          <w:p w14:paraId="4AB60575"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1,102</w:t>
            </w:r>
          </w:p>
        </w:tc>
        <w:tc>
          <w:tcPr>
            <w:tcW w:w="958" w:type="dxa"/>
            <w:tcBorders>
              <w:top w:val="nil"/>
              <w:left w:val="nil"/>
              <w:bottom w:val="single" w:sz="4" w:space="0" w:color="auto"/>
              <w:right w:val="single" w:sz="4" w:space="0" w:color="auto"/>
            </w:tcBorders>
            <w:shd w:val="clear" w:color="auto" w:fill="auto"/>
            <w:noWrap/>
            <w:vAlign w:val="center"/>
            <w:hideMark/>
          </w:tcPr>
          <w:p w14:paraId="43FC3C09"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968</w:t>
            </w:r>
          </w:p>
        </w:tc>
        <w:tc>
          <w:tcPr>
            <w:tcW w:w="959" w:type="dxa"/>
            <w:tcBorders>
              <w:top w:val="nil"/>
              <w:left w:val="nil"/>
              <w:bottom w:val="single" w:sz="4" w:space="0" w:color="auto"/>
              <w:right w:val="single" w:sz="4" w:space="0" w:color="auto"/>
            </w:tcBorders>
            <w:shd w:val="clear" w:color="auto" w:fill="auto"/>
            <w:noWrap/>
            <w:vAlign w:val="center"/>
            <w:hideMark/>
          </w:tcPr>
          <w:p w14:paraId="3E97F9A4"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297</w:t>
            </w:r>
          </w:p>
        </w:tc>
        <w:tc>
          <w:tcPr>
            <w:tcW w:w="958" w:type="dxa"/>
            <w:tcBorders>
              <w:top w:val="nil"/>
              <w:left w:val="nil"/>
              <w:bottom w:val="single" w:sz="4" w:space="0" w:color="auto"/>
              <w:right w:val="single" w:sz="4" w:space="0" w:color="auto"/>
            </w:tcBorders>
            <w:shd w:val="clear" w:color="auto" w:fill="auto"/>
            <w:noWrap/>
            <w:vAlign w:val="center"/>
            <w:hideMark/>
          </w:tcPr>
          <w:p w14:paraId="6750D048"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289</w:t>
            </w:r>
          </w:p>
        </w:tc>
        <w:tc>
          <w:tcPr>
            <w:tcW w:w="1055" w:type="dxa"/>
            <w:tcBorders>
              <w:top w:val="nil"/>
              <w:left w:val="nil"/>
              <w:bottom w:val="single" w:sz="4" w:space="0" w:color="auto"/>
              <w:right w:val="single" w:sz="4" w:space="0" w:color="auto"/>
            </w:tcBorders>
            <w:shd w:val="clear" w:color="auto" w:fill="auto"/>
            <w:noWrap/>
            <w:vAlign w:val="center"/>
            <w:hideMark/>
          </w:tcPr>
          <w:p w14:paraId="225353D8"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254,418</w:t>
            </w:r>
          </w:p>
        </w:tc>
        <w:tc>
          <w:tcPr>
            <w:tcW w:w="992" w:type="dxa"/>
            <w:tcBorders>
              <w:top w:val="nil"/>
              <w:left w:val="nil"/>
              <w:bottom w:val="single" w:sz="4" w:space="0" w:color="auto"/>
              <w:right w:val="single" w:sz="4" w:space="0" w:color="auto"/>
            </w:tcBorders>
            <w:shd w:val="clear" w:color="auto" w:fill="auto"/>
            <w:noWrap/>
            <w:vAlign w:val="center"/>
            <w:hideMark/>
          </w:tcPr>
          <w:p w14:paraId="71C43858"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244,405</w:t>
            </w:r>
          </w:p>
        </w:tc>
        <w:tc>
          <w:tcPr>
            <w:tcW w:w="958" w:type="dxa"/>
            <w:tcBorders>
              <w:top w:val="nil"/>
              <w:left w:val="nil"/>
              <w:bottom w:val="single" w:sz="4" w:space="0" w:color="auto"/>
              <w:right w:val="single" w:sz="4" w:space="0" w:color="auto"/>
            </w:tcBorders>
            <w:shd w:val="clear" w:color="auto" w:fill="auto"/>
            <w:noWrap/>
            <w:vAlign w:val="center"/>
            <w:hideMark/>
          </w:tcPr>
          <w:p w14:paraId="0FB26EA0"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 </w:t>
            </w:r>
            <w:r>
              <w:rPr>
                <w:rFonts w:cs="Arial"/>
                <w:color w:val="000000"/>
                <w:sz w:val="15"/>
                <w:szCs w:val="15"/>
                <w:lang w:eastAsia="en-AU"/>
              </w:rPr>
              <w:t>0</w:t>
            </w:r>
          </w:p>
        </w:tc>
        <w:tc>
          <w:tcPr>
            <w:tcW w:w="959" w:type="dxa"/>
            <w:tcBorders>
              <w:top w:val="nil"/>
              <w:left w:val="nil"/>
              <w:bottom w:val="single" w:sz="4" w:space="0" w:color="auto"/>
              <w:right w:val="single" w:sz="4" w:space="0" w:color="auto"/>
            </w:tcBorders>
            <w:shd w:val="clear" w:color="auto" w:fill="auto"/>
            <w:noWrap/>
            <w:vAlign w:val="center"/>
            <w:hideMark/>
          </w:tcPr>
          <w:p w14:paraId="4B4A9DE8"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1,138</w:t>
            </w:r>
          </w:p>
        </w:tc>
        <w:tc>
          <w:tcPr>
            <w:tcW w:w="958" w:type="dxa"/>
            <w:tcBorders>
              <w:top w:val="nil"/>
              <w:left w:val="nil"/>
              <w:bottom w:val="single" w:sz="4" w:space="0" w:color="auto"/>
              <w:right w:val="single" w:sz="4" w:space="0" w:color="auto"/>
            </w:tcBorders>
            <w:shd w:val="clear" w:color="auto" w:fill="auto"/>
            <w:noWrap/>
            <w:vAlign w:val="center"/>
            <w:hideMark/>
          </w:tcPr>
          <w:p w14:paraId="0898A673"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817</w:t>
            </w:r>
          </w:p>
        </w:tc>
        <w:tc>
          <w:tcPr>
            <w:tcW w:w="958" w:type="dxa"/>
            <w:tcBorders>
              <w:top w:val="nil"/>
              <w:left w:val="nil"/>
              <w:bottom w:val="single" w:sz="4" w:space="0" w:color="auto"/>
              <w:right w:val="single" w:sz="4" w:space="0" w:color="auto"/>
            </w:tcBorders>
            <w:shd w:val="clear" w:color="auto" w:fill="auto"/>
            <w:noWrap/>
            <w:vAlign w:val="center"/>
            <w:hideMark/>
          </w:tcPr>
          <w:p w14:paraId="63364318"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304</w:t>
            </w:r>
          </w:p>
        </w:tc>
        <w:tc>
          <w:tcPr>
            <w:tcW w:w="958" w:type="dxa"/>
            <w:tcBorders>
              <w:top w:val="nil"/>
              <w:left w:val="nil"/>
              <w:bottom w:val="single" w:sz="4" w:space="0" w:color="auto"/>
              <w:right w:val="single" w:sz="4" w:space="0" w:color="auto"/>
            </w:tcBorders>
            <w:shd w:val="clear" w:color="auto" w:fill="auto"/>
            <w:noWrap/>
            <w:vAlign w:val="center"/>
            <w:hideMark/>
          </w:tcPr>
          <w:p w14:paraId="33B8EE33"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298</w:t>
            </w:r>
          </w:p>
        </w:tc>
        <w:tc>
          <w:tcPr>
            <w:tcW w:w="1021" w:type="dxa"/>
            <w:tcBorders>
              <w:top w:val="nil"/>
              <w:left w:val="nil"/>
              <w:bottom w:val="single" w:sz="4" w:space="0" w:color="auto"/>
              <w:right w:val="single" w:sz="4" w:space="0" w:color="auto"/>
            </w:tcBorders>
            <w:shd w:val="clear" w:color="auto" w:fill="auto"/>
            <w:noWrap/>
            <w:vAlign w:val="center"/>
            <w:hideMark/>
          </w:tcPr>
          <w:p w14:paraId="5896E561"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246,963</w:t>
            </w:r>
          </w:p>
        </w:tc>
      </w:tr>
      <w:tr w:rsidR="00003D7E" w:rsidRPr="00BF0CAC" w14:paraId="07935783" w14:textId="77777777" w:rsidTr="00FE1263">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7E3168B" w14:textId="77777777" w:rsidR="00942D11" w:rsidRPr="00BF0CAC" w:rsidRDefault="00942D11" w:rsidP="003D68D1">
            <w:pPr>
              <w:spacing w:after="0" w:line="240" w:lineRule="auto"/>
              <w:rPr>
                <w:rFonts w:cs="Arial"/>
                <w:color w:val="000000"/>
                <w:sz w:val="15"/>
                <w:szCs w:val="15"/>
                <w:lang w:eastAsia="en-AU"/>
              </w:rPr>
            </w:pPr>
            <w:r w:rsidRPr="00BF0CAC">
              <w:rPr>
                <w:rFonts w:cs="Arial"/>
                <w:color w:val="000000"/>
                <w:sz w:val="15"/>
                <w:szCs w:val="15"/>
                <w:lang w:eastAsia="en-AU"/>
              </w:rPr>
              <w:t>Western Health</w:t>
            </w:r>
          </w:p>
        </w:tc>
        <w:tc>
          <w:tcPr>
            <w:tcW w:w="992" w:type="dxa"/>
            <w:tcBorders>
              <w:top w:val="nil"/>
              <w:left w:val="nil"/>
              <w:bottom w:val="single" w:sz="4" w:space="0" w:color="auto"/>
              <w:right w:val="single" w:sz="4" w:space="0" w:color="auto"/>
            </w:tcBorders>
            <w:shd w:val="clear" w:color="auto" w:fill="auto"/>
            <w:noWrap/>
            <w:vAlign w:val="center"/>
            <w:hideMark/>
          </w:tcPr>
          <w:p w14:paraId="3DE4C8E2"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1,012,952</w:t>
            </w:r>
          </w:p>
        </w:tc>
        <w:tc>
          <w:tcPr>
            <w:tcW w:w="958" w:type="dxa"/>
            <w:tcBorders>
              <w:top w:val="nil"/>
              <w:left w:val="nil"/>
              <w:bottom w:val="single" w:sz="4" w:space="0" w:color="auto"/>
              <w:right w:val="single" w:sz="4" w:space="0" w:color="auto"/>
            </w:tcBorders>
            <w:shd w:val="clear" w:color="auto" w:fill="auto"/>
            <w:noWrap/>
            <w:vAlign w:val="center"/>
            <w:hideMark/>
          </w:tcPr>
          <w:p w14:paraId="0CFB5FA5"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4,018</w:t>
            </w:r>
          </w:p>
        </w:tc>
        <w:tc>
          <w:tcPr>
            <w:tcW w:w="958" w:type="dxa"/>
            <w:tcBorders>
              <w:top w:val="nil"/>
              <w:left w:val="nil"/>
              <w:bottom w:val="single" w:sz="4" w:space="0" w:color="auto"/>
              <w:right w:val="single" w:sz="4" w:space="0" w:color="auto"/>
            </w:tcBorders>
            <w:shd w:val="clear" w:color="auto" w:fill="auto"/>
            <w:noWrap/>
            <w:vAlign w:val="center"/>
            <w:hideMark/>
          </w:tcPr>
          <w:p w14:paraId="2290F2BE"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15,008</w:t>
            </w:r>
          </w:p>
        </w:tc>
        <w:tc>
          <w:tcPr>
            <w:tcW w:w="958" w:type="dxa"/>
            <w:tcBorders>
              <w:top w:val="nil"/>
              <w:left w:val="nil"/>
              <w:bottom w:val="single" w:sz="4" w:space="0" w:color="auto"/>
              <w:right w:val="single" w:sz="4" w:space="0" w:color="auto"/>
            </w:tcBorders>
            <w:shd w:val="clear" w:color="auto" w:fill="auto"/>
            <w:noWrap/>
            <w:vAlign w:val="center"/>
            <w:hideMark/>
          </w:tcPr>
          <w:p w14:paraId="2DBD2689"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5,716</w:t>
            </w:r>
          </w:p>
        </w:tc>
        <w:tc>
          <w:tcPr>
            <w:tcW w:w="959" w:type="dxa"/>
            <w:tcBorders>
              <w:top w:val="nil"/>
              <w:left w:val="nil"/>
              <w:bottom w:val="single" w:sz="4" w:space="0" w:color="auto"/>
              <w:right w:val="single" w:sz="4" w:space="0" w:color="auto"/>
            </w:tcBorders>
            <w:shd w:val="clear" w:color="auto" w:fill="auto"/>
            <w:noWrap/>
            <w:vAlign w:val="center"/>
            <w:hideMark/>
          </w:tcPr>
          <w:p w14:paraId="4C7C227F"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3,094</w:t>
            </w:r>
          </w:p>
        </w:tc>
        <w:tc>
          <w:tcPr>
            <w:tcW w:w="958" w:type="dxa"/>
            <w:tcBorders>
              <w:top w:val="nil"/>
              <w:left w:val="nil"/>
              <w:bottom w:val="single" w:sz="4" w:space="0" w:color="auto"/>
              <w:right w:val="single" w:sz="4" w:space="0" w:color="auto"/>
            </w:tcBorders>
            <w:shd w:val="clear" w:color="auto" w:fill="auto"/>
            <w:noWrap/>
            <w:vAlign w:val="center"/>
            <w:hideMark/>
          </w:tcPr>
          <w:p w14:paraId="51443BFA"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2,647</w:t>
            </w:r>
          </w:p>
        </w:tc>
        <w:tc>
          <w:tcPr>
            <w:tcW w:w="1055" w:type="dxa"/>
            <w:tcBorders>
              <w:top w:val="nil"/>
              <w:left w:val="nil"/>
              <w:bottom w:val="single" w:sz="4" w:space="0" w:color="auto"/>
              <w:right w:val="single" w:sz="4" w:space="0" w:color="auto"/>
            </w:tcBorders>
            <w:shd w:val="clear" w:color="auto" w:fill="auto"/>
            <w:noWrap/>
            <w:vAlign w:val="center"/>
            <w:hideMark/>
          </w:tcPr>
          <w:p w14:paraId="41BDB77E"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1,043,434</w:t>
            </w:r>
          </w:p>
        </w:tc>
        <w:tc>
          <w:tcPr>
            <w:tcW w:w="992" w:type="dxa"/>
            <w:tcBorders>
              <w:top w:val="nil"/>
              <w:left w:val="nil"/>
              <w:bottom w:val="single" w:sz="4" w:space="0" w:color="auto"/>
              <w:right w:val="single" w:sz="4" w:space="0" w:color="auto"/>
            </w:tcBorders>
            <w:shd w:val="clear" w:color="auto" w:fill="auto"/>
            <w:noWrap/>
            <w:vAlign w:val="center"/>
            <w:hideMark/>
          </w:tcPr>
          <w:p w14:paraId="2635362A"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1,031,485</w:t>
            </w:r>
          </w:p>
        </w:tc>
        <w:tc>
          <w:tcPr>
            <w:tcW w:w="958" w:type="dxa"/>
            <w:tcBorders>
              <w:top w:val="nil"/>
              <w:left w:val="nil"/>
              <w:bottom w:val="single" w:sz="4" w:space="0" w:color="auto"/>
              <w:right w:val="single" w:sz="4" w:space="0" w:color="auto"/>
            </w:tcBorders>
            <w:shd w:val="clear" w:color="auto" w:fill="auto"/>
            <w:noWrap/>
            <w:vAlign w:val="center"/>
            <w:hideMark/>
          </w:tcPr>
          <w:p w14:paraId="626BB77B"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4,093</w:t>
            </w:r>
          </w:p>
        </w:tc>
        <w:tc>
          <w:tcPr>
            <w:tcW w:w="959" w:type="dxa"/>
            <w:tcBorders>
              <w:top w:val="nil"/>
              <w:left w:val="nil"/>
              <w:bottom w:val="single" w:sz="4" w:space="0" w:color="auto"/>
              <w:right w:val="single" w:sz="4" w:space="0" w:color="auto"/>
            </w:tcBorders>
            <w:shd w:val="clear" w:color="auto" w:fill="auto"/>
            <w:noWrap/>
            <w:vAlign w:val="center"/>
            <w:hideMark/>
          </w:tcPr>
          <w:p w14:paraId="596ADBCC"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15,502</w:t>
            </w:r>
          </w:p>
        </w:tc>
        <w:tc>
          <w:tcPr>
            <w:tcW w:w="958" w:type="dxa"/>
            <w:tcBorders>
              <w:top w:val="nil"/>
              <w:left w:val="nil"/>
              <w:bottom w:val="single" w:sz="4" w:space="0" w:color="auto"/>
              <w:right w:val="single" w:sz="4" w:space="0" w:color="auto"/>
            </w:tcBorders>
            <w:shd w:val="clear" w:color="auto" w:fill="auto"/>
            <w:noWrap/>
            <w:vAlign w:val="center"/>
            <w:hideMark/>
          </w:tcPr>
          <w:p w14:paraId="737F1372"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117,553</w:t>
            </w:r>
          </w:p>
        </w:tc>
        <w:tc>
          <w:tcPr>
            <w:tcW w:w="958" w:type="dxa"/>
            <w:tcBorders>
              <w:top w:val="nil"/>
              <w:left w:val="nil"/>
              <w:bottom w:val="single" w:sz="4" w:space="0" w:color="auto"/>
              <w:right w:val="single" w:sz="4" w:space="0" w:color="auto"/>
            </w:tcBorders>
            <w:shd w:val="clear" w:color="auto" w:fill="auto"/>
            <w:noWrap/>
            <w:vAlign w:val="center"/>
            <w:hideMark/>
          </w:tcPr>
          <w:p w14:paraId="6D1A03A8"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3,141</w:t>
            </w:r>
          </w:p>
        </w:tc>
        <w:tc>
          <w:tcPr>
            <w:tcW w:w="958" w:type="dxa"/>
            <w:tcBorders>
              <w:top w:val="nil"/>
              <w:left w:val="nil"/>
              <w:bottom w:val="single" w:sz="4" w:space="0" w:color="auto"/>
              <w:right w:val="single" w:sz="4" w:space="0" w:color="auto"/>
            </w:tcBorders>
            <w:shd w:val="clear" w:color="auto" w:fill="auto"/>
            <w:noWrap/>
            <w:vAlign w:val="center"/>
            <w:hideMark/>
          </w:tcPr>
          <w:p w14:paraId="1A0B3EFE" w14:textId="77777777" w:rsidR="00942D11" w:rsidRPr="00BF0CAC" w:rsidRDefault="00942D11" w:rsidP="003D68D1">
            <w:pPr>
              <w:spacing w:after="0" w:line="240" w:lineRule="auto"/>
              <w:jc w:val="right"/>
              <w:rPr>
                <w:rFonts w:cs="Arial"/>
                <w:color w:val="000000"/>
                <w:sz w:val="15"/>
                <w:szCs w:val="15"/>
                <w:lang w:eastAsia="en-AU"/>
              </w:rPr>
            </w:pPr>
            <w:r w:rsidRPr="00BF0CAC">
              <w:rPr>
                <w:rFonts w:cs="Arial"/>
                <w:color w:val="000000"/>
                <w:sz w:val="15"/>
                <w:szCs w:val="15"/>
                <w:lang w:eastAsia="en-AU"/>
              </w:rPr>
              <w:t>1,633</w:t>
            </w:r>
          </w:p>
        </w:tc>
        <w:tc>
          <w:tcPr>
            <w:tcW w:w="1021" w:type="dxa"/>
            <w:tcBorders>
              <w:top w:val="nil"/>
              <w:left w:val="nil"/>
              <w:bottom w:val="single" w:sz="4" w:space="0" w:color="auto"/>
              <w:right w:val="single" w:sz="4" w:space="0" w:color="auto"/>
            </w:tcBorders>
            <w:shd w:val="clear" w:color="auto" w:fill="auto"/>
            <w:noWrap/>
            <w:vAlign w:val="center"/>
            <w:hideMark/>
          </w:tcPr>
          <w:p w14:paraId="3C7C4C99"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1,173,407</w:t>
            </w:r>
          </w:p>
        </w:tc>
      </w:tr>
      <w:tr w:rsidR="00003D7E" w:rsidRPr="00BF0CAC" w14:paraId="61454678" w14:textId="77777777" w:rsidTr="00FE1263">
        <w:trPr>
          <w:trHeight w:val="2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A90EC78" w14:textId="77777777" w:rsidR="00942D11" w:rsidRPr="00BF0CAC" w:rsidRDefault="00942D11" w:rsidP="003D68D1">
            <w:pPr>
              <w:spacing w:after="0" w:line="240" w:lineRule="auto"/>
              <w:rPr>
                <w:rFonts w:cs="Arial"/>
                <w:b/>
                <w:bCs/>
                <w:color w:val="000000"/>
                <w:sz w:val="15"/>
                <w:szCs w:val="15"/>
                <w:lang w:eastAsia="en-AU"/>
              </w:rPr>
            </w:pPr>
            <w:r w:rsidRPr="00BF0CAC">
              <w:rPr>
                <w:rFonts w:cs="Arial"/>
                <w:b/>
                <w:bCs/>
                <w:color w:val="000000"/>
                <w:sz w:val="15"/>
                <w:szCs w:val="15"/>
                <w:lang w:eastAsia="en-AU"/>
              </w:rPr>
              <w:t>Total</w:t>
            </w:r>
          </w:p>
        </w:tc>
        <w:tc>
          <w:tcPr>
            <w:tcW w:w="992" w:type="dxa"/>
            <w:tcBorders>
              <w:top w:val="nil"/>
              <w:left w:val="nil"/>
              <w:bottom w:val="single" w:sz="4" w:space="0" w:color="auto"/>
              <w:right w:val="single" w:sz="4" w:space="0" w:color="auto"/>
            </w:tcBorders>
            <w:shd w:val="clear" w:color="auto" w:fill="auto"/>
            <w:noWrap/>
            <w:vAlign w:val="center"/>
            <w:hideMark/>
          </w:tcPr>
          <w:p w14:paraId="64CC940E"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12,263,192</w:t>
            </w:r>
          </w:p>
        </w:tc>
        <w:tc>
          <w:tcPr>
            <w:tcW w:w="958" w:type="dxa"/>
            <w:tcBorders>
              <w:top w:val="nil"/>
              <w:left w:val="nil"/>
              <w:bottom w:val="single" w:sz="4" w:space="0" w:color="auto"/>
              <w:right w:val="single" w:sz="4" w:space="0" w:color="auto"/>
            </w:tcBorders>
            <w:shd w:val="clear" w:color="auto" w:fill="auto"/>
            <w:noWrap/>
            <w:vAlign w:val="center"/>
            <w:hideMark/>
          </w:tcPr>
          <w:p w14:paraId="1758BC79"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95,502</w:t>
            </w:r>
          </w:p>
        </w:tc>
        <w:tc>
          <w:tcPr>
            <w:tcW w:w="958" w:type="dxa"/>
            <w:tcBorders>
              <w:top w:val="nil"/>
              <w:left w:val="nil"/>
              <w:bottom w:val="single" w:sz="4" w:space="0" w:color="auto"/>
              <w:right w:val="single" w:sz="4" w:space="0" w:color="auto"/>
            </w:tcBorders>
            <w:shd w:val="clear" w:color="auto" w:fill="auto"/>
            <w:noWrap/>
            <w:vAlign w:val="center"/>
            <w:hideMark/>
          </w:tcPr>
          <w:p w14:paraId="42432A33"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56,944</w:t>
            </w:r>
          </w:p>
        </w:tc>
        <w:tc>
          <w:tcPr>
            <w:tcW w:w="958" w:type="dxa"/>
            <w:tcBorders>
              <w:top w:val="nil"/>
              <w:left w:val="nil"/>
              <w:bottom w:val="single" w:sz="4" w:space="0" w:color="auto"/>
              <w:right w:val="single" w:sz="4" w:space="0" w:color="auto"/>
            </w:tcBorders>
            <w:shd w:val="clear" w:color="auto" w:fill="auto"/>
            <w:noWrap/>
            <w:vAlign w:val="center"/>
            <w:hideMark/>
          </w:tcPr>
          <w:p w14:paraId="25B6C1DE"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1,704,782</w:t>
            </w:r>
          </w:p>
        </w:tc>
        <w:tc>
          <w:tcPr>
            <w:tcW w:w="959" w:type="dxa"/>
            <w:tcBorders>
              <w:top w:val="nil"/>
              <w:left w:val="nil"/>
              <w:bottom w:val="single" w:sz="4" w:space="0" w:color="auto"/>
              <w:right w:val="single" w:sz="4" w:space="0" w:color="auto"/>
            </w:tcBorders>
            <w:shd w:val="clear" w:color="auto" w:fill="auto"/>
            <w:noWrap/>
            <w:vAlign w:val="center"/>
            <w:hideMark/>
          </w:tcPr>
          <w:p w14:paraId="6F38253B"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64,258</w:t>
            </w:r>
          </w:p>
        </w:tc>
        <w:tc>
          <w:tcPr>
            <w:tcW w:w="958" w:type="dxa"/>
            <w:tcBorders>
              <w:top w:val="nil"/>
              <w:left w:val="nil"/>
              <w:bottom w:val="single" w:sz="4" w:space="0" w:color="auto"/>
              <w:right w:val="single" w:sz="4" w:space="0" w:color="auto"/>
            </w:tcBorders>
            <w:shd w:val="clear" w:color="auto" w:fill="auto"/>
            <w:noWrap/>
            <w:vAlign w:val="center"/>
            <w:hideMark/>
          </w:tcPr>
          <w:p w14:paraId="57F9427E"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44,502</w:t>
            </w:r>
          </w:p>
        </w:tc>
        <w:tc>
          <w:tcPr>
            <w:tcW w:w="1055" w:type="dxa"/>
            <w:tcBorders>
              <w:top w:val="nil"/>
              <w:left w:val="nil"/>
              <w:bottom w:val="single" w:sz="4" w:space="0" w:color="auto"/>
              <w:right w:val="single" w:sz="4" w:space="0" w:color="auto"/>
            </w:tcBorders>
            <w:shd w:val="clear" w:color="auto" w:fill="auto"/>
            <w:noWrap/>
            <w:vAlign w:val="center"/>
            <w:hideMark/>
          </w:tcPr>
          <w:p w14:paraId="1078B192"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14,229,178</w:t>
            </w:r>
          </w:p>
        </w:tc>
        <w:tc>
          <w:tcPr>
            <w:tcW w:w="992" w:type="dxa"/>
            <w:tcBorders>
              <w:top w:val="nil"/>
              <w:left w:val="nil"/>
              <w:bottom w:val="single" w:sz="4" w:space="0" w:color="auto"/>
              <w:right w:val="single" w:sz="4" w:space="0" w:color="auto"/>
            </w:tcBorders>
            <w:shd w:val="clear" w:color="auto" w:fill="auto"/>
            <w:noWrap/>
            <w:vAlign w:val="center"/>
            <w:hideMark/>
          </w:tcPr>
          <w:p w14:paraId="0140E0B2"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12,555,154</w:t>
            </w:r>
          </w:p>
        </w:tc>
        <w:tc>
          <w:tcPr>
            <w:tcW w:w="958" w:type="dxa"/>
            <w:tcBorders>
              <w:top w:val="nil"/>
              <w:left w:val="nil"/>
              <w:bottom w:val="single" w:sz="4" w:space="0" w:color="auto"/>
              <w:right w:val="single" w:sz="4" w:space="0" w:color="auto"/>
            </w:tcBorders>
            <w:shd w:val="clear" w:color="auto" w:fill="auto"/>
            <w:noWrap/>
            <w:vAlign w:val="center"/>
            <w:hideMark/>
          </w:tcPr>
          <w:p w14:paraId="30F8B80C"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93,100</w:t>
            </w:r>
          </w:p>
        </w:tc>
        <w:tc>
          <w:tcPr>
            <w:tcW w:w="959" w:type="dxa"/>
            <w:tcBorders>
              <w:top w:val="nil"/>
              <w:left w:val="nil"/>
              <w:bottom w:val="single" w:sz="4" w:space="0" w:color="auto"/>
              <w:right w:val="single" w:sz="4" w:space="0" w:color="auto"/>
            </w:tcBorders>
            <w:shd w:val="clear" w:color="auto" w:fill="auto"/>
            <w:noWrap/>
            <w:vAlign w:val="center"/>
            <w:hideMark/>
          </w:tcPr>
          <w:p w14:paraId="50B984B8"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58,174</w:t>
            </w:r>
          </w:p>
        </w:tc>
        <w:tc>
          <w:tcPr>
            <w:tcW w:w="958" w:type="dxa"/>
            <w:tcBorders>
              <w:top w:val="nil"/>
              <w:left w:val="nil"/>
              <w:bottom w:val="single" w:sz="4" w:space="0" w:color="auto"/>
              <w:right w:val="single" w:sz="4" w:space="0" w:color="auto"/>
            </w:tcBorders>
            <w:shd w:val="clear" w:color="auto" w:fill="auto"/>
            <w:noWrap/>
            <w:vAlign w:val="center"/>
            <w:hideMark/>
          </w:tcPr>
          <w:p w14:paraId="78255C72"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1,790,635</w:t>
            </w:r>
          </w:p>
        </w:tc>
        <w:tc>
          <w:tcPr>
            <w:tcW w:w="958" w:type="dxa"/>
            <w:tcBorders>
              <w:top w:val="nil"/>
              <w:left w:val="nil"/>
              <w:bottom w:val="single" w:sz="4" w:space="0" w:color="auto"/>
              <w:right w:val="single" w:sz="4" w:space="0" w:color="auto"/>
            </w:tcBorders>
            <w:shd w:val="clear" w:color="auto" w:fill="auto"/>
            <w:noWrap/>
            <w:vAlign w:val="center"/>
            <w:hideMark/>
          </w:tcPr>
          <w:p w14:paraId="4C588297"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57,329</w:t>
            </w:r>
          </w:p>
        </w:tc>
        <w:tc>
          <w:tcPr>
            <w:tcW w:w="958" w:type="dxa"/>
            <w:tcBorders>
              <w:top w:val="nil"/>
              <w:left w:val="nil"/>
              <w:bottom w:val="single" w:sz="4" w:space="0" w:color="auto"/>
              <w:right w:val="single" w:sz="4" w:space="0" w:color="auto"/>
            </w:tcBorders>
            <w:shd w:val="clear" w:color="auto" w:fill="auto"/>
            <w:noWrap/>
            <w:vAlign w:val="center"/>
            <w:hideMark/>
          </w:tcPr>
          <w:p w14:paraId="7A96BA63"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40,306</w:t>
            </w:r>
          </w:p>
        </w:tc>
        <w:tc>
          <w:tcPr>
            <w:tcW w:w="1021" w:type="dxa"/>
            <w:tcBorders>
              <w:top w:val="nil"/>
              <w:left w:val="nil"/>
              <w:bottom w:val="single" w:sz="4" w:space="0" w:color="auto"/>
              <w:right w:val="single" w:sz="4" w:space="0" w:color="auto"/>
            </w:tcBorders>
            <w:shd w:val="clear" w:color="auto" w:fill="auto"/>
            <w:noWrap/>
            <w:vAlign w:val="center"/>
            <w:hideMark/>
          </w:tcPr>
          <w:p w14:paraId="03795883" w14:textId="77777777" w:rsidR="00942D11" w:rsidRPr="00BF0CAC" w:rsidRDefault="00942D11" w:rsidP="003D68D1">
            <w:pPr>
              <w:spacing w:after="0" w:line="240" w:lineRule="auto"/>
              <w:jc w:val="right"/>
              <w:rPr>
                <w:rFonts w:cs="Arial"/>
                <w:b/>
                <w:bCs/>
                <w:color w:val="000000"/>
                <w:sz w:val="15"/>
                <w:szCs w:val="15"/>
                <w:lang w:eastAsia="en-AU"/>
              </w:rPr>
            </w:pPr>
            <w:r w:rsidRPr="00BF0CAC">
              <w:rPr>
                <w:rFonts w:cs="Arial"/>
                <w:b/>
                <w:bCs/>
                <w:color w:val="000000"/>
                <w:sz w:val="15"/>
                <w:szCs w:val="15"/>
                <w:lang w:eastAsia="en-AU"/>
              </w:rPr>
              <w:t>14,594,698</w:t>
            </w:r>
          </w:p>
        </w:tc>
      </w:tr>
    </w:tbl>
    <w:p w14:paraId="44824441" w14:textId="77777777" w:rsidR="00942D11" w:rsidRDefault="00942D11" w:rsidP="007521B3">
      <w:pPr>
        <w:pStyle w:val="Body"/>
      </w:pPr>
    </w:p>
    <w:p w14:paraId="5D3FD15C" w14:textId="6A6AA8F0" w:rsidR="00F01C32" w:rsidRDefault="00013554" w:rsidP="00685B35">
      <w:pPr>
        <w:pStyle w:val="Body"/>
        <w:keepNext/>
        <w:keepLines/>
        <w:spacing w:before="120"/>
      </w:pPr>
      <w:r>
        <w:t xml:space="preserve">Subregional and </w:t>
      </w:r>
      <w:r w:rsidR="00A67ABC">
        <w:t>local</w:t>
      </w:r>
      <w:r w:rsidR="00DA050E">
        <w:t xml:space="preserve"> – $’000s</w:t>
      </w:r>
    </w:p>
    <w:tbl>
      <w:tblPr>
        <w:tblStyle w:val="TableGrid1"/>
        <w:tblW w:w="15026" w:type="dxa"/>
        <w:tblInd w:w="-147" w:type="dxa"/>
        <w:tblLayout w:type="fixed"/>
        <w:tblLook w:val="04A0" w:firstRow="1" w:lastRow="0" w:firstColumn="1" w:lastColumn="0" w:noHBand="0" w:noVBand="1"/>
      </w:tblPr>
      <w:tblGrid>
        <w:gridCol w:w="1418"/>
        <w:gridCol w:w="972"/>
        <w:gridCol w:w="972"/>
        <w:gridCol w:w="972"/>
        <w:gridCol w:w="972"/>
        <w:gridCol w:w="972"/>
        <w:gridCol w:w="972"/>
        <w:gridCol w:w="972"/>
        <w:gridCol w:w="972"/>
        <w:gridCol w:w="972"/>
        <w:gridCol w:w="972"/>
        <w:gridCol w:w="972"/>
        <w:gridCol w:w="972"/>
        <w:gridCol w:w="972"/>
        <w:gridCol w:w="972"/>
      </w:tblGrid>
      <w:tr w:rsidR="00003D7E" w:rsidRPr="00BF0CAC" w14:paraId="139DB92A" w14:textId="77777777" w:rsidTr="00096B07">
        <w:trPr>
          <w:cnfStyle w:val="100000000000" w:firstRow="1" w:lastRow="0" w:firstColumn="0" w:lastColumn="0" w:oddVBand="0" w:evenVBand="0" w:oddHBand="0" w:evenHBand="0" w:firstRowFirstColumn="0" w:firstRowLastColumn="0" w:lastRowFirstColumn="0" w:lastRowLastColumn="0"/>
          <w:trHeight w:val="675"/>
          <w:tblHeader/>
        </w:trPr>
        <w:tc>
          <w:tcPr>
            <w:tcW w:w="1418" w:type="dxa"/>
            <w:shd w:val="clear" w:color="auto" w:fill="auto"/>
            <w:hideMark/>
          </w:tcPr>
          <w:p w14:paraId="0E638D18" w14:textId="77777777" w:rsidR="00942D11" w:rsidRPr="00942D11" w:rsidRDefault="00942D11" w:rsidP="00977693">
            <w:pPr>
              <w:spacing w:after="0" w:line="240" w:lineRule="auto"/>
              <w:jc w:val="right"/>
              <w:rPr>
                <w:rFonts w:eastAsia="Times New Roman" w:cs="Arial"/>
                <w:b/>
                <w:bCs/>
                <w:color w:val="53565A"/>
                <w:sz w:val="16"/>
                <w:szCs w:val="16"/>
                <w:lang w:eastAsia="en-AU"/>
              </w:rPr>
            </w:pPr>
            <w:r w:rsidRPr="00942D11">
              <w:rPr>
                <w:rFonts w:eastAsia="Times New Roman" w:cs="Arial"/>
                <w:b/>
                <w:bCs/>
                <w:color w:val="53565A"/>
                <w:sz w:val="16"/>
                <w:szCs w:val="16"/>
                <w:lang w:eastAsia="en-AU"/>
              </w:rPr>
              <w:t>Health Service</w:t>
            </w:r>
          </w:p>
        </w:tc>
        <w:tc>
          <w:tcPr>
            <w:tcW w:w="972" w:type="dxa"/>
            <w:shd w:val="clear" w:color="auto" w:fill="auto"/>
            <w:hideMark/>
          </w:tcPr>
          <w:p w14:paraId="1C289B9A" w14:textId="77777777" w:rsidR="00942D11" w:rsidRPr="00942D11" w:rsidRDefault="00942D11" w:rsidP="00942D11">
            <w:pPr>
              <w:spacing w:after="0" w:line="240" w:lineRule="auto"/>
              <w:jc w:val="right"/>
              <w:rPr>
                <w:rFonts w:eastAsia="Times New Roman" w:cs="Arial"/>
                <w:b/>
                <w:bCs/>
                <w:color w:val="53565A"/>
                <w:sz w:val="16"/>
                <w:szCs w:val="16"/>
                <w:lang w:eastAsia="en-AU"/>
              </w:rPr>
            </w:pPr>
            <w:r w:rsidRPr="00942D11">
              <w:rPr>
                <w:rFonts w:eastAsia="Times New Roman" w:cs="Arial"/>
                <w:b/>
                <w:bCs/>
                <w:color w:val="53565A"/>
                <w:sz w:val="16"/>
                <w:szCs w:val="16"/>
                <w:lang w:eastAsia="en-AU"/>
              </w:rPr>
              <w:t>2022–23</w:t>
            </w:r>
            <w:r w:rsidRPr="00942D11">
              <w:rPr>
                <w:rFonts w:eastAsia="Times New Roman" w:cs="Arial"/>
                <w:b/>
                <w:bCs/>
                <w:color w:val="53565A"/>
                <w:sz w:val="16"/>
                <w:szCs w:val="16"/>
                <w:lang w:eastAsia="en-AU"/>
              </w:rPr>
              <w:br/>
              <w:t>Acute health services</w:t>
            </w:r>
          </w:p>
        </w:tc>
        <w:tc>
          <w:tcPr>
            <w:tcW w:w="972" w:type="dxa"/>
            <w:shd w:val="clear" w:color="auto" w:fill="auto"/>
            <w:hideMark/>
          </w:tcPr>
          <w:p w14:paraId="5CE61A2B" w14:textId="77777777" w:rsidR="00942D11" w:rsidRPr="00942D11" w:rsidRDefault="00942D11" w:rsidP="00942D11">
            <w:pPr>
              <w:spacing w:after="0" w:line="240" w:lineRule="auto"/>
              <w:jc w:val="right"/>
              <w:rPr>
                <w:rFonts w:eastAsia="Times New Roman" w:cs="Arial"/>
                <w:b/>
                <w:bCs/>
                <w:color w:val="53565A"/>
                <w:sz w:val="16"/>
                <w:szCs w:val="16"/>
                <w:lang w:eastAsia="en-AU"/>
              </w:rPr>
            </w:pPr>
            <w:r w:rsidRPr="00942D11">
              <w:rPr>
                <w:rFonts w:eastAsia="Times New Roman" w:cs="Arial"/>
                <w:b/>
                <w:bCs/>
                <w:color w:val="53565A"/>
                <w:sz w:val="16"/>
                <w:szCs w:val="16"/>
                <w:lang w:eastAsia="en-AU"/>
              </w:rPr>
              <w:t>2022–23</w:t>
            </w:r>
            <w:r w:rsidRPr="00942D11">
              <w:rPr>
                <w:rFonts w:eastAsia="Times New Roman" w:cs="Arial"/>
                <w:b/>
                <w:bCs/>
                <w:color w:val="53565A"/>
                <w:sz w:val="16"/>
                <w:szCs w:val="16"/>
                <w:lang w:eastAsia="en-AU"/>
              </w:rPr>
              <w:br/>
              <w:t>Ageing, aged and home care</w:t>
            </w:r>
          </w:p>
        </w:tc>
        <w:tc>
          <w:tcPr>
            <w:tcW w:w="972" w:type="dxa"/>
            <w:shd w:val="clear" w:color="auto" w:fill="auto"/>
            <w:hideMark/>
          </w:tcPr>
          <w:p w14:paraId="0286B872" w14:textId="77777777" w:rsidR="00942D11" w:rsidRPr="00942D11" w:rsidRDefault="00942D11" w:rsidP="00942D11">
            <w:pPr>
              <w:spacing w:after="0" w:line="240" w:lineRule="auto"/>
              <w:jc w:val="right"/>
              <w:rPr>
                <w:rFonts w:eastAsia="Times New Roman" w:cs="Arial"/>
                <w:b/>
                <w:bCs/>
                <w:color w:val="53565A"/>
                <w:sz w:val="16"/>
                <w:szCs w:val="16"/>
                <w:lang w:eastAsia="en-AU"/>
              </w:rPr>
            </w:pPr>
            <w:r w:rsidRPr="00942D11">
              <w:rPr>
                <w:rFonts w:eastAsia="Times New Roman" w:cs="Arial"/>
                <w:b/>
                <w:bCs/>
                <w:color w:val="53565A"/>
                <w:sz w:val="16"/>
                <w:szCs w:val="16"/>
                <w:lang w:eastAsia="en-AU"/>
              </w:rPr>
              <w:t>2022–23</w:t>
            </w:r>
            <w:r w:rsidRPr="00942D11">
              <w:rPr>
                <w:rFonts w:eastAsia="Times New Roman" w:cs="Arial"/>
                <w:b/>
                <w:bCs/>
                <w:color w:val="53565A"/>
                <w:sz w:val="16"/>
                <w:szCs w:val="16"/>
                <w:lang w:eastAsia="en-AU"/>
              </w:rPr>
              <w:br/>
              <w:t>Drugs services</w:t>
            </w:r>
          </w:p>
        </w:tc>
        <w:tc>
          <w:tcPr>
            <w:tcW w:w="972" w:type="dxa"/>
            <w:shd w:val="clear" w:color="auto" w:fill="auto"/>
            <w:hideMark/>
          </w:tcPr>
          <w:p w14:paraId="055E9235" w14:textId="77777777" w:rsidR="00942D11" w:rsidRPr="00942D11" w:rsidRDefault="00942D11" w:rsidP="00942D11">
            <w:pPr>
              <w:spacing w:after="0" w:line="240" w:lineRule="auto"/>
              <w:jc w:val="right"/>
              <w:rPr>
                <w:rFonts w:eastAsia="Times New Roman" w:cs="Arial"/>
                <w:b/>
                <w:bCs/>
                <w:color w:val="53565A"/>
                <w:sz w:val="16"/>
                <w:szCs w:val="16"/>
                <w:lang w:eastAsia="en-AU"/>
              </w:rPr>
            </w:pPr>
            <w:r w:rsidRPr="00942D11">
              <w:rPr>
                <w:rFonts w:eastAsia="Times New Roman" w:cs="Arial"/>
                <w:b/>
                <w:bCs/>
                <w:color w:val="53565A"/>
                <w:sz w:val="16"/>
                <w:szCs w:val="16"/>
                <w:lang w:eastAsia="en-AU"/>
              </w:rPr>
              <w:t>2022–23</w:t>
            </w:r>
            <w:r w:rsidRPr="00942D11">
              <w:rPr>
                <w:rFonts w:eastAsia="Times New Roman" w:cs="Arial"/>
                <w:b/>
                <w:bCs/>
                <w:color w:val="53565A"/>
                <w:sz w:val="16"/>
                <w:szCs w:val="16"/>
                <w:lang w:eastAsia="en-AU"/>
              </w:rPr>
              <w:br/>
              <w:t>Mental health</w:t>
            </w:r>
          </w:p>
        </w:tc>
        <w:tc>
          <w:tcPr>
            <w:tcW w:w="972" w:type="dxa"/>
            <w:shd w:val="clear" w:color="auto" w:fill="auto"/>
            <w:hideMark/>
          </w:tcPr>
          <w:p w14:paraId="181BB5DA" w14:textId="77777777" w:rsidR="00942D11" w:rsidRPr="00942D11" w:rsidRDefault="00942D11" w:rsidP="00942D11">
            <w:pPr>
              <w:spacing w:after="0" w:line="240" w:lineRule="auto"/>
              <w:jc w:val="right"/>
              <w:rPr>
                <w:rFonts w:eastAsia="Times New Roman" w:cs="Arial"/>
                <w:b/>
                <w:bCs/>
                <w:color w:val="53565A"/>
                <w:sz w:val="16"/>
                <w:szCs w:val="16"/>
                <w:lang w:eastAsia="en-AU"/>
              </w:rPr>
            </w:pPr>
            <w:r w:rsidRPr="00942D11">
              <w:rPr>
                <w:rFonts w:eastAsia="Times New Roman" w:cs="Arial"/>
                <w:b/>
                <w:bCs/>
                <w:color w:val="53565A"/>
                <w:sz w:val="16"/>
                <w:szCs w:val="16"/>
                <w:lang w:eastAsia="en-AU"/>
              </w:rPr>
              <w:t>2022–23</w:t>
            </w:r>
            <w:r w:rsidRPr="00942D11">
              <w:rPr>
                <w:rFonts w:eastAsia="Times New Roman" w:cs="Arial"/>
                <w:b/>
                <w:bCs/>
                <w:color w:val="53565A"/>
                <w:sz w:val="16"/>
                <w:szCs w:val="16"/>
                <w:lang w:eastAsia="en-AU"/>
              </w:rPr>
              <w:br/>
              <w:t>Primary and dental health</w:t>
            </w:r>
          </w:p>
        </w:tc>
        <w:tc>
          <w:tcPr>
            <w:tcW w:w="972" w:type="dxa"/>
            <w:shd w:val="clear" w:color="auto" w:fill="auto"/>
            <w:hideMark/>
          </w:tcPr>
          <w:p w14:paraId="7A1C384F" w14:textId="77777777" w:rsidR="00942D11" w:rsidRPr="00942D11" w:rsidRDefault="00942D11" w:rsidP="00942D11">
            <w:pPr>
              <w:spacing w:after="0" w:line="240" w:lineRule="auto"/>
              <w:jc w:val="right"/>
              <w:rPr>
                <w:rFonts w:eastAsia="Times New Roman" w:cs="Arial"/>
                <w:b/>
                <w:bCs/>
                <w:color w:val="53565A"/>
                <w:sz w:val="16"/>
                <w:szCs w:val="16"/>
                <w:lang w:eastAsia="en-AU"/>
              </w:rPr>
            </w:pPr>
            <w:r w:rsidRPr="00942D11">
              <w:rPr>
                <w:rFonts w:eastAsia="Times New Roman" w:cs="Arial"/>
                <w:b/>
                <w:bCs/>
                <w:color w:val="53565A"/>
                <w:sz w:val="16"/>
                <w:szCs w:val="16"/>
                <w:lang w:eastAsia="en-AU"/>
              </w:rPr>
              <w:t>2022–23</w:t>
            </w:r>
            <w:r w:rsidRPr="00942D11">
              <w:rPr>
                <w:rFonts w:eastAsia="Times New Roman" w:cs="Arial"/>
                <w:b/>
                <w:bCs/>
                <w:color w:val="53565A"/>
                <w:sz w:val="16"/>
                <w:szCs w:val="16"/>
                <w:lang w:eastAsia="en-AU"/>
              </w:rPr>
              <w:br/>
              <w:t>Public health</w:t>
            </w:r>
          </w:p>
        </w:tc>
        <w:tc>
          <w:tcPr>
            <w:tcW w:w="972" w:type="dxa"/>
            <w:shd w:val="clear" w:color="auto" w:fill="auto"/>
            <w:hideMark/>
          </w:tcPr>
          <w:p w14:paraId="27A934A3" w14:textId="77777777" w:rsidR="00942D11" w:rsidRPr="00942D11" w:rsidRDefault="00942D11" w:rsidP="00942D11">
            <w:pPr>
              <w:spacing w:after="0" w:line="240" w:lineRule="auto"/>
              <w:jc w:val="right"/>
              <w:rPr>
                <w:rFonts w:eastAsia="Times New Roman" w:cs="Arial"/>
                <w:b/>
                <w:bCs/>
                <w:color w:val="53565A"/>
                <w:sz w:val="16"/>
                <w:szCs w:val="16"/>
                <w:lang w:eastAsia="en-AU"/>
              </w:rPr>
            </w:pPr>
            <w:r w:rsidRPr="00942D11">
              <w:rPr>
                <w:rFonts w:eastAsia="Times New Roman" w:cs="Arial"/>
                <w:b/>
                <w:bCs/>
                <w:color w:val="53565A"/>
                <w:sz w:val="16"/>
                <w:szCs w:val="16"/>
                <w:lang w:eastAsia="en-AU"/>
              </w:rPr>
              <w:t>2022–23</w:t>
            </w:r>
            <w:r w:rsidRPr="00942D11">
              <w:rPr>
                <w:rFonts w:eastAsia="Times New Roman" w:cs="Arial"/>
                <w:b/>
                <w:bCs/>
                <w:color w:val="53565A"/>
                <w:sz w:val="16"/>
                <w:szCs w:val="16"/>
                <w:lang w:eastAsia="en-AU"/>
              </w:rPr>
              <w:br/>
              <w:t>Total</w:t>
            </w:r>
          </w:p>
        </w:tc>
        <w:tc>
          <w:tcPr>
            <w:tcW w:w="972" w:type="dxa"/>
            <w:shd w:val="clear" w:color="auto" w:fill="auto"/>
            <w:hideMark/>
          </w:tcPr>
          <w:p w14:paraId="21550BBC" w14:textId="77777777" w:rsidR="00942D11" w:rsidRPr="00942D11" w:rsidRDefault="00942D11" w:rsidP="00942D11">
            <w:pPr>
              <w:spacing w:after="0" w:line="240" w:lineRule="auto"/>
              <w:jc w:val="right"/>
              <w:rPr>
                <w:rFonts w:eastAsia="Times New Roman" w:cs="Arial"/>
                <w:b/>
                <w:bCs/>
                <w:color w:val="53565A"/>
                <w:sz w:val="16"/>
                <w:szCs w:val="16"/>
                <w:lang w:eastAsia="en-AU"/>
              </w:rPr>
            </w:pPr>
            <w:r w:rsidRPr="00942D11">
              <w:rPr>
                <w:rFonts w:eastAsia="Times New Roman" w:cs="Arial"/>
                <w:b/>
                <w:bCs/>
                <w:color w:val="53565A"/>
                <w:sz w:val="16"/>
                <w:szCs w:val="16"/>
                <w:lang w:eastAsia="en-AU"/>
              </w:rPr>
              <w:t>2023–24</w:t>
            </w:r>
            <w:r w:rsidRPr="00942D11">
              <w:rPr>
                <w:rFonts w:eastAsia="Times New Roman" w:cs="Arial"/>
                <w:b/>
                <w:bCs/>
                <w:color w:val="53565A"/>
                <w:sz w:val="16"/>
                <w:szCs w:val="16"/>
                <w:lang w:eastAsia="en-AU"/>
              </w:rPr>
              <w:br/>
              <w:t>Acute health services</w:t>
            </w:r>
          </w:p>
        </w:tc>
        <w:tc>
          <w:tcPr>
            <w:tcW w:w="972" w:type="dxa"/>
            <w:shd w:val="clear" w:color="auto" w:fill="auto"/>
            <w:hideMark/>
          </w:tcPr>
          <w:p w14:paraId="56AFFFD1" w14:textId="77777777" w:rsidR="00942D11" w:rsidRPr="00942D11" w:rsidRDefault="00942D11" w:rsidP="00942D11">
            <w:pPr>
              <w:spacing w:after="0" w:line="240" w:lineRule="auto"/>
              <w:jc w:val="right"/>
              <w:rPr>
                <w:rFonts w:eastAsia="Times New Roman" w:cs="Arial"/>
                <w:b/>
                <w:bCs/>
                <w:color w:val="53565A"/>
                <w:sz w:val="16"/>
                <w:szCs w:val="16"/>
                <w:lang w:eastAsia="en-AU"/>
              </w:rPr>
            </w:pPr>
            <w:r w:rsidRPr="00942D11">
              <w:rPr>
                <w:rFonts w:eastAsia="Times New Roman" w:cs="Arial"/>
                <w:b/>
                <w:bCs/>
                <w:color w:val="53565A"/>
                <w:sz w:val="16"/>
                <w:szCs w:val="16"/>
                <w:lang w:eastAsia="en-AU"/>
              </w:rPr>
              <w:t>2023–24</w:t>
            </w:r>
            <w:r w:rsidRPr="00942D11">
              <w:rPr>
                <w:rFonts w:eastAsia="Times New Roman" w:cs="Arial"/>
                <w:b/>
                <w:bCs/>
                <w:color w:val="53565A"/>
                <w:sz w:val="16"/>
                <w:szCs w:val="16"/>
                <w:lang w:eastAsia="en-AU"/>
              </w:rPr>
              <w:br/>
              <w:t>Ageing, aged and home care</w:t>
            </w:r>
          </w:p>
        </w:tc>
        <w:tc>
          <w:tcPr>
            <w:tcW w:w="972" w:type="dxa"/>
            <w:shd w:val="clear" w:color="auto" w:fill="auto"/>
            <w:hideMark/>
          </w:tcPr>
          <w:p w14:paraId="38F5CA92" w14:textId="77777777" w:rsidR="00942D11" w:rsidRPr="00942D11" w:rsidRDefault="00942D11" w:rsidP="00942D11">
            <w:pPr>
              <w:spacing w:after="0" w:line="240" w:lineRule="auto"/>
              <w:jc w:val="right"/>
              <w:rPr>
                <w:rFonts w:eastAsia="Times New Roman" w:cs="Arial"/>
                <w:b/>
                <w:bCs/>
                <w:color w:val="53565A"/>
                <w:sz w:val="16"/>
                <w:szCs w:val="16"/>
                <w:lang w:eastAsia="en-AU"/>
              </w:rPr>
            </w:pPr>
            <w:r w:rsidRPr="00942D11">
              <w:rPr>
                <w:rFonts w:eastAsia="Times New Roman" w:cs="Arial"/>
                <w:b/>
                <w:bCs/>
                <w:color w:val="53565A"/>
                <w:sz w:val="16"/>
                <w:szCs w:val="16"/>
                <w:lang w:eastAsia="en-AU"/>
              </w:rPr>
              <w:t>2023–24</w:t>
            </w:r>
            <w:r w:rsidRPr="00942D11">
              <w:rPr>
                <w:rFonts w:eastAsia="Times New Roman" w:cs="Arial"/>
                <w:b/>
                <w:bCs/>
                <w:color w:val="53565A"/>
                <w:sz w:val="16"/>
                <w:szCs w:val="16"/>
                <w:lang w:eastAsia="en-AU"/>
              </w:rPr>
              <w:br/>
              <w:t>Drugs services</w:t>
            </w:r>
          </w:p>
        </w:tc>
        <w:tc>
          <w:tcPr>
            <w:tcW w:w="972" w:type="dxa"/>
            <w:shd w:val="clear" w:color="auto" w:fill="auto"/>
            <w:hideMark/>
          </w:tcPr>
          <w:p w14:paraId="48690E1E" w14:textId="77777777" w:rsidR="00942D11" w:rsidRPr="00942D11" w:rsidRDefault="00942D11" w:rsidP="00942D11">
            <w:pPr>
              <w:spacing w:after="0" w:line="240" w:lineRule="auto"/>
              <w:jc w:val="right"/>
              <w:rPr>
                <w:rFonts w:eastAsia="Times New Roman" w:cs="Arial"/>
                <w:b/>
                <w:bCs/>
                <w:color w:val="53565A"/>
                <w:sz w:val="16"/>
                <w:szCs w:val="16"/>
                <w:lang w:eastAsia="en-AU"/>
              </w:rPr>
            </w:pPr>
            <w:r w:rsidRPr="00942D11">
              <w:rPr>
                <w:rFonts w:eastAsia="Times New Roman" w:cs="Arial"/>
                <w:b/>
                <w:bCs/>
                <w:color w:val="53565A"/>
                <w:sz w:val="16"/>
                <w:szCs w:val="16"/>
                <w:lang w:eastAsia="en-AU"/>
              </w:rPr>
              <w:t>2023–24</w:t>
            </w:r>
            <w:r w:rsidRPr="00942D11">
              <w:rPr>
                <w:rFonts w:eastAsia="Times New Roman" w:cs="Arial"/>
                <w:b/>
                <w:bCs/>
                <w:color w:val="53565A"/>
                <w:sz w:val="16"/>
                <w:szCs w:val="16"/>
                <w:lang w:eastAsia="en-AU"/>
              </w:rPr>
              <w:br/>
              <w:t>Mental health</w:t>
            </w:r>
          </w:p>
        </w:tc>
        <w:tc>
          <w:tcPr>
            <w:tcW w:w="972" w:type="dxa"/>
            <w:shd w:val="clear" w:color="auto" w:fill="auto"/>
            <w:hideMark/>
          </w:tcPr>
          <w:p w14:paraId="014F6EE4" w14:textId="77777777" w:rsidR="00942D11" w:rsidRPr="00942D11" w:rsidRDefault="00942D11" w:rsidP="00942D11">
            <w:pPr>
              <w:spacing w:after="0" w:line="240" w:lineRule="auto"/>
              <w:jc w:val="right"/>
              <w:rPr>
                <w:rFonts w:eastAsia="Times New Roman" w:cs="Arial"/>
                <w:b/>
                <w:bCs/>
                <w:color w:val="53565A"/>
                <w:sz w:val="16"/>
                <w:szCs w:val="16"/>
                <w:lang w:eastAsia="en-AU"/>
              </w:rPr>
            </w:pPr>
            <w:r w:rsidRPr="00942D11">
              <w:rPr>
                <w:rFonts w:eastAsia="Times New Roman" w:cs="Arial"/>
                <w:b/>
                <w:bCs/>
                <w:color w:val="53565A"/>
                <w:sz w:val="16"/>
                <w:szCs w:val="16"/>
                <w:lang w:eastAsia="en-AU"/>
              </w:rPr>
              <w:t>2023–24</w:t>
            </w:r>
            <w:r w:rsidRPr="00942D11">
              <w:rPr>
                <w:rFonts w:eastAsia="Times New Roman" w:cs="Arial"/>
                <w:b/>
                <w:bCs/>
                <w:color w:val="53565A"/>
                <w:sz w:val="16"/>
                <w:szCs w:val="16"/>
                <w:lang w:eastAsia="en-AU"/>
              </w:rPr>
              <w:br/>
              <w:t>Primary and dental health</w:t>
            </w:r>
          </w:p>
        </w:tc>
        <w:tc>
          <w:tcPr>
            <w:tcW w:w="972" w:type="dxa"/>
            <w:shd w:val="clear" w:color="auto" w:fill="auto"/>
            <w:hideMark/>
          </w:tcPr>
          <w:p w14:paraId="5F5DDA12" w14:textId="77777777" w:rsidR="00942D11" w:rsidRPr="00942D11" w:rsidRDefault="00942D11" w:rsidP="00942D11">
            <w:pPr>
              <w:spacing w:after="0" w:line="240" w:lineRule="auto"/>
              <w:jc w:val="right"/>
              <w:rPr>
                <w:rFonts w:eastAsia="Times New Roman" w:cs="Arial"/>
                <w:b/>
                <w:bCs/>
                <w:color w:val="53565A"/>
                <w:sz w:val="16"/>
                <w:szCs w:val="16"/>
                <w:lang w:eastAsia="en-AU"/>
              </w:rPr>
            </w:pPr>
            <w:r w:rsidRPr="00942D11">
              <w:rPr>
                <w:rFonts w:eastAsia="Times New Roman" w:cs="Arial"/>
                <w:b/>
                <w:bCs/>
                <w:color w:val="53565A"/>
                <w:sz w:val="16"/>
                <w:szCs w:val="16"/>
                <w:lang w:eastAsia="en-AU"/>
              </w:rPr>
              <w:t>2023–24</w:t>
            </w:r>
            <w:r w:rsidRPr="00942D11">
              <w:rPr>
                <w:rFonts w:eastAsia="Times New Roman" w:cs="Arial"/>
                <w:b/>
                <w:bCs/>
                <w:color w:val="53565A"/>
                <w:sz w:val="16"/>
                <w:szCs w:val="16"/>
                <w:lang w:eastAsia="en-AU"/>
              </w:rPr>
              <w:br/>
              <w:t>Public health</w:t>
            </w:r>
          </w:p>
        </w:tc>
        <w:tc>
          <w:tcPr>
            <w:tcW w:w="972" w:type="dxa"/>
            <w:shd w:val="clear" w:color="auto" w:fill="auto"/>
            <w:hideMark/>
          </w:tcPr>
          <w:p w14:paraId="2E83DC0D" w14:textId="77777777" w:rsidR="00942D11" w:rsidRPr="00942D11" w:rsidRDefault="00942D11" w:rsidP="00942D11">
            <w:pPr>
              <w:spacing w:after="0" w:line="240" w:lineRule="auto"/>
              <w:jc w:val="right"/>
              <w:rPr>
                <w:rFonts w:eastAsia="Times New Roman" w:cs="Arial"/>
                <w:b/>
                <w:bCs/>
                <w:color w:val="53565A"/>
                <w:sz w:val="16"/>
                <w:szCs w:val="16"/>
                <w:lang w:eastAsia="en-AU"/>
              </w:rPr>
            </w:pPr>
            <w:r w:rsidRPr="00942D11">
              <w:rPr>
                <w:rFonts w:eastAsia="Times New Roman" w:cs="Arial"/>
                <w:b/>
                <w:bCs/>
                <w:color w:val="53565A"/>
                <w:sz w:val="16"/>
                <w:szCs w:val="16"/>
                <w:lang w:eastAsia="en-AU"/>
              </w:rPr>
              <w:t>2023–24</w:t>
            </w:r>
            <w:r w:rsidRPr="00942D11">
              <w:rPr>
                <w:rFonts w:eastAsia="Times New Roman" w:cs="Arial"/>
                <w:b/>
                <w:bCs/>
                <w:color w:val="53565A"/>
                <w:sz w:val="16"/>
                <w:szCs w:val="16"/>
                <w:lang w:eastAsia="en-AU"/>
              </w:rPr>
              <w:br/>
              <w:t>Total</w:t>
            </w:r>
          </w:p>
        </w:tc>
      </w:tr>
      <w:tr w:rsidR="00942D11" w:rsidRPr="00BF0CAC" w14:paraId="17E468B1" w14:textId="77777777" w:rsidTr="00096B07">
        <w:trPr>
          <w:trHeight w:val="300"/>
        </w:trPr>
        <w:tc>
          <w:tcPr>
            <w:tcW w:w="1418" w:type="dxa"/>
            <w:noWrap/>
            <w:hideMark/>
          </w:tcPr>
          <w:p w14:paraId="24D53CF4" w14:textId="77777777" w:rsidR="00942D11" w:rsidRPr="00BF0CAC" w:rsidRDefault="00942D11" w:rsidP="003D68D1">
            <w:pPr>
              <w:spacing w:after="0" w:line="240" w:lineRule="auto"/>
              <w:rPr>
                <w:rFonts w:eastAsia="Times New Roman" w:cs="Arial"/>
                <w:color w:val="000000"/>
                <w:sz w:val="15"/>
                <w:szCs w:val="15"/>
                <w:lang w:eastAsia="en-AU"/>
              </w:rPr>
            </w:pPr>
            <w:r w:rsidRPr="00BF0CAC">
              <w:rPr>
                <w:rFonts w:eastAsia="Times New Roman" w:cs="Arial"/>
                <w:color w:val="000000"/>
                <w:sz w:val="15"/>
                <w:szCs w:val="15"/>
                <w:lang w:eastAsia="en-AU"/>
              </w:rPr>
              <w:t>Bairnsdale Regional Health Service</w:t>
            </w:r>
          </w:p>
        </w:tc>
        <w:tc>
          <w:tcPr>
            <w:tcW w:w="972" w:type="dxa"/>
            <w:noWrap/>
            <w:hideMark/>
          </w:tcPr>
          <w:p w14:paraId="23901510"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85,800</w:t>
            </w:r>
          </w:p>
        </w:tc>
        <w:tc>
          <w:tcPr>
            <w:tcW w:w="972" w:type="dxa"/>
            <w:noWrap/>
            <w:hideMark/>
          </w:tcPr>
          <w:p w14:paraId="6984D808"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1,372</w:t>
            </w:r>
          </w:p>
        </w:tc>
        <w:tc>
          <w:tcPr>
            <w:tcW w:w="972" w:type="dxa"/>
            <w:noWrap/>
            <w:hideMark/>
          </w:tcPr>
          <w:p w14:paraId="2860A737"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810</w:t>
            </w:r>
          </w:p>
        </w:tc>
        <w:tc>
          <w:tcPr>
            <w:tcW w:w="972" w:type="dxa"/>
            <w:noWrap/>
            <w:hideMark/>
          </w:tcPr>
          <w:p w14:paraId="1EFBA992"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37A50F8B"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236</w:t>
            </w:r>
          </w:p>
        </w:tc>
        <w:tc>
          <w:tcPr>
            <w:tcW w:w="972" w:type="dxa"/>
            <w:noWrap/>
            <w:hideMark/>
          </w:tcPr>
          <w:p w14:paraId="5252289A"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34EC855F"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88,218</w:t>
            </w:r>
          </w:p>
        </w:tc>
        <w:tc>
          <w:tcPr>
            <w:tcW w:w="972" w:type="dxa"/>
            <w:noWrap/>
            <w:hideMark/>
          </w:tcPr>
          <w:p w14:paraId="70C556CA"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86,954</w:t>
            </w:r>
          </w:p>
        </w:tc>
        <w:tc>
          <w:tcPr>
            <w:tcW w:w="972" w:type="dxa"/>
            <w:noWrap/>
            <w:hideMark/>
          </w:tcPr>
          <w:p w14:paraId="5D9F75F2"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1,334</w:t>
            </w:r>
          </w:p>
        </w:tc>
        <w:tc>
          <w:tcPr>
            <w:tcW w:w="972" w:type="dxa"/>
            <w:noWrap/>
            <w:hideMark/>
          </w:tcPr>
          <w:p w14:paraId="497CBAC7"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837</w:t>
            </w:r>
          </w:p>
        </w:tc>
        <w:tc>
          <w:tcPr>
            <w:tcW w:w="972" w:type="dxa"/>
            <w:noWrap/>
            <w:hideMark/>
          </w:tcPr>
          <w:p w14:paraId="5116336B"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5BBF6284"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236</w:t>
            </w:r>
          </w:p>
        </w:tc>
        <w:tc>
          <w:tcPr>
            <w:tcW w:w="972" w:type="dxa"/>
            <w:noWrap/>
            <w:hideMark/>
          </w:tcPr>
          <w:p w14:paraId="58334934"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428C3545"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89,360</w:t>
            </w:r>
          </w:p>
        </w:tc>
      </w:tr>
      <w:tr w:rsidR="00942D11" w:rsidRPr="00BF0CAC" w14:paraId="56E74CCF" w14:textId="77777777" w:rsidTr="00096B07">
        <w:trPr>
          <w:trHeight w:val="300"/>
        </w:trPr>
        <w:tc>
          <w:tcPr>
            <w:tcW w:w="1418" w:type="dxa"/>
            <w:noWrap/>
            <w:hideMark/>
          </w:tcPr>
          <w:p w14:paraId="309112DD" w14:textId="77777777" w:rsidR="00942D11" w:rsidRPr="00BF0CAC" w:rsidRDefault="00942D11" w:rsidP="003D68D1">
            <w:pPr>
              <w:spacing w:after="0" w:line="240" w:lineRule="auto"/>
              <w:rPr>
                <w:rFonts w:eastAsia="Times New Roman" w:cs="Arial"/>
                <w:color w:val="000000"/>
                <w:sz w:val="15"/>
                <w:szCs w:val="15"/>
                <w:lang w:eastAsia="en-AU"/>
              </w:rPr>
            </w:pPr>
            <w:r w:rsidRPr="00BF0CAC">
              <w:rPr>
                <w:rFonts w:eastAsia="Times New Roman" w:cs="Arial"/>
                <w:color w:val="000000"/>
                <w:sz w:val="15"/>
                <w:szCs w:val="15"/>
                <w:lang w:eastAsia="en-AU"/>
              </w:rPr>
              <w:t>Bass Coast Health</w:t>
            </w:r>
          </w:p>
        </w:tc>
        <w:tc>
          <w:tcPr>
            <w:tcW w:w="972" w:type="dxa"/>
            <w:noWrap/>
            <w:hideMark/>
          </w:tcPr>
          <w:p w14:paraId="488D637A"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83,330</w:t>
            </w:r>
          </w:p>
        </w:tc>
        <w:tc>
          <w:tcPr>
            <w:tcW w:w="972" w:type="dxa"/>
            <w:noWrap/>
            <w:hideMark/>
          </w:tcPr>
          <w:p w14:paraId="732E2C30"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1,753</w:t>
            </w:r>
          </w:p>
        </w:tc>
        <w:tc>
          <w:tcPr>
            <w:tcW w:w="972" w:type="dxa"/>
            <w:noWrap/>
            <w:hideMark/>
          </w:tcPr>
          <w:p w14:paraId="4D622AB8"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145</w:t>
            </w:r>
          </w:p>
        </w:tc>
        <w:tc>
          <w:tcPr>
            <w:tcW w:w="972" w:type="dxa"/>
            <w:noWrap/>
            <w:hideMark/>
          </w:tcPr>
          <w:p w14:paraId="4A0DA34B"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083E54E8"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2,363</w:t>
            </w:r>
          </w:p>
        </w:tc>
        <w:tc>
          <w:tcPr>
            <w:tcW w:w="972" w:type="dxa"/>
            <w:noWrap/>
            <w:hideMark/>
          </w:tcPr>
          <w:p w14:paraId="5A4C07E5"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31D7BE33"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87,591</w:t>
            </w:r>
          </w:p>
        </w:tc>
        <w:tc>
          <w:tcPr>
            <w:tcW w:w="972" w:type="dxa"/>
            <w:noWrap/>
            <w:hideMark/>
          </w:tcPr>
          <w:p w14:paraId="3CA8747B"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97,025</w:t>
            </w:r>
          </w:p>
        </w:tc>
        <w:tc>
          <w:tcPr>
            <w:tcW w:w="972" w:type="dxa"/>
            <w:noWrap/>
            <w:hideMark/>
          </w:tcPr>
          <w:p w14:paraId="2589773D"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1,817</w:t>
            </w:r>
          </w:p>
        </w:tc>
        <w:tc>
          <w:tcPr>
            <w:tcW w:w="972" w:type="dxa"/>
            <w:noWrap/>
            <w:hideMark/>
          </w:tcPr>
          <w:p w14:paraId="25B02FDC"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148</w:t>
            </w:r>
          </w:p>
        </w:tc>
        <w:tc>
          <w:tcPr>
            <w:tcW w:w="972" w:type="dxa"/>
            <w:noWrap/>
            <w:hideMark/>
          </w:tcPr>
          <w:p w14:paraId="7328D672"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00B7D738"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2,349</w:t>
            </w:r>
          </w:p>
        </w:tc>
        <w:tc>
          <w:tcPr>
            <w:tcW w:w="972" w:type="dxa"/>
            <w:noWrap/>
            <w:hideMark/>
          </w:tcPr>
          <w:p w14:paraId="27C81FF0"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437E148D"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101,338</w:t>
            </w:r>
          </w:p>
        </w:tc>
      </w:tr>
      <w:tr w:rsidR="00942D11" w:rsidRPr="00BF0CAC" w14:paraId="4D09258F" w14:textId="77777777" w:rsidTr="00096B07">
        <w:trPr>
          <w:trHeight w:val="300"/>
        </w:trPr>
        <w:tc>
          <w:tcPr>
            <w:tcW w:w="1418" w:type="dxa"/>
            <w:noWrap/>
            <w:hideMark/>
          </w:tcPr>
          <w:p w14:paraId="027A92CB" w14:textId="77777777" w:rsidR="00942D11" w:rsidRPr="00BF0CAC" w:rsidRDefault="00942D11" w:rsidP="003D68D1">
            <w:pPr>
              <w:spacing w:after="0" w:line="240" w:lineRule="auto"/>
              <w:rPr>
                <w:rFonts w:eastAsia="Times New Roman" w:cs="Arial"/>
                <w:color w:val="000000"/>
                <w:sz w:val="15"/>
                <w:szCs w:val="15"/>
                <w:lang w:eastAsia="en-AU"/>
              </w:rPr>
            </w:pPr>
            <w:r w:rsidRPr="00BF0CAC">
              <w:rPr>
                <w:rFonts w:eastAsia="Times New Roman" w:cs="Arial"/>
                <w:color w:val="000000"/>
                <w:sz w:val="15"/>
                <w:szCs w:val="15"/>
                <w:lang w:eastAsia="en-AU"/>
              </w:rPr>
              <w:t>Benalla Health</w:t>
            </w:r>
          </w:p>
        </w:tc>
        <w:tc>
          <w:tcPr>
            <w:tcW w:w="972" w:type="dxa"/>
            <w:noWrap/>
            <w:hideMark/>
          </w:tcPr>
          <w:p w14:paraId="335E374F"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22,309</w:t>
            </w:r>
          </w:p>
        </w:tc>
        <w:tc>
          <w:tcPr>
            <w:tcW w:w="972" w:type="dxa"/>
            <w:noWrap/>
            <w:hideMark/>
          </w:tcPr>
          <w:p w14:paraId="407CA911"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1,272</w:t>
            </w:r>
          </w:p>
        </w:tc>
        <w:tc>
          <w:tcPr>
            <w:tcW w:w="972" w:type="dxa"/>
            <w:noWrap/>
            <w:hideMark/>
          </w:tcPr>
          <w:p w14:paraId="096EDA14"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 </w:t>
            </w:r>
            <w:r>
              <w:rPr>
                <w:rFonts w:eastAsia="Times New Roman" w:cs="Arial"/>
                <w:color w:val="000000"/>
                <w:sz w:val="15"/>
                <w:szCs w:val="15"/>
                <w:lang w:eastAsia="en-AU"/>
              </w:rPr>
              <w:t>0</w:t>
            </w:r>
          </w:p>
        </w:tc>
        <w:tc>
          <w:tcPr>
            <w:tcW w:w="972" w:type="dxa"/>
            <w:noWrap/>
            <w:hideMark/>
          </w:tcPr>
          <w:p w14:paraId="7CB0F021"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2AF90B0A"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1,265</w:t>
            </w:r>
          </w:p>
        </w:tc>
        <w:tc>
          <w:tcPr>
            <w:tcW w:w="972" w:type="dxa"/>
            <w:noWrap/>
            <w:hideMark/>
          </w:tcPr>
          <w:p w14:paraId="2F294B96"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5E4581DF"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24,845</w:t>
            </w:r>
          </w:p>
        </w:tc>
        <w:tc>
          <w:tcPr>
            <w:tcW w:w="972" w:type="dxa"/>
            <w:noWrap/>
            <w:hideMark/>
          </w:tcPr>
          <w:p w14:paraId="2B9433AF"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22,863</w:t>
            </w:r>
          </w:p>
        </w:tc>
        <w:tc>
          <w:tcPr>
            <w:tcW w:w="972" w:type="dxa"/>
            <w:noWrap/>
            <w:hideMark/>
          </w:tcPr>
          <w:p w14:paraId="6F8F9B16"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1,308</w:t>
            </w:r>
          </w:p>
        </w:tc>
        <w:tc>
          <w:tcPr>
            <w:tcW w:w="972" w:type="dxa"/>
            <w:noWrap/>
            <w:hideMark/>
          </w:tcPr>
          <w:p w14:paraId="733D8503"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1A24C532"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0FADC172"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1,242</w:t>
            </w:r>
          </w:p>
        </w:tc>
        <w:tc>
          <w:tcPr>
            <w:tcW w:w="972" w:type="dxa"/>
            <w:noWrap/>
            <w:hideMark/>
          </w:tcPr>
          <w:p w14:paraId="17E2E152"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75EAD563"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25,414</w:t>
            </w:r>
          </w:p>
        </w:tc>
      </w:tr>
      <w:tr w:rsidR="00942D11" w:rsidRPr="00BF0CAC" w14:paraId="7B44F055" w14:textId="77777777" w:rsidTr="00096B07">
        <w:trPr>
          <w:trHeight w:val="300"/>
        </w:trPr>
        <w:tc>
          <w:tcPr>
            <w:tcW w:w="1418" w:type="dxa"/>
            <w:noWrap/>
            <w:hideMark/>
          </w:tcPr>
          <w:p w14:paraId="72F2BCAF" w14:textId="77777777" w:rsidR="00942D11" w:rsidRPr="00BF0CAC" w:rsidRDefault="00942D11" w:rsidP="003D68D1">
            <w:pPr>
              <w:spacing w:after="0" w:line="240" w:lineRule="auto"/>
              <w:rPr>
                <w:rFonts w:eastAsia="Times New Roman" w:cs="Arial"/>
                <w:color w:val="000000"/>
                <w:sz w:val="15"/>
                <w:szCs w:val="15"/>
                <w:lang w:eastAsia="en-AU"/>
              </w:rPr>
            </w:pPr>
            <w:r w:rsidRPr="00BF0CAC">
              <w:rPr>
                <w:rFonts w:eastAsia="Times New Roman" w:cs="Arial"/>
                <w:color w:val="000000"/>
                <w:sz w:val="15"/>
                <w:szCs w:val="15"/>
                <w:lang w:eastAsia="en-AU"/>
              </w:rPr>
              <w:t>Central Gippsland Health Service</w:t>
            </w:r>
          </w:p>
        </w:tc>
        <w:tc>
          <w:tcPr>
            <w:tcW w:w="972" w:type="dxa"/>
            <w:noWrap/>
            <w:hideMark/>
          </w:tcPr>
          <w:p w14:paraId="653D6854"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72,514</w:t>
            </w:r>
          </w:p>
        </w:tc>
        <w:tc>
          <w:tcPr>
            <w:tcW w:w="972" w:type="dxa"/>
            <w:noWrap/>
            <w:hideMark/>
          </w:tcPr>
          <w:p w14:paraId="7FD847F0"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3,573</w:t>
            </w:r>
          </w:p>
        </w:tc>
        <w:tc>
          <w:tcPr>
            <w:tcW w:w="972" w:type="dxa"/>
            <w:noWrap/>
            <w:hideMark/>
          </w:tcPr>
          <w:p w14:paraId="274CB1D5"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586</w:t>
            </w:r>
          </w:p>
        </w:tc>
        <w:tc>
          <w:tcPr>
            <w:tcW w:w="972" w:type="dxa"/>
            <w:noWrap/>
            <w:hideMark/>
          </w:tcPr>
          <w:p w14:paraId="444F04BB"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2675574C"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1,876</w:t>
            </w:r>
          </w:p>
        </w:tc>
        <w:tc>
          <w:tcPr>
            <w:tcW w:w="972" w:type="dxa"/>
            <w:noWrap/>
            <w:hideMark/>
          </w:tcPr>
          <w:p w14:paraId="7EA2BE85"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4473F232"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78,549</w:t>
            </w:r>
          </w:p>
        </w:tc>
        <w:tc>
          <w:tcPr>
            <w:tcW w:w="972" w:type="dxa"/>
            <w:noWrap/>
            <w:hideMark/>
          </w:tcPr>
          <w:p w14:paraId="2F1F4800"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73,595</w:t>
            </w:r>
          </w:p>
        </w:tc>
        <w:tc>
          <w:tcPr>
            <w:tcW w:w="972" w:type="dxa"/>
            <w:noWrap/>
            <w:hideMark/>
          </w:tcPr>
          <w:p w14:paraId="5E19E7B0"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3,663</w:t>
            </w:r>
          </w:p>
        </w:tc>
        <w:tc>
          <w:tcPr>
            <w:tcW w:w="972" w:type="dxa"/>
            <w:noWrap/>
            <w:hideMark/>
          </w:tcPr>
          <w:p w14:paraId="22DA33EA"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605</w:t>
            </w:r>
          </w:p>
        </w:tc>
        <w:tc>
          <w:tcPr>
            <w:tcW w:w="972" w:type="dxa"/>
            <w:noWrap/>
            <w:hideMark/>
          </w:tcPr>
          <w:p w14:paraId="28065DD8"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174AE609"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1,889</w:t>
            </w:r>
          </w:p>
        </w:tc>
        <w:tc>
          <w:tcPr>
            <w:tcW w:w="972" w:type="dxa"/>
            <w:noWrap/>
            <w:hideMark/>
          </w:tcPr>
          <w:p w14:paraId="2F67B472"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388256B3"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79,752</w:t>
            </w:r>
          </w:p>
        </w:tc>
      </w:tr>
      <w:tr w:rsidR="00942D11" w:rsidRPr="00BF0CAC" w14:paraId="3B48DA60" w14:textId="77777777" w:rsidTr="00096B07">
        <w:trPr>
          <w:trHeight w:val="300"/>
        </w:trPr>
        <w:tc>
          <w:tcPr>
            <w:tcW w:w="1418" w:type="dxa"/>
            <w:noWrap/>
            <w:hideMark/>
          </w:tcPr>
          <w:p w14:paraId="1EC4EEE2" w14:textId="77777777" w:rsidR="00942D11" w:rsidRPr="00BF0CAC" w:rsidRDefault="00942D11" w:rsidP="003D68D1">
            <w:pPr>
              <w:spacing w:after="0" w:line="240" w:lineRule="auto"/>
              <w:rPr>
                <w:rFonts w:eastAsia="Times New Roman" w:cs="Arial"/>
                <w:color w:val="000000"/>
                <w:sz w:val="15"/>
                <w:szCs w:val="15"/>
                <w:lang w:eastAsia="en-AU"/>
              </w:rPr>
            </w:pPr>
            <w:r w:rsidRPr="00BF0CAC">
              <w:rPr>
                <w:rFonts w:eastAsia="Times New Roman" w:cs="Arial"/>
                <w:color w:val="000000"/>
                <w:sz w:val="15"/>
                <w:szCs w:val="15"/>
                <w:lang w:eastAsia="en-AU"/>
              </w:rPr>
              <w:t>Colac Area Health</w:t>
            </w:r>
          </w:p>
        </w:tc>
        <w:tc>
          <w:tcPr>
            <w:tcW w:w="972" w:type="dxa"/>
            <w:noWrap/>
            <w:hideMark/>
          </w:tcPr>
          <w:p w14:paraId="040D0D47"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35,290</w:t>
            </w:r>
          </w:p>
        </w:tc>
        <w:tc>
          <w:tcPr>
            <w:tcW w:w="972" w:type="dxa"/>
            <w:noWrap/>
            <w:hideMark/>
          </w:tcPr>
          <w:p w14:paraId="03C3009D"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2,337</w:t>
            </w:r>
          </w:p>
        </w:tc>
        <w:tc>
          <w:tcPr>
            <w:tcW w:w="972" w:type="dxa"/>
            <w:noWrap/>
            <w:hideMark/>
          </w:tcPr>
          <w:p w14:paraId="6AFB33C4"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9</w:t>
            </w:r>
          </w:p>
        </w:tc>
        <w:tc>
          <w:tcPr>
            <w:tcW w:w="972" w:type="dxa"/>
            <w:noWrap/>
            <w:hideMark/>
          </w:tcPr>
          <w:p w14:paraId="41FDD0E7"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4143FA92"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693</w:t>
            </w:r>
          </w:p>
        </w:tc>
        <w:tc>
          <w:tcPr>
            <w:tcW w:w="972" w:type="dxa"/>
            <w:noWrap/>
            <w:hideMark/>
          </w:tcPr>
          <w:p w14:paraId="67F085E8"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114E1171"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38,330</w:t>
            </w:r>
          </w:p>
        </w:tc>
        <w:tc>
          <w:tcPr>
            <w:tcW w:w="972" w:type="dxa"/>
            <w:noWrap/>
            <w:hideMark/>
          </w:tcPr>
          <w:p w14:paraId="7AFFCEB3"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36,402</w:t>
            </w:r>
          </w:p>
        </w:tc>
        <w:tc>
          <w:tcPr>
            <w:tcW w:w="972" w:type="dxa"/>
            <w:noWrap/>
            <w:hideMark/>
          </w:tcPr>
          <w:p w14:paraId="42A9A123"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2,381</w:t>
            </w:r>
          </w:p>
        </w:tc>
        <w:tc>
          <w:tcPr>
            <w:tcW w:w="972" w:type="dxa"/>
            <w:noWrap/>
            <w:hideMark/>
          </w:tcPr>
          <w:p w14:paraId="00979C27"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10</w:t>
            </w:r>
          </w:p>
        </w:tc>
        <w:tc>
          <w:tcPr>
            <w:tcW w:w="972" w:type="dxa"/>
            <w:noWrap/>
            <w:hideMark/>
          </w:tcPr>
          <w:p w14:paraId="534E2EE0"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796935BE"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680</w:t>
            </w:r>
          </w:p>
        </w:tc>
        <w:tc>
          <w:tcPr>
            <w:tcW w:w="972" w:type="dxa"/>
            <w:noWrap/>
            <w:hideMark/>
          </w:tcPr>
          <w:p w14:paraId="543FB4AE"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2B035E64"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39,473</w:t>
            </w:r>
          </w:p>
        </w:tc>
      </w:tr>
      <w:tr w:rsidR="00942D11" w:rsidRPr="00BF0CAC" w14:paraId="17A3423F" w14:textId="77777777" w:rsidTr="00096B07">
        <w:trPr>
          <w:trHeight w:val="300"/>
        </w:trPr>
        <w:tc>
          <w:tcPr>
            <w:tcW w:w="1418" w:type="dxa"/>
            <w:noWrap/>
            <w:hideMark/>
          </w:tcPr>
          <w:p w14:paraId="74EE699E" w14:textId="77777777" w:rsidR="00942D11" w:rsidRPr="00BF0CAC" w:rsidRDefault="00942D11" w:rsidP="003D68D1">
            <w:pPr>
              <w:spacing w:after="0" w:line="240" w:lineRule="auto"/>
              <w:rPr>
                <w:rFonts w:eastAsia="Times New Roman" w:cs="Arial"/>
                <w:color w:val="000000"/>
                <w:sz w:val="15"/>
                <w:szCs w:val="15"/>
                <w:lang w:eastAsia="en-AU"/>
              </w:rPr>
            </w:pPr>
            <w:r w:rsidRPr="00BF0CAC">
              <w:rPr>
                <w:rFonts w:eastAsia="Times New Roman" w:cs="Arial"/>
                <w:color w:val="000000"/>
                <w:sz w:val="15"/>
                <w:szCs w:val="15"/>
                <w:lang w:eastAsia="en-AU"/>
              </w:rPr>
              <w:t>Dhelkaya Health</w:t>
            </w:r>
          </w:p>
        </w:tc>
        <w:tc>
          <w:tcPr>
            <w:tcW w:w="972" w:type="dxa"/>
            <w:noWrap/>
            <w:hideMark/>
          </w:tcPr>
          <w:p w14:paraId="7956BCF1"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33,955</w:t>
            </w:r>
          </w:p>
        </w:tc>
        <w:tc>
          <w:tcPr>
            <w:tcW w:w="972" w:type="dxa"/>
            <w:noWrap/>
            <w:hideMark/>
          </w:tcPr>
          <w:p w14:paraId="0F9B7525"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3,903</w:t>
            </w:r>
          </w:p>
        </w:tc>
        <w:tc>
          <w:tcPr>
            <w:tcW w:w="972" w:type="dxa"/>
            <w:noWrap/>
            <w:hideMark/>
          </w:tcPr>
          <w:p w14:paraId="59E9CF34"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79BED1A8"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287E1D15"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976</w:t>
            </w:r>
          </w:p>
        </w:tc>
        <w:tc>
          <w:tcPr>
            <w:tcW w:w="972" w:type="dxa"/>
            <w:noWrap/>
            <w:hideMark/>
          </w:tcPr>
          <w:p w14:paraId="092E7CA2"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577009B3"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38,834</w:t>
            </w:r>
          </w:p>
        </w:tc>
        <w:tc>
          <w:tcPr>
            <w:tcW w:w="972" w:type="dxa"/>
            <w:noWrap/>
            <w:hideMark/>
          </w:tcPr>
          <w:p w14:paraId="0030F05F"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35,198</w:t>
            </w:r>
          </w:p>
        </w:tc>
        <w:tc>
          <w:tcPr>
            <w:tcW w:w="972" w:type="dxa"/>
            <w:noWrap/>
            <w:hideMark/>
          </w:tcPr>
          <w:p w14:paraId="708225E7"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3,996</w:t>
            </w:r>
          </w:p>
        </w:tc>
        <w:tc>
          <w:tcPr>
            <w:tcW w:w="972" w:type="dxa"/>
            <w:noWrap/>
            <w:hideMark/>
          </w:tcPr>
          <w:p w14:paraId="4BF5145E"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141B2F58"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71F40A99"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940</w:t>
            </w:r>
          </w:p>
        </w:tc>
        <w:tc>
          <w:tcPr>
            <w:tcW w:w="972" w:type="dxa"/>
            <w:noWrap/>
            <w:hideMark/>
          </w:tcPr>
          <w:p w14:paraId="3A47824C"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645E7B0B"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40,135</w:t>
            </w:r>
          </w:p>
        </w:tc>
      </w:tr>
      <w:tr w:rsidR="00942D11" w:rsidRPr="00BF0CAC" w14:paraId="6983360C" w14:textId="77777777" w:rsidTr="00096B07">
        <w:trPr>
          <w:trHeight w:val="300"/>
        </w:trPr>
        <w:tc>
          <w:tcPr>
            <w:tcW w:w="1418" w:type="dxa"/>
            <w:noWrap/>
            <w:hideMark/>
          </w:tcPr>
          <w:p w14:paraId="6D3117EB" w14:textId="77777777" w:rsidR="00942D11" w:rsidRPr="00BF0CAC" w:rsidRDefault="00942D11" w:rsidP="003D68D1">
            <w:pPr>
              <w:spacing w:after="0" w:line="240" w:lineRule="auto"/>
              <w:rPr>
                <w:rFonts w:eastAsia="Times New Roman" w:cs="Arial"/>
                <w:color w:val="000000"/>
                <w:sz w:val="15"/>
                <w:szCs w:val="15"/>
                <w:lang w:eastAsia="en-AU"/>
              </w:rPr>
            </w:pPr>
            <w:r w:rsidRPr="00BF0CAC">
              <w:rPr>
                <w:rFonts w:eastAsia="Times New Roman" w:cs="Arial"/>
                <w:color w:val="000000"/>
                <w:sz w:val="15"/>
                <w:szCs w:val="15"/>
                <w:lang w:eastAsia="en-AU"/>
              </w:rPr>
              <w:t>East Grampians Health Service</w:t>
            </w:r>
          </w:p>
        </w:tc>
        <w:tc>
          <w:tcPr>
            <w:tcW w:w="972" w:type="dxa"/>
            <w:noWrap/>
            <w:hideMark/>
          </w:tcPr>
          <w:p w14:paraId="0F6F7295"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27,704</w:t>
            </w:r>
          </w:p>
        </w:tc>
        <w:tc>
          <w:tcPr>
            <w:tcW w:w="972" w:type="dxa"/>
            <w:noWrap/>
            <w:hideMark/>
          </w:tcPr>
          <w:p w14:paraId="418B7A4C"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1,856</w:t>
            </w:r>
          </w:p>
        </w:tc>
        <w:tc>
          <w:tcPr>
            <w:tcW w:w="972" w:type="dxa"/>
            <w:noWrap/>
            <w:hideMark/>
          </w:tcPr>
          <w:p w14:paraId="1EDF89FB"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00BD29E5"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73FCE325"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937</w:t>
            </w:r>
          </w:p>
        </w:tc>
        <w:tc>
          <w:tcPr>
            <w:tcW w:w="972" w:type="dxa"/>
            <w:noWrap/>
            <w:hideMark/>
          </w:tcPr>
          <w:p w14:paraId="47A3020C"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53925243"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30,498</w:t>
            </w:r>
          </w:p>
        </w:tc>
        <w:tc>
          <w:tcPr>
            <w:tcW w:w="972" w:type="dxa"/>
            <w:noWrap/>
            <w:hideMark/>
          </w:tcPr>
          <w:p w14:paraId="2F6AAE41"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28,959</w:t>
            </w:r>
          </w:p>
        </w:tc>
        <w:tc>
          <w:tcPr>
            <w:tcW w:w="972" w:type="dxa"/>
            <w:noWrap/>
            <w:hideMark/>
          </w:tcPr>
          <w:p w14:paraId="2AABCC41"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1,887</w:t>
            </w:r>
          </w:p>
        </w:tc>
        <w:tc>
          <w:tcPr>
            <w:tcW w:w="972" w:type="dxa"/>
            <w:noWrap/>
            <w:hideMark/>
          </w:tcPr>
          <w:p w14:paraId="1BC7AEE2"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568CE2B3"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75E1DB9E"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921</w:t>
            </w:r>
          </w:p>
        </w:tc>
        <w:tc>
          <w:tcPr>
            <w:tcW w:w="972" w:type="dxa"/>
            <w:noWrap/>
            <w:hideMark/>
          </w:tcPr>
          <w:p w14:paraId="74B3407E"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1BBE2AF8"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31,766</w:t>
            </w:r>
          </w:p>
        </w:tc>
      </w:tr>
      <w:tr w:rsidR="00942D11" w:rsidRPr="00BF0CAC" w14:paraId="34DC0F40" w14:textId="77777777" w:rsidTr="00096B07">
        <w:trPr>
          <w:trHeight w:val="300"/>
        </w:trPr>
        <w:tc>
          <w:tcPr>
            <w:tcW w:w="1418" w:type="dxa"/>
            <w:noWrap/>
            <w:hideMark/>
          </w:tcPr>
          <w:p w14:paraId="69BD4EE9" w14:textId="77777777" w:rsidR="00942D11" w:rsidRPr="00BF0CAC" w:rsidRDefault="00942D11" w:rsidP="003D68D1">
            <w:pPr>
              <w:spacing w:after="0" w:line="240" w:lineRule="auto"/>
              <w:rPr>
                <w:rFonts w:eastAsia="Times New Roman" w:cs="Arial"/>
                <w:color w:val="000000"/>
                <w:sz w:val="15"/>
                <w:szCs w:val="15"/>
                <w:lang w:eastAsia="en-AU"/>
              </w:rPr>
            </w:pPr>
            <w:r w:rsidRPr="00BF0CAC">
              <w:rPr>
                <w:rFonts w:eastAsia="Times New Roman" w:cs="Arial"/>
                <w:color w:val="000000"/>
                <w:sz w:val="15"/>
                <w:szCs w:val="15"/>
                <w:lang w:eastAsia="en-AU"/>
              </w:rPr>
              <w:t>Echuca Regional Health</w:t>
            </w:r>
          </w:p>
        </w:tc>
        <w:tc>
          <w:tcPr>
            <w:tcW w:w="972" w:type="dxa"/>
            <w:noWrap/>
            <w:hideMark/>
          </w:tcPr>
          <w:p w14:paraId="1E8937B5"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77,883</w:t>
            </w:r>
          </w:p>
        </w:tc>
        <w:tc>
          <w:tcPr>
            <w:tcW w:w="972" w:type="dxa"/>
            <w:noWrap/>
            <w:hideMark/>
          </w:tcPr>
          <w:p w14:paraId="112AE649"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2,138</w:t>
            </w:r>
          </w:p>
        </w:tc>
        <w:tc>
          <w:tcPr>
            <w:tcW w:w="972" w:type="dxa"/>
            <w:noWrap/>
            <w:hideMark/>
          </w:tcPr>
          <w:p w14:paraId="35D13598"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3601CF1A"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7E72EBD6"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1,065</w:t>
            </w:r>
          </w:p>
        </w:tc>
        <w:tc>
          <w:tcPr>
            <w:tcW w:w="972" w:type="dxa"/>
            <w:noWrap/>
            <w:hideMark/>
          </w:tcPr>
          <w:p w14:paraId="19CE7751"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20C41A98"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81,086</w:t>
            </w:r>
          </w:p>
        </w:tc>
        <w:tc>
          <w:tcPr>
            <w:tcW w:w="972" w:type="dxa"/>
            <w:noWrap/>
            <w:hideMark/>
          </w:tcPr>
          <w:p w14:paraId="1E3D0D97"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80,449</w:t>
            </w:r>
          </w:p>
        </w:tc>
        <w:tc>
          <w:tcPr>
            <w:tcW w:w="972" w:type="dxa"/>
            <w:noWrap/>
            <w:hideMark/>
          </w:tcPr>
          <w:p w14:paraId="273F2190"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2,180</w:t>
            </w:r>
          </w:p>
        </w:tc>
        <w:tc>
          <w:tcPr>
            <w:tcW w:w="972" w:type="dxa"/>
            <w:noWrap/>
            <w:hideMark/>
          </w:tcPr>
          <w:p w14:paraId="3BF764A2"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1CDC7418"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505E7D02"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1,047</w:t>
            </w:r>
          </w:p>
        </w:tc>
        <w:tc>
          <w:tcPr>
            <w:tcW w:w="972" w:type="dxa"/>
            <w:noWrap/>
            <w:hideMark/>
          </w:tcPr>
          <w:p w14:paraId="53EE89B8"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01264970"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83,676</w:t>
            </w:r>
          </w:p>
        </w:tc>
      </w:tr>
      <w:tr w:rsidR="00942D11" w:rsidRPr="00BF0CAC" w14:paraId="141CEA6B" w14:textId="77777777" w:rsidTr="00096B07">
        <w:trPr>
          <w:trHeight w:val="300"/>
        </w:trPr>
        <w:tc>
          <w:tcPr>
            <w:tcW w:w="1418" w:type="dxa"/>
            <w:noWrap/>
            <w:hideMark/>
          </w:tcPr>
          <w:p w14:paraId="7941E19D" w14:textId="77777777" w:rsidR="00942D11" w:rsidRPr="00BF0CAC" w:rsidRDefault="00942D11" w:rsidP="003D68D1">
            <w:pPr>
              <w:spacing w:after="0" w:line="240" w:lineRule="auto"/>
              <w:rPr>
                <w:rFonts w:eastAsia="Times New Roman" w:cs="Arial"/>
                <w:color w:val="000000"/>
                <w:sz w:val="15"/>
                <w:szCs w:val="15"/>
                <w:lang w:eastAsia="en-AU"/>
              </w:rPr>
            </w:pPr>
            <w:r w:rsidRPr="00BF0CAC">
              <w:rPr>
                <w:rFonts w:eastAsia="Times New Roman" w:cs="Arial"/>
                <w:color w:val="000000"/>
                <w:sz w:val="15"/>
                <w:szCs w:val="15"/>
                <w:lang w:eastAsia="en-AU"/>
              </w:rPr>
              <w:lastRenderedPageBreak/>
              <w:t>Gippsland Southern Health Service</w:t>
            </w:r>
          </w:p>
        </w:tc>
        <w:tc>
          <w:tcPr>
            <w:tcW w:w="972" w:type="dxa"/>
            <w:noWrap/>
            <w:hideMark/>
          </w:tcPr>
          <w:p w14:paraId="6F7947CB"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24,799</w:t>
            </w:r>
          </w:p>
        </w:tc>
        <w:tc>
          <w:tcPr>
            <w:tcW w:w="972" w:type="dxa"/>
            <w:noWrap/>
            <w:hideMark/>
          </w:tcPr>
          <w:p w14:paraId="1AC433CE"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2,574</w:t>
            </w:r>
          </w:p>
        </w:tc>
        <w:tc>
          <w:tcPr>
            <w:tcW w:w="972" w:type="dxa"/>
            <w:noWrap/>
            <w:hideMark/>
          </w:tcPr>
          <w:p w14:paraId="74041F74"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216</w:t>
            </w:r>
          </w:p>
        </w:tc>
        <w:tc>
          <w:tcPr>
            <w:tcW w:w="972" w:type="dxa"/>
            <w:noWrap/>
            <w:hideMark/>
          </w:tcPr>
          <w:p w14:paraId="5D379921"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38FA67B9"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438</w:t>
            </w:r>
          </w:p>
        </w:tc>
        <w:tc>
          <w:tcPr>
            <w:tcW w:w="972" w:type="dxa"/>
            <w:noWrap/>
            <w:hideMark/>
          </w:tcPr>
          <w:p w14:paraId="7969EAC9"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6F612544"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28,027</w:t>
            </w:r>
          </w:p>
        </w:tc>
        <w:tc>
          <w:tcPr>
            <w:tcW w:w="972" w:type="dxa"/>
            <w:noWrap/>
            <w:hideMark/>
          </w:tcPr>
          <w:p w14:paraId="7CDF9278"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25,501</w:t>
            </w:r>
          </w:p>
        </w:tc>
        <w:tc>
          <w:tcPr>
            <w:tcW w:w="972" w:type="dxa"/>
            <w:noWrap/>
            <w:hideMark/>
          </w:tcPr>
          <w:p w14:paraId="2802EDAC"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2,628</w:t>
            </w:r>
          </w:p>
        </w:tc>
        <w:tc>
          <w:tcPr>
            <w:tcW w:w="972" w:type="dxa"/>
            <w:noWrap/>
            <w:hideMark/>
          </w:tcPr>
          <w:p w14:paraId="13649E81"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223</w:t>
            </w:r>
          </w:p>
        </w:tc>
        <w:tc>
          <w:tcPr>
            <w:tcW w:w="972" w:type="dxa"/>
            <w:noWrap/>
            <w:hideMark/>
          </w:tcPr>
          <w:p w14:paraId="16216520"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1A314130"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432</w:t>
            </w:r>
          </w:p>
        </w:tc>
        <w:tc>
          <w:tcPr>
            <w:tcW w:w="972" w:type="dxa"/>
            <w:noWrap/>
            <w:hideMark/>
          </w:tcPr>
          <w:p w14:paraId="6E9E89A1"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5312D25C"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28,784</w:t>
            </w:r>
          </w:p>
        </w:tc>
      </w:tr>
      <w:tr w:rsidR="00942D11" w:rsidRPr="00BF0CAC" w14:paraId="4E6E4ACB" w14:textId="77777777" w:rsidTr="00096B07">
        <w:trPr>
          <w:trHeight w:val="300"/>
        </w:trPr>
        <w:tc>
          <w:tcPr>
            <w:tcW w:w="1418" w:type="dxa"/>
            <w:noWrap/>
            <w:hideMark/>
          </w:tcPr>
          <w:p w14:paraId="3459B9ED" w14:textId="77777777" w:rsidR="00942D11" w:rsidRPr="00BF0CAC" w:rsidRDefault="00942D11" w:rsidP="003D68D1">
            <w:pPr>
              <w:spacing w:after="0" w:line="240" w:lineRule="auto"/>
              <w:rPr>
                <w:rFonts w:eastAsia="Times New Roman" w:cs="Arial"/>
                <w:color w:val="000000"/>
                <w:sz w:val="15"/>
                <w:szCs w:val="15"/>
                <w:lang w:eastAsia="en-AU"/>
              </w:rPr>
            </w:pPr>
            <w:r w:rsidRPr="00BF0CAC">
              <w:rPr>
                <w:rFonts w:eastAsia="Times New Roman" w:cs="Arial"/>
                <w:color w:val="000000"/>
                <w:sz w:val="15"/>
                <w:szCs w:val="15"/>
                <w:lang w:eastAsia="en-AU"/>
              </w:rPr>
              <w:t>Kyabram District Health Service</w:t>
            </w:r>
          </w:p>
        </w:tc>
        <w:tc>
          <w:tcPr>
            <w:tcW w:w="972" w:type="dxa"/>
            <w:noWrap/>
            <w:hideMark/>
          </w:tcPr>
          <w:p w14:paraId="713E95A2"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17,814</w:t>
            </w:r>
          </w:p>
        </w:tc>
        <w:tc>
          <w:tcPr>
            <w:tcW w:w="972" w:type="dxa"/>
            <w:noWrap/>
            <w:hideMark/>
          </w:tcPr>
          <w:p w14:paraId="08FF4E35"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1,488</w:t>
            </w:r>
          </w:p>
        </w:tc>
        <w:tc>
          <w:tcPr>
            <w:tcW w:w="972" w:type="dxa"/>
            <w:noWrap/>
            <w:hideMark/>
          </w:tcPr>
          <w:p w14:paraId="4567FF86"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41C2A154"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62B3F1B3"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1,474</w:t>
            </w:r>
          </w:p>
        </w:tc>
        <w:tc>
          <w:tcPr>
            <w:tcW w:w="972" w:type="dxa"/>
            <w:noWrap/>
            <w:hideMark/>
          </w:tcPr>
          <w:p w14:paraId="2C4C463B"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052F15FC"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20,776</w:t>
            </w:r>
          </w:p>
        </w:tc>
        <w:tc>
          <w:tcPr>
            <w:tcW w:w="972" w:type="dxa"/>
            <w:noWrap/>
            <w:hideMark/>
          </w:tcPr>
          <w:p w14:paraId="7A6B2222"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18,305</w:t>
            </w:r>
          </w:p>
        </w:tc>
        <w:tc>
          <w:tcPr>
            <w:tcW w:w="972" w:type="dxa"/>
            <w:noWrap/>
            <w:hideMark/>
          </w:tcPr>
          <w:p w14:paraId="7B097E64"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1,520</w:t>
            </w:r>
          </w:p>
        </w:tc>
        <w:tc>
          <w:tcPr>
            <w:tcW w:w="972" w:type="dxa"/>
            <w:noWrap/>
            <w:hideMark/>
          </w:tcPr>
          <w:p w14:paraId="3642AEE6"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373C8F0A"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2948322C"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1,275</w:t>
            </w:r>
          </w:p>
        </w:tc>
        <w:tc>
          <w:tcPr>
            <w:tcW w:w="972" w:type="dxa"/>
            <w:noWrap/>
            <w:hideMark/>
          </w:tcPr>
          <w:p w14:paraId="51B99D06"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58C9BD41"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21,100</w:t>
            </w:r>
          </w:p>
        </w:tc>
      </w:tr>
      <w:tr w:rsidR="00942D11" w:rsidRPr="00BF0CAC" w14:paraId="6E2492AD" w14:textId="77777777" w:rsidTr="00096B07">
        <w:trPr>
          <w:trHeight w:val="300"/>
        </w:trPr>
        <w:tc>
          <w:tcPr>
            <w:tcW w:w="1418" w:type="dxa"/>
            <w:noWrap/>
            <w:hideMark/>
          </w:tcPr>
          <w:p w14:paraId="783821F6" w14:textId="77777777" w:rsidR="00942D11" w:rsidRPr="00BF0CAC" w:rsidRDefault="00942D11" w:rsidP="003D68D1">
            <w:pPr>
              <w:spacing w:after="0" w:line="240" w:lineRule="auto"/>
              <w:rPr>
                <w:rFonts w:eastAsia="Times New Roman" w:cs="Arial"/>
                <w:color w:val="000000"/>
                <w:sz w:val="15"/>
                <w:szCs w:val="15"/>
                <w:lang w:eastAsia="en-AU"/>
              </w:rPr>
            </w:pPr>
            <w:r w:rsidRPr="00BF0CAC">
              <w:rPr>
                <w:rFonts w:eastAsia="Times New Roman" w:cs="Arial"/>
                <w:color w:val="000000"/>
                <w:sz w:val="15"/>
                <w:szCs w:val="15"/>
                <w:lang w:eastAsia="en-AU"/>
              </w:rPr>
              <w:t>Maryborough District Health Service</w:t>
            </w:r>
          </w:p>
        </w:tc>
        <w:tc>
          <w:tcPr>
            <w:tcW w:w="972" w:type="dxa"/>
            <w:noWrap/>
            <w:hideMark/>
          </w:tcPr>
          <w:p w14:paraId="1C7BE0DE"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25,701</w:t>
            </w:r>
          </w:p>
        </w:tc>
        <w:tc>
          <w:tcPr>
            <w:tcW w:w="972" w:type="dxa"/>
            <w:noWrap/>
            <w:hideMark/>
          </w:tcPr>
          <w:p w14:paraId="576E59EC"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2,729</w:t>
            </w:r>
          </w:p>
        </w:tc>
        <w:tc>
          <w:tcPr>
            <w:tcW w:w="972" w:type="dxa"/>
            <w:noWrap/>
            <w:hideMark/>
          </w:tcPr>
          <w:p w14:paraId="3F7C9232"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29014B60"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31B57918"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819</w:t>
            </w:r>
          </w:p>
        </w:tc>
        <w:tc>
          <w:tcPr>
            <w:tcW w:w="972" w:type="dxa"/>
            <w:noWrap/>
            <w:hideMark/>
          </w:tcPr>
          <w:p w14:paraId="19F351AE"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26915063"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29,249</w:t>
            </w:r>
          </w:p>
        </w:tc>
        <w:tc>
          <w:tcPr>
            <w:tcW w:w="972" w:type="dxa"/>
            <w:noWrap/>
            <w:hideMark/>
          </w:tcPr>
          <w:p w14:paraId="2FC5A714"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25,701</w:t>
            </w:r>
          </w:p>
        </w:tc>
        <w:tc>
          <w:tcPr>
            <w:tcW w:w="972" w:type="dxa"/>
            <w:noWrap/>
            <w:hideMark/>
          </w:tcPr>
          <w:p w14:paraId="4CA77E2F"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2,802</w:t>
            </w:r>
          </w:p>
        </w:tc>
        <w:tc>
          <w:tcPr>
            <w:tcW w:w="972" w:type="dxa"/>
            <w:noWrap/>
            <w:hideMark/>
          </w:tcPr>
          <w:p w14:paraId="50A0BBB2"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414D87B6"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565C281C"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804</w:t>
            </w:r>
          </w:p>
        </w:tc>
        <w:tc>
          <w:tcPr>
            <w:tcW w:w="972" w:type="dxa"/>
            <w:noWrap/>
            <w:hideMark/>
          </w:tcPr>
          <w:p w14:paraId="287B8F98"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27407065"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29,308</w:t>
            </w:r>
          </w:p>
        </w:tc>
      </w:tr>
      <w:tr w:rsidR="00942D11" w:rsidRPr="00BF0CAC" w14:paraId="15EDBA55" w14:textId="77777777" w:rsidTr="00096B07">
        <w:trPr>
          <w:trHeight w:val="300"/>
        </w:trPr>
        <w:tc>
          <w:tcPr>
            <w:tcW w:w="1418" w:type="dxa"/>
            <w:noWrap/>
            <w:hideMark/>
          </w:tcPr>
          <w:p w14:paraId="0C1BFBB3" w14:textId="77777777" w:rsidR="00942D11" w:rsidRPr="00BF0CAC" w:rsidRDefault="00942D11" w:rsidP="003D68D1">
            <w:pPr>
              <w:spacing w:after="0" w:line="240" w:lineRule="auto"/>
              <w:rPr>
                <w:rFonts w:eastAsia="Times New Roman" w:cs="Arial"/>
                <w:color w:val="000000"/>
                <w:sz w:val="15"/>
                <w:szCs w:val="15"/>
                <w:lang w:eastAsia="en-AU"/>
              </w:rPr>
            </w:pPr>
            <w:r w:rsidRPr="00BF0CAC">
              <w:rPr>
                <w:rFonts w:eastAsia="Times New Roman" w:cs="Arial"/>
                <w:color w:val="000000"/>
                <w:sz w:val="15"/>
                <w:szCs w:val="15"/>
                <w:lang w:eastAsia="en-AU"/>
              </w:rPr>
              <w:t>Mildura Base Public Hospital</w:t>
            </w:r>
          </w:p>
        </w:tc>
        <w:tc>
          <w:tcPr>
            <w:tcW w:w="972" w:type="dxa"/>
            <w:noWrap/>
            <w:hideMark/>
          </w:tcPr>
          <w:p w14:paraId="2893B774"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128,389</w:t>
            </w:r>
          </w:p>
        </w:tc>
        <w:tc>
          <w:tcPr>
            <w:tcW w:w="972" w:type="dxa"/>
            <w:noWrap/>
            <w:hideMark/>
          </w:tcPr>
          <w:p w14:paraId="45F1A42C"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62340D51"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436</w:t>
            </w:r>
          </w:p>
        </w:tc>
        <w:tc>
          <w:tcPr>
            <w:tcW w:w="972" w:type="dxa"/>
            <w:noWrap/>
            <w:hideMark/>
          </w:tcPr>
          <w:p w14:paraId="01EFB465"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26,115</w:t>
            </w:r>
          </w:p>
        </w:tc>
        <w:tc>
          <w:tcPr>
            <w:tcW w:w="972" w:type="dxa"/>
            <w:noWrap/>
            <w:hideMark/>
          </w:tcPr>
          <w:p w14:paraId="63E8439B"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60768500"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3DD92CDD"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154,940</w:t>
            </w:r>
          </w:p>
        </w:tc>
        <w:tc>
          <w:tcPr>
            <w:tcW w:w="972" w:type="dxa"/>
            <w:noWrap/>
            <w:hideMark/>
          </w:tcPr>
          <w:p w14:paraId="4F9AE849"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130,588</w:t>
            </w:r>
          </w:p>
        </w:tc>
        <w:tc>
          <w:tcPr>
            <w:tcW w:w="972" w:type="dxa"/>
            <w:noWrap/>
            <w:hideMark/>
          </w:tcPr>
          <w:p w14:paraId="04CE15BC"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71247F45"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450</w:t>
            </w:r>
          </w:p>
        </w:tc>
        <w:tc>
          <w:tcPr>
            <w:tcW w:w="972" w:type="dxa"/>
            <w:noWrap/>
            <w:hideMark/>
          </w:tcPr>
          <w:p w14:paraId="20338031"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26,480</w:t>
            </w:r>
          </w:p>
        </w:tc>
        <w:tc>
          <w:tcPr>
            <w:tcW w:w="972" w:type="dxa"/>
            <w:noWrap/>
            <w:hideMark/>
          </w:tcPr>
          <w:p w14:paraId="72C990AB"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39BFEB27"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12AD1AE7"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157,518</w:t>
            </w:r>
          </w:p>
        </w:tc>
      </w:tr>
      <w:tr w:rsidR="00942D11" w:rsidRPr="00BF0CAC" w14:paraId="6B59C222" w14:textId="77777777" w:rsidTr="00096B07">
        <w:trPr>
          <w:trHeight w:val="300"/>
        </w:trPr>
        <w:tc>
          <w:tcPr>
            <w:tcW w:w="1418" w:type="dxa"/>
            <w:noWrap/>
            <w:hideMark/>
          </w:tcPr>
          <w:p w14:paraId="5C11FB03" w14:textId="77777777" w:rsidR="00942D11" w:rsidRPr="00BF0CAC" w:rsidRDefault="00942D11" w:rsidP="003D68D1">
            <w:pPr>
              <w:spacing w:after="0" w:line="240" w:lineRule="auto"/>
              <w:rPr>
                <w:rFonts w:eastAsia="Times New Roman" w:cs="Arial"/>
                <w:color w:val="000000"/>
                <w:sz w:val="15"/>
                <w:szCs w:val="15"/>
                <w:lang w:eastAsia="en-AU"/>
              </w:rPr>
            </w:pPr>
            <w:r w:rsidRPr="00BF0CAC">
              <w:rPr>
                <w:rFonts w:eastAsia="Times New Roman" w:cs="Arial"/>
                <w:color w:val="000000"/>
                <w:sz w:val="15"/>
                <w:szCs w:val="15"/>
                <w:lang w:eastAsia="en-AU"/>
              </w:rPr>
              <w:t>Northeast Health Wangaratta</w:t>
            </w:r>
          </w:p>
        </w:tc>
        <w:tc>
          <w:tcPr>
            <w:tcW w:w="972" w:type="dxa"/>
            <w:noWrap/>
            <w:hideMark/>
          </w:tcPr>
          <w:p w14:paraId="38D77B68"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154,932</w:t>
            </w:r>
          </w:p>
        </w:tc>
        <w:tc>
          <w:tcPr>
            <w:tcW w:w="972" w:type="dxa"/>
            <w:noWrap/>
            <w:hideMark/>
          </w:tcPr>
          <w:p w14:paraId="3DA60C0A"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2,184</w:t>
            </w:r>
          </w:p>
        </w:tc>
        <w:tc>
          <w:tcPr>
            <w:tcW w:w="972" w:type="dxa"/>
            <w:noWrap/>
            <w:hideMark/>
          </w:tcPr>
          <w:p w14:paraId="2628AB82"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315</w:t>
            </w:r>
          </w:p>
        </w:tc>
        <w:tc>
          <w:tcPr>
            <w:tcW w:w="972" w:type="dxa"/>
            <w:noWrap/>
            <w:hideMark/>
          </w:tcPr>
          <w:p w14:paraId="014865D5"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51775A6B"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776</w:t>
            </w:r>
          </w:p>
        </w:tc>
        <w:tc>
          <w:tcPr>
            <w:tcW w:w="972" w:type="dxa"/>
            <w:noWrap/>
            <w:hideMark/>
          </w:tcPr>
          <w:p w14:paraId="6AD4A3FF"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7AA44CDE"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158,208</w:t>
            </w:r>
          </w:p>
        </w:tc>
        <w:tc>
          <w:tcPr>
            <w:tcW w:w="972" w:type="dxa"/>
            <w:noWrap/>
            <w:hideMark/>
          </w:tcPr>
          <w:p w14:paraId="0C25DBC2"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158,523</w:t>
            </w:r>
          </w:p>
        </w:tc>
        <w:tc>
          <w:tcPr>
            <w:tcW w:w="972" w:type="dxa"/>
            <w:noWrap/>
            <w:hideMark/>
          </w:tcPr>
          <w:p w14:paraId="236C65BD"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2,239</w:t>
            </w:r>
          </w:p>
        </w:tc>
        <w:tc>
          <w:tcPr>
            <w:tcW w:w="972" w:type="dxa"/>
            <w:noWrap/>
            <w:hideMark/>
          </w:tcPr>
          <w:p w14:paraId="1087C959"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159</w:t>
            </w:r>
          </w:p>
        </w:tc>
        <w:tc>
          <w:tcPr>
            <w:tcW w:w="972" w:type="dxa"/>
            <w:noWrap/>
            <w:hideMark/>
          </w:tcPr>
          <w:p w14:paraId="44440BF6"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018BB1CA"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763</w:t>
            </w:r>
          </w:p>
        </w:tc>
        <w:tc>
          <w:tcPr>
            <w:tcW w:w="972" w:type="dxa"/>
            <w:noWrap/>
            <w:hideMark/>
          </w:tcPr>
          <w:p w14:paraId="6730488E"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425C55F0"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161,684</w:t>
            </w:r>
          </w:p>
        </w:tc>
      </w:tr>
      <w:tr w:rsidR="00942D11" w:rsidRPr="00BF0CAC" w14:paraId="11C7053C" w14:textId="77777777" w:rsidTr="00096B07">
        <w:trPr>
          <w:trHeight w:val="300"/>
        </w:trPr>
        <w:tc>
          <w:tcPr>
            <w:tcW w:w="1418" w:type="dxa"/>
            <w:noWrap/>
            <w:hideMark/>
          </w:tcPr>
          <w:p w14:paraId="6D798C68" w14:textId="77777777" w:rsidR="00942D11" w:rsidRPr="00BF0CAC" w:rsidRDefault="00942D11" w:rsidP="003D68D1">
            <w:pPr>
              <w:spacing w:after="0" w:line="240" w:lineRule="auto"/>
              <w:rPr>
                <w:rFonts w:eastAsia="Times New Roman" w:cs="Arial"/>
                <w:color w:val="000000"/>
                <w:sz w:val="15"/>
                <w:szCs w:val="15"/>
                <w:lang w:eastAsia="en-AU"/>
              </w:rPr>
            </w:pPr>
            <w:r w:rsidRPr="00BF0CAC">
              <w:rPr>
                <w:rFonts w:eastAsia="Times New Roman" w:cs="Arial"/>
                <w:color w:val="000000"/>
                <w:sz w:val="15"/>
                <w:szCs w:val="15"/>
                <w:lang w:eastAsia="en-AU"/>
              </w:rPr>
              <w:t>Portland District Health</w:t>
            </w:r>
          </w:p>
        </w:tc>
        <w:tc>
          <w:tcPr>
            <w:tcW w:w="972" w:type="dxa"/>
            <w:noWrap/>
            <w:hideMark/>
          </w:tcPr>
          <w:p w14:paraId="6B0C6DEF"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32,172</w:t>
            </w:r>
          </w:p>
        </w:tc>
        <w:tc>
          <w:tcPr>
            <w:tcW w:w="972" w:type="dxa"/>
            <w:noWrap/>
            <w:hideMark/>
          </w:tcPr>
          <w:p w14:paraId="56E26947"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1,286</w:t>
            </w:r>
          </w:p>
        </w:tc>
        <w:tc>
          <w:tcPr>
            <w:tcW w:w="972" w:type="dxa"/>
            <w:noWrap/>
            <w:hideMark/>
          </w:tcPr>
          <w:p w14:paraId="46EDA195"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9</w:t>
            </w:r>
          </w:p>
        </w:tc>
        <w:tc>
          <w:tcPr>
            <w:tcW w:w="972" w:type="dxa"/>
            <w:noWrap/>
            <w:hideMark/>
          </w:tcPr>
          <w:p w14:paraId="255CB456"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707F0D99"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2,040</w:t>
            </w:r>
          </w:p>
        </w:tc>
        <w:tc>
          <w:tcPr>
            <w:tcW w:w="972" w:type="dxa"/>
            <w:noWrap/>
            <w:hideMark/>
          </w:tcPr>
          <w:p w14:paraId="553995ED"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1D397BF1"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35,508</w:t>
            </w:r>
          </w:p>
        </w:tc>
        <w:tc>
          <w:tcPr>
            <w:tcW w:w="972" w:type="dxa"/>
            <w:noWrap/>
            <w:hideMark/>
          </w:tcPr>
          <w:p w14:paraId="41549408"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32,964</w:t>
            </w:r>
          </w:p>
        </w:tc>
        <w:tc>
          <w:tcPr>
            <w:tcW w:w="972" w:type="dxa"/>
            <w:noWrap/>
            <w:hideMark/>
          </w:tcPr>
          <w:p w14:paraId="64BFDBAF"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1,332</w:t>
            </w:r>
          </w:p>
        </w:tc>
        <w:tc>
          <w:tcPr>
            <w:tcW w:w="972" w:type="dxa"/>
            <w:noWrap/>
            <w:hideMark/>
          </w:tcPr>
          <w:p w14:paraId="2F5BAE2E"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10</w:t>
            </w:r>
          </w:p>
        </w:tc>
        <w:tc>
          <w:tcPr>
            <w:tcW w:w="972" w:type="dxa"/>
            <w:noWrap/>
            <w:hideMark/>
          </w:tcPr>
          <w:p w14:paraId="6B35D9E0"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0BF444F0"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2,011</w:t>
            </w:r>
          </w:p>
        </w:tc>
        <w:tc>
          <w:tcPr>
            <w:tcW w:w="972" w:type="dxa"/>
            <w:noWrap/>
            <w:hideMark/>
          </w:tcPr>
          <w:p w14:paraId="350567A8"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2B6661EA"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36,317</w:t>
            </w:r>
          </w:p>
        </w:tc>
      </w:tr>
      <w:tr w:rsidR="00942D11" w:rsidRPr="00BF0CAC" w14:paraId="768E8147" w14:textId="77777777" w:rsidTr="00096B07">
        <w:trPr>
          <w:trHeight w:val="300"/>
        </w:trPr>
        <w:tc>
          <w:tcPr>
            <w:tcW w:w="1418" w:type="dxa"/>
            <w:noWrap/>
            <w:hideMark/>
          </w:tcPr>
          <w:p w14:paraId="1B207D41" w14:textId="77777777" w:rsidR="00942D11" w:rsidRPr="00BF0CAC" w:rsidRDefault="00942D11" w:rsidP="003D68D1">
            <w:pPr>
              <w:spacing w:after="0" w:line="240" w:lineRule="auto"/>
              <w:rPr>
                <w:rFonts w:eastAsia="Times New Roman" w:cs="Arial"/>
                <w:color w:val="000000"/>
                <w:sz w:val="15"/>
                <w:szCs w:val="15"/>
                <w:lang w:eastAsia="en-AU"/>
              </w:rPr>
            </w:pPr>
            <w:r w:rsidRPr="00BF0CAC">
              <w:rPr>
                <w:rFonts w:eastAsia="Times New Roman" w:cs="Arial"/>
                <w:color w:val="000000"/>
                <w:sz w:val="15"/>
                <w:szCs w:val="15"/>
                <w:lang w:eastAsia="en-AU"/>
              </w:rPr>
              <w:t>South West Healthcare</w:t>
            </w:r>
          </w:p>
        </w:tc>
        <w:tc>
          <w:tcPr>
            <w:tcW w:w="972" w:type="dxa"/>
            <w:noWrap/>
            <w:hideMark/>
          </w:tcPr>
          <w:p w14:paraId="4871F1C4"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155,500</w:t>
            </w:r>
          </w:p>
        </w:tc>
        <w:tc>
          <w:tcPr>
            <w:tcW w:w="972" w:type="dxa"/>
            <w:noWrap/>
            <w:hideMark/>
          </w:tcPr>
          <w:p w14:paraId="5654CD29"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1,807</w:t>
            </w:r>
          </w:p>
        </w:tc>
        <w:tc>
          <w:tcPr>
            <w:tcW w:w="972" w:type="dxa"/>
            <w:noWrap/>
            <w:hideMark/>
          </w:tcPr>
          <w:p w14:paraId="0E4F7963"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558</w:t>
            </w:r>
          </w:p>
        </w:tc>
        <w:tc>
          <w:tcPr>
            <w:tcW w:w="972" w:type="dxa"/>
            <w:noWrap/>
            <w:hideMark/>
          </w:tcPr>
          <w:p w14:paraId="19F07620"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35,031</w:t>
            </w:r>
          </w:p>
        </w:tc>
        <w:tc>
          <w:tcPr>
            <w:tcW w:w="972" w:type="dxa"/>
            <w:noWrap/>
            <w:hideMark/>
          </w:tcPr>
          <w:p w14:paraId="38F07514"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2,509</w:t>
            </w:r>
          </w:p>
        </w:tc>
        <w:tc>
          <w:tcPr>
            <w:tcW w:w="972" w:type="dxa"/>
            <w:noWrap/>
            <w:hideMark/>
          </w:tcPr>
          <w:p w14:paraId="7BC856BB"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4FB4354D"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195,405</w:t>
            </w:r>
          </w:p>
        </w:tc>
        <w:tc>
          <w:tcPr>
            <w:tcW w:w="972" w:type="dxa"/>
            <w:noWrap/>
            <w:hideMark/>
          </w:tcPr>
          <w:p w14:paraId="4F6D9E11"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156,786</w:t>
            </w:r>
          </w:p>
        </w:tc>
        <w:tc>
          <w:tcPr>
            <w:tcW w:w="972" w:type="dxa"/>
            <w:noWrap/>
            <w:hideMark/>
          </w:tcPr>
          <w:p w14:paraId="3B55DCE0"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1,844</w:t>
            </w:r>
          </w:p>
        </w:tc>
        <w:tc>
          <w:tcPr>
            <w:tcW w:w="972" w:type="dxa"/>
            <w:noWrap/>
            <w:hideMark/>
          </w:tcPr>
          <w:p w14:paraId="68074A06"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520</w:t>
            </w:r>
          </w:p>
        </w:tc>
        <w:tc>
          <w:tcPr>
            <w:tcW w:w="972" w:type="dxa"/>
            <w:noWrap/>
            <w:hideMark/>
          </w:tcPr>
          <w:p w14:paraId="7AAFC169"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36,678</w:t>
            </w:r>
          </w:p>
        </w:tc>
        <w:tc>
          <w:tcPr>
            <w:tcW w:w="972" w:type="dxa"/>
            <w:noWrap/>
            <w:hideMark/>
          </w:tcPr>
          <w:p w14:paraId="439BD54D"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2,445</w:t>
            </w:r>
          </w:p>
        </w:tc>
        <w:tc>
          <w:tcPr>
            <w:tcW w:w="972" w:type="dxa"/>
            <w:noWrap/>
            <w:hideMark/>
          </w:tcPr>
          <w:p w14:paraId="4C52C410"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1E387288"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198,272</w:t>
            </w:r>
          </w:p>
        </w:tc>
      </w:tr>
      <w:tr w:rsidR="00942D11" w:rsidRPr="00BF0CAC" w14:paraId="533313D7" w14:textId="77777777" w:rsidTr="00096B07">
        <w:trPr>
          <w:trHeight w:val="300"/>
        </w:trPr>
        <w:tc>
          <w:tcPr>
            <w:tcW w:w="1418" w:type="dxa"/>
            <w:noWrap/>
            <w:hideMark/>
          </w:tcPr>
          <w:p w14:paraId="540271A2" w14:textId="77777777" w:rsidR="00942D11" w:rsidRPr="00BF0CAC" w:rsidRDefault="00942D11" w:rsidP="003D68D1">
            <w:pPr>
              <w:spacing w:after="0" w:line="240" w:lineRule="auto"/>
              <w:rPr>
                <w:rFonts w:eastAsia="Times New Roman" w:cs="Arial"/>
                <w:color w:val="000000"/>
                <w:sz w:val="15"/>
                <w:szCs w:val="15"/>
                <w:lang w:eastAsia="en-AU"/>
              </w:rPr>
            </w:pPr>
            <w:r w:rsidRPr="00BF0CAC">
              <w:rPr>
                <w:rFonts w:eastAsia="Times New Roman" w:cs="Arial"/>
                <w:color w:val="000000"/>
                <w:sz w:val="15"/>
                <w:szCs w:val="15"/>
                <w:lang w:eastAsia="en-AU"/>
              </w:rPr>
              <w:t>Swan Hill District Health</w:t>
            </w:r>
          </w:p>
        </w:tc>
        <w:tc>
          <w:tcPr>
            <w:tcW w:w="972" w:type="dxa"/>
            <w:noWrap/>
            <w:hideMark/>
          </w:tcPr>
          <w:p w14:paraId="7CCE42F8"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51,306</w:t>
            </w:r>
          </w:p>
        </w:tc>
        <w:tc>
          <w:tcPr>
            <w:tcW w:w="972" w:type="dxa"/>
            <w:noWrap/>
            <w:hideMark/>
          </w:tcPr>
          <w:p w14:paraId="0FEC0C3F"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2,132</w:t>
            </w:r>
          </w:p>
        </w:tc>
        <w:tc>
          <w:tcPr>
            <w:tcW w:w="972" w:type="dxa"/>
            <w:noWrap/>
            <w:hideMark/>
          </w:tcPr>
          <w:p w14:paraId="6D9E92F1"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77782162"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56A593ED"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1,671</w:t>
            </w:r>
          </w:p>
        </w:tc>
        <w:tc>
          <w:tcPr>
            <w:tcW w:w="972" w:type="dxa"/>
            <w:noWrap/>
            <w:hideMark/>
          </w:tcPr>
          <w:p w14:paraId="2928D785"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1EE0DCCA"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55,109</w:t>
            </w:r>
          </w:p>
        </w:tc>
        <w:tc>
          <w:tcPr>
            <w:tcW w:w="972" w:type="dxa"/>
            <w:noWrap/>
            <w:hideMark/>
          </w:tcPr>
          <w:p w14:paraId="3382F232"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51,520</w:t>
            </w:r>
          </w:p>
        </w:tc>
        <w:tc>
          <w:tcPr>
            <w:tcW w:w="972" w:type="dxa"/>
            <w:noWrap/>
            <w:hideMark/>
          </w:tcPr>
          <w:p w14:paraId="41924693"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2,175</w:t>
            </w:r>
          </w:p>
        </w:tc>
        <w:tc>
          <w:tcPr>
            <w:tcW w:w="972" w:type="dxa"/>
            <w:noWrap/>
            <w:hideMark/>
          </w:tcPr>
          <w:p w14:paraId="23AA4A26"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56EB57FD"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1D9B69FE"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1,646</w:t>
            </w:r>
          </w:p>
        </w:tc>
        <w:tc>
          <w:tcPr>
            <w:tcW w:w="972" w:type="dxa"/>
            <w:noWrap/>
            <w:hideMark/>
          </w:tcPr>
          <w:p w14:paraId="6E3DEA05"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5847BD39"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55,342</w:t>
            </w:r>
          </w:p>
        </w:tc>
      </w:tr>
      <w:tr w:rsidR="00942D11" w:rsidRPr="00BF0CAC" w14:paraId="687AB8DB" w14:textId="77777777" w:rsidTr="00096B07">
        <w:trPr>
          <w:trHeight w:val="300"/>
        </w:trPr>
        <w:tc>
          <w:tcPr>
            <w:tcW w:w="1418" w:type="dxa"/>
            <w:noWrap/>
            <w:hideMark/>
          </w:tcPr>
          <w:p w14:paraId="698CFAAA" w14:textId="77777777" w:rsidR="00942D11" w:rsidRPr="00BF0CAC" w:rsidRDefault="00942D11" w:rsidP="003D68D1">
            <w:pPr>
              <w:spacing w:after="0" w:line="240" w:lineRule="auto"/>
              <w:rPr>
                <w:rFonts w:eastAsia="Times New Roman" w:cs="Arial"/>
                <w:color w:val="000000"/>
                <w:sz w:val="15"/>
                <w:szCs w:val="15"/>
                <w:lang w:eastAsia="en-AU"/>
              </w:rPr>
            </w:pPr>
            <w:r w:rsidRPr="00BF0CAC">
              <w:rPr>
                <w:rFonts w:eastAsia="Times New Roman" w:cs="Arial"/>
                <w:color w:val="000000"/>
                <w:sz w:val="15"/>
                <w:szCs w:val="15"/>
                <w:lang w:eastAsia="en-AU"/>
              </w:rPr>
              <w:t>West Gippsland Healthcare Group</w:t>
            </w:r>
          </w:p>
        </w:tc>
        <w:tc>
          <w:tcPr>
            <w:tcW w:w="972" w:type="dxa"/>
            <w:noWrap/>
            <w:hideMark/>
          </w:tcPr>
          <w:p w14:paraId="60794A9C"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103,908</w:t>
            </w:r>
          </w:p>
        </w:tc>
        <w:tc>
          <w:tcPr>
            <w:tcW w:w="972" w:type="dxa"/>
            <w:noWrap/>
            <w:hideMark/>
          </w:tcPr>
          <w:p w14:paraId="2830305E"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2,901</w:t>
            </w:r>
          </w:p>
        </w:tc>
        <w:tc>
          <w:tcPr>
            <w:tcW w:w="972" w:type="dxa"/>
            <w:noWrap/>
            <w:hideMark/>
          </w:tcPr>
          <w:p w14:paraId="5BBC5CFD"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644843C1"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435C27E4"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1,089</w:t>
            </w:r>
          </w:p>
        </w:tc>
        <w:tc>
          <w:tcPr>
            <w:tcW w:w="972" w:type="dxa"/>
            <w:noWrap/>
            <w:hideMark/>
          </w:tcPr>
          <w:p w14:paraId="41733B6E"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7CBBD07C"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107,897</w:t>
            </w:r>
          </w:p>
        </w:tc>
        <w:tc>
          <w:tcPr>
            <w:tcW w:w="972" w:type="dxa"/>
            <w:noWrap/>
            <w:hideMark/>
          </w:tcPr>
          <w:p w14:paraId="4C3A29F8"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106,306</w:t>
            </w:r>
          </w:p>
        </w:tc>
        <w:tc>
          <w:tcPr>
            <w:tcW w:w="972" w:type="dxa"/>
            <w:noWrap/>
            <w:hideMark/>
          </w:tcPr>
          <w:p w14:paraId="6E68F1EC"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2,962</w:t>
            </w:r>
          </w:p>
        </w:tc>
        <w:tc>
          <w:tcPr>
            <w:tcW w:w="972" w:type="dxa"/>
            <w:noWrap/>
            <w:hideMark/>
          </w:tcPr>
          <w:p w14:paraId="4B15DAFA"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207E868F"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30FCD858"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1,056</w:t>
            </w:r>
          </w:p>
        </w:tc>
        <w:tc>
          <w:tcPr>
            <w:tcW w:w="972" w:type="dxa"/>
            <w:noWrap/>
            <w:hideMark/>
          </w:tcPr>
          <w:p w14:paraId="6F046AE1"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17851B73"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110,324</w:t>
            </w:r>
          </w:p>
        </w:tc>
      </w:tr>
      <w:tr w:rsidR="00942D11" w:rsidRPr="00BF0CAC" w14:paraId="20D657F5" w14:textId="77777777" w:rsidTr="00096B07">
        <w:trPr>
          <w:trHeight w:val="300"/>
        </w:trPr>
        <w:tc>
          <w:tcPr>
            <w:tcW w:w="1418" w:type="dxa"/>
            <w:noWrap/>
            <w:hideMark/>
          </w:tcPr>
          <w:p w14:paraId="47129E99" w14:textId="77777777" w:rsidR="00942D11" w:rsidRPr="00BF0CAC" w:rsidRDefault="00942D11" w:rsidP="003D68D1">
            <w:pPr>
              <w:spacing w:after="0" w:line="240" w:lineRule="auto"/>
              <w:rPr>
                <w:rFonts w:eastAsia="Times New Roman" w:cs="Arial"/>
                <w:color w:val="000000"/>
                <w:sz w:val="15"/>
                <w:szCs w:val="15"/>
                <w:lang w:eastAsia="en-AU"/>
              </w:rPr>
            </w:pPr>
            <w:r w:rsidRPr="00BF0CAC">
              <w:rPr>
                <w:rFonts w:eastAsia="Times New Roman" w:cs="Arial"/>
                <w:color w:val="000000"/>
                <w:sz w:val="15"/>
                <w:szCs w:val="15"/>
                <w:lang w:eastAsia="en-AU"/>
              </w:rPr>
              <w:t>Western District Health Service</w:t>
            </w:r>
          </w:p>
        </w:tc>
        <w:tc>
          <w:tcPr>
            <w:tcW w:w="972" w:type="dxa"/>
            <w:noWrap/>
            <w:hideMark/>
          </w:tcPr>
          <w:p w14:paraId="305B22C8"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54,820</w:t>
            </w:r>
          </w:p>
        </w:tc>
        <w:tc>
          <w:tcPr>
            <w:tcW w:w="972" w:type="dxa"/>
            <w:noWrap/>
            <w:hideMark/>
          </w:tcPr>
          <w:p w14:paraId="33522C46"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3,974</w:t>
            </w:r>
          </w:p>
        </w:tc>
        <w:tc>
          <w:tcPr>
            <w:tcW w:w="972" w:type="dxa"/>
            <w:noWrap/>
            <w:hideMark/>
          </w:tcPr>
          <w:p w14:paraId="72793632"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2F2101EB"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119</w:t>
            </w:r>
          </w:p>
        </w:tc>
        <w:tc>
          <w:tcPr>
            <w:tcW w:w="972" w:type="dxa"/>
            <w:noWrap/>
            <w:hideMark/>
          </w:tcPr>
          <w:p w14:paraId="205361A0"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723</w:t>
            </w:r>
          </w:p>
        </w:tc>
        <w:tc>
          <w:tcPr>
            <w:tcW w:w="972" w:type="dxa"/>
            <w:noWrap/>
            <w:hideMark/>
          </w:tcPr>
          <w:p w14:paraId="39D4F504"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39C875A4"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59,636</w:t>
            </w:r>
          </w:p>
        </w:tc>
        <w:tc>
          <w:tcPr>
            <w:tcW w:w="972" w:type="dxa"/>
            <w:noWrap/>
            <w:hideMark/>
          </w:tcPr>
          <w:p w14:paraId="5A55F097"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55,633</w:t>
            </w:r>
          </w:p>
        </w:tc>
        <w:tc>
          <w:tcPr>
            <w:tcW w:w="972" w:type="dxa"/>
            <w:noWrap/>
            <w:hideMark/>
          </w:tcPr>
          <w:p w14:paraId="2DFBACCB"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4,071</w:t>
            </w:r>
          </w:p>
        </w:tc>
        <w:tc>
          <w:tcPr>
            <w:tcW w:w="972" w:type="dxa"/>
            <w:noWrap/>
            <w:hideMark/>
          </w:tcPr>
          <w:p w14:paraId="2B20BCB7"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21F49193"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122</w:t>
            </w:r>
          </w:p>
        </w:tc>
        <w:tc>
          <w:tcPr>
            <w:tcW w:w="972" w:type="dxa"/>
            <w:noWrap/>
            <w:hideMark/>
          </w:tcPr>
          <w:p w14:paraId="3E8166C1" w14:textId="77777777" w:rsidR="00942D11" w:rsidRPr="00BF0CAC" w:rsidRDefault="00942D11" w:rsidP="003D68D1">
            <w:pPr>
              <w:spacing w:after="0" w:line="240" w:lineRule="auto"/>
              <w:jc w:val="right"/>
              <w:rPr>
                <w:rFonts w:eastAsia="Times New Roman" w:cs="Arial"/>
                <w:color w:val="000000"/>
                <w:sz w:val="15"/>
                <w:szCs w:val="15"/>
                <w:lang w:eastAsia="en-AU"/>
              </w:rPr>
            </w:pPr>
            <w:r w:rsidRPr="00BF0CAC">
              <w:rPr>
                <w:rFonts w:eastAsia="Times New Roman" w:cs="Arial"/>
                <w:color w:val="000000"/>
                <w:sz w:val="15"/>
                <w:szCs w:val="15"/>
                <w:lang w:eastAsia="en-AU"/>
              </w:rPr>
              <w:t>705</w:t>
            </w:r>
          </w:p>
        </w:tc>
        <w:tc>
          <w:tcPr>
            <w:tcW w:w="972" w:type="dxa"/>
            <w:noWrap/>
            <w:hideMark/>
          </w:tcPr>
          <w:p w14:paraId="054FD65B" w14:textId="77777777" w:rsidR="00942D11" w:rsidRPr="00BF0CAC" w:rsidRDefault="00942D11" w:rsidP="003D68D1">
            <w:pPr>
              <w:spacing w:after="0" w:line="240" w:lineRule="auto"/>
              <w:jc w:val="right"/>
              <w:rPr>
                <w:rFonts w:eastAsia="Times New Roman" w:cs="Arial"/>
                <w:color w:val="000000"/>
                <w:sz w:val="15"/>
                <w:szCs w:val="15"/>
                <w:lang w:eastAsia="en-AU"/>
              </w:rPr>
            </w:pPr>
            <w:r>
              <w:rPr>
                <w:rFonts w:eastAsia="Times New Roman" w:cs="Arial"/>
                <w:color w:val="000000"/>
                <w:sz w:val="15"/>
                <w:szCs w:val="15"/>
                <w:lang w:eastAsia="en-AU"/>
              </w:rPr>
              <w:t>0</w:t>
            </w:r>
            <w:r w:rsidRPr="00BF0CAC">
              <w:rPr>
                <w:rFonts w:eastAsia="Times New Roman" w:cs="Arial"/>
                <w:color w:val="000000"/>
                <w:sz w:val="15"/>
                <w:szCs w:val="15"/>
                <w:lang w:eastAsia="en-AU"/>
              </w:rPr>
              <w:t> </w:t>
            </w:r>
          </w:p>
        </w:tc>
        <w:tc>
          <w:tcPr>
            <w:tcW w:w="972" w:type="dxa"/>
            <w:noWrap/>
            <w:hideMark/>
          </w:tcPr>
          <w:p w14:paraId="62DF052C"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60,531</w:t>
            </w:r>
          </w:p>
        </w:tc>
      </w:tr>
      <w:tr w:rsidR="00942D11" w:rsidRPr="00BF0CAC" w14:paraId="3D3094BD" w14:textId="77777777" w:rsidTr="00096B07">
        <w:trPr>
          <w:trHeight w:val="300"/>
        </w:trPr>
        <w:tc>
          <w:tcPr>
            <w:tcW w:w="1418" w:type="dxa"/>
            <w:noWrap/>
            <w:hideMark/>
          </w:tcPr>
          <w:p w14:paraId="59F905DA" w14:textId="77777777" w:rsidR="00942D11" w:rsidRPr="00BF0CAC" w:rsidRDefault="00942D11" w:rsidP="003D68D1">
            <w:pPr>
              <w:spacing w:after="0" w:line="240" w:lineRule="auto"/>
              <w:rPr>
                <w:rFonts w:eastAsia="Times New Roman" w:cs="Arial"/>
                <w:b/>
                <w:bCs/>
                <w:color w:val="000000"/>
                <w:sz w:val="15"/>
                <w:szCs w:val="15"/>
                <w:lang w:eastAsia="en-AU"/>
              </w:rPr>
            </w:pPr>
            <w:r w:rsidRPr="00BF0CAC">
              <w:rPr>
                <w:rFonts w:eastAsia="Times New Roman" w:cs="Arial"/>
                <w:b/>
                <w:bCs/>
                <w:color w:val="000000"/>
                <w:sz w:val="15"/>
                <w:szCs w:val="15"/>
                <w:lang w:eastAsia="en-AU"/>
              </w:rPr>
              <w:t>Total</w:t>
            </w:r>
          </w:p>
        </w:tc>
        <w:tc>
          <w:tcPr>
            <w:tcW w:w="972" w:type="dxa"/>
            <w:noWrap/>
            <w:hideMark/>
          </w:tcPr>
          <w:p w14:paraId="416270B6"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1,188,127</w:t>
            </w:r>
          </w:p>
        </w:tc>
        <w:tc>
          <w:tcPr>
            <w:tcW w:w="972" w:type="dxa"/>
            <w:noWrap/>
            <w:hideMark/>
          </w:tcPr>
          <w:p w14:paraId="788ABAE6"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39,281</w:t>
            </w:r>
          </w:p>
        </w:tc>
        <w:tc>
          <w:tcPr>
            <w:tcW w:w="972" w:type="dxa"/>
            <w:noWrap/>
            <w:hideMark/>
          </w:tcPr>
          <w:p w14:paraId="7D310003"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3,083</w:t>
            </w:r>
          </w:p>
        </w:tc>
        <w:tc>
          <w:tcPr>
            <w:tcW w:w="972" w:type="dxa"/>
            <w:noWrap/>
            <w:hideMark/>
          </w:tcPr>
          <w:p w14:paraId="5BDA7A09"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61,266</w:t>
            </w:r>
          </w:p>
        </w:tc>
        <w:tc>
          <w:tcPr>
            <w:tcW w:w="972" w:type="dxa"/>
            <w:noWrap/>
            <w:hideMark/>
          </w:tcPr>
          <w:p w14:paraId="67888A5A" w14:textId="77777777" w:rsidR="00942D11" w:rsidRPr="00765E0A" w:rsidRDefault="00942D11" w:rsidP="003D68D1">
            <w:pPr>
              <w:spacing w:after="0" w:line="240" w:lineRule="auto"/>
              <w:jc w:val="right"/>
              <w:rPr>
                <w:rFonts w:eastAsia="Times New Roman" w:cs="Arial"/>
                <w:b/>
                <w:bCs/>
                <w:color w:val="000000"/>
                <w:sz w:val="15"/>
                <w:szCs w:val="15"/>
                <w:lang w:eastAsia="en-AU"/>
              </w:rPr>
            </w:pPr>
            <w:r w:rsidRPr="00765E0A">
              <w:rPr>
                <w:rFonts w:eastAsia="Times New Roman" w:cs="Arial"/>
                <w:b/>
                <w:bCs/>
                <w:color w:val="000000"/>
                <w:sz w:val="15"/>
                <w:szCs w:val="15"/>
                <w:lang w:eastAsia="en-AU"/>
              </w:rPr>
              <w:t>20,949</w:t>
            </w:r>
          </w:p>
        </w:tc>
        <w:tc>
          <w:tcPr>
            <w:tcW w:w="972" w:type="dxa"/>
            <w:noWrap/>
            <w:hideMark/>
          </w:tcPr>
          <w:p w14:paraId="7C308BCA" w14:textId="77777777" w:rsidR="00942D11" w:rsidRPr="00765E0A" w:rsidRDefault="00942D11" w:rsidP="003D68D1">
            <w:pPr>
              <w:spacing w:after="0" w:line="240" w:lineRule="auto"/>
              <w:jc w:val="right"/>
              <w:rPr>
                <w:rFonts w:eastAsia="Times New Roman" w:cs="Arial"/>
                <w:b/>
                <w:bCs/>
                <w:color w:val="000000"/>
                <w:sz w:val="15"/>
                <w:szCs w:val="15"/>
                <w:lang w:eastAsia="en-AU"/>
              </w:rPr>
            </w:pPr>
            <w:r w:rsidRPr="00765E0A">
              <w:rPr>
                <w:rFonts w:eastAsia="Times New Roman" w:cs="Arial"/>
                <w:b/>
                <w:bCs/>
                <w:color w:val="000000"/>
                <w:sz w:val="15"/>
                <w:szCs w:val="15"/>
                <w:lang w:eastAsia="en-AU"/>
              </w:rPr>
              <w:t>0 </w:t>
            </w:r>
          </w:p>
        </w:tc>
        <w:tc>
          <w:tcPr>
            <w:tcW w:w="972" w:type="dxa"/>
            <w:noWrap/>
            <w:hideMark/>
          </w:tcPr>
          <w:p w14:paraId="6D6FB034" w14:textId="77777777" w:rsidR="00942D11" w:rsidRPr="00765E0A" w:rsidRDefault="00942D11" w:rsidP="003D68D1">
            <w:pPr>
              <w:spacing w:after="0" w:line="240" w:lineRule="auto"/>
              <w:jc w:val="right"/>
              <w:rPr>
                <w:rFonts w:eastAsia="Times New Roman" w:cs="Arial"/>
                <w:b/>
                <w:bCs/>
                <w:color w:val="000000"/>
                <w:sz w:val="15"/>
                <w:szCs w:val="15"/>
                <w:lang w:eastAsia="en-AU"/>
              </w:rPr>
            </w:pPr>
            <w:r w:rsidRPr="00765E0A">
              <w:rPr>
                <w:rFonts w:eastAsia="Times New Roman" w:cs="Arial"/>
                <w:b/>
                <w:bCs/>
                <w:color w:val="000000"/>
                <w:sz w:val="15"/>
                <w:szCs w:val="15"/>
                <w:lang w:eastAsia="en-AU"/>
              </w:rPr>
              <w:t>1,312,706</w:t>
            </w:r>
          </w:p>
        </w:tc>
        <w:tc>
          <w:tcPr>
            <w:tcW w:w="972" w:type="dxa"/>
            <w:noWrap/>
            <w:hideMark/>
          </w:tcPr>
          <w:p w14:paraId="70C7A36A" w14:textId="77777777" w:rsidR="00942D11" w:rsidRPr="00765E0A" w:rsidRDefault="00942D11" w:rsidP="003D68D1">
            <w:pPr>
              <w:spacing w:after="0" w:line="240" w:lineRule="auto"/>
              <w:jc w:val="right"/>
              <w:rPr>
                <w:rFonts w:eastAsia="Times New Roman" w:cs="Arial"/>
                <w:b/>
                <w:bCs/>
                <w:color w:val="000000"/>
                <w:sz w:val="15"/>
                <w:szCs w:val="15"/>
                <w:lang w:eastAsia="en-AU"/>
              </w:rPr>
            </w:pPr>
            <w:r w:rsidRPr="00765E0A">
              <w:rPr>
                <w:rFonts w:eastAsia="Times New Roman" w:cs="Arial"/>
                <w:b/>
                <w:bCs/>
                <w:color w:val="000000"/>
                <w:sz w:val="15"/>
                <w:szCs w:val="15"/>
                <w:lang w:eastAsia="en-AU"/>
              </w:rPr>
              <w:t>1,223,270</w:t>
            </w:r>
          </w:p>
        </w:tc>
        <w:tc>
          <w:tcPr>
            <w:tcW w:w="972" w:type="dxa"/>
            <w:noWrap/>
            <w:hideMark/>
          </w:tcPr>
          <w:p w14:paraId="35D50255" w14:textId="77777777" w:rsidR="00942D11" w:rsidRPr="00765E0A" w:rsidRDefault="00942D11" w:rsidP="003D68D1">
            <w:pPr>
              <w:spacing w:after="0" w:line="240" w:lineRule="auto"/>
              <w:jc w:val="right"/>
              <w:rPr>
                <w:rFonts w:eastAsia="Times New Roman" w:cs="Arial"/>
                <w:b/>
                <w:bCs/>
                <w:color w:val="000000"/>
                <w:sz w:val="15"/>
                <w:szCs w:val="15"/>
                <w:lang w:eastAsia="en-AU"/>
              </w:rPr>
            </w:pPr>
            <w:r w:rsidRPr="00765E0A">
              <w:rPr>
                <w:rFonts w:eastAsia="Times New Roman" w:cs="Arial"/>
                <w:b/>
                <w:bCs/>
                <w:color w:val="000000"/>
                <w:sz w:val="15"/>
                <w:szCs w:val="15"/>
                <w:lang w:eastAsia="en-AU"/>
              </w:rPr>
              <w:t>40,139</w:t>
            </w:r>
          </w:p>
        </w:tc>
        <w:tc>
          <w:tcPr>
            <w:tcW w:w="972" w:type="dxa"/>
            <w:noWrap/>
            <w:hideMark/>
          </w:tcPr>
          <w:p w14:paraId="47C75537" w14:textId="77777777" w:rsidR="00942D11" w:rsidRPr="00765E0A" w:rsidRDefault="00942D11" w:rsidP="003D68D1">
            <w:pPr>
              <w:spacing w:after="0" w:line="240" w:lineRule="auto"/>
              <w:jc w:val="right"/>
              <w:rPr>
                <w:rFonts w:eastAsia="Times New Roman" w:cs="Arial"/>
                <w:b/>
                <w:bCs/>
                <w:color w:val="000000"/>
                <w:sz w:val="15"/>
                <w:szCs w:val="15"/>
                <w:lang w:eastAsia="en-AU"/>
              </w:rPr>
            </w:pPr>
            <w:r w:rsidRPr="00765E0A">
              <w:rPr>
                <w:rFonts w:eastAsia="Times New Roman" w:cs="Arial"/>
                <w:b/>
                <w:bCs/>
                <w:color w:val="000000"/>
                <w:sz w:val="15"/>
                <w:szCs w:val="15"/>
                <w:lang w:eastAsia="en-AU"/>
              </w:rPr>
              <w:t>2,960</w:t>
            </w:r>
          </w:p>
        </w:tc>
        <w:tc>
          <w:tcPr>
            <w:tcW w:w="972" w:type="dxa"/>
            <w:noWrap/>
            <w:hideMark/>
          </w:tcPr>
          <w:p w14:paraId="451CECC2" w14:textId="77777777" w:rsidR="00942D11" w:rsidRPr="00765E0A" w:rsidRDefault="00942D11" w:rsidP="003D68D1">
            <w:pPr>
              <w:spacing w:after="0" w:line="240" w:lineRule="auto"/>
              <w:jc w:val="right"/>
              <w:rPr>
                <w:rFonts w:eastAsia="Times New Roman" w:cs="Arial"/>
                <w:b/>
                <w:bCs/>
                <w:color w:val="000000"/>
                <w:sz w:val="15"/>
                <w:szCs w:val="15"/>
                <w:lang w:eastAsia="en-AU"/>
              </w:rPr>
            </w:pPr>
            <w:r w:rsidRPr="00765E0A">
              <w:rPr>
                <w:rFonts w:eastAsia="Times New Roman" w:cs="Arial"/>
                <w:b/>
                <w:bCs/>
                <w:color w:val="000000"/>
                <w:sz w:val="15"/>
                <w:szCs w:val="15"/>
                <w:lang w:eastAsia="en-AU"/>
              </w:rPr>
              <w:t>63,280</w:t>
            </w:r>
          </w:p>
        </w:tc>
        <w:tc>
          <w:tcPr>
            <w:tcW w:w="972" w:type="dxa"/>
            <w:noWrap/>
            <w:hideMark/>
          </w:tcPr>
          <w:p w14:paraId="01B396C9" w14:textId="77777777" w:rsidR="00942D11" w:rsidRPr="00765E0A" w:rsidRDefault="00942D11" w:rsidP="003D68D1">
            <w:pPr>
              <w:spacing w:after="0" w:line="240" w:lineRule="auto"/>
              <w:jc w:val="right"/>
              <w:rPr>
                <w:rFonts w:eastAsia="Times New Roman" w:cs="Arial"/>
                <w:b/>
                <w:bCs/>
                <w:color w:val="000000"/>
                <w:sz w:val="15"/>
                <w:szCs w:val="15"/>
                <w:lang w:eastAsia="en-AU"/>
              </w:rPr>
            </w:pPr>
            <w:r w:rsidRPr="00765E0A">
              <w:rPr>
                <w:rFonts w:eastAsia="Times New Roman" w:cs="Arial"/>
                <w:b/>
                <w:bCs/>
                <w:color w:val="000000"/>
                <w:sz w:val="15"/>
                <w:szCs w:val="15"/>
                <w:lang w:eastAsia="en-AU"/>
              </w:rPr>
              <w:t>20,442</w:t>
            </w:r>
          </w:p>
        </w:tc>
        <w:tc>
          <w:tcPr>
            <w:tcW w:w="972" w:type="dxa"/>
            <w:noWrap/>
            <w:hideMark/>
          </w:tcPr>
          <w:p w14:paraId="61AC5B5C" w14:textId="77777777" w:rsidR="00942D11" w:rsidRPr="00765E0A" w:rsidRDefault="00942D11" w:rsidP="003D68D1">
            <w:pPr>
              <w:spacing w:after="0" w:line="240" w:lineRule="auto"/>
              <w:jc w:val="right"/>
              <w:rPr>
                <w:rFonts w:eastAsia="Times New Roman" w:cs="Arial"/>
                <w:b/>
                <w:bCs/>
                <w:color w:val="000000"/>
                <w:sz w:val="15"/>
                <w:szCs w:val="15"/>
                <w:lang w:eastAsia="en-AU"/>
              </w:rPr>
            </w:pPr>
            <w:r w:rsidRPr="00765E0A">
              <w:rPr>
                <w:rFonts w:eastAsia="Times New Roman" w:cs="Arial"/>
                <w:b/>
                <w:bCs/>
                <w:color w:val="000000"/>
                <w:sz w:val="15"/>
                <w:szCs w:val="15"/>
                <w:lang w:eastAsia="en-AU"/>
              </w:rPr>
              <w:t>0 </w:t>
            </w:r>
          </w:p>
        </w:tc>
        <w:tc>
          <w:tcPr>
            <w:tcW w:w="972" w:type="dxa"/>
            <w:noWrap/>
            <w:hideMark/>
          </w:tcPr>
          <w:p w14:paraId="2C39B70F" w14:textId="77777777" w:rsidR="00942D11" w:rsidRPr="00BF0CAC" w:rsidRDefault="00942D11" w:rsidP="003D68D1">
            <w:pPr>
              <w:spacing w:after="0" w:line="240" w:lineRule="auto"/>
              <w:jc w:val="right"/>
              <w:rPr>
                <w:rFonts w:eastAsia="Times New Roman" w:cs="Arial"/>
                <w:b/>
                <w:bCs/>
                <w:color w:val="000000"/>
                <w:sz w:val="15"/>
                <w:szCs w:val="15"/>
                <w:lang w:eastAsia="en-AU"/>
              </w:rPr>
            </w:pPr>
            <w:r w:rsidRPr="00BF0CAC">
              <w:rPr>
                <w:rFonts w:eastAsia="Times New Roman" w:cs="Arial"/>
                <w:b/>
                <w:bCs/>
                <w:color w:val="000000"/>
                <w:sz w:val="15"/>
                <w:szCs w:val="15"/>
                <w:lang w:eastAsia="en-AU"/>
              </w:rPr>
              <w:t>1,350,092</w:t>
            </w:r>
          </w:p>
        </w:tc>
      </w:tr>
    </w:tbl>
    <w:p w14:paraId="6DCB8386" w14:textId="342D3B0D" w:rsidR="00942D11" w:rsidRDefault="00061EE0" w:rsidP="00974CBE">
      <w:pPr>
        <w:pStyle w:val="Bodyaftertablefigure"/>
        <w:keepNext/>
        <w:keepLines/>
      </w:pPr>
      <w:r w:rsidRPr="00464B7E">
        <w:t>Combined</w:t>
      </w:r>
      <w:r>
        <w:t xml:space="preserve"> total</w:t>
      </w:r>
      <w:r w:rsidR="00DA050E">
        <w:t xml:space="preserve"> – $’000s</w:t>
      </w:r>
    </w:p>
    <w:tbl>
      <w:tblPr>
        <w:tblW w:w="15026" w:type="dxa"/>
        <w:tblInd w:w="-147" w:type="dxa"/>
        <w:tblLayout w:type="fixed"/>
        <w:tblLook w:val="04A0" w:firstRow="1" w:lastRow="0" w:firstColumn="1" w:lastColumn="0" w:noHBand="0" w:noVBand="1"/>
      </w:tblPr>
      <w:tblGrid>
        <w:gridCol w:w="1418"/>
        <w:gridCol w:w="972"/>
        <w:gridCol w:w="972"/>
        <w:gridCol w:w="972"/>
        <w:gridCol w:w="972"/>
        <w:gridCol w:w="972"/>
        <w:gridCol w:w="972"/>
        <w:gridCol w:w="972"/>
        <w:gridCol w:w="972"/>
        <w:gridCol w:w="972"/>
        <w:gridCol w:w="972"/>
        <w:gridCol w:w="972"/>
        <w:gridCol w:w="972"/>
        <w:gridCol w:w="972"/>
        <w:gridCol w:w="972"/>
      </w:tblGrid>
      <w:tr w:rsidR="00942D11" w:rsidRPr="001B1818" w14:paraId="45592968" w14:textId="77777777" w:rsidTr="003A079F">
        <w:trPr>
          <w:trHeight w:val="90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1E55C26" w14:textId="77777777" w:rsidR="00942D11" w:rsidRPr="001B1818" w:rsidRDefault="00942D11" w:rsidP="003D68D1">
            <w:pPr>
              <w:spacing w:after="0" w:line="240" w:lineRule="auto"/>
              <w:rPr>
                <w:rFonts w:cs="Arial"/>
                <w:b/>
                <w:bCs/>
                <w:color w:val="53565A"/>
                <w:sz w:val="16"/>
                <w:szCs w:val="16"/>
                <w:lang w:eastAsia="en-AU"/>
              </w:rPr>
            </w:pPr>
            <w:r w:rsidRPr="001B1818">
              <w:rPr>
                <w:rFonts w:cs="Arial"/>
                <w:b/>
                <w:bCs/>
                <w:color w:val="53565A"/>
                <w:sz w:val="16"/>
                <w:szCs w:val="16"/>
                <w:lang w:eastAsia="en-AU"/>
              </w:rPr>
              <w:t>Health Service</w:t>
            </w:r>
          </w:p>
        </w:tc>
        <w:tc>
          <w:tcPr>
            <w:tcW w:w="972" w:type="dxa"/>
            <w:tcBorders>
              <w:top w:val="single" w:sz="4" w:space="0" w:color="auto"/>
              <w:left w:val="nil"/>
              <w:bottom w:val="single" w:sz="4" w:space="0" w:color="auto"/>
              <w:right w:val="single" w:sz="4" w:space="0" w:color="auto"/>
            </w:tcBorders>
            <w:shd w:val="clear" w:color="auto" w:fill="auto"/>
            <w:hideMark/>
          </w:tcPr>
          <w:p w14:paraId="570CD45A" w14:textId="77777777" w:rsidR="00942D11" w:rsidRPr="001B1818" w:rsidRDefault="00942D11" w:rsidP="003D68D1">
            <w:pPr>
              <w:spacing w:after="0" w:line="240" w:lineRule="auto"/>
              <w:jc w:val="right"/>
              <w:rPr>
                <w:rFonts w:cs="Arial"/>
                <w:b/>
                <w:bCs/>
                <w:color w:val="53565A"/>
                <w:sz w:val="16"/>
                <w:szCs w:val="16"/>
                <w:lang w:eastAsia="en-AU"/>
              </w:rPr>
            </w:pPr>
            <w:r w:rsidRPr="001B1818">
              <w:rPr>
                <w:rFonts w:cs="Arial"/>
                <w:b/>
                <w:bCs/>
                <w:color w:val="53565A"/>
                <w:sz w:val="16"/>
                <w:szCs w:val="16"/>
                <w:lang w:eastAsia="en-AU"/>
              </w:rPr>
              <w:t>2022–23</w:t>
            </w:r>
            <w:r>
              <w:rPr>
                <w:rFonts w:cs="Arial"/>
                <w:b/>
                <w:bCs/>
                <w:color w:val="53565A"/>
                <w:sz w:val="16"/>
                <w:szCs w:val="16"/>
                <w:lang w:eastAsia="en-AU"/>
              </w:rPr>
              <w:t xml:space="preserve"> </w:t>
            </w:r>
            <w:r w:rsidRPr="001B1818">
              <w:rPr>
                <w:rFonts w:cs="Arial"/>
                <w:b/>
                <w:bCs/>
                <w:color w:val="53565A"/>
                <w:sz w:val="16"/>
                <w:szCs w:val="16"/>
                <w:lang w:eastAsia="en-AU"/>
              </w:rPr>
              <w:br w:type="page"/>
              <w:t>Acute health services</w:t>
            </w:r>
          </w:p>
        </w:tc>
        <w:tc>
          <w:tcPr>
            <w:tcW w:w="972" w:type="dxa"/>
            <w:tcBorders>
              <w:top w:val="single" w:sz="4" w:space="0" w:color="auto"/>
              <w:left w:val="nil"/>
              <w:bottom w:val="single" w:sz="4" w:space="0" w:color="auto"/>
              <w:right w:val="single" w:sz="4" w:space="0" w:color="auto"/>
            </w:tcBorders>
            <w:shd w:val="clear" w:color="auto" w:fill="auto"/>
            <w:hideMark/>
          </w:tcPr>
          <w:p w14:paraId="223B6388" w14:textId="77777777" w:rsidR="00942D11" w:rsidRPr="001B1818" w:rsidRDefault="00942D11" w:rsidP="003D68D1">
            <w:pPr>
              <w:spacing w:after="0" w:line="240" w:lineRule="auto"/>
              <w:jc w:val="right"/>
              <w:rPr>
                <w:rFonts w:cs="Arial"/>
                <w:b/>
                <w:bCs/>
                <w:color w:val="53565A"/>
                <w:sz w:val="16"/>
                <w:szCs w:val="16"/>
                <w:lang w:eastAsia="en-AU"/>
              </w:rPr>
            </w:pPr>
            <w:r w:rsidRPr="001B1818">
              <w:rPr>
                <w:rFonts w:cs="Arial"/>
                <w:b/>
                <w:bCs/>
                <w:color w:val="53565A"/>
                <w:sz w:val="16"/>
                <w:szCs w:val="16"/>
                <w:lang w:eastAsia="en-AU"/>
              </w:rPr>
              <w:t>2022–23</w:t>
            </w:r>
            <w:r>
              <w:rPr>
                <w:rFonts w:cs="Arial"/>
                <w:b/>
                <w:bCs/>
                <w:color w:val="53565A"/>
                <w:sz w:val="16"/>
                <w:szCs w:val="16"/>
                <w:lang w:eastAsia="en-AU"/>
              </w:rPr>
              <w:t xml:space="preserve"> </w:t>
            </w:r>
            <w:r w:rsidRPr="001B1818">
              <w:rPr>
                <w:rFonts w:cs="Arial"/>
                <w:b/>
                <w:bCs/>
                <w:color w:val="53565A"/>
                <w:sz w:val="16"/>
                <w:szCs w:val="16"/>
                <w:lang w:eastAsia="en-AU"/>
              </w:rPr>
              <w:br w:type="page"/>
              <w:t>Ageing, aged and home care</w:t>
            </w:r>
          </w:p>
        </w:tc>
        <w:tc>
          <w:tcPr>
            <w:tcW w:w="972" w:type="dxa"/>
            <w:tcBorders>
              <w:top w:val="single" w:sz="4" w:space="0" w:color="auto"/>
              <w:left w:val="nil"/>
              <w:bottom w:val="single" w:sz="4" w:space="0" w:color="auto"/>
              <w:right w:val="single" w:sz="4" w:space="0" w:color="auto"/>
            </w:tcBorders>
            <w:shd w:val="clear" w:color="auto" w:fill="auto"/>
            <w:hideMark/>
          </w:tcPr>
          <w:p w14:paraId="5B6612ED" w14:textId="77777777" w:rsidR="00942D11" w:rsidRPr="001B1818" w:rsidRDefault="00942D11" w:rsidP="003D68D1">
            <w:pPr>
              <w:spacing w:after="0" w:line="240" w:lineRule="auto"/>
              <w:jc w:val="right"/>
              <w:rPr>
                <w:rFonts w:cs="Arial"/>
                <w:b/>
                <w:bCs/>
                <w:color w:val="53565A"/>
                <w:sz w:val="16"/>
                <w:szCs w:val="16"/>
                <w:lang w:eastAsia="en-AU"/>
              </w:rPr>
            </w:pPr>
            <w:r w:rsidRPr="001B1818">
              <w:rPr>
                <w:rFonts w:cs="Arial"/>
                <w:b/>
                <w:bCs/>
                <w:color w:val="53565A"/>
                <w:sz w:val="16"/>
                <w:szCs w:val="16"/>
                <w:lang w:eastAsia="en-AU"/>
              </w:rPr>
              <w:t>2022–23</w:t>
            </w:r>
            <w:r w:rsidRPr="001B1818">
              <w:rPr>
                <w:rFonts w:cs="Arial"/>
                <w:b/>
                <w:bCs/>
                <w:color w:val="53565A"/>
                <w:sz w:val="16"/>
                <w:szCs w:val="16"/>
                <w:lang w:eastAsia="en-AU"/>
              </w:rPr>
              <w:br w:type="page"/>
            </w:r>
            <w:r>
              <w:rPr>
                <w:rFonts w:cs="Arial"/>
                <w:b/>
                <w:bCs/>
                <w:color w:val="53565A"/>
                <w:sz w:val="16"/>
                <w:szCs w:val="16"/>
                <w:lang w:eastAsia="en-AU"/>
              </w:rPr>
              <w:t xml:space="preserve"> </w:t>
            </w:r>
            <w:r w:rsidRPr="001B1818">
              <w:rPr>
                <w:rFonts w:cs="Arial"/>
                <w:b/>
                <w:bCs/>
                <w:color w:val="53565A"/>
                <w:sz w:val="16"/>
                <w:szCs w:val="16"/>
                <w:lang w:eastAsia="en-AU"/>
              </w:rPr>
              <w:t>Drugs services</w:t>
            </w:r>
          </w:p>
        </w:tc>
        <w:tc>
          <w:tcPr>
            <w:tcW w:w="972" w:type="dxa"/>
            <w:tcBorders>
              <w:top w:val="single" w:sz="4" w:space="0" w:color="auto"/>
              <w:left w:val="nil"/>
              <w:bottom w:val="single" w:sz="4" w:space="0" w:color="auto"/>
              <w:right w:val="single" w:sz="4" w:space="0" w:color="auto"/>
            </w:tcBorders>
            <w:shd w:val="clear" w:color="auto" w:fill="auto"/>
            <w:hideMark/>
          </w:tcPr>
          <w:p w14:paraId="75F0E29D" w14:textId="77777777" w:rsidR="00942D11" w:rsidRPr="001B1818" w:rsidRDefault="00942D11" w:rsidP="003D68D1">
            <w:pPr>
              <w:spacing w:after="0" w:line="240" w:lineRule="auto"/>
              <w:jc w:val="right"/>
              <w:rPr>
                <w:rFonts w:cs="Arial"/>
                <w:b/>
                <w:bCs/>
                <w:color w:val="53565A"/>
                <w:sz w:val="16"/>
                <w:szCs w:val="16"/>
                <w:lang w:eastAsia="en-AU"/>
              </w:rPr>
            </w:pPr>
            <w:r w:rsidRPr="001B1818">
              <w:rPr>
                <w:rFonts w:cs="Arial"/>
                <w:b/>
                <w:bCs/>
                <w:color w:val="53565A"/>
                <w:sz w:val="16"/>
                <w:szCs w:val="16"/>
                <w:lang w:eastAsia="en-AU"/>
              </w:rPr>
              <w:t>2022–23</w:t>
            </w:r>
            <w:r>
              <w:rPr>
                <w:rFonts w:cs="Arial"/>
                <w:b/>
                <w:bCs/>
                <w:color w:val="53565A"/>
                <w:sz w:val="16"/>
                <w:szCs w:val="16"/>
                <w:lang w:eastAsia="en-AU"/>
              </w:rPr>
              <w:t xml:space="preserve"> </w:t>
            </w:r>
            <w:r w:rsidRPr="001B1818">
              <w:rPr>
                <w:rFonts w:cs="Arial"/>
                <w:b/>
                <w:bCs/>
                <w:color w:val="53565A"/>
                <w:sz w:val="16"/>
                <w:szCs w:val="16"/>
                <w:lang w:eastAsia="en-AU"/>
              </w:rPr>
              <w:br w:type="page"/>
              <w:t>Mental health</w:t>
            </w:r>
          </w:p>
        </w:tc>
        <w:tc>
          <w:tcPr>
            <w:tcW w:w="972" w:type="dxa"/>
            <w:tcBorders>
              <w:top w:val="single" w:sz="4" w:space="0" w:color="auto"/>
              <w:left w:val="nil"/>
              <w:bottom w:val="single" w:sz="4" w:space="0" w:color="auto"/>
              <w:right w:val="single" w:sz="4" w:space="0" w:color="auto"/>
            </w:tcBorders>
            <w:shd w:val="clear" w:color="auto" w:fill="auto"/>
            <w:hideMark/>
          </w:tcPr>
          <w:p w14:paraId="35329D0B" w14:textId="77777777" w:rsidR="00942D11" w:rsidRPr="001B1818" w:rsidRDefault="00942D11" w:rsidP="003D68D1">
            <w:pPr>
              <w:spacing w:after="0" w:line="240" w:lineRule="auto"/>
              <w:jc w:val="right"/>
              <w:rPr>
                <w:rFonts w:cs="Arial"/>
                <w:b/>
                <w:bCs/>
                <w:color w:val="53565A"/>
                <w:sz w:val="16"/>
                <w:szCs w:val="16"/>
                <w:lang w:eastAsia="en-AU"/>
              </w:rPr>
            </w:pPr>
            <w:r w:rsidRPr="001B1818">
              <w:rPr>
                <w:rFonts w:cs="Arial"/>
                <w:b/>
                <w:bCs/>
                <w:color w:val="53565A"/>
                <w:sz w:val="16"/>
                <w:szCs w:val="16"/>
                <w:lang w:eastAsia="en-AU"/>
              </w:rPr>
              <w:t>2022–23</w:t>
            </w:r>
            <w:r>
              <w:rPr>
                <w:rFonts w:cs="Arial"/>
                <w:b/>
                <w:bCs/>
                <w:color w:val="53565A"/>
                <w:sz w:val="16"/>
                <w:szCs w:val="16"/>
                <w:lang w:eastAsia="en-AU"/>
              </w:rPr>
              <w:t xml:space="preserve"> </w:t>
            </w:r>
            <w:r w:rsidRPr="001B1818">
              <w:rPr>
                <w:rFonts w:cs="Arial"/>
                <w:b/>
                <w:bCs/>
                <w:color w:val="53565A"/>
                <w:sz w:val="16"/>
                <w:szCs w:val="16"/>
                <w:lang w:eastAsia="en-AU"/>
              </w:rPr>
              <w:br w:type="page"/>
              <w:t>Primary and dental health</w:t>
            </w:r>
          </w:p>
        </w:tc>
        <w:tc>
          <w:tcPr>
            <w:tcW w:w="972" w:type="dxa"/>
            <w:tcBorders>
              <w:top w:val="single" w:sz="4" w:space="0" w:color="auto"/>
              <w:left w:val="nil"/>
              <w:bottom w:val="single" w:sz="4" w:space="0" w:color="auto"/>
              <w:right w:val="single" w:sz="4" w:space="0" w:color="auto"/>
            </w:tcBorders>
            <w:shd w:val="clear" w:color="auto" w:fill="auto"/>
            <w:hideMark/>
          </w:tcPr>
          <w:p w14:paraId="71BF7A25" w14:textId="77777777" w:rsidR="00942D11" w:rsidRPr="001B1818" w:rsidRDefault="00942D11" w:rsidP="003D68D1">
            <w:pPr>
              <w:spacing w:after="0" w:line="240" w:lineRule="auto"/>
              <w:jc w:val="right"/>
              <w:rPr>
                <w:rFonts w:cs="Arial"/>
                <w:b/>
                <w:bCs/>
                <w:color w:val="53565A"/>
                <w:sz w:val="16"/>
                <w:szCs w:val="16"/>
                <w:lang w:eastAsia="en-AU"/>
              </w:rPr>
            </w:pPr>
            <w:r w:rsidRPr="001B1818">
              <w:rPr>
                <w:rFonts w:cs="Arial"/>
                <w:b/>
                <w:bCs/>
                <w:color w:val="53565A"/>
                <w:sz w:val="16"/>
                <w:szCs w:val="16"/>
                <w:lang w:eastAsia="en-AU"/>
              </w:rPr>
              <w:t>2022–23</w:t>
            </w:r>
            <w:r w:rsidRPr="001B1818">
              <w:rPr>
                <w:rFonts w:cs="Arial"/>
                <w:b/>
                <w:bCs/>
                <w:color w:val="53565A"/>
                <w:sz w:val="16"/>
                <w:szCs w:val="16"/>
                <w:lang w:eastAsia="en-AU"/>
              </w:rPr>
              <w:br w:type="page"/>
            </w:r>
            <w:r>
              <w:rPr>
                <w:rFonts w:cs="Arial"/>
                <w:b/>
                <w:bCs/>
                <w:color w:val="53565A"/>
                <w:sz w:val="16"/>
                <w:szCs w:val="16"/>
                <w:lang w:eastAsia="en-AU"/>
              </w:rPr>
              <w:t xml:space="preserve"> </w:t>
            </w:r>
            <w:r w:rsidRPr="001B1818">
              <w:rPr>
                <w:rFonts w:cs="Arial"/>
                <w:b/>
                <w:bCs/>
                <w:color w:val="53565A"/>
                <w:sz w:val="16"/>
                <w:szCs w:val="16"/>
                <w:lang w:eastAsia="en-AU"/>
              </w:rPr>
              <w:t>Public health</w:t>
            </w:r>
          </w:p>
        </w:tc>
        <w:tc>
          <w:tcPr>
            <w:tcW w:w="972" w:type="dxa"/>
            <w:tcBorders>
              <w:top w:val="single" w:sz="4" w:space="0" w:color="auto"/>
              <w:left w:val="nil"/>
              <w:bottom w:val="single" w:sz="4" w:space="0" w:color="auto"/>
              <w:right w:val="single" w:sz="4" w:space="0" w:color="auto"/>
            </w:tcBorders>
            <w:shd w:val="clear" w:color="auto" w:fill="auto"/>
            <w:hideMark/>
          </w:tcPr>
          <w:p w14:paraId="59BDE4C3" w14:textId="77777777" w:rsidR="00942D11" w:rsidRPr="001B1818" w:rsidRDefault="00942D11" w:rsidP="003D68D1">
            <w:pPr>
              <w:spacing w:after="0" w:line="240" w:lineRule="auto"/>
              <w:jc w:val="right"/>
              <w:rPr>
                <w:rFonts w:cs="Arial"/>
                <w:b/>
                <w:bCs/>
                <w:color w:val="53565A"/>
                <w:sz w:val="16"/>
                <w:szCs w:val="16"/>
                <w:lang w:eastAsia="en-AU"/>
              </w:rPr>
            </w:pPr>
            <w:r w:rsidRPr="001B1818">
              <w:rPr>
                <w:rFonts w:cs="Arial"/>
                <w:b/>
                <w:bCs/>
                <w:color w:val="53565A"/>
                <w:sz w:val="16"/>
                <w:szCs w:val="16"/>
                <w:lang w:eastAsia="en-AU"/>
              </w:rPr>
              <w:t>2022–23</w:t>
            </w:r>
            <w:r>
              <w:rPr>
                <w:rFonts w:cs="Arial"/>
                <w:b/>
                <w:bCs/>
                <w:color w:val="53565A"/>
                <w:sz w:val="16"/>
                <w:szCs w:val="16"/>
                <w:lang w:eastAsia="en-AU"/>
              </w:rPr>
              <w:t xml:space="preserve"> </w:t>
            </w:r>
            <w:r w:rsidRPr="001B1818">
              <w:rPr>
                <w:rFonts w:cs="Arial"/>
                <w:b/>
                <w:bCs/>
                <w:color w:val="53565A"/>
                <w:sz w:val="16"/>
                <w:szCs w:val="16"/>
                <w:lang w:eastAsia="en-AU"/>
              </w:rPr>
              <w:br w:type="page"/>
              <w:t>Total</w:t>
            </w:r>
          </w:p>
        </w:tc>
        <w:tc>
          <w:tcPr>
            <w:tcW w:w="972" w:type="dxa"/>
            <w:tcBorders>
              <w:top w:val="single" w:sz="4" w:space="0" w:color="auto"/>
              <w:left w:val="nil"/>
              <w:bottom w:val="single" w:sz="4" w:space="0" w:color="auto"/>
              <w:right w:val="single" w:sz="4" w:space="0" w:color="auto"/>
            </w:tcBorders>
            <w:shd w:val="clear" w:color="auto" w:fill="auto"/>
            <w:hideMark/>
          </w:tcPr>
          <w:p w14:paraId="64FDE87A" w14:textId="77777777" w:rsidR="00942D11" w:rsidRPr="001B1818" w:rsidRDefault="00942D11" w:rsidP="003D68D1">
            <w:pPr>
              <w:spacing w:after="0" w:line="240" w:lineRule="auto"/>
              <w:jc w:val="right"/>
              <w:rPr>
                <w:rFonts w:cs="Arial"/>
                <w:b/>
                <w:bCs/>
                <w:color w:val="53565A"/>
                <w:sz w:val="16"/>
                <w:szCs w:val="16"/>
                <w:lang w:eastAsia="en-AU"/>
              </w:rPr>
            </w:pPr>
            <w:r w:rsidRPr="001B1818">
              <w:rPr>
                <w:rFonts w:cs="Arial"/>
                <w:b/>
                <w:bCs/>
                <w:color w:val="53565A"/>
                <w:sz w:val="16"/>
                <w:szCs w:val="16"/>
                <w:lang w:eastAsia="en-AU"/>
              </w:rPr>
              <w:t>2023–24</w:t>
            </w:r>
            <w:r w:rsidRPr="001B1818">
              <w:rPr>
                <w:rFonts w:cs="Arial"/>
                <w:b/>
                <w:bCs/>
                <w:color w:val="53565A"/>
                <w:sz w:val="16"/>
                <w:szCs w:val="16"/>
                <w:lang w:eastAsia="en-AU"/>
              </w:rPr>
              <w:br w:type="page"/>
            </w:r>
            <w:r>
              <w:rPr>
                <w:rFonts w:cs="Arial"/>
                <w:b/>
                <w:bCs/>
                <w:color w:val="53565A"/>
                <w:sz w:val="16"/>
                <w:szCs w:val="16"/>
                <w:lang w:eastAsia="en-AU"/>
              </w:rPr>
              <w:t xml:space="preserve"> </w:t>
            </w:r>
            <w:r w:rsidRPr="001B1818">
              <w:rPr>
                <w:rFonts w:cs="Arial"/>
                <w:b/>
                <w:bCs/>
                <w:color w:val="53565A"/>
                <w:sz w:val="16"/>
                <w:szCs w:val="16"/>
                <w:lang w:eastAsia="en-AU"/>
              </w:rPr>
              <w:t>Acute health services</w:t>
            </w:r>
          </w:p>
        </w:tc>
        <w:tc>
          <w:tcPr>
            <w:tcW w:w="972" w:type="dxa"/>
            <w:tcBorders>
              <w:top w:val="single" w:sz="4" w:space="0" w:color="auto"/>
              <w:left w:val="nil"/>
              <w:bottom w:val="single" w:sz="4" w:space="0" w:color="auto"/>
              <w:right w:val="single" w:sz="4" w:space="0" w:color="auto"/>
            </w:tcBorders>
            <w:shd w:val="clear" w:color="auto" w:fill="auto"/>
            <w:hideMark/>
          </w:tcPr>
          <w:p w14:paraId="7BCC6FC7" w14:textId="77777777" w:rsidR="00942D11" w:rsidRPr="001B1818" w:rsidRDefault="00942D11" w:rsidP="003D68D1">
            <w:pPr>
              <w:spacing w:after="0" w:line="240" w:lineRule="auto"/>
              <w:jc w:val="right"/>
              <w:rPr>
                <w:rFonts w:cs="Arial"/>
                <w:b/>
                <w:bCs/>
                <w:color w:val="53565A"/>
                <w:sz w:val="16"/>
                <w:szCs w:val="16"/>
                <w:lang w:eastAsia="en-AU"/>
              </w:rPr>
            </w:pPr>
            <w:r w:rsidRPr="001B1818">
              <w:rPr>
                <w:rFonts w:cs="Arial"/>
                <w:b/>
                <w:bCs/>
                <w:color w:val="53565A"/>
                <w:sz w:val="16"/>
                <w:szCs w:val="16"/>
                <w:lang w:eastAsia="en-AU"/>
              </w:rPr>
              <w:t>2023–24</w:t>
            </w:r>
            <w:r>
              <w:rPr>
                <w:rFonts w:cs="Arial"/>
                <w:b/>
                <w:bCs/>
                <w:color w:val="53565A"/>
                <w:sz w:val="16"/>
                <w:szCs w:val="16"/>
                <w:lang w:eastAsia="en-AU"/>
              </w:rPr>
              <w:t xml:space="preserve"> </w:t>
            </w:r>
            <w:r w:rsidRPr="001B1818">
              <w:rPr>
                <w:rFonts w:cs="Arial"/>
                <w:b/>
                <w:bCs/>
                <w:color w:val="53565A"/>
                <w:sz w:val="16"/>
                <w:szCs w:val="16"/>
                <w:lang w:eastAsia="en-AU"/>
              </w:rPr>
              <w:br w:type="page"/>
              <w:t>Ageing, aged and home care</w:t>
            </w:r>
          </w:p>
        </w:tc>
        <w:tc>
          <w:tcPr>
            <w:tcW w:w="972" w:type="dxa"/>
            <w:tcBorders>
              <w:top w:val="single" w:sz="4" w:space="0" w:color="auto"/>
              <w:left w:val="nil"/>
              <w:bottom w:val="single" w:sz="4" w:space="0" w:color="auto"/>
              <w:right w:val="single" w:sz="4" w:space="0" w:color="auto"/>
            </w:tcBorders>
            <w:shd w:val="clear" w:color="auto" w:fill="auto"/>
            <w:hideMark/>
          </w:tcPr>
          <w:p w14:paraId="6CE90EDD" w14:textId="77777777" w:rsidR="00942D11" w:rsidRPr="001B1818" w:rsidRDefault="00942D11" w:rsidP="003D68D1">
            <w:pPr>
              <w:spacing w:after="0" w:line="240" w:lineRule="auto"/>
              <w:jc w:val="right"/>
              <w:rPr>
                <w:rFonts w:cs="Arial"/>
                <w:b/>
                <w:bCs/>
                <w:color w:val="53565A"/>
                <w:sz w:val="16"/>
                <w:szCs w:val="16"/>
                <w:lang w:eastAsia="en-AU"/>
              </w:rPr>
            </w:pPr>
            <w:r w:rsidRPr="001B1818">
              <w:rPr>
                <w:rFonts w:cs="Arial"/>
                <w:b/>
                <w:bCs/>
                <w:color w:val="53565A"/>
                <w:sz w:val="16"/>
                <w:szCs w:val="16"/>
                <w:lang w:eastAsia="en-AU"/>
              </w:rPr>
              <w:t>2023–24</w:t>
            </w:r>
            <w:r>
              <w:rPr>
                <w:rFonts w:cs="Arial"/>
                <w:b/>
                <w:bCs/>
                <w:color w:val="53565A"/>
                <w:sz w:val="16"/>
                <w:szCs w:val="16"/>
                <w:lang w:eastAsia="en-AU"/>
              </w:rPr>
              <w:t xml:space="preserve"> </w:t>
            </w:r>
            <w:r w:rsidRPr="001B1818">
              <w:rPr>
                <w:rFonts w:cs="Arial"/>
                <w:b/>
                <w:bCs/>
                <w:color w:val="53565A"/>
                <w:sz w:val="16"/>
                <w:szCs w:val="16"/>
                <w:lang w:eastAsia="en-AU"/>
              </w:rPr>
              <w:br w:type="page"/>
              <w:t>Drugs services</w:t>
            </w:r>
          </w:p>
        </w:tc>
        <w:tc>
          <w:tcPr>
            <w:tcW w:w="972" w:type="dxa"/>
            <w:tcBorders>
              <w:top w:val="single" w:sz="4" w:space="0" w:color="auto"/>
              <w:left w:val="nil"/>
              <w:bottom w:val="single" w:sz="4" w:space="0" w:color="auto"/>
              <w:right w:val="single" w:sz="4" w:space="0" w:color="auto"/>
            </w:tcBorders>
            <w:shd w:val="clear" w:color="auto" w:fill="auto"/>
            <w:hideMark/>
          </w:tcPr>
          <w:p w14:paraId="43EC31F1" w14:textId="77777777" w:rsidR="00942D11" w:rsidRPr="001B1818" w:rsidRDefault="00942D11" w:rsidP="003D68D1">
            <w:pPr>
              <w:spacing w:after="0" w:line="240" w:lineRule="auto"/>
              <w:jc w:val="right"/>
              <w:rPr>
                <w:rFonts w:cs="Arial"/>
                <w:b/>
                <w:bCs/>
                <w:color w:val="53565A"/>
                <w:sz w:val="16"/>
                <w:szCs w:val="16"/>
                <w:lang w:eastAsia="en-AU"/>
              </w:rPr>
            </w:pPr>
            <w:r w:rsidRPr="001B1818">
              <w:rPr>
                <w:rFonts w:cs="Arial"/>
                <w:b/>
                <w:bCs/>
                <w:color w:val="53565A"/>
                <w:sz w:val="16"/>
                <w:szCs w:val="16"/>
                <w:lang w:eastAsia="en-AU"/>
              </w:rPr>
              <w:t>2023–24</w:t>
            </w:r>
            <w:r>
              <w:rPr>
                <w:rFonts w:cs="Arial"/>
                <w:b/>
                <w:bCs/>
                <w:color w:val="53565A"/>
                <w:sz w:val="16"/>
                <w:szCs w:val="16"/>
                <w:lang w:eastAsia="en-AU"/>
              </w:rPr>
              <w:t xml:space="preserve"> </w:t>
            </w:r>
            <w:r w:rsidRPr="001B1818">
              <w:rPr>
                <w:rFonts w:cs="Arial"/>
                <w:b/>
                <w:bCs/>
                <w:color w:val="53565A"/>
                <w:sz w:val="16"/>
                <w:szCs w:val="16"/>
                <w:lang w:eastAsia="en-AU"/>
              </w:rPr>
              <w:br w:type="page"/>
              <w:t>Mental health</w:t>
            </w:r>
          </w:p>
        </w:tc>
        <w:tc>
          <w:tcPr>
            <w:tcW w:w="972" w:type="dxa"/>
            <w:tcBorders>
              <w:top w:val="single" w:sz="4" w:space="0" w:color="auto"/>
              <w:left w:val="nil"/>
              <w:bottom w:val="single" w:sz="4" w:space="0" w:color="auto"/>
              <w:right w:val="single" w:sz="4" w:space="0" w:color="auto"/>
            </w:tcBorders>
            <w:shd w:val="clear" w:color="auto" w:fill="auto"/>
            <w:hideMark/>
          </w:tcPr>
          <w:p w14:paraId="5744B58E" w14:textId="77777777" w:rsidR="00942D11" w:rsidRPr="001B1818" w:rsidRDefault="00942D11" w:rsidP="003D68D1">
            <w:pPr>
              <w:spacing w:after="0" w:line="240" w:lineRule="auto"/>
              <w:jc w:val="right"/>
              <w:rPr>
                <w:rFonts w:cs="Arial"/>
                <w:b/>
                <w:bCs/>
                <w:color w:val="53565A"/>
                <w:sz w:val="16"/>
                <w:szCs w:val="16"/>
                <w:lang w:eastAsia="en-AU"/>
              </w:rPr>
            </w:pPr>
            <w:r w:rsidRPr="001B1818">
              <w:rPr>
                <w:rFonts w:cs="Arial"/>
                <w:b/>
                <w:bCs/>
                <w:color w:val="53565A"/>
                <w:sz w:val="16"/>
                <w:szCs w:val="16"/>
                <w:lang w:eastAsia="en-AU"/>
              </w:rPr>
              <w:t>2023–24</w:t>
            </w:r>
            <w:r w:rsidRPr="001B1818">
              <w:rPr>
                <w:rFonts w:cs="Arial"/>
                <w:b/>
                <w:bCs/>
                <w:color w:val="53565A"/>
                <w:sz w:val="16"/>
                <w:szCs w:val="16"/>
                <w:lang w:eastAsia="en-AU"/>
              </w:rPr>
              <w:br w:type="page"/>
            </w:r>
            <w:r>
              <w:rPr>
                <w:rFonts w:cs="Arial"/>
                <w:b/>
                <w:bCs/>
                <w:color w:val="53565A"/>
                <w:sz w:val="16"/>
                <w:szCs w:val="16"/>
                <w:lang w:eastAsia="en-AU"/>
              </w:rPr>
              <w:t xml:space="preserve"> </w:t>
            </w:r>
            <w:r w:rsidRPr="001B1818">
              <w:rPr>
                <w:rFonts w:cs="Arial"/>
                <w:b/>
                <w:bCs/>
                <w:color w:val="53565A"/>
                <w:sz w:val="16"/>
                <w:szCs w:val="16"/>
                <w:lang w:eastAsia="en-AU"/>
              </w:rPr>
              <w:t>Primary and dental health</w:t>
            </w:r>
          </w:p>
        </w:tc>
        <w:tc>
          <w:tcPr>
            <w:tcW w:w="972" w:type="dxa"/>
            <w:tcBorders>
              <w:top w:val="single" w:sz="4" w:space="0" w:color="auto"/>
              <w:left w:val="nil"/>
              <w:bottom w:val="single" w:sz="4" w:space="0" w:color="auto"/>
              <w:right w:val="single" w:sz="4" w:space="0" w:color="auto"/>
            </w:tcBorders>
            <w:shd w:val="clear" w:color="auto" w:fill="auto"/>
            <w:hideMark/>
          </w:tcPr>
          <w:p w14:paraId="01F5DB9C" w14:textId="77777777" w:rsidR="00942D11" w:rsidRPr="001B1818" w:rsidRDefault="00942D11" w:rsidP="003D68D1">
            <w:pPr>
              <w:spacing w:after="0" w:line="240" w:lineRule="auto"/>
              <w:jc w:val="right"/>
              <w:rPr>
                <w:rFonts w:cs="Arial"/>
                <w:b/>
                <w:bCs/>
                <w:color w:val="53565A"/>
                <w:sz w:val="16"/>
                <w:szCs w:val="16"/>
                <w:lang w:eastAsia="en-AU"/>
              </w:rPr>
            </w:pPr>
            <w:r w:rsidRPr="001B1818">
              <w:rPr>
                <w:rFonts w:cs="Arial"/>
                <w:b/>
                <w:bCs/>
                <w:color w:val="53565A"/>
                <w:sz w:val="16"/>
                <w:szCs w:val="16"/>
                <w:lang w:eastAsia="en-AU"/>
              </w:rPr>
              <w:t>2023–24</w:t>
            </w:r>
            <w:r w:rsidRPr="001B1818">
              <w:rPr>
                <w:rFonts w:cs="Arial"/>
                <w:b/>
                <w:bCs/>
                <w:color w:val="53565A"/>
                <w:sz w:val="16"/>
                <w:szCs w:val="16"/>
                <w:lang w:eastAsia="en-AU"/>
              </w:rPr>
              <w:br w:type="page"/>
            </w:r>
            <w:r>
              <w:rPr>
                <w:rFonts w:cs="Arial"/>
                <w:b/>
                <w:bCs/>
                <w:color w:val="53565A"/>
                <w:sz w:val="16"/>
                <w:szCs w:val="16"/>
                <w:lang w:eastAsia="en-AU"/>
              </w:rPr>
              <w:t xml:space="preserve"> </w:t>
            </w:r>
            <w:r w:rsidRPr="001B1818">
              <w:rPr>
                <w:rFonts w:cs="Arial"/>
                <w:b/>
                <w:bCs/>
                <w:color w:val="53565A"/>
                <w:sz w:val="16"/>
                <w:szCs w:val="16"/>
                <w:lang w:eastAsia="en-AU"/>
              </w:rPr>
              <w:t>Public health</w:t>
            </w:r>
          </w:p>
        </w:tc>
        <w:tc>
          <w:tcPr>
            <w:tcW w:w="972" w:type="dxa"/>
            <w:tcBorders>
              <w:top w:val="single" w:sz="4" w:space="0" w:color="auto"/>
              <w:left w:val="nil"/>
              <w:bottom w:val="single" w:sz="4" w:space="0" w:color="auto"/>
              <w:right w:val="single" w:sz="4" w:space="0" w:color="auto"/>
            </w:tcBorders>
            <w:shd w:val="clear" w:color="auto" w:fill="auto"/>
            <w:hideMark/>
          </w:tcPr>
          <w:p w14:paraId="4FF6AD0A" w14:textId="77777777" w:rsidR="00942D11" w:rsidRPr="001B1818" w:rsidRDefault="00942D11" w:rsidP="003D68D1">
            <w:pPr>
              <w:spacing w:after="0" w:line="240" w:lineRule="auto"/>
              <w:jc w:val="right"/>
              <w:rPr>
                <w:rFonts w:cs="Arial"/>
                <w:b/>
                <w:bCs/>
                <w:color w:val="53565A"/>
                <w:sz w:val="16"/>
                <w:szCs w:val="16"/>
                <w:lang w:eastAsia="en-AU"/>
              </w:rPr>
            </w:pPr>
            <w:r w:rsidRPr="001B1818">
              <w:rPr>
                <w:rFonts w:cs="Arial"/>
                <w:b/>
                <w:bCs/>
                <w:color w:val="53565A"/>
                <w:sz w:val="16"/>
                <w:szCs w:val="16"/>
                <w:lang w:eastAsia="en-AU"/>
              </w:rPr>
              <w:t>2023–24</w:t>
            </w:r>
            <w:r w:rsidRPr="001B1818">
              <w:rPr>
                <w:rFonts w:cs="Arial"/>
                <w:b/>
                <w:bCs/>
                <w:color w:val="53565A"/>
                <w:sz w:val="16"/>
                <w:szCs w:val="16"/>
                <w:lang w:eastAsia="en-AU"/>
              </w:rPr>
              <w:br w:type="page"/>
            </w:r>
            <w:r>
              <w:rPr>
                <w:rFonts w:cs="Arial"/>
                <w:b/>
                <w:bCs/>
                <w:color w:val="53565A"/>
                <w:sz w:val="16"/>
                <w:szCs w:val="16"/>
                <w:lang w:eastAsia="en-AU"/>
              </w:rPr>
              <w:t xml:space="preserve"> </w:t>
            </w:r>
            <w:r w:rsidRPr="001B1818">
              <w:rPr>
                <w:rFonts w:cs="Arial"/>
                <w:b/>
                <w:bCs/>
                <w:color w:val="53565A"/>
                <w:sz w:val="16"/>
                <w:szCs w:val="16"/>
                <w:lang w:eastAsia="en-AU"/>
              </w:rPr>
              <w:t>Total</w:t>
            </w:r>
          </w:p>
        </w:tc>
      </w:tr>
      <w:tr w:rsidR="00942D11" w:rsidRPr="001B1818" w14:paraId="3E918771" w14:textId="77777777" w:rsidTr="003A079F">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8966449" w14:textId="77777777" w:rsidR="00942D11" w:rsidRPr="001B1818" w:rsidRDefault="00942D11" w:rsidP="003D68D1">
            <w:pPr>
              <w:spacing w:after="0" w:line="240" w:lineRule="auto"/>
              <w:rPr>
                <w:rFonts w:cs="Arial"/>
                <w:b/>
                <w:bCs/>
                <w:color w:val="000000"/>
                <w:sz w:val="15"/>
                <w:szCs w:val="15"/>
                <w:lang w:eastAsia="en-AU"/>
              </w:rPr>
            </w:pPr>
            <w:r w:rsidRPr="001B1818">
              <w:rPr>
                <w:rFonts w:cs="Arial"/>
                <w:b/>
                <w:bCs/>
                <w:color w:val="000000"/>
                <w:sz w:val="15"/>
                <w:szCs w:val="15"/>
                <w:lang w:eastAsia="en-AU"/>
              </w:rPr>
              <w:t>Total</w:t>
            </w:r>
          </w:p>
        </w:tc>
        <w:tc>
          <w:tcPr>
            <w:tcW w:w="972" w:type="dxa"/>
            <w:tcBorders>
              <w:top w:val="nil"/>
              <w:left w:val="nil"/>
              <w:bottom w:val="single" w:sz="4" w:space="0" w:color="auto"/>
              <w:right w:val="single" w:sz="4" w:space="0" w:color="auto"/>
            </w:tcBorders>
            <w:shd w:val="clear" w:color="auto" w:fill="auto"/>
            <w:noWrap/>
            <w:vAlign w:val="center"/>
            <w:hideMark/>
          </w:tcPr>
          <w:p w14:paraId="0C91EE68" w14:textId="77777777" w:rsidR="00942D11" w:rsidRPr="001B1818" w:rsidRDefault="00942D11" w:rsidP="003D68D1">
            <w:pPr>
              <w:spacing w:after="0" w:line="240" w:lineRule="auto"/>
              <w:jc w:val="right"/>
              <w:rPr>
                <w:rFonts w:cs="Arial"/>
                <w:b/>
                <w:bCs/>
                <w:color w:val="000000"/>
                <w:sz w:val="15"/>
                <w:szCs w:val="15"/>
                <w:lang w:eastAsia="en-AU"/>
              </w:rPr>
            </w:pPr>
            <w:r w:rsidRPr="001B1818">
              <w:rPr>
                <w:rFonts w:cs="Arial"/>
                <w:b/>
                <w:bCs/>
                <w:color w:val="000000"/>
                <w:sz w:val="15"/>
                <w:szCs w:val="15"/>
                <w:lang w:eastAsia="en-AU"/>
              </w:rPr>
              <w:t>13,451,318</w:t>
            </w:r>
          </w:p>
        </w:tc>
        <w:tc>
          <w:tcPr>
            <w:tcW w:w="972" w:type="dxa"/>
            <w:tcBorders>
              <w:top w:val="nil"/>
              <w:left w:val="nil"/>
              <w:bottom w:val="single" w:sz="4" w:space="0" w:color="auto"/>
              <w:right w:val="single" w:sz="4" w:space="0" w:color="auto"/>
            </w:tcBorders>
            <w:shd w:val="clear" w:color="auto" w:fill="auto"/>
            <w:noWrap/>
            <w:vAlign w:val="center"/>
            <w:hideMark/>
          </w:tcPr>
          <w:p w14:paraId="5573D3DC" w14:textId="77777777" w:rsidR="00942D11" w:rsidRPr="001B1818" w:rsidRDefault="00942D11" w:rsidP="003D68D1">
            <w:pPr>
              <w:spacing w:after="0" w:line="240" w:lineRule="auto"/>
              <w:jc w:val="right"/>
              <w:rPr>
                <w:rFonts w:cs="Arial"/>
                <w:b/>
                <w:bCs/>
                <w:color w:val="000000"/>
                <w:sz w:val="15"/>
                <w:szCs w:val="15"/>
                <w:lang w:eastAsia="en-AU"/>
              </w:rPr>
            </w:pPr>
            <w:r w:rsidRPr="001B1818">
              <w:rPr>
                <w:rFonts w:cs="Arial"/>
                <w:b/>
                <w:bCs/>
                <w:color w:val="000000"/>
                <w:sz w:val="15"/>
                <w:szCs w:val="15"/>
                <w:lang w:eastAsia="en-AU"/>
              </w:rPr>
              <w:t>134,783</w:t>
            </w:r>
          </w:p>
        </w:tc>
        <w:tc>
          <w:tcPr>
            <w:tcW w:w="972" w:type="dxa"/>
            <w:tcBorders>
              <w:top w:val="nil"/>
              <w:left w:val="nil"/>
              <w:bottom w:val="single" w:sz="4" w:space="0" w:color="auto"/>
              <w:right w:val="single" w:sz="4" w:space="0" w:color="auto"/>
            </w:tcBorders>
            <w:shd w:val="clear" w:color="auto" w:fill="auto"/>
            <w:noWrap/>
            <w:vAlign w:val="center"/>
            <w:hideMark/>
          </w:tcPr>
          <w:p w14:paraId="57939515" w14:textId="77777777" w:rsidR="00942D11" w:rsidRPr="001B1818" w:rsidRDefault="00942D11" w:rsidP="003D68D1">
            <w:pPr>
              <w:spacing w:after="0" w:line="240" w:lineRule="auto"/>
              <w:jc w:val="right"/>
              <w:rPr>
                <w:rFonts w:cs="Arial"/>
                <w:b/>
                <w:bCs/>
                <w:color w:val="000000"/>
                <w:sz w:val="15"/>
                <w:szCs w:val="15"/>
                <w:lang w:eastAsia="en-AU"/>
              </w:rPr>
            </w:pPr>
            <w:r w:rsidRPr="001B1818">
              <w:rPr>
                <w:rFonts w:cs="Arial"/>
                <w:b/>
                <w:bCs/>
                <w:color w:val="000000"/>
                <w:sz w:val="15"/>
                <w:szCs w:val="15"/>
                <w:lang w:eastAsia="en-AU"/>
              </w:rPr>
              <w:t>60,027</w:t>
            </w:r>
          </w:p>
        </w:tc>
        <w:tc>
          <w:tcPr>
            <w:tcW w:w="972" w:type="dxa"/>
            <w:tcBorders>
              <w:top w:val="nil"/>
              <w:left w:val="nil"/>
              <w:bottom w:val="single" w:sz="4" w:space="0" w:color="auto"/>
              <w:right w:val="single" w:sz="4" w:space="0" w:color="auto"/>
            </w:tcBorders>
            <w:shd w:val="clear" w:color="auto" w:fill="auto"/>
            <w:noWrap/>
            <w:vAlign w:val="center"/>
            <w:hideMark/>
          </w:tcPr>
          <w:p w14:paraId="53CB31A0" w14:textId="77777777" w:rsidR="00942D11" w:rsidRPr="001B1818" w:rsidRDefault="00942D11" w:rsidP="003D68D1">
            <w:pPr>
              <w:spacing w:after="0" w:line="240" w:lineRule="auto"/>
              <w:jc w:val="right"/>
              <w:rPr>
                <w:rFonts w:cs="Arial"/>
                <w:b/>
                <w:bCs/>
                <w:color w:val="000000"/>
                <w:sz w:val="15"/>
                <w:szCs w:val="15"/>
                <w:lang w:eastAsia="en-AU"/>
              </w:rPr>
            </w:pPr>
            <w:r w:rsidRPr="001B1818">
              <w:rPr>
                <w:rFonts w:cs="Arial"/>
                <w:b/>
                <w:bCs/>
                <w:color w:val="000000"/>
                <w:sz w:val="15"/>
                <w:szCs w:val="15"/>
                <w:lang w:eastAsia="en-AU"/>
              </w:rPr>
              <w:t>1,766,047</w:t>
            </w:r>
          </w:p>
        </w:tc>
        <w:tc>
          <w:tcPr>
            <w:tcW w:w="972" w:type="dxa"/>
            <w:tcBorders>
              <w:top w:val="nil"/>
              <w:left w:val="nil"/>
              <w:bottom w:val="single" w:sz="4" w:space="0" w:color="auto"/>
              <w:right w:val="single" w:sz="4" w:space="0" w:color="auto"/>
            </w:tcBorders>
            <w:shd w:val="clear" w:color="auto" w:fill="auto"/>
            <w:noWrap/>
            <w:vAlign w:val="center"/>
            <w:hideMark/>
          </w:tcPr>
          <w:p w14:paraId="353BAFA7" w14:textId="77777777" w:rsidR="00942D11" w:rsidRPr="001B1818" w:rsidRDefault="00942D11" w:rsidP="003D68D1">
            <w:pPr>
              <w:spacing w:after="0" w:line="240" w:lineRule="auto"/>
              <w:jc w:val="right"/>
              <w:rPr>
                <w:rFonts w:cs="Arial"/>
                <w:b/>
                <w:bCs/>
                <w:color w:val="000000"/>
                <w:sz w:val="15"/>
                <w:szCs w:val="15"/>
                <w:lang w:eastAsia="en-AU"/>
              </w:rPr>
            </w:pPr>
            <w:r w:rsidRPr="001B1818">
              <w:rPr>
                <w:rFonts w:cs="Arial"/>
                <w:b/>
                <w:bCs/>
                <w:color w:val="000000"/>
                <w:sz w:val="15"/>
                <w:szCs w:val="15"/>
                <w:lang w:eastAsia="en-AU"/>
              </w:rPr>
              <w:t>85,207</w:t>
            </w:r>
          </w:p>
        </w:tc>
        <w:tc>
          <w:tcPr>
            <w:tcW w:w="972" w:type="dxa"/>
            <w:tcBorders>
              <w:top w:val="nil"/>
              <w:left w:val="nil"/>
              <w:bottom w:val="single" w:sz="4" w:space="0" w:color="auto"/>
              <w:right w:val="single" w:sz="4" w:space="0" w:color="auto"/>
            </w:tcBorders>
            <w:shd w:val="clear" w:color="auto" w:fill="auto"/>
            <w:noWrap/>
            <w:vAlign w:val="center"/>
            <w:hideMark/>
          </w:tcPr>
          <w:p w14:paraId="4DCE5C0E" w14:textId="77777777" w:rsidR="00942D11" w:rsidRPr="001B1818" w:rsidRDefault="00942D11" w:rsidP="003D68D1">
            <w:pPr>
              <w:spacing w:after="0" w:line="240" w:lineRule="auto"/>
              <w:jc w:val="right"/>
              <w:rPr>
                <w:rFonts w:cs="Arial"/>
                <w:b/>
                <w:bCs/>
                <w:color w:val="000000"/>
                <w:sz w:val="15"/>
                <w:szCs w:val="15"/>
                <w:lang w:eastAsia="en-AU"/>
              </w:rPr>
            </w:pPr>
            <w:r w:rsidRPr="001B1818">
              <w:rPr>
                <w:rFonts w:cs="Arial"/>
                <w:b/>
                <w:bCs/>
                <w:color w:val="000000"/>
                <w:sz w:val="15"/>
                <w:szCs w:val="15"/>
                <w:lang w:eastAsia="en-AU"/>
              </w:rPr>
              <w:t>44,502</w:t>
            </w:r>
          </w:p>
        </w:tc>
        <w:tc>
          <w:tcPr>
            <w:tcW w:w="972" w:type="dxa"/>
            <w:tcBorders>
              <w:top w:val="nil"/>
              <w:left w:val="nil"/>
              <w:bottom w:val="single" w:sz="4" w:space="0" w:color="auto"/>
              <w:right w:val="single" w:sz="4" w:space="0" w:color="auto"/>
            </w:tcBorders>
            <w:shd w:val="clear" w:color="auto" w:fill="auto"/>
            <w:noWrap/>
            <w:vAlign w:val="center"/>
            <w:hideMark/>
          </w:tcPr>
          <w:p w14:paraId="00AE5C62" w14:textId="77777777" w:rsidR="00942D11" w:rsidRPr="001B1818" w:rsidRDefault="00942D11" w:rsidP="003D68D1">
            <w:pPr>
              <w:spacing w:after="0" w:line="240" w:lineRule="auto"/>
              <w:jc w:val="right"/>
              <w:rPr>
                <w:rFonts w:cs="Arial"/>
                <w:b/>
                <w:bCs/>
                <w:color w:val="000000"/>
                <w:sz w:val="15"/>
                <w:szCs w:val="15"/>
                <w:lang w:eastAsia="en-AU"/>
              </w:rPr>
            </w:pPr>
            <w:r w:rsidRPr="001B1818">
              <w:rPr>
                <w:rFonts w:cs="Arial"/>
                <w:b/>
                <w:bCs/>
                <w:color w:val="000000"/>
                <w:sz w:val="15"/>
                <w:szCs w:val="15"/>
                <w:lang w:eastAsia="en-AU"/>
              </w:rPr>
              <w:t>15,541,885</w:t>
            </w:r>
          </w:p>
        </w:tc>
        <w:tc>
          <w:tcPr>
            <w:tcW w:w="972" w:type="dxa"/>
            <w:tcBorders>
              <w:top w:val="nil"/>
              <w:left w:val="nil"/>
              <w:bottom w:val="single" w:sz="4" w:space="0" w:color="auto"/>
              <w:right w:val="single" w:sz="4" w:space="0" w:color="auto"/>
            </w:tcBorders>
            <w:shd w:val="clear" w:color="auto" w:fill="auto"/>
            <w:noWrap/>
            <w:vAlign w:val="center"/>
            <w:hideMark/>
          </w:tcPr>
          <w:p w14:paraId="3C1AC02B" w14:textId="77777777" w:rsidR="00942D11" w:rsidRPr="001B1818" w:rsidRDefault="00942D11" w:rsidP="003D68D1">
            <w:pPr>
              <w:spacing w:after="0" w:line="240" w:lineRule="auto"/>
              <w:jc w:val="right"/>
              <w:rPr>
                <w:rFonts w:cs="Arial"/>
                <w:b/>
                <w:bCs/>
                <w:color w:val="000000"/>
                <w:sz w:val="15"/>
                <w:szCs w:val="15"/>
                <w:lang w:eastAsia="en-AU"/>
              </w:rPr>
            </w:pPr>
            <w:r w:rsidRPr="001B1818">
              <w:rPr>
                <w:rFonts w:cs="Arial"/>
                <w:b/>
                <w:bCs/>
                <w:color w:val="000000"/>
                <w:sz w:val="15"/>
                <w:szCs w:val="15"/>
                <w:lang w:eastAsia="en-AU"/>
              </w:rPr>
              <w:t>13,778,424</w:t>
            </w:r>
          </w:p>
        </w:tc>
        <w:tc>
          <w:tcPr>
            <w:tcW w:w="972" w:type="dxa"/>
            <w:tcBorders>
              <w:top w:val="nil"/>
              <w:left w:val="nil"/>
              <w:bottom w:val="single" w:sz="4" w:space="0" w:color="auto"/>
              <w:right w:val="single" w:sz="4" w:space="0" w:color="auto"/>
            </w:tcBorders>
            <w:shd w:val="clear" w:color="auto" w:fill="auto"/>
            <w:noWrap/>
            <w:vAlign w:val="center"/>
            <w:hideMark/>
          </w:tcPr>
          <w:p w14:paraId="694AFDAC" w14:textId="77777777" w:rsidR="00942D11" w:rsidRPr="001B1818" w:rsidRDefault="00942D11" w:rsidP="003D68D1">
            <w:pPr>
              <w:spacing w:after="0" w:line="240" w:lineRule="auto"/>
              <w:jc w:val="right"/>
              <w:rPr>
                <w:rFonts w:cs="Arial"/>
                <w:b/>
                <w:bCs/>
                <w:color w:val="000000"/>
                <w:sz w:val="15"/>
                <w:szCs w:val="15"/>
                <w:lang w:eastAsia="en-AU"/>
              </w:rPr>
            </w:pPr>
            <w:r w:rsidRPr="001B1818">
              <w:rPr>
                <w:rFonts w:cs="Arial"/>
                <w:b/>
                <w:bCs/>
                <w:color w:val="000000"/>
                <w:sz w:val="15"/>
                <w:szCs w:val="15"/>
                <w:lang w:eastAsia="en-AU"/>
              </w:rPr>
              <w:t>133,239</w:t>
            </w:r>
          </w:p>
        </w:tc>
        <w:tc>
          <w:tcPr>
            <w:tcW w:w="972" w:type="dxa"/>
            <w:tcBorders>
              <w:top w:val="nil"/>
              <w:left w:val="nil"/>
              <w:bottom w:val="single" w:sz="4" w:space="0" w:color="auto"/>
              <w:right w:val="single" w:sz="4" w:space="0" w:color="auto"/>
            </w:tcBorders>
            <w:shd w:val="clear" w:color="auto" w:fill="auto"/>
            <w:noWrap/>
            <w:vAlign w:val="center"/>
            <w:hideMark/>
          </w:tcPr>
          <w:p w14:paraId="7CF2A2CC" w14:textId="77777777" w:rsidR="00942D11" w:rsidRPr="001B1818" w:rsidRDefault="00942D11" w:rsidP="003D68D1">
            <w:pPr>
              <w:spacing w:after="0" w:line="240" w:lineRule="auto"/>
              <w:jc w:val="right"/>
              <w:rPr>
                <w:rFonts w:cs="Arial"/>
                <w:b/>
                <w:bCs/>
                <w:color w:val="000000"/>
                <w:sz w:val="15"/>
                <w:szCs w:val="15"/>
                <w:lang w:eastAsia="en-AU"/>
              </w:rPr>
            </w:pPr>
            <w:r w:rsidRPr="001B1818">
              <w:rPr>
                <w:rFonts w:cs="Arial"/>
                <w:b/>
                <w:bCs/>
                <w:color w:val="000000"/>
                <w:sz w:val="15"/>
                <w:szCs w:val="15"/>
                <w:lang w:eastAsia="en-AU"/>
              </w:rPr>
              <w:t>61,134</w:t>
            </w:r>
          </w:p>
        </w:tc>
        <w:tc>
          <w:tcPr>
            <w:tcW w:w="972" w:type="dxa"/>
            <w:tcBorders>
              <w:top w:val="nil"/>
              <w:left w:val="nil"/>
              <w:bottom w:val="single" w:sz="4" w:space="0" w:color="auto"/>
              <w:right w:val="single" w:sz="4" w:space="0" w:color="auto"/>
            </w:tcBorders>
            <w:shd w:val="clear" w:color="auto" w:fill="auto"/>
            <w:noWrap/>
            <w:vAlign w:val="center"/>
            <w:hideMark/>
          </w:tcPr>
          <w:p w14:paraId="035C5ADC" w14:textId="77777777" w:rsidR="00942D11" w:rsidRPr="001B1818" w:rsidRDefault="00942D11" w:rsidP="003D68D1">
            <w:pPr>
              <w:spacing w:after="0" w:line="240" w:lineRule="auto"/>
              <w:jc w:val="right"/>
              <w:rPr>
                <w:rFonts w:cs="Arial"/>
                <w:b/>
                <w:bCs/>
                <w:color w:val="000000"/>
                <w:sz w:val="15"/>
                <w:szCs w:val="15"/>
                <w:lang w:eastAsia="en-AU"/>
              </w:rPr>
            </w:pPr>
            <w:r w:rsidRPr="001B1818">
              <w:rPr>
                <w:rFonts w:cs="Arial"/>
                <w:b/>
                <w:bCs/>
                <w:color w:val="000000"/>
                <w:sz w:val="15"/>
                <w:szCs w:val="15"/>
                <w:lang w:eastAsia="en-AU"/>
              </w:rPr>
              <w:t>1,853,915</w:t>
            </w:r>
          </w:p>
        </w:tc>
        <w:tc>
          <w:tcPr>
            <w:tcW w:w="972" w:type="dxa"/>
            <w:tcBorders>
              <w:top w:val="nil"/>
              <w:left w:val="nil"/>
              <w:bottom w:val="single" w:sz="4" w:space="0" w:color="auto"/>
              <w:right w:val="single" w:sz="4" w:space="0" w:color="auto"/>
            </w:tcBorders>
            <w:shd w:val="clear" w:color="auto" w:fill="auto"/>
            <w:noWrap/>
            <w:vAlign w:val="center"/>
            <w:hideMark/>
          </w:tcPr>
          <w:p w14:paraId="09164905" w14:textId="77777777" w:rsidR="00942D11" w:rsidRPr="001B1818" w:rsidRDefault="00942D11" w:rsidP="003D68D1">
            <w:pPr>
              <w:spacing w:after="0" w:line="240" w:lineRule="auto"/>
              <w:jc w:val="right"/>
              <w:rPr>
                <w:rFonts w:cs="Arial"/>
                <w:b/>
                <w:bCs/>
                <w:color w:val="000000"/>
                <w:sz w:val="15"/>
                <w:szCs w:val="15"/>
                <w:lang w:eastAsia="en-AU"/>
              </w:rPr>
            </w:pPr>
            <w:r w:rsidRPr="001B1818">
              <w:rPr>
                <w:rFonts w:cs="Arial"/>
                <w:b/>
                <w:bCs/>
                <w:color w:val="000000"/>
                <w:sz w:val="15"/>
                <w:szCs w:val="15"/>
                <w:lang w:eastAsia="en-AU"/>
              </w:rPr>
              <w:t>77,772</w:t>
            </w:r>
          </w:p>
        </w:tc>
        <w:tc>
          <w:tcPr>
            <w:tcW w:w="972" w:type="dxa"/>
            <w:tcBorders>
              <w:top w:val="nil"/>
              <w:left w:val="nil"/>
              <w:bottom w:val="single" w:sz="4" w:space="0" w:color="auto"/>
              <w:right w:val="single" w:sz="4" w:space="0" w:color="auto"/>
            </w:tcBorders>
            <w:shd w:val="clear" w:color="auto" w:fill="auto"/>
            <w:noWrap/>
            <w:vAlign w:val="center"/>
            <w:hideMark/>
          </w:tcPr>
          <w:p w14:paraId="36FC06E7" w14:textId="77777777" w:rsidR="00942D11" w:rsidRPr="001B1818" w:rsidRDefault="00942D11" w:rsidP="003D68D1">
            <w:pPr>
              <w:spacing w:after="0" w:line="240" w:lineRule="auto"/>
              <w:jc w:val="right"/>
              <w:rPr>
                <w:rFonts w:cs="Arial"/>
                <w:b/>
                <w:bCs/>
                <w:color w:val="000000"/>
                <w:sz w:val="15"/>
                <w:szCs w:val="15"/>
                <w:lang w:eastAsia="en-AU"/>
              </w:rPr>
            </w:pPr>
            <w:r w:rsidRPr="001B1818">
              <w:rPr>
                <w:rFonts w:cs="Arial"/>
                <w:b/>
                <w:bCs/>
                <w:color w:val="000000"/>
                <w:sz w:val="15"/>
                <w:szCs w:val="15"/>
                <w:lang w:eastAsia="en-AU"/>
              </w:rPr>
              <w:t>40,306</w:t>
            </w:r>
          </w:p>
        </w:tc>
        <w:tc>
          <w:tcPr>
            <w:tcW w:w="972" w:type="dxa"/>
            <w:tcBorders>
              <w:top w:val="nil"/>
              <w:left w:val="nil"/>
              <w:bottom w:val="single" w:sz="4" w:space="0" w:color="auto"/>
              <w:right w:val="single" w:sz="4" w:space="0" w:color="auto"/>
            </w:tcBorders>
            <w:shd w:val="clear" w:color="auto" w:fill="auto"/>
            <w:noWrap/>
            <w:vAlign w:val="center"/>
            <w:hideMark/>
          </w:tcPr>
          <w:p w14:paraId="7DA1ADB2" w14:textId="77777777" w:rsidR="00942D11" w:rsidRPr="001B1818" w:rsidRDefault="00942D11" w:rsidP="003D68D1">
            <w:pPr>
              <w:spacing w:after="0" w:line="240" w:lineRule="auto"/>
              <w:jc w:val="right"/>
              <w:rPr>
                <w:rFonts w:cs="Arial"/>
                <w:b/>
                <w:bCs/>
                <w:color w:val="000000"/>
                <w:sz w:val="15"/>
                <w:szCs w:val="15"/>
                <w:lang w:eastAsia="en-AU"/>
              </w:rPr>
            </w:pPr>
            <w:r w:rsidRPr="001B1818">
              <w:rPr>
                <w:rFonts w:cs="Arial"/>
                <w:b/>
                <w:bCs/>
                <w:color w:val="000000"/>
                <w:sz w:val="15"/>
                <w:szCs w:val="15"/>
                <w:lang w:eastAsia="en-AU"/>
              </w:rPr>
              <w:t>15,944,785</w:t>
            </w:r>
          </w:p>
        </w:tc>
      </w:tr>
    </w:tbl>
    <w:p w14:paraId="256030C1" w14:textId="763B1654" w:rsidR="00942D11" w:rsidRDefault="00942D11" w:rsidP="00942D11">
      <w:pPr>
        <w:pStyle w:val="Body"/>
      </w:pPr>
    </w:p>
    <w:p w14:paraId="24BC0909" w14:textId="05139500" w:rsidR="000B27B9" w:rsidRPr="005353E5" w:rsidRDefault="000B27B9" w:rsidP="00081936">
      <w:pPr>
        <w:pStyle w:val="Heading3"/>
        <w:numPr>
          <w:ilvl w:val="2"/>
          <w:numId w:val="33"/>
        </w:numPr>
        <w:spacing w:before="240"/>
        <w:ind w:left="1134"/>
      </w:pPr>
      <w:bookmarkStart w:id="999" w:name="_Toc144905632"/>
      <w:bookmarkStart w:id="1000" w:name="_Toc144905633"/>
      <w:bookmarkStart w:id="1001" w:name="_Toc144905665"/>
      <w:bookmarkStart w:id="1002" w:name="_Toc111713615"/>
      <w:bookmarkStart w:id="1003" w:name="_Toc111713616"/>
      <w:bookmarkStart w:id="1004" w:name="_Toc111713617"/>
      <w:bookmarkStart w:id="1005" w:name="_Toc12780657"/>
      <w:bookmarkStart w:id="1006" w:name="_Toc14172298"/>
      <w:bookmarkStart w:id="1007" w:name="_Toc33703972"/>
      <w:bookmarkStart w:id="1008" w:name="_Toc55381160"/>
      <w:bookmarkStart w:id="1009" w:name="_Toc156569690"/>
      <w:bookmarkEnd w:id="999"/>
      <w:bookmarkEnd w:id="1000"/>
      <w:bookmarkEnd w:id="1001"/>
      <w:bookmarkEnd w:id="1002"/>
      <w:bookmarkEnd w:id="1003"/>
      <w:bookmarkEnd w:id="1004"/>
      <w:r w:rsidRPr="004903A7">
        <w:lastRenderedPageBreak/>
        <w:t xml:space="preserve">Small </w:t>
      </w:r>
      <w:r w:rsidR="002563EA">
        <w:t>r</w:t>
      </w:r>
      <w:r w:rsidR="002563EA" w:rsidRPr="004903A7">
        <w:t xml:space="preserve">ural </w:t>
      </w:r>
      <w:r w:rsidR="002563EA">
        <w:t>h</w:t>
      </w:r>
      <w:r w:rsidR="002563EA" w:rsidRPr="004903A7">
        <w:t xml:space="preserve">ealth </w:t>
      </w:r>
      <w:r w:rsidR="002563EA">
        <w:t>s</w:t>
      </w:r>
      <w:r w:rsidR="002563EA" w:rsidRPr="004903A7">
        <w:t xml:space="preserve">ervices </w:t>
      </w:r>
      <w:r w:rsidR="002563EA">
        <w:t>expen</w:t>
      </w:r>
      <w:r w:rsidR="002563EA" w:rsidRPr="005353E5">
        <w:t xml:space="preserve">diture budgets </w:t>
      </w:r>
      <w:bookmarkEnd w:id="1005"/>
      <w:bookmarkEnd w:id="1006"/>
      <w:bookmarkEnd w:id="1007"/>
      <w:bookmarkEnd w:id="1008"/>
      <w:r w:rsidR="005D1FCB" w:rsidRPr="005353E5">
        <w:t>202</w:t>
      </w:r>
      <w:r w:rsidR="008F2EE7">
        <w:t>2</w:t>
      </w:r>
      <w:r w:rsidR="00464B7E" w:rsidRPr="005353E5">
        <w:t>–</w:t>
      </w:r>
      <w:r w:rsidR="005D1FCB" w:rsidRPr="005353E5">
        <w:t>2</w:t>
      </w:r>
      <w:r w:rsidR="008F2EE7">
        <w:t>3</w:t>
      </w:r>
      <w:r w:rsidR="005D1FCB" w:rsidRPr="005353E5">
        <w:t xml:space="preserve"> and 202</w:t>
      </w:r>
      <w:r w:rsidR="008F2EE7">
        <w:t>3</w:t>
      </w:r>
      <w:r w:rsidR="00464B7E" w:rsidRPr="005353E5">
        <w:t>–</w:t>
      </w:r>
      <w:r w:rsidR="005D1FCB" w:rsidRPr="005353E5">
        <w:t>2</w:t>
      </w:r>
      <w:r w:rsidR="008F2EE7">
        <w:t>4</w:t>
      </w:r>
      <w:bookmarkEnd w:id="1009"/>
    </w:p>
    <w:p w14:paraId="5CB3581D" w14:textId="77777777" w:rsidR="000B27B9" w:rsidRPr="005353E5" w:rsidRDefault="000B27B9" w:rsidP="001057AF">
      <w:pPr>
        <w:pStyle w:val="Tablefigurenote9pt"/>
        <w:keepNext/>
        <w:spacing w:line="240" w:lineRule="auto"/>
      </w:pPr>
      <w:r w:rsidRPr="005353E5">
        <w:t>Notes:</w:t>
      </w:r>
    </w:p>
    <w:p w14:paraId="5B4E5FD7" w14:textId="77777777" w:rsidR="000B27B9" w:rsidRPr="005353E5" w:rsidRDefault="000B27B9" w:rsidP="007973C3">
      <w:pPr>
        <w:pStyle w:val="Tablenoteroman"/>
        <w:keepNext/>
        <w:numPr>
          <w:ilvl w:val="0"/>
          <w:numId w:val="4"/>
        </w:numPr>
        <w:spacing w:line="240" w:lineRule="auto"/>
        <w:rPr>
          <w:lang w:eastAsia="en-AU"/>
        </w:rPr>
      </w:pPr>
      <w:r w:rsidRPr="005353E5">
        <w:rPr>
          <w:rFonts w:cs="Arial"/>
        </w:rPr>
        <w:t>The expenditure budget for the Coleraine campus is reported as part of the Western District Health Service.</w:t>
      </w:r>
    </w:p>
    <w:p w14:paraId="68BFA9FF" w14:textId="77777777" w:rsidR="000B27B9" w:rsidRPr="005353E5" w:rsidRDefault="000B27B9" w:rsidP="007973C3">
      <w:pPr>
        <w:pStyle w:val="Tablenoteroman"/>
        <w:keepNext/>
        <w:numPr>
          <w:ilvl w:val="0"/>
          <w:numId w:val="4"/>
        </w:numPr>
        <w:spacing w:line="240" w:lineRule="auto"/>
        <w:rPr>
          <w:lang w:eastAsia="en-AU"/>
        </w:rPr>
      </w:pPr>
      <w:r w:rsidRPr="005353E5">
        <w:rPr>
          <w:lang w:eastAsia="en-AU"/>
        </w:rPr>
        <w:t>Subtotals and totals may not add up due to rounding.</w:t>
      </w:r>
    </w:p>
    <w:p w14:paraId="3CBD69FF" w14:textId="69075739" w:rsidR="00942D11" w:rsidRDefault="000B27B9" w:rsidP="00974CBE">
      <w:pPr>
        <w:pStyle w:val="Tablecaption"/>
        <w:spacing w:line="240" w:lineRule="auto"/>
      </w:pPr>
      <w:bookmarkStart w:id="1010" w:name="_Toc12780561"/>
      <w:bookmarkStart w:id="1011" w:name="_Toc14194817"/>
      <w:bookmarkStart w:id="1012" w:name="_Toc33703998"/>
      <w:bookmarkStart w:id="1013" w:name="_Toc109894128"/>
      <w:bookmarkStart w:id="1014" w:name="_Toc156568679"/>
      <w:r w:rsidRPr="005353E5">
        <w:t xml:space="preserve">Table </w:t>
      </w:r>
      <w:r>
        <w:fldChar w:fldCharType="begin"/>
      </w:r>
      <w:r>
        <w:instrText>STYLEREF 1 \s</w:instrText>
      </w:r>
      <w:r>
        <w:fldChar w:fldCharType="separate"/>
      </w:r>
      <w:r w:rsidR="00892F13">
        <w:rPr>
          <w:noProof/>
        </w:rPr>
        <w:t>2</w:t>
      </w:r>
      <w:r>
        <w:fldChar w:fldCharType="end"/>
      </w:r>
      <w:r w:rsidR="00742C12">
        <w:t>.</w:t>
      </w:r>
      <w:r>
        <w:fldChar w:fldCharType="begin"/>
      </w:r>
      <w:r>
        <w:instrText>SEQ Table \* ARABIC \s 1</w:instrText>
      </w:r>
      <w:r>
        <w:fldChar w:fldCharType="separate"/>
      </w:r>
      <w:r w:rsidR="00892F13">
        <w:rPr>
          <w:noProof/>
        </w:rPr>
        <w:t>2</w:t>
      </w:r>
      <w:r>
        <w:fldChar w:fldCharType="end"/>
      </w:r>
      <w:r w:rsidRPr="005353E5">
        <w:t xml:space="preserve">: Small rural health services expenditure budgets </w:t>
      </w:r>
      <w:bookmarkEnd w:id="1010"/>
      <w:bookmarkEnd w:id="1011"/>
      <w:bookmarkEnd w:id="1012"/>
      <w:bookmarkEnd w:id="1013"/>
      <w:r w:rsidR="005D1FCB" w:rsidRPr="005353E5">
        <w:t>202</w:t>
      </w:r>
      <w:r w:rsidR="008F2EE7">
        <w:t>2</w:t>
      </w:r>
      <w:r w:rsidR="00464B7E" w:rsidRPr="005353E5">
        <w:t>–</w:t>
      </w:r>
      <w:r w:rsidR="005D1FCB" w:rsidRPr="005353E5">
        <w:t>2</w:t>
      </w:r>
      <w:r w:rsidR="008F2EE7">
        <w:t>3</w:t>
      </w:r>
      <w:r w:rsidR="005D1FCB" w:rsidRPr="005353E5">
        <w:t xml:space="preserve"> and 202</w:t>
      </w:r>
      <w:r w:rsidR="008F2EE7">
        <w:t>3</w:t>
      </w:r>
      <w:r w:rsidR="00464B7E" w:rsidRPr="005353E5">
        <w:t>–</w:t>
      </w:r>
      <w:r w:rsidR="005D1FCB" w:rsidRPr="005353E5">
        <w:t>2</w:t>
      </w:r>
      <w:r w:rsidR="008F2EE7">
        <w:t>4</w:t>
      </w:r>
      <w:r w:rsidR="002563EA">
        <w:t xml:space="preserve"> – $’000s</w:t>
      </w:r>
      <w:bookmarkEnd w:id="1014"/>
    </w:p>
    <w:tbl>
      <w:tblPr>
        <w:tblW w:w="14567" w:type="dxa"/>
        <w:tblLayout w:type="fixed"/>
        <w:tblLook w:val="04A0" w:firstRow="1" w:lastRow="0" w:firstColumn="1" w:lastColumn="0" w:noHBand="0" w:noVBand="1"/>
      </w:tblPr>
      <w:tblGrid>
        <w:gridCol w:w="2689"/>
        <w:gridCol w:w="1187"/>
        <w:gridCol w:w="1188"/>
        <w:gridCol w:w="1188"/>
        <w:gridCol w:w="1188"/>
        <w:gridCol w:w="1188"/>
        <w:gridCol w:w="1187"/>
        <w:gridCol w:w="1188"/>
        <w:gridCol w:w="1188"/>
        <w:gridCol w:w="1188"/>
        <w:gridCol w:w="1188"/>
      </w:tblGrid>
      <w:tr w:rsidR="00942D11" w:rsidRPr="001B1818" w14:paraId="27A0E6B8" w14:textId="77777777" w:rsidTr="00FE1263">
        <w:trPr>
          <w:trHeight w:val="9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5745B729" w14:textId="77777777" w:rsidR="00942D11" w:rsidRDefault="00942D11" w:rsidP="003D68D1">
            <w:pPr>
              <w:spacing w:after="0" w:line="240" w:lineRule="auto"/>
              <w:rPr>
                <w:rFonts w:cs="Arial"/>
                <w:b/>
                <w:bCs/>
                <w:color w:val="53565A"/>
                <w:sz w:val="16"/>
                <w:szCs w:val="16"/>
                <w:lang w:eastAsia="en-AU"/>
              </w:rPr>
            </w:pPr>
          </w:p>
          <w:p w14:paraId="289088B9" w14:textId="77777777" w:rsidR="00942D11" w:rsidRPr="001B1818" w:rsidRDefault="00942D11" w:rsidP="003D68D1">
            <w:pPr>
              <w:spacing w:after="0" w:line="240" w:lineRule="auto"/>
              <w:rPr>
                <w:rFonts w:cs="Arial"/>
                <w:b/>
                <w:bCs/>
                <w:color w:val="53565A"/>
                <w:sz w:val="16"/>
                <w:szCs w:val="16"/>
                <w:lang w:eastAsia="en-AU"/>
              </w:rPr>
            </w:pPr>
            <w:r w:rsidRPr="001B1818">
              <w:rPr>
                <w:rFonts w:cs="Arial"/>
                <w:b/>
                <w:bCs/>
                <w:color w:val="53565A"/>
                <w:sz w:val="16"/>
                <w:szCs w:val="16"/>
                <w:lang w:eastAsia="en-AU"/>
              </w:rPr>
              <w:t>Health Service</w:t>
            </w:r>
          </w:p>
        </w:tc>
        <w:tc>
          <w:tcPr>
            <w:tcW w:w="1187" w:type="dxa"/>
            <w:tcBorders>
              <w:top w:val="single" w:sz="4" w:space="0" w:color="auto"/>
              <w:left w:val="nil"/>
              <w:bottom w:val="single" w:sz="4" w:space="0" w:color="auto"/>
              <w:right w:val="single" w:sz="4" w:space="0" w:color="auto"/>
            </w:tcBorders>
            <w:shd w:val="clear" w:color="auto" w:fill="auto"/>
            <w:hideMark/>
          </w:tcPr>
          <w:p w14:paraId="4BD9D91A" w14:textId="77777777" w:rsidR="00942D11" w:rsidRPr="001B1818" w:rsidRDefault="00942D11" w:rsidP="003D68D1">
            <w:pPr>
              <w:spacing w:after="0" w:line="240" w:lineRule="auto"/>
              <w:jc w:val="right"/>
              <w:rPr>
                <w:rFonts w:cs="Arial"/>
                <w:b/>
                <w:bCs/>
                <w:color w:val="53565A"/>
                <w:sz w:val="16"/>
                <w:szCs w:val="16"/>
                <w:lang w:eastAsia="en-AU"/>
              </w:rPr>
            </w:pPr>
            <w:r w:rsidRPr="001B1818">
              <w:rPr>
                <w:rFonts w:cs="Arial"/>
                <w:b/>
                <w:bCs/>
                <w:color w:val="53565A"/>
                <w:sz w:val="16"/>
                <w:szCs w:val="16"/>
                <w:lang w:eastAsia="en-AU"/>
              </w:rPr>
              <w:t>2022–23</w:t>
            </w:r>
            <w:r w:rsidRPr="001B1818">
              <w:rPr>
                <w:rFonts w:cs="Arial"/>
                <w:b/>
                <w:bCs/>
                <w:color w:val="53565A"/>
                <w:sz w:val="16"/>
                <w:szCs w:val="16"/>
                <w:lang w:eastAsia="en-AU"/>
              </w:rPr>
              <w:br/>
              <w:t>Acute health services</w:t>
            </w:r>
          </w:p>
        </w:tc>
        <w:tc>
          <w:tcPr>
            <w:tcW w:w="1188" w:type="dxa"/>
            <w:tcBorders>
              <w:top w:val="single" w:sz="4" w:space="0" w:color="auto"/>
              <w:left w:val="nil"/>
              <w:bottom w:val="single" w:sz="4" w:space="0" w:color="auto"/>
              <w:right w:val="single" w:sz="4" w:space="0" w:color="auto"/>
            </w:tcBorders>
            <w:shd w:val="clear" w:color="auto" w:fill="auto"/>
            <w:hideMark/>
          </w:tcPr>
          <w:p w14:paraId="7F6AA79D" w14:textId="77777777" w:rsidR="00942D11" w:rsidRPr="001B1818" w:rsidRDefault="00942D11" w:rsidP="003D68D1">
            <w:pPr>
              <w:spacing w:after="0" w:line="240" w:lineRule="auto"/>
              <w:jc w:val="right"/>
              <w:rPr>
                <w:rFonts w:cs="Arial"/>
                <w:b/>
                <w:bCs/>
                <w:color w:val="53565A"/>
                <w:sz w:val="16"/>
                <w:szCs w:val="16"/>
                <w:lang w:eastAsia="en-AU"/>
              </w:rPr>
            </w:pPr>
            <w:r w:rsidRPr="001B1818">
              <w:rPr>
                <w:rFonts w:cs="Arial"/>
                <w:b/>
                <w:bCs/>
                <w:color w:val="53565A"/>
                <w:sz w:val="16"/>
                <w:szCs w:val="16"/>
                <w:lang w:eastAsia="en-AU"/>
              </w:rPr>
              <w:t>2022–23</w:t>
            </w:r>
            <w:r w:rsidRPr="001B1818">
              <w:rPr>
                <w:rFonts w:cs="Arial"/>
                <w:b/>
                <w:bCs/>
                <w:color w:val="53565A"/>
                <w:sz w:val="16"/>
                <w:szCs w:val="16"/>
                <w:lang w:eastAsia="en-AU"/>
              </w:rPr>
              <w:br/>
              <w:t>Ageing, aged and home care</w:t>
            </w:r>
          </w:p>
        </w:tc>
        <w:tc>
          <w:tcPr>
            <w:tcW w:w="1188" w:type="dxa"/>
            <w:tcBorders>
              <w:top w:val="single" w:sz="4" w:space="0" w:color="auto"/>
              <w:left w:val="nil"/>
              <w:bottom w:val="single" w:sz="4" w:space="0" w:color="auto"/>
              <w:right w:val="single" w:sz="4" w:space="0" w:color="auto"/>
            </w:tcBorders>
            <w:shd w:val="clear" w:color="auto" w:fill="auto"/>
            <w:hideMark/>
          </w:tcPr>
          <w:p w14:paraId="39AD24D3" w14:textId="77777777" w:rsidR="00942D11" w:rsidRPr="001B1818" w:rsidRDefault="00942D11" w:rsidP="003D68D1">
            <w:pPr>
              <w:spacing w:after="0" w:line="240" w:lineRule="auto"/>
              <w:jc w:val="right"/>
              <w:rPr>
                <w:rFonts w:cs="Arial"/>
                <w:b/>
                <w:bCs/>
                <w:color w:val="53565A"/>
                <w:sz w:val="16"/>
                <w:szCs w:val="16"/>
                <w:lang w:eastAsia="en-AU"/>
              </w:rPr>
            </w:pPr>
            <w:r w:rsidRPr="001B1818">
              <w:rPr>
                <w:rFonts w:cs="Arial"/>
                <w:b/>
                <w:bCs/>
                <w:color w:val="53565A"/>
                <w:sz w:val="16"/>
                <w:szCs w:val="16"/>
                <w:lang w:eastAsia="en-AU"/>
              </w:rPr>
              <w:t>2022–23</w:t>
            </w:r>
            <w:r w:rsidRPr="001B1818">
              <w:rPr>
                <w:rFonts w:cs="Arial"/>
                <w:b/>
                <w:bCs/>
                <w:color w:val="53565A"/>
                <w:sz w:val="16"/>
                <w:szCs w:val="16"/>
                <w:lang w:eastAsia="en-AU"/>
              </w:rPr>
              <w:br/>
              <w:t>Mental health</w:t>
            </w:r>
          </w:p>
        </w:tc>
        <w:tc>
          <w:tcPr>
            <w:tcW w:w="1188" w:type="dxa"/>
            <w:tcBorders>
              <w:top w:val="single" w:sz="4" w:space="0" w:color="auto"/>
              <w:left w:val="nil"/>
              <w:bottom w:val="single" w:sz="4" w:space="0" w:color="auto"/>
              <w:right w:val="single" w:sz="4" w:space="0" w:color="auto"/>
            </w:tcBorders>
            <w:shd w:val="clear" w:color="auto" w:fill="auto"/>
            <w:hideMark/>
          </w:tcPr>
          <w:p w14:paraId="426A96FB" w14:textId="77777777" w:rsidR="00942D11" w:rsidRPr="001B1818" w:rsidRDefault="00942D11" w:rsidP="003D68D1">
            <w:pPr>
              <w:spacing w:after="0" w:line="240" w:lineRule="auto"/>
              <w:jc w:val="right"/>
              <w:rPr>
                <w:rFonts w:cs="Arial"/>
                <w:b/>
                <w:bCs/>
                <w:color w:val="53565A"/>
                <w:sz w:val="16"/>
                <w:szCs w:val="16"/>
                <w:lang w:eastAsia="en-AU"/>
              </w:rPr>
            </w:pPr>
            <w:r w:rsidRPr="001B1818">
              <w:rPr>
                <w:rFonts w:cs="Arial"/>
                <w:b/>
                <w:bCs/>
                <w:color w:val="53565A"/>
                <w:sz w:val="16"/>
                <w:szCs w:val="16"/>
                <w:lang w:eastAsia="en-AU"/>
              </w:rPr>
              <w:t>2022–23</w:t>
            </w:r>
            <w:r w:rsidRPr="001B1818">
              <w:rPr>
                <w:rFonts w:cs="Arial"/>
                <w:b/>
                <w:bCs/>
                <w:color w:val="53565A"/>
                <w:sz w:val="16"/>
                <w:szCs w:val="16"/>
                <w:lang w:eastAsia="en-AU"/>
              </w:rPr>
              <w:br/>
              <w:t>Primary and dental health</w:t>
            </w:r>
          </w:p>
        </w:tc>
        <w:tc>
          <w:tcPr>
            <w:tcW w:w="1188" w:type="dxa"/>
            <w:tcBorders>
              <w:top w:val="single" w:sz="4" w:space="0" w:color="auto"/>
              <w:left w:val="nil"/>
              <w:bottom w:val="single" w:sz="4" w:space="0" w:color="auto"/>
              <w:right w:val="single" w:sz="4" w:space="0" w:color="auto"/>
            </w:tcBorders>
            <w:shd w:val="clear" w:color="auto" w:fill="auto"/>
            <w:hideMark/>
          </w:tcPr>
          <w:p w14:paraId="0E2EFD58" w14:textId="77777777" w:rsidR="00942D11" w:rsidRPr="001B1818" w:rsidRDefault="00942D11" w:rsidP="003D68D1">
            <w:pPr>
              <w:spacing w:after="0" w:line="240" w:lineRule="auto"/>
              <w:jc w:val="right"/>
              <w:rPr>
                <w:rFonts w:cs="Arial"/>
                <w:b/>
                <w:bCs/>
                <w:color w:val="53565A"/>
                <w:sz w:val="16"/>
                <w:szCs w:val="16"/>
                <w:lang w:eastAsia="en-AU"/>
              </w:rPr>
            </w:pPr>
            <w:r w:rsidRPr="001B1818">
              <w:rPr>
                <w:rFonts w:cs="Arial"/>
                <w:b/>
                <w:bCs/>
                <w:color w:val="53565A"/>
                <w:sz w:val="16"/>
                <w:szCs w:val="16"/>
                <w:lang w:eastAsia="en-AU"/>
              </w:rPr>
              <w:t>2022–23</w:t>
            </w:r>
            <w:r w:rsidRPr="001B1818">
              <w:rPr>
                <w:rFonts w:cs="Arial"/>
                <w:b/>
                <w:bCs/>
                <w:color w:val="53565A"/>
                <w:sz w:val="16"/>
                <w:szCs w:val="16"/>
                <w:lang w:eastAsia="en-AU"/>
              </w:rPr>
              <w:br/>
              <w:t>Total</w:t>
            </w:r>
          </w:p>
        </w:tc>
        <w:tc>
          <w:tcPr>
            <w:tcW w:w="1187" w:type="dxa"/>
            <w:tcBorders>
              <w:top w:val="single" w:sz="4" w:space="0" w:color="auto"/>
              <w:left w:val="nil"/>
              <w:bottom w:val="single" w:sz="4" w:space="0" w:color="auto"/>
              <w:right w:val="single" w:sz="4" w:space="0" w:color="auto"/>
            </w:tcBorders>
            <w:shd w:val="clear" w:color="auto" w:fill="auto"/>
            <w:hideMark/>
          </w:tcPr>
          <w:p w14:paraId="3BB9CA7F" w14:textId="77777777" w:rsidR="00942D11" w:rsidRPr="001B1818" w:rsidRDefault="00942D11" w:rsidP="003D68D1">
            <w:pPr>
              <w:spacing w:after="0" w:line="240" w:lineRule="auto"/>
              <w:jc w:val="right"/>
              <w:rPr>
                <w:rFonts w:cs="Arial"/>
                <w:b/>
                <w:bCs/>
                <w:color w:val="53565A"/>
                <w:sz w:val="16"/>
                <w:szCs w:val="16"/>
                <w:lang w:eastAsia="en-AU"/>
              </w:rPr>
            </w:pPr>
            <w:r w:rsidRPr="001B1818">
              <w:rPr>
                <w:rFonts w:cs="Arial"/>
                <w:b/>
                <w:bCs/>
                <w:color w:val="53565A"/>
                <w:sz w:val="16"/>
                <w:szCs w:val="16"/>
                <w:lang w:eastAsia="en-AU"/>
              </w:rPr>
              <w:t>2023–24</w:t>
            </w:r>
            <w:r w:rsidRPr="001B1818">
              <w:rPr>
                <w:rFonts w:cs="Arial"/>
                <w:b/>
                <w:bCs/>
                <w:color w:val="53565A"/>
                <w:sz w:val="16"/>
                <w:szCs w:val="16"/>
                <w:lang w:eastAsia="en-AU"/>
              </w:rPr>
              <w:br/>
              <w:t>Acute health services</w:t>
            </w:r>
          </w:p>
        </w:tc>
        <w:tc>
          <w:tcPr>
            <w:tcW w:w="1188" w:type="dxa"/>
            <w:tcBorders>
              <w:top w:val="single" w:sz="4" w:space="0" w:color="auto"/>
              <w:left w:val="nil"/>
              <w:bottom w:val="single" w:sz="4" w:space="0" w:color="auto"/>
              <w:right w:val="single" w:sz="4" w:space="0" w:color="auto"/>
            </w:tcBorders>
            <w:shd w:val="clear" w:color="auto" w:fill="auto"/>
            <w:hideMark/>
          </w:tcPr>
          <w:p w14:paraId="619A4672" w14:textId="77777777" w:rsidR="00942D11" w:rsidRPr="001B1818" w:rsidRDefault="00942D11" w:rsidP="003D68D1">
            <w:pPr>
              <w:spacing w:after="0" w:line="240" w:lineRule="auto"/>
              <w:jc w:val="right"/>
              <w:rPr>
                <w:rFonts w:cs="Arial"/>
                <w:b/>
                <w:bCs/>
                <w:color w:val="53565A"/>
                <w:sz w:val="16"/>
                <w:szCs w:val="16"/>
                <w:lang w:eastAsia="en-AU"/>
              </w:rPr>
            </w:pPr>
            <w:r w:rsidRPr="001B1818">
              <w:rPr>
                <w:rFonts w:cs="Arial"/>
                <w:b/>
                <w:bCs/>
                <w:color w:val="53565A"/>
                <w:sz w:val="16"/>
                <w:szCs w:val="16"/>
                <w:lang w:eastAsia="en-AU"/>
              </w:rPr>
              <w:t>2023–24</w:t>
            </w:r>
            <w:r w:rsidRPr="001B1818">
              <w:rPr>
                <w:rFonts w:cs="Arial"/>
                <w:b/>
                <w:bCs/>
                <w:color w:val="53565A"/>
                <w:sz w:val="16"/>
                <w:szCs w:val="16"/>
                <w:lang w:eastAsia="en-AU"/>
              </w:rPr>
              <w:br/>
              <w:t>Ageing, aged and home care</w:t>
            </w:r>
          </w:p>
        </w:tc>
        <w:tc>
          <w:tcPr>
            <w:tcW w:w="1188" w:type="dxa"/>
            <w:tcBorders>
              <w:top w:val="single" w:sz="4" w:space="0" w:color="auto"/>
              <w:left w:val="nil"/>
              <w:bottom w:val="single" w:sz="4" w:space="0" w:color="auto"/>
              <w:right w:val="single" w:sz="4" w:space="0" w:color="auto"/>
            </w:tcBorders>
            <w:shd w:val="clear" w:color="auto" w:fill="auto"/>
            <w:hideMark/>
          </w:tcPr>
          <w:p w14:paraId="768D7B39" w14:textId="77777777" w:rsidR="00942D11" w:rsidRPr="001B1818" w:rsidRDefault="00942D11" w:rsidP="003D68D1">
            <w:pPr>
              <w:spacing w:after="0" w:line="240" w:lineRule="auto"/>
              <w:jc w:val="right"/>
              <w:rPr>
                <w:rFonts w:cs="Arial"/>
                <w:b/>
                <w:bCs/>
                <w:color w:val="53565A"/>
                <w:sz w:val="16"/>
                <w:szCs w:val="16"/>
                <w:lang w:eastAsia="en-AU"/>
              </w:rPr>
            </w:pPr>
            <w:r w:rsidRPr="001B1818">
              <w:rPr>
                <w:rFonts w:cs="Arial"/>
                <w:b/>
                <w:bCs/>
                <w:color w:val="53565A"/>
                <w:sz w:val="16"/>
                <w:szCs w:val="16"/>
                <w:lang w:eastAsia="en-AU"/>
              </w:rPr>
              <w:t>2023–24</w:t>
            </w:r>
            <w:r w:rsidRPr="001B1818">
              <w:rPr>
                <w:rFonts w:cs="Arial"/>
                <w:b/>
                <w:bCs/>
                <w:color w:val="53565A"/>
                <w:sz w:val="16"/>
                <w:szCs w:val="16"/>
                <w:lang w:eastAsia="en-AU"/>
              </w:rPr>
              <w:br/>
              <w:t>Mental health</w:t>
            </w:r>
          </w:p>
        </w:tc>
        <w:tc>
          <w:tcPr>
            <w:tcW w:w="1188" w:type="dxa"/>
            <w:tcBorders>
              <w:top w:val="single" w:sz="4" w:space="0" w:color="auto"/>
              <w:left w:val="nil"/>
              <w:bottom w:val="single" w:sz="4" w:space="0" w:color="auto"/>
              <w:right w:val="single" w:sz="4" w:space="0" w:color="auto"/>
            </w:tcBorders>
            <w:shd w:val="clear" w:color="auto" w:fill="auto"/>
            <w:hideMark/>
          </w:tcPr>
          <w:p w14:paraId="2CBD248E" w14:textId="77777777" w:rsidR="00942D11" w:rsidRPr="001B1818" w:rsidRDefault="00942D11" w:rsidP="003D68D1">
            <w:pPr>
              <w:spacing w:after="0" w:line="240" w:lineRule="auto"/>
              <w:jc w:val="right"/>
              <w:rPr>
                <w:rFonts w:cs="Arial"/>
                <w:b/>
                <w:bCs/>
                <w:color w:val="53565A"/>
                <w:sz w:val="16"/>
                <w:szCs w:val="16"/>
                <w:lang w:eastAsia="en-AU"/>
              </w:rPr>
            </w:pPr>
            <w:r w:rsidRPr="001B1818">
              <w:rPr>
                <w:rFonts w:cs="Arial"/>
                <w:b/>
                <w:bCs/>
                <w:color w:val="53565A"/>
                <w:sz w:val="16"/>
                <w:szCs w:val="16"/>
                <w:lang w:eastAsia="en-AU"/>
              </w:rPr>
              <w:t>2023–24</w:t>
            </w:r>
            <w:r w:rsidRPr="001B1818">
              <w:rPr>
                <w:rFonts w:cs="Arial"/>
                <w:b/>
                <w:bCs/>
                <w:color w:val="53565A"/>
                <w:sz w:val="16"/>
                <w:szCs w:val="16"/>
                <w:lang w:eastAsia="en-AU"/>
              </w:rPr>
              <w:br/>
              <w:t xml:space="preserve">Primary and dental health </w:t>
            </w:r>
          </w:p>
        </w:tc>
        <w:tc>
          <w:tcPr>
            <w:tcW w:w="1188" w:type="dxa"/>
            <w:tcBorders>
              <w:top w:val="single" w:sz="4" w:space="0" w:color="auto"/>
              <w:left w:val="nil"/>
              <w:bottom w:val="single" w:sz="4" w:space="0" w:color="auto"/>
              <w:right w:val="single" w:sz="4" w:space="0" w:color="auto"/>
            </w:tcBorders>
            <w:shd w:val="clear" w:color="auto" w:fill="auto"/>
            <w:hideMark/>
          </w:tcPr>
          <w:p w14:paraId="6F303652" w14:textId="77777777" w:rsidR="00942D11" w:rsidRPr="001B1818" w:rsidRDefault="00942D11" w:rsidP="003D68D1">
            <w:pPr>
              <w:spacing w:after="0" w:line="240" w:lineRule="auto"/>
              <w:jc w:val="right"/>
              <w:rPr>
                <w:rFonts w:cs="Arial"/>
                <w:b/>
                <w:bCs/>
                <w:color w:val="53565A"/>
                <w:sz w:val="16"/>
                <w:szCs w:val="16"/>
                <w:lang w:eastAsia="en-AU"/>
              </w:rPr>
            </w:pPr>
            <w:r w:rsidRPr="001B1818">
              <w:rPr>
                <w:rFonts w:cs="Arial"/>
                <w:b/>
                <w:bCs/>
                <w:color w:val="53565A"/>
                <w:sz w:val="16"/>
                <w:szCs w:val="16"/>
                <w:lang w:eastAsia="en-AU"/>
              </w:rPr>
              <w:t>2023–24</w:t>
            </w:r>
            <w:r w:rsidRPr="001B1818">
              <w:rPr>
                <w:rFonts w:cs="Arial"/>
                <w:b/>
                <w:bCs/>
                <w:color w:val="53565A"/>
                <w:sz w:val="16"/>
                <w:szCs w:val="16"/>
                <w:lang w:eastAsia="en-AU"/>
              </w:rPr>
              <w:br/>
              <w:t>Total</w:t>
            </w:r>
          </w:p>
        </w:tc>
      </w:tr>
      <w:tr w:rsidR="00942D11" w:rsidRPr="001B1818" w14:paraId="04F3096C"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2BFEF4B"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Alexandra District Health</w:t>
            </w:r>
          </w:p>
        </w:tc>
        <w:tc>
          <w:tcPr>
            <w:tcW w:w="1187" w:type="dxa"/>
            <w:tcBorders>
              <w:top w:val="nil"/>
              <w:left w:val="nil"/>
              <w:bottom w:val="single" w:sz="4" w:space="0" w:color="auto"/>
              <w:right w:val="single" w:sz="4" w:space="0" w:color="auto"/>
            </w:tcBorders>
            <w:shd w:val="clear" w:color="auto" w:fill="auto"/>
            <w:noWrap/>
            <w:vAlign w:val="center"/>
            <w:hideMark/>
          </w:tcPr>
          <w:p w14:paraId="784BF0E7"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7,558</w:t>
            </w:r>
          </w:p>
        </w:tc>
        <w:tc>
          <w:tcPr>
            <w:tcW w:w="1188" w:type="dxa"/>
            <w:tcBorders>
              <w:top w:val="nil"/>
              <w:left w:val="nil"/>
              <w:bottom w:val="single" w:sz="4" w:space="0" w:color="auto"/>
              <w:right w:val="single" w:sz="4" w:space="0" w:color="auto"/>
            </w:tcBorders>
            <w:shd w:val="clear" w:color="auto" w:fill="auto"/>
            <w:noWrap/>
            <w:vAlign w:val="center"/>
            <w:hideMark/>
          </w:tcPr>
          <w:p w14:paraId="1465B3E6"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149</w:t>
            </w:r>
          </w:p>
        </w:tc>
        <w:tc>
          <w:tcPr>
            <w:tcW w:w="1188" w:type="dxa"/>
            <w:tcBorders>
              <w:top w:val="nil"/>
              <w:left w:val="nil"/>
              <w:bottom w:val="single" w:sz="4" w:space="0" w:color="auto"/>
              <w:right w:val="single" w:sz="4" w:space="0" w:color="auto"/>
            </w:tcBorders>
            <w:shd w:val="clear" w:color="auto" w:fill="auto"/>
            <w:noWrap/>
            <w:vAlign w:val="center"/>
            <w:hideMark/>
          </w:tcPr>
          <w:p w14:paraId="1CB33A46"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 </w:t>
            </w:r>
            <w:r>
              <w:rPr>
                <w:rFonts w:cs="Arial"/>
                <w:color w:val="000000"/>
                <w:sz w:val="15"/>
                <w:szCs w:val="15"/>
                <w:lang w:eastAsia="en-AU"/>
              </w:rPr>
              <w:t>0</w:t>
            </w:r>
          </w:p>
        </w:tc>
        <w:tc>
          <w:tcPr>
            <w:tcW w:w="1188" w:type="dxa"/>
            <w:tcBorders>
              <w:top w:val="nil"/>
              <w:left w:val="nil"/>
              <w:bottom w:val="single" w:sz="4" w:space="0" w:color="auto"/>
              <w:right w:val="single" w:sz="4" w:space="0" w:color="auto"/>
            </w:tcBorders>
            <w:shd w:val="clear" w:color="auto" w:fill="auto"/>
            <w:noWrap/>
            <w:vAlign w:val="center"/>
            <w:hideMark/>
          </w:tcPr>
          <w:p w14:paraId="22CF605B"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495</w:t>
            </w:r>
          </w:p>
        </w:tc>
        <w:tc>
          <w:tcPr>
            <w:tcW w:w="1188" w:type="dxa"/>
            <w:tcBorders>
              <w:top w:val="nil"/>
              <w:left w:val="nil"/>
              <w:bottom w:val="single" w:sz="4" w:space="0" w:color="auto"/>
              <w:right w:val="single" w:sz="4" w:space="0" w:color="auto"/>
            </w:tcBorders>
            <w:shd w:val="clear" w:color="auto" w:fill="auto"/>
            <w:noWrap/>
            <w:vAlign w:val="center"/>
            <w:hideMark/>
          </w:tcPr>
          <w:p w14:paraId="08B03D22"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8,203</w:t>
            </w:r>
          </w:p>
        </w:tc>
        <w:tc>
          <w:tcPr>
            <w:tcW w:w="1187" w:type="dxa"/>
            <w:tcBorders>
              <w:top w:val="nil"/>
              <w:left w:val="nil"/>
              <w:bottom w:val="single" w:sz="4" w:space="0" w:color="auto"/>
              <w:right w:val="single" w:sz="4" w:space="0" w:color="auto"/>
            </w:tcBorders>
            <w:shd w:val="clear" w:color="auto" w:fill="auto"/>
            <w:noWrap/>
            <w:vAlign w:val="center"/>
            <w:hideMark/>
          </w:tcPr>
          <w:p w14:paraId="6C25EC0F"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7,880</w:t>
            </w:r>
          </w:p>
        </w:tc>
        <w:tc>
          <w:tcPr>
            <w:tcW w:w="1188" w:type="dxa"/>
            <w:tcBorders>
              <w:top w:val="nil"/>
              <w:left w:val="nil"/>
              <w:bottom w:val="single" w:sz="4" w:space="0" w:color="auto"/>
              <w:right w:val="single" w:sz="4" w:space="0" w:color="auto"/>
            </w:tcBorders>
            <w:shd w:val="clear" w:color="auto" w:fill="auto"/>
            <w:noWrap/>
            <w:vAlign w:val="center"/>
            <w:hideMark/>
          </w:tcPr>
          <w:p w14:paraId="05DDE9D3"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158</w:t>
            </w:r>
          </w:p>
        </w:tc>
        <w:tc>
          <w:tcPr>
            <w:tcW w:w="1188" w:type="dxa"/>
            <w:tcBorders>
              <w:top w:val="nil"/>
              <w:left w:val="nil"/>
              <w:bottom w:val="single" w:sz="4" w:space="0" w:color="auto"/>
              <w:right w:val="single" w:sz="4" w:space="0" w:color="auto"/>
            </w:tcBorders>
            <w:shd w:val="clear" w:color="auto" w:fill="auto"/>
            <w:noWrap/>
            <w:vAlign w:val="center"/>
            <w:hideMark/>
          </w:tcPr>
          <w:p w14:paraId="2D5FE632"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530EDBE3"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492</w:t>
            </w:r>
          </w:p>
        </w:tc>
        <w:tc>
          <w:tcPr>
            <w:tcW w:w="1188" w:type="dxa"/>
            <w:tcBorders>
              <w:top w:val="nil"/>
              <w:left w:val="nil"/>
              <w:bottom w:val="single" w:sz="4" w:space="0" w:color="auto"/>
              <w:right w:val="single" w:sz="4" w:space="0" w:color="auto"/>
            </w:tcBorders>
            <w:shd w:val="clear" w:color="auto" w:fill="auto"/>
            <w:noWrap/>
            <w:vAlign w:val="center"/>
            <w:hideMark/>
          </w:tcPr>
          <w:p w14:paraId="7C16777E"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8,531</w:t>
            </w:r>
          </w:p>
        </w:tc>
      </w:tr>
      <w:tr w:rsidR="00942D11" w:rsidRPr="001B1818" w14:paraId="0C4EE7A4"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ABD3665"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Alpine Health</w:t>
            </w:r>
          </w:p>
        </w:tc>
        <w:tc>
          <w:tcPr>
            <w:tcW w:w="1187" w:type="dxa"/>
            <w:tcBorders>
              <w:top w:val="nil"/>
              <w:left w:val="nil"/>
              <w:bottom w:val="single" w:sz="4" w:space="0" w:color="auto"/>
              <w:right w:val="single" w:sz="4" w:space="0" w:color="auto"/>
            </w:tcBorders>
            <w:shd w:val="clear" w:color="auto" w:fill="auto"/>
            <w:noWrap/>
            <w:vAlign w:val="center"/>
            <w:hideMark/>
          </w:tcPr>
          <w:p w14:paraId="47DCA971"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13,310</w:t>
            </w:r>
          </w:p>
        </w:tc>
        <w:tc>
          <w:tcPr>
            <w:tcW w:w="1188" w:type="dxa"/>
            <w:tcBorders>
              <w:top w:val="nil"/>
              <w:left w:val="nil"/>
              <w:bottom w:val="single" w:sz="4" w:space="0" w:color="auto"/>
              <w:right w:val="single" w:sz="4" w:space="0" w:color="auto"/>
            </w:tcBorders>
            <w:shd w:val="clear" w:color="auto" w:fill="auto"/>
            <w:noWrap/>
            <w:vAlign w:val="center"/>
            <w:hideMark/>
          </w:tcPr>
          <w:p w14:paraId="775D2B7D"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2,138</w:t>
            </w:r>
          </w:p>
        </w:tc>
        <w:tc>
          <w:tcPr>
            <w:tcW w:w="1188" w:type="dxa"/>
            <w:tcBorders>
              <w:top w:val="nil"/>
              <w:left w:val="nil"/>
              <w:bottom w:val="single" w:sz="4" w:space="0" w:color="auto"/>
              <w:right w:val="single" w:sz="4" w:space="0" w:color="auto"/>
            </w:tcBorders>
            <w:shd w:val="clear" w:color="auto" w:fill="auto"/>
            <w:noWrap/>
            <w:vAlign w:val="center"/>
            <w:hideMark/>
          </w:tcPr>
          <w:p w14:paraId="4C5A59A3"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 </w:t>
            </w:r>
            <w:r>
              <w:rPr>
                <w:rFonts w:cs="Arial"/>
                <w:color w:val="000000"/>
                <w:sz w:val="15"/>
                <w:szCs w:val="15"/>
                <w:lang w:eastAsia="en-AU"/>
              </w:rPr>
              <w:t>0</w:t>
            </w:r>
          </w:p>
        </w:tc>
        <w:tc>
          <w:tcPr>
            <w:tcW w:w="1188" w:type="dxa"/>
            <w:tcBorders>
              <w:top w:val="nil"/>
              <w:left w:val="nil"/>
              <w:bottom w:val="single" w:sz="4" w:space="0" w:color="auto"/>
              <w:right w:val="single" w:sz="4" w:space="0" w:color="auto"/>
            </w:tcBorders>
            <w:shd w:val="clear" w:color="auto" w:fill="auto"/>
            <w:noWrap/>
            <w:vAlign w:val="center"/>
            <w:hideMark/>
          </w:tcPr>
          <w:p w14:paraId="412DAC8A"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337</w:t>
            </w:r>
          </w:p>
        </w:tc>
        <w:tc>
          <w:tcPr>
            <w:tcW w:w="1188" w:type="dxa"/>
            <w:tcBorders>
              <w:top w:val="nil"/>
              <w:left w:val="nil"/>
              <w:bottom w:val="single" w:sz="4" w:space="0" w:color="auto"/>
              <w:right w:val="single" w:sz="4" w:space="0" w:color="auto"/>
            </w:tcBorders>
            <w:shd w:val="clear" w:color="auto" w:fill="auto"/>
            <w:noWrap/>
            <w:vAlign w:val="center"/>
            <w:hideMark/>
          </w:tcPr>
          <w:p w14:paraId="1040FA4F"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15,785</w:t>
            </w:r>
          </w:p>
        </w:tc>
        <w:tc>
          <w:tcPr>
            <w:tcW w:w="1187" w:type="dxa"/>
            <w:tcBorders>
              <w:top w:val="nil"/>
              <w:left w:val="nil"/>
              <w:bottom w:val="single" w:sz="4" w:space="0" w:color="auto"/>
              <w:right w:val="single" w:sz="4" w:space="0" w:color="auto"/>
            </w:tcBorders>
            <w:shd w:val="clear" w:color="auto" w:fill="auto"/>
            <w:noWrap/>
            <w:vAlign w:val="center"/>
            <w:hideMark/>
          </w:tcPr>
          <w:p w14:paraId="27CF69D0"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13,813</w:t>
            </w:r>
          </w:p>
        </w:tc>
        <w:tc>
          <w:tcPr>
            <w:tcW w:w="1188" w:type="dxa"/>
            <w:tcBorders>
              <w:top w:val="nil"/>
              <w:left w:val="nil"/>
              <w:bottom w:val="single" w:sz="4" w:space="0" w:color="auto"/>
              <w:right w:val="single" w:sz="4" w:space="0" w:color="auto"/>
            </w:tcBorders>
            <w:shd w:val="clear" w:color="auto" w:fill="auto"/>
            <w:noWrap/>
            <w:vAlign w:val="center"/>
            <w:hideMark/>
          </w:tcPr>
          <w:p w14:paraId="5B1B247B"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2,182</w:t>
            </w:r>
          </w:p>
        </w:tc>
        <w:tc>
          <w:tcPr>
            <w:tcW w:w="1188" w:type="dxa"/>
            <w:tcBorders>
              <w:top w:val="nil"/>
              <w:left w:val="nil"/>
              <w:bottom w:val="single" w:sz="4" w:space="0" w:color="auto"/>
              <w:right w:val="single" w:sz="4" w:space="0" w:color="auto"/>
            </w:tcBorders>
            <w:shd w:val="clear" w:color="auto" w:fill="auto"/>
            <w:noWrap/>
            <w:vAlign w:val="center"/>
            <w:hideMark/>
          </w:tcPr>
          <w:p w14:paraId="3B536D4F"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0A953563"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340</w:t>
            </w:r>
          </w:p>
        </w:tc>
        <w:tc>
          <w:tcPr>
            <w:tcW w:w="1188" w:type="dxa"/>
            <w:tcBorders>
              <w:top w:val="nil"/>
              <w:left w:val="nil"/>
              <w:bottom w:val="single" w:sz="4" w:space="0" w:color="auto"/>
              <w:right w:val="single" w:sz="4" w:space="0" w:color="auto"/>
            </w:tcBorders>
            <w:shd w:val="clear" w:color="auto" w:fill="auto"/>
            <w:noWrap/>
            <w:vAlign w:val="center"/>
            <w:hideMark/>
          </w:tcPr>
          <w:p w14:paraId="192DC799"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16,336</w:t>
            </w:r>
          </w:p>
        </w:tc>
      </w:tr>
      <w:tr w:rsidR="00942D11" w:rsidRPr="001B1818" w14:paraId="7199A8CB"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A1934C0"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Beaufort And Skipton Health Service</w:t>
            </w:r>
          </w:p>
        </w:tc>
        <w:tc>
          <w:tcPr>
            <w:tcW w:w="1187" w:type="dxa"/>
            <w:tcBorders>
              <w:top w:val="nil"/>
              <w:left w:val="nil"/>
              <w:bottom w:val="single" w:sz="4" w:space="0" w:color="auto"/>
              <w:right w:val="single" w:sz="4" w:space="0" w:color="auto"/>
            </w:tcBorders>
            <w:shd w:val="clear" w:color="auto" w:fill="auto"/>
            <w:noWrap/>
            <w:vAlign w:val="center"/>
            <w:hideMark/>
          </w:tcPr>
          <w:p w14:paraId="4409901A"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6,834</w:t>
            </w:r>
          </w:p>
        </w:tc>
        <w:tc>
          <w:tcPr>
            <w:tcW w:w="1188" w:type="dxa"/>
            <w:tcBorders>
              <w:top w:val="nil"/>
              <w:left w:val="nil"/>
              <w:bottom w:val="single" w:sz="4" w:space="0" w:color="auto"/>
              <w:right w:val="single" w:sz="4" w:space="0" w:color="auto"/>
            </w:tcBorders>
            <w:shd w:val="clear" w:color="auto" w:fill="auto"/>
            <w:noWrap/>
            <w:vAlign w:val="center"/>
            <w:hideMark/>
          </w:tcPr>
          <w:p w14:paraId="3DEA13EE"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1,073</w:t>
            </w:r>
          </w:p>
        </w:tc>
        <w:tc>
          <w:tcPr>
            <w:tcW w:w="1188" w:type="dxa"/>
            <w:tcBorders>
              <w:top w:val="nil"/>
              <w:left w:val="nil"/>
              <w:bottom w:val="single" w:sz="4" w:space="0" w:color="auto"/>
              <w:right w:val="single" w:sz="4" w:space="0" w:color="auto"/>
            </w:tcBorders>
            <w:shd w:val="clear" w:color="auto" w:fill="auto"/>
            <w:noWrap/>
            <w:vAlign w:val="center"/>
            <w:hideMark/>
          </w:tcPr>
          <w:p w14:paraId="580B6D2C"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 </w:t>
            </w:r>
            <w:r>
              <w:rPr>
                <w:rFonts w:cs="Arial"/>
                <w:color w:val="000000"/>
                <w:sz w:val="15"/>
                <w:szCs w:val="15"/>
                <w:lang w:eastAsia="en-AU"/>
              </w:rPr>
              <w:t>0</w:t>
            </w:r>
          </w:p>
        </w:tc>
        <w:tc>
          <w:tcPr>
            <w:tcW w:w="1188" w:type="dxa"/>
            <w:tcBorders>
              <w:top w:val="nil"/>
              <w:left w:val="nil"/>
              <w:bottom w:val="single" w:sz="4" w:space="0" w:color="auto"/>
              <w:right w:val="single" w:sz="4" w:space="0" w:color="auto"/>
            </w:tcBorders>
            <w:shd w:val="clear" w:color="auto" w:fill="auto"/>
            <w:noWrap/>
            <w:vAlign w:val="center"/>
            <w:hideMark/>
          </w:tcPr>
          <w:p w14:paraId="49681769"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376</w:t>
            </w:r>
          </w:p>
        </w:tc>
        <w:tc>
          <w:tcPr>
            <w:tcW w:w="1188" w:type="dxa"/>
            <w:tcBorders>
              <w:top w:val="nil"/>
              <w:left w:val="nil"/>
              <w:bottom w:val="single" w:sz="4" w:space="0" w:color="auto"/>
              <w:right w:val="single" w:sz="4" w:space="0" w:color="auto"/>
            </w:tcBorders>
            <w:shd w:val="clear" w:color="auto" w:fill="auto"/>
            <w:noWrap/>
            <w:vAlign w:val="center"/>
            <w:hideMark/>
          </w:tcPr>
          <w:p w14:paraId="3956FC99"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8,284</w:t>
            </w:r>
          </w:p>
        </w:tc>
        <w:tc>
          <w:tcPr>
            <w:tcW w:w="1187" w:type="dxa"/>
            <w:tcBorders>
              <w:top w:val="nil"/>
              <w:left w:val="nil"/>
              <w:bottom w:val="single" w:sz="4" w:space="0" w:color="auto"/>
              <w:right w:val="single" w:sz="4" w:space="0" w:color="auto"/>
            </w:tcBorders>
            <w:shd w:val="clear" w:color="auto" w:fill="auto"/>
            <w:noWrap/>
            <w:vAlign w:val="center"/>
            <w:hideMark/>
          </w:tcPr>
          <w:p w14:paraId="5925512C"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6,966</w:t>
            </w:r>
          </w:p>
        </w:tc>
        <w:tc>
          <w:tcPr>
            <w:tcW w:w="1188" w:type="dxa"/>
            <w:tcBorders>
              <w:top w:val="nil"/>
              <w:left w:val="nil"/>
              <w:bottom w:val="single" w:sz="4" w:space="0" w:color="auto"/>
              <w:right w:val="single" w:sz="4" w:space="0" w:color="auto"/>
            </w:tcBorders>
            <w:shd w:val="clear" w:color="auto" w:fill="auto"/>
            <w:noWrap/>
            <w:vAlign w:val="center"/>
            <w:hideMark/>
          </w:tcPr>
          <w:p w14:paraId="07A7EBCA"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1,096</w:t>
            </w:r>
          </w:p>
        </w:tc>
        <w:tc>
          <w:tcPr>
            <w:tcW w:w="1188" w:type="dxa"/>
            <w:tcBorders>
              <w:top w:val="nil"/>
              <w:left w:val="nil"/>
              <w:bottom w:val="single" w:sz="4" w:space="0" w:color="auto"/>
              <w:right w:val="single" w:sz="4" w:space="0" w:color="auto"/>
            </w:tcBorders>
            <w:shd w:val="clear" w:color="auto" w:fill="auto"/>
            <w:noWrap/>
            <w:vAlign w:val="center"/>
            <w:hideMark/>
          </w:tcPr>
          <w:p w14:paraId="500D5FF3"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2C26D6A1"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206</w:t>
            </w:r>
          </w:p>
        </w:tc>
        <w:tc>
          <w:tcPr>
            <w:tcW w:w="1188" w:type="dxa"/>
            <w:tcBorders>
              <w:top w:val="nil"/>
              <w:left w:val="nil"/>
              <w:bottom w:val="single" w:sz="4" w:space="0" w:color="auto"/>
              <w:right w:val="single" w:sz="4" w:space="0" w:color="auto"/>
            </w:tcBorders>
            <w:shd w:val="clear" w:color="auto" w:fill="auto"/>
            <w:noWrap/>
            <w:vAlign w:val="center"/>
            <w:hideMark/>
          </w:tcPr>
          <w:p w14:paraId="6904A0CC"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8,268</w:t>
            </w:r>
          </w:p>
        </w:tc>
      </w:tr>
      <w:tr w:rsidR="00942D11" w:rsidRPr="001B1818" w14:paraId="65332771"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EED6929"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Beechworth Health Service</w:t>
            </w:r>
          </w:p>
        </w:tc>
        <w:tc>
          <w:tcPr>
            <w:tcW w:w="1187" w:type="dxa"/>
            <w:tcBorders>
              <w:top w:val="nil"/>
              <w:left w:val="nil"/>
              <w:bottom w:val="single" w:sz="4" w:space="0" w:color="auto"/>
              <w:right w:val="single" w:sz="4" w:space="0" w:color="auto"/>
            </w:tcBorders>
            <w:shd w:val="clear" w:color="auto" w:fill="auto"/>
            <w:noWrap/>
            <w:vAlign w:val="center"/>
            <w:hideMark/>
          </w:tcPr>
          <w:p w14:paraId="64E815A5"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6,387</w:t>
            </w:r>
          </w:p>
        </w:tc>
        <w:tc>
          <w:tcPr>
            <w:tcW w:w="1188" w:type="dxa"/>
            <w:tcBorders>
              <w:top w:val="nil"/>
              <w:left w:val="nil"/>
              <w:bottom w:val="single" w:sz="4" w:space="0" w:color="auto"/>
              <w:right w:val="single" w:sz="4" w:space="0" w:color="auto"/>
            </w:tcBorders>
            <w:shd w:val="clear" w:color="auto" w:fill="auto"/>
            <w:noWrap/>
            <w:vAlign w:val="center"/>
            <w:hideMark/>
          </w:tcPr>
          <w:p w14:paraId="36934D48"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1,228</w:t>
            </w:r>
          </w:p>
        </w:tc>
        <w:tc>
          <w:tcPr>
            <w:tcW w:w="1188" w:type="dxa"/>
            <w:tcBorders>
              <w:top w:val="nil"/>
              <w:left w:val="nil"/>
              <w:bottom w:val="single" w:sz="4" w:space="0" w:color="auto"/>
              <w:right w:val="single" w:sz="4" w:space="0" w:color="auto"/>
            </w:tcBorders>
            <w:shd w:val="clear" w:color="auto" w:fill="auto"/>
            <w:noWrap/>
            <w:vAlign w:val="center"/>
            <w:hideMark/>
          </w:tcPr>
          <w:p w14:paraId="4C08A40A"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0289E828"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386</w:t>
            </w:r>
          </w:p>
        </w:tc>
        <w:tc>
          <w:tcPr>
            <w:tcW w:w="1188" w:type="dxa"/>
            <w:tcBorders>
              <w:top w:val="nil"/>
              <w:left w:val="nil"/>
              <w:bottom w:val="single" w:sz="4" w:space="0" w:color="auto"/>
              <w:right w:val="single" w:sz="4" w:space="0" w:color="auto"/>
            </w:tcBorders>
            <w:shd w:val="clear" w:color="auto" w:fill="auto"/>
            <w:noWrap/>
            <w:vAlign w:val="center"/>
            <w:hideMark/>
          </w:tcPr>
          <w:p w14:paraId="7F9BF5CF"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8,001</w:t>
            </w:r>
          </w:p>
        </w:tc>
        <w:tc>
          <w:tcPr>
            <w:tcW w:w="1187" w:type="dxa"/>
            <w:tcBorders>
              <w:top w:val="nil"/>
              <w:left w:val="nil"/>
              <w:bottom w:val="single" w:sz="4" w:space="0" w:color="auto"/>
              <w:right w:val="single" w:sz="4" w:space="0" w:color="auto"/>
            </w:tcBorders>
            <w:shd w:val="clear" w:color="auto" w:fill="auto"/>
            <w:noWrap/>
            <w:vAlign w:val="center"/>
            <w:hideMark/>
          </w:tcPr>
          <w:p w14:paraId="1D31F7A5"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6,573</w:t>
            </w:r>
          </w:p>
        </w:tc>
        <w:tc>
          <w:tcPr>
            <w:tcW w:w="1188" w:type="dxa"/>
            <w:tcBorders>
              <w:top w:val="nil"/>
              <w:left w:val="nil"/>
              <w:bottom w:val="single" w:sz="4" w:space="0" w:color="auto"/>
              <w:right w:val="single" w:sz="4" w:space="0" w:color="auto"/>
            </w:tcBorders>
            <w:shd w:val="clear" w:color="auto" w:fill="auto"/>
            <w:noWrap/>
            <w:vAlign w:val="center"/>
            <w:hideMark/>
          </w:tcPr>
          <w:p w14:paraId="20F63FA6"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1,257</w:t>
            </w:r>
          </w:p>
        </w:tc>
        <w:tc>
          <w:tcPr>
            <w:tcW w:w="1188" w:type="dxa"/>
            <w:tcBorders>
              <w:top w:val="nil"/>
              <w:left w:val="nil"/>
              <w:bottom w:val="single" w:sz="4" w:space="0" w:color="auto"/>
              <w:right w:val="single" w:sz="4" w:space="0" w:color="auto"/>
            </w:tcBorders>
            <w:shd w:val="clear" w:color="auto" w:fill="auto"/>
            <w:noWrap/>
            <w:vAlign w:val="center"/>
            <w:hideMark/>
          </w:tcPr>
          <w:p w14:paraId="21F47A74"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3B0A81FE"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383</w:t>
            </w:r>
          </w:p>
        </w:tc>
        <w:tc>
          <w:tcPr>
            <w:tcW w:w="1188" w:type="dxa"/>
            <w:tcBorders>
              <w:top w:val="nil"/>
              <w:left w:val="nil"/>
              <w:bottom w:val="single" w:sz="4" w:space="0" w:color="auto"/>
              <w:right w:val="single" w:sz="4" w:space="0" w:color="auto"/>
            </w:tcBorders>
            <w:shd w:val="clear" w:color="auto" w:fill="auto"/>
            <w:noWrap/>
            <w:vAlign w:val="center"/>
            <w:hideMark/>
          </w:tcPr>
          <w:p w14:paraId="1D29BC8D"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8,213</w:t>
            </w:r>
          </w:p>
        </w:tc>
      </w:tr>
      <w:tr w:rsidR="00942D11" w:rsidRPr="001B1818" w14:paraId="2305E4EC"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67CF90F"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Boort District Health</w:t>
            </w:r>
          </w:p>
        </w:tc>
        <w:tc>
          <w:tcPr>
            <w:tcW w:w="1187" w:type="dxa"/>
            <w:tcBorders>
              <w:top w:val="nil"/>
              <w:left w:val="nil"/>
              <w:bottom w:val="single" w:sz="4" w:space="0" w:color="auto"/>
              <w:right w:val="single" w:sz="4" w:space="0" w:color="auto"/>
            </w:tcBorders>
            <w:shd w:val="clear" w:color="auto" w:fill="auto"/>
            <w:noWrap/>
            <w:vAlign w:val="center"/>
            <w:hideMark/>
          </w:tcPr>
          <w:p w14:paraId="336B9A94"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3,398</w:t>
            </w:r>
          </w:p>
        </w:tc>
        <w:tc>
          <w:tcPr>
            <w:tcW w:w="1188" w:type="dxa"/>
            <w:tcBorders>
              <w:top w:val="nil"/>
              <w:left w:val="nil"/>
              <w:bottom w:val="single" w:sz="4" w:space="0" w:color="auto"/>
              <w:right w:val="single" w:sz="4" w:space="0" w:color="auto"/>
            </w:tcBorders>
            <w:shd w:val="clear" w:color="auto" w:fill="auto"/>
            <w:noWrap/>
            <w:vAlign w:val="center"/>
            <w:hideMark/>
          </w:tcPr>
          <w:p w14:paraId="4215E96C"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402</w:t>
            </w:r>
          </w:p>
        </w:tc>
        <w:tc>
          <w:tcPr>
            <w:tcW w:w="1188" w:type="dxa"/>
            <w:tcBorders>
              <w:top w:val="nil"/>
              <w:left w:val="nil"/>
              <w:bottom w:val="single" w:sz="4" w:space="0" w:color="auto"/>
              <w:right w:val="single" w:sz="4" w:space="0" w:color="auto"/>
            </w:tcBorders>
            <w:shd w:val="clear" w:color="auto" w:fill="auto"/>
            <w:noWrap/>
            <w:vAlign w:val="center"/>
            <w:hideMark/>
          </w:tcPr>
          <w:p w14:paraId="5DA89CEA"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28989E31"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01F987D6"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3,801</w:t>
            </w:r>
          </w:p>
        </w:tc>
        <w:tc>
          <w:tcPr>
            <w:tcW w:w="1187" w:type="dxa"/>
            <w:tcBorders>
              <w:top w:val="nil"/>
              <w:left w:val="nil"/>
              <w:bottom w:val="single" w:sz="4" w:space="0" w:color="auto"/>
              <w:right w:val="single" w:sz="4" w:space="0" w:color="auto"/>
            </w:tcBorders>
            <w:shd w:val="clear" w:color="auto" w:fill="auto"/>
            <w:noWrap/>
            <w:vAlign w:val="center"/>
            <w:hideMark/>
          </w:tcPr>
          <w:p w14:paraId="5CDCBB89"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3,468</w:t>
            </w:r>
          </w:p>
        </w:tc>
        <w:tc>
          <w:tcPr>
            <w:tcW w:w="1188" w:type="dxa"/>
            <w:tcBorders>
              <w:top w:val="nil"/>
              <w:left w:val="nil"/>
              <w:bottom w:val="single" w:sz="4" w:space="0" w:color="auto"/>
              <w:right w:val="single" w:sz="4" w:space="0" w:color="auto"/>
            </w:tcBorders>
            <w:shd w:val="clear" w:color="auto" w:fill="auto"/>
            <w:noWrap/>
            <w:vAlign w:val="center"/>
            <w:hideMark/>
          </w:tcPr>
          <w:p w14:paraId="1B1369B7"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411</w:t>
            </w:r>
          </w:p>
        </w:tc>
        <w:tc>
          <w:tcPr>
            <w:tcW w:w="1188" w:type="dxa"/>
            <w:tcBorders>
              <w:top w:val="nil"/>
              <w:left w:val="nil"/>
              <w:bottom w:val="single" w:sz="4" w:space="0" w:color="auto"/>
              <w:right w:val="single" w:sz="4" w:space="0" w:color="auto"/>
            </w:tcBorders>
            <w:shd w:val="clear" w:color="auto" w:fill="auto"/>
            <w:noWrap/>
            <w:vAlign w:val="center"/>
            <w:hideMark/>
          </w:tcPr>
          <w:p w14:paraId="52CB4E06"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5C7D0D07"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44699F02"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3,879</w:t>
            </w:r>
          </w:p>
        </w:tc>
      </w:tr>
      <w:tr w:rsidR="00942D11" w:rsidRPr="001B1818" w14:paraId="1321F73E"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42BF95E"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Casterton Memorial Hospital</w:t>
            </w:r>
          </w:p>
        </w:tc>
        <w:tc>
          <w:tcPr>
            <w:tcW w:w="1187" w:type="dxa"/>
            <w:tcBorders>
              <w:top w:val="nil"/>
              <w:left w:val="nil"/>
              <w:bottom w:val="single" w:sz="4" w:space="0" w:color="auto"/>
              <w:right w:val="single" w:sz="4" w:space="0" w:color="auto"/>
            </w:tcBorders>
            <w:shd w:val="clear" w:color="auto" w:fill="auto"/>
            <w:noWrap/>
            <w:vAlign w:val="center"/>
            <w:hideMark/>
          </w:tcPr>
          <w:p w14:paraId="160A5781"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5,266</w:t>
            </w:r>
          </w:p>
        </w:tc>
        <w:tc>
          <w:tcPr>
            <w:tcW w:w="1188" w:type="dxa"/>
            <w:tcBorders>
              <w:top w:val="nil"/>
              <w:left w:val="nil"/>
              <w:bottom w:val="single" w:sz="4" w:space="0" w:color="auto"/>
              <w:right w:val="single" w:sz="4" w:space="0" w:color="auto"/>
            </w:tcBorders>
            <w:shd w:val="clear" w:color="auto" w:fill="auto"/>
            <w:noWrap/>
            <w:vAlign w:val="center"/>
            <w:hideMark/>
          </w:tcPr>
          <w:p w14:paraId="25CBA6DD"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1,067</w:t>
            </w:r>
          </w:p>
        </w:tc>
        <w:tc>
          <w:tcPr>
            <w:tcW w:w="1188" w:type="dxa"/>
            <w:tcBorders>
              <w:top w:val="nil"/>
              <w:left w:val="nil"/>
              <w:bottom w:val="single" w:sz="4" w:space="0" w:color="auto"/>
              <w:right w:val="single" w:sz="4" w:space="0" w:color="auto"/>
            </w:tcBorders>
            <w:shd w:val="clear" w:color="auto" w:fill="auto"/>
            <w:noWrap/>
            <w:vAlign w:val="center"/>
            <w:hideMark/>
          </w:tcPr>
          <w:p w14:paraId="10CD2C34"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2A25780C"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45</w:t>
            </w:r>
          </w:p>
        </w:tc>
        <w:tc>
          <w:tcPr>
            <w:tcW w:w="1188" w:type="dxa"/>
            <w:tcBorders>
              <w:top w:val="nil"/>
              <w:left w:val="nil"/>
              <w:bottom w:val="single" w:sz="4" w:space="0" w:color="auto"/>
              <w:right w:val="single" w:sz="4" w:space="0" w:color="auto"/>
            </w:tcBorders>
            <w:shd w:val="clear" w:color="auto" w:fill="auto"/>
            <w:noWrap/>
            <w:vAlign w:val="center"/>
            <w:hideMark/>
          </w:tcPr>
          <w:p w14:paraId="7A7B1DD3"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6,378</w:t>
            </w:r>
          </w:p>
        </w:tc>
        <w:tc>
          <w:tcPr>
            <w:tcW w:w="1187" w:type="dxa"/>
            <w:tcBorders>
              <w:top w:val="nil"/>
              <w:left w:val="nil"/>
              <w:bottom w:val="single" w:sz="4" w:space="0" w:color="auto"/>
              <w:right w:val="single" w:sz="4" w:space="0" w:color="auto"/>
            </w:tcBorders>
            <w:shd w:val="clear" w:color="auto" w:fill="auto"/>
            <w:noWrap/>
            <w:vAlign w:val="center"/>
            <w:hideMark/>
          </w:tcPr>
          <w:p w14:paraId="60343411"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5,407</w:t>
            </w:r>
          </w:p>
        </w:tc>
        <w:tc>
          <w:tcPr>
            <w:tcW w:w="1188" w:type="dxa"/>
            <w:tcBorders>
              <w:top w:val="nil"/>
              <w:left w:val="nil"/>
              <w:bottom w:val="single" w:sz="4" w:space="0" w:color="auto"/>
              <w:right w:val="single" w:sz="4" w:space="0" w:color="auto"/>
            </w:tcBorders>
            <w:shd w:val="clear" w:color="auto" w:fill="auto"/>
            <w:noWrap/>
            <w:vAlign w:val="center"/>
            <w:hideMark/>
          </w:tcPr>
          <w:p w14:paraId="4DBE594D"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1,088</w:t>
            </w:r>
          </w:p>
        </w:tc>
        <w:tc>
          <w:tcPr>
            <w:tcW w:w="1188" w:type="dxa"/>
            <w:tcBorders>
              <w:top w:val="nil"/>
              <w:left w:val="nil"/>
              <w:bottom w:val="single" w:sz="4" w:space="0" w:color="auto"/>
              <w:right w:val="single" w:sz="4" w:space="0" w:color="auto"/>
            </w:tcBorders>
            <w:shd w:val="clear" w:color="auto" w:fill="auto"/>
            <w:noWrap/>
            <w:vAlign w:val="center"/>
            <w:hideMark/>
          </w:tcPr>
          <w:p w14:paraId="1A74B2BF"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09F9FFB7"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42</w:t>
            </w:r>
          </w:p>
        </w:tc>
        <w:tc>
          <w:tcPr>
            <w:tcW w:w="1188" w:type="dxa"/>
            <w:tcBorders>
              <w:top w:val="nil"/>
              <w:left w:val="nil"/>
              <w:bottom w:val="single" w:sz="4" w:space="0" w:color="auto"/>
              <w:right w:val="single" w:sz="4" w:space="0" w:color="auto"/>
            </w:tcBorders>
            <w:shd w:val="clear" w:color="auto" w:fill="auto"/>
            <w:noWrap/>
            <w:vAlign w:val="center"/>
            <w:hideMark/>
          </w:tcPr>
          <w:p w14:paraId="56D3B70B"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6,537</w:t>
            </w:r>
          </w:p>
        </w:tc>
      </w:tr>
      <w:tr w:rsidR="00942D11" w:rsidRPr="001B1818" w14:paraId="117C821B"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916BBA0"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Central Highlands Rural Health</w:t>
            </w:r>
          </w:p>
        </w:tc>
        <w:tc>
          <w:tcPr>
            <w:tcW w:w="1187" w:type="dxa"/>
            <w:tcBorders>
              <w:top w:val="nil"/>
              <w:left w:val="nil"/>
              <w:bottom w:val="single" w:sz="4" w:space="0" w:color="auto"/>
              <w:right w:val="single" w:sz="4" w:space="0" w:color="auto"/>
            </w:tcBorders>
            <w:shd w:val="clear" w:color="auto" w:fill="auto"/>
            <w:noWrap/>
            <w:vAlign w:val="center"/>
            <w:hideMark/>
          </w:tcPr>
          <w:p w14:paraId="1828A226"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27,760</w:t>
            </w:r>
          </w:p>
        </w:tc>
        <w:tc>
          <w:tcPr>
            <w:tcW w:w="1188" w:type="dxa"/>
            <w:tcBorders>
              <w:top w:val="nil"/>
              <w:left w:val="nil"/>
              <w:bottom w:val="single" w:sz="4" w:space="0" w:color="auto"/>
              <w:right w:val="single" w:sz="4" w:space="0" w:color="auto"/>
            </w:tcBorders>
            <w:shd w:val="clear" w:color="auto" w:fill="auto"/>
            <w:noWrap/>
            <w:vAlign w:val="center"/>
            <w:hideMark/>
          </w:tcPr>
          <w:p w14:paraId="69E1480B"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2,529</w:t>
            </w:r>
          </w:p>
        </w:tc>
        <w:tc>
          <w:tcPr>
            <w:tcW w:w="1188" w:type="dxa"/>
            <w:tcBorders>
              <w:top w:val="nil"/>
              <w:left w:val="nil"/>
              <w:bottom w:val="single" w:sz="4" w:space="0" w:color="auto"/>
              <w:right w:val="single" w:sz="4" w:space="0" w:color="auto"/>
            </w:tcBorders>
            <w:shd w:val="clear" w:color="auto" w:fill="auto"/>
            <w:noWrap/>
            <w:vAlign w:val="center"/>
            <w:hideMark/>
          </w:tcPr>
          <w:p w14:paraId="0295CFB3"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484DC99D"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1,176</w:t>
            </w:r>
          </w:p>
        </w:tc>
        <w:tc>
          <w:tcPr>
            <w:tcW w:w="1188" w:type="dxa"/>
            <w:tcBorders>
              <w:top w:val="nil"/>
              <w:left w:val="nil"/>
              <w:bottom w:val="single" w:sz="4" w:space="0" w:color="auto"/>
              <w:right w:val="single" w:sz="4" w:space="0" w:color="auto"/>
            </w:tcBorders>
            <w:shd w:val="clear" w:color="auto" w:fill="auto"/>
            <w:noWrap/>
            <w:vAlign w:val="center"/>
            <w:hideMark/>
          </w:tcPr>
          <w:p w14:paraId="6B3C5FBB"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31,464</w:t>
            </w:r>
          </w:p>
        </w:tc>
        <w:tc>
          <w:tcPr>
            <w:tcW w:w="1187" w:type="dxa"/>
            <w:tcBorders>
              <w:top w:val="nil"/>
              <w:left w:val="nil"/>
              <w:bottom w:val="single" w:sz="4" w:space="0" w:color="auto"/>
              <w:right w:val="single" w:sz="4" w:space="0" w:color="auto"/>
            </w:tcBorders>
            <w:shd w:val="clear" w:color="auto" w:fill="auto"/>
            <w:noWrap/>
            <w:vAlign w:val="center"/>
            <w:hideMark/>
          </w:tcPr>
          <w:p w14:paraId="063175A9"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28,252</w:t>
            </w:r>
          </w:p>
        </w:tc>
        <w:tc>
          <w:tcPr>
            <w:tcW w:w="1188" w:type="dxa"/>
            <w:tcBorders>
              <w:top w:val="nil"/>
              <w:left w:val="nil"/>
              <w:bottom w:val="single" w:sz="4" w:space="0" w:color="auto"/>
              <w:right w:val="single" w:sz="4" w:space="0" w:color="auto"/>
            </w:tcBorders>
            <w:shd w:val="clear" w:color="auto" w:fill="auto"/>
            <w:noWrap/>
            <w:vAlign w:val="center"/>
            <w:hideMark/>
          </w:tcPr>
          <w:p w14:paraId="327B7716"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2,592</w:t>
            </w:r>
          </w:p>
        </w:tc>
        <w:tc>
          <w:tcPr>
            <w:tcW w:w="1188" w:type="dxa"/>
            <w:tcBorders>
              <w:top w:val="nil"/>
              <w:left w:val="nil"/>
              <w:bottom w:val="single" w:sz="4" w:space="0" w:color="auto"/>
              <w:right w:val="single" w:sz="4" w:space="0" w:color="auto"/>
            </w:tcBorders>
            <w:shd w:val="clear" w:color="auto" w:fill="auto"/>
            <w:noWrap/>
            <w:vAlign w:val="center"/>
            <w:hideMark/>
          </w:tcPr>
          <w:p w14:paraId="459464A7"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68E63674"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1,184</w:t>
            </w:r>
          </w:p>
        </w:tc>
        <w:tc>
          <w:tcPr>
            <w:tcW w:w="1188" w:type="dxa"/>
            <w:tcBorders>
              <w:top w:val="nil"/>
              <w:left w:val="nil"/>
              <w:bottom w:val="single" w:sz="4" w:space="0" w:color="auto"/>
              <w:right w:val="single" w:sz="4" w:space="0" w:color="auto"/>
            </w:tcBorders>
            <w:shd w:val="clear" w:color="auto" w:fill="auto"/>
            <w:noWrap/>
            <w:vAlign w:val="center"/>
            <w:hideMark/>
          </w:tcPr>
          <w:p w14:paraId="62C3ED89"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32,028</w:t>
            </w:r>
          </w:p>
        </w:tc>
      </w:tr>
      <w:tr w:rsidR="00942D11" w:rsidRPr="001B1818" w14:paraId="0A585173"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097F769"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Cohuna District Hospital</w:t>
            </w:r>
          </w:p>
        </w:tc>
        <w:tc>
          <w:tcPr>
            <w:tcW w:w="1187" w:type="dxa"/>
            <w:tcBorders>
              <w:top w:val="nil"/>
              <w:left w:val="nil"/>
              <w:bottom w:val="single" w:sz="4" w:space="0" w:color="auto"/>
              <w:right w:val="single" w:sz="4" w:space="0" w:color="auto"/>
            </w:tcBorders>
            <w:shd w:val="clear" w:color="auto" w:fill="auto"/>
            <w:noWrap/>
            <w:vAlign w:val="center"/>
            <w:hideMark/>
          </w:tcPr>
          <w:p w14:paraId="10FB5A6D"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8,123</w:t>
            </w:r>
          </w:p>
        </w:tc>
        <w:tc>
          <w:tcPr>
            <w:tcW w:w="1188" w:type="dxa"/>
            <w:tcBorders>
              <w:top w:val="nil"/>
              <w:left w:val="nil"/>
              <w:bottom w:val="single" w:sz="4" w:space="0" w:color="auto"/>
              <w:right w:val="single" w:sz="4" w:space="0" w:color="auto"/>
            </w:tcBorders>
            <w:shd w:val="clear" w:color="auto" w:fill="auto"/>
            <w:noWrap/>
            <w:vAlign w:val="center"/>
            <w:hideMark/>
          </w:tcPr>
          <w:p w14:paraId="15C8D500"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602</w:t>
            </w:r>
          </w:p>
        </w:tc>
        <w:tc>
          <w:tcPr>
            <w:tcW w:w="1188" w:type="dxa"/>
            <w:tcBorders>
              <w:top w:val="nil"/>
              <w:left w:val="nil"/>
              <w:bottom w:val="single" w:sz="4" w:space="0" w:color="auto"/>
              <w:right w:val="single" w:sz="4" w:space="0" w:color="auto"/>
            </w:tcBorders>
            <w:shd w:val="clear" w:color="auto" w:fill="auto"/>
            <w:noWrap/>
            <w:vAlign w:val="center"/>
            <w:hideMark/>
          </w:tcPr>
          <w:p w14:paraId="54A02CD4"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1FE493F7"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1F0D2121"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8,726</w:t>
            </w:r>
          </w:p>
        </w:tc>
        <w:tc>
          <w:tcPr>
            <w:tcW w:w="1187" w:type="dxa"/>
            <w:tcBorders>
              <w:top w:val="nil"/>
              <w:left w:val="nil"/>
              <w:bottom w:val="single" w:sz="4" w:space="0" w:color="auto"/>
              <w:right w:val="single" w:sz="4" w:space="0" w:color="auto"/>
            </w:tcBorders>
            <w:shd w:val="clear" w:color="auto" w:fill="auto"/>
            <w:noWrap/>
            <w:vAlign w:val="center"/>
            <w:hideMark/>
          </w:tcPr>
          <w:p w14:paraId="55BCC3E2"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8,266</w:t>
            </w:r>
          </w:p>
        </w:tc>
        <w:tc>
          <w:tcPr>
            <w:tcW w:w="1188" w:type="dxa"/>
            <w:tcBorders>
              <w:top w:val="nil"/>
              <w:left w:val="nil"/>
              <w:bottom w:val="single" w:sz="4" w:space="0" w:color="auto"/>
              <w:right w:val="single" w:sz="4" w:space="0" w:color="auto"/>
            </w:tcBorders>
            <w:shd w:val="clear" w:color="auto" w:fill="auto"/>
            <w:noWrap/>
            <w:vAlign w:val="center"/>
            <w:hideMark/>
          </w:tcPr>
          <w:p w14:paraId="45B38739"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615</w:t>
            </w:r>
          </w:p>
        </w:tc>
        <w:tc>
          <w:tcPr>
            <w:tcW w:w="1188" w:type="dxa"/>
            <w:tcBorders>
              <w:top w:val="nil"/>
              <w:left w:val="nil"/>
              <w:bottom w:val="single" w:sz="4" w:space="0" w:color="auto"/>
              <w:right w:val="single" w:sz="4" w:space="0" w:color="auto"/>
            </w:tcBorders>
            <w:shd w:val="clear" w:color="auto" w:fill="auto"/>
            <w:noWrap/>
            <w:vAlign w:val="center"/>
            <w:hideMark/>
          </w:tcPr>
          <w:p w14:paraId="1357728C"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1CD21A5C"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434A096C"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8,881</w:t>
            </w:r>
          </w:p>
        </w:tc>
      </w:tr>
      <w:tr w:rsidR="00942D11" w:rsidRPr="001B1818" w14:paraId="42742A5A"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9395AC0"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Corryong Health</w:t>
            </w:r>
          </w:p>
        </w:tc>
        <w:tc>
          <w:tcPr>
            <w:tcW w:w="1187" w:type="dxa"/>
            <w:tcBorders>
              <w:top w:val="nil"/>
              <w:left w:val="nil"/>
              <w:bottom w:val="single" w:sz="4" w:space="0" w:color="auto"/>
              <w:right w:val="single" w:sz="4" w:space="0" w:color="auto"/>
            </w:tcBorders>
            <w:shd w:val="clear" w:color="auto" w:fill="auto"/>
            <w:noWrap/>
            <w:vAlign w:val="center"/>
            <w:hideMark/>
          </w:tcPr>
          <w:p w14:paraId="285B7DE0"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5,240</w:t>
            </w:r>
          </w:p>
        </w:tc>
        <w:tc>
          <w:tcPr>
            <w:tcW w:w="1188" w:type="dxa"/>
            <w:tcBorders>
              <w:top w:val="nil"/>
              <w:left w:val="nil"/>
              <w:bottom w:val="single" w:sz="4" w:space="0" w:color="auto"/>
              <w:right w:val="single" w:sz="4" w:space="0" w:color="auto"/>
            </w:tcBorders>
            <w:shd w:val="clear" w:color="auto" w:fill="auto"/>
            <w:noWrap/>
            <w:vAlign w:val="center"/>
            <w:hideMark/>
          </w:tcPr>
          <w:p w14:paraId="58F8B33F"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881</w:t>
            </w:r>
          </w:p>
        </w:tc>
        <w:tc>
          <w:tcPr>
            <w:tcW w:w="1188" w:type="dxa"/>
            <w:tcBorders>
              <w:top w:val="nil"/>
              <w:left w:val="nil"/>
              <w:bottom w:val="single" w:sz="4" w:space="0" w:color="auto"/>
              <w:right w:val="single" w:sz="4" w:space="0" w:color="auto"/>
            </w:tcBorders>
            <w:shd w:val="clear" w:color="auto" w:fill="auto"/>
            <w:noWrap/>
            <w:vAlign w:val="center"/>
            <w:hideMark/>
          </w:tcPr>
          <w:p w14:paraId="58014C8E"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44E2C72A"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136</w:t>
            </w:r>
          </w:p>
        </w:tc>
        <w:tc>
          <w:tcPr>
            <w:tcW w:w="1188" w:type="dxa"/>
            <w:tcBorders>
              <w:top w:val="nil"/>
              <w:left w:val="nil"/>
              <w:bottom w:val="single" w:sz="4" w:space="0" w:color="auto"/>
              <w:right w:val="single" w:sz="4" w:space="0" w:color="auto"/>
            </w:tcBorders>
            <w:shd w:val="clear" w:color="auto" w:fill="auto"/>
            <w:noWrap/>
            <w:vAlign w:val="center"/>
            <w:hideMark/>
          </w:tcPr>
          <w:p w14:paraId="4AFF7F75"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6,257</w:t>
            </w:r>
          </w:p>
        </w:tc>
        <w:tc>
          <w:tcPr>
            <w:tcW w:w="1187" w:type="dxa"/>
            <w:tcBorders>
              <w:top w:val="nil"/>
              <w:left w:val="nil"/>
              <w:bottom w:val="single" w:sz="4" w:space="0" w:color="auto"/>
              <w:right w:val="single" w:sz="4" w:space="0" w:color="auto"/>
            </w:tcBorders>
            <w:shd w:val="clear" w:color="auto" w:fill="auto"/>
            <w:noWrap/>
            <w:vAlign w:val="center"/>
            <w:hideMark/>
          </w:tcPr>
          <w:p w14:paraId="46C9863E"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5,439</w:t>
            </w:r>
          </w:p>
        </w:tc>
        <w:tc>
          <w:tcPr>
            <w:tcW w:w="1188" w:type="dxa"/>
            <w:tcBorders>
              <w:top w:val="nil"/>
              <w:left w:val="nil"/>
              <w:bottom w:val="single" w:sz="4" w:space="0" w:color="auto"/>
              <w:right w:val="single" w:sz="4" w:space="0" w:color="auto"/>
            </w:tcBorders>
            <w:shd w:val="clear" w:color="auto" w:fill="auto"/>
            <w:noWrap/>
            <w:vAlign w:val="center"/>
            <w:hideMark/>
          </w:tcPr>
          <w:p w14:paraId="3C2FD117"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899</w:t>
            </w:r>
          </w:p>
        </w:tc>
        <w:tc>
          <w:tcPr>
            <w:tcW w:w="1188" w:type="dxa"/>
            <w:tcBorders>
              <w:top w:val="nil"/>
              <w:left w:val="nil"/>
              <w:bottom w:val="single" w:sz="4" w:space="0" w:color="auto"/>
              <w:right w:val="single" w:sz="4" w:space="0" w:color="auto"/>
            </w:tcBorders>
            <w:shd w:val="clear" w:color="auto" w:fill="auto"/>
            <w:noWrap/>
            <w:vAlign w:val="center"/>
            <w:hideMark/>
          </w:tcPr>
          <w:p w14:paraId="11752DA9"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576558C0"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134</w:t>
            </w:r>
          </w:p>
        </w:tc>
        <w:tc>
          <w:tcPr>
            <w:tcW w:w="1188" w:type="dxa"/>
            <w:tcBorders>
              <w:top w:val="nil"/>
              <w:left w:val="nil"/>
              <w:bottom w:val="single" w:sz="4" w:space="0" w:color="auto"/>
              <w:right w:val="single" w:sz="4" w:space="0" w:color="auto"/>
            </w:tcBorders>
            <w:shd w:val="clear" w:color="auto" w:fill="auto"/>
            <w:noWrap/>
            <w:vAlign w:val="center"/>
            <w:hideMark/>
          </w:tcPr>
          <w:p w14:paraId="660AABF8"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6,473</w:t>
            </w:r>
          </w:p>
        </w:tc>
      </w:tr>
      <w:tr w:rsidR="00942D11" w:rsidRPr="001B1818" w14:paraId="18487EB7"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D898FB0"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East Wimmera Health Service</w:t>
            </w:r>
          </w:p>
        </w:tc>
        <w:tc>
          <w:tcPr>
            <w:tcW w:w="1187" w:type="dxa"/>
            <w:tcBorders>
              <w:top w:val="nil"/>
              <w:left w:val="nil"/>
              <w:bottom w:val="single" w:sz="4" w:space="0" w:color="auto"/>
              <w:right w:val="single" w:sz="4" w:space="0" w:color="auto"/>
            </w:tcBorders>
            <w:shd w:val="clear" w:color="auto" w:fill="auto"/>
            <w:noWrap/>
            <w:vAlign w:val="center"/>
            <w:hideMark/>
          </w:tcPr>
          <w:p w14:paraId="215A60B4"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19,454</w:t>
            </w:r>
          </w:p>
        </w:tc>
        <w:tc>
          <w:tcPr>
            <w:tcW w:w="1188" w:type="dxa"/>
            <w:tcBorders>
              <w:top w:val="nil"/>
              <w:left w:val="nil"/>
              <w:bottom w:val="single" w:sz="4" w:space="0" w:color="auto"/>
              <w:right w:val="single" w:sz="4" w:space="0" w:color="auto"/>
            </w:tcBorders>
            <w:shd w:val="clear" w:color="auto" w:fill="auto"/>
            <w:noWrap/>
            <w:vAlign w:val="center"/>
            <w:hideMark/>
          </w:tcPr>
          <w:p w14:paraId="233CA658"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2,895</w:t>
            </w:r>
          </w:p>
        </w:tc>
        <w:tc>
          <w:tcPr>
            <w:tcW w:w="1188" w:type="dxa"/>
            <w:tcBorders>
              <w:top w:val="nil"/>
              <w:left w:val="nil"/>
              <w:bottom w:val="single" w:sz="4" w:space="0" w:color="auto"/>
              <w:right w:val="single" w:sz="4" w:space="0" w:color="auto"/>
            </w:tcBorders>
            <w:shd w:val="clear" w:color="auto" w:fill="auto"/>
            <w:noWrap/>
            <w:vAlign w:val="center"/>
            <w:hideMark/>
          </w:tcPr>
          <w:p w14:paraId="68C64659"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1985B002"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679</w:t>
            </w:r>
          </w:p>
        </w:tc>
        <w:tc>
          <w:tcPr>
            <w:tcW w:w="1188" w:type="dxa"/>
            <w:tcBorders>
              <w:top w:val="nil"/>
              <w:left w:val="nil"/>
              <w:bottom w:val="single" w:sz="4" w:space="0" w:color="auto"/>
              <w:right w:val="single" w:sz="4" w:space="0" w:color="auto"/>
            </w:tcBorders>
            <w:shd w:val="clear" w:color="auto" w:fill="auto"/>
            <w:noWrap/>
            <w:vAlign w:val="center"/>
            <w:hideMark/>
          </w:tcPr>
          <w:p w14:paraId="38BDF0E1"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23,028</w:t>
            </w:r>
          </w:p>
        </w:tc>
        <w:tc>
          <w:tcPr>
            <w:tcW w:w="1187" w:type="dxa"/>
            <w:tcBorders>
              <w:top w:val="nil"/>
              <w:left w:val="nil"/>
              <w:bottom w:val="single" w:sz="4" w:space="0" w:color="auto"/>
              <w:right w:val="single" w:sz="4" w:space="0" w:color="auto"/>
            </w:tcBorders>
            <w:shd w:val="clear" w:color="auto" w:fill="auto"/>
            <w:noWrap/>
            <w:vAlign w:val="center"/>
            <w:hideMark/>
          </w:tcPr>
          <w:p w14:paraId="69CEAB65"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19,947</w:t>
            </w:r>
          </w:p>
        </w:tc>
        <w:tc>
          <w:tcPr>
            <w:tcW w:w="1188" w:type="dxa"/>
            <w:tcBorders>
              <w:top w:val="nil"/>
              <w:left w:val="nil"/>
              <w:bottom w:val="single" w:sz="4" w:space="0" w:color="auto"/>
              <w:right w:val="single" w:sz="4" w:space="0" w:color="auto"/>
            </w:tcBorders>
            <w:shd w:val="clear" w:color="auto" w:fill="auto"/>
            <w:noWrap/>
            <w:vAlign w:val="center"/>
            <w:hideMark/>
          </w:tcPr>
          <w:p w14:paraId="389242B8"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2,964</w:t>
            </w:r>
          </w:p>
        </w:tc>
        <w:tc>
          <w:tcPr>
            <w:tcW w:w="1188" w:type="dxa"/>
            <w:tcBorders>
              <w:top w:val="nil"/>
              <w:left w:val="nil"/>
              <w:bottom w:val="single" w:sz="4" w:space="0" w:color="auto"/>
              <w:right w:val="single" w:sz="4" w:space="0" w:color="auto"/>
            </w:tcBorders>
            <w:shd w:val="clear" w:color="auto" w:fill="auto"/>
            <w:noWrap/>
            <w:vAlign w:val="center"/>
            <w:hideMark/>
          </w:tcPr>
          <w:p w14:paraId="5E165E70"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1B31E779"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679</w:t>
            </w:r>
          </w:p>
        </w:tc>
        <w:tc>
          <w:tcPr>
            <w:tcW w:w="1188" w:type="dxa"/>
            <w:tcBorders>
              <w:top w:val="nil"/>
              <w:left w:val="nil"/>
              <w:bottom w:val="single" w:sz="4" w:space="0" w:color="auto"/>
              <w:right w:val="single" w:sz="4" w:space="0" w:color="auto"/>
            </w:tcBorders>
            <w:shd w:val="clear" w:color="auto" w:fill="auto"/>
            <w:noWrap/>
            <w:vAlign w:val="center"/>
            <w:hideMark/>
          </w:tcPr>
          <w:p w14:paraId="6489DF4D"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23,589</w:t>
            </w:r>
          </w:p>
        </w:tc>
      </w:tr>
      <w:tr w:rsidR="00942D11" w:rsidRPr="001B1818" w14:paraId="615B1B14"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03201FB"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Great Ocean Road Health</w:t>
            </w:r>
          </w:p>
        </w:tc>
        <w:tc>
          <w:tcPr>
            <w:tcW w:w="1187" w:type="dxa"/>
            <w:tcBorders>
              <w:top w:val="nil"/>
              <w:left w:val="nil"/>
              <w:bottom w:val="single" w:sz="4" w:space="0" w:color="auto"/>
              <w:right w:val="single" w:sz="4" w:space="0" w:color="auto"/>
            </w:tcBorders>
            <w:shd w:val="clear" w:color="auto" w:fill="auto"/>
            <w:noWrap/>
            <w:vAlign w:val="center"/>
            <w:hideMark/>
          </w:tcPr>
          <w:p w14:paraId="0982C950"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6,808</w:t>
            </w:r>
          </w:p>
        </w:tc>
        <w:tc>
          <w:tcPr>
            <w:tcW w:w="1188" w:type="dxa"/>
            <w:tcBorders>
              <w:top w:val="nil"/>
              <w:left w:val="nil"/>
              <w:bottom w:val="single" w:sz="4" w:space="0" w:color="auto"/>
              <w:right w:val="single" w:sz="4" w:space="0" w:color="auto"/>
            </w:tcBorders>
            <w:shd w:val="clear" w:color="auto" w:fill="auto"/>
            <w:noWrap/>
            <w:vAlign w:val="center"/>
            <w:hideMark/>
          </w:tcPr>
          <w:p w14:paraId="7971AE58"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1,093</w:t>
            </w:r>
          </w:p>
        </w:tc>
        <w:tc>
          <w:tcPr>
            <w:tcW w:w="1188" w:type="dxa"/>
            <w:tcBorders>
              <w:top w:val="nil"/>
              <w:left w:val="nil"/>
              <w:bottom w:val="single" w:sz="4" w:space="0" w:color="auto"/>
              <w:right w:val="single" w:sz="4" w:space="0" w:color="auto"/>
            </w:tcBorders>
            <w:shd w:val="clear" w:color="auto" w:fill="auto"/>
            <w:noWrap/>
            <w:vAlign w:val="center"/>
            <w:hideMark/>
          </w:tcPr>
          <w:p w14:paraId="193A4D39"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6CB142DF"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231</w:t>
            </w:r>
          </w:p>
        </w:tc>
        <w:tc>
          <w:tcPr>
            <w:tcW w:w="1188" w:type="dxa"/>
            <w:tcBorders>
              <w:top w:val="nil"/>
              <w:left w:val="nil"/>
              <w:bottom w:val="single" w:sz="4" w:space="0" w:color="auto"/>
              <w:right w:val="single" w:sz="4" w:space="0" w:color="auto"/>
            </w:tcBorders>
            <w:shd w:val="clear" w:color="auto" w:fill="auto"/>
            <w:noWrap/>
            <w:vAlign w:val="center"/>
            <w:hideMark/>
          </w:tcPr>
          <w:p w14:paraId="675F4392"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8,132</w:t>
            </w:r>
          </w:p>
        </w:tc>
        <w:tc>
          <w:tcPr>
            <w:tcW w:w="1187" w:type="dxa"/>
            <w:tcBorders>
              <w:top w:val="nil"/>
              <w:left w:val="nil"/>
              <w:bottom w:val="single" w:sz="4" w:space="0" w:color="auto"/>
              <w:right w:val="single" w:sz="4" w:space="0" w:color="auto"/>
            </w:tcBorders>
            <w:shd w:val="clear" w:color="auto" w:fill="auto"/>
            <w:noWrap/>
            <w:vAlign w:val="center"/>
            <w:hideMark/>
          </w:tcPr>
          <w:p w14:paraId="4CB01ADE"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7,013</w:t>
            </w:r>
          </w:p>
        </w:tc>
        <w:tc>
          <w:tcPr>
            <w:tcW w:w="1188" w:type="dxa"/>
            <w:tcBorders>
              <w:top w:val="nil"/>
              <w:left w:val="nil"/>
              <w:bottom w:val="single" w:sz="4" w:space="0" w:color="auto"/>
              <w:right w:val="single" w:sz="4" w:space="0" w:color="auto"/>
            </w:tcBorders>
            <w:shd w:val="clear" w:color="auto" w:fill="auto"/>
            <w:noWrap/>
            <w:vAlign w:val="center"/>
            <w:hideMark/>
          </w:tcPr>
          <w:p w14:paraId="1B03A6E5"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1,116</w:t>
            </w:r>
          </w:p>
        </w:tc>
        <w:tc>
          <w:tcPr>
            <w:tcW w:w="1188" w:type="dxa"/>
            <w:tcBorders>
              <w:top w:val="nil"/>
              <w:left w:val="nil"/>
              <w:bottom w:val="single" w:sz="4" w:space="0" w:color="auto"/>
              <w:right w:val="single" w:sz="4" w:space="0" w:color="auto"/>
            </w:tcBorders>
            <w:shd w:val="clear" w:color="auto" w:fill="auto"/>
            <w:noWrap/>
            <w:vAlign w:val="center"/>
            <w:hideMark/>
          </w:tcPr>
          <w:p w14:paraId="76265669"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37CDF554"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232</w:t>
            </w:r>
          </w:p>
        </w:tc>
        <w:tc>
          <w:tcPr>
            <w:tcW w:w="1188" w:type="dxa"/>
            <w:tcBorders>
              <w:top w:val="nil"/>
              <w:left w:val="nil"/>
              <w:bottom w:val="single" w:sz="4" w:space="0" w:color="auto"/>
              <w:right w:val="single" w:sz="4" w:space="0" w:color="auto"/>
            </w:tcBorders>
            <w:shd w:val="clear" w:color="auto" w:fill="auto"/>
            <w:noWrap/>
            <w:vAlign w:val="center"/>
            <w:hideMark/>
          </w:tcPr>
          <w:p w14:paraId="734962AA"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8,360</w:t>
            </w:r>
          </w:p>
        </w:tc>
      </w:tr>
      <w:tr w:rsidR="00942D11" w:rsidRPr="001B1818" w14:paraId="06466CB5"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F2AA9E6"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Heathcote Health</w:t>
            </w:r>
          </w:p>
        </w:tc>
        <w:tc>
          <w:tcPr>
            <w:tcW w:w="1187" w:type="dxa"/>
            <w:tcBorders>
              <w:top w:val="nil"/>
              <w:left w:val="nil"/>
              <w:bottom w:val="single" w:sz="4" w:space="0" w:color="auto"/>
              <w:right w:val="single" w:sz="4" w:space="0" w:color="auto"/>
            </w:tcBorders>
            <w:shd w:val="clear" w:color="auto" w:fill="auto"/>
            <w:noWrap/>
            <w:vAlign w:val="center"/>
            <w:hideMark/>
          </w:tcPr>
          <w:p w14:paraId="22C4E261"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3,909</w:t>
            </w:r>
          </w:p>
        </w:tc>
        <w:tc>
          <w:tcPr>
            <w:tcW w:w="1188" w:type="dxa"/>
            <w:tcBorders>
              <w:top w:val="nil"/>
              <w:left w:val="nil"/>
              <w:bottom w:val="single" w:sz="4" w:space="0" w:color="auto"/>
              <w:right w:val="single" w:sz="4" w:space="0" w:color="auto"/>
            </w:tcBorders>
            <w:shd w:val="clear" w:color="auto" w:fill="auto"/>
            <w:noWrap/>
            <w:vAlign w:val="center"/>
            <w:hideMark/>
          </w:tcPr>
          <w:p w14:paraId="762D6699"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556</w:t>
            </w:r>
          </w:p>
        </w:tc>
        <w:tc>
          <w:tcPr>
            <w:tcW w:w="1188" w:type="dxa"/>
            <w:tcBorders>
              <w:top w:val="nil"/>
              <w:left w:val="nil"/>
              <w:bottom w:val="single" w:sz="4" w:space="0" w:color="auto"/>
              <w:right w:val="single" w:sz="4" w:space="0" w:color="auto"/>
            </w:tcBorders>
            <w:shd w:val="clear" w:color="auto" w:fill="auto"/>
            <w:noWrap/>
            <w:vAlign w:val="center"/>
            <w:hideMark/>
          </w:tcPr>
          <w:p w14:paraId="46C5E0BC"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304B6E87"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139</w:t>
            </w:r>
          </w:p>
        </w:tc>
        <w:tc>
          <w:tcPr>
            <w:tcW w:w="1188" w:type="dxa"/>
            <w:tcBorders>
              <w:top w:val="nil"/>
              <w:left w:val="nil"/>
              <w:bottom w:val="single" w:sz="4" w:space="0" w:color="auto"/>
              <w:right w:val="single" w:sz="4" w:space="0" w:color="auto"/>
            </w:tcBorders>
            <w:shd w:val="clear" w:color="auto" w:fill="auto"/>
            <w:noWrap/>
            <w:vAlign w:val="center"/>
            <w:hideMark/>
          </w:tcPr>
          <w:p w14:paraId="58DC0FE7"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4,604</w:t>
            </w:r>
          </w:p>
        </w:tc>
        <w:tc>
          <w:tcPr>
            <w:tcW w:w="1187" w:type="dxa"/>
            <w:tcBorders>
              <w:top w:val="nil"/>
              <w:left w:val="nil"/>
              <w:bottom w:val="single" w:sz="4" w:space="0" w:color="auto"/>
              <w:right w:val="single" w:sz="4" w:space="0" w:color="auto"/>
            </w:tcBorders>
            <w:shd w:val="clear" w:color="auto" w:fill="auto"/>
            <w:noWrap/>
            <w:vAlign w:val="center"/>
            <w:hideMark/>
          </w:tcPr>
          <w:p w14:paraId="0D5AE91D"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3,966</w:t>
            </w:r>
          </w:p>
        </w:tc>
        <w:tc>
          <w:tcPr>
            <w:tcW w:w="1188" w:type="dxa"/>
            <w:tcBorders>
              <w:top w:val="nil"/>
              <w:left w:val="nil"/>
              <w:bottom w:val="single" w:sz="4" w:space="0" w:color="auto"/>
              <w:right w:val="single" w:sz="4" w:space="0" w:color="auto"/>
            </w:tcBorders>
            <w:shd w:val="clear" w:color="auto" w:fill="auto"/>
            <w:noWrap/>
            <w:vAlign w:val="center"/>
            <w:hideMark/>
          </w:tcPr>
          <w:p w14:paraId="73ADA8FE"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568</w:t>
            </w:r>
          </w:p>
        </w:tc>
        <w:tc>
          <w:tcPr>
            <w:tcW w:w="1188" w:type="dxa"/>
            <w:tcBorders>
              <w:top w:val="nil"/>
              <w:left w:val="nil"/>
              <w:bottom w:val="single" w:sz="4" w:space="0" w:color="auto"/>
              <w:right w:val="single" w:sz="4" w:space="0" w:color="auto"/>
            </w:tcBorders>
            <w:shd w:val="clear" w:color="auto" w:fill="auto"/>
            <w:noWrap/>
            <w:vAlign w:val="center"/>
            <w:hideMark/>
          </w:tcPr>
          <w:p w14:paraId="6838FF99"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6DB27D00"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142</w:t>
            </w:r>
          </w:p>
        </w:tc>
        <w:tc>
          <w:tcPr>
            <w:tcW w:w="1188" w:type="dxa"/>
            <w:tcBorders>
              <w:top w:val="nil"/>
              <w:left w:val="nil"/>
              <w:bottom w:val="single" w:sz="4" w:space="0" w:color="auto"/>
              <w:right w:val="single" w:sz="4" w:space="0" w:color="auto"/>
            </w:tcBorders>
            <w:shd w:val="clear" w:color="auto" w:fill="auto"/>
            <w:noWrap/>
            <w:vAlign w:val="center"/>
            <w:hideMark/>
          </w:tcPr>
          <w:p w14:paraId="737262D5"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4,676</w:t>
            </w:r>
          </w:p>
        </w:tc>
      </w:tr>
      <w:tr w:rsidR="00942D11" w:rsidRPr="001B1818" w14:paraId="5575F8CF"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6C521D0"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Hesse Rural Health Service</w:t>
            </w:r>
          </w:p>
        </w:tc>
        <w:tc>
          <w:tcPr>
            <w:tcW w:w="1187" w:type="dxa"/>
            <w:tcBorders>
              <w:top w:val="nil"/>
              <w:left w:val="nil"/>
              <w:bottom w:val="single" w:sz="4" w:space="0" w:color="auto"/>
              <w:right w:val="single" w:sz="4" w:space="0" w:color="auto"/>
            </w:tcBorders>
            <w:shd w:val="clear" w:color="auto" w:fill="auto"/>
            <w:noWrap/>
            <w:vAlign w:val="center"/>
            <w:hideMark/>
          </w:tcPr>
          <w:p w14:paraId="63AEFC08"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3,185</w:t>
            </w:r>
          </w:p>
        </w:tc>
        <w:tc>
          <w:tcPr>
            <w:tcW w:w="1188" w:type="dxa"/>
            <w:tcBorders>
              <w:top w:val="nil"/>
              <w:left w:val="nil"/>
              <w:bottom w:val="single" w:sz="4" w:space="0" w:color="auto"/>
              <w:right w:val="single" w:sz="4" w:space="0" w:color="auto"/>
            </w:tcBorders>
            <w:shd w:val="clear" w:color="auto" w:fill="auto"/>
            <w:noWrap/>
            <w:vAlign w:val="center"/>
            <w:hideMark/>
          </w:tcPr>
          <w:p w14:paraId="4B07A615"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826</w:t>
            </w:r>
          </w:p>
        </w:tc>
        <w:tc>
          <w:tcPr>
            <w:tcW w:w="1188" w:type="dxa"/>
            <w:tcBorders>
              <w:top w:val="nil"/>
              <w:left w:val="nil"/>
              <w:bottom w:val="single" w:sz="4" w:space="0" w:color="auto"/>
              <w:right w:val="single" w:sz="4" w:space="0" w:color="auto"/>
            </w:tcBorders>
            <w:shd w:val="clear" w:color="auto" w:fill="auto"/>
            <w:noWrap/>
            <w:vAlign w:val="center"/>
            <w:hideMark/>
          </w:tcPr>
          <w:p w14:paraId="7F7B5209"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39071E61"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643</w:t>
            </w:r>
          </w:p>
        </w:tc>
        <w:tc>
          <w:tcPr>
            <w:tcW w:w="1188" w:type="dxa"/>
            <w:tcBorders>
              <w:top w:val="nil"/>
              <w:left w:val="nil"/>
              <w:bottom w:val="single" w:sz="4" w:space="0" w:color="auto"/>
              <w:right w:val="single" w:sz="4" w:space="0" w:color="auto"/>
            </w:tcBorders>
            <w:shd w:val="clear" w:color="auto" w:fill="auto"/>
            <w:noWrap/>
            <w:vAlign w:val="center"/>
            <w:hideMark/>
          </w:tcPr>
          <w:p w14:paraId="6125337F"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4,654</w:t>
            </w:r>
          </w:p>
        </w:tc>
        <w:tc>
          <w:tcPr>
            <w:tcW w:w="1187" w:type="dxa"/>
            <w:tcBorders>
              <w:top w:val="nil"/>
              <w:left w:val="nil"/>
              <w:bottom w:val="single" w:sz="4" w:space="0" w:color="auto"/>
              <w:right w:val="single" w:sz="4" w:space="0" w:color="auto"/>
            </w:tcBorders>
            <w:shd w:val="clear" w:color="auto" w:fill="auto"/>
            <w:noWrap/>
            <w:vAlign w:val="center"/>
            <w:hideMark/>
          </w:tcPr>
          <w:p w14:paraId="6B357B2E"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2,901</w:t>
            </w:r>
          </w:p>
        </w:tc>
        <w:tc>
          <w:tcPr>
            <w:tcW w:w="1188" w:type="dxa"/>
            <w:tcBorders>
              <w:top w:val="nil"/>
              <w:left w:val="nil"/>
              <w:bottom w:val="single" w:sz="4" w:space="0" w:color="auto"/>
              <w:right w:val="single" w:sz="4" w:space="0" w:color="auto"/>
            </w:tcBorders>
            <w:shd w:val="clear" w:color="auto" w:fill="auto"/>
            <w:noWrap/>
            <w:vAlign w:val="center"/>
            <w:hideMark/>
          </w:tcPr>
          <w:p w14:paraId="7DC39110"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844</w:t>
            </w:r>
          </w:p>
        </w:tc>
        <w:tc>
          <w:tcPr>
            <w:tcW w:w="1188" w:type="dxa"/>
            <w:tcBorders>
              <w:top w:val="nil"/>
              <w:left w:val="nil"/>
              <w:bottom w:val="single" w:sz="4" w:space="0" w:color="auto"/>
              <w:right w:val="single" w:sz="4" w:space="0" w:color="auto"/>
            </w:tcBorders>
            <w:shd w:val="clear" w:color="auto" w:fill="auto"/>
            <w:noWrap/>
            <w:vAlign w:val="center"/>
            <w:hideMark/>
          </w:tcPr>
          <w:p w14:paraId="52A10EAB"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07BC99B4"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644</w:t>
            </w:r>
          </w:p>
        </w:tc>
        <w:tc>
          <w:tcPr>
            <w:tcW w:w="1188" w:type="dxa"/>
            <w:tcBorders>
              <w:top w:val="nil"/>
              <w:left w:val="nil"/>
              <w:bottom w:val="single" w:sz="4" w:space="0" w:color="auto"/>
              <w:right w:val="single" w:sz="4" w:space="0" w:color="auto"/>
            </w:tcBorders>
            <w:shd w:val="clear" w:color="auto" w:fill="auto"/>
            <w:noWrap/>
            <w:vAlign w:val="center"/>
            <w:hideMark/>
          </w:tcPr>
          <w:p w14:paraId="69615139"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4,390</w:t>
            </w:r>
          </w:p>
        </w:tc>
      </w:tr>
      <w:tr w:rsidR="00942D11" w:rsidRPr="001B1818" w14:paraId="1CD87FB7"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9D6F5C4"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Heywood Rural Health</w:t>
            </w:r>
          </w:p>
        </w:tc>
        <w:tc>
          <w:tcPr>
            <w:tcW w:w="1187" w:type="dxa"/>
            <w:tcBorders>
              <w:top w:val="nil"/>
              <w:left w:val="nil"/>
              <w:bottom w:val="single" w:sz="4" w:space="0" w:color="auto"/>
              <w:right w:val="single" w:sz="4" w:space="0" w:color="auto"/>
            </w:tcBorders>
            <w:shd w:val="clear" w:color="auto" w:fill="auto"/>
            <w:noWrap/>
            <w:vAlign w:val="center"/>
            <w:hideMark/>
          </w:tcPr>
          <w:p w14:paraId="369F2E81"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3,523</w:t>
            </w:r>
          </w:p>
        </w:tc>
        <w:tc>
          <w:tcPr>
            <w:tcW w:w="1188" w:type="dxa"/>
            <w:tcBorders>
              <w:top w:val="nil"/>
              <w:left w:val="nil"/>
              <w:bottom w:val="single" w:sz="4" w:space="0" w:color="auto"/>
              <w:right w:val="single" w:sz="4" w:space="0" w:color="auto"/>
            </w:tcBorders>
            <w:shd w:val="clear" w:color="auto" w:fill="auto"/>
            <w:noWrap/>
            <w:vAlign w:val="center"/>
            <w:hideMark/>
          </w:tcPr>
          <w:p w14:paraId="13C7DD96"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527</w:t>
            </w:r>
          </w:p>
        </w:tc>
        <w:tc>
          <w:tcPr>
            <w:tcW w:w="1188" w:type="dxa"/>
            <w:tcBorders>
              <w:top w:val="nil"/>
              <w:left w:val="nil"/>
              <w:bottom w:val="single" w:sz="4" w:space="0" w:color="auto"/>
              <w:right w:val="single" w:sz="4" w:space="0" w:color="auto"/>
            </w:tcBorders>
            <w:shd w:val="clear" w:color="auto" w:fill="auto"/>
            <w:noWrap/>
            <w:vAlign w:val="center"/>
            <w:hideMark/>
          </w:tcPr>
          <w:p w14:paraId="758C8B58"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2BCAB697"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1ACB9001"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4,050</w:t>
            </w:r>
          </w:p>
        </w:tc>
        <w:tc>
          <w:tcPr>
            <w:tcW w:w="1187" w:type="dxa"/>
            <w:tcBorders>
              <w:top w:val="nil"/>
              <w:left w:val="nil"/>
              <w:bottom w:val="single" w:sz="4" w:space="0" w:color="auto"/>
              <w:right w:val="single" w:sz="4" w:space="0" w:color="auto"/>
            </w:tcBorders>
            <w:shd w:val="clear" w:color="auto" w:fill="auto"/>
            <w:noWrap/>
            <w:vAlign w:val="center"/>
            <w:hideMark/>
          </w:tcPr>
          <w:p w14:paraId="0E604557"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3,589</w:t>
            </w:r>
          </w:p>
        </w:tc>
        <w:tc>
          <w:tcPr>
            <w:tcW w:w="1188" w:type="dxa"/>
            <w:tcBorders>
              <w:top w:val="nil"/>
              <w:left w:val="nil"/>
              <w:bottom w:val="single" w:sz="4" w:space="0" w:color="auto"/>
              <w:right w:val="single" w:sz="4" w:space="0" w:color="auto"/>
            </w:tcBorders>
            <w:shd w:val="clear" w:color="auto" w:fill="auto"/>
            <w:noWrap/>
            <w:vAlign w:val="center"/>
            <w:hideMark/>
          </w:tcPr>
          <w:p w14:paraId="1E50DF51"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538</w:t>
            </w:r>
          </w:p>
        </w:tc>
        <w:tc>
          <w:tcPr>
            <w:tcW w:w="1188" w:type="dxa"/>
            <w:tcBorders>
              <w:top w:val="nil"/>
              <w:left w:val="nil"/>
              <w:bottom w:val="single" w:sz="4" w:space="0" w:color="auto"/>
              <w:right w:val="single" w:sz="4" w:space="0" w:color="auto"/>
            </w:tcBorders>
            <w:shd w:val="clear" w:color="auto" w:fill="auto"/>
            <w:noWrap/>
            <w:vAlign w:val="center"/>
            <w:hideMark/>
          </w:tcPr>
          <w:p w14:paraId="1F93EF8F"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0959FF38"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5CA0B8A5"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4,127</w:t>
            </w:r>
          </w:p>
        </w:tc>
      </w:tr>
      <w:tr w:rsidR="00942D11" w:rsidRPr="001B1818" w14:paraId="121AC5C8"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8A846EE"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Inglewood And Districts Health Service</w:t>
            </w:r>
          </w:p>
        </w:tc>
        <w:tc>
          <w:tcPr>
            <w:tcW w:w="1187" w:type="dxa"/>
            <w:tcBorders>
              <w:top w:val="nil"/>
              <w:left w:val="nil"/>
              <w:bottom w:val="single" w:sz="4" w:space="0" w:color="auto"/>
              <w:right w:val="single" w:sz="4" w:space="0" w:color="auto"/>
            </w:tcBorders>
            <w:shd w:val="clear" w:color="auto" w:fill="auto"/>
            <w:noWrap/>
            <w:vAlign w:val="center"/>
            <w:hideMark/>
          </w:tcPr>
          <w:p w14:paraId="2AB5DBD3"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3,257</w:t>
            </w:r>
          </w:p>
        </w:tc>
        <w:tc>
          <w:tcPr>
            <w:tcW w:w="1188" w:type="dxa"/>
            <w:tcBorders>
              <w:top w:val="nil"/>
              <w:left w:val="nil"/>
              <w:bottom w:val="single" w:sz="4" w:space="0" w:color="auto"/>
              <w:right w:val="single" w:sz="4" w:space="0" w:color="auto"/>
            </w:tcBorders>
            <w:shd w:val="clear" w:color="auto" w:fill="auto"/>
            <w:noWrap/>
            <w:vAlign w:val="center"/>
            <w:hideMark/>
          </w:tcPr>
          <w:p w14:paraId="1DBEEC72"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608</w:t>
            </w:r>
          </w:p>
        </w:tc>
        <w:tc>
          <w:tcPr>
            <w:tcW w:w="1188" w:type="dxa"/>
            <w:tcBorders>
              <w:top w:val="nil"/>
              <w:left w:val="nil"/>
              <w:bottom w:val="single" w:sz="4" w:space="0" w:color="auto"/>
              <w:right w:val="single" w:sz="4" w:space="0" w:color="auto"/>
            </w:tcBorders>
            <w:shd w:val="clear" w:color="auto" w:fill="auto"/>
            <w:noWrap/>
            <w:vAlign w:val="center"/>
            <w:hideMark/>
          </w:tcPr>
          <w:p w14:paraId="40818D22"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45102246"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605</w:t>
            </w:r>
          </w:p>
        </w:tc>
        <w:tc>
          <w:tcPr>
            <w:tcW w:w="1188" w:type="dxa"/>
            <w:tcBorders>
              <w:top w:val="nil"/>
              <w:left w:val="nil"/>
              <w:bottom w:val="single" w:sz="4" w:space="0" w:color="auto"/>
              <w:right w:val="single" w:sz="4" w:space="0" w:color="auto"/>
            </w:tcBorders>
            <w:shd w:val="clear" w:color="auto" w:fill="auto"/>
            <w:noWrap/>
            <w:vAlign w:val="center"/>
            <w:hideMark/>
          </w:tcPr>
          <w:p w14:paraId="16FFB7DD"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4,470</w:t>
            </w:r>
          </w:p>
        </w:tc>
        <w:tc>
          <w:tcPr>
            <w:tcW w:w="1187" w:type="dxa"/>
            <w:tcBorders>
              <w:top w:val="nil"/>
              <w:left w:val="nil"/>
              <w:bottom w:val="single" w:sz="4" w:space="0" w:color="auto"/>
              <w:right w:val="single" w:sz="4" w:space="0" w:color="auto"/>
            </w:tcBorders>
            <w:shd w:val="clear" w:color="auto" w:fill="auto"/>
            <w:noWrap/>
            <w:vAlign w:val="center"/>
            <w:hideMark/>
          </w:tcPr>
          <w:p w14:paraId="6B3D6A5B"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3,397</w:t>
            </w:r>
          </w:p>
        </w:tc>
        <w:tc>
          <w:tcPr>
            <w:tcW w:w="1188" w:type="dxa"/>
            <w:tcBorders>
              <w:top w:val="nil"/>
              <w:left w:val="nil"/>
              <w:bottom w:val="single" w:sz="4" w:space="0" w:color="auto"/>
              <w:right w:val="single" w:sz="4" w:space="0" w:color="auto"/>
            </w:tcBorders>
            <w:shd w:val="clear" w:color="auto" w:fill="auto"/>
            <w:noWrap/>
            <w:vAlign w:val="center"/>
            <w:hideMark/>
          </w:tcPr>
          <w:p w14:paraId="2E26136E"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714</w:t>
            </w:r>
          </w:p>
        </w:tc>
        <w:tc>
          <w:tcPr>
            <w:tcW w:w="1188" w:type="dxa"/>
            <w:tcBorders>
              <w:top w:val="nil"/>
              <w:left w:val="nil"/>
              <w:bottom w:val="single" w:sz="4" w:space="0" w:color="auto"/>
              <w:right w:val="single" w:sz="4" w:space="0" w:color="auto"/>
            </w:tcBorders>
            <w:shd w:val="clear" w:color="auto" w:fill="auto"/>
            <w:noWrap/>
            <w:vAlign w:val="center"/>
            <w:hideMark/>
          </w:tcPr>
          <w:p w14:paraId="05C42BDF"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51D3B35F"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604</w:t>
            </w:r>
          </w:p>
        </w:tc>
        <w:tc>
          <w:tcPr>
            <w:tcW w:w="1188" w:type="dxa"/>
            <w:tcBorders>
              <w:top w:val="nil"/>
              <w:left w:val="nil"/>
              <w:bottom w:val="single" w:sz="4" w:space="0" w:color="auto"/>
              <w:right w:val="single" w:sz="4" w:space="0" w:color="auto"/>
            </w:tcBorders>
            <w:shd w:val="clear" w:color="auto" w:fill="auto"/>
            <w:noWrap/>
            <w:vAlign w:val="center"/>
            <w:hideMark/>
          </w:tcPr>
          <w:p w14:paraId="4195278B"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4,715</w:t>
            </w:r>
          </w:p>
        </w:tc>
      </w:tr>
      <w:tr w:rsidR="00942D11" w:rsidRPr="001B1818" w14:paraId="36D64867"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8224BAB"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Kerang District Health</w:t>
            </w:r>
          </w:p>
        </w:tc>
        <w:tc>
          <w:tcPr>
            <w:tcW w:w="1187" w:type="dxa"/>
            <w:tcBorders>
              <w:top w:val="nil"/>
              <w:left w:val="nil"/>
              <w:bottom w:val="single" w:sz="4" w:space="0" w:color="auto"/>
              <w:right w:val="single" w:sz="4" w:space="0" w:color="auto"/>
            </w:tcBorders>
            <w:shd w:val="clear" w:color="auto" w:fill="auto"/>
            <w:noWrap/>
            <w:vAlign w:val="center"/>
            <w:hideMark/>
          </w:tcPr>
          <w:p w14:paraId="46BDB9EF"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8,094</w:t>
            </w:r>
          </w:p>
        </w:tc>
        <w:tc>
          <w:tcPr>
            <w:tcW w:w="1188" w:type="dxa"/>
            <w:tcBorders>
              <w:top w:val="nil"/>
              <w:left w:val="nil"/>
              <w:bottom w:val="single" w:sz="4" w:space="0" w:color="auto"/>
              <w:right w:val="single" w:sz="4" w:space="0" w:color="auto"/>
            </w:tcBorders>
            <w:shd w:val="clear" w:color="auto" w:fill="auto"/>
            <w:noWrap/>
            <w:vAlign w:val="center"/>
            <w:hideMark/>
          </w:tcPr>
          <w:p w14:paraId="7792E55B"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1,178</w:t>
            </w:r>
          </w:p>
        </w:tc>
        <w:tc>
          <w:tcPr>
            <w:tcW w:w="1188" w:type="dxa"/>
            <w:tcBorders>
              <w:top w:val="nil"/>
              <w:left w:val="nil"/>
              <w:bottom w:val="single" w:sz="4" w:space="0" w:color="auto"/>
              <w:right w:val="single" w:sz="4" w:space="0" w:color="auto"/>
            </w:tcBorders>
            <w:shd w:val="clear" w:color="auto" w:fill="auto"/>
            <w:noWrap/>
            <w:vAlign w:val="center"/>
            <w:hideMark/>
          </w:tcPr>
          <w:p w14:paraId="5975C49A"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16041B32"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3693F913"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9,272</w:t>
            </w:r>
          </w:p>
        </w:tc>
        <w:tc>
          <w:tcPr>
            <w:tcW w:w="1187" w:type="dxa"/>
            <w:tcBorders>
              <w:top w:val="nil"/>
              <w:left w:val="nil"/>
              <w:bottom w:val="single" w:sz="4" w:space="0" w:color="auto"/>
              <w:right w:val="single" w:sz="4" w:space="0" w:color="auto"/>
            </w:tcBorders>
            <w:shd w:val="clear" w:color="auto" w:fill="auto"/>
            <w:noWrap/>
            <w:vAlign w:val="center"/>
            <w:hideMark/>
          </w:tcPr>
          <w:p w14:paraId="65C7124F"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8,304</w:t>
            </w:r>
          </w:p>
        </w:tc>
        <w:tc>
          <w:tcPr>
            <w:tcW w:w="1188" w:type="dxa"/>
            <w:tcBorders>
              <w:top w:val="nil"/>
              <w:left w:val="nil"/>
              <w:bottom w:val="single" w:sz="4" w:space="0" w:color="auto"/>
              <w:right w:val="single" w:sz="4" w:space="0" w:color="auto"/>
            </w:tcBorders>
            <w:shd w:val="clear" w:color="auto" w:fill="auto"/>
            <w:noWrap/>
            <w:vAlign w:val="center"/>
            <w:hideMark/>
          </w:tcPr>
          <w:p w14:paraId="21165AAF"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1,202</w:t>
            </w:r>
          </w:p>
        </w:tc>
        <w:tc>
          <w:tcPr>
            <w:tcW w:w="1188" w:type="dxa"/>
            <w:tcBorders>
              <w:top w:val="nil"/>
              <w:left w:val="nil"/>
              <w:bottom w:val="single" w:sz="4" w:space="0" w:color="auto"/>
              <w:right w:val="single" w:sz="4" w:space="0" w:color="auto"/>
            </w:tcBorders>
            <w:shd w:val="clear" w:color="auto" w:fill="auto"/>
            <w:noWrap/>
            <w:vAlign w:val="center"/>
            <w:hideMark/>
          </w:tcPr>
          <w:p w14:paraId="71A1BA52"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6475D851"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17F8976F"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9,506</w:t>
            </w:r>
          </w:p>
        </w:tc>
      </w:tr>
      <w:tr w:rsidR="00942D11" w:rsidRPr="001B1818" w14:paraId="0E46DAAF"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5A47168"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Kilmore District Health</w:t>
            </w:r>
          </w:p>
        </w:tc>
        <w:tc>
          <w:tcPr>
            <w:tcW w:w="1187" w:type="dxa"/>
            <w:tcBorders>
              <w:top w:val="nil"/>
              <w:left w:val="nil"/>
              <w:bottom w:val="single" w:sz="4" w:space="0" w:color="auto"/>
              <w:right w:val="single" w:sz="4" w:space="0" w:color="auto"/>
            </w:tcBorders>
            <w:shd w:val="clear" w:color="auto" w:fill="auto"/>
            <w:noWrap/>
            <w:vAlign w:val="center"/>
            <w:hideMark/>
          </w:tcPr>
          <w:p w14:paraId="209F8264"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19,728</w:t>
            </w:r>
          </w:p>
        </w:tc>
        <w:tc>
          <w:tcPr>
            <w:tcW w:w="1188" w:type="dxa"/>
            <w:tcBorders>
              <w:top w:val="nil"/>
              <w:left w:val="nil"/>
              <w:bottom w:val="single" w:sz="4" w:space="0" w:color="auto"/>
              <w:right w:val="single" w:sz="4" w:space="0" w:color="auto"/>
            </w:tcBorders>
            <w:shd w:val="clear" w:color="auto" w:fill="auto"/>
            <w:noWrap/>
            <w:vAlign w:val="center"/>
            <w:hideMark/>
          </w:tcPr>
          <w:p w14:paraId="225A077A"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1,126</w:t>
            </w:r>
          </w:p>
        </w:tc>
        <w:tc>
          <w:tcPr>
            <w:tcW w:w="1188" w:type="dxa"/>
            <w:tcBorders>
              <w:top w:val="nil"/>
              <w:left w:val="nil"/>
              <w:bottom w:val="single" w:sz="4" w:space="0" w:color="auto"/>
              <w:right w:val="single" w:sz="4" w:space="0" w:color="auto"/>
            </w:tcBorders>
            <w:shd w:val="clear" w:color="auto" w:fill="auto"/>
            <w:noWrap/>
            <w:vAlign w:val="center"/>
            <w:hideMark/>
          </w:tcPr>
          <w:p w14:paraId="72DDA24B"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3BA80252"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376DCCFF"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20,854</w:t>
            </w:r>
          </w:p>
        </w:tc>
        <w:tc>
          <w:tcPr>
            <w:tcW w:w="1187" w:type="dxa"/>
            <w:tcBorders>
              <w:top w:val="nil"/>
              <w:left w:val="nil"/>
              <w:bottom w:val="single" w:sz="4" w:space="0" w:color="auto"/>
              <w:right w:val="single" w:sz="4" w:space="0" w:color="auto"/>
            </w:tcBorders>
            <w:shd w:val="clear" w:color="auto" w:fill="auto"/>
            <w:noWrap/>
            <w:vAlign w:val="center"/>
            <w:hideMark/>
          </w:tcPr>
          <w:p w14:paraId="0A5E17E0"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20,305</w:t>
            </w:r>
          </w:p>
        </w:tc>
        <w:tc>
          <w:tcPr>
            <w:tcW w:w="1188" w:type="dxa"/>
            <w:tcBorders>
              <w:top w:val="nil"/>
              <w:left w:val="nil"/>
              <w:bottom w:val="single" w:sz="4" w:space="0" w:color="auto"/>
              <w:right w:val="single" w:sz="4" w:space="0" w:color="auto"/>
            </w:tcBorders>
            <w:shd w:val="clear" w:color="auto" w:fill="auto"/>
            <w:noWrap/>
            <w:vAlign w:val="center"/>
            <w:hideMark/>
          </w:tcPr>
          <w:p w14:paraId="56C6998E"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1,149</w:t>
            </w:r>
          </w:p>
        </w:tc>
        <w:tc>
          <w:tcPr>
            <w:tcW w:w="1188" w:type="dxa"/>
            <w:tcBorders>
              <w:top w:val="nil"/>
              <w:left w:val="nil"/>
              <w:bottom w:val="single" w:sz="4" w:space="0" w:color="auto"/>
              <w:right w:val="single" w:sz="4" w:space="0" w:color="auto"/>
            </w:tcBorders>
            <w:shd w:val="clear" w:color="auto" w:fill="auto"/>
            <w:noWrap/>
            <w:vAlign w:val="center"/>
            <w:hideMark/>
          </w:tcPr>
          <w:p w14:paraId="1BFDCABC"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72574238"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189459D4"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21,454</w:t>
            </w:r>
          </w:p>
        </w:tc>
      </w:tr>
      <w:tr w:rsidR="00942D11" w:rsidRPr="001B1818" w14:paraId="6C062F7E"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F4015AF"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Kooweerup Regional Health Service</w:t>
            </w:r>
          </w:p>
        </w:tc>
        <w:tc>
          <w:tcPr>
            <w:tcW w:w="1187" w:type="dxa"/>
            <w:tcBorders>
              <w:top w:val="nil"/>
              <w:left w:val="nil"/>
              <w:bottom w:val="single" w:sz="4" w:space="0" w:color="auto"/>
              <w:right w:val="single" w:sz="4" w:space="0" w:color="auto"/>
            </w:tcBorders>
            <w:shd w:val="clear" w:color="auto" w:fill="auto"/>
            <w:noWrap/>
            <w:vAlign w:val="center"/>
            <w:hideMark/>
          </w:tcPr>
          <w:p w14:paraId="688CB78F"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6,576</w:t>
            </w:r>
          </w:p>
        </w:tc>
        <w:tc>
          <w:tcPr>
            <w:tcW w:w="1188" w:type="dxa"/>
            <w:tcBorders>
              <w:top w:val="nil"/>
              <w:left w:val="nil"/>
              <w:bottom w:val="single" w:sz="4" w:space="0" w:color="auto"/>
              <w:right w:val="single" w:sz="4" w:space="0" w:color="auto"/>
            </w:tcBorders>
            <w:shd w:val="clear" w:color="auto" w:fill="auto"/>
            <w:noWrap/>
            <w:vAlign w:val="center"/>
            <w:hideMark/>
          </w:tcPr>
          <w:p w14:paraId="796AD2BF"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977</w:t>
            </w:r>
          </w:p>
        </w:tc>
        <w:tc>
          <w:tcPr>
            <w:tcW w:w="1188" w:type="dxa"/>
            <w:tcBorders>
              <w:top w:val="nil"/>
              <w:left w:val="nil"/>
              <w:bottom w:val="single" w:sz="4" w:space="0" w:color="auto"/>
              <w:right w:val="single" w:sz="4" w:space="0" w:color="auto"/>
            </w:tcBorders>
            <w:shd w:val="clear" w:color="auto" w:fill="auto"/>
            <w:noWrap/>
            <w:vAlign w:val="center"/>
            <w:hideMark/>
          </w:tcPr>
          <w:p w14:paraId="1223D583"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03C2BA44"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6070749B"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7,553</w:t>
            </w:r>
          </w:p>
        </w:tc>
        <w:tc>
          <w:tcPr>
            <w:tcW w:w="1187" w:type="dxa"/>
            <w:tcBorders>
              <w:top w:val="nil"/>
              <w:left w:val="nil"/>
              <w:bottom w:val="single" w:sz="4" w:space="0" w:color="auto"/>
              <w:right w:val="single" w:sz="4" w:space="0" w:color="auto"/>
            </w:tcBorders>
            <w:shd w:val="clear" w:color="auto" w:fill="auto"/>
            <w:noWrap/>
            <w:vAlign w:val="center"/>
            <w:hideMark/>
          </w:tcPr>
          <w:p w14:paraId="55363719"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6,744</w:t>
            </w:r>
          </w:p>
        </w:tc>
        <w:tc>
          <w:tcPr>
            <w:tcW w:w="1188" w:type="dxa"/>
            <w:tcBorders>
              <w:top w:val="nil"/>
              <w:left w:val="nil"/>
              <w:bottom w:val="single" w:sz="4" w:space="0" w:color="auto"/>
              <w:right w:val="single" w:sz="4" w:space="0" w:color="auto"/>
            </w:tcBorders>
            <w:shd w:val="clear" w:color="auto" w:fill="auto"/>
            <w:noWrap/>
            <w:vAlign w:val="center"/>
            <w:hideMark/>
          </w:tcPr>
          <w:p w14:paraId="1BEC9D4A"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998</w:t>
            </w:r>
          </w:p>
        </w:tc>
        <w:tc>
          <w:tcPr>
            <w:tcW w:w="1188" w:type="dxa"/>
            <w:tcBorders>
              <w:top w:val="nil"/>
              <w:left w:val="nil"/>
              <w:bottom w:val="single" w:sz="4" w:space="0" w:color="auto"/>
              <w:right w:val="single" w:sz="4" w:space="0" w:color="auto"/>
            </w:tcBorders>
            <w:shd w:val="clear" w:color="auto" w:fill="auto"/>
            <w:noWrap/>
            <w:vAlign w:val="center"/>
            <w:hideMark/>
          </w:tcPr>
          <w:p w14:paraId="5F5AE63D"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3D3FA181"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4D23A88E"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7,742</w:t>
            </w:r>
          </w:p>
        </w:tc>
      </w:tr>
      <w:tr w:rsidR="00942D11" w:rsidRPr="001B1818" w14:paraId="26AB3145"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458E1CB"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Mallee Track Health &amp; Community Service</w:t>
            </w:r>
          </w:p>
        </w:tc>
        <w:tc>
          <w:tcPr>
            <w:tcW w:w="1187" w:type="dxa"/>
            <w:tcBorders>
              <w:top w:val="nil"/>
              <w:left w:val="nil"/>
              <w:bottom w:val="single" w:sz="4" w:space="0" w:color="auto"/>
              <w:right w:val="single" w:sz="4" w:space="0" w:color="auto"/>
            </w:tcBorders>
            <w:shd w:val="clear" w:color="auto" w:fill="auto"/>
            <w:noWrap/>
            <w:vAlign w:val="center"/>
            <w:hideMark/>
          </w:tcPr>
          <w:p w14:paraId="20DB0DAD"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5,319</w:t>
            </w:r>
          </w:p>
        </w:tc>
        <w:tc>
          <w:tcPr>
            <w:tcW w:w="1188" w:type="dxa"/>
            <w:tcBorders>
              <w:top w:val="nil"/>
              <w:left w:val="nil"/>
              <w:bottom w:val="single" w:sz="4" w:space="0" w:color="auto"/>
              <w:right w:val="single" w:sz="4" w:space="0" w:color="auto"/>
            </w:tcBorders>
            <w:shd w:val="clear" w:color="auto" w:fill="auto"/>
            <w:noWrap/>
            <w:vAlign w:val="center"/>
            <w:hideMark/>
          </w:tcPr>
          <w:p w14:paraId="0EA87307"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1,772</w:t>
            </w:r>
          </w:p>
        </w:tc>
        <w:tc>
          <w:tcPr>
            <w:tcW w:w="1188" w:type="dxa"/>
            <w:tcBorders>
              <w:top w:val="nil"/>
              <w:left w:val="nil"/>
              <w:bottom w:val="single" w:sz="4" w:space="0" w:color="auto"/>
              <w:right w:val="single" w:sz="4" w:space="0" w:color="auto"/>
            </w:tcBorders>
            <w:shd w:val="clear" w:color="auto" w:fill="auto"/>
            <w:noWrap/>
            <w:vAlign w:val="center"/>
            <w:hideMark/>
          </w:tcPr>
          <w:p w14:paraId="6F518A76"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2639D68B" w14:textId="77777777" w:rsidR="00942D11" w:rsidRPr="001B1818" w:rsidRDefault="00942D11" w:rsidP="00977693">
            <w:pPr>
              <w:spacing w:after="0" w:line="240" w:lineRule="auto"/>
              <w:ind w:hanging="390"/>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13E847C6"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7,091</w:t>
            </w:r>
          </w:p>
        </w:tc>
        <w:tc>
          <w:tcPr>
            <w:tcW w:w="1187" w:type="dxa"/>
            <w:tcBorders>
              <w:top w:val="nil"/>
              <w:left w:val="nil"/>
              <w:bottom w:val="single" w:sz="4" w:space="0" w:color="auto"/>
              <w:right w:val="single" w:sz="4" w:space="0" w:color="auto"/>
            </w:tcBorders>
            <w:shd w:val="clear" w:color="auto" w:fill="auto"/>
            <w:noWrap/>
            <w:vAlign w:val="center"/>
            <w:hideMark/>
          </w:tcPr>
          <w:p w14:paraId="51163006"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5,411</w:t>
            </w:r>
          </w:p>
        </w:tc>
        <w:tc>
          <w:tcPr>
            <w:tcW w:w="1188" w:type="dxa"/>
            <w:tcBorders>
              <w:top w:val="nil"/>
              <w:left w:val="nil"/>
              <w:bottom w:val="single" w:sz="4" w:space="0" w:color="auto"/>
              <w:right w:val="single" w:sz="4" w:space="0" w:color="auto"/>
            </w:tcBorders>
            <w:shd w:val="clear" w:color="auto" w:fill="auto"/>
            <w:noWrap/>
            <w:vAlign w:val="center"/>
            <w:hideMark/>
          </w:tcPr>
          <w:p w14:paraId="5B3D3FC1"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1,811</w:t>
            </w:r>
          </w:p>
        </w:tc>
        <w:tc>
          <w:tcPr>
            <w:tcW w:w="1188" w:type="dxa"/>
            <w:tcBorders>
              <w:top w:val="nil"/>
              <w:left w:val="nil"/>
              <w:bottom w:val="single" w:sz="4" w:space="0" w:color="auto"/>
              <w:right w:val="single" w:sz="4" w:space="0" w:color="auto"/>
            </w:tcBorders>
            <w:shd w:val="clear" w:color="auto" w:fill="auto"/>
            <w:noWrap/>
            <w:vAlign w:val="center"/>
            <w:hideMark/>
          </w:tcPr>
          <w:p w14:paraId="57C3A654"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07D0CED8"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709BDE47"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7,221</w:t>
            </w:r>
          </w:p>
        </w:tc>
      </w:tr>
      <w:tr w:rsidR="00942D11" w:rsidRPr="001B1818" w14:paraId="4460978A"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08DF810"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Mansfield District Hospital</w:t>
            </w:r>
          </w:p>
        </w:tc>
        <w:tc>
          <w:tcPr>
            <w:tcW w:w="1187" w:type="dxa"/>
            <w:tcBorders>
              <w:top w:val="nil"/>
              <w:left w:val="nil"/>
              <w:bottom w:val="single" w:sz="4" w:space="0" w:color="auto"/>
              <w:right w:val="single" w:sz="4" w:space="0" w:color="auto"/>
            </w:tcBorders>
            <w:shd w:val="clear" w:color="auto" w:fill="auto"/>
            <w:noWrap/>
            <w:vAlign w:val="center"/>
            <w:hideMark/>
          </w:tcPr>
          <w:p w14:paraId="3172490B"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10,359</w:t>
            </w:r>
          </w:p>
        </w:tc>
        <w:tc>
          <w:tcPr>
            <w:tcW w:w="1188" w:type="dxa"/>
            <w:tcBorders>
              <w:top w:val="nil"/>
              <w:left w:val="nil"/>
              <w:bottom w:val="single" w:sz="4" w:space="0" w:color="auto"/>
              <w:right w:val="single" w:sz="4" w:space="0" w:color="auto"/>
            </w:tcBorders>
            <w:shd w:val="clear" w:color="auto" w:fill="auto"/>
            <w:noWrap/>
            <w:vAlign w:val="center"/>
            <w:hideMark/>
          </w:tcPr>
          <w:p w14:paraId="0868EC90"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1,270</w:t>
            </w:r>
          </w:p>
        </w:tc>
        <w:tc>
          <w:tcPr>
            <w:tcW w:w="1188" w:type="dxa"/>
            <w:tcBorders>
              <w:top w:val="nil"/>
              <w:left w:val="nil"/>
              <w:bottom w:val="single" w:sz="4" w:space="0" w:color="auto"/>
              <w:right w:val="single" w:sz="4" w:space="0" w:color="auto"/>
            </w:tcBorders>
            <w:shd w:val="clear" w:color="auto" w:fill="auto"/>
            <w:noWrap/>
            <w:vAlign w:val="center"/>
            <w:hideMark/>
          </w:tcPr>
          <w:p w14:paraId="3C480151"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31675253"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439</w:t>
            </w:r>
          </w:p>
        </w:tc>
        <w:tc>
          <w:tcPr>
            <w:tcW w:w="1188" w:type="dxa"/>
            <w:tcBorders>
              <w:top w:val="nil"/>
              <w:left w:val="nil"/>
              <w:bottom w:val="single" w:sz="4" w:space="0" w:color="auto"/>
              <w:right w:val="single" w:sz="4" w:space="0" w:color="auto"/>
            </w:tcBorders>
            <w:shd w:val="clear" w:color="auto" w:fill="auto"/>
            <w:noWrap/>
            <w:vAlign w:val="center"/>
            <w:hideMark/>
          </w:tcPr>
          <w:p w14:paraId="63CE0215"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12,068</w:t>
            </w:r>
          </w:p>
        </w:tc>
        <w:tc>
          <w:tcPr>
            <w:tcW w:w="1187" w:type="dxa"/>
            <w:tcBorders>
              <w:top w:val="nil"/>
              <w:left w:val="nil"/>
              <w:bottom w:val="single" w:sz="4" w:space="0" w:color="auto"/>
              <w:right w:val="single" w:sz="4" w:space="0" w:color="auto"/>
            </w:tcBorders>
            <w:shd w:val="clear" w:color="auto" w:fill="auto"/>
            <w:noWrap/>
            <w:vAlign w:val="center"/>
            <w:hideMark/>
          </w:tcPr>
          <w:p w14:paraId="7132C7DA"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10,637</w:t>
            </w:r>
          </w:p>
        </w:tc>
        <w:tc>
          <w:tcPr>
            <w:tcW w:w="1188" w:type="dxa"/>
            <w:tcBorders>
              <w:top w:val="nil"/>
              <w:left w:val="nil"/>
              <w:bottom w:val="single" w:sz="4" w:space="0" w:color="auto"/>
              <w:right w:val="single" w:sz="4" w:space="0" w:color="auto"/>
            </w:tcBorders>
            <w:shd w:val="clear" w:color="auto" w:fill="auto"/>
            <w:noWrap/>
            <w:vAlign w:val="center"/>
            <w:hideMark/>
          </w:tcPr>
          <w:p w14:paraId="4429E96F"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1,303</w:t>
            </w:r>
          </w:p>
        </w:tc>
        <w:tc>
          <w:tcPr>
            <w:tcW w:w="1188" w:type="dxa"/>
            <w:tcBorders>
              <w:top w:val="nil"/>
              <w:left w:val="nil"/>
              <w:bottom w:val="single" w:sz="4" w:space="0" w:color="auto"/>
              <w:right w:val="single" w:sz="4" w:space="0" w:color="auto"/>
            </w:tcBorders>
            <w:shd w:val="clear" w:color="auto" w:fill="auto"/>
            <w:noWrap/>
            <w:vAlign w:val="center"/>
            <w:hideMark/>
          </w:tcPr>
          <w:p w14:paraId="16ED2F41"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243A819E"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436</w:t>
            </w:r>
          </w:p>
        </w:tc>
        <w:tc>
          <w:tcPr>
            <w:tcW w:w="1188" w:type="dxa"/>
            <w:tcBorders>
              <w:top w:val="nil"/>
              <w:left w:val="nil"/>
              <w:bottom w:val="single" w:sz="4" w:space="0" w:color="auto"/>
              <w:right w:val="single" w:sz="4" w:space="0" w:color="auto"/>
            </w:tcBorders>
            <w:shd w:val="clear" w:color="auto" w:fill="auto"/>
            <w:noWrap/>
            <w:vAlign w:val="center"/>
            <w:hideMark/>
          </w:tcPr>
          <w:p w14:paraId="738B5C4B"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12,375</w:t>
            </w:r>
          </w:p>
        </w:tc>
      </w:tr>
      <w:tr w:rsidR="00942D11" w:rsidRPr="001B1818" w14:paraId="24378F12"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8A2715C"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lastRenderedPageBreak/>
              <w:t>Moyne Health Services</w:t>
            </w:r>
          </w:p>
        </w:tc>
        <w:tc>
          <w:tcPr>
            <w:tcW w:w="1187" w:type="dxa"/>
            <w:tcBorders>
              <w:top w:val="nil"/>
              <w:left w:val="nil"/>
              <w:bottom w:val="single" w:sz="4" w:space="0" w:color="auto"/>
              <w:right w:val="single" w:sz="4" w:space="0" w:color="auto"/>
            </w:tcBorders>
            <w:shd w:val="clear" w:color="auto" w:fill="auto"/>
            <w:noWrap/>
            <w:vAlign w:val="center"/>
            <w:hideMark/>
          </w:tcPr>
          <w:p w14:paraId="1AE3A34D"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5,427</w:t>
            </w:r>
          </w:p>
        </w:tc>
        <w:tc>
          <w:tcPr>
            <w:tcW w:w="1188" w:type="dxa"/>
            <w:tcBorders>
              <w:top w:val="nil"/>
              <w:left w:val="nil"/>
              <w:bottom w:val="single" w:sz="4" w:space="0" w:color="auto"/>
              <w:right w:val="single" w:sz="4" w:space="0" w:color="auto"/>
            </w:tcBorders>
            <w:shd w:val="clear" w:color="auto" w:fill="auto"/>
            <w:noWrap/>
            <w:vAlign w:val="center"/>
            <w:hideMark/>
          </w:tcPr>
          <w:p w14:paraId="29FC8263"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1,396</w:t>
            </w:r>
          </w:p>
        </w:tc>
        <w:tc>
          <w:tcPr>
            <w:tcW w:w="1188" w:type="dxa"/>
            <w:tcBorders>
              <w:top w:val="nil"/>
              <w:left w:val="nil"/>
              <w:bottom w:val="single" w:sz="4" w:space="0" w:color="auto"/>
              <w:right w:val="single" w:sz="4" w:space="0" w:color="auto"/>
            </w:tcBorders>
            <w:shd w:val="clear" w:color="auto" w:fill="auto"/>
            <w:noWrap/>
            <w:vAlign w:val="center"/>
            <w:hideMark/>
          </w:tcPr>
          <w:p w14:paraId="5722D965"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6EFAD1D4"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12</w:t>
            </w:r>
          </w:p>
        </w:tc>
        <w:tc>
          <w:tcPr>
            <w:tcW w:w="1188" w:type="dxa"/>
            <w:tcBorders>
              <w:top w:val="nil"/>
              <w:left w:val="nil"/>
              <w:bottom w:val="single" w:sz="4" w:space="0" w:color="auto"/>
              <w:right w:val="single" w:sz="4" w:space="0" w:color="auto"/>
            </w:tcBorders>
            <w:shd w:val="clear" w:color="auto" w:fill="auto"/>
            <w:noWrap/>
            <w:vAlign w:val="center"/>
            <w:hideMark/>
          </w:tcPr>
          <w:p w14:paraId="27509F90"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6,835</w:t>
            </w:r>
          </w:p>
        </w:tc>
        <w:tc>
          <w:tcPr>
            <w:tcW w:w="1187" w:type="dxa"/>
            <w:tcBorders>
              <w:top w:val="nil"/>
              <w:left w:val="nil"/>
              <w:bottom w:val="single" w:sz="4" w:space="0" w:color="auto"/>
              <w:right w:val="single" w:sz="4" w:space="0" w:color="auto"/>
            </w:tcBorders>
            <w:shd w:val="clear" w:color="auto" w:fill="auto"/>
            <w:noWrap/>
            <w:vAlign w:val="center"/>
            <w:hideMark/>
          </w:tcPr>
          <w:p w14:paraId="5B06205E"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5,298</w:t>
            </w:r>
          </w:p>
        </w:tc>
        <w:tc>
          <w:tcPr>
            <w:tcW w:w="1188" w:type="dxa"/>
            <w:tcBorders>
              <w:top w:val="nil"/>
              <w:left w:val="nil"/>
              <w:bottom w:val="single" w:sz="4" w:space="0" w:color="auto"/>
              <w:right w:val="single" w:sz="4" w:space="0" w:color="auto"/>
            </w:tcBorders>
            <w:shd w:val="clear" w:color="auto" w:fill="auto"/>
            <w:noWrap/>
            <w:vAlign w:val="center"/>
            <w:hideMark/>
          </w:tcPr>
          <w:p w14:paraId="151493D0"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1,425</w:t>
            </w:r>
          </w:p>
        </w:tc>
        <w:tc>
          <w:tcPr>
            <w:tcW w:w="1188" w:type="dxa"/>
            <w:tcBorders>
              <w:top w:val="nil"/>
              <w:left w:val="nil"/>
              <w:bottom w:val="single" w:sz="4" w:space="0" w:color="auto"/>
              <w:right w:val="single" w:sz="4" w:space="0" w:color="auto"/>
            </w:tcBorders>
            <w:shd w:val="clear" w:color="auto" w:fill="auto"/>
            <w:noWrap/>
            <w:vAlign w:val="center"/>
            <w:hideMark/>
          </w:tcPr>
          <w:p w14:paraId="517747FC"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68117BF1"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w:t>
            </w:r>
          </w:p>
        </w:tc>
        <w:tc>
          <w:tcPr>
            <w:tcW w:w="1188" w:type="dxa"/>
            <w:tcBorders>
              <w:top w:val="nil"/>
              <w:left w:val="nil"/>
              <w:bottom w:val="single" w:sz="4" w:space="0" w:color="auto"/>
              <w:right w:val="single" w:sz="4" w:space="0" w:color="auto"/>
            </w:tcBorders>
            <w:shd w:val="clear" w:color="auto" w:fill="auto"/>
            <w:noWrap/>
            <w:vAlign w:val="center"/>
            <w:hideMark/>
          </w:tcPr>
          <w:p w14:paraId="01CCADE3"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6,731</w:t>
            </w:r>
          </w:p>
        </w:tc>
      </w:tr>
      <w:tr w:rsidR="00942D11" w:rsidRPr="001B1818" w14:paraId="2FBB93BA"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2786276"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N</w:t>
            </w:r>
            <w:r>
              <w:rPr>
                <w:rFonts w:cs="Arial"/>
                <w:color w:val="000000"/>
                <w:sz w:val="15"/>
                <w:szCs w:val="15"/>
                <w:lang w:eastAsia="en-AU"/>
              </w:rPr>
              <w:t>CN</w:t>
            </w:r>
            <w:r w:rsidRPr="001B1818">
              <w:rPr>
                <w:rFonts w:cs="Arial"/>
                <w:color w:val="000000"/>
                <w:sz w:val="15"/>
                <w:szCs w:val="15"/>
                <w:lang w:eastAsia="en-AU"/>
              </w:rPr>
              <w:t xml:space="preserve"> Health</w:t>
            </w:r>
          </w:p>
        </w:tc>
        <w:tc>
          <w:tcPr>
            <w:tcW w:w="1187" w:type="dxa"/>
            <w:tcBorders>
              <w:top w:val="nil"/>
              <w:left w:val="nil"/>
              <w:bottom w:val="single" w:sz="4" w:space="0" w:color="auto"/>
              <w:right w:val="single" w:sz="4" w:space="0" w:color="auto"/>
            </w:tcBorders>
            <w:shd w:val="clear" w:color="auto" w:fill="auto"/>
            <w:noWrap/>
            <w:vAlign w:val="center"/>
            <w:hideMark/>
          </w:tcPr>
          <w:p w14:paraId="5F6606D5"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25,684</w:t>
            </w:r>
          </w:p>
        </w:tc>
        <w:tc>
          <w:tcPr>
            <w:tcW w:w="1188" w:type="dxa"/>
            <w:tcBorders>
              <w:top w:val="nil"/>
              <w:left w:val="nil"/>
              <w:bottom w:val="single" w:sz="4" w:space="0" w:color="auto"/>
              <w:right w:val="single" w:sz="4" w:space="0" w:color="auto"/>
            </w:tcBorders>
            <w:shd w:val="clear" w:color="auto" w:fill="auto"/>
            <w:noWrap/>
            <w:vAlign w:val="center"/>
            <w:hideMark/>
          </w:tcPr>
          <w:p w14:paraId="6820FB89"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2,969</w:t>
            </w:r>
          </w:p>
        </w:tc>
        <w:tc>
          <w:tcPr>
            <w:tcW w:w="1188" w:type="dxa"/>
            <w:tcBorders>
              <w:top w:val="nil"/>
              <w:left w:val="nil"/>
              <w:bottom w:val="single" w:sz="4" w:space="0" w:color="auto"/>
              <w:right w:val="single" w:sz="4" w:space="0" w:color="auto"/>
            </w:tcBorders>
            <w:shd w:val="clear" w:color="auto" w:fill="auto"/>
            <w:noWrap/>
            <w:vAlign w:val="center"/>
            <w:hideMark/>
          </w:tcPr>
          <w:p w14:paraId="545EA5AA"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4E063E01"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426</w:t>
            </w:r>
          </w:p>
        </w:tc>
        <w:tc>
          <w:tcPr>
            <w:tcW w:w="1188" w:type="dxa"/>
            <w:tcBorders>
              <w:top w:val="nil"/>
              <w:left w:val="nil"/>
              <w:bottom w:val="single" w:sz="4" w:space="0" w:color="auto"/>
              <w:right w:val="single" w:sz="4" w:space="0" w:color="auto"/>
            </w:tcBorders>
            <w:shd w:val="clear" w:color="auto" w:fill="auto"/>
            <w:noWrap/>
            <w:vAlign w:val="center"/>
            <w:hideMark/>
          </w:tcPr>
          <w:p w14:paraId="60857EA2"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29,078</w:t>
            </w:r>
          </w:p>
        </w:tc>
        <w:tc>
          <w:tcPr>
            <w:tcW w:w="1187" w:type="dxa"/>
            <w:tcBorders>
              <w:top w:val="nil"/>
              <w:left w:val="nil"/>
              <w:bottom w:val="single" w:sz="4" w:space="0" w:color="auto"/>
              <w:right w:val="single" w:sz="4" w:space="0" w:color="auto"/>
            </w:tcBorders>
            <w:shd w:val="clear" w:color="auto" w:fill="auto"/>
            <w:noWrap/>
            <w:vAlign w:val="center"/>
            <w:hideMark/>
          </w:tcPr>
          <w:p w14:paraId="7C57F79F"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26,120</w:t>
            </w:r>
          </w:p>
        </w:tc>
        <w:tc>
          <w:tcPr>
            <w:tcW w:w="1188" w:type="dxa"/>
            <w:tcBorders>
              <w:top w:val="nil"/>
              <w:left w:val="nil"/>
              <w:bottom w:val="single" w:sz="4" w:space="0" w:color="auto"/>
              <w:right w:val="single" w:sz="4" w:space="0" w:color="auto"/>
            </w:tcBorders>
            <w:shd w:val="clear" w:color="auto" w:fill="auto"/>
            <w:noWrap/>
            <w:vAlign w:val="center"/>
            <w:hideMark/>
          </w:tcPr>
          <w:p w14:paraId="55C388BE"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3,029</w:t>
            </w:r>
          </w:p>
        </w:tc>
        <w:tc>
          <w:tcPr>
            <w:tcW w:w="1188" w:type="dxa"/>
            <w:tcBorders>
              <w:top w:val="nil"/>
              <w:left w:val="nil"/>
              <w:bottom w:val="single" w:sz="4" w:space="0" w:color="auto"/>
              <w:right w:val="single" w:sz="4" w:space="0" w:color="auto"/>
            </w:tcBorders>
            <w:shd w:val="clear" w:color="auto" w:fill="auto"/>
            <w:noWrap/>
            <w:vAlign w:val="center"/>
            <w:hideMark/>
          </w:tcPr>
          <w:p w14:paraId="4961D623"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4960D2E2"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422</w:t>
            </w:r>
          </w:p>
        </w:tc>
        <w:tc>
          <w:tcPr>
            <w:tcW w:w="1188" w:type="dxa"/>
            <w:tcBorders>
              <w:top w:val="nil"/>
              <w:left w:val="nil"/>
              <w:bottom w:val="single" w:sz="4" w:space="0" w:color="auto"/>
              <w:right w:val="single" w:sz="4" w:space="0" w:color="auto"/>
            </w:tcBorders>
            <w:shd w:val="clear" w:color="auto" w:fill="auto"/>
            <w:noWrap/>
            <w:vAlign w:val="center"/>
            <w:hideMark/>
          </w:tcPr>
          <w:p w14:paraId="2286FD99"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29,571</w:t>
            </w:r>
          </w:p>
        </w:tc>
      </w:tr>
      <w:tr w:rsidR="00942D11" w:rsidRPr="001B1818" w14:paraId="582AAE9E"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A1F0270"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Omeo District Health</w:t>
            </w:r>
          </w:p>
        </w:tc>
        <w:tc>
          <w:tcPr>
            <w:tcW w:w="1187" w:type="dxa"/>
            <w:tcBorders>
              <w:top w:val="nil"/>
              <w:left w:val="nil"/>
              <w:bottom w:val="single" w:sz="4" w:space="0" w:color="auto"/>
              <w:right w:val="single" w:sz="4" w:space="0" w:color="auto"/>
            </w:tcBorders>
            <w:shd w:val="clear" w:color="auto" w:fill="auto"/>
            <w:noWrap/>
            <w:vAlign w:val="center"/>
            <w:hideMark/>
          </w:tcPr>
          <w:p w14:paraId="22AD618D"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3,216</w:t>
            </w:r>
          </w:p>
        </w:tc>
        <w:tc>
          <w:tcPr>
            <w:tcW w:w="1188" w:type="dxa"/>
            <w:tcBorders>
              <w:top w:val="nil"/>
              <w:left w:val="nil"/>
              <w:bottom w:val="single" w:sz="4" w:space="0" w:color="auto"/>
              <w:right w:val="single" w:sz="4" w:space="0" w:color="auto"/>
            </w:tcBorders>
            <w:shd w:val="clear" w:color="auto" w:fill="auto"/>
            <w:noWrap/>
            <w:vAlign w:val="center"/>
            <w:hideMark/>
          </w:tcPr>
          <w:p w14:paraId="7084100C"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397</w:t>
            </w:r>
          </w:p>
        </w:tc>
        <w:tc>
          <w:tcPr>
            <w:tcW w:w="1188" w:type="dxa"/>
            <w:tcBorders>
              <w:top w:val="nil"/>
              <w:left w:val="nil"/>
              <w:bottom w:val="single" w:sz="4" w:space="0" w:color="auto"/>
              <w:right w:val="single" w:sz="4" w:space="0" w:color="auto"/>
            </w:tcBorders>
            <w:shd w:val="clear" w:color="auto" w:fill="auto"/>
            <w:noWrap/>
            <w:vAlign w:val="center"/>
            <w:hideMark/>
          </w:tcPr>
          <w:p w14:paraId="1568948C"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68177FD2"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688F87A2"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3,613</w:t>
            </w:r>
          </w:p>
        </w:tc>
        <w:tc>
          <w:tcPr>
            <w:tcW w:w="1187" w:type="dxa"/>
            <w:tcBorders>
              <w:top w:val="nil"/>
              <w:left w:val="nil"/>
              <w:bottom w:val="single" w:sz="4" w:space="0" w:color="auto"/>
              <w:right w:val="single" w:sz="4" w:space="0" w:color="auto"/>
            </w:tcBorders>
            <w:shd w:val="clear" w:color="auto" w:fill="auto"/>
            <w:noWrap/>
            <w:vAlign w:val="center"/>
            <w:hideMark/>
          </w:tcPr>
          <w:p w14:paraId="655344B7"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3,334</w:t>
            </w:r>
          </w:p>
        </w:tc>
        <w:tc>
          <w:tcPr>
            <w:tcW w:w="1188" w:type="dxa"/>
            <w:tcBorders>
              <w:top w:val="nil"/>
              <w:left w:val="nil"/>
              <w:bottom w:val="single" w:sz="4" w:space="0" w:color="auto"/>
              <w:right w:val="single" w:sz="4" w:space="0" w:color="auto"/>
            </w:tcBorders>
            <w:shd w:val="clear" w:color="auto" w:fill="auto"/>
            <w:noWrap/>
            <w:vAlign w:val="center"/>
            <w:hideMark/>
          </w:tcPr>
          <w:p w14:paraId="46800BC7"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404</w:t>
            </w:r>
          </w:p>
        </w:tc>
        <w:tc>
          <w:tcPr>
            <w:tcW w:w="1188" w:type="dxa"/>
            <w:tcBorders>
              <w:top w:val="nil"/>
              <w:left w:val="nil"/>
              <w:bottom w:val="single" w:sz="4" w:space="0" w:color="auto"/>
              <w:right w:val="single" w:sz="4" w:space="0" w:color="auto"/>
            </w:tcBorders>
            <w:shd w:val="clear" w:color="auto" w:fill="auto"/>
            <w:noWrap/>
            <w:vAlign w:val="center"/>
            <w:hideMark/>
          </w:tcPr>
          <w:p w14:paraId="3950AF54"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676301C7"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5C482E72"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3,739</w:t>
            </w:r>
          </w:p>
        </w:tc>
      </w:tr>
      <w:tr w:rsidR="00942D11" w:rsidRPr="001B1818" w14:paraId="0630BF13"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879D01E"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Orbost Regional Health</w:t>
            </w:r>
          </w:p>
        </w:tc>
        <w:tc>
          <w:tcPr>
            <w:tcW w:w="1187" w:type="dxa"/>
            <w:tcBorders>
              <w:top w:val="nil"/>
              <w:left w:val="nil"/>
              <w:bottom w:val="single" w:sz="4" w:space="0" w:color="auto"/>
              <w:right w:val="single" w:sz="4" w:space="0" w:color="auto"/>
            </w:tcBorders>
            <w:shd w:val="clear" w:color="auto" w:fill="auto"/>
            <w:noWrap/>
            <w:vAlign w:val="center"/>
            <w:hideMark/>
          </w:tcPr>
          <w:p w14:paraId="7431FE3D"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7,629</w:t>
            </w:r>
          </w:p>
        </w:tc>
        <w:tc>
          <w:tcPr>
            <w:tcW w:w="1188" w:type="dxa"/>
            <w:tcBorders>
              <w:top w:val="nil"/>
              <w:left w:val="nil"/>
              <w:bottom w:val="single" w:sz="4" w:space="0" w:color="auto"/>
              <w:right w:val="single" w:sz="4" w:space="0" w:color="auto"/>
            </w:tcBorders>
            <w:shd w:val="clear" w:color="auto" w:fill="auto"/>
            <w:noWrap/>
            <w:vAlign w:val="center"/>
            <w:hideMark/>
          </w:tcPr>
          <w:p w14:paraId="3CF3675E"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694</w:t>
            </w:r>
          </w:p>
        </w:tc>
        <w:tc>
          <w:tcPr>
            <w:tcW w:w="1188" w:type="dxa"/>
            <w:tcBorders>
              <w:top w:val="nil"/>
              <w:left w:val="nil"/>
              <w:bottom w:val="single" w:sz="4" w:space="0" w:color="auto"/>
              <w:right w:val="single" w:sz="4" w:space="0" w:color="auto"/>
            </w:tcBorders>
            <w:shd w:val="clear" w:color="auto" w:fill="auto"/>
            <w:noWrap/>
            <w:vAlign w:val="center"/>
            <w:hideMark/>
          </w:tcPr>
          <w:p w14:paraId="60D148B4"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57DF0D23"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674</w:t>
            </w:r>
          </w:p>
        </w:tc>
        <w:tc>
          <w:tcPr>
            <w:tcW w:w="1188" w:type="dxa"/>
            <w:tcBorders>
              <w:top w:val="nil"/>
              <w:left w:val="nil"/>
              <w:bottom w:val="single" w:sz="4" w:space="0" w:color="auto"/>
              <w:right w:val="single" w:sz="4" w:space="0" w:color="auto"/>
            </w:tcBorders>
            <w:shd w:val="clear" w:color="auto" w:fill="auto"/>
            <w:noWrap/>
            <w:vAlign w:val="center"/>
            <w:hideMark/>
          </w:tcPr>
          <w:p w14:paraId="2307D933"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8,997</w:t>
            </w:r>
          </w:p>
        </w:tc>
        <w:tc>
          <w:tcPr>
            <w:tcW w:w="1187" w:type="dxa"/>
            <w:tcBorders>
              <w:top w:val="nil"/>
              <w:left w:val="nil"/>
              <w:bottom w:val="single" w:sz="4" w:space="0" w:color="auto"/>
              <w:right w:val="single" w:sz="4" w:space="0" w:color="auto"/>
            </w:tcBorders>
            <w:shd w:val="clear" w:color="auto" w:fill="auto"/>
            <w:noWrap/>
            <w:vAlign w:val="center"/>
            <w:hideMark/>
          </w:tcPr>
          <w:p w14:paraId="7F243910"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7,839</w:t>
            </w:r>
          </w:p>
        </w:tc>
        <w:tc>
          <w:tcPr>
            <w:tcW w:w="1188" w:type="dxa"/>
            <w:tcBorders>
              <w:top w:val="nil"/>
              <w:left w:val="nil"/>
              <w:bottom w:val="single" w:sz="4" w:space="0" w:color="auto"/>
              <w:right w:val="single" w:sz="4" w:space="0" w:color="auto"/>
            </w:tcBorders>
            <w:shd w:val="clear" w:color="auto" w:fill="auto"/>
            <w:noWrap/>
            <w:vAlign w:val="center"/>
            <w:hideMark/>
          </w:tcPr>
          <w:p w14:paraId="2BAE1C37"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707</w:t>
            </w:r>
          </w:p>
        </w:tc>
        <w:tc>
          <w:tcPr>
            <w:tcW w:w="1188" w:type="dxa"/>
            <w:tcBorders>
              <w:top w:val="nil"/>
              <w:left w:val="nil"/>
              <w:bottom w:val="single" w:sz="4" w:space="0" w:color="auto"/>
              <w:right w:val="single" w:sz="4" w:space="0" w:color="auto"/>
            </w:tcBorders>
            <w:shd w:val="clear" w:color="auto" w:fill="auto"/>
            <w:noWrap/>
            <w:vAlign w:val="center"/>
            <w:hideMark/>
          </w:tcPr>
          <w:p w14:paraId="517D3821"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4BDF3523"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902</w:t>
            </w:r>
          </w:p>
        </w:tc>
        <w:tc>
          <w:tcPr>
            <w:tcW w:w="1188" w:type="dxa"/>
            <w:tcBorders>
              <w:top w:val="nil"/>
              <w:left w:val="nil"/>
              <w:bottom w:val="single" w:sz="4" w:space="0" w:color="auto"/>
              <w:right w:val="single" w:sz="4" w:space="0" w:color="auto"/>
            </w:tcBorders>
            <w:shd w:val="clear" w:color="auto" w:fill="auto"/>
            <w:noWrap/>
            <w:vAlign w:val="center"/>
            <w:hideMark/>
          </w:tcPr>
          <w:p w14:paraId="4D064FD0"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9,448</w:t>
            </w:r>
          </w:p>
        </w:tc>
      </w:tr>
      <w:tr w:rsidR="00942D11" w:rsidRPr="001B1818" w14:paraId="1182B010"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71EED95"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Robinvale District Health Services</w:t>
            </w:r>
          </w:p>
        </w:tc>
        <w:tc>
          <w:tcPr>
            <w:tcW w:w="1187" w:type="dxa"/>
            <w:tcBorders>
              <w:top w:val="nil"/>
              <w:left w:val="nil"/>
              <w:bottom w:val="single" w:sz="4" w:space="0" w:color="auto"/>
              <w:right w:val="single" w:sz="4" w:space="0" w:color="auto"/>
            </w:tcBorders>
            <w:shd w:val="clear" w:color="auto" w:fill="auto"/>
            <w:noWrap/>
            <w:vAlign w:val="center"/>
            <w:hideMark/>
          </w:tcPr>
          <w:p w14:paraId="188D3104"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7,887</w:t>
            </w:r>
          </w:p>
        </w:tc>
        <w:tc>
          <w:tcPr>
            <w:tcW w:w="1188" w:type="dxa"/>
            <w:tcBorders>
              <w:top w:val="nil"/>
              <w:left w:val="nil"/>
              <w:bottom w:val="single" w:sz="4" w:space="0" w:color="auto"/>
              <w:right w:val="single" w:sz="4" w:space="0" w:color="auto"/>
            </w:tcBorders>
            <w:shd w:val="clear" w:color="auto" w:fill="auto"/>
            <w:noWrap/>
            <w:vAlign w:val="center"/>
            <w:hideMark/>
          </w:tcPr>
          <w:p w14:paraId="7B9E2FA8"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1,008</w:t>
            </w:r>
          </w:p>
        </w:tc>
        <w:tc>
          <w:tcPr>
            <w:tcW w:w="1188" w:type="dxa"/>
            <w:tcBorders>
              <w:top w:val="nil"/>
              <w:left w:val="nil"/>
              <w:bottom w:val="single" w:sz="4" w:space="0" w:color="auto"/>
              <w:right w:val="single" w:sz="4" w:space="0" w:color="auto"/>
            </w:tcBorders>
            <w:shd w:val="clear" w:color="auto" w:fill="auto"/>
            <w:noWrap/>
            <w:vAlign w:val="center"/>
            <w:hideMark/>
          </w:tcPr>
          <w:p w14:paraId="7E972BA0"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08719309"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258</w:t>
            </w:r>
          </w:p>
        </w:tc>
        <w:tc>
          <w:tcPr>
            <w:tcW w:w="1188" w:type="dxa"/>
            <w:tcBorders>
              <w:top w:val="nil"/>
              <w:left w:val="nil"/>
              <w:bottom w:val="single" w:sz="4" w:space="0" w:color="auto"/>
              <w:right w:val="single" w:sz="4" w:space="0" w:color="auto"/>
            </w:tcBorders>
            <w:shd w:val="clear" w:color="auto" w:fill="auto"/>
            <w:noWrap/>
            <w:vAlign w:val="center"/>
            <w:hideMark/>
          </w:tcPr>
          <w:p w14:paraId="08228821"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9,153</w:t>
            </w:r>
          </w:p>
        </w:tc>
        <w:tc>
          <w:tcPr>
            <w:tcW w:w="1187" w:type="dxa"/>
            <w:tcBorders>
              <w:top w:val="nil"/>
              <w:left w:val="nil"/>
              <w:bottom w:val="single" w:sz="4" w:space="0" w:color="auto"/>
              <w:right w:val="single" w:sz="4" w:space="0" w:color="auto"/>
            </w:tcBorders>
            <w:shd w:val="clear" w:color="auto" w:fill="auto"/>
            <w:noWrap/>
            <w:vAlign w:val="center"/>
            <w:hideMark/>
          </w:tcPr>
          <w:p w14:paraId="2FCD14E2"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8,087</w:t>
            </w:r>
          </w:p>
        </w:tc>
        <w:tc>
          <w:tcPr>
            <w:tcW w:w="1188" w:type="dxa"/>
            <w:tcBorders>
              <w:top w:val="nil"/>
              <w:left w:val="nil"/>
              <w:bottom w:val="single" w:sz="4" w:space="0" w:color="auto"/>
              <w:right w:val="single" w:sz="4" w:space="0" w:color="auto"/>
            </w:tcBorders>
            <w:shd w:val="clear" w:color="auto" w:fill="auto"/>
            <w:noWrap/>
            <w:vAlign w:val="center"/>
            <w:hideMark/>
          </w:tcPr>
          <w:p w14:paraId="69A6F319"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1,032</w:t>
            </w:r>
          </w:p>
        </w:tc>
        <w:tc>
          <w:tcPr>
            <w:tcW w:w="1188" w:type="dxa"/>
            <w:tcBorders>
              <w:top w:val="nil"/>
              <w:left w:val="nil"/>
              <w:bottom w:val="single" w:sz="4" w:space="0" w:color="auto"/>
              <w:right w:val="single" w:sz="4" w:space="0" w:color="auto"/>
            </w:tcBorders>
            <w:shd w:val="clear" w:color="auto" w:fill="auto"/>
            <w:noWrap/>
            <w:vAlign w:val="center"/>
            <w:hideMark/>
          </w:tcPr>
          <w:p w14:paraId="44C8ED7C"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6B4B7AFF"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259</w:t>
            </w:r>
          </w:p>
        </w:tc>
        <w:tc>
          <w:tcPr>
            <w:tcW w:w="1188" w:type="dxa"/>
            <w:tcBorders>
              <w:top w:val="nil"/>
              <w:left w:val="nil"/>
              <w:bottom w:val="single" w:sz="4" w:space="0" w:color="auto"/>
              <w:right w:val="single" w:sz="4" w:space="0" w:color="auto"/>
            </w:tcBorders>
            <w:shd w:val="clear" w:color="auto" w:fill="auto"/>
            <w:noWrap/>
            <w:vAlign w:val="center"/>
            <w:hideMark/>
          </w:tcPr>
          <w:p w14:paraId="49BA7761"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9,379</w:t>
            </w:r>
          </w:p>
        </w:tc>
      </w:tr>
      <w:tr w:rsidR="00942D11" w:rsidRPr="001B1818" w14:paraId="323EB9EA"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DA917E6"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Rochester And Elmore District Health Service</w:t>
            </w:r>
          </w:p>
        </w:tc>
        <w:tc>
          <w:tcPr>
            <w:tcW w:w="1187" w:type="dxa"/>
            <w:tcBorders>
              <w:top w:val="nil"/>
              <w:left w:val="nil"/>
              <w:bottom w:val="single" w:sz="4" w:space="0" w:color="auto"/>
              <w:right w:val="single" w:sz="4" w:space="0" w:color="auto"/>
            </w:tcBorders>
            <w:shd w:val="clear" w:color="auto" w:fill="auto"/>
            <w:noWrap/>
            <w:vAlign w:val="center"/>
            <w:hideMark/>
          </w:tcPr>
          <w:p w14:paraId="3B06B456"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7,255</w:t>
            </w:r>
          </w:p>
        </w:tc>
        <w:tc>
          <w:tcPr>
            <w:tcW w:w="1188" w:type="dxa"/>
            <w:tcBorders>
              <w:top w:val="nil"/>
              <w:left w:val="nil"/>
              <w:bottom w:val="single" w:sz="4" w:space="0" w:color="auto"/>
              <w:right w:val="single" w:sz="4" w:space="0" w:color="auto"/>
            </w:tcBorders>
            <w:shd w:val="clear" w:color="auto" w:fill="auto"/>
            <w:noWrap/>
            <w:vAlign w:val="center"/>
            <w:hideMark/>
          </w:tcPr>
          <w:p w14:paraId="0B4122A9"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1,134</w:t>
            </w:r>
          </w:p>
        </w:tc>
        <w:tc>
          <w:tcPr>
            <w:tcW w:w="1188" w:type="dxa"/>
            <w:tcBorders>
              <w:top w:val="nil"/>
              <w:left w:val="nil"/>
              <w:bottom w:val="single" w:sz="4" w:space="0" w:color="auto"/>
              <w:right w:val="single" w:sz="4" w:space="0" w:color="auto"/>
            </w:tcBorders>
            <w:shd w:val="clear" w:color="auto" w:fill="auto"/>
            <w:noWrap/>
            <w:vAlign w:val="center"/>
            <w:hideMark/>
          </w:tcPr>
          <w:p w14:paraId="5CDB5195"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64D5B710"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75DCDD44"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8,389</w:t>
            </w:r>
          </w:p>
        </w:tc>
        <w:tc>
          <w:tcPr>
            <w:tcW w:w="1187" w:type="dxa"/>
            <w:tcBorders>
              <w:top w:val="nil"/>
              <w:left w:val="nil"/>
              <w:bottom w:val="single" w:sz="4" w:space="0" w:color="auto"/>
              <w:right w:val="single" w:sz="4" w:space="0" w:color="auto"/>
            </w:tcBorders>
            <w:shd w:val="clear" w:color="auto" w:fill="auto"/>
            <w:noWrap/>
            <w:vAlign w:val="center"/>
            <w:hideMark/>
          </w:tcPr>
          <w:p w14:paraId="35216E98"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7,375</w:t>
            </w:r>
          </w:p>
        </w:tc>
        <w:tc>
          <w:tcPr>
            <w:tcW w:w="1188" w:type="dxa"/>
            <w:tcBorders>
              <w:top w:val="nil"/>
              <w:left w:val="nil"/>
              <w:bottom w:val="single" w:sz="4" w:space="0" w:color="auto"/>
              <w:right w:val="single" w:sz="4" w:space="0" w:color="auto"/>
            </w:tcBorders>
            <w:shd w:val="clear" w:color="auto" w:fill="auto"/>
            <w:noWrap/>
            <w:vAlign w:val="center"/>
            <w:hideMark/>
          </w:tcPr>
          <w:p w14:paraId="5E9C7E7B"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1,158</w:t>
            </w:r>
          </w:p>
        </w:tc>
        <w:tc>
          <w:tcPr>
            <w:tcW w:w="1188" w:type="dxa"/>
            <w:tcBorders>
              <w:top w:val="nil"/>
              <w:left w:val="nil"/>
              <w:bottom w:val="single" w:sz="4" w:space="0" w:color="auto"/>
              <w:right w:val="single" w:sz="4" w:space="0" w:color="auto"/>
            </w:tcBorders>
            <w:shd w:val="clear" w:color="auto" w:fill="auto"/>
            <w:noWrap/>
            <w:vAlign w:val="center"/>
            <w:hideMark/>
          </w:tcPr>
          <w:p w14:paraId="34AD168A"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6F468E83"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00D62464"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8,533</w:t>
            </w:r>
          </w:p>
        </w:tc>
      </w:tr>
      <w:tr w:rsidR="00942D11" w:rsidRPr="001B1818" w14:paraId="73F3547B"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B6F1895"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Rural Northwest Health</w:t>
            </w:r>
          </w:p>
        </w:tc>
        <w:tc>
          <w:tcPr>
            <w:tcW w:w="1187" w:type="dxa"/>
            <w:tcBorders>
              <w:top w:val="nil"/>
              <w:left w:val="nil"/>
              <w:bottom w:val="single" w:sz="4" w:space="0" w:color="auto"/>
              <w:right w:val="single" w:sz="4" w:space="0" w:color="auto"/>
            </w:tcBorders>
            <w:shd w:val="clear" w:color="auto" w:fill="auto"/>
            <w:noWrap/>
            <w:vAlign w:val="center"/>
            <w:hideMark/>
          </w:tcPr>
          <w:p w14:paraId="600ED18C"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11,312</w:t>
            </w:r>
          </w:p>
        </w:tc>
        <w:tc>
          <w:tcPr>
            <w:tcW w:w="1188" w:type="dxa"/>
            <w:tcBorders>
              <w:top w:val="nil"/>
              <w:left w:val="nil"/>
              <w:bottom w:val="single" w:sz="4" w:space="0" w:color="auto"/>
              <w:right w:val="single" w:sz="4" w:space="0" w:color="auto"/>
            </w:tcBorders>
            <w:shd w:val="clear" w:color="auto" w:fill="auto"/>
            <w:noWrap/>
            <w:vAlign w:val="center"/>
            <w:hideMark/>
          </w:tcPr>
          <w:p w14:paraId="3389E002"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1,993</w:t>
            </w:r>
          </w:p>
        </w:tc>
        <w:tc>
          <w:tcPr>
            <w:tcW w:w="1188" w:type="dxa"/>
            <w:tcBorders>
              <w:top w:val="nil"/>
              <w:left w:val="nil"/>
              <w:bottom w:val="single" w:sz="4" w:space="0" w:color="auto"/>
              <w:right w:val="single" w:sz="4" w:space="0" w:color="auto"/>
            </w:tcBorders>
            <w:shd w:val="clear" w:color="auto" w:fill="auto"/>
            <w:noWrap/>
            <w:vAlign w:val="center"/>
            <w:hideMark/>
          </w:tcPr>
          <w:p w14:paraId="4B637D59"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42CCAA41"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651</w:t>
            </w:r>
          </w:p>
        </w:tc>
        <w:tc>
          <w:tcPr>
            <w:tcW w:w="1188" w:type="dxa"/>
            <w:tcBorders>
              <w:top w:val="nil"/>
              <w:left w:val="nil"/>
              <w:bottom w:val="single" w:sz="4" w:space="0" w:color="auto"/>
              <w:right w:val="single" w:sz="4" w:space="0" w:color="auto"/>
            </w:tcBorders>
            <w:shd w:val="clear" w:color="auto" w:fill="auto"/>
            <w:noWrap/>
            <w:vAlign w:val="center"/>
            <w:hideMark/>
          </w:tcPr>
          <w:p w14:paraId="40AC612C"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13,956</w:t>
            </w:r>
          </w:p>
        </w:tc>
        <w:tc>
          <w:tcPr>
            <w:tcW w:w="1187" w:type="dxa"/>
            <w:tcBorders>
              <w:top w:val="nil"/>
              <w:left w:val="nil"/>
              <w:bottom w:val="single" w:sz="4" w:space="0" w:color="auto"/>
              <w:right w:val="single" w:sz="4" w:space="0" w:color="auto"/>
            </w:tcBorders>
            <w:shd w:val="clear" w:color="auto" w:fill="auto"/>
            <w:noWrap/>
            <w:vAlign w:val="center"/>
            <w:hideMark/>
          </w:tcPr>
          <w:p w14:paraId="30189B7E"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11,648</w:t>
            </w:r>
          </w:p>
        </w:tc>
        <w:tc>
          <w:tcPr>
            <w:tcW w:w="1188" w:type="dxa"/>
            <w:tcBorders>
              <w:top w:val="nil"/>
              <w:left w:val="nil"/>
              <w:bottom w:val="single" w:sz="4" w:space="0" w:color="auto"/>
              <w:right w:val="single" w:sz="4" w:space="0" w:color="auto"/>
            </w:tcBorders>
            <w:shd w:val="clear" w:color="auto" w:fill="auto"/>
            <w:noWrap/>
            <w:vAlign w:val="center"/>
            <w:hideMark/>
          </w:tcPr>
          <w:p w14:paraId="3B1207B1"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2,040</w:t>
            </w:r>
          </w:p>
        </w:tc>
        <w:tc>
          <w:tcPr>
            <w:tcW w:w="1188" w:type="dxa"/>
            <w:tcBorders>
              <w:top w:val="nil"/>
              <w:left w:val="nil"/>
              <w:bottom w:val="single" w:sz="4" w:space="0" w:color="auto"/>
              <w:right w:val="single" w:sz="4" w:space="0" w:color="auto"/>
            </w:tcBorders>
            <w:shd w:val="clear" w:color="auto" w:fill="auto"/>
            <w:noWrap/>
            <w:vAlign w:val="center"/>
            <w:hideMark/>
          </w:tcPr>
          <w:p w14:paraId="3DBDDFC0"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383DA969"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648</w:t>
            </w:r>
          </w:p>
        </w:tc>
        <w:tc>
          <w:tcPr>
            <w:tcW w:w="1188" w:type="dxa"/>
            <w:tcBorders>
              <w:top w:val="nil"/>
              <w:left w:val="nil"/>
              <w:bottom w:val="single" w:sz="4" w:space="0" w:color="auto"/>
              <w:right w:val="single" w:sz="4" w:space="0" w:color="auto"/>
            </w:tcBorders>
            <w:shd w:val="clear" w:color="auto" w:fill="auto"/>
            <w:noWrap/>
            <w:vAlign w:val="center"/>
            <w:hideMark/>
          </w:tcPr>
          <w:p w14:paraId="3098E0C3"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14,337</w:t>
            </w:r>
          </w:p>
        </w:tc>
      </w:tr>
      <w:tr w:rsidR="00942D11" w:rsidRPr="001B1818" w14:paraId="172C4460"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8FCE300"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Seymour Health</w:t>
            </w:r>
          </w:p>
        </w:tc>
        <w:tc>
          <w:tcPr>
            <w:tcW w:w="1187" w:type="dxa"/>
            <w:tcBorders>
              <w:top w:val="nil"/>
              <w:left w:val="nil"/>
              <w:bottom w:val="single" w:sz="4" w:space="0" w:color="auto"/>
              <w:right w:val="single" w:sz="4" w:space="0" w:color="auto"/>
            </w:tcBorders>
            <w:shd w:val="clear" w:color="auto" w:fill="auto"/>
            <w:noWrap/>
            <w:vAlign w:val="center"/>
            <w:hideMark/>
          </w:tcPr>
          <w:p w14:paraId="789D5BA0"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16,443</w:t>
            </w:r>
          </w:p>
        </w:tc>
        <w:tc>
          <w:tcPr>
            <w:tcW w:w="1188" w:type="dxa"/>
            <w:tcBorders>
              <w:top w:val="nil"/>
              <w:left w:val="nil"/>
              <w:bottom w:val="single" w:sz="4" w:space="0" w:color="auto"/>
              <w:right w:val="single" w:sz="4" w:space="0" w:color="auto"/>
            </w:tcBorders>
            <w:shd w:val="clear" w:color="auto" w:fill="auto"/>
            <w:noWrap/>
            <w:vAlign w:val="center"/>
            <w:hideMark/>
          </w:tcPr>
          <w:p w14:paraId="47D10727"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1,122</w:t>
            </w:r>
          </w:p>
        </w:tc>
        <w:tc>
          <w:tcPr>
            <w:tcW w:w="1188" w:type="dxa"/>
            <w:tcBorders>
              <w:top w:val="nil"/>
              <w:left w:val="nil"/>
              <w:bottom w:val="single" w:sz="4" w:space="0" w:color="auto"/>
              <w:right w:val="single" w:sz="4" w:space="0" w:color="auto"/>
            </w:tcBorders>
            <w:shd w:val="clear" w:color="auto" w:fill="auto"/>
            <w:noWrap/>
            <w:vAlign w:val="center"/>
            <w:hideMark/>
          </w:tcPr>
          <w:p w14:paraId="390C5117"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288FA4BE"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99</w:t>
            </w:r>
          </w:p>
        </w:tc>
        <w:tc>
          <w:tcPr>
            <w:tcW w:w="1188" w:type="dxa"/>
            <w:tcBorders>
              <w:top w:val="nil"/>
              <w:left w:val="nil"/>
              <w:bottom w:val="single" w:sz="4" w:space="0" w:color="auto"/>
              <w:right w:val="single" w:sz="4" w:space="0" w:color="auto"/>
            </w:tcBorders>
            <w:shd w:val="clear" w:color="auto" w:fill="auto"/>
            <w:noWrap/>
            <w:vAlign w:val="center"/>
            <w:hideMark/>
          </w:tcPr>
          <w:p w14:paraId="29AFC825"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17,664</w:t>
            </w:r>
          </w:p>
        </w:tc>
        <w:tc>
          <w:tcPr>
            <w:tcW w:w="1187" w:type="dxa"/>
            <w:tcBorders>
              <w:top w:val="nil"/>
              <w:left w:val="nil"/>
              <w:bottom w:val="single" w:sz="4" w:space="0" w:color="auto"/>
              <w:right w:val="single" w:sz="4" w:space="0" w:color="auto"/>
            </w:tcBorders>
            <w:shd w:val="clear" w:color="auto" w:fill="auto"/>
            <w:noWrap/>
            <w:vAlign w:val="center"/>
            <w:hideMark/>
          </w:tcPr>
          <w:p w14:paraId="579DF2FB"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16,855</w:t>
            </w:r>
          </w:p>
        </w:tc>
        <w:tc>
          <w:tcPr>
            <w:tcW w:w="1188" w:type="dxa"/>
            <w:tcBorders>
              <w:top w:val="nil"/>
              <w:left w:val="nil"/>
              <w:bottom w:val="single" w:sz="4" w:space="0" w:color="auto"/>
              <w:right w:val="single" w:sz="4" w:space="0" w:color="auto"/>
            </w:tcBorders>
            <w:shd w:val="clear" w:color="auto" w:fill="auto"/>
            <w:noWrap/>
            <w:vAlign w:val="center"/>
            <w:hideMark/>
          </w:tcPr>
          <w:p w14:paraId="617F6238"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1,145</w:t>
            </w:r>
          </w:p>
        </w:tc>
        <w:tc>
          <w:tcPr>
            <w:tcW w:w="1188" w:type="dxa"/>
            <w:tcBorders>
              <w:top w:val="nil"/>
              <w:left w:val="nil"/>
              <w:bottom w:val="single" w:sz="4" w:space="0" w:color="auto"/>
              <w:right w:val="single" w:sz="4" w:space="0" w:color="auto"/>
            </w:tcBorders>
            <w:shd w:val="clear" w:color="auto" w:fill="auto"/>
            <w:noWrap/>
            <w:vAlign w:val="center"/>
            <w:hideMark/>
          </w:tcPr>
          <w:p w14:paraId="6EE7F2C8"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5359C6D6"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97</w:t>
            </w:r>
          </w:p>
        </w:tc>
        <w:tc>
          <w:tcPr>
            <w:tcW w:w="1188" w:type="dxa"/>
            <w:tcBorders>
              <w:top w:val="nil"/>
              <w:left w:val="nil"/>
              <w:bottom w:val="single" w:sz="4" w:space="0" w:color="auto"/>
              <w:right w:val="single" w:sz="4" w:space="0" w:color="auto"/>
            </w:tcBorders>
            <w:shd w:val="clear" w:color="auto" w:fill="auto"/>
            <w:noWrap/>
            <w:vAlign w:val="center"/>
            <w:hideMark/>
          </w:tcPr>
          <w:p w14:paraId="362DD40A"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18,097</w:t>
            </w:r>
          </w:p>
        </w:tc>
      </w:tr>
      <w:tr w:rsidR="00942D11" w:rsidRPr="001B1818" w14:paraId="4733963B"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847C7F5"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South Gippsland Hospital</w:t>
            </w:r>
          </w:p>
        </w:tc>
        <w:tc>
          <w:tcPr>
            <w:tcW w:w="1187" w:type="dxa"/>
            <w:tcBorders>
              <w:top w:val="nil"/>
              <w:left w:val="nil"/>
              <w:bottom w:val="single" w:sz="4" w:space="0" w:color="auto"/>
              <w:right w:val="single" w:sz="4" w:space="0" w:color="auto"/>
            </w:tcBorders>
            <w:shd w:val="clear" w:color="auto" w:fill="auto"/>
            <w:noWrap/>
            <w:vAlign w:val="center"/>
            <w:hideMark/>
          </w:tcPr>
          <w:p w14:paraId="14CEB482"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7,990</w:t>
            </w:r>
          </w:p>
        </w:tc>
        <w:tc>
          <w:tcPr>
            <w:tcW w:w="1188" w:type="dxa"/>
            <w:tcBorders>
              <w:top w:val="nil"/>
              <w:left w:val="nil"/>
              <w:bottom w:val="single" w:sz="4" w:space="0" w:color="auto"/>
              <w:right w:val="single" w:sz="4" w:space="0" w:color="auto"/>
            </w:tcBorders>
            <w:shd w:val="clear" w:color="auto" w:fill="auto"/>
            <w:noWrap/>
            <w:vAlign w:val="center"/>
            <w:hideMark/>
          </w:tcPr>
          <w:p w14:paraId="58EFA309"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57</w:t>
            </w:r>
          </w:p>
        </w:tc>
        <w:tc>
          <w:tcPr>
            <w:tcW w:w="1188" w:type="dxa"/>
            <w:tcBorders>
              <w:top w:val="nil"/>
              <w:left w:val="nil"/>
              <w:bottom w:val="single" w:sz="4" w:space="0" w:color="auto"/>
              <w:right w:val="single" w:sz="4" w:space="0" w:color="auto"/>
            </w:tcBorders>
            <w:shd w:val="clear" w:color="auto" w:fill="auto"/>
            <w:noWrap/>
            <w:vAlign w:val="center"/>
            <w:hideMark/>
          </w:tcPr>
          <w:p w14:paraId="7C4E78DE"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697FCC5D"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91</w:t>
            </w:r>
          </w:p>
        </w:tc>
        <w:tc>
          <w:tcPr>
            <w:tcW w:w="1188" w:type="dxa"/>
            <w:tcBorders>
              <w:top w:val="nil"/>
              <w:left w:val="nil"/>
              <w:bottom w:val="single" w:sz="4" w:space="0" w:color="auto"/>
              <w:right w:val="single" w:sz="4" w:space="0" w:color="auto"/>
            </w:tcBorders>
            <w:shd w:val="clear" w:color="auto" w:fill="auto"/>
            <w:noWrap/>
            <w:vAlign w:val="center"/>
            <w:hideMark/>
          </w:tcPr>
          <w:p w14:paraId="66D00564"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8,139</w:t>
            </w:r>
          </w:p>
        </w:tc>
        <w:tc>
          <w:tcPr>
            <w:tcW w:w="1187" w:type="dxa"/>
            <w:tcBorders>
              <w:top w:val="nil"/>
              <w:left w:val="nil"/>
              <w:bottom w:val="single" w:sz="4" w:space="0" w:color="auto"/>
              <w:right w:val="single" w:sz="4" w:space="0" w:color="auto"/>
            </w:tcBorders>
            <w:shd w:val="clear" w:color="auto" w:fill="auto"/>
            <w:noWrap/>
            <w:vAlign w:val="center"/>
            <w:hideMark/>
          </w:tcPr>
          <w:p w14:paraId="556BC5F6"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8,047</w:t>
            </w:r>
          </w:p>
        </w:tc>
        <w:tc>
          <w:tcPr>
            <w:tcW w:w="1188" w:type="dxa"/>
            <w:tcBorders>
              <w:top w:val="nil"/>
              <w:left w:val="nil"/>
              <w:bottom w:val="single" w:sz="4" w:space="0" w:color="auto"/>
              <w:right w:val="single" w:sz="4" w:space="0" w:color="auto"/>
            </w:tcBorders>
            <w:shd w:val="clear" w:color="auto" w:fill="auto"/>
            <w:noWrap/>
            <w:vAlign w:val="center"/>
            <w:hideMark/>
          </w:tcPr>
          <w:p w14:paraId="22965924"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58</w:t>
            </w:r>
          </w:p>
        </w:tc>
        <w:tc>
          <w:tcPr>
            <w:tcW w:w="1188" w:type="dxa"/>
            <w:tcBorders>
              <w:top w:val="nil"/>
              <w:left w:val="nil"/>
              <w:bottom w:val="single" w:sz="4" w:space="0" w:color="auto"/>
              <w:right w:val="single" w:sz="4" w:space="0" w:color="auto"/>
            </w:tcBorders>
            <w:shd w:val="clear" w:color="auto" w:fill="auto"/>
            <w:noWrap/>
            <w:vAlign w:val="center"/>
            <w:hideMark/>
          </w:tcPr>
          <w:p w14:paraId="7CE68DB2"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33D6DAC7"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89</w:t>
            </w:r>
          </w:p>
        </w:tc>
        <w:tc>
          <w:tcPr>
            <w:tcW w:w="1188" w:type="dxa"/>
            <w:tcBorders>
              <w:top w:val="nil"/>
              <w:left w:val="nil"/>
              <w:bottom w:val="single" w:sz="4" w:space="0" w:color="auto"/>
              <w:right w:val="single" w:sz="4" w:space="0" w:color="auto"/>
            </w:tcBorders>
            <w:shd w:val="clear" w:color="auto" w:fill="auto"/>
            <w:noWrap/>
            <w:vAlign w:val="center"/>
            <w:hideMark/>
          </w:tcPr>
          <w:p w14:paraId="5493DA89"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8,195</w:t>
            </w:r>
          </w:p>
        </w:tc>
      </w:tr>
      <w:tr w:rsidR="00942D11" w:rsidRPr="001B1818" w14:paraId="4F065B9B"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11734D2"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Tallangatta Health Service</w:t>
            </w:r>
          </w:p>
        </w:tc>
        <w:tc>
          <w:tcPr>
            <w:tcW w:w="1187" w:type="dxa"/>
            <w:tcBorders>
              <w:top w:val="nil"/>
              <w:left w:val="nil"/>
              <w:bottom w:val="single" w:sz="4" w:space="0" w:color="auto"/>
              <w:right w:val="single" w:sz="4" w:space="0" w:color="auto"/>
            </w:tcBorders>
            <w:shd w:val="clear" w:color="auto" w:fill="auto"/>
            <w:noWrap/>
            <w:vAlign w:val="center"/>
            <w:hideMark/>
          </w:tcPr>
          <w:p w14:paraId="12521889"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5,318</w:t>
            </w:r>
          </w:p>
        </w:tc>
        <w:tc>
          <w:tcPr>
            <w:tcW w:w="1188" w:type="dxa"/>
            <w:tcBorders>
              <w:top w:val="nil"/>
              <w:left w:val="nil"/>
              <w:bottom w:val="single" w:sz="4" w:space="0" w:color="auto"/>
              <w:right w:val="single" w:sz="4" w:space="0" w:color="auto"/>
            </w:tcBorders>
            <w:shd w:val="clear" w:color="auto" w:fill="auto"/>
            <w:noWrap/>
            <w:vAlign w:val="center"/>
            <w:hideMark/>
          </w:tcPr>
          <w:p w14:paraId="7283F4BE"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713</w:t>
            </w:r>
          </w:p>
        </w:tc>
        <w:tc>
          <w:tcPr>
            <w:tcW w:w="1188" w:type="dxa"/>
            <w:tcBorders>
              <w:top w:val="nil"/>
              <w:left w:val="nil"/>
              <w:bottom w:val="single" w:sz="4" w:space="0" w:color="auto"/>
              <w:right w:val="single" w:sz="4" w:space="0" w:color="auto"/>
            </w:tcBorders>
            <w:shd w:val="clear" w:color="auto" w:fill="auto"/>
            <w:noWrap/>
            <w:vAlign w:val="center"/>
            <w:hideMark/>
          </w:tcPr>
          <w:p w14:paraId="4B5106F9"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7E85524C"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247</w:t>
            </w:r>
          </w:p>
        </w:tc>
        <w:tc>
          <w:tcPr>
            <w:tcW w:w="1188" w:type="dxa"/>
            <w:tcBorders>
              <w:top w:val="nil"/>
              <w:left w:val="nil"/>
              <w:bottom w:val="single" w:sz="4" w:space="0" w:color="auto"/>
              <w:right w:val="single" w:sz="4" w:space="0" w:color="auto"/>
            </w:tcBorders>
            <w:shd w:val="clear" w:color="auto" w:fill="auto"/>
            <w:noWrap/>
            <w:vAlign w:val="center"/>
            <w:hideMark/>
          </w:tcPr>
          <w:p w14:paraId="5BB337A0"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6,277</w:t>
            </w:r>
          </w:p>
        </w:tc>
        <w:tc>
          <w:tcPr>
            <w:tcW w:w="1187" w:type="dxa"/>
            <w:tcBorders>
              <w:top w:val="nil"/>
              <w:left w:val="nil"/>
              <w:bottom w:val="single" w:sz="4" w:space="0" w:color="auto"/>
              <w:right w:val="single" w:sz="4" w:space="0" w:color="auto"/>
            </w:tcBorders>
            <w:shd w:val="clear" w:color="auto" w:fill="auto"/>
            <w:noWrap/>
            <w:vAlign w:val="center"/>
            <w:hideMark/>
          </w:tcPr>
          <w:p w14:paraId="0569E572"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5,528</w:t>
            </w:r>
          </w:p>
        </w:tc>
        <w:tc>
          <w:tcPr>
            <w:tcW w:w="1188" w:type="dxa"/>
            <w:tcBorders>
              <w:top w:val="nil"/>
              <w:left w:val="nil"/>
              <w:bottom w:val="single" w:sz="4" w:space="0" w:color="auto"/>
              <w:right w:val="single" w:sz="4" w:space="0" w:color="auto"/>
            </w:tcBorders>
            <w:shd w:val="clear" w:color="auto" w:fill="auto"/>
            <w:noWrap/>
            <w:vAlign w:val="center"/>
            <w:hideMark/>
          </w:tcPr>
          <w:p w14:paraId="4A94049B"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714</w:t>
            </w:r>
          </w:p>
        </w:tc>
        <w:tc>
          <w:tcPr>
            <w:tcW w:w="1188" w:type="dxa"/>
            <w:tcBorders>
              <w:top w:val="nil"/>
              <w:left w:val="nil"/>
              <w:bottom w:val="single" w:sz="4" w:space="0" w:color="auto"/>
              <w:right w:val="single" w:sz="4" w:space="0" w:color="auto"/>
            </w:tcBorders>
            <w:shd w:val="clear" w:color="auto" w:fill="auto"/>
            <w:noWrap/>
            <w:vAlign w:val="center"/>
            <w:hideMark/>
          </w:tcPr>
          <w:p w14:paraId="2B817F02"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21F23B42"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248</w:t>
            </w:r>
          </w:p>
        </w:tc>
        <w:tc>
          <w:tcPr>
            <w:tcW w:w="1188" w:type="dxa"/>
            <w:tcBorders>
              <w:top w:val="nil"/>
              <w:left w:val="nil"/>
              <w:bottom w:val="single" w:sz="4" w:space="0" w:color="auto"/>
              <w:right w:val="single" w:sz="4" w:space="0" w:color="auto"/>
            </w:tcBorders>
            <w:shd w:val="clear" w:color="auto" w:fill="auto"/>
            <w:noWrap/>
            <w:vAlign w:val="center"/>
            <w:hideMark/>
          </w:tcPr>
          <w:p w14:paraId="64D80A0C"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6,491</w:t>
            </w:r>
          </w:p>
        </w:tc>
      </w:tr>
      <w:tr w:rsidR="00942D11" w:rsidRPr="001B1818" w14:paraId="64F8BE8E"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1F51CB4"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Terang And Mortlake Health Service</w:t>
            </w:r>
          </w:p>
        </w:tc>
        <w:tc>
          <w:tcPr>
            <w:tcW w:w="1187" w:type="dxa"/>
            <w:tcBorders>
              <w:top w:val="nil"/>
              <w:left w:val="nil"/>
              <w:bottom w:val="single" w:sz="4" w:space="0" w:color="auto"/>
              <w:right w:val="single" w:sz="4" w:space="0" w:color="auto"/>
            </w:tcBorders>
            <w:shd w:val="clear" w:color="auto" w:fill="auto"/>
            <w:noWrap/>
            <w:vAlign w:val="center"/>
            <w:hideMark/>
          </w:tcPr>
          <w:p w14:paraId="735B0599"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6,955</w:t>
            </w:r>
          </w:p>
        </w:tc>
        <w:tc>
          <w:tcPr>
            <w:tcW w:w="1188" w:type="dxa"/>
            <w:tcBorders>
              <w:top w:val="nil"/>
              <w:left w:val="nil"/>
              <w:bottom w:val="single" w:sz="4" w:space="0" w:color="auto"/>
              <w:right w:val="single" w:sz="4" w:space="0" w:color="auto"/>
            </w:tcBorders>
            <w:shd w:val="clear" w:color="auto" w:fill="auto"/>
            <w:noWrap/>
            <w:vAlign w:val="center"/>
            <w:hideMark/>
          </w:tcPr>
          <w:p w14:paraId="05F2A11E"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706</w:t>
            </w:r>
          </w:p>
        </w:tc>
        <w:tc>
          <w:tcPr>
            <w:tcW w:w="1188" w:type="dxa"/>
            <w:tcBorders>
              <w:top w:val="nil"/>
              <w:left w:val="nil"/>
              <w:bottom w:val="single" w:sz="4" w:space="0" w:color="auto"/>
              <w:right w:val="single" w:sz="4" w:space="0" w:color="auto"/>
            </w:tcBorders>
            <w:shd w:val="clear" w:color="auto" w:fill="auto"/>
            <w:noWrap/>
            <w:vAlign w:val="center"/>
            <w:hideMark/>
          </w:tcPr>
          <w:p w14:paraId="481BA9FB"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6854D0DB"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1,373</w:t>
            </w:r>
          </w:p>
        </w:tc>
        <w:tc>
          <w:tcPr>
            <w:tcW w:w="1188" w:type="dxa"/>
            <w:tcBorders>
              <w:top w:val="nil"/>
              <w:left w:val="nil"/>
              <w:bottom w:val="single" w:sz="4" w:space="0" w:color="auto"/>
              <w:right w:val="single" w:sz="4" w:space="0" w:color="auto"/>
            </w:tcBorders>
            <w:shd w:val="clear" w:color="auto" w:fill="auto"/>
            <w:noWrap/>
            <w:vAlign w:val="center"/>
            <w:hideMark/>
          </w:tcPr>
          <w:p w14:paraId="18DD5720"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9,034</w:t>
            </w:r>
          </w:p>
        </w:tc>
        <w:tc>
          <w:tcPr>
            <w:tcW w:w="1187" w:type="dxa"/>
            <w:tcBorders>
              <w:top w:val="nil"/>
              <w:left w:val="nil"/>
              <w:bottom w:val="single" w:sz="4" w:space="0" w:color="auto"/>
              <w:right w:val="single" w:sz="4" w:space="0" w:color="auto"/>
            </w:tcBorders>
            <w:shd w:val="clear" w:color="auto" w:fill="auto"/>
            <w:noWrap/>
            <w:vAlign w:val="center"/>
            <w:hideMark/>
          </w:tcPr>
          <w:p w14:paraId="7E6419DF"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7,112</w:t>
            </w:r>
          </w:p>
        </w:tc>
        <w:tc>
          <w:tcPr>
            <w:tcW w:w="1188" w:type="dxa"/>
            <w:tcBorders>
              <w:top w:val="nil"/>
              <w:left w:val="nil"/>
              <w:bottom w:val="single" w:sz="4" w:space="0" w:color="auto"/>
              <w:right w:val="single" w:sz="4" w:space="0" w:color="auto"/>
            </w:tcBorders>
            <w:shd w:val="clear" w:color="auto" w:fill="auto"/>
            <w:noWrap/>
            <w:vAlign w:val="center"/>
            <w:hideMark/>
          </w:tcPr>
          <w:p w14:paraId="61418981"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724</w:t>
            </w:r>
          </w:p>
        </w:tc>
        <w:tc>
          <w:tcPr>
            <w:tcW w:w="1188" w:type="dxa"/>
            <w:tcBorders>
              <w:top w:val="nil"/>
              <w:left w:val="nil"/>
              <w:bottom w:val="single" w:sz="4" w:space="0" w:color="auto"/>
              <w:right w:val="single" w:sz="4" w:space="0" w:color="auto"/>
            </w:tcBorders>
            <w:shd w:val="clear" w:color="auto" w:fill="auto"/>
            <w:noWrap/>
            <w:vAlign w:val="center"/>
            <w:hideMark/>
          </w:tcPr>
          <w:p w14:paraId="2A44FFB1"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3411FD5F"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1,368</w:t>
            </w:r>
          </w:p>
        </w:tc>
        <w:tc>
          <w:tcPr>
            <w:tcW w:w="1188" w:type="dxa"/>
            <w:tcBorders>
              <w:top w:val="nil"/>
              <w:left w:val="nil"/>
              <w:bottom w:val="single" w:sz="4" w:space="0" w:color="auto"/>
              <w:right w:val="single" w:sz="4" w:space="0" w:color="auto"/>
            </w:tcBorders>
            <w:shd w:val="clear" w:color="auto" w:fill="auto"/>
            <w:noWrap/>
            <w:vAlign w:val="center"/>
            <w:hideMark/>
          </w:tcPr>
          <w:p w14:paraId="3131F7B6"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9,204</w:t>
            </w:r>
          </w:p>
        </w:tc>
      </w:tr>
      <w:tr w:rsidR="00942D11" w:rsidRPr="001B1818" w14:paraId="5DF3E7D8"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5B34BB1"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Timboon &amp; District Healthcare Service</w:t>
            </w:r>
          </w:p>
        </w:tc>
        <w:tc>
          <w:tcPr>
            <w:tcW w:w="1187" w:type="dxa"/>
            <w:tcBorders>
              <w:top w:val="nil"/>
              <w:left w:val="nil"/>
              <w:bottom w:val="single" w:sz="4" w:space="0" w:color="auto"/>
              <w:right w:val="single" w:sz="4" w:space="0" w:color="auto"/>
            </w:tcBorders>
            <w:shd w:val="clear" w:color="auto" w:fill="auto"/>
            <w:noWrap/>
            <w:vAlign w:val="center"/>
            <w:hideMark/>
          </w:tcPr>
          <w:p w14:paraId="3A6B93AD"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4,649</w:t>
            </w:r>
          </w:p>
        </w:tc>
        <w:tc>
          <w:tcPr>
            <w:tcW w:w="1188" w:type="dxa"/>
            <w:tcBorders>
              <w:top w:val="nil"/>
              <w:left w:val="nil"/>
              <w:bottom w:val="single" w:sz="4" w:space="0" w:color="auto"/>
              <w:right w:val="single" w:sz="4" w:space="0" w:color="auto"/>
            </w:tcBorders>
            <w:shd w:val="clear" w:color="auto" w:fill="auto"/>
            <w:noWrap/>
            <w:vAlign w:val="center"/>
            <w:hideMark/>
          </w:tcPr>
          <w:p w14:paraId="4C0D2D89"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367</w:t>
            </w:r>
          </w:p>
        </w:tc>
        <w:tc>
          <w:tcPr>
            <w:tcW w:w="1188" w:type="dxa"/>
            <w:tcBorders>
              <w:top w:val="nil"/>
              <w:left w:val="nil"/>
              <w:bottom w:val="single" w:sz="4" w:space="0" w:color="auto"/>
              <w:right w:val="single" w:sz="4" w:space="0" w:color="auto"/>
            </w:tcBorders>
            <w:shd w:val="clear" w:color="auto" w:fill="auto"/>
            <w:noWrap/>
            <w:vAlign w:val="center"/>
            <w:hideMark/>
          </w:tcPr>
          <w:p w14:paraId="3098CADF"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70AB8847"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314</w:t>
            </w:r>
          </w:p>
        </w:tc>
        <w:tc>
          <w:tcPr>
            <w:tcW w:w="1188" w:type="dxa"/>
            <w:tcBorders>
              <w:top w:val="nil"/>
              <w:left w:val="nil"/>
              <w:bottom w:val="single" w:sz="4" w:space="0" w:color="auto"/>
              <w:right w:val="single" w:sz="4" w:space="0" w:color="auto"/>
            </w:tcBorders>
            <w:shd w:val="clear" w:color="auto" w:fill="auto"/>
            <w:noWrap/>
            <w:vAlign w:val="center"/>
            <w:hideMark/>
          </w:tcPr>
          <w:p w14:paraId="7F97FFA1"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5,331</w:t>
            </w:r>
          </w:p>
        </w:tc>
        <w:tc>
          <w:tcPr>
            <w:tcW w:w="1187" w:type="dxa"/>
            <w:tcBorders>
              <w:top w:val="nil"/>
              <w:left w:val="nil"/>
              <w:bottom w:val="single" w:sz="4" w:space="0" w:color="auto"/>
              <w:right w:val="single" w:sz="4" w:space="0" w:color="auto"/>
            </w:tcBorders>
            <w:shd w:val="clear" w:color="auto" w:fill="auto"/>
            <w:noWrap/>
            <w:vAlign w:val="center"/>
            <w:hideMark/>
          </w:tcPr>
          <w:p w14:paraId="0536BCCD"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4,726</w:t>
            </w:r>
          </w:p>
        </w:tc>
        <w:tc>
          <w:tcPr>
            <w:tcW w:w="1188" w:type="dxa"/>
            <w:tcBorders>
              <w:top w:val="nil"/>
              <w:left w:val="nil"/>
              <w:bottom w:val="single" w:sz="4" w:space="0" w:color="auto"/>
              <w:right w:val="single" w:sz="4" w:space="0" w:color="auto"/>
            </w:tcBorders>
            <w:shd w:val="clear" w:color="auto" w:fill="auto"/>
            <w:noWrap/>
            <w:vAlign w:val="center"/>
            <w:hideMark/>
          </w:tcPr>
          <w:p w14:paraId="1FF5BAF3"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375</w:t>
            </w:r>
          </w:p>
        </w:tc>
        <w:tc>
          <w:tcPr>
            <w:tcW w:w="1188" w:type="dxa"/>
            <w:tcBorders>
              <w:top w:val="nil"/>
              <w:left w:val="nil"/>
              <w:bottom w:val="single" w:sz="4" w:space="0" w:color="auto"/>
              <w:right w:val="single" w:sz="4" w:space="0" w:color="auto"/>
            </w:tcBorders>
            <w:shd w:val="clear" w:color="auto" w:fill="auto"/>
            <w:noWrap/>
            <w:vAlign w:val="center"/>
            <w:hideMark/>
          </w:tcPr>
          <w:p w14:paraId="3111B1C7"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0EDDED4C"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322</w:t>
            </w:r>
          </w:p>
        </w:tc>
        <w:tc>
          <w:tcPr>
            <w:tcW w:w="1188" w:type="dxa"/>
            <w:tcBorders>
              <w:top w:val="nil"/>
              <w:left w:val="nil"/>
              <w:bottom w:val="single" w:sz="4" w:space="0" w:color="auto"/>
              <w:right w:val="single" w:sz="4" w:space="0" w:color="auto"/>
            </w:tcBorders>
            <w:shd w:val="clear" w:color="auto" w:fill="auto"/>
            <w:noWrap/>
            <w:vAlign w:val="center"/>
            <w:hideMark/>
          </w:tcPr>
          <w:p w14:paraId="72E53374"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5,423</w:t>
            </w:r>
          </w:p>
        </w:tc>
      </w:tr>
      <w:tr w:rsidR="00942D11" w:rsidRPr="001B1818" w14:paraId="6166DD19"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112294D"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West Wimmera Health Service</w:t>
            </w:r>
          </w:p>
        </w:tc>
        <w:tc>
          <w:tcPr>
            <w:tcW w:w="1187" w:type="dxa"/>
            <w:tcBorders>
              <w:top w:val="nil"/>
              <w:left w:val="nil"/>
              <w:bottom w:val="single" w:sz="4" w:space="0" w:color="auto"/>
              <w:right w:val="single" w:sz="4" w:space="0" w:color="auto"/>
            </w:tcBorders>
            <w:shd w:val="clear" w:color="auto" w:fill="auto"/>
            <w:noWrap/>
            <w:vAlign w:val="center"/>
            <w:hideMark/>
          </w:tcPr>
          <w:p w14:paraId="60C75506"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18,600</w:t>
            </w:r>
          </w:p>
        </w:tc>
        <w:tc>
          <w:tcPr>
            <w:tcW w:w="1188" w:type="dxa"/>
            <w:tcBorders>
              <w:top w:val="nil"/>
              <w:left w:val="nil"/>
              <w:bottom w:val="single" w:sz="4" w:space="0" w:color="auto"/>
              <w:right w:val="single" w:sz="4" w:space="0" w:color="auto"/>
            </w:tcBorders>
            <w:shd w:val="clear" w:color="auto" w:fill="auto"/>
            <w:noWrap/>
            <w:vAlign w:val="center"/>
            <w:hideMark/>
          </w:tcPr>
          <w:p w14:paraId="5A15B04E"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3,479</w:t>
            </w:r>
          </w:p>
        </w:tc>
        <w:tc>
          <w:tcPr>
            <w:tcW w:w="1188" w:type="dxa"/>
            <w:tcBorders>
              <w:top w:val="nil"/>
              <w:left w:val="nil"/>
              <w:bottom w:val="single" w:sz="4" w:space="0" w:color="auto"/>
              <w:right w:val="single" w:sz="4" w:space="0" w:color="auto"/>
            </w:tcBorders>
            <w:shd w:val="clear" w:color="auto" w:fill="auto"/>
            <w:noWrap/>
            <w:vAlign w:val="center"/>
            <w:hideMark/>
          </w:tcPr>
          <w:p w14:paraId="0D19741C"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279</w:t>
            </w:r>
          </w:p>
        </w:tc>
        <w:tc>
          <w:tcPr>
            <w:tcW w:w="1188" w:type="dxa"/>
            <w:tcBorders>
              <w:top w:val="nil"/>
              <w:left w:val="nil"/>
              <w:bottom w:val="single" w:sz="4" w:space="0" w:color="auto"/>
              <w:right w:val="single" w:sz="4" w:space="0" w:color="auto"/>
            </w:tcBorders>
            <w:shd w:val="clear" w:color="auto" w:fill="auto"/>
            <w:noWrap/>
            <w:vAlign w:val="center"/>
            <w:hideMark/>
          </w:tcPr>
          <w:p w14:paraId="24880C7F"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3,058</w:t>
            </w:r>
          </w:p>
        </w:tc>
        <w:tc>
          <w:tcPr>
            <w:tcW w:w="1188" w:type="dxa"/>
            <w:tcBorders>
              <w:top w:val="nil"/>
              <w:left w:val="nil"/>
              <w:bottom w:val="single" w:sz="4" w:space="0" w:color="auto"/>
              <w:right w:val="single" w:sz="4" w:space="0" w:color="auto"/>
            </w:tcBorders>
            <w:shd w:val="clear" w:color="auto" w:fill="auto"/>
            <w:noWrap/>
            <w:vAlign w:val="center"/>
            <w:hideMark/>
          </w:tcPr>
          <w:p w14:paraId="12543211"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25,416</w:t>
            </w:r>
          </w:p>
        </w:tc>
        <w:tc>
          <w:tcPr>
            <w:tcW w:w="1187" w:type="dxa"/>
            <w:tcBorders>
              <w:top w:val="nil"/>
              <w:left w:val="nil"/>
              <w:bottom w:val="single" w:sz="4" w:space="0" w:color="auto"/>
              <w:right w:val="single" w:sz="4" w:space="0" w:color="auto"/>
            </w:tcBorders>
            <w:shd w:val="clear" w:color="auto" w:fill="auto"/>
            <w:noWrap/>
            <w:vAlign w:val="center"/>
            <w:hideMark/>
          </w:tcPr>
          <w:p w14:paraId="4311660E"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19,087</w:t>
            </w:r>
          </w:p>
        </w:tc>
        <w:tc>
          <w:tcPr>
            <w:tcW w:w="1188" w:type="dxa"/>
            <w:tcBorders>
              <w:top w:val="nil"/>
              <w:left w:val="nil"/>
              <w:bottom w:val="single" w:sz="4" w:space="0" w:color="auto"/>
              <w:right w:val="single" w:sz="4" w:space="0" w:color="auto"/>
            </w:tcBorders>
            <w:shd w:val="clear" w:color="auto" w:fill="auto"/>
            <w:noWrap/>
            <w:vAlign w:val="center"/>
            <w:hideMark/>
          </w:tcPr>
          <w:p w14:paraId="0D85038D"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3,563</w:t>
            </w:r>
          </w:p>
        </w:tc>
        <w:tc>
          <w:tcPr>
            <w:tcW w:w="1188" w:type="dxa"/>
            <w:tcBorders>
              <w:top w:val="nil"/>
              <w:left w:val="nil"/>
              <w:bottom w:val="single" w:sz="4" w:space="0" w:color="auto"/>
              <w:right w:val="single" w:sz="4" w:space="0" w:color="auto"/>
            </w:tcBorders>
            <w:shd w:val="clear" w:color="auto" w:fill="auto"/>
            <w:noWrap/>
            <w:vAlign w:val="center"/>
            <w:hideMark/>
          </w:tcPr>
          <w:p w14:paraId="42E5F13E"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286</w:t>
            </w:r>
          </w:p>
        </w:tc>
        <w:tc>
          <w:tcPr>
            <w:tcW w:w="1188" w:type="dxa"/>
            <w:tcBorders>
              <w:top w:val="nil"/>
              <w:left w:val="nil"/>
              <w:bottom w:val="single" w:sz="4" w:space="0" w:color="auto"/>
              <w:right w:val="single" w:sz="4" w:space="0" w:color="auto"/>
            </w:tcBorders>
            <w:shd w:val="clear" w:color="auto" w:fill="auto"/>
            <w:noWrap/>
            <w:vAlign w:val="center"/>
            <w:hideMark/>
          </w:tcPr>
          <w:p w14:paraId="0A64BA22"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3,075</w:t>
            </w:r>
          </w:p>
        </w:tc>
        <w:tc>
          <w:tcPr>
            <w:tcW w:w="1188" w:type="dxa"/>
            <w:tcBorders>
              <w:top w:val="nil"/>
              <w:left w:val="nil"/>
              <w:bottom w:val="single" w:sz="4" w:space="0" w:color="auto"/>
              <w:right w:val="single" w:sz="4" w:space="0" w:color="auto"/>
            </w:tcBorders>
            <w:shd w:val="clear" w:color="auto" w:fill="auto"/>
            <w:noWrap/>
            <w:vAlign w:val="center"/>
            <w:hideMark/>
          </w:tcPr>
          <w:p w14:paraId="55455F53"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26,010</w:t>
            </w:r>
          </w:p>
        </w:tc>
      </w:tr>
      <w:tr w:rsidR="00942D11" w:rsidRPr="001B1818" w14:paraId="5671B614"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23D0224"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Yarram And District Health Service</w:t>
            </w:r>
          </w:p>
        </w:tc>
        <w:tc>
          <w:tcPr>
            <w:tcW w:w="1187" w:type="dxa"/>
            <w:tcBorders>
              <w:top w:val="nil"/>
              <w:left w:val="nil"/>
              <w:bottom w:val="single" w:sz="4" w:space="0" w:color="auto"/>
              <w:right w:val="single" w:sz="4" w:space="0" w:color="auto"/>
            </w:tcBorders>
            <w:shd w:val="clear" w:color="auto" w:fill="auto"/>
            <w:noWrap/>
            <w:vAlign w:val="center"/>
            <w:hideMark/>
          </w:tcPr>
          <w:p w14:paraId="3987F4CC"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7,563</w:t>
            </w:r>
          </w:p>
        </w:tc>
        <w:tc>
          <w:tcPr>
            <w:tcW w:w="1188" w:type="dxa"/>
            <w:tcBorders>
              <w:top w:val="nil"/>
              <w:left w:val="nil"/>
              <w:bottom w:val="single" w:sz="4" w:space="0" w:color="auto"/>
              <w:right w:val="single" w:sz="4" w:space="0" w:color="auto"/>
            </w:tcBorders>
            <w:shd w:val="clear" w:color="auto" w:fill="auto"/>
            <w:noWrap/>
            <w:vAlign w:val="center"/>
            <w:hideMark/>
          </w:tcPr>
          <w:p w14:paraId="2FC70828"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848</w:t>
            </w:r>
          </w:p>
        </w:tc>
        <w:tc>
          <w:tcPr>
            <w:tcW w:w="1188" w:type="dxa"/>
            <w:tcBorders>
              <w:top w:val="nil"/>
              <w:left w:val="nil"/>
              <w:bottom w:val="single" w:sz="4" w:space="0" w:color="auto"/>
              <w:right w:val="single" w:sz="4" w:space="0" w:color="auto"/>
            </w:tcBorders>
            <w:shd w:val="clear" w:color="auto" w:fill="auto"/>
            <w:noWrap/>
            <w:vAlign w:val="center"/>
            <w:hideMark/>
          </w:tcPr>
          <w:p w14:paraId="0190BC67"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2898750A"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588</w:t>
            </w:r>
          </w:p>
        </w:tc>
        <w:tc>
          <w:tcPr>
            <w:tcW w:w="1188" w:type="dxa"/>
            <w:tcBorders>
              <w:top w:val="nil"/>
              <w:left w:val="nil"/>
              <w:bottom w:val="single" w:sz="4" w:space="0" w:color="auto"/>
              <w:right w:val="single" w:sz="4" w:space="0" w:color="auto"/>
            </w:tcBorders>
            <w:shd w:val="clear" w:color="auto" w:fill="auto"/>
            <w:noWrap/>
            <w:vAlign w:val="center"/>
            <w:hideMark/>
          </w:tcPr>
          <w:p w14:paraId="7BCECE42"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8,999</w:t>
            </w:r>
          </w:p>
        </w:tc>
        <w:tc>
          <w:tcPr>
            <w:tcW w:w="1187" w:type="dxa"/>
            <w:tcBorders>
              <w:top w:val="nil"/>
              <w:left w:val="nil"/>
              <w:bottom w:val="single" w:sz="4" w:space="0" w:color="auto"/>
              <w:right w:val="single" w:sz="4" w:space="0" w:color="auto"/>
            </w:tcBorders>
            <w:shd w:val="clear" w:color="auto" w:fill="auto"/>
            <w:noWrap/>
            <w:vAlign w:val="center"/>
            <w:hideMark/>
          </w:tcPr>
          <w:p w14:paraId="47CBA636"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7,781</w:t>
            </w:r>
          </w:p>
        </w:tc>
        <w:tc>
          <w:tcPr>
            <w:tcW w:w="1188" w:type="dxa"/>
            <w:tcBorders>
              <w:top w:val="nil"/>
              <w:left w:val="nil"/>
              <w:bottom w:val="single" w:sz="4" w:space="0" w:color="auto"/>
              <w:right w:val="single" w:sz="4" w:space="0" w:color="auto"/>
            </w:tcBorders>
            <w:shd w:val="clear" w:color="auto" w:fill="auto"/>
            <w:noWrap/>
            <w:vAlign w:val="center"/>
            <w:hideMark/>
          </w:tcPr>
          <w:p w14:paraId="6AB43AF5"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866</w:t>
            </w:r>
          </w:p>
        </w:tc>
        <w:tc>
          <w:tcPr>
            <w:tcW w:w="1188" w:type="dxa"/>
            <w:tcBorders>
              <w:top w:val="nil"/>
              <w:left w:val="nil"/>
              <w:bottom w:val="single" w:sz="4" w:space="0" w:color="auto"/>
              <w:right w:val="single" w:sz="4" w:space="0" w:color="auto"/>
            </w:tcBorders>
            <w:shd w:val="clear" w:color="auto" w:fill="auto"/>
            <w:noWrap/>
            <w:vAlign w:val="center"/>
            <w:hideMark/>
          </w:tcPr>
          <w:p w14:paraId="1F46C4F0"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78FDEF4B"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593</w:t>
            </w:r>
          </w:p>
        </w:tc>
        <w:tc>
          <w:tcPr>
            <w:tcW w:w="1188" w:type="dxa"/>
            <w:tcBorders>
              <w:top w:val="nil"/>
              <w:left w:val="nil"/>
              <w:bottom w:val="single" w:sz="4" w:space="0" w:color="auto"/>
              <w:right w:val="single" w:sz="4" w:space="0" w:color="auto"/>
            </w:tcBorders>
            <w:shd w:val="clear" w:color="auto" w:fill="auto"/>
            <w:noWrap/>
            <w:vAlign w:val="center"/>
            <w:hideMark/>
          </w:tcPr>
          <w:p w14:paraId="40D214B8"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9,239</w:t>
            </w:r>
          </w:p>
        </w:tc>
      </w:tr>
      <w:tr w:rsidR="00942D11" w:rsidRPr="001B1818" w14:paraId="4F2CACCB"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362F1EF"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Yarrawonga Health</w:t>
            </w:r>
          </w:p>
        </w:tc>
        <w:tc>
          <w:tcPr>
            <w:tcW w:w="1187" w:type="dxa"/>
            <w:tcBorders>
              <w:top w:val="nil"/>
              <w:left w:val="nil"/>
              <w:bottom w:val="single" w:sz="4" w:space="0" w:color="auto"/>
              <w:right w:val="single" w:sz="4" w:space="0" w:color="auto"/>
            </w:tcBorders>
            <w:shd w:val="clear" w:color="auto" w:fill="auto"/>
            <w:noWrap/>
            <w:vAlign w:val="center"/>
            <w:hideMark/>
          </w:tcPr>
          <w:p w14:paraId="65E84167"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13,214</w:t>
            </w:r>
          </w:p>
        </w:tc>
        <w:tc>
          <w:tcPr>
            <w:tcW w:w="1188" w:type="dxa"/>
            <w:tcBorders>
              <w:top w:val="nil"/>
              <w:left w:val="nil"/>
              <w:bottom w:val="single" w:sz="4" w:space="0" w:color="auto"/>
              <w:right w:val="single" w:sz="4" w:space="0" w:color="auto"/>
            </w:tcBorders>
            <w:shd w:val="clear" w:color="auto" w:fill="auto"/>
            <w:noWrap/>
            <w:vAlign w:val="center"/>
            <w:hideMark/>
          </w:tcPr>
          <w:p w14:paraId="1A21F59F"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1,464</w:t>
            </w:r>
          </w:p>
        </w:tc>
        <w:tc>
          <w:tcPr>
            <w:tcW w:w="1188" w:type="dxa"/>
            <w:tcBorders>
              <w:top w:val="nil"/>
              <w:left w:val="nil"/>
              <w:bottom w:val="single" w:sz="4" w:space="0" w:color="auto"/>
              <w:right w:val="single" w:sz="4" w:space="0" w:color="auto"/>
            </w:tcBorders>
            <w:shd w:val="clear" w:color="auto" w:fill="auto"/>
            <w:noWrap/>
            <w:vAlign w:val="center"/>
            <w:hideMark/>
          </w:tcPr>
          <w:p w14:paraId="23D88923"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4511DC48"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719</w:t>
            </w:r>
          </w:p>
        </w:tc>
        <w:tc>
          <w:tcPr>
            <w:tcW w:w="1188" w:type="dxa"/>
            <w:tcBorders>
              <w:top w:val="nil"/>
              <w:left w:val="nil"/>
              <w:bottom w:val="single" w:sz="4" w:space="0" w:color="auto"/>
              <w:right w:val="single" w:sz="4" w:space="0" w:color="auto"/>
            </w:tcBorders>
            <w:shd w:val="clear" w:color="auto" w:fill="auto"/>
            <w:noWrap/>
            <w:vAlign w:val="center"/>
            <w:hideMark/>
          </w:tcPr>
          <w:p w14:paraId="593C8475"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15,397</w:t>
            </w:r>
          </w:p>
        </w:tc>
        <w:tc>
          <w:tcPr>
            <w:tcW w:w="1187" w:type="dxa"/>
            <w:tcBorders>
              <w:top w:val="nil"/>
              <w:left w:val="nil"/>
              <w:bottom w:val="single" w:sz="4" w:space="0" w:color="auto"/>
              <w:right w:val="single" w:sz="4" w:space="0" w:color="auto"/>
            </w:tcBorders>
            <w:shd w:val="clear" w:color="auto" w:fill="auto"/>
            <w:noWrap/>
            <w:vAlign w:val="center"/>
            <w:hideMark/>
          </w:tcPr>
          <w:p w14:paraId="01B24F3B"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13,027</w:t>
            </w:r>
          </w:p>
        </w:tc>
        <w:tc>
          <w:tcPr>
            <w:tcW w:w="1188" w:type="dxa"/>
            <w:tcBorders>
              <w:top w:val="nil"/>
              <w:left w:val="nil"/>
              <w:bottom w:val="single" w:sz="4" w:space="0" w:color="auto"/>
              <w:right w:val="single" w:sz="4" w:space="0" w:color="auto"/>
            </w:tcBorders>
            <w:shd w:val="clear" w:color="auto" w:fill="auto"/>
            <w:noWrap/>
            <w:vAlign w:val="center"/>
            <w:hideMark/>
          </w:tcPr>
          <w:p w14:paraId="30962BEE"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1,506</w:t>
            </w:r>
          </w:p>
        </w:tc>
        <w:tc>
          <w:tcPr>
            <w:tcW w:w="1188" w:type="dxa"/>
            <w:tcBorders>
              <w:top w:val="nil"/>
              <w:left w:val="nil"/>
              <w:bottom w:val="single" w:sz="4" w:space="0" w:color="auto"/>
              <w:right w:val="single" w:sz="4" w:space="0" w:color="auto"/>
            </w:tcBorders>
            <w:shd w:val="clear" w:color="auto" w:fill="auto"/>
            <w:noWrap/>
            <w:vAlign w:val="center"/>
            <w:hideMark/>
          </w:tcPr>
          <w:p w14:paraId="0C20045C"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4353FF0F"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719</w:t>
            </w:r>
          </w:p>
        </w:tc>
        <w:tc>
          <w:tcPr>
            <w:tcW w:w="1188" w:type="dxa"/>
            <w:tcBorders>
              <w:top w:val="nil"/>
              <w:left w:val="nil"/>
              <w:bottom w:val="single" w:sz="4" w:space="0" w:color="auto"/>
              <w:right w:val="single" w:sz="4" w:space="0" w:color="auto"/>
            </w:tcBorders>
            <w:shd w:val="clear" w:color="auto" w:fill="auto"/>
            <w:noWrap/>
            <w:vAlign w:val="center"/>
            <w:hideMark/>
          </w:tcPr>
          <w:p w14:paraId="086CC0CA"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15,251</w:t>
            </w:r>
          </w:p>
        </w:tc>
      </w:tr>
      <w:tr w:rsidR="00942D11" w:rsidRPr="001B1818" w14:paraId="2A88DE4C"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FEDD669" w14:textId="77777777" w:rsidR="00942D11" w:rsidRPr="001B1818" w:rsidRDefault="00942D11" w:rsidP="003D68D1">
            <w:pPr>
              <w:spacing w:after="0" w:line="240" w:lineRule="auto"/>
              <w:rPr>
                <w:rFonts w:cs="Arial"/>
                <w:color w:val="000000"/>
                <w:sz w:val="15"/>
                <w:szCs w:val="15"/>
                <w:lang w:eastAsia="en-AU"/>
              </w:rPr>
            </w:pPr>
            <w:r w:rsidRPr="001B1818">
              <w:rPr>
                <w:rFonts w:cs="Arial"/>
                <w:color w:val="000000"/>
                <w:sz w:val="15"/>
                <w:szCs w:val="15"/>
                <w:lang w:eastAsia="en-AU"/>
              </w:rPr>
              <w:t>Yea And District Memorial Hospital</w:t>
            </w:r>
          </w:p>
        </w:tc>
        <w:tc>
          <w:tcPr>
            <w:tcW w:w="1187" w:type="dxa"/>
            <w:tcBorders>
              <w:top w:val="nil"/>
              <w:left w:val="nil"/>
              <w:bottom w:val="single" w:sz="4" w:space="0" w:color="auto"/>
              <w:right w:val="single" w:sz="4" w:space="0" w:color="auto"/>
            </w:tcBorders>
            <w:shd w:val="clear" w:color="auto" w:fill="auto"/>
            <w:noWrap/>
            <w:vAlign w:val="center"/>
            <w:hideMark/>
          </w:tcPr>
          <w:p w14:paraId="62478536"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3,774</w:t>
            </w:r>
          </w:p>
        </w:tc>
        <w:tc>
          <w:tcPr>
            <w:tcW w:w="1188" w:type="dxa"/>
            <w:tcBorders>
              <w:top w:val="nil"/>
              <w:left w:val="nil"/>
              <w:bottom w:val="single" w:sz="4" w:space="0" w:color="auto"/>
              <w:right w:val="single" w:sz="4" w:space="0" w:color="auto"/>
            </w:tcBorders>
            <w:shd w:val="clear" w:color="auto" w:fill="auto"/>
            <w:noWrap/>
            <w:vAlign w:val="center"/>
            <w:hideMark/>
          </w:tcPr>
          <w:p w14:paraId="6CCE4740"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412</w:t>
            </w:r>
          </w:p>
        </w:tc>
        <w:tc>
          <w:tcPr>
            <w:tcW w:w="1188" w:type="dxa"/>
            <w:tcBorders>
              <w:top w:val="nil"/>
              <w:left w:val="nil"/>
              <w:bottom w:val="single" w:sz="4" w:space="0" w:color="auto"/>
              <w:right w:val="single" w:sz="4" w:space="0" w:color="auto"/>
            </w:tcBorders>
            <w:shd w:val="clear" w:color="auto" w:fill="auto"/>
            <w:noWrap/>
            <w:vAlign w:val="center"/>
            <w:hideMark/>
          </w:tcPr>
          <w:p w14:paraId="40904BE6"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7ABC94E3"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408</w:t>
            </w:r>
          </w:p>
        </w:tc>
        <w:tc>
          <w:tcPr>
            <w:tcW w:w="1188" w:type="dxa"/>
            <w:tcBorders>
              <w:top w:val="nil"/>
              <w:left w:val="nil"/>
              <w:bottom w:val="single" w:sz="4" w:space="0" w:color="auto"/>
              <w:right w:val="single" w:sz="4" w:space="0" w:color="auto"/>
            </w:tcBorders>
            <w:shd w:val="clear" w:color="auto" w:fill="auto"/>
            <w:noWrap/>
            <w:vAlign w:val="center"/>
            <w:hideMark/>
          </w:tcPr>
          <w:p w14:paraId="2FA8BC9B"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4,593</w:t>
            </w:r>
          </w:p>
        </w:tc>
        <w:tc>
          <w:tcPr>
            <w:tcW w:w="1187" w:type="dxa"/>
            <w:tcBorders>
              <w:top w:val="nil"/>
              <w:left w:val="nil"/>
              <w:bottom w:val="single" w:sz="4" w:space="0" w:color="auto"/>
              <w:right w:val="single" w:sz="4" w:space="0" w:color="auto"/>
            </w:tcBorders>
            <w:shd w:val="clear" w:color="auto" w:fill="auto"/>
            <w:noWrap/>
            <w:vAlign w:val="center"/>
            <w:hideMark/>
          </w:tcPr>
          <w:p w14:paraId="77584EC3"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3,702</w:t>
            </w:r>
          </w:p>
        </w:tc>
        <w:tc>
          <w:tcPr>
            <w:tcW w:w="1188" w:type="dxa"/>
            <w:tcBorders>
              <w:top w:val="nil"/>
              <w:left w:val="nil"/>
              <w:bottom w:val="single" w:sz="4" w:space="0" w:color="auto"/>
              <w:right w:val="single" w:sz="4" w:space="0" w:color="auto"/>
            </w:tcBorders>
            <w:shd w:val="clear" w:color="auto" w:fill="auto"/>
            <w:noWrap/>
            <w:vAlign w:val="center"/>
            <w:hideMark/>
          </w:tcPr>
          <w:p w14:paraId="11D2817C"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424</w:t>
            </w:r>
          </w:p>
        </w:tc>
        <w:tc>
          <w:tcPr>
            <w:tcW w:w="1188" w:type="dxa"/>
            <w:tcBorders>
              <w:top w:val="nil"/>
              <w:left w:val="nil"/>
              <w:bottom w:val="single" w:sz="4" w:space="0" w:color="auto"/>
              <w:right w:val="single" w:sz="4" w:space="0" w:color="auto"/>
            </w:tcBorders>
            <w:shd w:val="clear" w:color="auto" w:fill="auto"/>
            <w:noWrap/>
            <w:vAlign w:val="center"/>
            <w:hideMark/>
          </w:tcPr>
          <w:p w14:paraId="53BE223A" w14:textId="77777777" w:rsidR="00942D11" w:rsidRPr="001B1818" w:rsidRDefault="00942D11"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1B1818">
              <w:rPr>
                <w:rFonts w:cs="Arial"/>
                <w:color w:val="000000"/>
                <w:sz w:val="15"/>
                <w:szCs w:val="15"/>
                <w:lang w:eastAsia="en-AU"/>
              </w:rPr>
              <w:t> </w:t>
            </w:r>
          </w:p>
        </w:tc>
        <w:tc>
          <w:tcPr>
            <w:tcW w:w="1188" w:type="dxa"/>
            <w:tcBorders>
              <w:top w:val="nil"/>
              <w:left w:val="nil"/>
              <w:bottom w:val="single" w:sz="4" w:space="0" w:color="auto"/>
              <w:right w:val="single" w:sz="4" w:space="0" w:color="auto"/>
            </w:tcBorders>
            <w:shd w:val="clear" w:color="auto" w:fill="auto"/>
            <w:noWrap/>
            <w:vAlign w:val="center"/>
            <w:hideMark/>
          </w:tcPr>
          <w:p w14:paraId="4033DD0B"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405</w:t>
            </w:r>
          </w:p>
        </w:tc>
        <w:tc>
          <w:tcPr>
            <w:tcW w:w="1188" w:type="dxa"/>
            <w:tcBorders>
              <w:top w:val="nil"/>
              <w:left w:val="nil"/>
              <w:bottom w:val="single" w:sz="4" w:space="0" w:color="auto"/>
              <w:right w:val="single" w:sz="4" w:space="0" w:color="auto"/>
            </w:tcBorders>
            <w:shd w:val="clear" w:color="auto" w:fill="auto"/>
            <w:noWrap/>
            <w:vAlign w:val="center"/>
            <w:hideMark/>
          </w:tcPr>
          <w:p w14:paraId="20B3BDE6" w14:textId="77777777" w:rsidR="00942D11" w:rsidRPr="001B1818" w:rsidRDefault="00942D11" w:rsidP="003D68D1">
            <w:pPr>
              <w:spacing w:after="0" w:line="240" w:lineRule="auto"/>
              <w:jc w:val="right"/>
              <w:rPr>
                <w:rFonts w:cs="Arial"/>
                <w:color w:val="000000"/>
                <w:sz w:val="15"/>
                <w:szCs w:val="15"/>
                <w:lang w:eastAsia="en-AU"/>
              </w:rPr>
            </w:pPr>
            <w:r w:rsidRPr="001B1818">
              <w:rPr>
                <w:rFonts w:cs="Arial"/>
                <w:color w:val="000000"/>
                <w:sz w:val="15"/>
                <w:szCs w:val="15"/>
                <w:lang w:eastAsia="en-AU"/>
              </w:rPr>
              <w:t>4,531</w:t>
            </w:r>
          </w:p>
        </w:tc>
      </w:tr>
      <w:tr w:rsidR="00942D11" w:rsidRPr="001B1818" w14:paraId="2C28AEAC" w14:textId="77777777" w:rsidTr="00FE1263">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FC4D6DC" w14:textId="77777777" w:rsidR="00942D11" w:rsidRPr="001B1818" w:rsidRDefault="00942D11" w:rsidP="003D68D1">
            <w:pPr>
              <w:spacing w:after="0" w:line="240" w:lineRule="auto"/>
              <w:rPr>
                <w:rFonts w:cs="Arial"/>
                <w:b/>
                <w:bCs/>
                <w:color w:val="000000"/>
                <w:sz w:val="15"/>
                <w:szCs w:val="15"/>
                <w:lang w:eastAsia="en-AU"/>
              </w:rPr>
            </w:pPr>
            <w:r w:rsidRPr="001B1818">
              <w:rPr>
                <w:rFonts w:cs="Arial"/>
                <w:b/>
                <w:bCs/>
                <w:color w:val="000000"/>
                <w:sz w:val="15"/>
                <w:szCs w:val="15"/>
                <w:lang w:eastAsia="en-AU"/>
              </w:rPr>
              <w:t>Grand Total</w:t>
            </w:r>
          </w:p>
        </w:tc>
        <w:tc>
          <w:tcPr>
            <w:tcW w:w="1187" w:type="dxa"/>
            <w:tcBorders>
              <w:top w:val="nil"/>
              <w:left w:val="nil"/>
              <w:bottom w:val="single" w:sz="4" w:space="0" w:color="auto"/>
              <w:right w:val="single" w:sz="4" w:space="0" w:color="auto"/>
            </w:tcBorders>
            <w:shd w:val="clear" w:color="auto" w:fill="auto"/>
            <w:noWrap/>
            <w:vAlign w:val="center"/>
            <w:hideMark/>
          </w:tcPr>
          <w:p w14:paraId="1D739A2E" w14:textId="77777777" w:rsidR="00942D11" w:rsidRPr="001B1818" w:rsidRDefault="00942D11" w:rsidP="003D68D1">
            <w:pPr>
              <w:spacing w:after="0" w:line="240" w:lineRule="auto"/>
              <w:jc w:val="right"/>
              <w:rPr>
                <w:rFonts w:cs="Arial"/>
                <w:b/>
                <w:bCs/>
                <w:color w:val="000000"/>
                <w:sz w:val="15"/>
                <w:szCs w:val="15"/>
                <w:lang w:eastAsia="en-AU"/>
              </w:rPr>
            </w:pPr>
            <w:r w:rsidRPr="001B1818">
              <w:rPr>
                <w:rFonts w:cs="Arial"/>
                <w:b/>
                <w:bCs/>
                <w:color w:val="000000"/>
                <w:sz w:val="15"/>
                <w:szCs w:val="15"/>
                <w:lang w:eastAsia="en-AU"/>
              </w:rPr>
              <w:t>327,002</w:t>
            </w:r>
          </w:p>
        </w:tc>
        <w:tc>
          <w:tcPr>
            <w:tcW w:w="1188" w:type="dxa"/>
            <w:tcBorders>
              <w:top w:val="nil"/>
              <w:left w:val="nil"/>
              <w:bottom w:val="single" w:sz="4" w:space="0" w:color="auto"/>
              <w:right w:val="single" w:sz="4" w:space="0" w:color="auto"/>
            </w:tcBorders>
            <w:shd w:val="clear" w:color="auto" w:fill="auto"/>
            <w:noWrap/>
            <w:vAlign w:val="center"/>
            <w:hideMark/>
          </w:tcPr>
          <w:p w14:paraId="76EE8B88" w14:textId="77777777" w:rsidR="00942D11" w:rsidRPr="001B1818" w:rsidRDefault="00942D11" w:rsidP="003D68D1">
            <w:pPr>
              <w:spacing w:after="0" w:line="240" w:lineRule="auto"/>
              <w:jc w:val="right"/>
              <w:rPr>
                <w:rFonts w:cs="Arial"/>
                <w:b/>
                <w:bCs/>
                <w:color w:val="000000"/>
                <w:sz w:val="15"/>
                <w:szCs w:val="15"/>
                <w:lang w:eastAsia="en-AU"/>
              </w:rPr>
            </w:pPr>
            <w:r w:rsidRPr="001B1818">
              <w:rPr>
                <w:rFonts w:cs="Arial"/>
                <w:b/>
                <w:bCs/>
                <w:color w:val="000000"/>
                <w:sz w:val="15"/>
                <w:szCs w:val="15"/>
                <w:lang w:eastAsia="en-AU"/>
              </w:rPr>
              <w:t>41,657</w:t>
            </w:r>
          </w:p>
        </w:tc>
        <w:tc>
          <w:tcPr>
            <w:tcW w:w="1188" w:type="dxa"/>
            <w:tcBorders>
              <w:top w:val="nil"/>
              <w:left w:val="nil"/>
              <w:bottom w:val="single" w:sz="4" w:space="0" w:color="auto"/>
              <w:right w:val="single" w:sz="4" w:space="0" w:color="auto"/>
            </w:tcBorders>
            <w:shd w:val="clear" w:color="auto" w:fill="auto"/>
            <w:noWrap/>
            <w:vAlign w:val="center"/>
            <w:hideMark/>
          </w:tcPr>
          <w:p w14:paraId="386BE2C8" w14:textId="77777777" w:rsidR="00942D11" w:rsidRPr="001B1818" w:rsidRDefault="00942D11" w:rsidP="003D68D1">
            <w:pPr>
              <w:spacing w:after="0" w:line="240" w:lineRule="auto"/>
              <w:jc w:val="right"/>
              <w:rPr>
                <w:rFonts w:cs="Arial"/>
                <w:b/>
                <w:bCs/>
                <w:color w:val="000000"/>
                <w:sz w:val="15"/>
                <w:szCs w:val="15"/>
                <w:lang w:eastAsia="en-AU"/>
              </w:rPr>
            </w:pPr>
            <w:r w:rsidRPr="001B1818">
              <w:rPr>
                <w:rFonts w:cs="Arial"/>
                <w:b/>
                <w:bCs/>
                <w:color w:val="000000"/>
                <w:sz w:val="15"/>
                <w:szCs w:val="15"/>
                <w:lang w:eastAsia="en-AU"/>
              </w:rPr>
              <w:t>279</w:t>
            </w:r>
          </w:p>
        </w:tc>
        <w:tc>
          <w:tcPr>
            <w:tcW w:w="1188" w:type="dxa"/>
            <w:tcBorders>
              <w:top w:val="nil"/>
              <w:left w:val="nil"/>
              <w:bottom w:val="single" w:sz="4" w:space="0" w:color="auto"/>
              <w:right w:val="single" w:sz="4" w:space="0" w:color="auto"/>
            </w:tcBorders>
            <w:shd w:val="clear" w:color="auto" w:fill="auto"/>
            <w:noWrap/>
            <w:vAlign w:val="center"/>
            <w:hideMark/>
          </w:tcPr>
          <w:p w14:paraId="1DE7EE98" w14:textId="77777777" w:rsidR="00942D11" w:rsidRPr="001B1818" w:rsidRDefault="00942D11" w:rsidP="003D68D1">
            <w:pPr>
              <w:spacing w:after="0" w:line="240" w:lineRule="auto"/>
              <w:jc w:val="right"/>
              <w:rPr>
                <w:rFonts w:cs="Arial"/>
                <w:b/>
                <w:bCs/>
                <w:color w:val="000000"/>
                <w:sz w:val="15"/>
                <w:szCs w:val="15"/>
                <w:lang w:eastAsia="en-AU"/>
              </w:rPr>
            </w:pPr>
            <w:r w:rsidRPr="001B1818">
              <w:rPr>
                <w:rFonts w:cs="Arial"/>
                <w:b/>
                <w:bCs/>
                <w:color w:val="000000"/>
                <w:sz w:val="15"/>
                <w:szCs w:val="15"/>
                <w:lang w:eastAsia="en-AU"/>
              </w:rPr>
              <w:t>14,605</w:t>
            </w:r>
          </w:p>
        </w:tc>
        <w:tc>
          <w:tcPr>
            <w:tcW w:w="1188" w:type="dxa"/>
            <w:tcBorders>
              <w:top w:val="nil"/>
              <w:left w:val="nil"/>
              <w:bottom w:val="single" w:sz="4" w:space="0" w:color="auto"/>
              <w:right w:val="single" w:sz="4" w:space="0" w:color="auto"/>
            </w:tcBorders>
            <w:shd w:val="clear" w:color="auto" w:fill="auto"/>
            <w:noWrap/>
            <w:vAlign w:val="center"/>
            <w:hideMark/>
          </w:tcPr>
          <w:p w14:paraId="65B9122F" w14:textId="77777777" w:rsidR="00942D11" w:rsidRPr="001B1818" w:rsidRDefault="00942D11" w:rsidP="003D68D1">
            <w:pPr>
              <w:spacing w:after="0" w:line="240" w:lineRule="auto"/>
              <w:jc w:val="right"/>
              <w:rPr>
                <w:rFonts w:cs="Arial"/>
                <w:b/>
                <w:bCs/>
                <w:color w:val="000000"/>
                <w:sz w:val="15"/>
                <w:szCs w:val="15"/>
                <w:lang w:eastAsia="en-AU"/>
              </w:rPr>
            </w:pPr>
            <w:r w:rsidRPr="001B1818">
              <w:rPr>
                <w:rFonts w:cs="Arial"/>
                <w:b/>
                <w:bCs/>
                <w:color w:val="000000"/>
                <w:sz w:val="15"/>
                <w:szCs w:val="15"/>
                <w:lang w:eastAsia="en-AU"/>
              </w:rPr>
              <w:t>383,544</w:t>
            </w:r>
          </w:p>
        </w:tc>
        <w:tc>
          <w:tcPr>
            <w:tcW w:w="1187" w:type="dxa"/>
            <w:tcBorders>
              <w:top w:val="nil"/>
              <w:left w:val="nil"/>
              <w:bottom w:val="single" w:sz="4" w:space="0" w:color="auto"/>
              <w:right w:val="single" w:sz="4" w:space="0" w:color="auto"/>
            </w:tcBorders>
            <w:shd w:val="clear" w:color="auto" w:fill="auto"/>
            <w:noWrap/>
            <w:vAlign w:val="center"/>
            <w:hideMark/>
          </w:tcPr>
          <w:p w14:paraId="07FB9488" w14:textId="77777777" w:rsidR="00942D11" w:rsidRPr="001B1818" w:rsidRDefault="00942D11" w:rsidP="003D68D1">
            <w:pPr>
              <w:spacing w:after="0" w:line="240" w:lineRule="auto"/>
              <w:jc w:val="right"/>
              <w:rPr>
                <w:rFonts w:cs="Arial"/>
                <w:b/>
                <w:bCs/>
                <w:color w:val="000000"/>
                <w:sz w:val="15"/>
                <w:szCs w:val="15"/>
                <w:lang w:eastAsia="en-AU"/>
              </w:rPr>
            </w:pPr>
            <w:r w:rsidRPr="001B1818">
              <w:rPr>
                <w:rFonts w:cs="Arial"/>
                <w:b/>
                <w:bCs/>
                <w:color w:val="000000"/>
                <w:sz w:val="15"/>
                <w:szCs w:val="15"/>
                <w:lang w:eastAsia="en-AU"/>
              </w:rPr>
              <w:t>333,845</w:t>
            </w:r>
          </w:p>
        </w:tc>
        <w:tc>
          <w:tcPr>
            <w:tcW w:w="1188" w:type="dxa"/>
            <w:tcBorders>
              <w:top w:val="nil"/>
              <w:left w:val="nil"/>
              <w:bottom w:val="single" w:sz="4" w:space="0" w:color="auto"/>
              <w:right w:val="single" w:sz="4" w:space="0" w:color="auto"/>
            </w:tcBorders>
            <w:shd w:val="clear" w:color="auto" w:fill="auto"/>
            <w:noWrap/>
            <w:vAlign w:val="center"/>
            <w:hideMark/>
          </w:tcPr>
          <w:p w14:paraId="597DD7C2" w14:textId="77777777" w:rsidR="00942D11" w:rsidRPr="001B1818" w:rsidRDefault="00942D11" w:rsidP="003D68D1">
            <w:pPr>
              <w:spacing w:after="0" w:line="240" w:lineRule="auto"/>
              <w:jc w:val="right"/>
              <w:rPr>
                <w:rFonts w:cs="Arial"/>
                <w:b/>
                <w:bCs/>
                <w:color w:val="000000"/>
                <w:sz w:val="15"/>
                <w:szCs w:val="15"/>
                <w:lang w:eastAsia="en-AU"/>
              </w:rPr>
            </w:pPr>
            <w:r w:rsidRPr="001B1818">
              <w:rPr>
                <w:rFonts w:cs="Arial"/>
                <w:b/>
                <w:bCs/>
                <w:color w:val="000000"/>
                <w:sz w:val="15"/>
                <w:szCs w:val="15"/>
                <w:lang w:eastAsia="en-AU"/>
              </w:rPr>
              <w:t>42,675</w:t>
            </w:r>
          </w:p>
        </w:tc>
        <w:tc>
          <w:tcPr>
            <w:tcW w:w="1188" w:type="dxa"/>
            <w:tcBorders>
              <w:top w:val="nil"/>
              <w:left w:val="nil"/>
              <w:bottom w:val="single" w:sz="4" w:space="0" w:color="auto"/>
              <w:right w:val="single" w:sz="4" w:space="0" w:color="auto"/>
            </w:tcBorders>
            <w:shd w:val="clear" w:color="auto" w:fill="auto"/>
            <w:noWrap/>
            <w:vAlign w:val="center"/>
            <w:hideMark/>
          </w:tcPr>
          <w:p w14:paraId="4BCB09B7" w14:textId="77777777" w:rsidR="00942D11" w:rsidRPr="001B1818" w:rsidRDefault="00942D11" w:rsidP="003D68D1">
            <w:pPr>
              <w:spacing w:after="0" w:line="240" w:lineRule="auto"/>
              <w:jc w:val="right"/>
              <w:rPr>
                <w:rFonts w:cs="Arial"/>
                <w:b/>
                <w:bCs/>
                <w:color w:val="000000"/>
                <w:sz w:val="15"/>
                <w:szCs w:val="15"/>
                <w:lang w:eastAsia="en-AU"/>
              </w:rPr>
            </w:pPr>
            <w:r w:rsidRPr="001B1818">
              <w:rPr>
                <w:rFonts w:cs="Arial"/>
                <w:b/>
                <w:bCs/>
                <w:color w:val="000000"/>
                <w:sz w:val="15"/>
                <w:szCs w:val="15"/>
                <w:lang w:eastAsia="en-AU"/>
              </w:rPr>
              <w:t>286</w:t>
            </w:r>
          </w:p>
        </w:tc>
        <w:tc>
          <w:tcPr>
            <w:tcW w:w="1188" w:type="dxa"/>
            <w:tcBorders>
              <w:top w:val="nil"/>
              <w:left w:val="nil"/>
              <w:bottom w:val="single" w:sz="4" w:space="0" w:color="auto"/>
              <w:right w:val="single" w:sz="4" w:space="0" w:color="auto"/>
            </w:tcBorders>
            <w:shd w:val="clear" w:color="auto" w:fill="auto"/>
            <w:noWrap/>
            <w:vAlign w:val="center"/>
            <w:hideMark/>
          </w:tcPr>
          <w:p w14:paraId="47407BF6" w14:textId="77777777" w:rsidR="00942D11" w:rsidRPr="001B1818" w:rsidRDefault="00942D11" w:rsidP="003D68D1">
            <w:pPr>
              <w:spacing w:after="0" w:line="240" w:lineRule="auto"/>
              <w:jc w:val="right"/>
              <w:rPr>
                <w:rFonts w:cs="Arial"/>
                <w:b/>
                <w:bCs/>
                <w:color w:val="000000"/>
                <w:sz w:val="15"/>
                <w:szCs w:val="15"/>
                <w:lang w:eastAsia="en-AU"/>
              </w:rPr>
            </w:pPr>
            <w:r w:rsidRPr="001B1818">
              <w:rPr>
                <w:rFonts w:cs="Arial"/>
                <w:b/>
                <w:bCs/>
                <w:color w:val="000000"/>
                <w:sz w:val="15"/>
                <w:szCs w:val="15"/>
                <w:lang w:eastAsia="en-AU"/>
              </w:rPr>
              <w:t>14,673</w:t>
            </w:r>
          </w:p>
        </w:tc>
        <w:tc>
          <w:tcPr>
            <w:tcW w:w="1188" w:type="dxa"/>
            <w:tcBorders>
              <w:top w:val="nil"/>
              <w:left w:val="nil"/>
              <w:bottom w:val="single" w:sz="4" w:space="0" w:color="auto"/>
              <w:right w:val="single" w:sz="4" w:space="0" w:color="auto"/>
            </w:tcBorders>
            <w:shd w:val="clear" w:color="auto" w:fill="auto"/>
            <w:noWrap/>
            <w:vAlign w:val="center"/>
            <w:hideMark/>
          </w:tcPr>
          <w:p w14:paraId="0FE054FA" w14:textId="77777777" w:rsidR="00942D11" w:rsidRPr="001B1818" w:rsidRDefault="00942D11" w:rsidP="003D68D1">
            <w:pPr>
              <w:spacing w:after="0" w:line="240" w:lineRule="auto"/>
              <w:jc w:val="right"/>
              <w:rPr>
                <w:rFonts w:cs="Arial"/>
                <w:b/>
                <w:bCs/>
                <w:color w:val="000000"/>
                <w:sz w:val="15"/>
                <w:szCs w:val="15"/>
                <w:lang w:eastAsia="en-AU"/>
              </w:rPr>
            </w:pPr>
            <w:r w:rsidRPr="001B1818">
              <w:rPr>
                <w:rFonts w:cs="Arial"/>
                <w:b/>
                <w:bCs/>
                <w:color w:val="000000"/>
                <w:sz w:val="15"/>
                <w:szCs w:val="15"/>
                <w:lang w:eastAsia="en-AU"/>
              </w:rPr>
              <w:t>391,479</w:t>
            </w:r>
          </w:p>
        </w:tc>
      </w:tr>
    </w:tbl>
    <w:p w14:paraId="5D0A93DA" w14:textId="3709ED83" w:rsidR="00942D11" w:rsidRDefault="00942D11" w:rsidP="00942D11">
      <w:pPr>
        <w:pStyle w:val="Body"/>
      </w:pPr>
    </w:p>
    <w:p w14:paraId="12E999E7" w14:textId="77777777" w:rsidR="00942D11" w:rsidRDefault="00942D11" w:rsidP="00942D11">
      <w:pPr>
        <w:pStyle w:val="Body"/>
      </w:pPr>
    </w:p>
    <w:p w14:paraId="6FF1F35C" w14:textId="77777777" w:rsidR="00942D11" w:rsidRPr="00942D11" w:rsidRDefault="00942D11" w:rsidP="00977693">
      <w:pPr>
        <w:pStyle w:val="Body"/>
      </w:pPr>
    </w:p>
    <w:p w14:paraId="4AF808C5" w14:textId="53C37247" w:rsidR="000B27B9" w:rsidRPr="00977693" w:rsidRDefault="000B27B9" w:rsidP="00081936">
      <w:pPr>
        <w:pStyle w:val="Heading3"/>
        <w:numPr>
          <w:ilvl w:val="2"/>
          <w:numId w:val="33"/>
        </w:numPr>
        <w:spacing w:before="240" w:line="240" w:lineRule="auto"/>
        <w:ind w:left="1134"/>
      </w:pPr>
      <w:bookmarkStart w:id="1015" w:name="_Toc144905667"/>
      <w:bookmarkStart w:id="1016" w:name="_Toc144905668"/>
      <w:bookmarkStart w:id="1017" w:name="_Toc12780658"/>
      <w:bookmarkStart w:id="1018" w:name="_Toc14172299"/>
      <w:bookmarkStart w:id="1019" w:name="_Toc33703973"/>
      <w:bookmarkStart w:id="1020" w:name="_Toc55381161"/>
      <w:bookmarkStart w:id="1021" w:name="_Toc100263367"/>
      <w:bookmarkStart w:id="1022" w:name="_Toc156569691"/>
      <w:bookmarkEnd w:id="1015"/>
      <w:bookmarkEnd w:id="1016"/>
      <w:r w:rsidRPr="00977693">
        <w:lastRenderedPageBreak/>
        <w:t>Activity</w:t>
      </w:r>
      <w:r w:rsidR="00251A30" w:rsidRPr="00977693">
        <w:t>-</w:t>
      </w:r>
      <w:r w:rsidR="002563EA" w:rsidRPr="00977693">
        <w:t>based funding: health service expenditure budgets 2022–23 and 2023–24 by service category</w:t>
      </w:r>
      <w:bookmarkEnd w:id="1017"/>
      <w:bookmarkEnd w:id="1018"/>
      <w:bookmarkEnd w:id="1019"/>
      <w:bookmarkEnd w:id="1020"/>
      <w:bookmarkEnd w:id="1021"/>
      <w:bookmarkEnd w:id="1022"/>
    </w:p>
    <w:p w14:paraId="28754C47" w14:textId="49E73342" w:rsidR="000B27B9" w:rsidRPr="00216EF2" w:rsidRDefault="000B27B9" w:rsidP="00685B35">
      <w:pPr>
        <w:pStyle w:val="Tablefigurenote9pt"/>
        <w:keepNext/>
        <w:keepLines/>
        <w:spacing w:line="240" w:lineRule="auto"/>
      </w:pPr>
      <w:r w:rsidRPr="00216EF2">
        <w:t>Notes:</w:t>
      </w:r>
    </w:p>
    <w:p w14:paraId="36FC0A0C" w14:textId="2191C899" w:rsidR="000B27B9" w:rsidRPr="00216EF2" w:rsidRDefault="000B27B9" w:rsidP="00081936">
      <w:pPr>
        <w:pStyle w:val="Tablenoteroman"/>
        <w:keepNext/>
        <w:keepLines/>
        <w:numPr>
          <w:ilvl w:val="0"/>
          <w:numId w:val="32"/>
        </w:numPr>
        <w:spacing w:line="240" w:lineRule="auto"/>
        <w:rPr>
          <w:rFonts w:cs="Arial"/>
        </w:rPr>
      </w:pPr>
      <w:r w:rsidRPr="00216EF2">
        <w:rPr>
          <w:rFonts w:cs="Arial"/>
        </w:rPr>
        <w:t>This table shows (</w:t>
      </w:r>
      <w:r w:rsidR="007F4B26" w:rsidRPr="00216EF2">
        <w:rPr>
          <w:rFonts w:cs="Arial"/>
        </w:rPr>
        <w:t>S</w:t>
      </w:r>
      <w:r w:rsidRPr="00216EF2">
        <w:rPr>
          <w:rFonts w:cs="Arial"/>
        </w:rPr>
        <w:t xml:space="preserve">tate and Commonwealth) funding flowed through the National Health Funding Pool to </w:t>
      </w:r>
      <w:r w:rsidR="00080DD0" w:rsidRPr="00216EF2">
        <w:rPr>
          <w:rFonts w:cs="Arial"/>
        </w:rPr>
        <w:t>activity</w:t>
      </w:r>
      <w:r w:rsidRPr="00216EF2">
        <w:rPr>
          <w:rFonts w:cs="Arial"/>
        </w:rPr>
        <w:t xml:space="preserve"> funding.</w:t>
      </w:r>
    </w:p>
    <w:p w14:paraId="7E1A486B" w14:textId="77777777" w:rsidR="000B27B9" w:rsidRPr="00CC0DD6" w:rsidRDefault="000B27B9" w:rsidP="00081936">
      <w:pPr>
        <w:pStyle w:val="Tablenoteroman"/>
        <w:keepNext/>
        <w:keepLines/>
        <w:numPr>
          <w:ilvl w:val="0"/>
          <w:numId w:val="32"/>
        </w:numPr>
        <w:spacing w:line="240" w:lineRule="auto"/>
        <w:rPr>
          <w:rFonts w:cs="Arial"/>
        </w:rPr>
      </w:pPr>
      <w:r w:rsidRPr="00CC0DD6">
        <w:rPr>
          <w:rFonts w:cs="Arial"/>
        </w:rPr>
        <w:t>This table does not include public hospital services provided by small rural health services or non-health service organisations.</w:t>
      </w:r>
    </w:p>
    <w:p w14:paraId="4529DC90" w14:textId="0C03F81F" w:rsidR="007477FA" w:rsidRPr="007477FA" w:rsidRDefault="007477FA" w:rsidP="00081936">
      <w:pPr>
        <w:pStyle w:val="ListParagraph"/>
        <w:keepNext/>
        <w:keepLines/>
        <w:numPr>
          <w:ilvl w:val="0"/>
          <w:numId w:val="32"/>
        </w:numPr>
        <w:rPr>
          <w:rFonts w:ascii="Arial" w:eastAsia="Times" w:hAnsi="Arial" w:cs="Arial"/>
          <w:sz w:val="18"/>
        </w:rPr>
      </w:pPr>
      <w:r w:rsidRPr="007477FA">
        <w:rPr>
          <w:rFonts w:ascii="Arial" w:eastAsia="Times" w:hAnsi="Arial" w:cs="Arial"/>
          <w:sz w:val="18"/>
        </w:rPr>
        <w:t>Grampians Health, activity relating to Edenhope is classified as ‘Small Rural Health service’ activity and is consolidated into Acute admitted activity.  This reflects the amalgamation of Edenhope with Grampians Health in 2021</w:t>
      </w:r>
      <w:r w:rsidR="002563EA">
        <w:rPr>
          <w:rFonts w:ascii="Arial" w:eastAsia="Times" w:hAnsi="Arial" w:cs="Arial"/>
          <w:sz w:val="18"/>
        </w:rPr>
        <w:t>–</w:t>
      </w:r>
      <w:r w:rsidRPr="007477FA">
        <w:rPr>
          <w:rFonts w:ascii="Arial" w:eastAsia="Times" w:hAnsi="Arial" w:cs="Arial"/>
          <w:sz w:val="18"/>
        </w:rPr>
        <w:t>22.</w:t>
      </w:r>
    </w:p>
    <w:p w14:paraId="2E7A1CD2" w14:textId="67490503" w:rsidR="007477FA" w:rsidRPr="003A7413" w:rsidRDefault="003A7413" w:rsidP="00081936">
      <w:pPr>
        <w:pStyle w:val="Tablenoteroman"/>
        <w:keepNext/>
        <w:keepLines/>
        <w:numPr>
          <w:ilvl w:val="0"/>
          <w:numId w:val="32"/>
        </w:numPr>
        <w:spacing w:line="240" w:lineRule="auto"/>
        <w:rPr>
          <w:rFonts w:cs="Arial"/>
        </w:rPr>
      </w:pPr>
      <w:r w:rsidRPr="003A7413">
        <w:rPr>
          <w:rFonts w:cs="Arial"/>
        </w:rPr>
        <w:t xml:space="preserve">Activity related to ‘Other non-admitted services’ and ‘Non admitted </w:t>
      </w:r>
      <w:r w:rsidR="002563EA">
        <w:rPr>
          <w:rFonts w:cs="Arial"/>
        </w:rPr>
        <w:t>h</w:t>
      </w:r>
      <w:r w:rsidR="002563EA" w:rsidRPr="003A7413">
        <w:rPr>
          <w:rFonts w:cs="Arial"/>
        </w:rPr>
        <w:t xml:space="preserve">ome </w:t>
      </w:r>
      <w:r w:rsidR="002563EA">
        <w:rPr>
          <w:rFonts w:cs="Arial"/>
        </w:rPr>
        <w:t>v</w:t>
      </w:r>
      <w:r w:rsidR="002563EA" w:rsidRPr="003A7413">
        <w:rPr>
          <w:rFonts w:cs="Arial"/>
        </w:rPr>
        <w:t xml:space="preserve">entilation’ </w:t>
      </w:r>
      <w:r w:rsidRPr="003A7413">
        <w:rPr>
          <w:rFonts w:cs="Arial"/>
        </w:rPr>
        <w:t xml:space="preserve">is consolidated with </w:t>
      </w:r>
      <w:r w:rsidR="002563EA">
        <w:rPr>
          <w:rFonts w:cs="Arial"/>
        </w:rPr>
        <w:t>‘</w:t>
      </w:r>
      <w:r w:rsidRPr="003A7413">
        <w:rPr>
          <w:rFonts w:cs="Arial"/>
        </w:rPr>
        <w:t xml:space="preserve">Acute </w:t>
      </w:r>
      <w:r w:rsidR="002563EA" w:rsidRPr="003A7413">
        <w:rPr>
          <w:rFonts w:cs="Arial"/>
        </w:rPr>
        <w:t>non-admitted patients</w:t>
      </w:r>
      <w:r w:rsidR="002563EA">
        <w:rPr>
          <w:rFonts w:cs="Arial"/>
        </w:rPr>
        <w:t>’</w:t>
      </w:r>
      <w:r>
        <w:rPr>
          <w:rFonts w:cs="Arial"/>
        </w:rPr>
        <w:t>.</w:t>
      </w:r>
    </w:p>
    <w:p w14:paraId="67A521A9" w14:textId="77777777" w:rsidR="000B27B9" w:rsidRPr="00216EF2" w:rsidRDefault="000B27B9" w:rsidP="00081936">
      <w:pPr>
        <w:pStyle w:val="Tablenoteroman"/>
        <w:numPr>
          <w:ilvl w:val="0"/>
          <w:numId w:val="32"/>
        </w:numPr>
        <w:spacing w:line="240" w:lineRule="auto"/>
        <w:rPr>
          <w:rFonts w:cs="Arial"/>
        </w:rPr>
      </w:pPr>
      <w:r w:rsidRPr="00216EF2">
        <w:rPr>
          <w:rFonts w:cs="Arial"/>
        </w:rPr>
        <w:t>Subtotals and totals may not add up due to rounding.</w:t>
      </w:r>
    </w:p>
    <w:p w14:paraId="45094D13" w14:textId="2511DD7A" w:rsidR="000B27B9" w:rsidRPr="001D69B6" w:rsidRDefault="000B27B9" w:rsidP="000E08EF">
      <w:pPr>
        <w:pStyle w:val="Tablecaption"/>
      </w:pPr>
      <w:bookmarkStart w:id="1023" w:name="_Ref485757837"/>
      <w:bookmarkStart w:id="1024" w:name="_Ref423037493"/>
      <w:bookmarkStart w:id="1025" w:name="_Toc12780562"/>
      <w:bookmarkStart w:id="1026" w:name="_Toc14194818"/>
      <w:bookmarkStart w:id="1027" w:name="_Toc33703999"/>
      <w:bookmarkStart w:id="1028" w:name="_Toc109894129"/>
      <w:bookmarkStart w:id="1029" w:name="_Toc156568680"/>
      <w:r w:rsidRPr="00216EF2">
        <w:t xml:space="preserve">Table </w:t>
      </w:r>
      <w:r>
        <w:fldChar w:fldCharType="begin"/>
      </w:r>
      <w:r>
        <w:instrText>STYLEREF 1 \s</w:instrText>
      </w:r>
      <w:r>
        <w:fldChar w:fldCharType="separate"/>
      </w:r>
      <w:r w:rsidR="00892F13">
        <w:rPr>
          <w:noProof/>
        </w:rPr>
        <w:t>2</w:t>
      </w:r>
      <w:r>
        <w:fldChar w:fldCharType="end"/>
      </w:r>
      <w:r w:rsidR="00742C12">
        <w:t>.</w:t>
      </w:r>
      <w:r>
        <w:fldChar w:fldCharType="begin"/>
      </w:r>
      <w:r>
        <w:instrText>SEQ Table \* ARABIC \s 1</w:instrText>
      </w:r>
      <w:r>
        <w:fldChar w:fldCharType="separate"/>
      </w:r>
      <w:r w:rsidR="00892F13">
        <w:rPr>
          <w:noProof/>
        </w:rPr>
        <w:t>3</w:t>
      </w:r>
      <w:r>
        <w:fldChar w:fldCharType="end"/>
      </w:r>
      <w:bookmarkEnd w:id="1023"/>
      <w:r w:rsidRPr="00216EF2">
        <w:t xml:space="preserve">: </w:t>
      </w:r>
      <w:bookmarkEnd w:id="1024"/>
      <w:r w:rsidRPr="00216EF2">
        <w:t xml:space="preserve">Activity-based funding: Health service expenditure budgets </w:t>
      </w:r>
      <w:r w:rsidR="005D1FCB" w:rsidRPr="00216EF2">
        <w:t>202</w:t>
      </w:r>
      <w:r w:rsidR="0006081C">
        <w:t>2</w:t>
      </w:r>
      <w:r w:rsidR="003D518F" w:rsidRPr="00216EF2">
        <w:t>–</w:t>
      </w:r>
      <w:r w:rsidR="005D1FCB" w:rsidRPr="00216EF2">
        <w:t>2</w:t>
      </w:r>
      <w:r w:rsidR="0006081C">
        <w:t>3</w:t>
      </w:r>
      <w:r w:rsidR="005D1FCB" w:rsidRPr="00216EF2">
        <w:t xml:space="preserve"> and 202</w:t>
      </w:r>
      <w:r w:rsidR="0006081C">
        <w:t>3</w:t>
      </w:r>
      <w:r w:rsidR="003D518F" w:rsidRPr="00216EF2">
        <w:t>–</w:t>
      </w:r>
      <w:r w:rsidR="005D1FCB" w:rsidRPr="00216EF2">
        <w:t>2</w:t>
      </w:r>
      <w:r w:rsidR="0006081C">
        <w:t>4</w:t>
      </w:r>
      <w:r w:rsidR="005D1FCB" w:rsidRPr="00216EF2">
        <w:t xml:space="preserve"> </w:t>
      </w:r>
      <w:r w:rsidRPr="00216EF2">
        <w:t>by service category</w:t>
      </w:r>
      <w:bookmarkEnd w:id="1025"/>
      <w:bookmarkEnd w:id="1026"/>
      <w:bookmarkEnd w:id="1027"/>
      <w:bookmarkEnd w:id="1028"/>
      <w:bookmarkEnd w:id="1029"/>
    </w:p>
    <w:p w14:paraId="2A84FE02" w14:textId="671A57E8" w:rsidR="00942D11" w:rsidRDefault="0077295B" w:rsidP="00685B35">
      <w:pPr>
        <w:pStyle w:val="Body"/>
        <w:keepNext/>
        <w:keepLines/>
        <w:spacing w:line="240" w:lineRule="auto"/>
      </w:pPr>
      <w:bookmarkStart w:id="1030" w:name="_Toc12780659"/>
      <w:bookmarkStart w:id="1031" w:name="_Toc14172300"/>
      <w:bookmarkStart w:id="1032" w:name="_Toc33703974"/>
      <w:bookmarkStart w:id="1033" w:name="_Toc55381162"/>
      <w:bookmarkStart w:id="1034" w:name="_Toc100263368"/>
      <w:r>
        <w:t>Metropolitan and regional</w:t>
      </w:r>
      <w:r w:rsidR="002563EA">
        <w:t xml:space="preserve"> – $</w:t>
      </w:r>
      <w:r w:rsidR="001D5765">
        <w:t>’</w:t>
      </w:r>
      <w:r w:rsidR="002563EA">
        <w:t>000s</w:t>
      </w:r>
    </w:p>
    <w:tbl>
      <w:tblPr>
        <w:tblW w:w="15172" w:type="dxa"/>
        <w:tblInd w:w="-289" w:type="dxa"/>
        <w:tblLayout w:type="fixed"/>
        <w:tblLook w:val="04A0" w:firstRow="1" w:lastRow="0" w:firstColumn="1" w:lastColumn="0" w:noHBand="0" w:noVBand="1"/>
      </w:tblPr>
      <w:tblGrid>
        <w:gridCol w:w="1588"/>
        <w:gridCol w:w="970"/>
        <w:gridCol w:w="970"/>
        <w:gridCol w:w="970"/>
        <w:gridCol w:w="971"/>
        <w:gridCol w:w="970"/>
        <w:gridCol w:w="970"/>
        <w:gridCol w:w="971"/>
        <w:gridCol w:w="970"/>
        <w:gridCol w:w="970"/>
        <w:gridCol w:w="970"/>
        <w:gridCol w:w="971"/>
        <w:gridCol w:w="970"/>
        <w:gridCol w:w="970"/>
        <w:gridCol w:w="971"/>
      </w:tblGrid>
      <w:tr w:rsidR="007D1F76" w:rsidRPr="00A2223A" w14:paraId="4587E4E8" w14:textId="77777777" w:rsidTr="00FE1263">
        <w:trPr>
          <w:trHeight w:val="900"/>
          <w:tblHeader/>
        </w:trPr>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78AA2971" w14:textId="77777777" w:rsidR="00977693" w:rsidRPr="00A2223A" w:rsidRDefault="00977693" w:rsidP="003D68D1">
            <w:pPr>
              <w:spacing w:after="0" w:line="240" w:lineRule="auto"/>
              <w:rPr>
                <w:rFonts w:cs="Arial"/>
                <w:b/>
                <w:bCs/>
                <w:color w:val="53565A"/>
                <w:sz w:val="16"/>
                <w:szCs w:val="16"/>
                <w:lang w:eastAsia="en-AU"/>
              </w:rPr>
            </w:pPr>
            <w:r w:rsidRPr="00A2223A">
              <w:rPr>
                <w:rFonts w:cs="Arial"/>
                <w:b/>
                <w:bCs/>
                <w:color w:val="53565A"/>
                <w:sz w:val="16"/>
                <w:szCs w:val="16"/>
                <w:lang w:eastAsia="en-AU"/>
              </w:rPr>
              <w:t>Health Service</w:t>
            </w:r>
          </w:p>
        </w:tc>
        <w:tc>
          <w:tcPr>
            <w:tcW w:w="970" w:type="dxa"/>
            <w:tcBorders>
              <w:top w:val="single" w:sz="4" w:space="0" w:color="auto"/>
              <w:left w:val="nil"/>
              <w:bottom w:val="single" w:sz="4" w:space="0" w:color="auto"/>
              <w:right w:val="single" w:sz="4" w:space="0" w:color="auto"/>
            </w:tcBorders>
            <w:shd w:val="clear" w:color="auto" w:fill="auto"/>
            <w:hideMark/>
          </w:tcPr>
          <w:p w14:paraId="3304C39F" w14:textId="77777777" w:rsidR="00977693" w:rsidRPr="00A2223A" w:rsidRDefault="0097769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2022–23</w:t>
            </w:r>
            <w:r w:rsidRPr="00A2223A">
              <w:rPr>
                <w:rFonts w:cs="Arial"/>
                <w:b/>
                <w:bCs/>
                <w:color w:val="53565A"/>
                <w:sz w:val="16"/>
                <w:szCs w:val="16"/>
                <w:lang w:eastAsia="en-AU"/>
              </w:rPr>
              <w:br/>
              <w:t>Total</w:t>
            </w:r>
          </w:p>
        </w:tc>
        <w:tc>
          <w:tcPr>
            <w:tcW w:w="970" w:type="dxa"/>
            <w:tcBorders>
              <w:top w:val="single" w:sz="4" w:space="0" w:color="auto"/>
              <w:left w:val="nil"/>
              <w:bottom w:val="single" w:sz="4" w:space="0" w:color="auto"/>
              <w:right w:val="single" w:sz="4" w:space="0" w:color="auto"/>
            </w:tcBorders>
            <w:shd w:val="clear" w:color="auto" w:fill="auto"/>
            <w:hideMark/>
          </w:tcPr>
          <w:p w14:paraId="58D17012" w14:textId="77777777" w:rsidR="00977693" w:rsidRPr="00A2223A" w:rsidRDefault="0097769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Acute admitted</w:t>
            </w:r>
          </w:p>
        </w:tc>
        <w:tc>
          <w:tcPr>
            <w:tcW w:w="970" w:type="dxa"/>
            <w:tcBorders>
              <w:top w:val="single" w:sz="4" w:space="0" w:color="auto"/>
              <w:left w:val="nil"/>
              <w:bottom w:val="single" w:sz="4" w:space="0" w:color="auto"/>
              <w:right w:val="single" w:sz="4" w:space="0" w:color="auto"/>
            </w:tcBorders>
            <w:shd w:val="clear" w:color="auto" w:fill="auto"/>
            <w:hideMark/>
          </w:tcPr>
          <w:p w14:paraId="75C53D0D" w14:textId="77777777" w:rsidR="00977693" w:rsidRPr="00A2223A" w:rsidRDefault="0097769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Acute non-admitted</w:t>
            </w:r>
          </w:p>
        </w:tc>
        <w:tc>
          <w:tcPr>
            <w:tcW w:w="971" w:type="dxa"/>
            <w:tcBorders>
              <w:top w:val="single" w:sz="4" w:space="0" w:color="auto"/>
              <w:left w:val="nil"/>
              <w:bottom w:val="single" w:sz="4" w:space="0" w:color="auto"/>
              <w:right w:val="single" w:sz="4" w:space="0" w:color="auto"/>
            </w:tcBorders>
            <w:shd w:val="clear" w:color="auto" w:fill="auto"/>
            <w:hideMark/>
          </w:tcPr>
          <w:p w14:paraId="2AC405BF" w14:textId="77777777" w:rsidR="00977693" w:rsidRPr="00A2223A" w:rsidRDefault="0097769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Emergency</w:t>
            </w:r>
          </w:p>
        </w:tc>
        <w:tc>
          <w:tcPr>
            <w:tcW w:w="970" w:type="dxa"/>
            <w:tcBorders>
              <w:top w:val="single" w:sz="4" w:space="0" w:color="auto"/>
              <w:left w:val="nil"/>
              <w:bottom w:val="single" w:sz="4" w:space="0" w:color="auto"/>
              <w:right w:val="single" w:sz="4" w:space="0" w:color="auto"/>
            </w:tcBorders>
            <w:shd w:val="clear" w:color="auto" w:fill="auto"/>
            <w:hideMark/>
          </w:tcPr>
          <w:p w14:paraId="3D1D4B20" w14:textId="77777777" w:rsidR="00977693" w:rsidRPr="00A2223A" w:rsidRDefault="0097769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Subacute</w:t>
            </w:r>
          </w:p>
        </w:tc>
        <w:tc>
          <w:tcPr>
            <w:tcW w:w="970" w:type="dxa"/>
            <w:tcBorders>
              <w:top w:val="single" w:sz="4" w:space="0" w:color="auto"/>
              <w:left w:val="nil"/>
              <w:bottom w:val="single" w:sz="4" w:space="0" w:color="auto"/>
              <w:right w:val="single" w:sz="4" w:space="0" w:color="auto"/>
            </w:tcBorders>
            <w:shd w:val="clear" w:color="auto" w:fill="auto"/>
            <w:hideMark/>
          </w:tcPr>
          <w:p w14:paraId="27D7E331" w14:textId="77777777" w:rsidR="00977693" w:rsidRPr="00A2223A" w:rsidRDefault="0097769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Subacute non-admitted</w:t>
            </w:r>
          </w:p>
        </w:tc>
        <w:tc>
          <w:tcPr>
            <w:tcW w:w="971" w:type="dxa"/>
            <w:tcBorders>
              <w:top w:val="single" w:sz="4" w:space="0" w:color="auto"/>
              <w:left w:val="nil"/>
              <w:bottom w:val="single" w:sz="4" w:space="0" w:color="auto"/>
              <w:right w:val="single" w:sz="4" w:space="0" w:color="auto"/>
            </w:tcBorders>
            <w:shd w:val="clear" w:color="auto" w:fill="auto"/>
            <w:hideMark/>
          </w:tcPr>
          <w:p w14:paraId="20339D1A" w14:textId="77777777" w:rsidR="00977693" w:rsidRPr="00A2223A" w:rsidRDefault="0097769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Teaching, training and research</w:t>
            </w:r>
          </w:p>
        </w:tc>
        <w:tc>
          <w:tcPr>
            <w:tcW w:w="970" w:type="dxa"/>
            <w:tcBorders>
              <w:top w:val="single" w:sz="4" w:space="0" w:color="auto"/>
              <w:left w:val="nil"/>
              <w:bottom w:val="single" w:sz="4" w:space="0" w:color="auto"/>
              <w:right w:val="single" w:sz="4" w:space="0" w:color="auto"/>
            </w:tcBorders>
            <w:shd w:val="clear" w:color="auto" w:fill="auto"/>
            <w:hideMark/>
          </w:tcPr>
          <w:p w14:paraId="771EC12A" w14:textId="77777777" w:rsidR="00977693" w:rsidRPr="00A2223A" w:rsidRDefault="0097769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Mental health admitted</w:t>
            </w:r>
          </w:p>
        </w:tc>
        <w:tc>
          <w:tcPr>
            <w:tcW w:w="970" w:type="dxa"/>
            <w:tcBorders>
              <w:top w:val="single" w:sz="4" w:space="0" w:color="auto"/>
              <w:left w:val="nil"/>
              <w:bottom w:val="single" w:sz="4" w:space="0" w:color="auto"/>
              <w:right w:val="single" w:sz="4" w:space="0" w:color="auto"/>
            </w:tcBorders>
            <w:shd w:val="clear" w:color="auto" w:fill="auto"/>
            <w:hideMark/>
          </w:tcPr>
          <w:p w14:paraId="71E5567A" w14:textId="77777777" w:rsidR="00977693" w:rsidRPr="00A2223A" w:rsidRDefault="0097769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Non-admitted mental health</w:t>
            </w:r>
          </w:p>
        </w:tc>
        <w:tc>
          <w:tcPr>
            <w:tcW w:w="970" w:type="dxa"/>
            <w:tcBorders>
              <w:top w:val="single" w:sz="4" w:space="0" w:color="auto"/>
              <w:left w:val="nil"/>
              <w:bottom w:val="single" w:sz="4" w:space="0" w:color="auto"/>
              <w:right w:val="single" w:sz="4" w:space="0" w:color="auto"/>
            </w:tcBorders>
            <w:shd w:val="clear" w:color="auto" w:fill="auto"/>
            <w:hideMark/>
          </w:tcPr>
          <w:p w14:paraId="063367A8" w14:textId="77777777" w:rsidR="00977693" w:rsidRPr="00A2223A" w:rsidRDefault="0097769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Non-admitted CAMHS</w:t>
            </w:r>
          </w:p>
        </w:tc>
        <w:tc>
          <w:tcPr>
            <w:tcW w:w="971" w:type="dxa"/>
            <w:tcBorders>
              <w:top w:val="single" w:sz="4" w:space="0" w:color="auto"/>
              <w:left w:val="nil"/>
              <w:bottom w:val="single" w:sz="4" w:space="0" w:color="auto"/>
              <w:right w:val="single" w:sz="4" w:space="0" w:color="auto"/>
            </w:tcBorders>
            <w:shd w:val="clear" w:color="auto" w:fill="auto"/>
            <w:hideMark/>
          </w:tcPr>
          <w:p w14:paraId="7D1C49B5" w14:textId="77777777" w:rsidR="00977693" w:rsidRPr="00A2223A" w:rsidRDefault="0097769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Other public hospital programs</w:t>
            </w:r>
          </w:p>
        </w:tc>
        <w:tc>
          <w:tcPr>
            <w:tcW w:w="970" w:type="dxa"/>
            <w:tcBorders>
              <w:top w:val="single" w:sz="4" w:space="0" w:color="auto"/>
              <w:left w:val="nil"/>
              <w:bottom w:val="single" w:sz="4" w:space="0" w:color="auto"/>
              <w:right w:val="single" w:sz="4" w:space="0" w:color="auto"/>
            </w:tcBorders>
            <w:shd w:val="clear" w:color="auto" w:fill="auto"/>
            <w:hideMark/>
          </w:tcPr>
          <w:p w14:paraId="41448F01" w14:textId="77777777" w:rsidR="00977693" w:rsidRPr="00A2223A" w:rsidRDefault="0097769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Out of scope of agreement</w:t>
            </w:r>
          </w:p>
        </w:tc>
        <w:tc>
          <w:tcPr>
            <w:tcW w:w="970" w:type="dxa"/>
            <w:tcBorders>
              <w:top w:val="single" w:sz="4" w:space="0" w:color="auto"/>
              <w:left w:val="nil"/>
              <w:bottom w:val="single" w:sz="4" w:space="0" w:color="auto"/>
              <w:right w:val="single" w:sz="4" w:space="0" w:color="auto"/>
            </w:tcBorders>
            <w:shd w:val="clear" w:color="000000" w:fill="FFFFFF"/>
            <w:hideMark/>
          </w:tcPr>
          <w:p w14:paraId="7E2EE2B7" w14:textId="77777777" w:rsidR="00977693" w:rsidRPr="00A2223A" w:rsidRDefault="0097769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r>
            <w:r>
              <w:rPr>
                <w:rFonts w:cs="Arial"/>
                <w:b/>
                <w:bCs/>
                <w:color w:val="53565A"/>
                <w:sz w:val="16"/>
                <w:szCs w:val="16"/>
                <w:lang w:eastAsia="en-AU"/>
              </w:rPr>
              <w:t>CAR T</w:t>
            </w:r>
          </w:p>
        </w:tc>
        <w:tc>
          <w:tcPr>
            <w:tcW w:w="971" w:type="dxa"/>
            <w:tcBorders>
              <w:top w:val="single" w:sz="4" w:space="0" w:color="auto"/>
              <w:left w:val="nil"/>
              <w:bottom w:val="single" w:sz="4" w:space="0" w:color="auto"/>
              <w:right w:val="single" w:sz="4" w:space="0" w:color="auto"/>
            </w:tcBorders>
            <w:shd w:val="clear" w:color="auto" w:fill="auto"/>
            <w:hideMark/>
          </w:tcPr>
          <w:p w14:paraId="67BC8003" w14:textId="77777777" w:rsidR="00977693" w:rsidRPr="00A2223A" w:rsidRDefault="0097769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Total</w:t>
            </w:r>
          </w:p>
        </w:tc>
      </w:tr>
      <w:tr w:rsidR="008428AF" w:rsidRPr="00A2223A" w14:paraId="08ABCEB3" w14:textId="77777777" w:rsidTr="00FE1263">
        <w:trPr>
          <w:trHeight w:val="300"/>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09656EC1" w14:textId="77777777" w:rsidR="00977693" w:rsidRPr="00A2223A" w:rsidRDefault="00977693" w:rsidP="003D68D1">
            <w:pPr>
              <w:spacing w:after="0" w:line="240" w:lineRule="auto"/>
              <w:rPr>
                <w:rFonts w:cs="Arial"/>
                <w:color w:val="000000"/>
                <w:sz w:val="15"/>
                <w:szCs w:val="15"/>
                <w:lang w:eastAsia="en-AU"/>
              </w:rPr>
            </w:pPr>
            <w:r w:rsidRPr="00A2223A">
              <w:rPr>
                <w:rFonts w:cs="Arial"/>
                <w:color w:val="000000"/>
                <w:sz w:val="15"/>
                <w:szCs w:val="15"/>
                <w:lang w:eastAsia="en-AU"/>
              </w:rPr>
              <w:t>Albury Wodonga Health</w:t>
            </w:r>
          </w:p>
        </w:tc>
        <w:tc>
          <w:tcPr>
            <w:tcW w:w="970" w:type="dxa"/>
            <w:tcBorders>
              <w:top w:val="nil"/>
              <w:left w:val="nil"/>
              <w:bottom w:val="single" w:sz="4" w:space="0" w:color="auto"/>
              <w:right w:val="single" w:sz="4" w:space="0" w:color="auto"/>
            </w:tcBorders>
            <w:shd w:val="clear" w:color="auto" w:fill="auto"/>
            <w:noWrap/>
            <w:vAlign w:val="center"/>
            <w:hideMark/>
          </w:tcPr>
          <w:p w14:paraId="135686C2"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325,819</w:t>
            </w:r>
          </w:p>
        </w:tc>
        <w:tc>
          <w:tcPr>
            <w:tcW w:w="970" w:type="dxa"/>
            <w:tcBorders>
              <w:top w:val="nil"/>
              <w:left w:val="nil"/>
              <w:bottom w:val="single" w:sz="4" w:space="0" w:color="auto"/>
              <w:right w:val="single" w:sz="4" w:space="0" w:color="auto"/>
            </w:tcBorders>
            <w:shd w:val="clear" w:color="auto" w:fill="auto"/>
            <w:noWrap/>
            <w:vAlign w:val="center"/>
            <w:hideMark/>
          </w:tcPr>
          <w:p w14:paraId="797C6D21"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116,182</w:t>
            </w:r>
          </w:p>
        </w:tc>
        <w:tc>
          <w:tcPr>
            <w:tcW w:w="970" w:type="dxa"/>
            <w:tcBorders>
              <w:top w:val="nil"/>
              <w:left w:val="nil"/>
              <w:bottom w:val="single" w:sz="4" w:space="0" w:color="auto"/>
              <w:right w:val="single" w:sz="4" w:space="0" w:color="auto"/>
            </w:tcBorders>
            <w:shd w:val="clear" w:color="auto" w:fill="auto"/>
            <w:noWrap/>
            <w:vAlign w:val="center"/>
            <w:hideMark/>
          </w:tcPr>
          <w:p w14:paraId="35739515"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12,912</w:t>
            </w:r>
          </w:p>
        </w:tc>
        <w:tc>
          <w:tcPr>
            <w:tcW w:w="971" w:type="dxa"/>
            <w:tcBorders>
              <w:top w:val="nil"/>
              <w:left w:val="nil"/>
              <w:bottom w:val="single" w:sz="4" w:space="0" w:color="auto"/>
              <w:right w:val="single" w:sz="4" w:space="0" w:color="auto"/>
            </w:tcBorders>
            <w:shd w:val="clear" w:color="auto" w:fill="auto"/>
            <w:noWrap/>
            <w:vAlign w:val="center"/>
            <w:hideMark/>
          </w:tcPr>
          <w:p w14:paraId="2E2B177A"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30,625</w:t>
            </w:r>
          </w:p>
        </w:tc>
        <w:tc>
          <w:tcPr>
            <w:tcW w:w="970" w:type="dxa"/>
            <w:tcBorders>
              <w:top w:val="nil"/>
              <w:left w:val="nil"/>
              <w:bottom w:val="single" w:sz="4" w:space="0" w:color="auto"/>
              <w:right w:val="single" w:sz="4" w:space="0" w:color="auto"/>
            </w:tcBorders>
            <w:shd w:val="clear" w:color="auto" w:fill="auto"/>
            <w:noWrap/>
            <w:vAlign w:val="center"/>
            <w:hideMark/>
          </w:tcPr>
          <w:p w14:paraId="46307CC9"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5,529</w:t>
            </w:r>
          </w:p>
        </w:tc>
        <w:tc>
          <w:tcPr>
            <w:tcW w:w="970" w:type="dxa"/>
            <w:tcBorders>
              <w:top w:val="nil"/>
              <w:left w:val="nil"/>
              <w:bottom w:val="single" w:sz="4" w:space="0" w:color="auto"/>
              <w:right w:val="single" w:sz="4" w:space="0" w:color="auto"/>
            </w:tcBorders>
            <w:shd w:val="clear" w:color="auto" w:fill="auto"/>
            <w:noWrap/>
            <w:vAlign w:val="center"/>
            <w:hideMark/>
          </w:tcPr>
          <w:p w14:paraId="4D300036"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1,136</w:t>
            </w:r>
          </w:p>
        </w:tc>
        <w:tc>
          <w:tcPr>
            <w:tcW w:w="971" w:type="dxa"/>
            <w:tcBorders>
              <w:top w:val="nil"/>
              <w:left w:val="nil"/>
              <w:bottom w:val="single" w:sz="4" w:space="0" w:color="auto"/>
              <w:right w:val="single" w:sz="4" w:space="0" w:color="auto"/>
            </w:tcBorders>
            <w:shd w:val="clear" w:color="auto" w:fill="auto"/>
            <w:noWrap/>
            <w:vAlign w:val="center"/>
            <w:hideMark/>
          </w:tcPr>
          <w:p w14:paraId="4585059D"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5,166</w:t>
            </w:r>
          </w:p>
        </w:tc>
        <w:tc>
          <w:tcPr>
            <w:tcW w:w="970" w:type="dxa"/>
            <w:tcBorders>
              <w:top w:val="nil"/>
              <w:left w:val="nil"/>
              <w:bottom w:val="single" w:sz="4" w:space="0" w:color="auto"/>
              <w:right w:val="single" w:sz="4" w:space="0" w:color="auto"/>
            </w:tcBorders>
            <w:shd w:val="clear" w:color="auto" w:fill="auto"/>
            <w:noWrap/>
            <w:vAlign w:val="center"/>
            <w:hideMark/>
          </w:tcPr>
          <w:p w14:paraId="1B352464"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8,495</w:t>
            </w:r>
          </w:p>
        </w:tc>
        <w:tc>
          <w:tcPr>
            <w:tcW w:w="970" w:type="dxa"/>
            <w:tcBorders>
              <w:top w:val="nil"/>
              <w:left w:val="nil"/>
              <w:bottom w:val="single" w:sz="4" w:space="0" w:color="auto"/>
              <w:right w:val="single" w:sz="4" w:space="0" w:color="auto"/>
            </w:tcBorders>
            <w:shd w:val="clear" w:color="auto" w:fill="auto"/>
            <w:noWrap/>
            <w:vAlign w:val="center"/>
            <w:hideMark/>
          </w:tcPr>
          <w:p w14:paraId="60C1C753"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22,816</w:t>
            </w:r>
          </w:p>
        </w:tc>
        <w:tc>
          <w:tcPr>
            <w:tcW w:w="970" w:type="dxa"/>
            <w:tcBorders>
              <w:top w:val="nil"/>
              <w:left w:val="nil"/>
              <w:bottom w:val="single" w:sz="4" w:space="0" w:color="auto"/>
              <w:right w:val="single" w:sz="4" w:space="0" w:color="auto"/>
            </w:tcBorders>
            <w:shd w:val="clear" w:color="auto" w:fill="auto"/>
            <w:noWrap/>
            <w:vAlign w:val="center"/>
            <w:hideMark/>
          </w:tcPr>
          <w:p w14:paraId="0508A16F"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7,176</w:t>
            </w:r>
          </w:p>
        </w:tc>
        <w:tc>
          <w:tcPr>
            <w:tcW w:w="971" w:type="dxa"/>
            <w:tcBorders>
              <w:top w:val="nil"/>
              <w:left w:val="nil"/>
              <w:bottom w:val="single" w:sz="4" w:space="0" w:color="auto"/>
              <w:right w:val="single" w:sz="4" w:space="0" w:color="auto"/>
            </w:tcBorders>
            <w:shd w:val="clear" w:color="auto" w:fill="auto"/>
            <w:noWrap/>
            <w:vAlign w:val="center"/>
            <w:hideMark/>
          </w:tcPr>
          <w:p w14:paraId="3725D07A"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40BBB827"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126,753</w:t>
            </w:r>
          </w:p>
        </w:tc>
        <w:tc>
          <w:tcPr>
            <w:tcW w:w="970" w:type="dxa"/>
            <w:tcBorders>
              <w:top w:val="nil"/>
              <w:left w:val="nil"/>
              <w:bottom w:val="single" w:sz="4" w:space="0" w:color="auto"/>
              <w:right w:val="single" w:sz="4" w:space="0" w:color="auto"/>
            </w:tcBorders>
            <w:shd w:val="clear" w:color="auto" w:fill="auto"/>
            <w:noWrap/>
            <w:vAlign w:val="center"/>
            <w:hideMark/>
          </w:tcPr>
          <w:p w14:paraId="7C949638"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6B53CB51"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336,791</w:t>
            </w:r>
          </w:p>
        </w:tc>
      </w:tr>
      <w:tr w:rsidR="008428AF" w:rsidRPr="00A2223A" w14:paraId="0EA09DAE" w14:textId="77777777" w:rsidTr="00FE1263">
        <w:trPr>
          <w:trHeight w:val="300"/>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42256EA3" w14:textId="77777777" w:rsidR="00977693" w:rsidRPr="00A2223A" w:rsidRDefault="00977693" w:rsidP="003D68D1">
            <w:pPr>
              <w:spacing w:after="0" w:line="240" w:lineRule="auto"/>
              <w:rPr>
                <w:rFonts w:cs="Arial"/>
                <w:color w:val="000000"/>
                <w:sz w:val="15"/>
                <w:szCs w:val="15"/>
                <w:lang w:eastAsia="en-AU"/>
              </w:rPr>
            </w:pPr>
            <w:r w:rsidRPr="00A2223A">
              <w:rPr>
                <w:rFonts w:cs="Arial"/>
                <w:color w:val="000000"/>
                <w:sz w:val="15"/>
                <w:szCs w:val="15"/>
                <w:lang w:eastAsia="en-AU"/>
              </w:rPr>
              <w:t>Alfred Health</w:t>
            </w:r>
          </w:p>
        </w:tc>
        <w:tc>
          <w:tcPr>
            <w:tcW w:w="970" w:type="dxa"/>
            <w:tcBorders>
              <w:top w:val="nil"/>
              <w:left w:val="nil"/>
              <w:bottom w:val="single" w:sz="4" w:space="0" w:color="auto"/>
              <w:right w:val="single" w:sz="4" w:space="0" w:color="auto"/>
            </w:tcBorders>
            <w:shd w:val="clear" w:color="auto" w:fill="auto"/>
            <w:noWrap/>
            <w:vAlign w:val="center"/>
            <w:hideMark/>
          </w:tcPr>
          <w:p w14:paraId="3112333D"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1,127,763</w:t>
            </w:r>
          </w:p>
        </w:tc>
        <w:tc>
          <w:tcPr>
            <w:tcW w:w="970" w:type="dxa"/>
            <w:tcBorders>
              <w:top w:val="nil"/>
              <w:left w:val="nil"/>
              <w:bottom w:val="single" w:sz="4" w:space="0" w:color="auto"/>
              <w:right w:val="single" w:sz="4" w:space="0" w:color="auto"/>
            </w:tcBorders>
            <w:shd w:val="clear" w:color="auto" w:fill="auto"/>
            <w:noWrap/>
            <w:vAlign w:val="center"/>
            <w:hideMark/>
          </w:tcPr>
          <w:p w14:paraId="224484B4"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701,044</w:t>
            </w:r>
          </w:p>
        </w:tc>
        <w:tc>
          <w:tcPr>
            <w:tcW w:w="970" w:type="dxa"/>
            <w:tcBorders>
              <w:top w:val="nil"/>
              <w:left w:val="nil"/>
              <w:bottom w:val="single" w:sz="4" w:space="0" w:color="auto"/>
              <w:right w:val="single" w:sz="4" w:space="0" w:color="auto"/>
            </w:tcBorders>
            <w:shd w:val="clear" w:color="auto" w:fill="auto"/>
            <w:noWrap/>
            <w:vAlign w:val="center"/>
            <w:hideMark/>
          </w:tcPr>
          <w:p w14:paraId="39A3A331"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86,050</w:t>
            </w:r>
          </w:p>
        </w:tc>
        <w:tc>
          <w:tcPr>
            <w:tcW w:w="971" w:type="dxa"/>
            <w:tcBorders>
              <w:top w:val="nil"/>
              <w:left w:val="nil"/>
              <w:bottom w:val="single" w:sz="4" w:space="0" w:color="auto"/>
              <w:right w:val="single" w:sz="4" w:space="0" w:color="auto"/>
            </w:tcBorders>
            <w:shd w:val="clear" w:color="auto" w:fill="auto"/>
            <w:noWrap/>
            <w:vAlign w:val="center"/>
            <w:hideMark/>
          </w:tcPr>
          <w:p w14:paraId="55B8524F"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80,010</w:t>
            </w:r>
          </w:p>
        </w:tc>
        <w:tc>
          <w:tcPr>
            <w:tcW w:w="970" w:type="dxa"/>
            <w:tcBorders>
              <w:top w:val="nil"/>
              <w:left w:val="nil"/>
              <w:bottom w:val="single" w:sz="4" w:space="0" w:color="auto"/>
              <w:right w:val="single" w:sz="4" w:space="0" w:color="auto"/>
            </w:tcBorders>
            <w:shd w:val="clear" w:color="auto" w:fill="auto"/>
            <w:noWrap/>
            <w:vAlign w:val="center"/>
            <w:hideMark/>
          </w:tcPr>
          <w:p w14:paraId="1B3A93CB"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66,661</w:t>
            </w:r>
          </w:p>
        </w:tc>
        <w:tc>
          <w:tcPr>
            <w:tcW w:w="970" w:type="dxa"/>
            <w:tcBorders>
              <w:top w:val="nil"/>
              <w:left w:val="nil"/>
              <w:bottom w:val="single" w:sz="4" w:space="0" w:color="auto"/>
              <w:right w:val="single" w:sz="4" w:space="0" w:color="auto"/>
            </w:tcBorders>
            <w:shd w:val="clear" w:color="auto" w:fill="auto"/>
            <w:noWrap/>
            <w:vAlign w:val="center"/>
            <w:hideMark/>
          </w:tcPr>
          <w:p w14:paraId="31448639"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2,430</w:t>
            </w:r>
          </w:p>
        </w:tc>
        <w:tc>
          <w:tcPr>
            <w:tcW w:w="971" w:type="dxa"/>
            <w:tcBorders>
              <w:top w:val="nil"/>
              <w:left w:val="nil"/>
              <w:bottom w:val="single" w:sz="4" w:space="0" w:color="auto"/>
              <w:right w:val="single" w:sz="4" w:space="0" w:color="auto"/>
            </w:tcBorders>
            <w:shd w:val="clear" w:color="auto" w:fill="auto"/>
            <w:noWrap/>
            <w:vAlign w:val="center"/>
            <w:hideMark/>
          </w:tcPr>
          <w:p w14:paraId="2CDE0A61"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21,897</w:t>
            </w:r>
          </w:p>
        </w:tc>
        <w:tc>
          <w:tcPr>
            <w:tcW w:w="970" w:type="dxa"/>
            <w:tcBorders>
              <w:top w:val="nil"/>
              <w:left w:val="nil"/>
              <w:bottom w:val="single" w:sz="4" w:space="0" w:color="auto"/>
              <w:right w:val="single" w:sz="4" w:space="0" w:color="auto"/>
            </w:tcBorders>
            <w:shd w:val="clear" w:color="auto" w:fill="auto"/>
            <w:noWrap/>
            <w:vAlign w:val="center"/>
            <w:hideMark/>
          </w:tcPr>
          <w:p w14:paraId="5D4104A0"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48,051</w:t>
            </w:r>
          </w:p>
        </w:tc>
        <w:tc>
          <w:tcPr>
            <w:tcW w:w="970" w:type="dxa"/>
            <w:tcBorders>
              <w:top w:val="nil"/>
              <w:left w:val="nil"/>
              <w:bottom w:val="single" w:sz="4" w:space="0" w:color="auto"/>
              <w:right w:val="single" w:sz="4" w:space="0" w:color="auto"/>
            </w:tcBorders>
            <w:shd w:val="clear" w:color="auto" w:fill="auto"/>
            <w:noWrap/>
            <w:vAlign w:val="center"/>
            <w:hideMark/>
          </w:tcPr>
          <w:p w14:paraId="225B62B7"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49,514</w:t>
            </w:r>
          </w:p>
        </w:tc>
        <w:tc>
          <w:tcPr>
            <w:tcW w:w="970" w:type="dxa"/>
            <w:tcBorders>
              <w:top w:val="nil"/>
              <w:left w:val="nil"/>
              <w:bottom w:val="single" w:sz="4" w:space="0" w:color="auto"/>
              <w:right w:val="single" w:sz="4" w:space="0" w:color="auto"/>
            </w:tcBorders>
            <w:shd w:val="clear" w:color="auto" w:fill="auto"/>
            <w:noWrap/>
            <w:vAlign w:val="center"/>
            <w:hideMark/>
          </w:tcPr>
          <w:p w14:paraId="26E6D23C"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19,610</w:t>
            </w:r>
          </w:p>
        </w:tc>
        <w:tc>
          <w:tcPr>
            <w:tcW w:w="971" w:type="dxa"/>
            <w:tcBorders>
              <w:top w:val="nil"/>
              <w:left w:val="nil"/>
              <w:bottom w:val="single" w:sz="4" w:space="0" w:color="auto"/>
              <w:right w:val="single" w:sz="4" w:space="0" w:color="auto"/>
            </w:tcBorders>
            <w:shd w:val="clear" w:color="auto" w:fill="auto"/>
            <w:noWrap/>
            <w:vAlign w:val="center"/>
            <w:hideMark/>
          </w:tcPr>
          <w:p w14:paraId="001C13C7"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502F73D0"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74,542</w:t>
            </w:r>
          </w:p>
        </w:tc>
        <w:tc>
          <w:tcPr>
            <w:tcW w:w="970" w:type="dxa"/>
            <w:tcBorders>
              <w:top w:val="nil"/>
              <w:left w:val="nil"/>
              <w:bottom w:val="single" w:sz="4" w:space="0" w:color="auto"/>
              <w:right w:val="single" w:sz="4" w:space="0" w:color="auto"/>
            </w:tcBorders>
            <w:shd w:val="clear" w:color="auto" w:fill="auto"/>
            <w:noWrap/>
            <w:vAlign w:val="center"/>
            <w:hideMark/>
          </w:tcPr>
          <w:p w14:paraId="477AC715"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13,909</w:t>
            </w:r>
          </w:p>
        </w:tc>
        <w:tc>
          <w:tcPr>
            <w:tcW w:w="971" w:type="dxa"/>
            <w:tcBorders>
              <w:top w:val="nil"/>
              <w:left w:val="nil"/>
              <w:bottom w:val="single" w:sz="4" w:space="0" w:color="auto"/>
              <w:right w:val="single" w:sz="4" w:space="0" w:color="auto"/>
            </w:tcBorders>
            <w:shd w:val="clear" w:color="auto" w:fill="auto"/>
            <w:noWrap/>
            <w:vAlign w:val="center"/>
            <w:hideMark/>
          </w:tcPr>
          <w:p w14:paraId="4C3454A8"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1,163,718</w:t>
            </w:r>
          </w:p>
        </w:tc>
      </w:tr>
      <w:tr w:rsidR="008428AF" w:rsidRPr="00A2223A" w14:paraId="68666202" w14:textId="77777777" w:rsidTr="00FE1263">
        <w:trPr>
          <w:trHeight w:val="300"/>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42CDDE39" w14:textId="77777777" w:rsidR="00977693" w:rsidRPr="00A2223A" w:rsidRDefault="00977693" w:rsidP="003D68D1">
            <w:pPr>
              <w:spacing w:after="0" w:line="240" w:lineRule="auto"/>
              <w:rPr>
                <w:rFonts w:cs="Arial"/>
                <w:color w:val="000000"/>
                <w:sz w:val="15"/>
                <w:szCs w:val="15"/>
                <w:lang w:eastAsia="en-AU"/>
              </w:rPr>
            </w:pPr>
            <w:r w:rsidRPr="00A2223A">
              <w:rPr>
                <w:rFonts w:cs="Arial"/>
                <w:color w:val="000000"/>
                <w:sz w:val="15"/>
                <w:szCs w:val="15"/>
                <w:lang w:eastAsia="en-AU"/>
              </w:rPr>
              <w:t>Austin Health</w:t>
            </w:r>
          </w:p>
        </w:tc>
        <w:tc>
          <w:tcPr>
            <w:tcW w:w="970" w:type="dxa"/>
            <w:tcBorders>
              <w:top w:val="nil"/>
              <w:left w:val="nil"/>
              <w:bottom w:val="single" w:sz="4" w:space="0" w:color="auto"/>
              <w:right w:val="single" w:sz="4" w:space="0" w:color="auto"/>
            </w:tcBorders>
            <w:shd w:val="clear" w:color="auto" w:fill="auto"/>
            <w:noWrap/>
            <w:vAlign w:val="center"/>
            <w:hideMark/>
          </w:tcPr>
          <w:p w14:paraId="6ED30B85"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964,090</w:t>
            </w:r>
          </w:p>
        </w:tc>
        <w:tc>
          <w:tcPr>
            <w:tcW w:w="970" w:type="dxa"/>
            <w:tcBorders>
              <w:top w:val="nil"/>
              <w:left w:val="nil"/>
              <w:bottom w:val="single" w:sz="4" w:space="0" w:color="auto"/>
              <w:right w:val="single" w:sz="4" w:space="0" w:color="auto"/>
            </w:tcBorders>
            <w:shd w:val="clear" w:color="auto" w:fill="auto"/>
            <w:noWrap/>
            <w:vAlign w:val="center"/>
            <w:hideMark/>
          </w:tcPr>
          <w:p w14:paraId="316DCCDA"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580,195</w:t>
            </w:r>
          </w:p>
        </w:tc>
        <w:tc>
          <w:tcPr>
            <w:tcW w:w="970" w:type="dxa"/>
            <w:tcBorders>
              <w:top w:val="nil"/>
              <w:left w:val="nil"/>
              <w:bottom w:val="single" w:sz="4" w:space="0" w:color="auto"/>
              <w:right w:val="single" w:sz="4" w:space="0" w:color="auto"/>
            </w:tcBorders>
            <w:shd w:val="clear" w:color="auto" w:fill="auto"/>
            <w:noWrap/>
            <w:vAlign w:val="center"/>
            <w:hideMark/>
          </w:tcPr>
          <w:p w14:paraId="5C589173"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79,581</w:t>
            </w:r>
          </w:p>
        </w:tc>
        <w:tc>
          <w:tcPr>
            <w:tcW w:w="971" w:type="dxa"/>
            <w:tcBorders>
              <w:top w:val="nil"/>
              <w:left w:val="nil"/>
              <w:bottom w:val="single" w:sz="4" w:space="0" w:color="auto"/>
              <w:right w:val="single" w:sz="4" w:space="0" w:color="auto"/>
            </w:tcBorders>
            <w:shd w:val="clear" w:color="auto" w:fill="auto"/>
            <w:noWrap/>
            <w:vAlign w:val="center"/>
            <w:hideMark/>
          </w:tcPr>
          <w:p w14:paraId="4CD0C2D7"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68,804</w:t>
            </w:r>
          </w:p>
        </w:tc>
        <w:tc>
          <w:tcPr>
            <w:tcW w:w="970" w:type="dxa"/>
            <w:tcBorders>
              <w:top w:val="nil"/>
              <w:left w:val="nil"/>
              <w:bottom w:val="single" w:sz="4" w:space="0" w:color="auto"/>
              <w:right w:val="single" w:sz="4" w:space="0" w:color="auto"/>
            </w:tcBorders>
            <w:shd w:val="clear" w:color="auto" w:fill="auto"/>
            <w:noWrap/>
            <w:vAlign w:val="center"/>
            <w:hideMark/>
          </w:tcPr>
          <w:p w14:paraId="7FCF98AE"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56,336</w:t>
            </w:r>
          </w:p>
        </w:tc>
        <w:tc>
          <w:tcPr>
            <w:tcW w:w="970" w:type="dxa"/>
            <w:tcBorders>
              <w:top w:val="nil"/>
              <w:left w:val="nil"/>
              <w:bottom w:val="single" w:sz="4" w:space="0" w:color="auto"/>
              <w:right w:val="single" w:sz="4" w:space="0" w:color="auto"/>
            </w:tcBorders>
            <w:shd w:val="clear" w:color="auto" w:fill="auto"/>
            <w:noWrap/>
            <w:vAlign w:val="center"/>
            <w:hideMark/>
          </w:tcPr>
          <w:p w14:paraId="5A213E99"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990</w:t>
            </w:r>
          </w:p>
        </w:tc>
        <w:tc>
          <w:tcPr>
            <w:tcW w:w="971" w:type="dxa"/>
            <w:tcBorders>
              <w:top w:val="nil"/>
              <w:left w:val="nil"/>
              <w:bottom w:val="single" w:sz="4" w:space="0" w:color="auto"/>
              <w:right w:val="single" w:sz="4" w:space="0" w:color="auto"/>
            </w:tcBorders>
            <w:shd w:val="clear" w:color="auto" w:fill="auto"/>
            <w:noWrap/>
            <w:vAlign w:val="center"/>
            <w:hideMark/>
          </w:tcPr>
          <w:p w14:paraId="486B694B"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21,783</w:t>
            </w:r>
          </w:p>
        </w:tc>
        <w:tc>
          <w:tcPr>
            <w:tcW w:w="970" w:type="dxa"/>
            <w:tcBorders>
              <w:top w:val="nil"/>
              <w:left w:val="nil"/>
              <w:bottom w:val="single" w:sz="4" w:space="0" w:color="auto"/>
              <w:right w:val="single" w:sz="4" w:space="0" w:color="auto"/>
            </w:tcBorders>
            <w:shd w:val="clear" w:color="auto" w:fill="auto"/>
            <w:noWrap/>
            <w:vAlign w:val="center"/>
            <w:hideMark/>
          </w:tcPr>
          <w:p w14:paraId="5BB349CC"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37,660</w:t>
            </w:r>
          </w:p>
        </w:tc>
        <w:tc>
          <w:tcPr>
            <w:tcW w:w="970" w:type="dxa"/>
            <w:tcBorders>
              <w:top w:val="nil"/>
              <w:left w:val="nil"/>
              <w:bottom w:val="single" w:sz="4" w:space="0" w:color="auto"/>
              <w:right w:val="single" w:sz="4" w:space="0" w:color="auto"/>
            </w:tcBorders>
            <w:shd w:val="clear" w:color="auto" w:fill="auto"/>
            <w:noWrap/>
            <w:vAlign w:val="center"/>
            <w:hideMark/>
          </w:tcPr>
          <w:p w14:paraId="0822F200"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31,572</w:t>
            </w:r>
          </w:p>
        </w:tc>
        <w:tc>
          <w:tcPr>
            <w:tcW w:w="970" w:type="dxa"/>
            <w:tcBorders>
              <w:top w:val="nil"/>
              <w:left w:val="nil"/>
              <w:bottom w:val="single" w:sz="4" w:space="0" w:color="auto"/>
              <w:right w:val="single" w:sz="4" w:space="0" w:color="auto"/>
            </w:tcBorders>
            <w:shd w:val="clear" w:color="auto" w:fill="auto"/>
            <w:noWrap/>
            <w:vAlign w:val="center"/>
            <w:hideMark/>
          </w:tcPr>
          <w:p w14:paraId="3FAAAA24"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18,931</w:t>
            </w:r>
          </w:p>
        </w:tc>
        <w:tc>
          <w:tcPr>
            <w:tcW w:w="971" w:type="dxa"/>
            <w:tcBorders>
              <w:top w:val="nil"/>
              <w:left w:val="nil"/>
              <w:bottom w:val="single" w:sz="4" w:space="0" w:color="auto"/>
              <w:right w:val="single" w:sz="4" w:space="0" w:color="auto"/>
            </w:tcBorders>
            <w:shd w:val="clear" w:color="auto" w:fill="auto"/>
            <w:noWrap/>
            <w:vAlign w:val="center"/>
            <w:hideMark/>
          </w:tcPr>
          <w:p w14:paraId="114DED24"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758F2B2F"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62,899</w:t>
            </w:r>
          </w:p>
        </w:tc>
        <w:tc>
          <w:tcPr>
            <w:tcW w:w="970" w:type="dxa"/>
            <w:tcBorders>
              <w:top w:val="nil"/>
              <w:left w:val="nil"/>
              <w:bottom w:val="single" w:sz="4" w:space="0" w:color="auto"/>
              <w:right w:val="single" w:sz="4" w:space="0" w:color="auto"/>
            </w:tcBorders>
            <w:shd w:val="clear" w:color="auto" w:fill="auto"/>
            <w:noWrap/>
            <w:vAlign w:val="center"/>
            <w:hideMark/>
          </w:tcPr>
          <w:p w14:paraId="10789141"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7C6922BB"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958,751</w:t>
            </w:r>
          </w:p>
        </w:tc>
      </w:tr>
      <w:tr w:rsidR="008428AF" w:rsidRPr="00A2223A" w14:paraId="2C90B091" w14:textId="77777777" w:rsidTr="00FE1263">
        <w:trPr>
          <w:trHeight w:val="300"/>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3ACACD27" w14:textId="77777777" w:rsidR="00977693" w:rsidRPr="00A2223A" w:rsidRDefault="00977693" w:rsidP="003D68D1">
            <w:pPr>
              <w:spacing w:after="0" w:line="240" w:lineRule="auto"/>
              <w:rPr>
                <w:rFonts w:cs="Arial"/>
                <w:color w:val="000000"/>
                <w:sz w:val="15"/>
                <w:szCs w:val="15"/>
                <w:lang w:eastAsia="en-AU"/>
              </w:rPr>
            </w:pPr>
            <w:r w:rsidRPr="00A2223A">
              <w:rPr>
                <w:rFonts w:cs="Arial"/>
                <w:color w:val="000000"/>
                <w:sz w:val="15"/>
                <w:szCs w:val="15"/>
                <w:lang w:eastAsia="en-AU"/>
              </w:rPr>
              <w:t>Barwon Health</w:t>
            </w:r>
          </w:p>
        </w:tc>
        <w:tc>
          <w:tcPr>
            <w:tcW w:w="970" w:type="dxa"/>
            <w:tcBorders>
              <w:top w:val="nil"/>
              <w:left w:val="nil"/>
              <w:bottom w:val="single" w:sz="4" w:space="0" w:color="auto"/>
              <w:right w:val="single" w:sz="4" w:space="0" w:color="auto"/>
            </w:tcBorders>
            <w:shd w:val="clear" w:color="auto" w:fill="auto"/>
            <w:noWrap/>
            <w:vAlign w:val="center"/>
            <w:hideMark/>
          </w:tcPr>
          <w:p w14:paraId="112D36A0"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759,564</w:t>
            </w:r>
          </w:p>
        </w:tc>
        <w:tc>
          <w:tcPr>
            <w:tcW w:w="970" w:type="dxa"/>
            <w:tcBorders>
              <w:top w:val="nil"/>
              <w:left w:val="nil"/>
              <w:bottom w:val="single" w:sz="4" w:space="0" w:color="auto"/>
              <w:right w:val="single" w:sz="4" w:space="0" w:color="auto"/>
            </w:tcBorders>
            <w:shd w:val="clear" w:color="auto" w:fill="auto"/>
            <w:noWrap/>
            <w:vAlign w:val="center"/>
            <w:hideMark/>
          </w:tcPr>
          <w:p w14:paraId="0E95495B"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455,433</w:t>
            </w:r>
          </w:p>
        </w:tc>
        <w:tc>
          <w:tcPr>
            <w:tcW w:w="970" w:type="dxa"/>
            <w:tcBorders>
              <w:top w:val="nil"/>
              <w:left w:val="nil"/>
              <w:bottom w:val="single" w:sz="4" w:space="0" w:color="auto"/>
              <w:right w:val="single" w:sz="4" w:space="0" w:color="auto"/>
            </w:tcBorders>
            <w:shd w:val="clear" w:color="auto" w:fill="auto"/>
            <w:noWrap/>
            <w:vAlign w:val="center"/>
            <w:hideMark/>
          </w:tcPr>
          <w:p w14:paraId="102BE880"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70,339</w:t>
            </w:r>
          </w:p>
        </w:tc>
        <w:tc>
          <w:tcPr>
            <w:tcW w:w="971" w:type="dxa"/>
            <w:tcBorders>
              <w:top w:val="nil"/>
              <w:left w:val="nil"/>
              <w:bottom w:val="single" w:sz="4" w:space="0" w:color="auto"/>
              <w:right w:val="single" w:sz="4" w:space="0" w:color="auto"/>
            </w:tcBorders>
            <w:shd w:val="clear" w:color="auto" w:fill="auto"/>
            <w:noWrap/>
            <w:vAlign w:val="center"/>
            <w:hideMark/>
          </w:tcPr>
          <w:p w14:paraId="7F833210"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70,991</w:t>
            </w:r>
          </w:p>
        </w:tc>
        <w:tc>
          <w:tcPr>
            <w:tcW w:w="970" w:type="dxa"/>
            <w:tcBorders>
              <w:top w:val="nil"/>
              <w:left w:val="nil"/>
              <w:bottom w:val="single" w:sz="4" w:space="0" w:color="auto"/>
              <w:right w:val="single" w:sz="4" w:space="0" w:color="auto"/>
            </w:tcBorders>
            <w:shd w:val="clear" w:color="auto" w:fill="auto"/>
            <w:noWrap/>
            <w:vAlign w:val="center"/>
            <w:hideMark/>
          </w:tcPr>
          <w:p w14:paraId="67249F86"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32,301</w:t>
            </w:r>
          </w:p>
        </w:tc>
        <w:tc>
          <w:tcPr>
            <w:tcW w:w="970" w:type="dxa"/>
            <w:tcBorders>
              <w:top w:val="nil"/>
              <w:left w:val="nil"/>
              <w:bottom w:val="single" w:sz="4" w:space="0" w:color="auto"/>
              <w:right w:val="single" w:sz="4" w:space="0" w:color="auto"/>
            </w:tcBorders>
            <w:shd w:val="clear" w:color="auto" w:fill="auto"/>
            <w:noWrap/>
            <w:vAlign w:val="center"/>
            <w:hideMark/>
          </w:tcPr>
          <w:p w14:paraId="0308C082"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4,383</w:t>
            </w:r>
          </w:p>
        </w:tc>
        <w:tc>
          <w:tcPr>
            <w:tcW w:w="971" w:type="dxa"/>
            <w:tcBorders>
              <w:top w:val="nil"/>
              <w:left w:val="nil"/>
              <w:bottom w:val="single" w:sz="4" w:space="0" w:color="auto"/>
              <w:right w:val="single" w:sz="4" w:space="0" w:color="auto"/>
            </w:tcBorders>
            <w:shd w:val="clear" w:color="auto" w:fill="auto"/>
            <w:noWrap/>
            <w:vAlign w:val="center"/>
            <w:hideMark/>
          </w:tcPr>
          <w:p w14:paraId="01CDF321"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15,376</w:t>
            </w:r>
          </w:p>
        </w:tc>
        <w:tc>
          <w:tcPr>
            <w:tcW w:w="970" w:type="dxa"/>
            <w:tcBorders>
              <w:top w:val="nil"/>
              <w:left w:val="nil"/>
              <w:bottom w:val="single" w:sz="4" w:space="0" w:color="auto"/>
              <w:right w:val="single" w:sz="4" w:space="0" w:color="auto"/>
            </w:tcBorders>
            <w:shd w:val="clear" w:color="auto" w:fill="auto"/>
            <w:noWrap/>
            <w:vAlign w:val="center"/>
            <w:hideMark/>
          </w:tcPr>
          <w:p w14:paraId="54F4D96F"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32,926</w:t>
            </w:r>
          </w:p>
        </w:tc>
        <w:tc>
          <w:tcPr>
            <w:tcW w:w="970" w:type="dxa"/>
            <w:tcBorders>
              <w:top w:val="nil"/>
              <w:left w:val="nil"/>
              <w:bottom w:val="single" w:sz="4" w:space="0" w:color="auto"/>
              <w:right w:val="single" w:sz="4" w:space="0" w:color="auto"/>
            </w:tcBorders>
            <w:shd w:val="clear" w:color="auto" w:fill="auto"/>
            <w:noWrap/>
            <w:vAlign w:val="center"/>
            <w:hideMark/>
          </w:tcPr>
          <w:p w14:paraId="50465AC0"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46,097</w:t>
            </w:r>
          </w:p>
        </w:tc>
        <w:tc>
          <w:tcPr>
            <w:tcW w:w="970" w:type="dxa"/>
            <w:tcBorders>
              <w:top w:val="nil"/>
              <w:left w:val="nil"/>
              <w:bottom w:val="single" w:sz="4" w:space="0" w:color="auto"/>
              <w:right w:val="single" w:sz="4" w:space="0" w:color="auto"/>
            </w:tcBorders>
            <w:shd w:val="clear" w:color="auto" w:fill="auto"/>
            <w:noWrap/>
            <w:vAlign w:val="center"/>
            <w:hideMark/>
          </w:tcPr>
          <w:p w14:paraId="36144B5F"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11,216</w:t>
            </w:r>
          </w:p>
        </w:tc>
        <w:tc>
          <w:tcPr>
            <w:tcW w:w="971" w:type="dxa"/>
            <w:tcBorders>
              <w:top w:val="nil"/>
              <w:left w:val="nil"/>
              <w:bottom w:val="single" w:sz="4" w:space="0" w:color="auto"/>
              <w:right w:val="single" w:sz="4" w:space="0" w:color="auto"/>
            </w:tcBorders>
            <w:shd w:val="clear" w:color="auto" w:fill="auto"/>
            <w:noWrap/>
            <w:vAlign w:val="center"/>
            <w:hideMark/>
          </w:tcPr>
          <w:p w14:paraId="439C4A43"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5DD9C282"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65,284</w:t>
            </w:r>
          </w:p>
        </w:tc>
        <w:tc>
          <w:tcPr>
            <w:tcW w:w="970" w:type="dxa"/>
            <w:tcBorders>
              <w:top w:val="nil"/>
              <w:left w:val="nil"/>
              <w:bottom w:val="single" w:sz="4" w:space="0" w:color="auto"/>
              <w:right w:val="single" w:sz="4" w:space="0" w:color="auto"/>
            </w:tcBorders>
            <w:shd w:val="clear" w:color="auto" w:fill="auto"/>
            <w:noWrap/>
            <w:vAlign w:val="center"/>
            <w:hideMark/>
          </w:tcPr>
          <w:p w14:paraId="0607CAB9"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73F8D858"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804,347</w:t>
            </w:r>
          </w:p>
        </w:tc>
      </w:tr>
      <w:tr w:rsidR="008428AF" w:rsidRPr="00A2223A" w14:paraId="275FD0A7" w14:textId="77777777" w:rsidTr="00FE1263">
        <w:trPr>
          <w:trHeight w:val="300"/>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45D2633F" w14:textId="77777777" w:rsidR="00977693" w:rsidRPr="00A2223A" w:rsidRDefault="00977693" w:rsidP="003D68D1">
            <w:pPr>
              <w:spacing w:after="0" w:line="240" w:lineRule="auto"/>
              <w:rPr>
                <w:rFonts w:cs="Arial"/>
                <w:color w:val="000000"/>
                <w:sz w:val="15"/>
                <w:szCs w:val="15"/>
                <w:lang w:eastAsia="en-AU"/>
              </w:rPr>
            </w:pPr>
            <w:r w:rsidRPr="00A2223A">
              <w:rPr>
                <w:rFonts w:cs="Arial"/>
                <w:color w:val="000000"/>
                <w:sz w:val="15"/>
                <w:szCs w:val="15"/>
                <w:lang w:eastAsia="en-AU"/>
              </w:rPr>
              <w:t>Bendigo Health</w:t>
            </w:r>
          </w:p>
        </w:tc>
        <w:tc>
          <w:tcPr>
            <w:tcW w:w="970" w:type="dxa"/>
            <w:tcBorders>
              <w:top w:val="nil"/>
              <w:left w:val="nil"/>
              <w:bottom w:val="single" w:sz="4" w:space="0" w:color="auto"/>
              <w:right w:val="single" w:sz="4" w:space="0" w:color="auto"/>
            </w:tcBorders>
            <w:shd w:val="clear" w:color="auto" w:fill="auto"/>
            <w:noWrap/>
            <w:vAlign w:val="center"/>
            <w:hideMark/>
          </w:tcPr>
          <w:p w14:paraId="3336470C"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435,957</w:t>
            </w:r>
          </w:p>
        </w:tc>
        <w:tc>
          <w:tcPr>
            <w:tcW w:w="970" w:type="dxa"/>
            <w:tcBorders>
              <w:top w:val="nil"/>
              <w:left w:val="nil"/>
              <w:bottom w:val="single" w:sz="4" w:space="0" w:color="auto"/>
              <w:right w:val="single" w:sz="4" w:space="0" w:color="auto"/>
            </w:tcBorders>
            <w:shd w:val="clear" w:color="auto" w:fill="auto"/>
            <w:noWrap/>
            <w:vAlign w:val="center"/>
            <w:hideMark/>
          </w:tcPr>
          <w:p w14:paraId="4450650F"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227,367</w:t>
            </w:r>
          </w:p>
        </w:tc>
        <w:tc>
          <w:tcPr>
            <w:tcW w:w="970" w:type="dxa"/>
            <w:tcBorders>
              <w:top w:val="nil"/>
              <w:left w:val="nil"/>
              <w:bottom w:val="single" w:sz="4" w:space="0" w:color="auto"/>
              <w:right w:val="single" w:sz="4" w:space="0" w:color="auto"/>
            </w:tcBorders>
            <w:shd w:val="clear" w:color="auto" w:fill="auto"/>
            <w:noWrap/>
            <w:vAlign w:val="center"/>
            <w:hideMark/>
          </w:tcPr>
          <w:p w14:paraId="5B41D826"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40,965</w:t>
            </w:r>
          </w:p>
        </w:tc>
        <w:tc>
          <w:tcPr>
            <w:tcW w:w="971" w:type="dxa"/>
            <w:tcBorders>
              <w:top w:val="nil"/>
              <w:left w:val="nil"/>
              <w:bottom w:val="single" w:sz="4" w:space="0" w:color="auto"/>
              <w:right w:val="single" w:sz="4" w:space="0" w:color="auto"/>
            </w:tcBorders>
            <w:shd w:val="clear" w:color="auto" w:fill="auto"/>
            <w:noWrap/>
            <w:vAlign w:val="center"/>
            <w:hideMark/>
          </w:tcPr>
          <w:p w14:paraId="080E12A2"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42,965</w:t>
            </w:r>
          </w:p>
        </w:tc>
        <w:tc>
          <w:tcPr>
            <w:tcW w:w="970" w:type="dxa"/>
            <w:tcBorders>
              <w:top w:val="nil"/>
              <w:left w:val="nil"/>
              <w:bottom w:val="single" w:sz="4" w:space="0" w:color="auto"/>
              <w:right w:val="single" w:sz="4" w:space="0" w:color="auto"/>
            </w:tcBorders>
            <w:shd w:val="clear" w:color="auto" w:fill="auto"/>
            <w:noWrap/>
            <w:vAlign w:val="center"/>
            <w:hideMark/>
          </w:tcPr>
          <w:p w14:paraId="1EED88C0"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27,229</w:t>
            </w:r>
          </w:p>
        </w:tc>
        <w:tc>
          <w:tcPr>
            <w:tcW w:w="970" w:type="dxa"/>
            <w:tcBorders>
              <w:top w:val="nil"/>
              <w:left w:val="nil"/>
              <w:bottom w:val="single" w:sz="4" w:space="0" w:color="auto"/>
              <w:right w:val="single" w:sz="4" w:space="0" w:color="auto"/>
            </w:tcBorders>
            <w:shd w:val="clear" w:color="auto" w:fill="auto"/>
            <w:noWrap/>
            <w:vAlign w:val="center"/>
            <w:hideMark/>
          </w:tcPr>
          <w:p w14:paraId="19A3F48F"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4,376</w:t>
            </w:r>
          </w:p>
        </w:tc>
        <w:tc>
          <w:tcPr>
            <w:tcW w:w="971" w:type="dxa"/>
            <w:tcBorders>
              <w:top w:val="nil"/>
              <w:left w:val="nil"/>
              <w:bottom w:val="single" w:sz="4" w:space="0" w:color="auto"/>
              <w:right w:val="single" w:sz="4" w:space="0" w:color="auto"/>
            </w:tcBorders>
            <w:shd w:val="clear" w:color="auto" w:fill="auto"/>
            <w:noWrap/>
            <w:vAlign w:val="center"/>
            <w:hideMark/>
          </w:tcPr>
          <w:p w14:paraId="41E9DE60"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13,206</w:t>
            </w:r>
          </w:p>
        </w:tc>
        <w:tc>
          <w:tcPr>
            <w:tcW w:w="970" w:type="dxa"/>
            <w:tcBorders>
              <w:top w:val="nil"/>
              <w:left w:val="nil"/>
              <w:bottom w:val="single" w:sz="4" w:space="0" w:color="auto"/>
              <w:right w:val="single" w:sz="4" w:space="0" w:color="auto"/>
            </w:tcBorders>
            <w:shd w:val="clear" w:color="auto" w:fill="auto"/>
            <w:noWrap/>
            <w:vAlign w:val="center"/>
            <w:hideMark/>
          </w:tcPr>
          <w:p w14:paraId="4404ED34"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25,527</w:t>
            </w:r>
          </w:p>
        </w:tc>
        <w:tc>
          <w:tcPr>
            <w:tcW w:w="970" w:type="dxa"/>
            <w:tcBorders>
              <w:top w:val="nil"/>
              <w:left w:val="nil"/>
              <w:bottom w:val="single" w:sz="4" w:space="0" w:color="auto"/>
              <w:right w:val="single" w:sz="4" w:space="0" w:color="auto"/>
            </w:tcBorders>
            <w:shd w:val="clear" w:color="auto" w:fill="auto"/>
            <w:noWrap/>
            <w:vAlign w:val="center"/>
            <w:hideMark/>
          </w:tcPr>
          <w:p w14:paraId="0C0CC60D"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42,188</w:t>
            </w:r>
          </w:p>
        </w:tc>
        <w:tc>
          <w:tcPr>
            <w:tcW w:w="970" w:type="dxa"/>
            <w:tcBorders>
              <w:top w:val="nil"/>
              <w:left w:val="nil"/>
              <w:bottom w:val="single" w:sz="4" w:space="0" w:color="auto"/>
              <w:right w:val="single" w:sz="4" w:space="0" w:color="auto"/>
            </w:tcBorders>
            <w:shd w:val="clear" w:color="auto" w:fill="auto"/>
            <w:noWrap/>
            <w:vAlign w:val="center"/>
            <w:hideMark/>
          </w:tcPr>
          <w:p w14:paraId="61169240"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12,032</w:t>
            </w:r>
          </w:p>
        </w:tc>
        <w:tc>
          <w:tcPr>
            <w:tcW w:w="971" w:type="dxa"/>
            <w:tcBorders>
              <w:top w:val="nil"/>
              <w:left w:val="nil"/>
              <w:bottom w:val="single" w:sz="4" w:space="0" w:color="auto"/>
              <w:right w:val="single" w:sz="4" w:space="0" w:color="auto"/>
            </w:tcBorders>
            <w:shd w:val="clear" w:color="auto" w:fill="auto"/>
            <w:noWrap/>
            <w:vAlign w:val="center"/>
            <w:hideMark/>
          </w:tcPr>
          <w:p w14:paraId="39F57D90"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19DECEC3"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12,112</w:t>
            </w:r>
          </w:p>
        </w:tc>
        <w:tc>
          <w:tcPr>
            <w:tcW w:w="970" w:type="dxa"/>
            <w:tcBorders>
              <w:top w:val="nil"/>
              <w:left w:val="nil"/>
              <w:bottom w:val="single" w:sz="4" w:space="0" w:color="auto"/>
              <w:right w:val="single" w:sz="4" w:space="0" w:color="auto"/>
            </w:tcBorders>
            <w:shd w:val="clear" w:color="auto" w:fill="auto"/>
            <w:noWrap/>
            <w:vAlign w:val="center"/>
            <w:hideMark/>
          </w:tcPr>
          <w:p w14:paraId="13AED354"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34EDF1BE"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447,968</w:t>
            </w:r>
          </w:p>
        </w:tc>
      </w:tr>
      <w:tr w:rsidR="008428AF" w:rsidRPr="00A2223A" w14:paraId="2CFFEAA9" w14:textId="77777777" w:rsidTr="00FE1263">
        <w:trPr>
          <w:trHeight w:val="390"/>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21D46D36" w14:textId="77777777" w:rsidR="00977693" w:rsidRPr="00A2223A" w:rsidRDefault="00977693" w:rsidP="003D68D1">
            <w:pPr>
              <w:spacing w:after="0" w:line="240" w:lineRule="auto"/>
              <w:rPr>
                <w:rFonts w:cs="Arial"/>
                <w:color w:val="000000"/>
                <w:sz w:val="15"/>
                <w:szCs w:val="15"/>
                <w:lang w:eastAsia="en-AU"/>
              </w:rPr>
            </w:pPr>
            <w:r w:rsidRPr="00A2223A">
              <w:rPr>
                <w:rFonts w:cs="Arial"/>
                <w:color w:val="000000"/>
                <w:sz w:val="15"/>
                <w:szCs w:val="15"/>
                <w:lang w:eastAsia="en-AU"/>
              </w:rPr>
              <w:t>Calvary Health Care Bethlehem Limited</w:t>
            </w:r>
          </w:p>
        </w:tc>
        <w:tc>
          <w:tcPr>
            <w:tcW w:w="970" w:type="dxa"/>
            <w:tcBorders>
              <w:top w:val="nil"/>
              <w:left w:val="nil"/>
              <w:bottom w:val="single" w:sz="4" w:space="0" w:color="auto"/>
              <w:right w:val="single" w:sz="4" w:space="0" w:color="auto"/>
            </w:tcBorders>
            <w:shd w:val="clear" w:color="auto" w:fill="auto"/>
            <w:noWrap/>
            <w:vAlign w:val="center"/>
            <w:hideMark/>
          </w:tcPr>
          <w:p w14:paraId="6D6E8296"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24,108</w:t>
            </w:r>
          </w:p>
        </w:tc>
        <w:tc>
          <w:tcPr>
            <w:tcW w:w="970" w:type="dxa"/>
            <w:tcBorders>
              <w:top w:val="nil"/>
              <w:left w:val="nil"/>
              <w:bottom w:val="single" w:sz="4" w:space="0" w:color="auto"/>
              <w:right w:val="single" w:sz="4" w:space="0" w:color="auto"/>
            </w:tcBorders>
            <w:shd w:val="clear" w:color="auto" w:fill="auto"/>
            <w:noWrap/>
            <w:vAlign w:val="center"/>
            <w:hideMark/>
          </w:tcPr>
          <w:p w14:paraId="4394A9C1"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1,967</w:t>
            </w:r>
          </w:p>
        </w:tc>
        <w:tc>
          <w:tcPr>
            <w:tcW w:w="970" w:type="dxa"/>
            <w:tcBorders>
              <w:top w:val="nil"/>
              <w:left w:val="nil"/>
              <w:bottom w:val="single" w:sz="4" w:space="0" w:color="auto"/>
              <w:right w:val="single" w:sz="4" w:space="0" w:color="auto"/>
            </w:tcBorders>
            <w:shd w:val="clear" w:color="auto" w:fill="auto"/>
            <w:noWrap/>
            <w:vAlign w:val="center"/>
            <w:hideMark/>
          </w:tcPr>
          <w:p w14:paraId="3941354B"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5,647</w:t>
            </w:r>
          </w:p>
        </w:tc>
        <w:tc>
          <w:tcPr>
            <w:tcW w:w="971" w:type="dxa"/>
            <w:tcBorders>
              <w:top w:val="nil"/>
              <w:left w:val="nil"/>
              <w:bottom w:val="single" w:sz="4" w:space="0" w:color="auto"/>
              <w:right w:val="single" w:sz="4" w:space="0" w:color="auto"/>
            </w:tcBorders>
            <w:shd w:val="clear" w:color="auto" w:fill="auto"/>
            <w:noWrap/>
            <w:vAlign w:val="center"/>
            <w:hideMark/>
          </w:tcPr>
          <w:p w14:paraId="15A65278"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28B67F5D"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8,277</w:t>
            </w:r>
          </w:p>
        </w:tc>
        <w:tc>
          <w:tcPr>
            <w:tcW w:w="970" w:type="dxa"/>
            <w:tcBorders>
              <w:top w:val="nil"/>
              <w:left w:val="nil"/>
              <w:bottom w:val="single" w:sz="4" w:space="0" w:color="auto"/>
              <w:right w:val="single" w:sz="4" w:space="0" w:color="auto"/>
            </w:tcBorders>
            <w:shd w:val="clear" w:color="auto" w:fill="auto"/>
            <w:noWrap/>
            <w:vAlign w:val="center"/>
            <w:hideMark/>
          </w:tcPr>
          <w:p w14:paraId="7C40EE58"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6,756</w:t>
            </w:r>
          </w:p>
        </w:tc>
        <w:tc>
          <w:tcPr>
            <w:tcW w:w="971" w:type="dxa"/>
            <w:tcBorders>
              <w:top w:val="nil"/>
              <w:left w:val="nil"/>
              <w:bottom w:val="single" w:sz="4" w:space="0" w:color="auto"/>
              <w:right w:val="single" w:sz="4" w:space="0" w:color="auto"/>
            </w:tcBorders>
            <w:shd w:val="clear" w:color="auto" w:fill="auto"/>
            <w:noWrap/>
            <w:vAlign w:val="center"/>
            <w:hideMark/>
          </w:tcPr>
          <w:p w14:paraId="6204A4D2"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742</w:t>
            </w:r>
          </w:p>
        </w:tc>
        <w:tc>
          <w:tcPr>
            <w:tcW w:w="970" w:type="dxa"/>
            <w:tcBorders>
              <w:top w:val="nil"/>
              <w:left w:val="nil"/>
              <w:bottom w:val="single" w:sz="4" w:space="0" w:color="auto"/>
              <w:right w:val="single" w:sz="4" w:space="0" w:color="auto"/>
            </w:tcBorders>
            <w:shd w:val="clear" w:color="auto" w:fill="auto"/>
            <w:noWrap/>
            <w:vAlign w:val="center"/>
            <w:hideMark/>
          </w:tcPr>
          <w:p w14:paraId="6733FA0F"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500CEF42"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1B43A0B4"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0C78D82F"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130A3ECC"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877</w:t>
            </w:r>
          </w:p>
        </w:tc>
        <w:tc>
          <w:tcPr>
            <w:tcW w:w="970" w:type="dxa"/>
            <w:tcBorders>
              <w:top w:val="nil"/>
              <w:left w:val="nil"/>
              <w:bottom w:val="single" w:sz="4" w:space="0" w:color="auto"/>
              <w:right w:val="single" w:sz="4" w:space="0" w:color="auto"/>
            </w:tcBorders>
            <w:shd w:val="clear" w:color="auto" w:fill="auto"/>
            <w:noWrap/>
            <w:vAlign w:val="center"/>
            <w:hideMark/>
          </w:tcPr>
          <w:p w14:paraId="0B17C2AC"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2993FA8E"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24,266</w:t>
            </w:r>
          </w:p>
        </w:tc>
      </w:tr>
      <w:tr w:rsidR="008428AF" w:rsidRPr="00A2223A" w14:paraId="64F1D80F" w14:textId="77777777" w:rsidTr="00FE1263">
        <w:trPr>
          <w:trHeight w:val="300"/>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70DA1D66" w14:textId="77777777" w:rsidR="00977693" w:rsidRPr="00A2223A" w:rsidRDefault="00977693" w:rsidP="003D68D1">
            <w:pPr>
              <w:spacing w:after="0" w:line="240" w:lineRule="auto"/>
              <w:rPr>
                <w:rFonts w:cs="Arial"/>
                <w:color w:val="000000"/>
                <w:sz w:val="15"/>
                <w:szCs w:val="15"/>
                <w:lang w:eastAsia="en-AU"/>
              </w:rPr>
            </w:pPr>
            <w:r w:rsidRPr="00A2223A">
              <w:rPr>
                <w:rFonts w:cs="Arial"/>
                <w:color w:val="000000"/>
                <w:sz w:val="15"/>
                <w:szCs w:val="15"/>
                <w:lang w:eastAsia="en-AU"/>
              </w:rPr>
              <w:t>Eastern Health</w:t>
            </w:r>
          </w:p>
        </w:tc>
        <w:tc>
          <w:tcPr>
            <w:tcW w:w="970" w:type="dxa"/>
            <w:tcBorders>
              <w:top w:val="nil"/>
              <w:left w:val="nil"/>
              <w:bottom w:val="single" w:sz="4" w:space="0" w:color="auto"/>
              <w:right w:val="single" w:sz="4" w:space="0" w:color="auto"/>
            </w:tcBorders>
            <w:shd w:val="clear" w:color="auto" w:fill="auto"/>
            <w:noWrap/>
            <w:vAlign w:val="center"/>
            <w:hideMark/>
          </w:tcPr>
          <w:p w14:paraId="7AA6C13F"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1,149,796</w:t>
            </w:r>
          </w:p>
        </w:tc>
        <w:tc>
          <w:tcPr>
            <w:tcW w:w="970" w:type="dxa"/>
            <w:tcBorders>
              <w:top w:val="nil"/>
              <w:left w:val="nil"/>
              <w:bottom w:val="single" w:sz="4" w:space="0" w:color="auto"/>
              <w:right w:val="single" w:sz="4" w:space="0" w:color="auto"/>
            </w:tcBorders>
            <w:shd w:val="clear" w:color="auto" w:fill="auto"/>
            <w:noWrap/>
            <w:vAlign w:val="center"/>
            <w:hideMark/>
          </w:tcPr>
          <w:p w14:paraId="6A507D01"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644,649</w:t>
            </w:r>
          </w:p>
        </w:tc>
        <w:tc>
          <w:tcPr>
            <w:tcW w:w="970" w:type="dxa"/>
            <w:tcBorders>
              <w:top w:val="nil"/>
              <w:left w:val="nil"/>
              <w:bottom w:val="single" w:sz="4" w:space="0" w:color="auto"/>
              <w:right w:val="single" w:sz="4" w:space="0" w:color="auto"/>
            </w:tcBorders>
            <w:shd w:val="clear" w:color="auto" w:fill="auto"/>
            <w:noWrap/>
            <w:vAlign w:val="center"/>
            <w:hideMark/>
          </w:tcPr>
          <w:p w14:paraId="2CD87797"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84,621</w:t>
            </w:r>
          </w:p>
        </w:tc>
        <w:tc>
          <w:tcPr>
            <w:tcW w:w="971" w:type="dxa"/>
            <w:tcBorders>
              <w:top w:val="nil"/>
              <w:left w:val="nil"/>
              <w:bottom w:val="single" w:sz="4" w:space="0" w:color="auto"/>
              <w:right w:val="single" w:sz="4" w:space="0" w:color="auto"/>
            </w:tcBorders>
            <w:shd w:val="clear" w:color="auto" w:fill="auto"/>
            <w:noWrap/>
            <w:vAlign w:val="center"/>
            <w:hideMark/>
          </w:tcPr>
          <w:p w14:paraId="0770A8BC"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130,787</w:t>
            </w:r>
          </w:p>
        </w:tc>
        <w:tc>
          <w:tcPr>
            <w:tcW w:w="970" w:type="dxa"/>
            <w:tcBorders>
              <w:top w:val="nil"/>
              <w:left w:val="nil"/>
              <w:bottom w:val="single" w:sz="4" w:space="0" w:color="auto"/>
              <w:right w:val="single" w:sz="4" w:space="0" w:color="auto"/>
            </w:tcBorders>
            <w:shd w:val="clear" w:color="auto" w:fill="auto"/>
            <w:noWrap/>
            <w:vAlign w:val="center"/>
            <w:hideMark/>
          </w:tcPr>
          <w:p w14:paraId="0805F5B7"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64,901</w:t>
            </w:r>
          </w:p>
        </w:tc>
        <w:tc>
          <w:tcPr>
            <w:tcW w:w="970" w:type="dxa"/>
            <w:tcBorders>
              <w:top w:val="nil"/>
              <w:left w:val="nil"/>
              <w:bottom w:val="single" w:sz="4" w:space="0" w:color="auto"/>
              <w:right w:val="single" w:sz="4" w:space="0" w:color="auto"/>
            </w:tcBorders>
            <w:shd w:val="clear" w:color="auto" w:fill="auto"/>
            <w:noWrap/>
            <w:vAlign w:val="center"/>
            <w:hideMark/>
          </w:tcPr>
          <w:p w14:paraId="67B0108B"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6877A4FF"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22,555</w:t>
            </w:r>
          </w:p>
        </w:tc>
        <w:tc>
          <w:tcPr>
            <w:tcW w:w="970" w:type="dxa"/>
            <w:tcBorders>
              <w:top w:val="nil"/>
              <w:left w:val="nil"/>
              <w:bottom w:val="single" w:sz="4" w:space="0" w:color="auto"/>
              <w:right w:val="single" w:sz="4" w:space="0" w:color="auto"/>
            </w:tcBorders>
            <w:shd w:val="clear" w:color="auto" w:fill="auto"/>
            <w:noWrap/>
            <w:vAlign w:val="center"/>
            <w:hideMark/>
          </w:tcPr>
          <w:p w14:paraId="5101B82E"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52,965</w:t>
            </w:r>
          </w:p>
        </w:tc>
        <w:tc>
          <w:tcPr>
            <w:tcW w:w="970" w:type="dxa"/>
            <w:tcBorders>
              <w:top w:val="nil"/>
              <w:left w:val="nil"/>
              <w:bottom w:val="single" w:sz="4" w:space="0" w:color="auto"/>
              <w:right w:val="single" w:sz="4" w:space="0" w:color="auto"/>
            </w:tcBorders>
            <w:shd w:val="clear" w:color="auto" w:fill="auto"/>
            <w:noWrap/>
            <w:vAlign w:val="center"/>
            <w:hideMark/>
          </w:tcPr>
          <w:p w14:paraId="4A03ABFB"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105,332</w:t>
            </w:r>
          </w:p>
        </w:tc>
        <w:tc>
          <w:tcPr>
            <w:tcW w:w="970" w:type="dxa"/>
            <w:tcBorders>
              <w:top w:val="nil"/>
              <w:left w:val="nil"/>
              <w:bottom w:val="single" w:sz="4" w:space="0" w:color="auto"/>
              <w:right w:val="single" w:sz="4" w:space="0" w:color="auto"/>
            </w:tcBorders>
            <w:shd w:val="clear" w:color="auto" w:fill="auto"/>
            <w:noWrap/>
            <w:vAlign w:val="center"/>
            <w:hideMark/>
          </w:tcPr>
          <w:p w14:paraId="09E98BE9"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23,859</w:t>
            </w:r>
          </w:p>
        </w:tc>
        <w:tc>
          <w:tcPr>
            <w:tcW w:w="971" w:type="dxa"/>
            <w:tcBorders>
              <w:top w:val="nil"/>
              <w:left w:val="nil"/>
              <w:bottom w:val="single" w:sz="4" w:space="0" w:color="auto"/>
              <w:right w:val="single" w:sz="4" w:space="0" w:color="auto"/>
            </w:tcBorders>
            <w:shd w:val="clear" w:color="auto" w:fill="auto"/>
            <w:noWrap/>
            <w:vAlign w:val="center"/>
            <w:hideMark/>
          </w:tcPr>
          <w:p w14:paraId="5FA9274F"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7755EE58"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52,723</w:t>
            </w:r>
          </w:p>
        </w:tc>
        <w:tc>
          <w:tcPr>
            <w:tcW w:w="970" w:type="dxa"/>
            <w:tcBorders>
              <w:top w:val="nil"/>
              <w:left w:val="nil"/>
              <w:bottom w:val="single" w:sz="4" w:space="0" w:color="auto"/>
              <w:right w:val="single" w:sz="4" w:space="0" w:color="auto"/>
            </w:tcBorders>
            <w:shd w:val="clear" w:color="auto" w:fill="auto"/>
            <w:noWrap/>
            <w:vAlign w:val="center"/>
            <w:hideMark/>
          </w:tcPr>
          <w:p w14:paraId="36A58E58"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0852A0DC"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1,182,393</w:t>
            </w:r>
          </w:p>
        </w:tc>
      </w:tr>
      <w:tr w:rsidR="008428AF" w:rsidRPr="00A2223A" w14:paraId="06053E31" w14:textId="77777777" w:rsidTr="00FE1263">
        <w:trPr>
          <w:trHeight w:val="300"/>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2CFAA3DF" w14:textId="77777777" w:rsidR="00977693" w:rsidRPr="00A2223A" w:rsidRDefault="00977693" w:rsidP="003D68D1">
            <w:pPr>
              <w:spacing w:after="0" w:line="240" w:lineRule="auto"/>
              <w:rPr>
                <w:rFonts w:cs="Arial"/>
                <w:color w:val="000000"/>
                <w:sz w:val="15"/>
                <w:szCs w:val="15"/>
                <w:lang w:eastAsia="en-AU"/>
              </w:rPr>
            </w:pPr>
            <w:r w:rsidRPr="00A2223A">
              <w:rPr>
                <w:rFonts w:cs="Arial"/>
                <w:color w:val="000000"/>
                <w:sz w:val="15"/>
                <w:szCs w:val="15"/>
                <w:lang w:eastAsia="en-AU"/>
              </w:rPr>
              <w:t>Goulburn Valley Health</w:t>
            </w:r>
          </w:p>
        </w:tc>
        <w:tc>
          <w:tcPr>
            <w:tcW w:w="970" w:type="dxa"/>
            <w:tcBorders>
              <w:top w:val="nil"/>
              <w:left w:val="nil"/>
              <w:bottom w:val="single" w:sz="4" w:space="0" w:color="auto"/>
              <w:right w:val="single" w:sz="4" w:space="0" w:color="auto"/>
            </w:tcBorders>
            <w:shd w:val="clear" w:color="auto" w:fill="auto"/>
            <w:noWrap/>
            <w:vAlign w:val="center"/>
            <w:hideMark/>
          </w:tcPr>
          <w:p w14:paraId="266D757C"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319,976</w:t>
            </w:r>
          </w:p>
        </w:tc>
        <w:tc>
          <w:tcPr>
            <w:tcW w:w="970" w:type="dxa"/>
            <w:tcBorders>
              <w:top w:val="nil"/>
              <w:left w:val="nil"/>
              <w:bottom w:val="single" w:sz="4" w:space="0" w:color="auto"/>
              <w:right w:val="single" w:sz="4" w:space="0" w:color="auto"/>
            </w:tcBorders>
            <w:shd w:val="clear" w:color="auto" w:fill="auto"/>
            <w:noWrap/>
            <w:vAlign w:val="center"/>
            <w:hideMark/>
          </w:tcPr>
          <w:p w14:paraId="5040D6DC"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178,660</w:t>
            </w:r>
          </w:p>
        </w:tc>
        <w:tc>
          <w:tcPr>
            <w:tcW w:w="970" w:type="dxa"/>
            <w:tcBorders>
              <w:top w:val="nil"/>
              <w:left w:val="nil"/>
              <w:bottom w:val="single" w:sz="4" w:space="0" w:color="auto"/>
              <w:right w:val="single" w:sz="4" w:space="0" w:color="auto"/>
            </w:tcBorders>
            <w:shd w:val="clear" w:color="auto" w:fill="auto"/>
            <w:noWrap/>
            <w:vAlign w:val="center"/>
            <w:hideMark/>
          </w:tcPr>
          <w:p w14:paraId="627F9454"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26,389</w:t>
            </w:r>
          </w:p>
        </w:tc>
        <w:tc>
          <w:tcPr>
            <w:tcW w:w="971" w:type="dxa"/>
            <w:tcBorders>
              <w:top w:val="nil"/>
              <w:left w:val="nil"/>
              <w:bottom w:val="single" w:sz="4" w:space="0" w:color="auto"/>
              <w:right w:val="single" w:sz="4" w:space="0" w:color="auto"/>
            </w:tcBorders>
            <w:shd w:val="clear" w:color="auto" w:fill="auto"/>
            <w:noWrap/>
            <w:vAlign w:val="center"/>
            <w:hideMark/>
          </w:tcPr>
          <w:p w14:paraId="536A559F"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42,950</w:t>
            </w:r>
          </w:p>
        </w:tc>
        <w:tc>
          <w:tcPr>
            <w:tcW w:w="970" w:type="dxa"/>
            <w:tcBorders>
              <w:top w:val="nil"/>
              <w:left w:val="nil"/>
              <w:bottom w:val="single" w:sz="4" w:space="0" w:color="auto"/>
              <w:right w:val="single" w:sz="4" w:space="0" w:color="auto"/>
            </w:tcBorders>
            <w:shd w:val="clear" w:color="auto" w:fill="auto"/>
            <w:noWrap/>
            <w:vAlign w:val="center"/>
            <w:hideMark/>
          </w:tcPr>
          <w:p w14:paraId="31639F50"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16,085</w:t>
            </w:r>
          </w:p>
        </w:tc>
        <w:tc>
          <w:tcPr>
            <w:tcW w:w="970" w:type="dxa"/>
            <w:tcBorders>
              <w:top w:val="nil"/>
              <w:left w:val="nil"/>
              <w:bottom w:val="single" w:sz="4" w:space="0" w:color="auto"/>
              <w:right w:val="single" w:sz="4" w:space="0" w:color="auto"/>
            </w:tcBorders>
            <w:shd w:val="clear" w:color="auto" w:fill="auto"/>
            <w:noWrap/>
            <w:vAlign w:val="center"/>
            <w:hideMark/>
          </w:tcPr>
          <w:p w14:paraId="55E37EC7"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13837369"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8,499</w:t>
            </w:r>
          </w:p>
        </w:tc>
        <w:tc>
          <w:tcPr>
            <w:tcW w:w="970" w:type="dxa"/>
            <w:tcBorders>
              <w:top w:val="nil"/>
              <w:left w:val="nil"/>
              <w:bottom w:val="single" w:sz="4" w:space="0" w:color="auto"/>
              <w:right w:val="single" w:sz="4" w:space="0" w:color="auto"/>
            </w:tcBorders>
            <w:shd w:val="clear" w:color="auto" w:fill="auto"/>
            <w:noWrap/>
            <w:vAlign w:val="center"/>
            <w:hideMark/>
          </w:tcPr>
          <w:p w14:paraId="34EF31D3"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8,002</w:t>
            </w:r>
          </w:p>
        </w:tc>
        <w:tc>
          <w:tcPr>
            <w:tcW w:w="970" w:type="dxa"/>
            <w:tcBorders>
              <w:top w:val="nil"/>
              <w:left w:val="nil"/>
              <w:bottom w:val="single" w:sz="4" w:space="0" w:color="auto"/>
              <w:right w:val="single" w:sz="4" w:space="0" w:color="auto"/>
            </w:tcBorders>
            <w:shd w:val="clear" w:color="auto" w:fill="auto"/>
            <w:noWrap/>
            <w:vAlign w:val="center"/>
            <w:hideMark/>
          </w:tcPr>
          <w:p w14:paraId="57574BB6"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24,259</w:t>
            </w:r>
          </w:p>
        </w:tc>
        <w:tc>
          <w:tcPr>
            <w:tcW w:w="970" w:type="dxa"/>
            <w:tcBorders>
              <w:top w:val="nil"/>
              <w:left w:val="nil"/>
              <w:bottom w:val="single" w:sz="4" w:space="0" w:color="auto"/>
              <w:right w:val="single" w:sz="4" w:space="0" w:color="auto"/>
            </w:tcBorders>
            <w:shd w:val="clear" w:color="auto" w:fill="auto"/>
            <w:noWrap/>
            <w:vAlign w:val="center"/>
            <w:hideMark/>
          </w:tcPr>
          <w:p w14:paraId="4B0059B6"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7,166</w:t>
            </w:r>
          </w:p>
        </w:tc>
        <w:tc>
          <w:tcPr>
            <w:tcW w:w="971" w:type="dxa"/>
            <w:tcBorders>
              <w:top w:val="nil"/>
              <w:left w:val="nil"/>
              <w:bottom w:val="single" w:sz="4" w:space="0" w:color="auto"/>
              <w:right w:val="single" w:sz="4" w:space="0" w:color="auto"/>
            </w:tcBorders>
            <w:shd w:val="clear" w:color="auto" w:fill="auto"/>
            <w:noWrap/>
            <w:vAlign w:val="center"/>
            <w:hideMark/>
          </w:tcPr>
          <w:p w14:paraId="677E77BA"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79C407E3"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15,225</w:t>
            </w:r>
          </w:p>
        </w:tc>
        <w:tc>
          <w:tcPr>
            <w:tcW w:w="970" w:type="dxa"/>
            <w:tcBorders>
              <w:top w:val="nil"/>
              <w:left w:val="nil"/>
              <w:bottom w:val="single" w:sz="4" w:space="0" w:color="auto"/>
              <w:right w:val="single" w:sz="4" w:space="0" w:color="auto"/>
            </w:tcBorders>
            <w:shd w:val="clear" w:color="auto" w:fill="auto"/>
            <w:noWrap/>
            <w:vAlign w:val="center"/>
            <w:hideMark/>
          </w:tcPr>
          <w:p w14:paraId="706F9030"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02FB840B"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327,235</w:t>
            </w:r>
          </w:p>
        </w:tc>
      </w:tr>
      <w:tr w:rsidR="008428AF" w:rsidRPr="00A2223A" w14:paraId="7324F63A" w14:textId="77777777" w:rsidTr="00FE1263">
        <w:trPr>
          <w:trHeight w:val="300"/>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122F8704" w14:textId="77777777" w:rsidR="00977693" w:rsidRPr="00A2223A" w:rsidRDefault="00977693" w:rsidP="003D68D1">
            <w:pPr>
              <w:spacing w:after="0" w:line="240" w:lineRule="auto"/>
              <w:rPr>
                <w:rFonts w:cs="Arial"/>
                <w:color w:val="000000"/>
                <w:sz w:val="15"/>
                <w:szCs w:val="15"/>
                <w:lang w:eastAsia="en-AU"/>
              </w:rPr>
            </w:pPr>
            <w:r w:rsidRPr="00A2223A">
              <w:rPr>
                <w:rFonts w:cs="Arial"/>
                <w:color w:val="000000"/>
                <w:sz w:val="15"/>
                <w:szCs w:val="15"/>
                <w:lang w:eastAsia="en-AU"/>
              </w:rPr>
              <w:t>Grampians Health</w:t>
            </w:r>
          </w:p>
        </w:tc>
        <w:tc>
          <w:tcPr>
            <w:tcW w:w="970" w:type="dxa"/>
            <w:tcBorders>
              <w:top w:val="nil"/>
              <w:left w:val="nil"/>
              <w:bottom w:val="single" w:sz="4" w:space="0" w:color="auto"/>
              <w:right w:val="single" w:sz="4" w:space="0" w:color="auto"/>
            </w:tcBorders>
            <w:shd w:val="clear" w:color="auto" w:fill="auto"/>
            <w:noWrap/>
            <w:vAlign w:val="center"/>
            <w:hideMark/>
          </w:tcPr>
          <w:p w14:paraId="445B6B2D"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538,305</w:t>
            </w:r>
          </w:p>
        </w:tc>
        <w:tc>
          <w:tcPr>
            <w:tcW w:w="970" w:type="dxa"/>
            <w:tcBorders>
              <w:top w:val="nil"/>
              <w:left w:val="nil"/>
              <w:bottom w:val="single" w:sz="4" w:space="0" w:color="auto"/>
              <w:right w:val="single" w:sz="4" w:space="0" w:color="auto"/>
            </w:tcBorders>
            <w:shd w:val="clear" w:color="auto" w:fill="auto"/>
            <w:noWrap/>
            <w:vAlign w:val="center"/>
            <w:hideMark/>
          </w:tcPr>
          <w:p w14:paraId="022B79ED"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294,287</w:t>
            </w:r>
          </w:p>
        </w:tc>
        <w:tc>
          <w:tcPr>
            <w:tcW w:w="970" w:type="dxa"/>
            <w:tcBorders>
              <w:top w:val="nil"/>
              <w:left w:val="nil"/>
              <w:bottom w:val="single" w:sz="4" w:space="0" w:color="auto"/>
              <w:right w:val="single" w:sz="4" w:space="0" w:color="auto"/>
            </w:tcBorders>
            <w:shd w:val="clear" w:color="auto" w:fill="auto"/>
            <w:noWrap/>
            <w:vAlign w:val="center"/>
            <w:hideMark/>
          </w:tcPr>
          <w:p w14:paraId="58F1295A"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43,230</w:t>
            </w:r>
          </w:p>
        </w:tc>
        <w:tc>
          <w:tcPr>
            <w:tcW w:w="971" w:type="dxa"/>
            <w:tcBorders>
              <w:top w:val="nil"/>
              <w:left w:val="nil"/>
              <w:bottom w:val="single" w:sz="4" w:space="0" w:color="auto"/>
              <w:right w:val="single" w:sz="4" w:space="0" w:color="auto"/>
            </w:tcBorders>
            <w:shd w:val="clear" w:color="auto" w:fill="auto"/>
            <w:noWrap/>
            <w:vAlign w:val="center"/>
            <w:hideMark/>
          </w:tcPr>
          <w:p w14:paraId="36CC3AA3"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55,462</w:t>
            </w:r>
          </w:p>
        </w:tc>
        <w:tc>
          <w:tcPr>
            <w:tcW w:w="970" w:type="dxa"/>
            <w:tcBorders>
              <w:top w:val="nil"/>
              <w:left w:val="nil"/>
              <w:bottom w:val="single" w:sz="4" w:space="0" w:color="auto"/>
              <w:right w:val="single" w:sz="4" w:space="0" w:color="auto"/>
            </w:tcBorders>
            <w:shd w:val="clear" w:color="auto" w:fill="auto"/>
            <w:noWrap/>
            <w:vAlign w:val="center"/>
            <w:hideMark/>
          </w:tcPr>
          <w:p w14:paraId="53F260FF"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25,386</w:t>
            </w:r>
          </w:p>
        </w:tc>
        <w:tc>
          <w:tcPr>
            <w:tcW w:w="970" w:type="dxa"/>
            <w:tcBorders>
              <w:top w:val="nil"/>
              <w:left w:val="nil"/>
              <w:bottom w:val="single" w:sz="4" w:space="0" w:color="auto"/>
              <w:right w:val="single" w:sz="4" w:space="0" w:color="auto"/>
            </w:tcBorders>
            <w:shd w:val="clear" w:color="auto" w:fill="auto"/>
            <w:noWrap/>
            <w:vAlign w:val="center"/>
            <w:hideMark/>
          </w:tcPr>
          <w:p w14:paraId="147FF20D"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1,675</w:t>
            </w:r>
          </w:p>
        </w:tc>
        <w:tc>
          <w:tcPr>
            <w:tcW w:w="971" w:type="dxa"/>
            <w:tcBorders>
              <w:top w:val="nil"/>
              <w:left w:val="nil"/>
              <w:bottom w:val="single" w:sz="4" w:space="0" w:color="auto"/>
              <w:right w:val="single" w:sz="4" w:space="0" w:color="auto"/>
            </w:tcBorders>
            <w:shd w:val="clear" w:color="auto" w:fill="auto"/>
            <w:noWrap/>
            <w:vAlign w:val="center"/>
            <w:hideMark/>
          </w:tcPr>
          <w:p w14:paraId="0B75A748"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14,096</w:t>
            </w:r>
          </w:p>
        </w:tc>
        <w:tc>
          <w:tcPr>
            <w:tcW w:w="970" w:type="dxa"/>
            <w:tcBorders>
              <w:top w:val="nil"/>
              <w:left w:val="nil"/>
              <w:bottom w:val="single" w:sz="4" w:space="0" w:color="auto"/>
              <w:right w:val="single" w:sz="4" w:space="0" w:color="auto"/>
            </w:tcBorders>
            <w:shd w:val="clear" w:color="auto" w:fill="auto"/>
            <w:noWrap/>
            <w:vAlign w:val="center"/>
            <w:hideMark/>
          </w:tcPr>
          <w:p w14:paraId="3B9F1E5E"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17,601</w:t>
            </w:r>
          </w:p>
        </w:tc>
        <w:tc>
          <w:tcPr>
            <w:tcW w:w="970" w:type="dxa"/>
            <w:tcBorders>
              <w:top w:val="nil"/>
              <w:left w:val="nil"/>
              <w:bottom w:val="single" w:sz="4" w:space="0" w:color="auto"/>
              <w:right w:val="single" w:sz="4" w:space="0" w:color="auto"/>
            </w:tcBorders>
            <w:shd w:val="clear" w:color="auto" w:fill="auto"/>
            <w:noWrap/>
            <w:vAlign w:val="center"/>
            <w:hideMark/>
          </w:tcPr>
          <w:p w14:paraId="625CD23D"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32,392</w:t>
            </w:r>
          </w:p>
        </w:tc>
        <w:tc>
          <w:tcPr>
            <w:tcW w:w="970" w:type="dxa"/>
            <w:tcBorders>
              <w:top w:val="nil"/>
              <w:left w:val="nil"/>
              <w:bottom w:val="single" w:sz="4" w:space="0" w:color="auto"/>
              <w:right w:val="single" w:sz="4" w:space="0" w:color="auto"/>
            </w:tcBorders>
            <w:shd w:val="clear" w:color="auto" w:fill="auto"/>
            <w:noWrap/>
            <w:vAlign w:val="center"/>
            <w:hideMark/>
          </w:tcPr>
          <w:p w14:paraId="1DFA630D"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9,757</w:t>
            </w:r>
          </w:p>
        </w:tc>
        <w:tc>
          <w:tcPr>
            <w:tcW w:w="971" w:type="dxa"/>
            <w:tcBorders>
              <w:top w:val="nil"/>
              <w:left w:val="nil"/>
              <w:bottom w:val="single" w:sz="4" w:space="0" w:color="auto"/>
              <w:right w:val="single" w:sz="4" w:space="0" w:color="auto"/>
            </w:tcBorders>
            <w:shd w:val="clear" w:color="auto" w:fill="auto"/>
            <w:noWrap/>
            <w:vAlign w:val="center"/>
            <w:hideMark/>
          </w:tcPr>
          <w:p w14:paraId="29B6AAFD"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5FCA6767"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59,081</w:t>
            </w:r>
          </w:p>
        </w:tc>
        <w:tc>
          <w:tcPr>
            <w:tcW w:w="970" w:type="dxa"/>
            <w:tcBorders>
              <w:top w:val="nil"/>
              <w:left w:val="nil"/>
              <w:bottom w:val="single" w:sz="4" w:space="0" w:color="auto"/>
              <w:right w:val="single" w:sz="4" w:space="0" w:color="auto"/>
            </w:tcBorders>
            <w:shd w:val="clear" w:color="auto" w:fill="auto"/>
            <w:noWrap/>
            <w:vAlign w:val="center"/>
            <w:hideMark/>
          </w:tcPr>
          <w:p w14:paraId="72EDBCCC"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2570CAE8"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552,973</w:t>
            </w:r>
          </w:p>
        </w:tc>
      </w:tr>
      <w:tr w:rsidR="008428AF" w:rsidRPr="00A2223A" w14:paraId="79F547E0" w14:textId="77777777" w:rsidTr="00FE1263">
        <w:trPr>
          <w:trHeight w:val="300"/>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6C070801" w14:textId="77777777" w:rsidR="00977693" w:rsidRPr="00A2223A" w:rsidRDefault="00977693" w:rsidP="003D68D1">
            <w:pPr>
              <w:spacing w:after="0" w:line="240" w:lineRule="auto"/>
              <w:rPr>
                <w:rFonts w:cs="Arial"/>
                <w:color w:val="000000"/>
                <w:sz w:val="15"/>
                <w:szCs w:val="15"/>
                <w:lang w:eastAsia="en-AU"/>
              </w:rPr>
            </w:pPr>
            <w:r w:rsidRPr="00A2223A">
              <w:rPr>
                <w:rFonts w:cs="Arial"/>
                <w:color w:val="000000"/>
                <w:sz w:val="15"/>
                <w:szCs w:val="15"/>
                <w:lang w:eastAsia="en-AU"/>
              </w:rPr>
              <w:t>Latrobe Regional Health</w:t>
            </w:r>
          </w:p>
        </w:tc>
        <w:tc>
          <w:tcPr>
            <w:tcW w:w="970" w:type="dxa"/>
            <w:tcBorders>
              <w:top w:val="nil"/>
              <w:left w:val="nil"/>
              <w:bottom w:val="single" w:sz="4" w:space="0" w:color="auto"/>
              <w:right w:val="single" w:sz="4" w:space="0" w:color="auto"/>
            </w:tcBorders>
            <w:shd w:val="clear" w:color="auto" w:fill="auto"/>
            <w:noWrap/>
            <w:vAlign w:val="center"/>
            <w:hideMark/>
          </w:tcPr>
          <w:p w14:paraId="64CAEECB"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287,739</w:t>
            </w:r>
          </w:p>
        </w:tc>
        <w:tc>
          <w:tcPr>
            <w:tcW w:w="970" w:type="dxa"/>
            <w:tcBorders>
              <w:top w:val="nil"/>
              <w:left w:val="nil"/>
              <w:bottom w:val="single" w:sz="4" w:space="0" w:color="auto"/>
              <w:right w:val="single" w:sz="4" w:space="0" w:color="auto"/>
            </w:tcBorders>
            <w:shd w:val="clear" w:color="auto" w:fill="auto"/>
            <w:noWrap/>
            <w:vAlign w:val="center"/>
            <w:hideMark/>
          </w:tcPr>
          <w:p w14:paraId="5837D941"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145,225</w:t>
            </w:r>
          </w:p>
        </w:tc>
        <w:tc>
          <w:tcPr>
            <w:tcW w:w="970" w:type="dxa"/>
            <w:tcBorders>
              <w:top w:val="nil"/>
              <w:left w:val="nil"/>
              <w:bottom w:val="single" w:sz="4" w:space="0" w:color="auto"/>
              <w:right w:val="single" w:sz="4" w:space="0" w:color="auto"/>
            </w:tcBorders>
            <w:shd w:val="clear" w:color="auto" w:fill="auto"/>
            <w:noWrap/>
            <w:vAlign w:val="center"/>
            <w:hideMark/>
          </w:tcPr>
          <w:p w14:paraId="719687F3"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17,816</w:t>
            </w:r>
          </w:p>
        </w:tc>
        <w:tc>
          <w:tcPr>
            <w:tcW w:w="971" w:type="dxa"/>
            <w:tcBorders>
              <w:top w:val="nil"/>
              <w:left w:val="nil"/>
              <w:bottom w:val="single" w:sz="4" w:space="0" w:color="auto"/>
              <w:right w:val="single" w:sz="4" w:space="0" w:color="auto"/>
            </w:tcBorders>
            <w:shd w:val="clear" w:color="auto" w:fill="auto"/>
            <w:noWrap/>
            <w:vAlign w:val="center"/>
            <w:hideMark/>
          </w:tcPr>
          <w:p w14:paraId="36EA605A"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34,659</w:t>
            </w:r>
          </w:p>
        </w:tc>
        <w:tc>
          <w:tcPr>
            <w:tcW w:w="970" w:type="dxa"/>
            <w:tcBorders>
              <w:top w:val="nil"/>
              <w:left w:val="nil"/>
              <w:bottom w:val="single" w:sz="4" w:space="0" w:color="auto"/>
              <w:right w:val="single" w:sz="4" w:space="0" w:color="auto"/>
            </w:tcBorders>
            <w:shd w:val="clear" w:color="auto" w:fill="auto"/>
            <w:noWrap/>
            <w:vAlign w:val="center"/>
            <w:hideMark/>
          </w:tcPr>
          <w:p w14:paraId="587F25E6"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13,779</w:t>
            </w:r>
          </w:p>
        </w:tc>
        <w:tc>
          <w:tcPr>
            <w:tcW w:w="970" w:type="dxa"/>
            <w:tcBorders>
              <w:top w:val="nil"/>
              <w:left w:val="nil"/>
              <w:bottom w:val="single" w:sz="4" w:space="0" w:color="auto"/>
              <w:right w:val="single" w:sz="4" w:space="0" w:color="auto"/>
            </w:tcBorders>
            <w:shd w:val="clear" w:color="auto" w:fill="auto"/>
            <w:noWrap/>
            <w:vAlign w:val="center"/>
            <w:hideMark/>
          </w:tcPr>
          <w:p w14:paraId="20DDD427"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749</w:t>
            </w:r>
          </w:p>
        </w:tc>
        <w:tc>
          <w:tcPr>
            <w:tcW w:w="971" w:type="dxa"/>
            <w:tcBorders>
              <w:top w:val="nil"/>
              <w:left w:val="nil"/>
              <w:bottom w:val="single" w:sz="4" w:space="0" w:color="auto"/>
              <w:right w:val="single" w:sz="4" w:space="0" w:color="auto"/>
            </w:tcBorders>
            <w:shd w:val="clear" w:color="auto" w:fill="auto"/>
            <w:noWrap/>
            <w:vAlign w:val="center"/>
            <w:hideMark/>
          </w:tcPr>
          <w:p w14:paraId="7920AFB6"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7,810</w:t>
            </w:r>
          </w:p>
        </w:tc>
        <w:tc>
          <w:tcPr>
            <w:tcW w:w="970" w:type="dxa"/>
            <w:tcBorders>
              <w:top w:val="nil"/>
              <w:left w:val="nil"/>
              <w:bottom w:val="single" w:sz="4" w:space="0" w:color="auto"/>
              <w:right w:val="single" w:sz="4" w:space="0" w:color="auto"/>
            </w:tcBorders>
            <w:shd w:val="clear" w:color="auto" w:fill="auto"/>
            <w:noWrap/>
            <w:vAlign w:val="center"/>
            <w:hideMark/>
          </w:tcPr>
          <w:p w14:paraId="7601C742"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18,074</w:t>
            </w:r>
          </w:p>
        </w:tc>
        <w:tc>
          <w:tcPr>
            <w:tcW w:w="970" w:type="dxa"/>
            <w:tcBorders>
              <w:top w:val="nil"/>
              <w:left w:val="nil"/>
              <w:bottom w:val="single" w:sz="4" w:space="0" w:color="auto"/>
              <w:right w:val="single" w:sz="4" w:space="0" w:color="auto"/>
            </w:tcBorders>
            <w:shd w:val="clear" w:color="auto" w:fill="auto"/>
            <w:noWrap/>
            <w:vAlign w:val="center"/>
            <w:hideMark/>
          </w:tcPr>
          <w:p w14:paraId="3D462FC7"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38,325</w:t>
            </w:r>
          </w:p>
        </w:tc>
        <w:tc>
          <w:tcPr>
            <w:tcW w:w="970" w:type="dxa"/>
            <w:tcBorders>
              <w:top w:val="nil"/>
              <w:left w:val="nil"/>
              <w:bottom w:val="single" w:sz="4" w:space="0" w:color="auto"/>
              <w:right w:val="single" w:sz="4" w:space="0" w:color="auto"/>
            </w:tcBorders>
            <w:shd w:val="clear" w:color="auto" w:fill="auto"/>
            <w:noWrap/>
            <w:vAlign w:val="center"/>
            <w:hideMark/>
          </w:tcPr>
          <w:p w14:paraId="48A3C86C"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11,265</w:t>
            </w:r>
          </w:p>
        </w:tc>
        <w:tc>
          <w:tcPr>
            <w:tcW w:w="971" w:type="dxa"/>
            <w:tcBorders>
              <w:top w:val="nil"/>
              <w:left w:val="nil"/>
              <w:bottom w:val="single" w:sz="4" w:space="0" w:color="auto"/>
              <w:right w:val="single" w:sz="4" w:space="0" w:color="auto"/>
            </w:tcBorders>
            <w:shd w:val="clear" w:color="auto" w:fill="auto"/>
            <w:noWrap/>
            <w:vAlign w:val="center"/>
            <w:hideMark/>
          </w:tcPr>
          <w:p w14:paraId="4E4CBCFD"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70FB0302"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10,226</w:t>
            </w:r>
          </w:p>
        </w:tc>
        <w:tc>
          <w:tcPr>
            <w:tcW w:w="970" w:type="dxa"/>
            <w:tcBorders>
              <w:top w:val="nil"/>
              <w:left w:val="nil"/>
              <w:bottom w:val="single" w:sz="4" w:space="0" w:color="auto"/>
              <w:right w:val="single" w:sz="4" w:space="0" w:color="auto"/>
            </w:tcBorders>
            <w:shd w:val="clear" w:color="auto" w:fill="auto"/>
            <w:noWrap/>
            <w:vAlign w:val="center"/>
            <w:hideMark/>
          </w:tcPr>
          <w:p w14:paraId="68AF6068"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2B125936"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297,927</w:t>
            </w:r>
          </w:p>
        </w:tc>
      </w:tr>
      <w:tr w:rsidR="008428AF" w:rsidRPr="00A2223A" w14:paraId="30E6B5B0" w14:textId="77777777" w:rsidTr="00FE1263">
        <w:trPr>
          <w:trHeight w:val="300"/>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51D365B8" w14:textId="77777777" w:rsidR="00977693" w:rsidRPr="00A2223A" w:rsidRDefault="00977693" w:rsidP="003D68D1">
            <w:pPr>
              <w:spacing w:after="0" w:line="240" w:lineRule="auto"/>
              <w:rPr>
                <w:rFonts w:cs="Arial"/>
                <w:color w:val="000000"/>
                <w:sz w:val="15"/>
                <w:szCs w:val="15"/>
                <w:lang w:eastAsia="en-AU"/>
              </w:rPr>
            </w:pPr>
            <w:r w:rsidRPr="00A2223A">
              <w:rPr>
                <w:rFonts w:cs="Arial"/>
                <w:color w:val="000000"/>
                <w:sz w:val="15"/>
                <w:szCs w:val="15"/>
                <w:lang w:eastAsia="en-AU"/>
              </w:rPr>
              <w:t>Melbourne Health</w:t>
            </w:r>
          </w:p>
        </w:tc>
        <w:tc>
          <w:tcPr>
            <w:tcW w:w="970" w:type="dxa"/>
            <w:tcBorders>
              <w:top w:val="nil"/>
              <w:left w:val="nil"/>
              <w:bottom w:val="single" w:sz="4" w:space="0" w:color="auto"/>
              <w:right w:val="single" w:sz="4" w:space="0" w:color="auto"/>
            </w:tcBorders>
            <w:shd w:val="clear" w:color="auto" w:fill="auto"/>
            <w:noWrap/>
            <w:vAlign w:val="center"/>
            <w:hideMark/>
          </w:tcPr>
          <w:p w14:paraId="35F21BBC"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1,075,830</w:t>
            </w:r>
          </w:p>
        </w:tc>
        <w:tc>
          <w:tcPr>
            <w:tcW w:w="970" w:type="dxa"/>
            <w:tcBorders>
              <w:top w:val="nil"/>
              <w:left w:val="nil"/>
              <w:bottom w:val="single" w:sz="4" w:space="0" w:color="auto"/>
              <w:right w:val="single" w:sz="4" w:space="0" w:color="auto"/>
            </w:tcBorders>
            <w:shd w:val="clear" w:color="auto" w:fill="auto"/>
            <w:noWrap/>
            <w:vAlign w:val="center"/>
            <w:hideMark/>
          </w:tcPr>
          <w:p w14:paraId="241ED79C"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592,252</w:t>
            </w:r>
          </w:p>
        </w:tc>
        <w:tc>
          <w:tcPr>
            <w:tcW w:w="970" w:type="dxa"/>
            <w:tcBorders>
              <w:top w:val="nil"/>
              <w:left w:val="nil"/>
              <w:bottom w:val="single" w:sz="4" w:space="0" w:color="auto"/>
              <w:right w:val="single" w:sz="4" w:space="0" w:color="auto"/>
            </w:tcBorders>
            <w:shd w:val="clear" w:color="auto" w:fill="auto"/>
            <w:noWrap/>
            <w:vAlign w:val="center"/>
            <w:hideMark/>
          </w:tcPr>
          <w:p w14:paraId="4E424D1E"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106,162</w:t>
            </w:r>
          </w:p>
        </w:tc>
        <w:tc>
          <w:tcPr>
            <w:tcW w:w="971" w:type="dxa"/>
            <w:tcBorders>
              <w:top w:val="nil"/>
              <w:left w:val="nil"/>
              <w:bottom w:val="single" w:sz="4" w:space="0" w:color="auto"/>
              <w:right w:val="single" w:sz="4" w:space="0" w:color="auto"/>
            </w:tcBorders>
            <w:shd w:val="clear" w:color="auto" w:fill="auto"/>
            <w:noWrap/>
            <w:vAlign w:val="center"/>
            <w:hideMark/>
          </w:tcPr>
          <w:p w14:paraId="609562BF"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68,021</w:t>
            </w:r>
          </w:p>
        </w:tc>
        <w:tc>
          <w:tcPr>
            <w:tcW w:w="970" w:type="dxa"/>
            <w:tcBorders>
              <w:top w:val="nil"/>
              <w:left w:val="nil"/>
              <w:bottom w:val="single" w:sz="4" w:space="0" w:color="auto"/>
              <w:right w:val="single" w:sz="4" w:space="0" w:color="auto"/>
            </w:tcBorders>
            <w:shd w:val="clear" w:color="auto" w:fill="auto"/>
            <w:noWrap/>
            <w:vAlign w:val="center"/>
            <w:hideMark/>
          </w:tcPr>
          <w:p w14:paraId="5DFA13F9"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47,351</w:t>
            </w:r>
          </w:p>
        </w:tc>
        <w:tc>
          <w:tcPr>
            <w:tcW w:w="970" w:type="dxa"/>
            <w:tcBorders>
              <w:top w:val="nil"/>
              <w:left w:val="nil"/>
              <w:bottom w:val="single" w:sz="4" w:space="0" w:color="auto"/>
              <w:right w:val="single" w:sz="4" w:space="0" w:color="auto"/>
            </w:tcBorders>
            <w:shd w:val="clear" w:color="auto" w:fill="auto"/>
            <w:noWrap/>
            <w:vAlign w:val="center"/>
            <w:hideMark/>
          </w:tcPr>
          <w:p w14:paraId="5DDD2873"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2,263</w:t>
            </w:r>
          </w:p>
        </w:tc>
        <w:tc>
          <w:tcPr>
            <w:tcW w:w="971" w:type="dxa"/>
            <w:tcBorders>
              <w:top w:val="nil"/>
              <w:left w:val="nil"/>
              <w:bottom w:val="single" w:sz="4" w:space="0" w:color="auto"/>
              <w:right w:val="single" w:sz="4" w:space="0" w:color="auto"/>
            </w:tcBorders>
            <w:shd w:val="clear" w:color="auto" w:fill="auto"/>
            <w:noWrap/>
            <w:vAlign w:val="center"/>
            <w:hideMark/>
          </w:tcPr>
          <w:p w14:paraId="08659A53"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27,055</w:t>
            </w:r>
          </w:p>
        </w:tc>
        <w:tc>
          <w:tcPr>
            <w:tcW w:w="970" w:type="dxa"/>
            <w:tcBorders>
              <w:top w:val="nil"/>
              <w:left w:val="nil"/>
              <w:bottom w:val="single" w:sz="4" w:space="0" w:color="auto"/>
              <w:right w:val="single" w:sz="4" w:space="0" w:color="auto"/>
            </w:tcBorders>
            <w:shd w:val="clear" w:color="auto" w:fill="auto"/>
            <w:noWrap/>
            <w:vAlign w:val="center"/>
            <w:hideMark/>
          </w:tcPr>
          <w:p w14:paraId="3CDE0DC3"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36,457</w:t>
            </w:r>
          </w:p>
        </w:tc>
        <w:tc>
          <w:tcPr>
            <w:tcW w:w="970" w:type="dxa"/>
            <w:tcBorders>
              <w:top w:val="nil"/>
              <w:left w:val="nil"/>
              <w:bottom w:val="single" w:sz="4" w:space="0" w:color="auto"/>
              <w:right w:val="single" w:sz="4" w:space="0" w:color="auto"/>
            </w:tcBorders>
            <w:shd w:val="clear" w:color="auto" w:fill="auto"/>
            <w:noWrap/>
            <w:vAlign w:val="center"/>
            <w:hideMark/>
          </w:tcPr>
          <w:p w14:paraId="2DC2C0BE"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62,574</w:t>
            </w:r>
          </w:p>
        </w:tc>
        <w:tc>
          <w:tcPr>
            <w:tcW w:w="970" w:type="dxa"/>
            <w:tcBorders>
              <w:top w:val="nil"/>
              <w:left w:val="nil"/>
              <w:bottom w:val="single" w:sz="4" w:space="0" w:color="auto"/>
              <w:right w:val="single" w:sz="4" w:space="0" w:color="auto"/>
            </w:tcBorders>
            <w:shd w:val="clear" w:color="auto" w:fill="auto"/>
            <w:noWrap/>
            <w:vAlign w:val="center"/>
            <w:hideMark/>
          </w:tcPr>
          <w:p w14:paraId="2368F6C4"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20,961</w:t>
            </w:r>
          </w:p>
        </w:tc>
        <w:tc>
          <w:tcPr>
            <w:tcW w:w="971" w:type="dxa"/>
            <w:tcBorders>
              <w:top w:val="nil"/>
              <w:left w:val="nil"/>
              <w:bottom w:val="single" w:sz="4" w:space="0" w:color="auto"/>
              <w:right w:val="single" w:sz="4" w:space="0" w:color="auto"/>
            </w:tcBorders>
            <w:shd w:val="clear" w:color="auto" w:fill="auto"/>
            <w:noWrap/>
            <w:vAlign w:val="center"/>
            <w:hideMark/>
          </w:tcPr>
          <w:p w14:paraId="0CCF8A75"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10FF6866"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48,582</w:t>
            </w:r>
          </w:p>
        </w:tc>
        <w:tc>
          <w:tcPr>
            <w:tcW w:w="970" w:type="dxa"/>
            <w:tcBorders>
              <w:top w:val="nil"/>
              <w:left w:val="nil"/>
              <w:bottom w:val="single" w:sz="4" w:space="0" w:color="auto"/>
              <w:right w:val="single" w:sz="4" w:space="0" w:color="auto"/>
            </w:tcBorders>
            <w:shd w:val="clear" w:color="auto" w:fill="auto"/>
            <w:noWrap/>
            <w:vAlign w:val="center"/>
            <w:hideMark/>
          </w:tcPr>
          <w:p w14:paraId="3154C5E1"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1C3824C1"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1,011,679</w:t>
            </w:r>
          </w:p>
        </w:tc>
      </w:tr>
      <w:tr w:rsidR="008428AF" w:rsidRPr="00A2223A" w14:paraId="7507C92C" w14:textId="77777777" w:rsidTr="00FE1263">
        <w:trPr>
          <w:trHeight w:val="300"/>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1DD4F5E9" w14:textId="77777777" w:rsidR="00977693" w:rsidRPr="00A2223A" w:rsidRDefault="00977693" w:rsidP="003D68D1">
            <w:pPr>
              <w:spacing w:after="0" w:line="240" w:lineRule="auto"/>
              <w:rPr>
                <w:rFonts w:cs="Arial"/>
                <w:color w:val="000000"/>
                <w:sz w:val="15"/>
                <w:szCs w:val="15"/>
                <w:lang w:eastAsia="en-AU"/>
              </w:rPr>
            </w:pPr>
            <w:r w:rsidRPr="00A2223A">
              <w:rPr>
                <w:rFonts w:cs="Arial"/>
                <w:color w:val="000000"/>
                <w:sz w:val="15"/>
                <w:szCs w:val="15"/>
                <w:lang w:eastAsia="en-AU"/>
              </w:rPr>
              <w:t>Mercy Hospitals Victoria Limited</w:t>
            </w:r>
          </w:p>
        </w:tc>
        <w:tc>
          <w:tcPr>
            <w:tcW w:w="970" w:type="dxa"/>
            <w:tcBorders>
              <w:top w:val="nil"/>
              <w:left w:val="nil"/>
              <w:bottom w:val="single" w:sz="4" w:space="0" w:color="auto"/>
              <w:right w:val="single" w:sz="4" w:space="0" w:color="auto"/>
            </w:tcBorders>
            <w:shd w:val="clear" w:color="auto" w:fill="auto"/>
            <w:noWrap/>
            <w:vAlign w:val="center"/>
            <w:hideMark/>
          </w:tcPr>
          <w:p w14:paraId="0DEA9E60"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487,613</w:t>
            </w:r>
          </w:p>
        </w:tc>
        <w:tc>
          <w:tcPr>
            <w:tcW w:w="970" w:type="dxa"/>
            <w:tcBorders>
              <w:top w:val="nil"/>
              <w:left w:val="nil"/>
              <w:bottom w:val="single" w:sz="4" w:space="0" w:color="auto"/>
              <w:right w:val="single" w:sz="4" w:space="0" w:color="auto"/>
            </w:tcBorders>
            <w:shd w:val="clear" w:color="auto" w:fill="auto"/>
            <w:noWrap/>
            <w:vAlign w:val="center"/>
            <w:hideMark/>
          </w:tcPr>
          <w:p w14:paraId="7CCA7B39"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303,641</w:t>
            </w:r>
          </w:p>
        </w:tc>
        <w:tc>
          <w:tcPr>
            <w:tcW w:w="970" w:type="dxa"/>
            <w:tcBorders>
              <w:top w:val="nil"/>
              <w:left w:val="nil"/>
              <w:bottom w:val="single" w:sz="4" w:space="0" w:color="auto"/>
              <w:right w:val="single" w:sz="4" w:space="0" w:color="auto"/>
            </w:tcBorders>
            <w:shd w:val="clear" w:color="auto" w:fill="auto"/>
            <w:noWrap/>
            <w:vAlign w:val="center"/>
            <w:hideMark/>
          </w:tcPr>
          <w:p w14:paraId="7EE63C4E"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42,888</w:t>
            </w:r>
          </w:p>
        </w:tc>
        <w:tc>
          <w:tcPr>
            <w:tcW w:w="971" w:type="dxa"/>
            <w:tcBorders>
              <w:top w:val="nil"/>
              <w:left w:val="nil"/>
              <w:bottom w:val="single" w:sz="4" w:space="0" w:color="auto"/>
              <w:right w:val="single" w:sz="4" w:space="0" w:color="auto"/>
            </w:tcBorders>
            <w:shd w:val="clear" w:color="auto" w:fill="auto"/>
            <w:noWrap/>
            <w:vAlign w:val="center"/>
            <w:hideMark/>
          </w:tcPr>
          <w:p w14:paraId="61A46D40"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43,002</w:t>
            </w:r>
          </w:p>
        </w:tc>
        <w:tc>
          <w:tcPr>
            <w:tcW w:w="970" w:type="dxa"/>
            <w:tcBorders>
              <w:top w:val="nil"/>
              <w:left w:val="nil"/>
              <w:bottom w:val="single" w:sz="4" w:space="0" w:color="auto"/>
              <w:right w:val="single" w:sz="4" w:space="0" w:color="auto"/>
            </w:tcBorders>
            <w:shd w:val="clear" w:color="auto" w:fill="auto"/>
            <w:noWrap/>
            <w:vAlign w:val="center"/>
            <w:hideMark/>
          </w:tcPr>
          <w:p w14:paraId="7C002642"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8,484</w:t>
            </w:r>
          </w:p>
        </w:tc>
        <w:tc>
          <w:tcPr>
            <w:tcW w:w="970" w:type="dxa"/>
            <w:tcBorders>
              <w:top w:val="nil"/>
              <w:left w:val="nil"/>
              <w:bottom w:val="single" w:sz="4" w:space="0" w:color="auto"/>
              <w:right w:val="single" w:sz="4" w:space="0" w:color="auto"/>
            </w:tcBorders>
            <w:shd w:val="clear" w:color="auto" w:fill="auto"/>
            <w:noWrap/>
            <w:vAlign w:val="center"/>
            <w:hideMark/>
          </w:tcPr>
          <w:p w14:paraId="2CC8B567"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2AE3FAF9"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8,009</w:t>
            </w:r>
          </w:p>
        </w:tc>
        <w:tc>
          <w:tcPr>
            <w:tcW w:w="970" w:type="dxa"/>
            <w:tcBorders>
              <w:top w:val="nil"/>
              <w:left w:val="nil"/>
              <w:bottom w:val="single" w:sz="4" w:space="0" w:color="auto"/>
              <w:right w:val="single" w:sz="4" w:space="0" w:color="auto"/>
            </w:tcBorders>
            <w:shd w:val="clear" w:color="auto" w:fill="auto"/>
            <w:noWrap/>
            <w:vAlign w:val="center"/>
            <w:hideMark/>
          </w:tcPr>
          <w:p w14:paraId="071FF209"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24,445</w:t>
            </w:r>
          </w:p>
        </w:tc>
        <w:tc>
          <w:tcPr>
            <w:tcW w:w="970" w:type="dxa"/>
            <w:tcBorders>
              <w:top w:val="nil"/>
              <w:left w:val="nil"/>
              <w:bottom w:val="single" w:sz="4" w:space="0" w:color="auto"/>
              <w:right w:val="single" w:sz="4" w:space="0" w:color="auto"/>
            </w:tcBorders>
            <w:shd w:val="clear" w:color="auto" w:fill="auto"/>
            <w:noWrap/>
            <w:vAlign w:val="center"/>
            <w:hideMark/>
          </w:tcPr>
          <w:p w14:paraId="6F94F2FF"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45,918</w:t>
            </w:r>
          </w:p>
        </w:tc>
        <w:tc>
          <w:tcPr>
            <w:tcW w:w="970" w:type="dxa"/>
            <w:tcBorders>
              <w:top w:val="nil"/>
              <w:left w:val="nil"/>
              <w:bottom w:val="single" w:sz="4" w:space="0" w:color="auto"/>
              <w:right w:val="single" w:sz="4" w:space="0" w:color="auto"/>
            </w:tcBorders>
            <w:shd w:val="clear" w:color="auto" w:fill="auto"/>
            <w:noWrap/>
            <w:vAlign w:val="center"/>
            <w:hideMark/>
          </w:tcPr>
          <w:p w14:paraId="403B1586"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1,798</w:t>
            </w:r>
          </w:p>
        </w:tc>
        <w:tc>
          <w:tcPr>
            <w:tcW w:w="971" w:type="dxa"/>
            <w:tcBorders>
              <w:top w:val="nil"/>
              <w:left w:val="nil"/>
              <w:bottom w:val="single" w:sz="4" w:space="0" w:color="auto"/>
              <w:right w:val="single" w:sz="4" w:space="0" w:color="auto"/>
            </w:tcBorders>
            <w:shd w:val="clear" w:color="auto" w:fill="auto"/>
            <w:noWrap/>
            <w:vAlign w:val="center"/>
            <w:hideMark/>
          </w:tcPr>
          <w:p w14:paraId="35B59D4E"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13609B32"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15,128</w:t>
            </w:r>
          </w:p>
        </w:tc>
        <w:tc>
          <w:tcPr>
            <w:tcW w:w="970" w:type="dxa"/>
            <w:tcBorders>
              <w:top w:val="nil"/>
              <w:left w:val="nil"/>
              <w:bottom w:val="single" w:sz="4" w:space="0" w:color="auto"/>
              <w:right w:val="single" w:sz="4" w:space="0" w:color="auto"/>
            </w:tcBorders>
            <w:shd w:val="clear" w:color="auto" w:fill="auto"/>
            <w:noWrap/>
            <w:vAlign w:val="center"/>
            <w:hideMark/>
          </w:tcPr>
          <w:p w14:paraId="7C2E892E"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20519682"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493,314</w:t>
            </w:r>
          </w:p>
        </w:tc>
      </w:tr>
      <w:tr w:rsidR="008428AF" w:rsidRPr="00A2223A" w14:paraId="19DCDAB2" w14:textId="77777777" w:rsidTr="00FE1263">
        <w:trPr>
          <w:trHeight w:val="300"/>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46BD95EB" w14:textId="77777777" w:rsidR="00977693" w:rsidRPr="00A2223A" w:rsidRDefault="00977693" w:rsidP="003D68D1">
            <w:pPr>
              <w:spacing w:after="0" w:line="240" w:lineRule="auto"/>
              <w:rPr>
                <w:rFonts w:cs="Arial"/>
                <w:color w:val="000000"/>
                <w:sz w:val="15"/>
                <w:szCs w:val="15"/>
                <w:lang w:eastAsia="en-AU"/>
              </w:rPr>
            </w:pPr>
            <w:r w:rsidRPr="00A2223A">
              <w:rPr>
                <w:rFonts w:cs="Arial"/>
                <w:color w:val="000000"/>
                <w:sz w:val="15"/>
                <w:szCs w:val="15"/>
                <w:lang w:eastAsia="en-AU"/>
              </w:rPr>
              <w:t>Monash Health</w:t>
            </w:r>
          </w:p>
        </w:tc>
        <w:tc>
          <w:tcPr>
            <w:tcW w:w="970" w:type="dxa"/>
            <w:tcBorders>
              <w:top w:val="nil"/>
              <w:left w:val="nil"/>
              <w:bottom w:val="single" w:sz="4" w:space="0" w:color="auto"/>
              <w:right w:val="single" w:sz="4" w:space="0" w:color="auto"/>
            </w:tcBorders>
            <w:shd w:val="clear" w:color="auto" w:fill="auto"/>
            <w:noWrap/>
            <w:vAlign w:val="center"/>
            <w:hideMark/>
          </w:tcPr>
          <w:p w14:paraId="722D38CD"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2,261,456</w:t>
            </w:r>
          </w:p>
        </w:tc>
        <w:tc>
          <w:tcPr>
            <w:tcW w:w="970" w:type="dxa"/>
            <w:tcBorders>
              <w:top w:val="nil"/>
              <w:left w:val="nil"/>
              <w:bottom w:val="single" w:sz="4" w:space="0" w:color="auto"/>
              <w:right w:val="single" w:sz="4" w:space="0" w:color="auto"/>
            </w:tcBorders>
            <w:shd w:val="clear" w:color="auto" w:fill="auto"/>
            <w:noWrap/>
            <w:vAlign w:val="center"/>
            <w:hideMark/>
          </w:tcPr>
          <w:p w14:paraId="4BE907E8"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1,334,824</w:t>
            </w:r>
          </w:p>
        </w:tc>
        <w:tc>
          <w:tcPr>
            <w:tcW w:w="970" w:type="dxa"/>
            <w:tcBorders>
              <w:top w:val="nil"/>
              <w:left w:val="nil"/>
              <w:bottom w:val="single" w:sz="4" w:space="0" w:color="auto"/>
              <w:right w:val="single" w:sz="4" w:space="0" w:color="auto"/>
            </w:tcBorders>
            <w:shd w:val="clear" w:color="auto" w:fill="auto"/>
            <w:noWrap/>
            <w:vAlign w:val="center"/>
            <w:hideMark/>
          </w:tcPr>
          <w:p w14:paraId="45E13DCD"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190,190</w:t>
            </w:r>
          </w:p>
        </w:tc>
        <w:tc>
          <w:tcPr>
            <w:tcW w:w="971" w:type="dxa"/>
            <w:tcBorders>
              <w:top w:val="nil"/>
              <w:left w:val="nil"/>
              <w:bottom w:val="single" w:sz="4" w:space="0" w:color="auto"/>
              <w:right w:val="single" w:sz="4" w:space="0" w:color="auto"/>
            </w:tcBorders>
            <w:shd w:val="clear" w:color="auto" w:fill="auto"/>
            <w:noWrap/>
            <w:vAlign w:val="center"/>
            <w:hideMark/>
          </w:tcPr>
          <w:p w14:paraId="6D0CB83D"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205,310</w:t>
            </w:r>
          </w:p>
        </w:tc>
        <w:tc>
          <w:tcPr>
            <w:tcW w:w="970" w:type="dxa"/>
            <w:tcBorders>
              <w:top w:val="nil"/>
              <w:left w:val="nil"/>
              <w:bottom w:val="single" w:sz="4" w:space="0" w:color="auto"/>
              <w:right w:val="single" w:sz="4" w:space="0" w:color="auto"/>
            </w:tcBorders>
            <w:shd w:val="clear" w:color="auto" w:fill="auto"/>
            <w:noWrap/>
            <w:vAlign w:val="center"/>
            <w:hideMark/>
          </w:tcPr>
          <w:p w14:paraId="1C04E30A"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76,778</w:t>
            </w:r>
          </w:p>
        </w:tc>
        <w:tc>
          <w:tcPr>
            <w:tcW w:w="970" w:type="dxa"/>
            <w:tcBorders>
              <w:top w:val="nil"/>
              <w:left w:val="nil"/>
              <w:bottom w:val="single" w:sz="4" w:space="0" w:color="auto"/>
              <w:right w:val="single" w:sz="4" w:space="0" w:color="auto"/>
            </w:tcBorders>
            <w:shd w:val="clear" w:color="auto" w:fill="auto"/>
            <w:noWrap/>
            <w:vAlign w:val="center"/>
            <w:hideMark/>
          </w:tcPr>
          <w:p w14:paraId="0286B940"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1,043</w:t>
            </w:r>
          </w:p>
        </w:tc>
        <w:tc>
          <w:tcPr>
            <w:tcW w:w="971" w:type="dxa"/>
            <w:tcBorders>
              <w:top w:val="nil"/>
              <w:left w:val="nil"/>
              <w:bottom w:val="single" w:sz="4" w:space="0" w:color="auto"/>
              <w:right w:val="single" w:sz="4" w:space="0" w:color="auto"/>
            </w:tcBorders>
            <w:shd w:val="clear" w:color="auto" w:fill="auto"/>
            <w:noWrap/>
            <w:vAlign w:val="center"/>
            <w:hideMark/>
          </w:tcPr>
          <w:p w14:paraId="057D6BB9"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40,665</w:t>
            </w:r>
          </w:p>
        </w:tc>
        <w:tc>
          <w:tcPr>
            <w:tcW w:w="970" w:type="dxa"/>
            <w:tcBorders>
              <w:top w:val="nil"/>
              <w:left w:val="nil"/>
              <w:bottom w:val="single" w:sz="4" w:space="0" w:color="auto"/>
              <w:right w:val="single" w:sz="4" w:space="0" w:color="auto"/>
            </w:tcBorders>
            <w:shd w:val="clear" w:color="auto" w:fill="auto"/>
            <w:noWrap/>
            <w:vAlign w:val="center"/>
            <w:hideMark/>
          </w:tcPr>
          <w:p w14:paraId="379A56C6"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90,691</w:t>
            </w:r>
          </w:p>
        </w:tc>
        <w:tc>
          <w:tcPr>
            <w:tcW w:w="970" w:type="dxa"/>
            <w:tcBorders>
              <w:top w:val="nil"/>
              <w:left w:val="nil"/>
              <w:bottom w:val="single" w:sz="4" w:space="0" w:color="auto"/>
              <w:right w:val="single" w:sz="4" w:space="0" w:color="auto"/>
            </w:tcBorders>
            <w:shd w:val="clear" w:color="auto" w:fill="auto"/>
            <w:noWrap/>
            <w:vAlign w:val="center"/>
            <w:hideMark/>
          </w:tcPr>
          <w:p w14:paraId="36FFCE1A"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137,227</w:t>
            </w:r>
          </w:p>
        </w:tc>
        <w:tc>
          <w:tcPr>
            <w:tcW w:w="970" w:type="dxa"/>
            <w:tcBorders>
              <w:top w:val="nil"/>
              <w:left w:val="nil"/>
              <w:bottom w:val="single" w:sz="4" w:space="0" w:color="auto"/>
              <w:right w:val="single" w:sz="4" w:space="0" w:color="auto"/>
            </w:tcBorders>
            <w:shd w:val="clear" w:color="auto" w:fill="auto"/>
            <w:noWrap/>
            <w:vAlign w:val="center"/>
            <w:hideMark/>
          </w:tcPr>
          <w:p w14:paraId="0E928062"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30,712</w:t>
            </w:r>
          </w:p>
        </w:tc>
        <w:tc>
          <w:tcPr>
            <w:tcW w:w="971" w:type="dxa"/>
            <w:tcBorders>
              <w:top w:val="nil"/>
              <w:left w:val="nil"/>
              <w:bottom w:val="single" w:sz="4" w:space="0" w:color="auto"/>
              <w:right w:val="single" w:sz="4" w:space="0" w:color="auto"/>
            </w:tcBorders>
            <w:shd w:val="clear" w:color="auto" w:fill="auto"/>
            <w:noWrap/>
            <w:vAlign w:val="center"/>
            <w:hideMark/>
          </w:tcPr>
          <w:p w14:paraId="2553E746"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1EDC40B3"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135,376</w:t>
            </w:r>
          </w:p>
        </w:tc>
        <w:tc>
          <w:tcPr>
            <w:tcW w:w="970" w:type="dxa"/>
            <w:tcBorders>
              <w:top w:val="nil"/>
              <w:left w:val="nil"/>
              <w:bottom w:val="single" w:sz="4" w:space="0" w:color="auto"/>
              <w:right w:val="single" w:sz="4" w:space="0" w:color="auto"/>
            </w:tcBorders>
            <w:shd w:val="clear" w:color="auto" w:fill="auto"/>
            <w:noWrap/>
            <w:vAlign w:val="center"/>
            <w:hideMark/>
          </w:tcPr>
          <w:p w14:paraId="02AAC575"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1,500</w:t>
            </w:r>
          </w:p>
        </w:tc>
        <w:tc>
          <w:tcPr>
            <w:tcW w:w="971" w:type="dxa"/>
            <w:tcBorders>
              <w:top w:val="nil"/>
              <w:left w:val="nil"/>
              <w:bottom w:val="single" w:sz="4" w:space="0" w:color="auto"/>
              <w:right w:val="single" w:sz="4" w:space="0" w:color="auto"/>
            </w:tcBorders>
            <w:shd w:val="clear" w:color="auto" w:fill="auto"/>
            <w:noWrap/>
            <w:vAlign w:val="center"/>
            <w:hideMark/>
          </w:tcPr>
          <w:p w14:paraId="6C65D658"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2,244,316</w:t>
            </w:r>
          </w:p>
        </w:tc>
      </w:tr>
      <w:tr w:rsidR="008428AF" w:rsidRPr="00A2223A" w14:paraId="3150FB27" w14:textId="77777777" w:rsidTr="00FE1263">
        <w:trPr>
          <w:trHeight w:val="300"/>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48BE9849" w14:textId="77777777" w:rsidR="00977693" w:rsidRPr="00A2223A" w:rsidRDefault="00977693" w:rsidP="003D68D1">
            <w:pPr>
              <w:spacing w:after="0" w:line="240" w:lineRule="auto"/>
              <w:rPr>
                <w:rFonts w:cs="Arial"/>
                <w:color w:val="000000"/>
                <w:sz w:val="15"/>
                <w:szCs w:val="15"/>
                <w:lang w:eastAsia="en-AU"/>
              </w:rPr>
            </w:pPr>
            <w:r w:rsidRPr="00A2223A">
              <w:rPr>
                <w:rFonts w:cs="Arial"/>
                <w:color w:val="000000"/>
                <w:sz w:val="15"/>
                <w:szCs w:val="15"/>
                <w:lang w:eastAsia="en-AU"/>
              </w:rPr>
              <w:t>Northern Health</w:t>
            </w:r>
          </w:p>
        </w:tc>
        <w:tc>
          <w:tcPr>
            <w:tcW w:w="970" w:type="dxa"/>
            <w:tcBorders>
              <w:top w:val="nil"/>
              <w:left w:val="nil"/>
              <w:bottom w:val="single" w:sz="4" w:space="0" w:color="auto"/>
              <w:right w:val="single" w:sz="4" w:space="0" w:color="auto"/>
            </w:tcBorders>
            <w:shd w:val="clear" w:color="auto" w:fill="auto"/>
            <w:noWrap/>
            <w:vAlign w:val="center"/>
            <w:hideMark/>
          </w:tcPr>
          <w:p w14:paraId="52E4F625"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811,697</w:t>
            </w:r>
          </w:p>
        </w:tc>
        <w:tc>
          <w:tcPr>
            <w:tcW w:w="970" w:type="dxa"/>
            <w:tcBorders>
              <w:top w:val="nil"/>
              <w:left w:val="nil"/>
              <w:bottom w:val="single" w:sz="4" w:space="0" w:color="auto"/>
              <w:right w:val="single" w:sz="4" w:space="0" w:color="auto"/>
            </w:tcBorders>
            <w:shd w:val="clear" w:color="auto" w:fill="auto"/>
            <w:noWrap/>
            <w:vAlign w:val="center"/>
            <w:hideMark/>
          </w:tcPr>
          <w:p w14:paraId="34C3CA2D"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446,663</w:t>
            </w:r>
          </w:p>
        </w:tc>
        <w:tc>
          <w:tcPr>
            <w:tcW w:w="970" w:type="dxa"/>
            <w:tcBorders>
              <w:top w:val="nil"/>
              <w:left w:val="nil"/>
              <w:bottom w:val="single" w:sz="4" w:space="0" w:color="auto"/>
              <w:right w:val="single" w:sz="4" w:space="0" w:color="auto"/>
            </w:tcBorders>
            <w:shd w:val="clear" w:color="auto" w:fill="auto"/>
            <w:noWrap/>
            <w:vAlign w:val="center"/>
            <w:hideMark/>
          </w:tcPr>
          <w:p w14:paraId="562FE6EE"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71,203</w:t>
            </w:r>
          </w:p>
        </w:tc>
        <w:tc>
          <w:tcPr>
            <w:tcW w:w="971" w:type="dxa"/>
            <w:tcBorders>
              <w:top w:val="nil"/>
              <w:left w:val="nil"/>
              <w:bottom w:val="single" w:sz="4" w:space="0" w:color="auto"/>
              <w:right w:val="single" w:sz="4" w:space="0" w:color="auto"/>
            </w:tcBorders>
            <w:shd w:val="clear" w:color="auto" w:fill="auto"/>
            <w:noWrap/>
            <w:vAlign w:val="center"/>
            <w:hideMark/>
          </w:tcPr>
          <w:p w14:paraId="06BB165A"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84,717</w:t>
            </w:r>
          </w:p>
        </w:tc>
        <w:tc>
          <w:tcPr>
            <w:tcW w:w="970" w:type="dxa"/>
            <w:tcBorders>
              <w:top w:val="nil"/>
              <w:left w:val="nil"/>
              <w:bottom w:val="single" w:sz="4" w:space="0" w:color="auto"/>
              <w:right w:val="single" w:sz="4" w:space="0" w:color="auto"/>
            </w:tcBorders>
            <w:shd w:val="clear" w:color="auto" w:fill="auto"/>
            <w:noWrap/>
            <w:vAlign w:val="center"/>
            <w:hideMark/>
          </w:tcPr>
          <w:p w14:paraId="52551EA9"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39,988</w:t>
            </w:r>
          </w:p>
        </w:tc>
        <w:tc>
          <w:tcPr>
            <w:tcW w:w="970" w:type="dxa"/>
            <w:tcBorders>
              <w:top w:val="nil"/>
              <w:left w:val="nil"/>
              <w:bottom w:val="single" w:sz="4" w:space="0" w:color="auto"/>
              <w:right w:val="single" w:sz="4" w:space="0" w:color="auto"/>
            </w:tcBorders>
            <w:shd w:val="clear" w:color="auto" w:fill="auto"/>
            <w:noWrap/>
            <w:vAlign w:val="center"/>
            <w:hideMark/>
          </w:tcPr>
          <w:p w14:paraId="26861A6E"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01B0AA0F"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16,614</w:t>
            </w:r>
          </w:p>
        </w:tc>
        <w:tc>
          <w:tcPr>
            <w:tcW w:w="970" w:type="dxa"/>
            <w:tcBorders>
              <w:top w:val="nil"/>
              <w:left w:val="nil"/>
              <w:bottom w:val="single" w:sz="4" w:space="0" w:color="auto"/>
              <w:right w:val="single" w:sz="4" w:space="0" w:color="auto"/>
            </w:tcBorders>
            <w:shd w:val="clear" w:color="auto" w:fill="auto"/>
            <w:noWrap/>
            <w:vAlign w:val="center"/>
            <w:hideMark/>
          </w:tcPr>
          <w:p w14:paraId="7178A87C"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57,285</w:t>
            </w:r>
          </w:p>
        </w:tc>
        <w:tc>
          <w:tcPr>
            <w:tcW w:w="970" w:type="dxa"/>
            <w:tcBorders>
              <w:top w:val="nil"/>
              <w:left w:val="nil"/>
              <w:bottom w:val="single" w:sz="4" w:space="0" w:color="auto"/>
              <w:right w:val="single" w:sz="4" w:space="0" w:color="auto"/>
            </w:tcBorders>
            <w:shd w:val="clear" w:color="auto" w:fill="auto"/>
            <w:noWrap/>
            <w:vAlign w:val="center"/>
            <w:hideMark/>
          </w:tcPr>
          <w:p w14:paraId="3CE48F3E"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80,549</w:t>
            </w:r>
          </w:p>
        </w:tc>
        <w:tc>
          <w:tcPr>
            <w:tcW w:w="970" w:type="dxa"/>
            <w:tcBorders>
              <w:top w:val="nil"/>
              <w:left w:val="nil"/>
              <w:bottom w:val="single" w:sz="4" w:space="0" w:color="auto"/>
              <w:right w:val="single" w:sz="4" w:space="0" w:color="auto"/>
            </w:tcBorders>
            <w:shd w:val="clear" w:color="auto" w:fill="auto"/>
            <w:noWrap/>
            <w:vAlign w:val="center"/>
            <w:hideMark/>
          </w:tcPr>
          <w:p w14:paraId="2758012F"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4,421</w:t>
            </w:r>
          </w:p>
        </w:tc>
        <w:tc>
          <w:tcPr>
            <w:tcW w:w="971" w:type="dxa"/>
            <w:tcBorders>
              <w:top w:val="nil"/>
              <w:left w:val="nil"/>
              <w:bottom w:val="single" w:sz="4" w:space="0" w:color="auto"/>
              <w:right w:val="single" w:sz="4" w:space="0" w:color="auto"/>
            </w:tcBorders>
            <w:shd w:val="clear" w:color="auto" w:fill="auto"/>
            <w:noWrap/>
            <w:vAlign w:val="center"/>
            <w:hideMark/>
          </w:tcPr>
          <w:p w14:paraId="763242BC"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01371E43"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52,203</w:t>
            </w:r>
          </w:p>
        </w:tc>
        <w:tc>
          <w:tcPr>
            <w:tcW w:w="970" w:type="dxa"/>
            <w:tcBorders>
              <w:top w:val="nil"/>
              <w:left w:val="nil"/>
              <w:bottom w:val="single" w:sz="4" w:space="0" w:color="auto"/>
              <w:right w:val="single" w:sz="4" w:space="0" w:color="auto"/>
            </w:tcBorders>
            <w:shd w:val="clear" w:color="auto" w:fill="auto"/>
            <w:noWrap/>
            <w:vAlign w:val="center"/>
            <w:hideMark/>
          </w:tcPr>
          <w:p w14:paraId="3A909C79"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58CFA746"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853,643</w:t>
            </w:r>
          </w:p>
        </w:tc>
      </w:tr>
      <w:tr w:rsidR="008428AF" w:rsidRPr="00A2223A" w14:paraId="6A43DDD9" w14:textId="77777777" w:rsidTr="00FE1263">
        <w:trPr>
          <w:trHeight w:val="300"/>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0ABFCF07" w14:textId="77777777" w:rsidR="00977693" w:rsidRPr="00A2223A" w:rsidRDefault="00977693" w:rsidP="003D68D1">
            <w:pPr>
              <w:spacing w:after="0" w:line="240" w:lineRule="auto"/>
              <w:rPr>
                <w:rFonts w:cs="Arial"/>
                <w:color w:val="000000"/>
                <w:sz w:val="15"/>
                <w:szCs w:val="15"/>
                <w:lang w:eastAsia="en-AU"/>
              </w:rPr>
            </w:pPr>
            <w:r w:rsidRPr="00A2223A">
              <w:rPr>
                <w:rFonts w:cs="Arial"/>
                <w:color w:val="000000"/>
                <w:sz w:val="15"/>
                <w:szCs w:val="15"/>
                <w:lang w:eastAsia="en-AU"/>
              </w:rPr>
              <w:lastRenderedPageBreak/>
              <w:t>Peninsula Health</w:t>
            </w:r>
          </w:p>
        </w:tc>
        <w:tc>
          <w:tcPr>
            <w:tcW w:w="970" w:type="dxa"/>
            <w:tcBorders>
              <w:top w:val="nil"/>
              <w:left w:val="nil"/>
              <w:bottom w:val="single" w:sz="4" w:space="0" w:color="auto"/>
              <w:right w:val="single" w:sz="4" w:space="0" w:color="auto"/>
            </w:tcBorders>
            <w:shd w:val="clear" w:color="auto" w:fill="auto"/>
            <w:noWrap/>
            <w:vAlign w:val="center"/>
            <w:hideMark/>
          </w:tcPr>
          <w:p w14:paraId="7B75FA6F"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669,798</w:t>
            </w:r>
          </w:p>
        </w:tc>
        <w:tc>
          <w:tcPr>
            <w:tcW w:w="970" w:type="dxa"/>
            <w:tcBorders>
              <w:top w:val="nil"/>
              <w:left w:val="nil"/>
              <w:bottom w:val="single" w:sz="4" w:space="0" w:color="auto"/>
              <w:right w:val="single" w:sz="4" w:space="0" w:color="auto"/>
            </w:tcBorders>
            <w:shd w:val="clear" w:color="auto" w:fill="auto"/>
            <w:noWrap/>
            <w:vAlign w:val="center"/>
            <w:hideMark/>
          </w:tcPr>
          <w:p w14:paraId="78156BAF"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389,287</w:t>
            </w:r>
          </w:p>
        </w:tc>
        <w:tc>
          <w:tcPr>
            <w:tcW w:w="970" w:type="dxa"/>
            <w:tcBorders>
              <w:top w:val="nil"/>
              <w:left w:val="nil"/>
              <w:bottom w:val="single" w:sz="4" w:space="0" w:color="auto"/>
              <w:right w:val="single" w:sz="4" w:space="0" w:color="auto"/>
            </w:tcBorders>
            <w:shd w:val="clear" w:color="auto" w:fill="auto"/>
            <w:noWrap/>
            <w:vAlign w:val="center"/>
            <w:hideMark/>
          </w:tcPr>
          <w:p w14:paraId="68D1000C"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41,553</w:t>
            </w:r>
          </w:p>
        </w:tc>
        <w:tc>
          <w:tcPr>
            <w:tcW w:w="971" w:type="dxa"/>
            <w:tcBorders>
              <w:top w:val="nil"/>
              <w:left w:val="nil"/>
              <w:bottom w:val="single" w:sz="4" w:space="0" w:color="auto"/>
              <w:right w:val="single" w:sz="4" w:space="0" w:color="auto"/>
            </w:tcBorders>
            <w:shd w:val="clear" w:color="auto" w:fill="auto"/>
            <w:noWrap/>
            <w:vAlign w:val="center"/>
            <w:hideMark/>
          </w:tcPr>
          <w:p w14:paraId="34FBC6B8"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80,140</w:t>
            </w:r>
          </w:p>
        </w:tc>
        <w:tc>
          <w:tcPr>
            <w:tcW w:w="970" w:type="dxa"/>
            <w:tcBorders>
              <w:top w:val="nil"/>
              <w:left w:val="nil"/>
              <w:bottom w:val="single" w:sz="4" w:space="0" w:color="auto"/>
              <w:right w:val="single" w:sz="4" w:space="0" w:color="auto"/>
            </w:tcBorders>
            <w:shd w:val="clear" w:color="auto" w:fill="auto"/>
            <w:noWrap/>
            <w:vAlign w:val="center"/>
            <w:hideMark/>
          </w:tcPr>
          <w:p w14:paraId="3A034C13"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49,557</w:t>
            </w:r>
          </w:p>
        </w:tc>
        <w:tc>
          <w:tcPr>
            <w:tcW w:w="970" w:type="dxa"/>
            <w:tcBorders>
              <w:top w:val="nil"/>
              <w:left w:val="nil"/>
              <w:bottom w:val="single" w:sz="4" w:space="0" w:color="auto"/>
              <w:right w:val="single" w:sz="4" w:space="0" w:color="auto"/>
            </w:tcBorders>
            <w:shd w:val="clear" w:color="auto" w:fill="auto"/>
            <w:noWrap/>
            <w:vAlign w:val="center"/>
            <w:hideMark/>
          </w:tcPr>
          <w:p w14:paraId="2B8A3677"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213</w:t>
            </w:r>
          </w:p>
        </w:tc>
        <w:tc>
          <w:tcPr>
            <w:tcW w:w="971" w:type="dxa"/>
            <w:tcBorders>
              <w:top w:val="nil"/>
              <w:left w:val="nil"/>
              <w:bottom w:val="single" w:sz="4" w:space="0" w:color="auto"/>
              <w:right w:val="single" w:sz="4" w:space="0" w:color="auto"/>
            </w:tcBorders>
            <w:shd w:val="clear" w:color="auto" w:fill="auto"/>
            <w:noWrap/>
            <w:vAlign w:val="center"/>
            <w:hideMark/>
          </w:tcPr>
          <w:p w14:paraId="70584A98"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12,977</w:t>
            </w:r>
          </w:p>
        </w:tc>
        <w:tc>
          <w:tcPr>
            <w:tcW w:w="970" w:type="dxa"/>
            <w:tcBorders>
              <w:top w:val="nil"/>
              <w:left w:val="nil"/>
              <w:bottom w:val="single" w:sz="4" w:space="0" w:color="auto"/>
              <w:right w:val="single" w:sz="4" w:space="0" w:color="auto"/>
            </w:tcBorders>
            <w:shd w:val="clear" w:color="auto" w:fill="auto"/>
            <w:noWrap/>
            <w:vAlign w:val="center"/>
            <w:hideMark/>
          </w:tcPr>
          <w:p w14:paraId="0632A17C"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18,117</w:t>
            </w:r>
          </w:p>
        </w:tc>
        <w:tc>
          <w:tcPr>
            <w:tcW w:w="970" w:type="dxa"/>
            <w:tcBorders>
              <w:top w:val="nil"/>
              <w:left w:val="nil"/>
              <w:bottom w:val="single" w:sz="4" w:space="0" w:color="auto"/>
              <w:right w:val="single" w:sz="4" w:space="0" w:color="auto"/>
            </w:tcBorders>
            <w:shd w:val="clear" w:color="auto" w:fill="auto"/>
            <w:noWrap/>
            <w:vAlign w:val="center"/>
            <w:hideMark/>
          </w:tcPr>
          <w:p w14:paraId="5F69B3B0"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46,949</w:t>
            </w:r>
          </w:p>
        </w:tc>
        <w:tc>
          <w:tcPr>
            <w:tcW w:w="970" w:type="dxa"/>
            <w:tcBorders>
              <w:top w:val="nil"/>
              <w:left w:val="nil"/>
              <w:bottom w:val="single" w:sz="4" w:space="0" w:color="auto"/>
              <w:right w:val="single" w:sz="4" w:space="0" w:color="auto"/>
            </w:tcBorders>
            <w:shd w:val="clear" w:color="auto" w:fill="auto"/>
            <w:noWrap/>
            <w:vAlign w:val="center"/>
            <w:hideMark/>
          </w:tcPr>
          <w:p w14:paraId="751F5621"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3,383</w:t>
            </w:r>
          </w:p>
        </w:tc>
        <w:tc>
          <w:tcPr>
            <w:tcW w:w="971" w:type="dxa"/>
            <w:tcBorders>
              <w:top w:val="nil"/>
              <w:left w:val="nil"/>
              <w:bottom w:val="single" w:sz="4" w:space="0" w:color="auto"/>
              <w:right w:val="single" w:sz="4" w:space="0" w:color="auto"/>
            </w:tcBorders>
            <w:shd w:val="clear" w:color="auto" w:fill="auto"/>
            <w:noWrap/>
            <w:vAlign w:val="center"/>
            <w:hideMark/>
          </w:tcPr>
          <w:p w14:paraId="4E381F1B"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5A0E3708"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44,247</w:t>
            </w:r>
          </w:p>
        </w:tc>
        <w:tc>
          <w:tcPr>
            <w:tcW w:w="970" w:type="dxa"/>
            <w:tcBorders>
              <w:top w:val="nil"/>
              <w:left w:val="nil"/>
              <w:bottom w:val="single" w:sz="4" w:space="0" w:color="auto"/>
              <w:right w:val="single" w:sz="4" w:space="0" w:color="auto"/>
            </w:tcBorders>
            <w:shd w:val="clear" w:color="auto" w:fill="auto"/>
            <w:noWrap/>
            <w:vAlign w:val="center"/>
            <w:hideMark/>
          </w:tcPr>
          <w:p w14:paraId="6E622125"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459E7038"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686,424</w:t>
            </w:r>
          </w:p>
        </w:tc>
      </w:tr>
      <w:tr w:rsidR="008428AF" w:rsidRPr="00A2223A" w14:paraId="22BB8B65" w14:textId="77777777" w:rsidTr="00FE1263">
        <w:trPr>
          <w:trHeight w:val="300"/>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48A2AEF0" w14:textId="77777777" w:rsidR="00977693" w:rsidRPr="00A2223A" w:rsidRDefault="00977693" w:rsidP="003D68D1">
            <w:pPr>
              <w:spacing w:after="0" w:line="240" w:lineRule="auto"/>
              <w:rPr>
                <w:rFonts w:cs="Arial"/>
                <w:color w:val="000000"/>
                <w:sz w:val="15"/>
                <w:szCs w:val="15"/>
                <w:lang w:eastAsia="en-AU"/>
              </w:rPr>
            </w:pPr>
            <w:r w:rsidRPr="00A2223A">
              <w:rPr>
                <w:rFonts w:cs="Arial"/>
                <w:color w:val="000000"/>
                <w:sz w:val="15"/>
                <w:szCs w:val="15"/>
                <w:lang w:eastAsia="en-AU"/>
              </w:rPr>
              <w:t>Peter Mac</w:t>
            </w:r>
            <w:r>
              <w:rPr>
                <w:rFonts w:cs="Arial"/>
                <w:color w:val="000000"/>
                <w:sz w:val="15"/>
                <w:szCs w:val="15"/>
                <w:lang w:eastAsia="en-AU"/>
              </w:rPr>
              <w:t>C</w:t>
            </w:r>
            <w:r w:rsidRPr="00A2223A">
              <w:rPr>
                <w:rFonts w:cs="Arial"/>
                <w:color w:val="000000"/>
                <w:sz w:val="15"/>
                <w:szCs w:val="15"/>
                <w:lang w:eastAsia="en-AU"/>
              </w:rPr>
              <w:t>allum Cancer Institute</w:t>
            </w:r>
          </w:p>
        </w:tc>
        <w:tc>
          <w:tcPr>
            <w:tcW w:w="970" w:type="dxa"/>
            <w:tcBorders>
              <w:top w:val="nil"/>
              <w:left w:val="nil"/>
              <w:bottom w:val="single" w:sz="4" w:space="0" w:color="auto"/>
              <w:right w:val="single" w:sz="4" w:space="0" w:color="auto"/>
            </w:tcBorders>
            <w:shd w:val="clear" w:color="auto" w:fill="auto"/>
            <w:noWrap/>
            <w:vAlign w:val="center"/>
            <w:hideMark/>
          </w:tcPr>
          <w:p w14:paraId="241E169D"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308,389</w:t>
            </w:r>
          </w:p>
        </w:tc>
        <w:tc>
          <w:tcPr>
            <w:tcW w:w="970" w:type="dxa"/>
            <w:tcBorders>
              <w:top w:val="nil"/>
              <w:left w:val="nil"/>
              <w:bottom w:val="single" w:sz="4" w:space="0" w:color="auto"/>
              <w:right w:val="single" w:sz="4" w:space="0" w:color="auto"/>
            </w:tcBorders>
            <w:shd w:val="clear" w:color="auto" w:fill="auto"/>
            <w:noWrap/>
            <w:vAlign w:val="center"/>
            <w:hideMark/>
          </w:tcPr>
          <w:p w14:paraId="31564E51"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154,038</w:t>
            </w:r>
          </w:p>
        </w:tc>
        <w:tc>
          <w:tcPr>
            <w:tcW w:w="970" w:type="dxa"/>
            <w:tcBorders>
              <w:top w:val="nil"/>
              <w:left w:val="nil"/>
              <w:bottom w:val="single" w:sz="4" w:space="0" w:color="auto"/>
              <w:right w:val="single" w:sz="4" w:space="0" w:color="auto"/>
            </w:tcBorders>
            <w:shd w:val="clear" w:color="auto" w:fill="auto"/>
            <w:noWrap/>
            <w:vAlign w:val="center"/>
            <w:hideMark/>
          </w:tcPr>
          <w:p w14:paraId="570745A0"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30,528</w:t>
            </w:r>
          </w:p>
        </w:tc>
        <w:tc>
          <w:tcPr>
            <w:tcW w:w="971" w:type="dxa"/>
            <w:tcBorders>
              <w:top w:val="nil"/>
              <w:left w:val="nil"/>
              <w:bottom w:val="single" w:sz="4" w:space="0" w:color="auto"/>
              <w:right w:val="single" w:sz="4" w:space="0" w:color="auto"/>
            </w:tcBorders>
            <w:shd w:val="clear" w:color="auto" w:fill="auto"/>
            <w:noWrap/>
            <w:vAlign w:val="center"/>
            <w:hideMark/>
          </w:tcPr>
          <w:p w14:paraId="4D0700E9"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20BAD92A"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2,531</w:t>
            </w:r>
          </w:p>
        </w:tc>
        <w:tc>
          <w:tcPr>
            <w:tcW w:w="970" w:type="dxa"/>
            <w:tcBorders>
              <w:top w:val="nil"/>
              <w:left w:val="nil"/>
              <w:bottom w:val="single" w:sz="4" w:space="0" w:color="auto"/>
              <w:right w:val="single" w:sz="4" w:space="0" w:color="auto"/>
            </w:tcBorders>
            <w:shd w:val="clear" w:color="auto" w:fill="auto"/>
            <w:noWrap/>
            <w:vAlign w:val="center"/>
            <w:hideMark/>
          </w:tcPr>
          <w:p w14:paraId="3B29F707"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53F6880E"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3,453</w:t>
            </w:r>
          </w:p>
        </w:tc>
        <w:tc>
          <w:tcPr>
            <w:tcW w:w="970" w:type="dxa"/>
            <w:tcBorders>
              <w:top w:val="nil"/>
              <w:left w:val="nil"/>
              <w:bottom w:val="single" w:sz="4" w:space="0" w:color="auto"/>
              <w:right w:val="single" w:sz="4" w:space="0" w:color="auto"/>
            </w:tcBorders>
            <w:shd w:val="clear" w:color="auto" w:fill="auto"/>
            <w:noWrap/>
            <w:vAlign w:val="center"/>
            <w:hideMark/>
          </w:tcPr>
          <w:p w14:paraId="33CE69FD"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10C4CDC7"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69170DFA"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348022FC"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32CAFE5B"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74,396</w:t>
            </w:r>
          </w:p>
        </w:tc>
        <w:tc>
          <w:tcPr>
            <w:tcW w:w="970" w:type="dxa"/>
            <w:tcBorders>
              <w:top w:val="nil"/>
              <w:left w:val="nil"/>
              <w:bottom w:val="single" w:sz="4" w:space="0" w:color="auto"/>
              <w:right w:val="single" w:sz="4" w:space="0" w:color="auto"/>
            </w:tcBorders>
            <w:shd w:val="clear" w:color="auto" w:fill="auto"/>
            <w:noWrap/>
            <w:vAlign w:val="center"/>
            <w:hideMark/>
          </w:tcPr>
          <w:p w14:paraId="308CB69C"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46,749</w:t>
            </w:r>
          </w:p>
        </w:tc>
        <w:tc>
          <w:tcPr>
            <w:tcW w:w="971" w:type="dxa"/>
            <w:tcBorders>
              <w:top w:val="nil"/>
              <w:left w:val="nil"/>
              <w:bottom w:val="single" w:sz="4" w:space="0" w:color="auto"/>
              <w:right w:val="single" w:sz="4" w:space="0" w:color="auto"/>
            </w:tcBorders>
            <w:shd w:val="clear" w:color="auto" w:fill="auto"/>
            <w:noWrap/>
            <w:vAlign w:val="center"/>
            <w:hideMark/>
          </w:tcPr>
          <w:p w14:paraId="21465870"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311,695</w:t>
            </w:r>
          </w:p>
        </w:tc>
      </w:tr>
      <w:tr w:rsidR="008428AF" w:rsidRPr="00A2223A" w14:paraId="430E9D2B" w14:textId="77777777" w:rsidTr="00FE1263">
        <w:trPr>
          <w:trHeight w:val="390"/>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0FDF58D8" w14:textId="77777777" w:rsidR="00977693" w:rsidRPr="00A2223A" w:rsidRDefault="00977693" w:rsidP="003D68D1">
            <w:pPr>
              <w:spacing w:after="0" w:line="240" w:lineRule="auto"/>
              <w:rPr>
                <w:rFonts w:cs="Arial"/>
                <w:color w:val="000000"/>
                <w:sz w:val="15"/>
                <w:szCs w:val="15"/>
                <w:lang w:eastAsia="en-AU"/>
              </w:rPr>
            </w:pPr>
            <w:r w:rsidRPr="00A2223A">
              <w:rPr>
                <w:rFonts w:cs="Arial"/>
                <w:color w:val="000000"/>
                <w:sz w:val="15"/>
                <w:szCs w:val="15"/>
                <w:lang w:eastAsia="en-AU"/>
              </w:rPr>
              <w:t>St Vincent</w:t>
            </w:r>
            <w:r>
              <w:rPr>
                <w:rFonts w:cs="Arial"/>
                <w:color w:val="000000"/>
                <w:sz w:val="15"/>
                <w:szCs w:val="15"/>
                <w:lang w:eastAsia="en-AU"/>
              </w:rPr>
              <w:t>’</w:t>
            </w:r>
            <w:r w:rsidRPr="00A2223A">
              <w:rPr>
                <w:rFonts w:cs="Arial"/>
                <w:color w:val="000000"/>
                <w:sz w:val="15"/>
                <w:szCs w:val="15"/>
                <w:lang w:eastAsia="en-AU"/>
              </w:rPr>
              <w:t>s Hospital Melbourne Limited</w:t>
            </w:r>
          </w:p>
        </w:tc>
        <w:tc>
          <w:tcPr>
            <w:tcW w:w="970" w:type="dxa"/>
            <w:tcBorders>
              <w:top w:val="nil"/>
              <w:left w:val="nil"/>
              <w:bottom w:val="single" w:sz="4" w:space="0" w:color="auto"/>
              <w:right w:val="single" w:sz="4" w:space="0" w:color="auto"/>
            </w:tcBorders>
            <w:shd w:val="clear" w:color="auto" w:fill="auto"/>
            <w:noWrap/>
            <w:vAlign w:val="center"/>
            <w:hideMark/>
          </w:tcPr>
          <w:p w14:paraId="065FFDF6"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668,927</w:t>
            </w:r>
          </w:p>
        </w:tc>
        <w:tc>
          <w:tcPr>
            <w:tcW w:w="970" w:type="dxa"/>
            <w:tcBorders>
              <w:top w:val="nil"/>
              <w:left w:val="nil"/>
              <w:bottom w:val="single" w:sz="4" w:space="0" w:color="auto"/>
              <w:right w:val="single" w:sz="4" w:space="0" w:color="auto"/>
            </w:tcBorders>
            <w:shd w:val="clear" w:color="auto" w:fill="auto"/>
            <w:noWrap/>
            <w:vAlign w:val="center"/>
            <w:hideMark/>
          </w:tcPr>
          <w:p w14:paraId="2B9E6F48"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399,125</w:t>
            </w:r>
          </w:p>
        </w:tc>
        <w:tc>
          <w:tcPr>
            <w:tcW w:w="970" w:type="dxa"/>
            <w:tcBorders>
              <w:top w:val="nil"/>
              <w:left w:val="nil"/>
              <w:bottom w:val="single" w:sz="4" w:space="0" w:color="auto"/>
              <w:right w:val="single" w:sz="4" w:space="0" w:color="auto"/>
            </w:tcBorders>
            <w:shd w:val="clear" w:color="auto" w:fill="auto"/>
            <w:noWrap/>
            <w:vAlign w:val="center"/>
            <w:hideMark/>
          </w:tcPr>
          <w:p w14:paraId="781FD75F"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62,535</w:t>
            </w:r>
          </w:p>
        </w:tc>
        <w:tc>
          <w:tcPr>
            <w:tcW w:w="971" w:type="dxa"/>
            <w:tcBorders>
              <w:top w:val="nil"/>
              <w:left w:val="nil"/>
              <w:bottom w:val="single" w:sz="4" w:space="0" w:color="auto"/>
              <w:right w:val="single" w:sz="4" w:space="0" w:color="auto"/>
            </w:tcBorders>
            <w:shd w:val="clear" w:color="auto" w:fill="auto"/>
            <w:noWrap/>
            <w:vAlign w:val="center"/>
            <w:hideMark/>
          </w:tcPr>
          <w:p w14:paraId="78965CE2"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54,382</w:t>
            </w:r>
          </w:p>
        </w:tc>
        <w:tc>
          <w:tcPr>
            <w:tcW w:w="970" w:type="dxa"/>
            <w:tcBorders>
              <w:top w:val="nil"/>
              <w:left w:val="nil"/>
              <w:bottom w:val="single" w:sz="4" w:space="0" w:color="auto"/>
              <w:right w:val="single" w:sz="4" w:space="0" w:color="auto"/>
            </w:tcBorders>
            <w:shd w:val="clear" w:color="auto" w:fill="auto"/>
            <w:noWrap/>
            <w:vAlign w:val="center"/>
            <w:hideMark/>
          </w:tcPr>
          <w:p w14:paraId="3B76303B"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39,334</w:t>
            </w:r>
          </w:p>
        </w:tc>
        <w:tc>
          <w:tcPr>
            <w:tcW w:w="970" w:type="dxa"/>
            <w:tcBorders>
              <w:top w:val="nil"/>
              <w:left w:val="nil"/>
              <w:bottom w:val="single" w:sz="4" w:space="0" w:color="auto"/>
              <w:right w:val="single" w:sz="4" w:space="0" w:color="auto"/>
            </w:tcBorders>
            <w:shd w:val="clear" w:color="auto" w:fill="auto"/>
            <w:noWrap/>
            <w:vAlign w:val="center"/>
            <w:hideMark/>
          </w:tcPr>
          <w:p w14:paraId="40251117"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960</w:t>
            </w:r>
          </w:p>
        </w:tc>
        <w:tc>
          <w:tcPr>
            <w:tcW w:w="971" w:type="dxa"/>
            <w:tcBorders>
              <w:top w:val="nil"/>
              <w:left w:val="nil"/>
              <w:bottom w:val="single" w:sz="4" w:space="0" w:color="auto"/>
              <w:right w:val="single" w:sz="4" w:space="0" w:color="auto"/>
            </w:tcBorders>
            <w:shd w:val="clear" w:color="auto" w:fill="auto"/>
            <w:noWrap/>
            <w:vAlign w:val="center"/>
            <w:hideMark/>
          </w:tcPr>
          <w:p w14:paraId="690D6809"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22,481</w:t>
            </w:r>
          </w:p>
        </w:tc>
        <w:tc>
          <w:tcPr>
            <w:tcW w:w="970" w:type="dxa"/>
            <w:tcBorders>
              <w:top w:val="nil"/>
              <w:left w:val="nil"/>
              <w:bottom w:val="single" w:sz="4" w:space="0" w:color="auto"/>
              <w:right w:val="single" w:sz="4" w:space="0" w:color="auto"/>
            </w:tcBorders>
            <w:shd w:val="clear" w:color="auto" w:fill="auto"/>
            <w:noWrap/>
            <w:vAlign w:val="center"/>
            <w:hideMark/>
          </w:tcPr>
          <w:p w14:paraId="425D0274"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26,732</w:t>
            </w:r>
          </w:p>
        </w:tc>
        <w:tc>
          <w:tcPr>
            <w:tcW w:w="970" w:type="dxa"/>
            <w:tcBorders>
              <w:top w:val="nil"/>
              <w:left w:val="nil"/>
              <w:bottom w:val="single" w:sz="4" w:space="0" w:color="auto"/>
              <w:right w:val="single" w:sz="4" w:space="0" w:color="auto"/>
            </w:tcBorders>
            <w:shd w:val="clear" w:color="auto" w:fill="auto"/>
            <w:noWrap/>
            <w:vAlign w:val="center"/>
            <w:hideMark/>
          </w:tcPr>
          <w:p w14:paraId="0533E62C"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52,076</w:t>
            </w:r>
          </w:p>
        </w:tc>
        <w:tc>
          <w:tcPr>
            <w:tcW w:w="970" w:type="dxa"/>
            <w:tcBorders>
              <w:top w:val="nil"/>
              <w:left w:val="nil"/>
              <w:bottom w:val="single" w:sz="4" w:space="0" w:color="auto"/>
              <w:right w:val="single" w:sz="4" w:space="0" w:color="auto"/>
            </w:tcBorders>
            <w:shd w:val="clear" w:color="auto" w:fill="auto"/>
            <w:noWrap/>
            <w:vAlign w:val="center"/>
            <w:hideMark/>
          </w:tcPr>
          <w:p w14:paraId="3311EB25"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2,957</w:t>
            </w:r>
          </w:p>
        </w:tc>
        <w:tc>
          <w:tcPr>
            <w:tcW w:w="971" w:type="dxa"/>
            <w:tcBorders>
              <w:top w:val="nil"/>
              <w:left w:val="nil"/>
              <w:bottom w:val="single" w:sz="4" w:space="0" w:color="auto"/>
              <w:right w:val="single" w:sz="4" w:space="0" w:color="auto"/>
            </w:tcBorders>
            <w:shd w:val="clear" w:color="auto" w:fill="auto"/>
            <w:noWrap/>
            <w:vAlign w:val="center"/>
            <w:hideMark/>
          </w:tcPr>
          <w:p w14:paraId="5176B704"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525806B8"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42,313</w:t>
            </w:r>
          </w:p>
        </w:tc>
        <w:tc>
          <w:tcPr>
            <w:tcW w:w="970" w:type="dxa"/>
            <w:tcBorders>
              <w:top w:val="nil"/>
              <w:left w:val="nil"/>
              <w:bottom w:val="single" w:sz="4" w:space="0" w:color="auto"/>
              <w:right w:val="single" w:sz="4" w:space="0" w:color="auto"/>
            </w:tcBorders>
            <w:shd w:val="clear" w:color="auto" w:fill="auto"/>
            <w:noWrap/>
            <w:vAlign w:val="center"/>
            <w:hideMark/>
          </w:tcPr>
          <w:p w14:paraId="16069AC3"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166BDD1F"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702,894</w:t>
            </w:r>
          </w:p>
        </w:tc>
      </w:tr>
      <w:tr w:rsidR="008428AF" w:rsidRPr="00A2223A" w14:paraId="5D31090E" w14:textId="77777777" w:rsidTr="00FE1263">
        <w:trPr>
          <w:trHeight w:val="300"/>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22B04939" w14:textId="77777777" w:rsidR="00977693" w:rsidRPr="00A2223A" w:rsidRDefault="00977693" w:rsidP="003D68D1">
            <w:pPr>
              <w:spacing w:after="0" w:line="240" w:lineRule="auto"/>
              <w:rPr>
                <w:rFonts w:cs="Arial"/>
                <w:color w:val="000000"/>
                <w:sz w:val="15"/>
                <w:szCs w:val="15"/>
                <w:lang w:eastAsia="en-AU"/>
              </w:rPr>
            </w:pPr>
            <w:r w:rsidRPr="00A2223A">
              <w:rPr>
                <w:rFonts w:cs="Arial"/>
                <w:color w:val="000000"/>
                <w:sz w:val="15"/>
                <w:szCs w:val="15"/>
                <w:lang w:eastAsia="en-AU"/>
              </w:rPr>
              <w:t>The Royal Childrens Hospital</w:t>
            </w:r>
          </w:p>
        </w:tc>
        <w:tc>
          <w:tcPr>
            <w:tcW w:w="970" w:type="dxa"/>
            <w:tcBorders>
              <w:top w:val="nil"/>
              <w:left w:val="nil"/>
              <w:bottom w:val="single" w:sz="4" w:space="0" w:color="auto"/>
              <w:right w:val="single" w:sz="4" w:space="0" w:color="auto"/>
            </w:tcBorders>
            <w:shd w:val="clear" w:color="auto" w:fill="auto"/>
            <w:noWrap/>
            <w:vAlign w:val="center"/>
            <w:hideMark/>
          </w:tcPr>
          <w:p w14:paraId="5FF5D7F0"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599,675</w:t>
            </w:r>
          </w:p>
        </w:tc>
        <w:tc>
          <w:tcPr>
            <w:tcW w:w="970" w:type="dxa"/>
            <w:tcBorders>
              <w:top w:val="nil"/>
              <w:left w:val="nil"/>
              <w:bottom w:val="single" w:sz="4" w:space="0" w:color="auto"/>
              <w:right w:val="single" w:sz="4" w:space="0" w:color="auto"/>
            </w:tcBorders>
            <w:shd w:val="clear" w:color="auto" w:fill="auto"/>
            <w:noWrap/>
            <w:vAlign w:val="center"/>
            <w:hideMark/>
          </w:tcPr>
          <w:p w14:paraId="7569EFEB"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445,751</w:t>
            </w:r>
          </w:p>
        </w:tc>
        <w:tc>
          <w:tcPr>
            <w:tcW w:w="970" w:type="dxa"/>
            <w:tcBorders>
              <w:top w:val="nil"/>
              <w:left w:val="nil"/>
              <w:bottom w:val="single" w:sz="4" w:space="0" w:color="auto"/>
              <w:right w:val="single" w:sz="4" w:space="0" w:color="auto"/>
            </w:tcBorders>
            <w:shd w:val="clear" w:color="auto" w:fill="auto"/>
            <w:noWrap/>
            <w:vAlign w:val="center"/>
            <w:hideMark/>
          </w:tcPr>
          <w:p w14:paraId="7C26137D"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63,764</w:t>
            </w:r>
          </w:p>
        </w:tc>
        <w:tc>
          <w:tcPr>
            <w:tcW w:w="971" w:type="dxa"/>
            <w:tcBorders>
              <w:top w:val="nil"/>
              <w:left w:val="nil"/>
              <w:bottom w:val="single" w:sz="4" w:space="0" w:color="auto"/>
              <w:right w:val="single" w:sz="4" w:space="0" w:color="auto"/>
            </w:tcBorders>
            <w:shd w:val="clear" w:color="auto" w:fill="auto"/>
            <w:noWrap/>
            <w:vAlign w:val="center"/>
            <w:hideMark/>
          </w:tcPr>
          <w:p w14:paraId="5BC68BD5"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61,716</w:t>
            </w:r>
          </w:p>
        </w:tc>
        <w:tc>
          <w:tcPr>
            <w:tcW w:w="970" w:type="dxa"/>
            <w:tcBorders>
              <w:top w:val="nil"/>
              <w:left w:val="nil"/>
              <w:bottom w:val="single" w:sz="4" w:space="0" w:color="auto"/>
              <w:right w:val="single" w:sz="4" w:space="0" w:color="auto"/>
            </w:tcBorders>
            <w:shd w:val="clear" w:color="auto" w:fill="auto"/>
            <w:noWrap/>
            <w:vAlign w:val="center"/>
            <w:hideMark/>
          </w:tcPr>
          <w:p w14:paraId="6AEF5A18"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6,462</w:t>
            </w:r>
          </w:p>
        </w:tc>
        <w:tc>
          <w:tcPr>
            <w:tcW w:w="970" w:type="dxa"/>
            <w:tcBorders>
              <w:top w:val="nil"/>
              <w:left w:val="nil"/>
              <w:bottom w:val="single" w:sz="4" w:space="0" w:color="auto"/>
              <w:right w:val="single" w:sz="4" w:space="0" w:color="auto"/>
            </w:tcBorders>
            <w:shd w:val="clear" w:color="auto" w:fill="auto"/>
            <w:noWrap/>
            <w:vAlign w:val="center"/>
            <w:hideMark/>
          </w:tcPr>
          <w:p w14:paraId="7B604440"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10,591</w:t>
            </w:r>
          </w:p>
        </w:tc>
        <w:tc>
          <w:tcPr>
            <w:tcW w:w="971" w:type="dxa"/>
            <w:tcBorders>
              <w:top w:val="nil"/>
              <w:left w:val="nil"/>
              <w:bottom w:val="single" w:sz="4" w:space="0" w:color="auto"/>
              <w:right w:val="single" w:sz="4" w:space="0" w:color="auto"/>
            </w:tcBorders>
            <w:shd w:val="clear" w:color="auto" w:fill="auto"/>
            <w:noWrap/>
            <w:vAlign w:val="center"/>
            <w:hideMark/>
          </w:tcPr>
          <w:p w14:paraId="37273D11"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11,497</w:t>
            </w:r>
          </w:p>
        </w:tc>
        <w:tc>
          <w:tcPr>
            <w:tcW w:w="970" w:type="dxa"/>
            <w:tcBorders>
              <w:top w:val="nil"/>
              <w:left w:val="nil"/>
              <w:bottom w:val="single" w:sz="4" w:space="0" w:color="auto"/>
              <w:right w:val="single" w:sz="4" w:space="0" w:color="auto"/>
            </w:tcBorders>
            <w:shd w:val="clear" w:color="auto" w:fill="auto"/>
            <w:noWrap/>
            <w:vAlign w:val="center"/>
            <w:hideMark/>
          </w:tcPr>
          <w:p w14:paraId="775E8BB7"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5,741</w:t>
            </w:r>
          </w:p>
        </w:tc>
        <w:tc>
          <w:tcPr>
            <w:tcW w:w="970" w:type="dxa"/>
            <w:tcBorders>
              <w:top w:val="nil"/>
              <w:left w:val="nil"/>
              <w:bottom w:val="single" w:sz="4" w:space="0" w:color="auto"/>
              <w:right w:val="single" w:sz="4" w:space="0" w:color="auto"/>
            </w:tcBorders>
            <w:shd w:val="clear" w:color="auto" w:fill="auto"/>
            <w:noWrap/>
            <w:vAlign w:val="center"/>
            <w:hideMark/>
          </w:tcPr>
          <w:p w14:paraId="0122E3D2"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4,442</w:t>
            </w:r>
          </w:p>
        </w:tc>
        <w:tc>
          <w:tcPr>
            <w:tcW w:w="970" w:type="dxa"/>
            <w:tcBorders>
              <w:top w:val="nil"/>
              <w:left w:val="nil"/>
              <w:bottom w:val="single" w:sz="4" w:space="0" w:color="auto"/>
              <w:right w:val="single" w:sz="4" w:space="0" w:color="auto"/>
            </w:tcBorders>
            <w:shd w:val="clear" w:color="auto" w:fill="auto"/>
            <w:noWrap/>
            <w:vAlign w:val="center"/>
            <w:hideMark/>
          </w:tcPr>
          <w:p w14:paraId="328A97FA"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20,549</w:t>
            </w:r>
          </w:p>
        </w:tc>
        <w:tc>
          <w:tcPr>
            <w:tcW w:w="971" w:type="dxa"/>
            <w:tcBorders>
              <w:top w:val="nil"/>
              <w:left w:val="nil"/>
              <w:bottom w:val="single" w:sz="4" w:space="0" w:color="auto"/>
              <w:right w:val="single" w:sz="4" w:space="0" w:color="auto"/>
            </w:tcBorders>
            <w:shd w:val="clear" w:color="auto" w:fill="auto"/>
            <w:noWrap/>
            <w:vAlign w:val="center"/>
            <w:hideMark/>
          </w:tcPr>
          <w:p w14:paraId="09F51D81"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1B798803"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14,877</w:t>
            </w:r>
          </w:p>
        </w:tc>
        <w:tc>
          <w:tcPr>
            <w:tcW w:w="970" w:type="dxa"/>
            <w:tcBorders>
              <w:top w:val="nil"/>
              <w:left w:val="nil"/>
              <w:bottom w:val="single" w:sz="4" w:space="0" w:color="auto"/>
              <w:right w:val="single" w:sz="4" w:space="0" w:color="auto"/>
            </w:tcBorders>
            <w:shd w:val="clear" w:color="auto" w:fill="auto"/>
            <w:noWrap/>
            <w:vAlign w:val="center"/>
            <w:hideMark/>
          </w:tcPr>
          <w:p w14:paraId="2063A861"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5,347</w:t>
            </w:r>
          </w:p>
        </w:tc>
        <w:tc>
          <w:tcPr>
            <w:tcW w:w="971" w:type="dxa"/>
            <w:tcBorders>
              <w:top w:val="nil"/>
              <w:left w:val="nil"/>
              <w:bottom w:val="single" w:sz="4" w:space="0" w:color="auto"/>
              <w:right w:val="single" w:sz="4" w:space="0" w:color="auto"/>
            </w:tcBorders>
            <w:shd w:val="clear" w:color="auto" w:fill="auto"/>
            <w:noWrap/>
            <w:vAlign w:val="center"/>
            <w:hideMark/>
          </w:tcPr>
          <w:p w14:paraId="2A3F65CC"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650,738</w:t>
            </w:r>
          </w:p>
        </w:tc>
      </w:tr>
      <w:tr w:rsidR="008428AF" w:rsidRPr="00A2223A" w14:paraId="02FBAAAF" w14:textId="77777777" w:rsidTr="00FE1263">
        <w:trPr>
          <w:trHeight w:val="390"/>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3D353A49" w14:textId="77777777" w:rsidR="00977693" w:rsidRPr="00A2223A" w:rsidRDefault="00977693" w:rsidP="003D68D1">
            <w:pPr>
              <w:spacing w:after="0" w:line="240" w:lineRule="auto"/>
              <w:rPr>
                <w:rFonts w:cs="Arial"/>
                <w:color w:val="000000"/>
                <w:sz w:val="15"/>
                <w:szCs w:val="15"/>
                <w:lang w:eastAsia="en-AU"/>
              </w:rPr>
            </w:pPr>
            <w:r w:rsidRPr="00A2223A">
              <w:rPr>
                <w:rFonts w:cs="Arial"/>
                <w:color w:val="000000"/>
                <w:sz w:val="15"/>
                <w:szCs w:val="15"/>
                <w:lang w:eastAsia="en-AU"/>
              </w:rPr>
              <w:t>The Royal Victorian Eye And Ear Hospital</w:t>
            </w:r>
          </w:p>
        </w:tc>
        <w:tc>
          <w:tcPr>
            <w:tcW w:w="970" w:type="dxa"/>
            <w:tcBorders>
              <w:top w:val="nil"/>
              <w:left w:val="nil"/>
              <w:bottom w:val="single" w:sz="4" w:space="0" w:color="auto"/>
              <w:right w:val="single" w:sz="4" w:space="0" w:color="auto"/>
            </w:tcBorders>
            <w:shd w:val="clear" w:color="auto" w:fill="auto"/>
            <w:noWrap/>
            <w:vAlign w:val="center"/>
            <w:hideMark/>
          </w:tcPr>
          <w:p w14:paraId="3E09DCBC"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114,825</w:t>
            </w:r>
          </w:p>
        </w:tc>
        <w:tc>
          <w:tcPr>
            <w:tcW w:w="970" w:type="dxa"/>
            <w:tcBorders>
              <w:top w:val="nil"/>
              <w:left w:val="nil"/>
              <w:bottom w:val="single" w:sz="4" w:space="0" w:color="auto"/>
              <w:right w:val="single" w:sz="4" w:space="0" w:color="auto"/>
            </w:tcBorders>
            <w:shd w:val="clear" w:color="auto" w:fill="auto"/>
            <w:noWrap/>
            <w:vAlign w:val="center"/>
            <w:hideMark/>
          </w:tcPr>
          <w:p w14:paraId="1B65E673"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80,373</w:t>
            </w:r>
          </w:p>
        </w:tc>
        <w:tc>
          <w:tcPr>
            <w:tcW w:w="970" w:type="dxa"/>
            <w:tcBorders>
              <w:top w:val="nil"/>
              <w:left w:val="nil"/>
              <w:bottom w:val="single" w:sz="4" w:space="0" w:color="auto"/>
              <w:right w:val="single" w:sz="4" w:space="0" w:color="auto"/>
            </w:tcBorders>
            <w:shd w:val="clear" w:color="auto" w:fill="auto"/>
            <w:noWrap/>
            <w:vAlign w:val="center"/>
            <w:hideMark/>
          </w:tcPr>
          <w:p w14:paraId="2F468E90"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28,907</w:t>
            </w:r>
          </w:p>
        </w:tc>
        <w:tc>
          <w:tcPr>
            <w:tcW w:w="971" w:type="dxa"/>
            <w:tcBorders>
              <w:top w:val="nil"/>
              <w:left w:val="nil"/>
              <w:bottom w:val="single" w:sz="4" w:space="0" w:color="auto"/>
              <w:right w:val="single" w:sz="4" w:space="0" w:color="auto"/>
            </w:tcBorders>
            <w:shd w:val="clear" w:color="auto" w:fill="auto"/>
            <w:noWrap/>
            <w:vAlign w:val="center"/>
            <w:hideMark/>
          </w:tcPr>
          <w:p w14:paraId="40D7FA69"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8,372</w:t>
            </w:r>
          </w:p>
        </w:tc>
        <w:tc>
          <w:tcPr>
            <w:tcW w:w="970" w:type="dxa"/>
            <w:tcBorders>
              <w:top w:val="nil"/>
              <w:left w:val="nil"/>
              <w:bottom w:val="single" w:sz="4" w:space="0" w:color="auto"/>
              <w:right w:val="single" w:sz="4" w:space="0" w:color="auto"/>
            </w:tcBorders>
            <w:shd w:val="clear" w:color="auto" w:fill="auto"/>
            <w:noWrap/>
            <w:vAlign w:val="center"/>
            <w:hideMark/>
          </w:tcPr>
          <w:p w14:paraId="38AE6EA7"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p>
        </w:tc>
        <w:tc>
          <w:tcPr>
            <w:tcW w:w="970" w:type="dxa"/>
            <w:tcBorders>
              <w:top w:val="nil"/>
              <w:left w:val="nil"/>
              <w:bottom w:val="single" w:sz="4" w:space="0" w:color="auto"/>
              <w:right w:val="single" w:sz="4" w:space="0" w:color="auto"/>
            </w:tcBorders>
            <w:shd w:val="clear" w:color="auto" w:fill="auto"/>
            <w:noWrap/>
            <w:vAlign w:val="center"/>
            <w:hideMark/>
          </w:tcPr>
          <w:p w14:paraId="16D7D4B6"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71080E00"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1,929</w:t>
            </w:r>
          </w:p>
        </w:tc>
        <w:tc>
          <w:tcPr>
            <w:tcW w:w="970" w:type="dxa"/>
            <w:tcBorders>
              <w:top w:val="nil"/>
              <w:left w:val="nil"/>
              <w:bottom w:val="single" w:sz="4" w:space="0" w:color="auto"/>
              <w:right w:val="single" w:sz="4" w:space="0" w:color="auto"/>
            </w:tcBorders>
            <w:shd w:val="clear" w:color="auto" w:fill="auto"/>
            <w:noWrap/>
            <w:vAlign w:val="center"/>
            <w:hideMark/>
          </w:tcPr>
          <w:p w14:paraId="5D0E0591"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7DF87758"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40076BD9"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77C1277D"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4814E770"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1,631</w:t>
            </w:r>
          </w:p>
        </w:tc>
        <w:tc>
          <w:tcPr>
            <w:tcW w:w="970" w:type="dxa"/>
            <w:tcBorders>
              <w:top w:val="nil"/>
              <w:left w:val="nil"/>
              <w:bottom w:val="single" w:sz="4" w:space="0" w:color="auto"/>
              <w:right w:val="single" w:sz="4" w:space="0" w:color="auto"/>
            </w:tcBorders>
            <w:shd w:val="clear" w:color="auto" w:fill="auto"/>
            <w:noWrap/>
            <w:vAlign w:val="center"/>
            <w:hideMark/>
          </w:tcPr>
          <w:p w14:paraId="64FF856F"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2,040</w:t>
            </w:r>
          </w:p>
        </w:tc>
        <w:tc>
          <w:tcPr>
            <w:tcW w:w="971" w:type="dxa"/>
            <w:tcBorders>
              <w:top w:val="nil"/>
              <w:left w:val="nil"/>
              <w:bottom w:val="single" w:sz="4" w:space="0" w:color="auto"/>
              <w:right w:val="single" w:sz="4" w:space="0" w:color="auto"/>
            </w:tcBorders>
            <w:shd w:val="clear" w:color="auto" w:fill="auto"/>
            <w:noWrap/>
            <w:vAlign w:val="center"/>
            <w:hideMark/>
          </w:tcPr>
          <w:p w14:paraId="39AED3AF"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123,251</w:t>
            </w:r>
          </w:p>
        </w:tc>
      </w:tr>
      <w:tr w:rsidR="008428AF" w:rsidRPr="00A2223A" w14:paraId="0F2E27BC" w14:textId="77777777" w:rsidTr="00FE1263">
        <w:trPr>
          <w:trHeight w:val="300"/>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0BCFA157" w14:textId="77777777" w:rsidR="00977693" w:rsidRPr="00A2223A" w:rsidRDefault="00977693" w:rsidP="003D68D1">
            <w:pPr>
              <w:spacing w:after="0" w:line="240" w:lineRule="auto"/>
              <w:rPr>
                <w:rFonts w:cs="Arial"/>
                <w:color w:val="000000"/>
                <w:sz w:val="15"/>
                <w:szCs w:val="15"/>
                <w:lang w:eastAsia="en-AU"/>
              </w:rPr>
            </w:pPr>
            <w:r w:rsidRPr="00A2223A">
              <w:rPr>
                <w:rFonts w:cs="Arial"/>
                <w:color w:val="000000"/>
                <w:sz w:val="15"/>
                <w:szCs w:val="15"/>
                <w:lang w:eastAsia="en-AU"/>
              </w:rPr>
              <w:t>The Royal Women</w:t>
            </w:r>
            <w:r>
              <w:rPr>
                <w:rFonts w:cs="Arial"/>
                <w:color w:val="000000"/>
                <w:sz w:val="15"/>
                <w:szCs w:val="15"/>
                <w:lang w:eastAsia="en-AU"/>
              </w:rPr>
              <w:t>’</w:t>
            </w:r>
            <w:r w:rsidRPr="00A2223A">
              <w:rPr>
                <w:rFonts w:cs="Arial"/>
                <w:color w:val="000000"/>
                <w:sz w:val="15"/>
                <w:szCs w:val="15"/>
                <w:lang w:eastAsia="en-AU"/>
              </w:rPr>
              <w:t>s Hospital</w:t>
            </w:r>
          </w:p>
        </w:tc>
        <w:tc>
          <w:tcPr>
            <w:tcW w:w="970" w:type="dxa"/>
            <w:tcBorders>
              <w:top w:val="nil"/>
              <w:left w:val="nil"/>
              <w:bottom w:val="single" w:sz="4" w:space="0" w:color="auto"/>
              <w:right w:val="single" w:sz="4" w:space="0" w:color="auto"/>
            </w:tcBorders>
            <w:shd w:val="clear" w:color="auto" w:fill="auto"/>
            <w:noWrap/>
            <w:vAlign w:val="center"/>
            <w:hideMark/>
          </w:tcPr>
          <w:p w14:paraId="376D4F10"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254,418</w:t>
            </w:r>
          </w:p>
        </w:tc>
        <w:tc>
          <w:tcPr>
            <w:tcW w:w="970" w:type="dxa"/>
            <w:tcBorders>
              <w:top w:val="nil"/>
              <w:left w:val="nil"/>
              <w:bottom w:val="single" w:sz="4" w:space="0" w:color="auto"/>
              <w:right w:val="single" w:sz="4" w:space="0" w:color="auto"/>
            </w:tcBorders>
            <w:shd w:val="clear" w:color="auto" w:fill="auto"/>
            <w:noWrap/>
            <w:vAlign w:val="center"/>
            <w:hideMark/>
          </w:tcPr>
          <w:p w14:paraId="777EFC14"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180,314</w:t>
            </w:r>
          </w:p>
        </w:tc>
        <w:tc>
          <w:tcPr>
            <w:tcW w:w="970" w:type="dxa"/>
            <w:tcBorders>
              <w:top w:val="nil"/>
              <w:left w:val="nil"/>
              <w:bottom w:val="single" w:sz="4" w:space="0" w:color="auto"/>
              <w:right w:val="single" w:sz="4" w:space="0" w:color="auto"/>
            </w:tcBorders>
            <w:shd w:val="clear" w:color="auto" w:fill="auto"/>
            <w:noWrap/>
            <w:vAlign w:val="center"/>
            <w:hideMark/>
          </w:tcPr>
          <w:p w14:paraId="5D999608"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47,236</w:t>
            </w:r>
          </w:p>
        </w:tc>
        <w:tc>
          <w:tcPr>
            <w:tcW w:w="971" w:type="dxa"/>
            <w:tcBorders>
              <w:top w:val="nil"/>
              <w:left w:val="nil"/>
              <w:bottom w:val="single" w:sz="4" w:space="0" w:color="auto"/>
              <w:right w:val="single" w:sz="4" w:space="0" w:color="auto"/>
            </w:tcBorders>
            <w:shd w:val="clear" w:color="auto" w:fill="auto"/>
            <w:noWrap/>
            <w:vAlign w:val="center"/>
            <w:hideMark/>
          </w:tcPr>
          <w:p w14:paraId="681D9A07"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6,990</w:t>
            </w:r>
          </w:p>
        </w:tc>
        <w:tc>
          <w:tcPr>
            <w:tcW w:w="970" w:type="dxa"/>
            <w:tcBorders>
              <w:top w:val="nil"/>
              <w:left w:val="nil"/>
              <w:bottom w:val="single" w:sz="4" w:space="0" w:color="auto"/>
              <w:right w:val="single" w:sz="4" w:space="0" w:color="auto"/>
            </w:tcBorders>
            <w:shd w:val="clear" w:color="auto" w:fill="auto"/>
            <w:noWrap/>
            <w:vAlign w:val="center"/>
            <w:hideMark/>
          </w:tcPr>
          <w:p w14:paraId="52AAF8AD"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0412E18A"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636312B1"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4,821</w:t>
            </w:r>
          </w:p>
        </w:tc>
        <w:tc>
          <w:tcPr>
            <w:tcW w:w="970" w:type="dxa"/>
            <w:tcBorders>
              <w:top w:val="nil"/>
              <w:left w:val="nil"/>
              <w:bottom w:val="single" w:sz="4" w:space="0" w:color="auto"/>
              <w:right w:val="single" w:sz="4" w:space="0" w:color="auto"/>
            </w:tcBorders>
            <w:shd w:val="clear" w:color="auto" w:fill="auto"/>
            <w:noWrap/>
            <w:vAlign w:val="center"/>
            <w:hideMark/>
          </w:tcPr>
          <w:p w14:paraId="6AD10CE7"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498</w:t>
            </w:r>
          </w:p>
        </w:tc>
        <w:tc>
          <w:tcPr>
            <w:tcW w:w="970" w:type="dxa"/>
            <w:tcBorders>
              <w:top w:val="nil"/>
              <w:left w:val="nil"/>
              <w:bottom w:val="single" w:sz="4" w:space="0" w:color="auto"/>
              <w:right w:val="single" w:sz="4" w:space="0" w:color="auto"/>
            </w:tcBorders>
            <w:shd w:val="clear" w:color="auto" w:fill="auto"/>
            <w:noWrap/>
            <w:vAlign w:val="center"/>
            <w:hideMark/>
          </w:tcPr>
          <w:p w14:paraId="70E8FCBD"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319</w:t>
            </w:r>
          </w:p>
        </w:tc>
        <w:tc>
          <w:tcPr>
            <w:tcW w:w="970" w:type="dxa"/>
            <w:tcBorders>
              <w:top w:val="nil"/>
              <w:left w:val="nil"/>
              <w:bottom w:val="single" w:sz="4" w:space="0" w:color="auto"/>
              <w:right w:val="single" w:sz="4" w:space="0" w:color="auto"/>
            </w:tcBorders>
            <w:shd w:val="clear" w:color="auto" w:fill="auto"/>
            <w:noWrap/>
            <w:vAlign w:val="center"/>
            <w:hideMark/>
          </w:tcPr>
          <w:p w14:paraId="3534E48F"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49310C34"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79AE00F4"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6,785</w:t>
            </w:r>
          </w:p>
        </w:tc>
        <w:tc>
          <w:tcPr>
            <w:tcW w:w="970" w:type="dxa"/>
            <w:tcBorders>
              <w:top w:val="nil"/>
              <w:left w:val="nil"/>
              <w:bottom w:val="single" w:sz="4" w:space="0" w:color="auto"/>
              <w:right w:val="single" w:sz="4" w:space="0" w:color="auto"/>
            </w:tcBorders>
            <w:shd w:val="clear" w:color="auto" w:fill="auto"/>
            <w:noWrap/>
            <w:vAlign w:val="center"/>
            <w:hideMark/>
          </w:tcPr>
          <w:p w14:paraId="23677738"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53556C72"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246,963</w:t>
            </w:r>
          </w:p>
        </w:tc>
      </w:tr>
      <w:tr w:rsidR="008428AF" w:rsidRPr="00A2223A" w14:paraId="21E529D1" w14:textId="77777777" w:rsidTr="00FE1263">
        <w:trPr>
          <w:trHeight w:val="300"/>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78B7145C" w14:textId="77777777" w:rsidR="00977693" w:rsidRPr="00A2223A" w:rsidRDefault="00977693" w:rsidP="003D68D1">
            <w:pPr>
              <w:spacing w:after="0" w:line="240" w:lineRule="auto"/>
              <w:rPr>
                <w:rFonts w:cs="Arial"/>
                <w:color w:val="000000"/>
                <w:sz w:val="15"/>
                <w:szCs w:val="15"/>
                <w:lang w:eastAsia="en-AU"/>
              </w:rPr>
            </w:pPr>
            <w:r w:rsidRPr="00A2223A">
              <w:rPr>
                <w:rFonts w:cs="Arial"/>
                <w:color w:val="000000"/>
                <w:sz w:val="15"/>
                <w:szCs w:val="15"/>
                <w:lang w:eastAsia="en-AU"/>
              </w:rPr>
              <w:t>Western Health</w:t>
            </w:r>
          </w:p>
        </w:tc>
        <w:tc>
          <w:tcPr>
            <w:tcW w:w="970" w:type="dxa"/>
            <w:tcBorders>
              <w:top w:val="nil"/>
              <w:left w:val="nil"/>
              <w:bottom w:val="single" w:sz="4" w:space="0" w:color="auto"/>
              <w:right w:val="single" w:sz="4" w:space="0" w:color="auto"/>
            </w:tcBorders>
            <w:shd w:val="clear" w:color="auto" w:fill="auto"/>
            <w:noWrap/>
            <w:vAlign w:val="center"/>
            <w:hideMark/>
          </w:tcPr>
          <w:p w14:paraId="22950F0D"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1,043,434</w:t>
            </w:r>
          </w:p>
        </w:tc>
        <w:tc>
          <w:tcPr>
            <w:tcW w:w="970" w:type="dxa"/>
            <w:tcBorders>
              <w:top w:val="nil"/>
              <w:left w:val="nil"/>
              <w:bottom w:val="single" w:sz="4" w:space="0" w:color="auto"/>
              <w:right w:val="single" w:sz="4" w:space="0" w:color="auto"/>
            </w:tcBorders>
            <w:shd w:val="clear" w:color="auto" w:fill="auto"/>
            <w:noWrap/>
            <w:vAlign w:val="center"/>
            <w:hideMark/>
          </w:tcPr>
          <w:p w14:paraId="4B6F227D"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714,840</w:t>
            </w:r>
          </w:p>
        </w:tc>
        <w:tc>
          <w:tcPr>
            <w:tcW w:w="970" w:type="dxa"/>
            <w:tcBorders>
              <w:top w:val="nil"/>
              <w:left w:val="nil"/>
              <w:bottom w:val="single" w:sz="4" w:space="0" w:color="auto"/>
              <w:right w:val="single" w:sz="4" w:space="0" w:color="auto"/>
            </w:tcBorders>
            <w:shd w:val="clear" w:color="auto" w:fill="auto"/>
            <w:noWrap/>
            <w:vAlign w:val="center"/>
            <w:hideMark/>
          </w:tcPr>
          <w:p w14:paraId="018AFB2B"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94,423</w:t>
            </w:r>
          </w:p>
        </w:tc>
        <w:tc>
          <w:tcPr>
            <w:tcW w:w="971" w:type="dxa"/>
            <w:tcBorders>
              <w:top w:val="nil"/>
              <w:left w:val="nil"/>
              <w:bottom w:val="single" w:sz="4" w:space="0" w:color="auto"/>
              <w:right w:val="single" w:sz="4" w:space="0" w:color="auto"/>
            </w:tcBorders>
            <w:shd w:val="clear" w:color="auto" w:fill="auto"/>
            <w:noWrap/>
            <w:vAlign w:val="center"/>
            <w:hideMark/>
          </w:tcPr>
          <w:p w14:paraId="4BD2475C"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134,669</w:t>
            </w:r>
          </w:p>
        </w:tc>
        <w:tc>
          <w:tcPr>
            <w:tcW w:w="970" w:type="dxa"/>
            <w:tcBorders>
              <w:top w:val="nil"/>
              <w:left w:val="nil"/>
              <w:bottom w:val="single" w:sz="4" w:space="0" w:color="auto"/>
              <w:right w:val="single" w:sz="4" w:space="0" w:color="auto"/>
            </w:tcBorders>
            <w:shd w:val="clear" w:color="auto" w:fill="auto"/>
            <w:noWrap/>
            <w:vAlign w:val="center"/>
            <w:hideMark/>
          </w:tcPr>
          <w:p w14:paraId="5D086ABD"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45,275</w:t>
            </w:r>
          </w:p>
        </w:tc>
        <w:tc>
          <w:tcPr>
            <w:tcW w:w="970" w:type="dxa"/>
            <w:tcBorders>
              <w:top w:val="nil"/>
              <w:left w:val="nil"/>
              <w:bottom w:val="single" w:sz="4" w:space="0" w:color="auto"/>
              <w:right w:val="single" w:sz="4" w:space="0" w:color="auto"/>
            </w:tcBorders>
            <w:shd w:val="clear" w:color="auto" w:fill="auto"/>
            <w:noWrap/>
            <w:vAlign w:val="center"/>
            <w:hideMark/>
          </w:tcPr>
          <w:p w14:paraId="26F3C38E"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589</w:t>
            </w:r>
          </w:p>
        </w:tc>
        <w:tc>
          <w:tcPr>
            <w:tcW w:w="971" w:type="dxa"/>
            <w:tcBorders>
              <w:top w:val="nil"/>
              <w:left w:val="nil"/>
              <w:bottom w:val="single" w:sz="4" w:space="0" w:color="auto"/>
              <w:right w:val="single" w:sz="4" w:space="0" w:color="auto"/>
            </w:tcBorders>
            <w:shd w:val="clear" w:color="auto" w:fill="auto"/>
            <w:noWrap/>
            <w:vAlign w:val="center"/>
            <w:hideMark/>
          </w:tcPr>
          <w:p w14:paraId="70A1F1D4"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19,078</w:t>
            </w:r>
          </w:p>
        </w:tc>
        <w:tc>
          <w:tcPr>
            <w:tcW w:w="970" w:type="dxa"/>
            <w:tcBorders>
              <w:top w:val="nil"/>
              <w:left w:val="nil"/>
              <w:bottom w:val="single" w:sz="4" w:space="0" w:color="auto"/>
              <w:right w:val="single" w:sz="4" w:space="0" w:color="auto"/>
            </w:tcBorders>
            <w:shd w:val="clear" w:color="auto" w:fill="auto"/>
            <w:noWrap/>
            <w:vAlign w:val="center"/>
            <w:hideMark/>
          </w:tcPr>
          <w:p w14:paraId="0FC74AA7"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62,869</w:t>
            </w:r>
          </w:p>
        </w:tc>
        <w:tc>
          <w:tcPr>
            <w:tcW w:w="970" w:type="dxa"/>
            <w:tcBorders>
              <w:top w:val="nil"/>
              <w:left w:val="nil"/>
              <w:bottom w:val="single" w:sz="4" w:space="0" w:color="auto"/>
              <w:right w:val="single" w:sz="4" w:space="0" w:color="auto"/>
            </w:tcBorders>
            <w:shd w:val="clear" w:color="auto" w:fill="auto"/>
            <w:noWrap/>
            <w:vAlign w:val="center"/>
            <w:hideMark/>
          </w:tcPr>
          <w:p w14:paraId="6B87AD3A"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59,713</w:t>
            </w:r>
          </w:p>
        </w:tc>
        <w:tc>
          <w:tcPr>
            <w:tcW w:w="970" w:type="dxa"/>
            <w:tcBorders>
              <w:top w:val="nil"/>
              <w:left w:val="nil"/>
              <w:bottom w:val="single" w:sz="4" w:space="0" w:color="auto"/>
              <w:right w:val="single" w:sz="4" w:space="0" w:color="auto"/>
            </w:tcBorders>
            <w:shd w:val="clear" w:color="auto" w:fill="auto"/>
            <w:noWrap/>
            <w:vAlign w:val="center"/>
            <w:hideMark/>
          </w:tcPr>
          <w:p w14:paraId="4F0D6BA0"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1,785</w:t>
            </w:r>
          </w:p>
        </w:tc>
        <w:tc>
          <w:tcPr>
            <w:tcW w:w="971" w:type="dxa"/>
            <w:tcBorders>
              <w:top w:val="nil"/>
              <w:left w:val="nil"/>
              <w:bottom w:val="single" w:sz="4" w:space="0" w:color="auto"/>
              <w:right w:val="single" w:sz="4" w:space="0" w:color="auto"/>
            </w:tcBorders>
            <w:shd w:val="clear" w:color="auto" w:fill="auto"/>
            <w:noWrap/>
            <w:vAlign w:val="center"/>
            <w:hideMark/>
          </w:tcPr>
          <w:p w14:paraId="50E6C625"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404C5E4C" w14:textId="77777777" w:rsidR="00977693" w:rsidRPr="00A2223A" w:rsidRDefault="0097769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40,166</w:t>
            </w:r>
          </w:p>
        </w:tc>
        <w:tc>
          <w:tcPr>
            <w:tcW w:w="970" w:type="dxa"/>
            <w:tcBorders>
              <w:top w:val="nil"/>
              <w:left w:val="nil"/>
              <w:bottom w:val="single" w:sz="4" w:space="0" w:color="auto"/>
              <w:right w:val="single" w:sz="4" w:space="0" w:color="auto"/>
            </w:tcBorders>
            <w:shd w:val="clear" w:color="auto" w:fill="auto"/>
            <w:noWrap/>
            <w:vAlign w:val="center"/>
            <w:hideMark/>
          </w:tcPr>
          <w:p w14:paraId="4CCA4FD1" w14:textId="77777777" w:rsidR="00977693" w:rsidRPr="00A2223A" w:rsidRDefault="0097769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1" w:type="dxa"/>
            <w:tcBorders>
              <w:top w:val="nil"/>
              <w:left w:val="nil"/>
              <w:bottom w:val="single" w:sz="4" w:space="0" w:color="auto"/>
              <w:right w:val="single" w:sz="4" w:space="0" w:color="auto"/>
            </w:tcBorders>
            <w:shd w:val="clear" w:color="auto" w:fill="auto"/>
            <w:noWrap/>
            <w:vAlign w:val="center"/>
            <w:hideMark/>
          </w:tcPr>
          <w:p w14:paraId="0864E656"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1,173,407</w:t>
            </w:r>
          </w:p>
        </w:tc>
      </w:tr>
      <w:tr w:rsidR="008428AF" w:rsidRPr="00A2223A" w14:paraId="0DB81D39" w14:textId="77777777" w:rsidTr="00FE1263">
        <w:trPr>
          <w:trHeight w:val="300"/>
        </w:trPr>
        <w:tc>
          <w:tcPr>
            <w:tcW w:w="1588" w:type="dxa"/>
            <w:tcBorders>
              <w:top w:val="nil"/>
              <w:left w:val="single" w:sz="4" w:space="0" w:color="auto"/>
              <w:bottom w:val="single" w:sz="4" w:space="0" w:color="auto"/>
              <w:right w:val="single" w:sz="4" w:space="0" w:color="auto"/>
            </w:tcBorders>
            <w:shd w:val="clear" w:color="auto" w:fill="auto"/>
            <w:noWrap/>
            <w:vAlign w:val="center"/>
            <w:hideMark/>
          </w:tcPr>
          <w:p w14:paraId="6F81EFB8" w14:textId="77777777" w:rsidR="00977693" w:rsidRPr="00A2223A" w:rsidRDefault="00977693" w:rsidP="003D68D1">
            <w:pPr>
              <w:spacing w:after="0" w:line="240" w:lineRule="auto"/>
              <w:rPr>
                <w:rFonts w:cs="Arial"/>
                <w:b/>
                <w:bCs/>
                <w:color w:val="000000"/>
                <w:sz w:val="15"/>
                <w:szCs w:val="15"/>
                <w:lang w:eastAsia="en-AU"/>
              </w:rPr>
            </w:pPr>
            <w:r w:rsidRPr="00A2223A">
              <w:rPr>
                <w:rFonts w:cs="Arial"/>
                <w:b/>
                <w:bCs/>
                <w:color w:val="000000"/>
                <w:sz w:val="15"/>
                <w:szCs w:val="15"/>
                <w:lang w:eastAsia="en-AU"/>
              </w:rPr>
              <w:t>Total</w:t>
            </w:r>
          </w:p>
        </w:tc>
        <w:tc>
          <w:tcPr>
            <w:tcW w:w="970" w:type="dxa"/>
            <w:tcBorders>
              <w:top w:val="nil"/>
              <w:left w:val="nil"/>
              <w:bottom w:val="single" w:sz="4" w:space="0" w:color="auto"/>
              <w:right w:val="single" w:sz="4" w:space="0" w:color="auto"/>
            </w:tcBorders>
            <w:shd w:val="clear" w:color="auto" w:fill="auto"/>
            <w:noWrap/>
            <w:vAlign w:val="center"/>
            <w:hideMark/>
          </w:tcPr>
          <w:p w14:paraId="66D659E8"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14,229,178</w:t>
            </w:r>
          </w:p>
        </w:tc>
        <w:tc>
          <w:tcPr>
            <w:tcW w:w="970" w:type="dxa"/>
            <w:tcBorders>
              <w:top w:val="nil"/>
              <w:left w:val="nil"/>
              <w:bottom w:val="single" w:sz="4" w:space="0" w:color="auto"/>
              <w:right w:val="single" w:sz="4" w:space="0" w:color="auto"/>
            </w:tcBorders>
            <w:shd w:val="clear" w:color="auto" w:fill="auto"/>
            <w:noWrap/>
            <w:vAlign w:val="center"/>
            <w:hideMark/>
          </w:tcPr>
          <w:p w14:paraId="4844010F"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8,386,118</w:t>
            </w:r>
          </w:p>
        </w:tc>
        <w:tc>
          <w:tcPr>
            <w:tcW w:w="970" w:type="dxa"/>
            <w:tcBorders>
              <w:top w:val="nil"/>
              <w:left w:val="nil"/>
              <w:bottom w:val="single" w:sz="4" w:space="0" w:color="auto"/>
              <w:right w:val="single" w:sz="4" w:space="0" w:color="auto"/>
            </w:tcBorders>
            <w:shd w:val="clear" w:color="auto" w:fill="auto"/>
            <w:noWrap/>
            <w:vAlign w:val="center"/>
            <w:hideMark/>
          </w:tcPr>
          <w:p w14:paraId="73E965E0"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1,246,945</w:t>
            </w:r>
          </w:p>
        </w:tc>
        <w:tc>
          <w:tcPr>
            <w:tcW w:w="971" w:type="dxa"/>
            <w:tcBorders>
              <w:top w:val="nil"/>
              <w:left w:val="nil"/>
              <w:bottom w:val="single" w:sz="4" w:space="0" w:color="auto"/>
              <w:right w:val="single" w:sz="4" w:space="0" w:color="auto"/>
            </w:tcBorders>
            <w:shd w:val="clear" w:color="auto" w:fill="auto"/>
            <w:noWrap/>
            <w:vAlign w:val="center"/>
            <w:hideMark/>
          </w:tcPr>
          <w:p w14:paraId="5BF642E0"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1,304,572</w:t>
            </w:r>
          </w:p>
        </w:tc>
        <w:tc>
          <w:tcPr>
            <w:tcW w:w="970" w:type="dxa"/>
            <w:tcBorders>
              <w:top w:val="nil"/>
              <w:left w:val="nil"/>
              <w:bottom w:val="single" w:sz="4" w:space="0" w:color="auto"/>
              <w:right w:val="single" w:sz="4" w:space="0" w:color="auto"/>
            </w:tcBorders>
            <w:shd w:val="clear" w:color="auto" w:fill="auto"/>
            <w:noWrap/>
            <w:vAlign w:val="center"/>
            <w:hideMark/>
          </w:tcPr>
          <w:p w14:paraId="11707900"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632,243</w:t>
            </w:r>
          </w:p>
        </w:tc>
        <w:tc>
          <w:tcPr>
            <w:tcW w:w="970" w:type="dxa"/>
            <w:tcBorders>
              <w:top w:val="nil"/>
              <w:left w:val="nil"/>
              <w:bottom w:val="single" w:sz="4" w:space="0" w:color="auto"/>
              <w:right w:val="single" w:sz="4" w:space="0" w:color="auto"/>
            </w:tcBorders>
            <w:shd w:val="clear" w:color="auto" w:fill="auto"/>
            <w:noWrap/>
            <w:vAlign w:val="center"/>
            <w:hideMark/>
          </w:tcPr>
          <w:p w14:paraId="22DE9E83"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38,153</w:t>
            </w:r>
          </w:p>
        </w:tc>
        <w:tc>
          <w:tcPr>
            <w:tcW w:w="971" w:type="dxa"/>
            <w:tcBorders>
              <w:top w:val="nil"/>
              <w:left w:val="nil"/>
              <w:bottom w:val="single" w:sz="4" w:space="0" w:color="auto"/>
              <w:right w:val="single" w:sz="4" w:space="0" w:color="auto"/>
            </w:tcBorders>
            <w:shd w:val="clear" w:color="auto" w:fill="auto"/>
            <w:noWrap/>
            <w:vAlign w:val="center"/>
            <w:hideMark/>
          </w:tcPr>
          <w:p w14:paraId="5173D331"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299,711</w:t>
            </w:r>
          </w:p>
        </w:tc>
        <w:tc>
          <w:tcPr>
            <w:tcW w:w="970" w:type="dxa"/>
            <w:tcBorders>
              <w:top w:val="nil"/>
              <w:left w:val="nil"/>
              <w:bottom w:val="single" w:sz="4" w:space="0" w:color="auto"/>
              <w:right w:val="single" w:sz="4" w:space="0" w:color="auto"/>
            </w:tcBorders>
            <w:shd w:val="clear" w:color="auto" w:fill="auto"/>
            <w:noWrap/>
            <w:vAlign w:val="center"/>
            <w:hideMark/>
          </w:tcPr>
          <w:p w14:paraId="6379E334"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572,136</w:t>
            </w:r>
          </w:p>
        </w:tc>
        <w:tc>
          <w:tcPr>
            <w:tcW w:w="970" w:type="dxa"/>
            <w:tcBorders>
              <w:top w:val="nil"/>
              <w:left w:val="nil"/>
              <w:bottom w:val="single" w:sz="4" w:space="0" w:color="auto"/>
              <w:right w:val="single" w:sz="4" w:space="0" w:color="auto"/>
            </w:tcBorders>
            <w:shd w:val="clear" w:color="auto" w:fill="auto"/>
            <w:noWrap/>
            <w:vAlign w:val="center"/>
            <w:hideMark/>
          </w:tcPr>
          <w:p w14:paraId="560E2B04"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882,263</w:t>
            </w:r>
          </w:p>
        </w:tc>
        <w:tc>
          <w:tcPr>
            <w:tcW w:w="970" w:type="dxa"/>
            <w:tcBorders>
              <w:top w:val="nil"/>
              <w:left w:val="nil"/>
              <w:bottom w:val="single" w:sz="4" w:space="0" w:color="auto"/>
              <w:right w:val="single" w:sz="4" w:space="0" w:color="auto"/>
            </w:tcBorders>
            <w:shd w:val="clear" w:color="auto" w:fill="auto"/>
            <w:noWrap/>
            <w:vAlign w:val="center"/>
            <w:hideMark/>
          </w:tcPr>
          <w:p w14:paraId="78950C38"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207,580</w:t>
            </w:r>
          </w:p>
        </w:tc>
        <w:tc>
          <w:tcPr>
            <w:tcW w:w="971" w:type="dxa"/>
            <w:tcBorders>
              <w:top w:val="nil"/>
              <w:left w:val="nil"/>
              <w:bottom w:val="single" w:sz="4" w:space="0" w:color="auto"/>
              <w:right w:val="single" w:sz="4" w:space="0" w:color="auto"/>
            </w:tcBorders>
            <w:shd w:val="clear" w:color="auto" w:fill="auto"/>
            <w:noWrap/>
            <w:vAlign w:val="center"/>
            <w:hideMark/>
          </w:tcPr>
          <w:p w14:paraId="0902C366" w14:textId="77777777" w:rsidR="00977693" w:rsidRPr="00A2223A" w:rsidRDefault="00977693" w:rsidP="003D68D1">
            <w:pPr>
              <w:spacing w:after="0" w:line="240" w:lineRule="auto"/>
              <w:jc w:val="right"/>
              <w:rPr>
                <w:rFonts w:cs="Arial"/>
                <w:b/>
                <w:bCs/>
                <w:color w:val="000000"/>
                <w:sz w:val="15"/>
                <w:szCs w:val="15"/>
                <w:lang w:eastAsia="en-AU"/>
              </w:rPr>
            </w:pPr>
            <w:r w:rsidRPr="00BA2163">
              <w:rPr>
                <w:rFonts w:cs="Arial"/>
                <w:b/>
                <w:bCs/>
                <w:color w:val="000000"/>
                <w:sz w:val="15"/>
                <w:szCs w:val="15"/>
                <w:lang w:eastAsia="en-AU"/>
              </w:rPr>
              <w:t>0</w:t>
            </w:r>
            <w:r w:rsidRPr="00A2223A">
              <w:rPr>
                <w:rFonts w:cs="Arial"/>
                <w:b/>
                <w:bCs/>
                <w:color w:val="000000"/>
                <w:sz w:val="15"/>
                <w:szCs w:val="15"/>
                <w:lang w:eastAsia="en-AU"/>
              </w:rPr>
              <w:t> </w:t>
            </w:r>
          </w:p>
        </w:tc>
        <w:tc>
          <w:tcPr>
            <w:tcW w:w="970" w:type="dxa"/>
            <w:tcBorders>
              <w:top w:val="nil"/>
              <w:left w:val="nil"/>
              <w:bottom w:val="single" w:sz="4" w:space="0" w:color="auto"/>
              <w:right w:val="single" w:sz="4" w:space="0" w:color="auto"/>
            </w:tcBorders>
            <w:shd w:val="clear" w:color="auto" w:fill="auto"/>
            <w:noWrap/>
            <w:vAlign w:val="center"/>
            <w:hideMark/>
          </w:tcPr>
          <w:p w14:paraId="4A0EC7B1"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955,426</w:t>
            </w:r>
          </w:p>
        </w:tc>
        <w:tc>
          <w:tcPr>
            <w:tcW w:w="970" w:type="dxa"/>
            <w:tcBorders>
              <w:top w:val="nil"/>
              <w:left w:val="nil"/>
              <w:bottom w:val="single" w:sz="4" w:space="0" w:color="auto"/>
              <w:right w:val="single" w:sz="4" w:space="0" w:color="auto"/>
            </w:tcBorders>
            <w:shd w:val="clear" w:color="auto" w:fill="auto"/>
            <w:noWrap/>
            <w:vAlign w:val="center"/>
            <w:hideMark/>
          </w:tcPr>
          <w:p w14:paraId="340FAE83"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69,545</w:t>
            </w:r>
          </w:p>
        </w:tc>
        <w:tc>
          <w:tcPr>
            <w:tcW w:w="971" w:type="dxa"/>
            <w:tcBorders>
              <w:top w:val="nil"/>
              <w:left w:val="nil"/>
              <w:bottom w:val="single" w:sz="4" w:space="0" w:color="auto"/>
              <w:right w:val="single" w:sz="4" w:space="0" w:color="auto"/>
            </w:tcBorders>
            <w:shd w:val="clear" w:color="auto" w:fill="auto"/>
            <w:noWrap/>
            <w:vAlign w:val="center"/>
            <w:hideMark/>
          </w:tcPr>
          <w:p w14:paraId="58A6AFEE" w14:textId="77777777" w:rsidR="00977693" w:rsidRPr="00A2223A" w:rsidRDefault="0097769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14,594,693</w:t>
            </w:r>
          </w:p>
        </w:tc>
      </w:tr>
    </w:tbl>
    <w:p w14:paraId="6942A2D7" w14:textId="347155B7" w:rsidR="00FE1263" w:rsidRDefault="00FE1263" w:rsidP="00FE1263">
      <w:pPr>
        <w:pStyle w:val="Bodyaftertablefigure"/>
        <w:keepNext/>
        <w:keepLines/>
        <w:spacing w:line="240" w:lineRule="auto"/>
      </w:pPr>
      <w:r>
        <w:t>Subregional and local – $’000s</w:t>
      </w:r>
    </w:p>
    <w:tbl>
      <w:tblPr>
        <w:tblW w:w="15209" w:type="dxa"/>
        <w:tblInd w:w="-289" w:type="dxa"/>
        <w:tblLayout w:type="fixed"/>
        <w:tblLook w:val="04A0" w:firstRow="1" w:lastRow="0" w:firstColumn="1" w:lastColumn="0" w:noHBand="0" w:noVBand="1"/>
      </w:tblPr>
      <w:tblGrid>
        <w:gridCol w:w="1588"/>
        <w:gridCol w:w="972"/>
        <w:gridCol w:w="973"/>
        <w:gridCol w:w="973"/>
        <w:gridCol w:w="973"/>
        <w:gridCol w:w="973"/>
        <w:gridCol w:w="973"/>
        <w:gridCol w:w="973"/>
        <w:gridCol w:w="973"/>
        <w:gridCol w:w="973"/>
        <w:gridCol w:w="973"/>
        <w:gridCol w:w="973"/>
        <w:gridCol w:w="973"/>
        <w:gridCol w:w="973"/>
        <w:gridCol w:w="973"/>
      </w:tblGrid>
      <w:tr w:rsidR="007D1F76" w:rsidRPr="00A2223A" w14:paraId="1724AD55" w14:textId="77777777" w:rsidTr="00DD382E">
        <w:trPr>
          <w:trHeight w:val="900"/>
          <w:tblHeader/>
        </w:trPr>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2AF2E26E" w14:textId="77777777" w:rsidR="00FE1263" w:rsidRDefault="00FE1263" w:rsidP="003D68D1">
            <w:pPr>
              <w:spacing w:after="0" w:line="240" w:lineRule="auto"/>
              <w:rPr>
                <w:rFonts w:cs="Arial"/>
                <w:b/>
                <w:bCs/>
                <w:color w:val="53565A"/>
                <w:sz w:val="16"/>
                <w:szCs w:val="16"/>
                <w:lang w:eastAsia="en-AU"/>
              </w:rPr>
            </w:pPr>
          </w:p>
          <w:p w14:paraId="42E5513B" w14:textId="77777777" w:rsidR="00FE1263" w:rsidRDefault="00FE1263" w:rsidP="003D68D1">
            <w:pPr>
              <w:spacing w:after="0" w:line="240" w:lineRule="auto"/>
              <w:rPr>
                <w:rFonts w:cs="Arial"/>
                <w:b/>
                <w:bCs/>
                <w:color w:val="53565A"/>
                <w:sz w:val="16"/>
                <w:szCs w:val="16"/>
                <w:lang w:eastAsia="en-AU"/>
              </w:rPr>
            </w:pPr>
          </w:p>
          <w:p w14:paraId="726A11E8" w14:textId="77777777" w:rsidR="00FE1263" w:rsidRPr="00A2223A" w:rsidRDefault="00FE1263" w:rsidP="003D68D1">
            <w:pPr>
              <w:spacing w:after="0" w:line="240" w:lineRule="auto"/>
              <w:rPr>
                <w:rFonts w:cs="Arial"/>
                <w:b/>
                <w:bCs/>
                <w:color w:val="53565A"/>
                <w:sz w:val="16"/>
                <w:szCs w:val="16"/>
                <w:lang w:eastAsia="en-AU"/>
              </w:rPr>
            </w:pPr>
            <w:r w:rsidRPr="00A2223A">
              <w:rPr>
                <w:rFonts w:cs="Arial"/>
                <w:b/>
                <w:bCs/>
                <w:color w:val="53565A"/>
                <w:sz w:val="16"/>
                <w:szCs w:val="16"/>
                <w:lang w:eastAsia="en-AU"/>
              </w:rPr>
              <w:t>Health Service</w:t>
            </w:r>
          </w:p>
        </w:tc>
        <w:tc>
          <w:tcPr>
            <w:tcW w:w="972" w:type="dxa"/>
            <w:tcBorders>
              <w:top w:val="single" w:sz="4" w:space="0" w:color="auto"/>
              <w:left w:val="nil"/>
              <w:bottom w:val="single" w:sz="4" w:space="0" w:color="auto"/>
              <w:right w:val="single" w:sz="4" w:space="0" w:color="auto"/>
            </w:tcBorders>
            <w:shd w:val="clear" w:color="auto" w:fill="auto"/>
            <w:hideMark/>
          </w:tcPr>
          <w:p w14:paraId="6A3DEA70"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2022–23</w:t>
            </w:r>
            <w:r w:rsidRPr="00A2223A">
              <w:rPr>
                <w:rFonts w:cs="Arial"/>
                <w:b/>
                <w:bCs/>
                <w:color w:val="53565A"/>
                <w:sz w:val="16"/>
                <w:szCs w:val="16"/>
                <w:lang w:eastAsia="en-AU"/>
              </w:rPr>
              <w:br/>
              <w:t>Total</w:t>
            </w:r>
          </w:p>
        </w:tc>
        <w:tc>
          <w:tcPr>
            <w:tcW w:w="973" w:type="dxa"/>
            <w:tcBorders>
              <w:top w:val="single" w:sz="4" w:space="0" w:color="auto"/>
              <w:left w:val="nil"/>
              <w:bottom w:val="single" w:sz="4" w:space="0" w:color="auto"/>
              <w:right w:val="single" w:sz="4" w:space="0" w:color="auto"/>
            </w:tcBorders>
            <w:shd w:val="clear" w:color="auto" w:fill="auto"/>
            <w:hideMark/>
          </w:tcPr>
          <w:p w14:paraId="6457BFF3"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Acute admitted</w:t>
            </w:r>
          </w:p>
        </w:tc>
        <w:tc>
          <w:tcPr>
            <w:tcW w:w="973" w:type="dxa"/>
            <w:tcBorders>
              <w:top w:val="single" w:sz="4" w:space="0" w:color="auto"/>
              <w:left w:val="nil"/>
              <w:bottom w:val="single" w:sz="4" w:space="0" w:color="auto"/>
              <w:right w:val="single" w:sz="4" w:space="0" w:color="auto"/>
            </w:tcBorders>
            <w:shd w:val="clear" w:color="auto" w:fill="auto"/>
            <w:hideMark/>
          </w:tcPr>
          <w:p w14:paraId="156BB162"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Acute non-admitted</w:t>
            </w:r>
          </w:p>
        </w:tc>
        <w:tc>
          <w:tcPr>
            <w:tcW w:w="973" w:type="dxa"/>
            <w:tcBorders>
              <w:top w:val="single" w:sz="4" w:space="0" w:color="auto"/>
              <w:left w:val="nil"/>
              <w:bottom w:val="single" w:sz="4" w:space="0" w:color="auto"/>
              <w:right w:val="single" w:sz="4" w:space="0" w:color="auto"/>
            </w:tcBorders>
            <w:shd w:val="clear" w:color="auto" w:fill="auto"/>
            <w:hideMark/>
          </w:tcPr>
          <w:p w14:paraId="5F80C9DA"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Emergency</w:t>
            </w:r>
          </w:p>
        </w:tc>
        <w:tc>
          <w:tcPr>
            <w:tcW w:w="973" w:type="dxa"/>
            <w:tcBorders>
              <w:top w:val="single" w:sz="4" w:space="0" w:color="auto"/>
              <w:left w:val="nil"/>
              <w:bottom w:val="single" w:sz="4" w:space="0" w:color="auto"/>
              <w:right w:val="single" w:sz="4" w:space="0" w:color="auto"/>
            </w:tcBorders>
            <w:shd w:val="clear" w:color="auto" w:fill="auto"/>
            <w:hideMark/>
          </w:tcPr>
          <w:p w14:paraId="6ACC9472"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Subacute</w:t>
            </w:r>
          </w:p>
        </w:tc>
        <w:tc>
          <w:tcPr>
            <w:tcW w:w="973" w:type="dxa"/>
            <w:tcBorders>
              <w:top w:val="single" w:sz="4" w:space="0" w:color="auto"/>
              <w:left w:val="nil"/>
              <w:bottom w:val="single" w:sz="4" w:space="0" w:color="auto"/>
              <w:right w:val="single" w:sz="4" w:space="0" w:color="auto"/>
            </w:tcBorders>
            <w:shd w:val="clear" w:color="auto" w:fill="auto"/>
            <w:hideMark/>
          </w:tcPr>
          <w:p w14:paraId="4567DAF7"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Subacute non-admitted</w:t>
            </w:r>
          </w:p>
        </w:tc>
        <w:tc>
          <w:tcPr>
            <w:tcW w:w="973" w:type="dxa"/>
            <w:tcBorders>
              <w:top w:val="single" w:sz="4" w:space="0" w:color="auto"/>
              <w:left w:val="nil"/>
              <w:bottom w:val="single" w:sz="4" w:space="0" w:color="auto"/>
              <w:right w:val="single" w:sz="4" w:space="0" w:color="auto"/>
            </w:tcBorders>
            <w:shd w:val="clear" w:color="auto" w:fill="auto"/>
            <w:hideMark/>
          </w:tcPr>
          <w:p w14:paraId="3C4811D1"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Teaching, training and research</w:t>
            </w:r>
          </w:p>
        </w:tc>
        <w:tc>
          <w:tcPr>
            <w:tcW w:w="973" w:type="dxa"/>
            <w:tcBorders>
              <w:top w:val="single" w:sz="4" w:space="0" w:color="auto"/>
              <w:left w:val="nil"/>
              <w:bottom w:val="single" w:sz="4" w:space="0" w:color="auto"/>
              <w:right w:val="single" w:sz="4" w:space="0" w:color="auto"/>
            </w:tcBorders>
            <w:shd w:val="clear" w:color="auto" w:fill="auto"/>
            <w:hideMark/>
          </w:tcPr>
          <w:p w14:paraId="33E061D5"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Mental health admitted</w:t>
            </w:r>
          </w:p>
        </w:tc>
        <w:tc>
          <w:tcPr>
            <w:tcW w:w="973" w:type="dxa"/>
            <w:tcBorders>
              <w:top w:val="single" w:sz="4" w:space="0" w:color="auto"/>
              <w:left w:val="nil"/>
              <w:bottom w:val="single" w:sz="4" w:space="0" w:color="auto"/>
              <w:right w:val="single" w:sz="4" w:space="0" w:color="auto"/>
            </w:tcBorders>
            <w:shd w:val="clear" w:color="auto" w:fill="auto"/>
            <w:hideMark/>
          </w:tcPr>
          <w:p w14:paraId="4215F93A"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Non-admitted mental health</w:t>
            </w:r>
          </w:p>
        </w:tc>
        <w:tc>
          <w:tcPr>
            <w:tcW w:w="973" w:type="dxa"/>
            <w:tcBorders>
              <w:top w:val="single" w:sz="4" w:space="0" w:color="auto"/>
              <w:left w:val="nil"/>
              <w:bottom w:val="single" w:sz="4" w:space="0" w:color="auto"/>
              <w:right w:val="single" w:sz="4" w:space="0" w:color="auto"/>
            </w:tcBorders>
            <w:shd w:val="clear" w:color="auto" w:fill="auto"/>
            <w:hideMark/>
          </w:tcPr>
          <w:p w14:paraId="6006FF88"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Non-admitted CAMHS</w:t>
            </w:r>
          </w:p>
        </w:tc>
        <w:tc>
          <w:tcPr>
            <w:tcW w:w="973" w:type="dxa"/>
            <w:tcBorders>
              <w:top w:val="single" w:sz="4" w:space="0" w:color="auto"/>
              <w:left w:val="nil"/>
              <w:bottom w:val="single" w:sz="4" w:space="0" w:color="auto"/>
              <w:right w:val="single" w:sz="4" w:space="0" w:color="auto"/>
            </w:tcBorders>
            <w:shd w:val="clear" w:color="auto" w:fill="auto"/>
            <w:hideMark/>
          </w:tcPr>
          <w:p w14:paraId="0785FFF7"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Other public hospital programs</w:t>
            </w:r>
          </w:p>
        </w:tc>
        <w:tc>
          <w:tcPr>
            <w:tcW w:w="973" w:type="dxa"/>
            <w:tcBorders>
              <w:top w:val="single" w:sz="4" w:space="0" w:color="auto"/>
              <w:left w:val="nil"/>
              <w:bottom w:val="single" w:sz="4" w:space="0" w:color="auto"/>
              <w:right w:val="single" w:sz="4" w:space="0" w:color="auto"/>
            </w:tcBorders>
            <w:shd w:val="clear" w:color="auto" w:fill="auto"/>
            <w:hideMark/>
          </w:tcPr>
          <w:p w14:paraId="3AB96E5D"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Out of scope of agreement</w:t>
            </w:r>
          </w:p>
        </w:tc>
        <w:tc>
          <w:tcPr>
            <w:tcW w:w="973" w:type="dxa"/>
            <w:tcBorders>
              <w:top w:val="single" w:sz="4" w:space="0" w:color="auto"/>
              <w:left w:val="nil"/>
              <w:bottom w:val="single" w:sz="4" w:space="0" w:color="auto"/>
              <w:right w:val="single" w:sz="4" w:space="0" w:color="auto"/>
            </w:tcBorders>
            <w:shd w:val="clear" w:color="000000" w:fill="FFFFFF"/>
            <w:hideMark/>
          </w:tcPr>
          <w:p w14:paraId="76CBB222"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r>
            <w:r>
              <w:rPr>
                <w:rFonts w:cs="Arial"/>
                <w:b/>
                <w:bCs/>
                <w:color w:val="53565A"/>
                <w:sz w:val="16"/>
                <w:szCs w:val="16"/>
                <w:lang w:eastAsia="en-AU"/>
              </w:rPr>
              <w:t>CAR T</w:t>
            </w:r>
          </w:p>
        </w:tc>
        <w:tc>
          <w:tcPr>
            <w:tcW w:w="973" w:type="dxa"/>
            <w:tcBorders>
              <w:top w:val="single" w:sz="4" w:space="0" w:color="auto"/>
              <w:left w:val="nil"/>
              <w:bottom w:val="single" w:sz="4" w:space="0" w:color="auto"/>
              <w:right w:val="single" w:sz="4" w:space="0" w:color="auto"/>
            </w:tcBorders>
            <w:shd w:val="clear" w:color="auto" w:fill="auto"/>
            <w:hideMark/>
          </w:tcPr>
          <w:p w14:paraId="7F7DC612"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Total</w:t>
            </w:r>
          </w:p>
        </w:tc>
      </w:tr>
      <w:tr w:rsidR="008428AF" w:rsidRPr="00A2223A" w14:paraId="0BC5DC0B" w14:textId="77777777" w:rsidTr="00DD382E">
        <w:trPr>
          <w:trHeight w:val="300"/>
        </w:trPr>
        <w:tc>
          <w:tcPr>
            <w:tcW w:w="1588" w:type="dxa"/>
            <w:tcBorders>
              <w:top w:val="nil"/>
              <w:left w:val="single" w:sz="4" w:space="0" w:color="auto"/>
              <w:bottom w:val="single" w:sz="4" w:space="0" w:color="auto"/>
              <w:right w:val="single" w:sz="4" w:space="0" w:color="auto"/>
            </w:tcBorders>
            <w:shd w:val="clear" w:color="auto" w:fill="auto"/>
            <w:noWrap/>
            <w:vAlign w:val="center"/>
            <w:hideMark/>
          </w:tcPr>
          <w:p w14:paraId="751A550A" w14:textId="77777777" w:rsidR="00FE1263" w:rsidRPr="00A2223A" w:rsidRDefault="00FE1263" w:rsidP="003D68D1">
            <w:pPr>
              <w:spacing w:after="0" w:line="240" w:lineRule="auto"/>
              <w:rPr>
                <w:rFonts w:cs="Arial"/>
                <w:color w:val="000000"/>
                <w:sz w:val="15"/>
                <w:szCs w:val="15"/>
                <w:lang w:eastAsia="en-AU"/>
              </w:rPr>
            </w:pPr>
            <w:r w:rsidRPr="00A2223A">
              <w:rPr>
                <w:rFonts w:cs="Arial"/>
                <w:color w:val="000000"/>
                <w:sz w:val="15"/>
                <w:szCs w:val="15"/>
                <w:lang w:eastAsia="en-AU"/>
              </w:rPr>
              <w:t>Bairnsdale Regional Health Service</w:t>
            </w:r>
          </w:p>
        </w:tc>
        <w:tc>
          <w:tcPr>
            <w:tcW w:w="972" w:type="dxa"/>
            <w:tcBorders>
              <w:top w:val="nil"/>
              <w:left w:val="nil"/>
              <w:bottom w:val="single" w:sz="4" w:space="0" w:color="auto"/>
              <w:right w:val="single" w:sz="4" w:space="0" w:color="auto"/>
            </w:tcBorders>
            <w:shd w:val="clear" w:color="auto" w:fill="auto"/>
            <w:noWrap/>
            <w:vAlign w:val="center"/>
            <w:hideMark/>
          </w:tcPr>
          <w:p w14:paraId="0E3D658F"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88,218</w:t>
            </w:r>
          </w:p>
        </w:tc>
        <w:tc>
          <w:tcPr>
            <w:tcW w:w="973" w:type="dxa"/>
            <w:tcBorders>
              <w:top w:val="nil"/>
              <w:left w:val="nil"/>
              <w:bottom w:val="single" w:sz="4" w:space="0" w:color="auto"/>
              <w:right w:val="single" w:sz="4" w:space="0" w:color="auto"/>
            </w:tcBorders>
            <w:shd w:val="clear" w:color="auto" w:fill="auto"/>
            <w:noWrap/>
            <w:vAlign w:val="center"/>
            <w:hideMark/>
          </w:tcPr>
          <w:p w14:paraId="646DDB6A"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52,498</w:t>
            </w:r>
          </w:p>
        </w:tc>
        <w:tc>
          <w:tcPr>
            <w:tcW w:w="973" w:type="dxa"/>
            <w:tcBorders>
              <w:top w:val="nil"/>
              <w:left w:val="nil"/>
              <w:bottom w:val="single" w:sz="4" w:space="0" w:color="auto"/>
              <w:right w:val="single" w:sz="4" w:space="0" w:color="auto"/>
            </w:tcBorders>
            <w:shd w:val="clear" w:color="auto" w:fill="auto"/>
            <w:noWrap/>
            <w:vAlign w:val="center"/>
            <w:hideMark/>
          </w:tcPr>
          <w:p w14:paraId="658761C0"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9,033</w:t>
            </w:r>
          </w:p>
        </w:tc>
        <w:tc>
          <w:tcPr>
            <w:tcW w:w="973" w:type="dxa"/>
            <w:tcBorders>
              <w:top w:val="nil"/>
              <w:left w:val="nil"/>
              <w:bottom w:val="single" w:sz="4" w:space="0" w:color="auto"/>
              <w:right w:val="single" w:sz="4" w:space="0" w:color="auto"/>
            </w:tcBorders>
            <w:shd w:val="clear" w:color="auto" w:fill="auto"/>
            <w:noWrap/>
            <w:vAlign w:val="center"/>
            <w:hideMark/>
          </w:tcPr>
          <w:p w14:paraId="15BDE057"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16,726</w:t>
            </w:r>
          </w:p>
        </w:tc>
        <w:tc>
          <w:tcPr>
            <w:tcW w:w="973" w:type="dxa"/>
            <w:tcBorders>
              <w:top w:val="nil"/>
              <w:left w:val="nil"/>
              <w:bottom w:val="single" w:sz="4" w:space="0" w:color="auto"/>
              <w:right w:val="single" w:sz="4" w:space="0" w:color="auto"/>
            </w:tcBorders>
            <w:shd w:val="clear" w:color="auto" w:fill="auto"/>
            <w:noWrap/>
            <w:vAlign w:val="center"/>
            <w:hideMark/>
          </w:tcPr>
          <w:p w14:paraId="30541810"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4,510</w:t>
            </w:r>
          </w:p>
        </w:tc>
        <w:tc>
          <w:tcPr>
            <w:tcW w:w="973" w:type="dxa"/>
            <w:tcBorders>
              <w:top w:val="nil"/>
              <w:left w:val="nil"/>
              <w:bottom w:val="single" w:sz="4" w:space="0" w:color="auto"/>
              <w:right w:val="single" w:sz="4" w:space="0" w:color="auto"/>
            </w:tcBorders>
            <w:shd w:val="clear" w:color="auto" w:fill="auto"/>
            <w:noWrap/>
            <w:vAlign w:val="center"/>
            <w:hideMark/>
          </w:tcPr>
          <w:p w14:paraId="252BE8F8"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541</w:t>
            </w:r>
          </w:p>
        </w:tc>
        <w:tc>
          <w:tcPr>
            <w:tcW w:w="973" w:type="dxa"/>
            <w:tcBorders>
              <w:top w:val="nil"/>
              <w:left w:val="nil"/>
              <w:bottom w:val="single" w:sz="4" w:space="0" w:color="auto"/>
              <w:right w:val="single" w:sz="4" w:space="0" w:color="auto"/>
            </w:tcBorders>
            <w:shd w:val="clear" w:color="auto" w:fill="auto"/>
            <w:noWrap/>
            <w:vAlign w:val="center"/>
            <w:hideMark/>
          </w:tcPr>
          <w:p w14:paraId="20952CB1"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2,684</w:t>
            </w:r>
          </w:p>
        </w:tc>
        <w:tc>
          <w:tcPr>
            <w:tcW w:w="973" w:type="dxa"/>
            <w:tcBorders>
              <w:top w:val="nil"/>
              <w:left w:val="nil"/>
              <w:bottom w:val="single" w:sz="4" w:space="0" w:color="auto"/>
              <w:right w:val="single" w:sz="4" w:space="0" w:color="auto"/>
            </w:tcBorders>
            <w:shd w:val="clear" w:color="auto" w:fill="auto"/>
            <w:noWrap/>
            <w:vAlign w:val="center"/>
            <w:hideMark/>
          </w:tcPr>
          <w:p w14:paraId="15E0376E"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55BB221E"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837</w:t>
            </w:r>
          </w:p>
        </w:tc>
        <w:tc>
          <w:tcPr>
            <w:tcW w:w="973" w:type="dxa"/>
            <w:tcBorders>
              <w:top w:val="nil"/>
              <w:left w:val="nil"/>
              <w:bottom w:val="single" w:sz="4" w:space="0" w:color="auto"/>
              <w:right w:val="single" w:sz="4" w:space="0" w:color="auto"/>
            </w:tcBorders>
            <w:shd w:val="clear" w:color="auto" w:fill="auto"/>
            <w:noWrap/>
            <w:vAlign w:val="center"/>
            <w:hideMark/>
          </w:tcPr>
          <w:p w14:paraId="0718CAB8"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5D25A4F2"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0835C949"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2,530</w:t>
            </w:r>
          </w:p>
        </w:tc>
        <w:tc>
          <w:tcPr>
            <w:tcW w:w="973" w:type="dxa"/>
            <w:tcBorders>
              <w:top w:val="nil"/>
              <w:left w:val="nil"/>
              <w:bottom w:val="single" w:sz="4" w:space="0" w:color="auto"/>
              <w:right w:val="single" w:sz="4" w:space="0" w:color="auto"/>
            </w:tcBorders>
            <w:shd w:val="clear" w:color="auto" w:fill="auto"/>
            <w:noWrap/>
            <w:vAlign w:val="center"/>
            <w:hideMark/>
          </w:tcPr>
          <w:p w14:paraId="1277A22E"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12957C15"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89,360</w:t>
            </w:r>
          </w:p>
        </w:tc>
      </w:tr>
      <w:tr w:rsidR="008428AF" w:rsidRPr="00A2223A" w14:paraId="26C1C44A" w14:textId="77777777" w:rsidTr="00DD382E">
        <w:trPr>
          <w:trHeight w:val="300"/>
        </w:trPr>
        <w:tc>
          <w:tcPr>
            <w:tcW w:w="1588" w:type="dxa"/>
            <w:tcBorders>
              <w:top w:val="nil"/>
              <w:left w:val="single" w:sz="4" w:space="0" w:color="auto"/>
              <w:bottom w:val="single" w:sz="4" w:space="0" w:color="auto"/>
              <w:right w:val="single" w:sz="4" w:space="0" w:color="auto"/>
            </w:tcBorders>
            <w:shd w:val="clear" w:color="auto" w:fill="auto"/>
            <w:noWrap/>
            <w:vAlign w:val="center"/>
            <w:hideMark/>
          </w:tcPr>
          <w:p w14:paraId="40973E21" w14:textId="77777777" w:rsidR="00FE1263" w:rsidRPr="00A2223A" w:rsidRDefault="00FE1263" w:rsidP="003D68D1">
            <w:pPr>
              <w:spacing w:after="0" w:line="240" w:lineRule="auto"/>
              <w:rPr>
                <w:rFonts w:cs="Arial"/>
                <w:color w:val="000000"/>
                <w:sz w:val="15"/>
                <w:szCs w:val="15"/>
                <w:lang w:eastAsia="en-AU"/>
              </w:rPr>
            </w:pPr>
            <w:r w:rsidRPr="00A2223A">
              <w:rPr>
                <w:rFonts w:cs="Arial"/>
                <w:color w:val="000000"/>
                <w:sz w:val="15"/>
                <w:szCs w:val="15"/>
                <w:lang w:eastAsia="en-AU"/>
              </w:rPr>
              <w:t>Bass Coast Health</w:t>
            </w:r>
          </w:p>
        </w:tc>
        <w:tc>
          <w:tcPr>
            <w:tcW w:w="972" w:type="dxa"/>
            <w:tcBorders>
              <w:top w:val="nil"/>
              <w:left w:val="nil"/>
              <w:bottom w:val="single" w:sz="4" w:space="0" w:color="auto"/>
              <w:right w:val="single" w:sz="4" w:space="0" w:color="auto"/>
            </w:tcBorders>
            <w:shd w:val="clear" w:color="auto" w:fill="auto"/>
            <w:noWrap/>
            <w:vAlign w:val="center"/>
            <w:hideMark/>
          </w:tcPr>
          <w:p w14:paraId="0537514F"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87,591</w:t>
            </w:r>
          </w:p>
        </w:tc>
        <w:tc>
          <w:tcPr>
            <w:tcW w:w="973" w:type="dxa"/>
            <w:tcBorders>
              <w:top w:val="nil"/>
              <w:left w:val="nil"/>
              <w:bottom w:val="single" w:sz="4" w:space="0" w:color="auto"/>
              <w:right w:val="single" w:sz="4" w:space="0" w:color="auto"/>
            </w:tcBorders>
            <w:shd w:val="clear" w:color="auto" w:fill="auto"/>
            <w:noWrap/>
            <w:vAlign w:val="center"/>
            <w:hideMark/>
          </w:tcPr>
          <w:p w14:paraId="3636E498"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59,631</w:t>
            </w:r>
          </w:p>
        </w:tc>
        <w:tc>
          <w:tcPr>
            <w:tcW w:w="973" w:type="dxa"/>
            <w:tcBorders>
              <w:top w:val="nil"/>
              <w:left w:val="nil"/>
              <w:bottom w:val="single" w:sz="4" w:space="0" w:color="auto"/>
              <w:right w:val="single" w:sz="4" w:space="0" w:color="auto"/>
            </w:tcBorders>
            <w:shd w:val="clear" w:color="auto" w:fill="auto"/>
            <w:noWrap/>
            <w:vAlign w:val="center"/>
            <w:hideMark/>
          </w:tcPr>
          <w:p w14:paraId="72EC6B17"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8,103</w:t>
            </w:r>
          </w:p>
        </w:tc>
        <w:tc>
          <w:tcPr>
            <w:tcW w:w="973" w:type="dxa"/>
            <w:tcBorders>
              <w:top w:val="nil"/>
              <w:left w:val="nil"/>
              <w:bottom w:val="single" w:sz="4" w:space="0" w:color="auto"/>
              <w:right w:val="single" w:sz="4" w:space="0" w:color="auto"/>
            </w:tcBorders>
            <w:shd w:val="clear" w:color="auto" w:fill="auto"/>
            <w:noWrap/>
            <w:vAlign w:val="center"/>
            <w:hideMark/>
          </w:tcPr>
          <w:p w14:paraId="72D54352"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13,895</w:t>
            </w:r>
          </w:p>
        </w:tc>
        <w:tc>
          <w:tcPr>
            <w:tcW w:w="973" w:type="dxa"/>
            <w:tcBorders>
              <w:top w:val="nil"/>
              <w:left w:val="nil"/>
              <w:bottom w:val="single" w:sz="4" w:space="0" w:color="auto"/>
              <w:right w:val="single" w:sz="4" w:space="0" w:color="auto"/>
            </w:tcBorders>
            <w:shd w:val="clear" w:color="auto" w:fill="auto"/>
            <w:noWrap/>
            <w:vAlign w:val="center"/>
            <w:hideMark/>
          </w:tcPr>
          <w:p w14:paraId="7A848544"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6,471</w:t>
            </w:r>
          </w:p>
        </w:tc>
        <w:tc>
          <w:tcPr>
            <w:tcW w:w="973" w:type="dxa"/>
            <w:tcBorders>
              <w:top w:val="nil"/>
              <w:left w:val="nil"/>
              <w:bottom w:val="single" w:sz="4" w:space="0" w:color="auto"/>
              <w:right w:val="single" w:sz="4" w:space="0" w:color="auto"/>
            </w:tcBorders>
            <w:shd w:val="clear" w:color="auto" w:fill="auto"/>
            <w:noWrap/>
            <w:vAlign w:val="center"/>
            <w:hideMark/>
          </w:tcPr>
          <w:p w14:paraId="48F971DF"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794</w:t>
            </w:r>
          </w:p>
        </w:tc>
        <w:tc>
          <w:tcPr>
            <w:tcW w:w="973" w:type="dxa"/>
            <w:tcBorders>
              <w:top w:val="nil"/>
              <w:left w:val="nil"/>
              <w:bottom w:val="single" w:sz="4" w:space="0" w:color="auto"/>
              <w:right w:val="single" w:sz="4" w:space="0" w:color="auto"/>
            </w:tcBorders>
            <w:shd w:val="clear" w:color="auto" w:fill="auto"/>
            <w:noWrap/>
            <w:vAlign w:val="center"/>
            <w:hideMark/>
          </w:tcPr>
          <w:p w14:paraId="24924EB5"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1,718</w:t>
            </w:r>
          </w:p>
        </w:tc>
        <w:tc>
          <w:tcPr>
            <w:tcW w:w="973" w:type="dxa"/>
            <w:tcBorders>
              <w:top w:val="nil"/>
              <w:left w:val="nil"/>
              <w:bottom w:val="single" w:sz="4" w:space="0" w:color="auto"/>
              <w:right w:val="single" w:sz="4" w:space="0" w:color="auto"/>
            </w:tcBorders>
            <w:shd w:val="clear" w:color="auto" w:fill="auto"/>
            <w:noWrap/>
            <w:vAlign w:val="center"/>
            <w:hideMark/>
          </w:tcPr>
          <w:p w14:paraId="1BE22F4D"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4F3D63A1"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0123FC59"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5C94822D"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4852D9C1"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10,725</w:t>
            </w:r>
          </w:p>
        </w:tc>
        <w:tc>
          <w:tcPr>
            <w:tcW w:w="973" w:type="dxa"/>
            <w:tcBorders>
              <w:top w:val="nil"/>
              <w:left w:val="nil"/>
              <w:bottom w:val="single" w:sz="4" w:space="0" w:color="auto"/>
              <w:right w:val="single" w:sz="4" w:space="0" w:color="auto"/>
            </w:tcBorders>
            <w:shd w:val="clear" w:color="auto" w:fill="auto"/>
            <w:noWrap/>
            <w:vAlign w:val="center"/>
            <w:hideMark/>
          </w:tcPr>
          <w:p w14:paraId="2D78AB83"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095897BC"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101,338</w:t>
            </w:r>
          </w:p>
        </w:tc>
      </w:tr>
      <w:tr w:rsidR="008428AF" w:rsidRPr="00A2223A" w14:paraId="07C2C110" w14:textId="77777777" w:rsidTr="00DD382E">
        <w:trPr>
          <w:trHeight w:val="300"/>
        </w:trPr>
        <w:tc>
          <w:tcPr>
            <w:tcW w:w="1588" w:type="dxa"/>
            <w:tcBorders>
              <w:top w:val="nil"/>
              <w:left w:val="single" w:sz="4" w:space="0" w:color="auto"/>
              <w:bottom w:val="single" w:sz="4" w:space="0" w:color="auto"/>
              <w:right w:val="single" w:sz="4" w:space="0" w:color="auto"/>
            </w:tcBorders>
            <w:shd w:val="clear" w:color="auto" w:fill="auto"/>
            <w:noWrap/>
            <w:vAlign w:val="center"/>
            <w:hideMark/>
          </w:tcPr>
          <w:p w14:paraId="72941F2D" w14:textId="77777777" w:rsidR="00FE1263" w:rsidRPr="00A2223A" w:rsidRDefault="00FE1263" w:rsidP="003D68D1">
            <w:pPr>
              <w:spacing w:after="0" w:line="240" w:lineRule="auto"/>
              <w:rPr>
                <w:rFonts w:cs="Arial"/>
                <w:color w:val="000000"/>
                <w:sz w:val="15"/>
                <w:szCs w:val="15"/>
                <w:lang w:eastAsia="en-AU"/>
              </w:rPr>
            </w:pPr>
            <w:r w:rsidRPr="00A2223A">
              <w:rPr>
                <w:rFonts w:cs="Arial"/>
                <w:color w:val="000000"/>
                <w:sz w:val="15"/>
                <w:szCs w:val="15"/>
                <w:lang w:eastAsia="en-AU"/>
              </w:rPr>
              <w:t>Benalla Health</w:t>
            </w:r>
          </w:p>
        </w:tc>
        <w:tc>
          <w:tcPr>
            <w:tcW w:w="972" w:type="dxa"/>
            <w:tcBorders>
              <w:top w:val="nil"/>
              <w:left w:val="nil"/>
              <w:bottom w:val="single" w:sz="4" w:space="0" w:color="auto"/>
              <w:right w:val="single" w:sz="4" w:space="0" w:color="auto"/>
            </w:tcBorders>
            <w:shd w:val="clear" w:color="auto" w:fill="auto"/>
            <w:noWrap/>
            <w:vAlign w:val="center"/>
            <w:hideMark/>
          </w:tcPr>
          <w:p w14:paraId="377CE873"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24,845</w:t>
            </w:r>
          </w:p>
        </w:tc>
        <w:tc>
          <w:tcPr>
            <w:tcW w:w="973" w:type="dxa"/>
            <w:tcBorders>
              <w:top w:val="nil"/>
              <w:left w:val="nil"/>
              <w:bottom w:val="single" w:sz="4" w:space="0" w:color="auto"/>
              <w:right w:val="single" w:sz="4" w:space="0" w:color="auto"/>
            </w:tcBorders>
            <w:shd w:val="clear" w:color="auto" w:fill="auto"/>
            <w:noWrap/>
            <w:vAlign w:val="center"/>
            <w:hideMark/>
          </w:tcPr>
          <w:p w14:paraId="4DEE5B38"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16,665</w:t>
            </w:r>
          </w:p>
        </w:tc>
        <w:tc>
          <w:tcPr>
            <w:tcW w:w="973" w:type="dxa"/>
            <w:tcBorders>
              <w:top w:val="nil"/>
              <w:left w:val="nil"/>
              <w:bottom w:val="single" w:sz="4" w:space="0" w:color="auto"/>
              <w:right w:val="single" w:sz="4" w:space="0" w:color="auto"/>
            </w:tcBorders>
            <w:shd w:val="clear" w:color="auto" w:fill="auto"/>
            <w:noWrap/>
            <w:vAlign w:val="center"/>
            <w:hideMark/>
          </w:tcPr>
          <w:p w14:paraId="4C2E4C35"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2,515</w:t>
            </w:r>
          </w:p>
        </w:tc>
        <w:tc>
          <w:tcPr>
            <w:tcW w:w="973" w:type="dxa"/>
            <w:tcBorders>
              <w:top w:val="nil"/>
              <w:left w:val="nil"/>
              <w:bottom w:val="single" w:sz="4" w:space="0" w:color="auto"/>
              <w:right w:val="single" w:sz="4" w:space="0" w:color="auto"/>
            </w:tcBorders>
            <w:shd w:val="clear" w:color="auto" w:fill="auto"/>
            <w:noWrap/>
            <w:vAlign w:val="center"/>
            <w:hideMark/>
          </w:tcPr>
          <w:p w14:paraId="272E776E"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1,676</w:t>
            </w:r>
          </w:p>
        </w:tc>
        <w:tc>
          <w:tcPr>
            <w:tcW w:w="973" w:type="dxa"/>
            <w:tcBorders>
              <w:top w:val="nil"/>
              <w:left w:val="nil"/>
              <w:bottom w:val="single" w:sz="4" w:space="0" w:color="auto"/>
              <w:right w:val="single" w:sz="4" w:space="0" w:color="auto"/>
            </w:tcBorders>
            <w:shd w:val="clear" w:color="auto" w:fill="auto"/>
            <w:noWrap/>
            <w:vAlign w:val="center"/>
            <w:hideMark/>
          </w:tcPr>
          <w:p w14:paraId="3CA87933"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512</w:t>
            </w:r>
          </w:p>
        </w:tc>
        <w:tc>
          <w:tcPr>
            <w:tcW w:w="973" w:type="dxa"/>
            <w:tcBorders>
              <w:top w:val="nil"/>
              <w:left w:val="nil"/>
              <w:bottom w:val="single" w:sz="4" w:space="0" w:color="auto"/>
              <w:right w:val="single" w:sz="4" w:space="0" w:color="auto"/>
            </w:tcBorders>
            <w:shd w:val="clear" w:color="auto" w:fill="auto"/>
            <w:noWrap/>
            <w:vAlign w:val="center"/>
            <w:hideMark/>
          </w:tcPr>
          <w:p w14:paraId="263E62E2"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751</w:t>
            </w:r>
          </w:p>
        </w:tc>
        <w:tc>
          <w:tcPr>
            <w:tcW w:w="973" w:type="dxa"/>
            <w:tcBorders>
              <w:top w:val="nil"/>
              <w:left w:val="nil"/>
              <w:bottom w:val="single" w:sz="4" w:space="0" w:color="auto"/>
              <w:right w:val="single" w:sz="4" w:space="0" w:color="auto"/>
            </w:tcBorders>
            <w:shd w:val="clear" w:color="auto" w:fill="auto"/>
            <w:noWrap/>
            <w:vAlign w:val="center"/>
            <w:hideMark/>
          </w:tcPr>
          <w:p w14:paraId="42644B46"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399</w:t>
            </w:r>
          </w:p>
        </w:tc>
        <w:tc>
          <w:tcPr>
            <w:tcW w:w="973" w:type="dxa"/>
            <w:tcBorders>
              <w:top w:val="nil"/>
              <w:left w:val="nil"/>
              <w:bottom w:val="single" w:sz="4" w:space="0" w:color="auto"/>
              <w:right w:val="single" w:sz="4" w:space="0" w:color="auto"/>
            </w:tcBorders>
            <w:shd w:val="clear" w:color="auto" w:fill="auto"/>
            <w:noWrap/>
            <w:vAlign w:val="center"/>
            <w:hideMark/>
          </w:tcPr>
          <w:p w14:paraId="1CA887BC"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086BFFD5"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32423B43"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31E84B9D"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37A98A72"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2,895</w:t>
            </w:r>
          </w:p>
        </w:tc>
        <w:tc>
          <w:tcPr>
            <w:tcW w:w="973" w:type="dxa"/>
            <w:tcBorders>
              <w:top w:val="nil"/>
              <w:left w:val="nil"/>
              <w:bottom w:val="single" w:sz="4" w:space="0" w:color="auto"/>
              <w:right w:val="single" w:sz="4" w:space="0" w:color="auto"/>
            </w:tcBorders>
            <w:shd w:val="clear" w:color="auto" w:fill="auto"/>
            <w:noWrap/>
            <w:vAlign w:val="center"/>
            <w:hideMark/>
          </w:tcPr>
          <w:p w14:paraId="7E310B08"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3A812705"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25,414</w:t>
            </w:r>
          </w:p>
        </w:tc>
      </w:tr>
      <w:tr w:rsidR="008428AF" w:rsidRPr="00A2223A" w14:paraId="1653A4BD" w14:textId="77777777" w:rsidTr="00DD382E">
        <w:trPr>
          <w:trHeight w:val="300"/>
        </w:trPr>
        <w:tc>
          <w:tcPr>
            <w:tcW w:w="1588" w:type="dxa"/>
            <w:tcBorders>
              <w:top w:val="nil"/>
              <w:left w:val="single" w:sz="4" w:space="0" w:color="auto"/>
              <w:bottom w:val="single" w:sz="4" w:space="0" w:color="auto"/>
              <w:right w:val="single" w:sz="4" w:space="0" w:color="auto"/>
            </w:tcBorders>
            <w:shd w:val="clear" w:color="auto" w:fill="auto"/>
            <w:noWrap/>
            <w:vAlign w:val="center"/>
            <w:hideMark/>
          </w:tcPr>
          <w:p w14:paraId="557538E9" w14:textId="77777777" w:rsidR="00FE1263" w:rsidRPr="00A2223A" w:rsidRDefault="00FE1263" w:rsidP="003D68D1">
            <w:pPr>
              <w:spacing w:after="0" w:line="240" w:lineRule="auto"/>
              <w:rPr>
                <w:rFonts w:cs="Arial"/>
                <w:color w:val="000000"/>
                <w:sz w:val="15"/>
                <w:szCs w:val="15"/>
                <w:lang w:eastAsia="en-AU"/>
              </w:rPr>
            </w:pPr>
            <w:r w:rsidRPr="00A2223A">
              <w:rPr>
                <w:rFonts w:cs="Arial"/>
                <w:color w:val="000000"/>
                <w:sz w:val="15"/>
                <w:szCs w:val="15"/>
                <w:lang w:eastAsia="en-AU"/>
              </w:rPr>
              <w:t>Central Gippsland Health Service</w:t>
            </w:r>
          </w:p>
        </w:tc>
        <w:tc>
          <w:tcPr>
            <w:tcW w:w="972" w:type="dxa"/>
            <w:tcBorders>
              <w:top w:val="nil"/>
              <w:left w:val="nil"/>
              <w:bottom w:val="single" w:sz="4" w:space="0" w:color="auto"/>
              <w:right w:val="single" w:sz="4" w:space="0" w:color="auto"/>
            </w:tcBorders>
            <w:shd w:val="clear" w:color="auto" w:fill="auto"/>
            <w:noWrap/>
            <w:vAlign w:val="center"/>
            <w:hideMark/>
          </w:tcPr>
          <w:p w14:paraId="0D152208"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78,549</w:t>
            </w:r>
          </w:p>
        </w:tc>
        <w:tc>
          <w:tcPr>
            <w:tcW w:w="973" w:type="dxa"/>
            <w:tcBorders>
              <w:top w:val="nil"/>
              <w:left w:val="nil"/>
              <w:bottom w:val="single" w:sz="4" w:space="0" w:color="auto"/>
              <w:right w:val="single" w:sz="4" w:space="0" w:color="auto"/>
            </w:tcBorders>
            <w:shd w:val="clear" w:color="auto" w:fill="auto"/>
            <w:noWrap/>
            <w:vAlign w:val="center"/>
            <w:hideMark/>
          </w:tcPr>
          <w:p w14:paraId="7EC74925"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44,658</w:t>
            </w:r>
          </w:p>
        </w:tc>
        <w:tc>
          <w:tcPr>
            <w:tcW w:w="973" w:type="dxa"/>
            <w:tcBorders>
              <w:top w:val="nil"/>
              <w:left w:val="nil"/>
              <w:bottom w:val="single" w:sz="4" w:space="0" w:color="auto"/>
              <w:right w:val="single" w:sz="4" w:space="0" w:color="auto"/>
            </w:tcBorders>
            <w:shd w:val="clear" w:color="auto" w:fill="auto"/>
            <w:noWrap/>
            <w:vAlign w:val="center"/>
            <w:hideMark/>
          </w:tcPr>
          <w:p w14:paraId="3E4E1225"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9,937</w:t>
            </w:r>
          </w:p>
        </w:tc>
        <w:tc>
          <w:tcPr>
            <w:tcW w:w="973" w:type="dxa"/>
            <w:tcBorders>
              <w:top w:val="nil"/>
              <w:left w:val="nil"/>
              <w:bottom w:val="single" w:sz="4" w:space="0" w:color="auto"/>
              <w:right w:val="single" w:sz="4" w:space="0" w:color="auto"/>
            </w:tcBorders>
            <w:shd w:val="clear" w:color="auto" w:fill="auto"/>
            <w:noWrap/>
            <w:vAlign w:val="center"/>
            <w:hideMark/>
          </w:tcPr>
          <w:p w14:paraId="541AD91A"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12,412</w:t>
            </w:r>
          </w:p>
        </w:tc>
        <w:tc>
          <w:tcPr>
            <w:tcW w:w="973" w:type="dxa"/>
            <w:tcBorders>
              <w:top w:val="nil"/>
              <w:left w:val="nil"/>
              <w:bottom w:val="single" w:sz="4" w:space="0" w:color="auto"/>
              <w:right w:val="single" w:sz="4" w:space="0" w:color="auto"/>
            </w:tcBorders>
            <w:shd w:val="clear" w:color="auto" w:fill="auto"/>
            <w:noWrap/>
            <w:vAlign w:val="center"/>
            <w:hideMark/>
          </w:tcPr>
          <w:p w14:paraId="2507951C"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3,498</w:t>
            </w:r>
          </w:p>
        </w:tc>
        <w:tc>
          <w:tcPr>
            <w:tcW w:w="973" w:type="dxa"/>
            <w:tcBorders>
              <w:top w:val="nil"/>
              <w:left w:val="nil"/>
              <w:bottom w:val="single" w:sz="4" w:space="0" w:color="auto"/>
              <w:right w:val="single" w:sz="4" w:space="0" w:color="auto"/>
            </w:tcBorders>
            <w:shd w:val="clear" w:color="auto" w:fill="auto"/>
            <w:noWrap/>
            <w:vAlign w:val="center"/>
            <w:hideMark/>
          </w:tcPr>
          <w:p w14:paraId="2EF024C5"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783</w:t>
            </w:r>
          </w:p>
        </w:tc>
        <w:tc>
          <w:tcPr>
            <w:tcW w:w="973" w:type="dxa"/>
            <w:tcBorders>
              <w:top w:val="nil"/>
              <w:left w:val="nil"/>
              <w:bottom w:val="single" w:sz="4" w:space="0" w:color="auto"/>
              <w:right w:val="single" w:sz="4" w:space="0" w:color="auto"/>
            </w:tcBorders>
            <w:shd w:val="clear" w:color="auto" w:fill="auto"/>
            <w:noWrap/>
            <w:vAlign w:val="center"/>
            <w:hideMark/>
          </w:tcPr>
          <w:p w14:paraId="4DBF6BFD"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1,808</w:t>
            </w:r>
          </w:p>
        </w:tc>
        <w:tc>
          <w:tcPr>
            <w:tcW w:w="973" w:type="dxa"/>
            <w:tcBorders>
              <w:top w:val="nil"/>
              <w:left w:val="nil"/>
              <w:bottom w:val="single" w:sz="4" w:space="0" w:color="auto"/>
              <w:right w:val="single" w:sz="4" w:space="0" w:color="auto"/>
            </w:tcBorders>
            <w:shd w:val="clear" w:color="auto" w:fill="auto"/>
            <w:noWrap/>
            <w:vAlign w:val="center"/>
            <w:hideMark/>
          </w:tcPr>
          <w:p w14:paraId="439E9B42"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36B6FE5B"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605</w:t>
            </w:r>
          </w:p>
        </w:tc>
        <w:tc>
          <w:tcPr>
            <w:tcW w:w="973" w:type="dxa"/>
            <w:tcBorders>
              <w:top w:val="nil"/>
              <w:left w:val="nil"/>
              <w:bottom w:val="single" w:sz="4" w:space="0" w:color="auto"/>
              <w:right w:val="single" w:sz="4" w:space="0" w:color="auto"/>
            </w:tcBorders>
            <w:shd w:val="clear" w:color="auto" w:fill="auto"/>
            <w:noWrap/>
            <w:vAlign w:val="center"/>
            <w:hideMark/>
          </w:tcPr>
          <w:p w14:paraId="2548B88F"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71DD1512"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497E4C8C"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6,052</w:t>
            </w:r>
          </w:p>
        </w:tc>
        <w:tc>
          <w:tcPr>
            <w:tcW w:w="973" w:type="dxa"/>
            <w:tcBorders>
              <w:top w:val="nil"/>
              <w:left w:val="nil"/>
              <w:bottom w:val="single" w:sz="4" w:space="0" w:color="auto"/>
              <w:right w:val="single" w:sz="4" w:space="0" w:color="auto"/>
            </w:tcBorders>
            <w:shd w:val="clear" w:color="auto" w:fill="auto"/>
            <w:noWrap/>
            <w:vAlign w:val="center"/>
            <w:hideMark/>
          </w:tcPr>
          <w:p w14:paraId="0D4B7E30"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2434BD6C"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79,752</w:t>
            </w:r>
          </w:p>
        </w:tc>
      </w:tr>
      <w:tr w:rsidR="008428AF" w:rsidRPr="00A2223A" w14:paraId="76F5E323" w14:textId="77777777" w:rsidTr="00DD382E">
        <w:trPr>
          <w:trHeight w:val="300"/>
        </w:trPr>
        <w:tc>
          <w:tcPr>
            <w:tcW w:w="1588" w:type="dxa"/>
            <w:tcBorders>
              <w:top w:val="nil"/>
              <w:left w:val="single" w:sz="4" w:space="0" w:color="auto"/>
              <w:bottom w:val="single" w:sz="4" w:space="0" w:color="auto"/>
              <w:right w:val="single" w:sz="4" w:space="0" w:color="auto"/>
            </w:tcBorders>
            <w:shd w:val="clear" w:color="auto" w:fill="auto"/>
            <w:noWrap/>
            <w:vAlign w:val="center"/>
            <w:hideMark/>
          </w:tcPr>
          <w:p w14:paraId="21E3AB99" w14:textId="77777777" w:rsidR="00FE1263" w:rsidRPr="00A2223A" w:rsidRDefault="00FE1263" w:rsidP="003D68D1">
            <w:pPr>
              <w:spacing w:after="0" w:line="240" w:lineRule="auto"/>
              <w:rPr>
                <w:rFonts w:cs="Arial"/>
                <w:color w:val="000000"/>
                <w:sz w:val="15"/>
                <w:szCs w:val="15"/>
                <w:lang w:eastAsia="en-AU"/>
              </w:rPr>
            </w:pPr>
            <w:r w:rsidRPr="00A2223A">
              <w:rPr>
                <w:rFonts w:cs="Arial"/>
                <w:color w:val="000000"/>
                <w:sz w:val="15"/>
                <w:szCs w:val="15"/>
                <w:lang w:eastAsia="en-AU"/>
              </w:rPr>
              <w:t>Colac Area Health</w:t>
            </w:r>
          </w:p>
        </w:tc>
        <w:tc>
          <w:tcPr>
            <w:tcW w:w="972" w:type="dxa"/>
            <w:tcBorders>
              <w:top w:val="nil"/>
              <w:left w:val="nil"/>
              <w:bottom w:val="single" w:sz="4" w:space="0" w:color="auto"/>
              <w:right w:val="single" w:sz="4" w:space="0" w:color="auto"/>
            </w:tcBorders>
            <w:shd w:val="clear" w:color="auto" w:fill="auto"/>
            <w:noWrap/>
            <w:vAlign w:val="center"/>
            <w:hideMark/>
          </w:tcPr>
          <w:p w14:paraId="363AC441"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38,330</w:t>
            </w:r>
          </w:p>
        </w:tc>
        <w:tc>
          <w:tcPr>
            <w:tcW w:w="973" w:type="dxa"/>
            <w:tcBorders>
              <w:top w:val="nil"/>
              <w:left w:val="nil"/>
              <w:bottom w:val="single" w:sz="4" w:space="0" w:color="auto"/>
              <w:right w:val="single" w:sz="4" w:space="0" w:color="auto"/>
            </w:tcBorders>
            <w:shd w:val="clear" w:color="auto" w:fill="auto"/>
            <w:noWrap/>
            <w:vAlign w:val="center"/>
            <w:hideMark/>
          </w:tcPr>
          <w:p w14:paraId="0787C9E2"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24,732</w:t>
            </w:r>
          </w:p>
        </w:tc>
        <w:tc>
          <w:tcPr>
            <w:tcW w:w="973" w:type="dxa"/>
            <w:tcBorders>
              <w:top w:val="nil"/>
              <w:left w:val="nil"/>
              <w:bottom w:val="single" w:sz="4" w:space="0" w:color="auto"/>
              <w:right w:val="single" w:sz="4" w:space="0" w:color="auto"/>
            </w:tcBorders>
            <w:shd w:val="clear" w:color="auto" w:fill="auto"/>
            <w:noWrap/>
            <w:vAlign w:val="center"/>
            <w:hideMark/>
          </w:tcPr>
          <w:p w14:paraId="7F589586"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3,697</w:t>
            </w:r>
          </w:p>
        </w:tc>
        <w:tc>
          <w:tcPr>
            <w:tcW w:w="973" w:type="dxa"/>
            <w:tcBorders>
              <w:top w:val="nil"/>
              <w:left w:val="nil"/>
              <w:bottom w:val="single" w:sz="4" w:space="0" w:color="auto"/>
              <w:right w:val="single" w:sz="4" w:space="0" w:color="auto"/>
            </w:tcBorders>
            <w:shd w:val="clear" w:color="auto" w:fill="auto"/>
            <w:noWrap/>
            <w:vAlign w:val="center"/>
            <w:hideMark/>
          </w:tcPr>
          <w:p w14:paraId="046D3F41"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5,439</w:t>
            </w:r>
          </w:p>
        </w:tc>
        <w:tc>
          <w:tcPr>
            <w:tcW w:w="973" w:type="dxa"/>
            <w:tcBorders>
              <w:top w:val="nil"/>
              <w:left w:val="nil"/>
              <w:bottom w:val="single" w:sz="4" w:space="0" w:color="auto"/>
              <w:right w:val="single" w:sz="4" w:space="0" w:color="auto"/>
            </w:tcBorders>
            <w:shd w:val="clear" w:color="auto" w:fill="auto"/>
            <w:noWrap/>
            <w:vAlign w:val="center"/>
            <w:hideMark/>
          </w:tcPr>
          <w:p w14:paraId="6E20409B"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679</w:t>
            </w:r>
          </w:p>
        </w:tc>
        <w:tc>
          <w:tcPr>
            <w:tcW w:w="973" w:type="dxa"/>
            <w:tcBorders>
              <w:top w:val="nil"/>
              <w:left w:val="nil"/>
              <w:bottom w:val="single" w:sz="4" w:space="0" w:color="auto"/>
              <w:right w:val="single" w:sz="4" w:space="0" w:color="auto"/>
            </w:tcBorders>
            <w:shd w:val="clear" w:color="auto" w:fill="auto"/>
            <w:noWrap/>
            <w:vAlign w:val="center"/>
            <w:hideMark/>
          </w:tcPr>
          <w:p w14:paraId="665B69A6"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385</w:t>
            </w:r>
          </w:p>
        </w:tc>
        <w:tc>
          <w:tcPr>
            <w:tcW w:w="973" w:type="dxa"/>
            <w:tcBorders>
              <w:top w:val="nil"/>
              <w:left w:val="nil"/>
              <w:bottom w:val="single" w:sz="4" w:space="0" w:color="auto"/>
              <w:right w:val="single" w:sz="4" w:space="0" w:color="auto"/>
            </w:tcBorders>
            <w:shd w:val="clear" w:color="auto" w:fill="auto"/>
            <w:noWrap/>
            <w:vAlign w:val="center"/>
            <w:hideMark/>
          </w:tcPr>
          <w:p w14:paraId="5BF10282"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408</w:t>
            </w:r>
          </w:p>
        </w:tc>
        <w:tc>
          <w:tcPr>
            <w:tcW w:w="973" w:type="dxa"/>
            <w:tcBorders>
              <w:top w:val="nil"/>
              <w:left w:val="nil"/>
              <w:bottom w:val="single" w:sz="4" w:space="0" w:color="auto"/>
              <w:right w:val="single" w:sz="4" w:space="0" w:color="auto"/>
            </w:tcBorders>
            <w:shd w:val="clear" w:color="auto" w:fill="auto"/>
            <w:noWrap/>
            <w:vAlign w:val="center"/>
            <w:hideMark/>
          </w:tcPr>
          <w:p w14:paraId="47FA2312"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62204E51"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0C695F08"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416F7512"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6BEB1219"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4,133</w:t>
            </w:r>
          </w:p>
        </w:tc>
        <w:tc>
          <w:tcPr>
            <w:tcW w:w="973" w:type="dxa"/>
            <w:tcBorders>
              <w:top w:val="nil"/>
              <w:left w:val="nil"/>
              <w:bottom w:val="single" w:sz="4" w:space="0" w:color="auto"/>
              <w:right w:val="single" w:sz="4" w:space="0" w:color="auto"/>
            </w:tcBorders>
            <w:shd w:val="clear" w:color="auto" w:fill="auto"/>
            <w:noWrap/>
            <w:vAlign w:val="center"/>
            <w:hideMark/>
          </w:tcPr>
          <w:p w14:paraId="34222BC3"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1DF5BA39"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39,473</w:t>
            </w:r>
          </w:p>
        </w:tc>
      </w:tr>
      <w:tr w:rsidR="008428AF" w:rsidRPr="00A2223A" w14:paraId="77BD1A4E" w14:textId="77777777" w:rsidTr="00DD382E">
        <w:trPr>
          <w:trHeight w:val="300"/>
        </w:trPr>
        <w:tc>
          <w:tcPr>
            <w:tcW w:w="1588" w:type="dxa"/>
            <w:tcBorders>
              <w:top w:val="nil"/>
              <w:left w:val="single" w:sz="4" w:space="0" w:color="auto"/>
              <w:bottom w:val="single" w:sz="4" w:space="0" w:color="auto"/>
              <w:right w:val="single" w:sz="4" w:space="0" w:color="auto"/>
            </w:tcBorders>
            <w:shd w:val="clear" w:color="auto" w:fill="auto"/>
            <w:noWrap/>
            <w:vAlign w:val="center"/>
            <w:hideMark/>
          </w:tcPr>
          <w:p w14:paraId="5217AC07" w14:textId="77777777" w:rsidR="00FE1263" w:rsidRPr="00A2223A" w:rsidRDefault="00FE1263" w:rsidP="003D68D1">
            <w:pPr>
              <w:spacing w:after="0" w:line="240" w:lineRule="auto"/>
              <w:rPr>
                <w:rFonts w:cs="Arial"/>
                <w:color w:val="000000"/>
                <w:sz w:val="15"/>
                <w:szCs w:val="15"/>
                <w:lang w:eastAsia="en-AU"/>
              </w:rPr>
            </w:pPr>
            <w:r w:rsidRPr="00A2223A">
              <w:rPr>
                <w:rFonts w:cs="Arial"/>
                <w:color w:val="000000"/>
                <w:sz w:val="15"/>
                <w:szCs w:val="15"/>
                <w:lang w:eastAsia="en-AU"/>
              </w:rPr>
              <w:t>Dhelkaya Health</w:t>
            </w:r>
          </w:p>
        </w:tc>
        <w:tc>
          <w:tcPr>
            <w:tcW w:w="972" w:type="dxa"/>
            <w:tcBorders>
              <w:top w:val="nil"/>
              <w:left w:val="nil"/>
              <w:bottom w:val="single" w:sz="4" w:space="0" w:color="auto"/>
              <w:right w:val="single" w:sz="4" w:space="0" w:color="auto"/>
            </w:tcBorders>
            <w:shd w:val="clear" w:color="auto" w:fill="auto"/>
            <w:noWrap/>
            <w:vAlign w:val="center"/>
            <w:hideMark/>
          </w:tcPr>
          <w:p w14:paraId="712F5B30"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38,834</w:t>
            </w:r>
          </w:p>
        </w:tc>
        <w:tc>
          <w:tcPr>
            <w:tcW w:w="973" w:type="dxa"/>
            <w:tcBorders>
              <w:top w:val="nil"/>
              <w:left w:val="nil"/>
              <w:bottom w:val="single" w:sz="4" w:space="0" w:color="auto"/>
              <w:right w:val="single" w:sz="4" w:space="0" w:color="auto"/>
            </w:tcBorders>
            <w:shd w:val="clear" w:color="auto" w:fill="auto"/>
            <w:noWrap/>
            <w:vAlign w:val="center"/>
            <w:hideMark/>
          </w:tcPr>
          <w:p w14:paraId="40CA27B0"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23,155</w:t>
            </w:r>
          </w:p>
        </w:tc>
        <w:tc>
          <w:tcPr>
            <w:tcW w:w="973" w:type="dxa"/>
            <w:tcBorders>
              <w:top w:val="nil"/>
              <w:left w:val="nil"/>
              <w:bottom w:val="single" w:sz="4" w:space="0" w:color="auto"/>
              <w:right w:val="single" w:sz="4" w:space="0" w:color="auto"/>
            </w:tcBorders>
            <w:shd w:val="clear" w:color="auto" w:fill="auto"/>
            <w:noWrap/>
            <w:vAlign w:val="center"/>
            <w:hideMark/>
          </w:tcPr>
          <w:p w14:paraId="26617078"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4,589</w:t>
            </w:r>
          </w:p>
        </w:tc>
        <w:tc>
          <w:tcPr>
            <w:tcW w:w="973" w:type="dxa"/>
            <w:tcBorders>
              <w:top w:val="nil"/>
              <w:left w:val="nil"/>
              <w:bottom w:val="single" w:sz="4" w:space="0" w:color="auto"/>
              <w:right w:val="single" w:sz="4" w:space="0" w:color="auto"/>
            </w:tcBorders>
            <w:shd w:val="clear" w:color="auto" w:fill="auto"/>
            <w:noWrap/>
            <w:vAlign w:val="center"/>
            <w:hideMark/>
          </w:tcPr>
          <w:p w14:paraId="032463CB"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1,619</w:t>
            </w:r>
          </w:p>
        </w:tc>
        <w:tc>
          <w:tcPr>
            <w:tcW w:w="973" w:type="dxa"/>
            <w:tcBorders>
              <w:top w:val="nil"/>
              <w:left w:val="nil"/>
              <w:bottom w:val="single" w:sz="4" w:space="0" w:color="auto"/>
              <w:right w:val="single" w:sz="4" w:space="0" w:color="auto"/>
            </w:tcBorders>
            <w:shd w:val="clear" w:color="auto" w:fill="auto"/>
            <w:noWrap/>
            <w:vAlign w:val="center"/>
            <w:hideMark/>
          </w:tcPr>
          <w:p w14:paraId="26151F11"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4,013</w:t>
            </w:r>
          </w:p>
        </w:tc>
        <w:tc>
          <w:tcPr>
            <w:tcW w:w="973" w:type="dxa"/>
            <w:tcBorders>
              <w:top w:val="nil"/>
              <w:left w:val="nil"/>
              <w:bottom w:val="single" w:sz="4" w:space="0" w:color="auto"/>
              <w:right w:val="single" w:sz="4" w:space="0" w:color="auto"/>
            </w:tcBorders>
            <w:shd w:val="clear" w:color="auto" w:fill="auto"/>
            <w:noWrap/>
            <w:vAlign w:val="center"/>
            <w:hideMark/>
          </w:tcPr>
          <w:p w14:paraId="13558B20"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535</w:t>
            </w:r>
          </w:p>
        </w:tc>
        <w:tc>
          <w:tcPr>
            <w:tcW w:w="973" w:type="dxa"/>
            <w:tcBorders>
              <w:top w:val="nil"/>
              <w:left w:val="nil"/>
              <w:bottom w:val="single" w:sz="4" w:space="0" w:color="auto"/>
              <w:right w:val="single" w:sz="4" w:space="0" w:color="auto"/>
            </w:tcBorders>
            <w:shd w:val="clear" w:color="auto" w:fill="auto"/>
            <w:noWrap/>
            <w:vAlign w:val="center"/>
            <w:hideMark/>
          </w:tcPr>
          <w:p w14:paraId="53C6FABA"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529</w:t>
            </w:r>
          </w:p>
        </w:tc>
        <w:tc>
          <w:tcPr>
            <w:tcW w:w="973" w:type="dxa"/>
            <w:tcBorders>
              <w:top w:val="nil"/>
              <w:left w:val="nil"/>
              <w:bottom w:val="single" w:sz="4" w:space="0" w:color="auto"/>
              <w:right w:val="single" w:sz="4" w:space="0" w:color="auto"/>
            </w:tcBorders>
            <w:shd w:val="clear" w:color="auto" w:fill="auto"/>
            <w:noWrap/>
            <w:vAlign w:val="center"/>
            <w:hideMark/>
          </w:tcPr>
          <w:p w14:paraId="138DA2F1"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3BB0A435"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029868FD"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2C005C52"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24E2884A"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5,696</w:t>
            </w:r>
          </w:p>
        </w:tc>
        <w:tc>
          <w:tcPr>
            <w:tcW w:w="973" w:type="dxa"/>
            <w:tcBorders>
              <w:top w:val="nil"/>
              <w:left w:val="nil"/>
              <w:bottom w:val="single" w:sz="4" w:space="0" w:color="auto"/>
              <w:right w:val="single" w:sz="4" w:space="0" w:color="auto"/>
            </w:tcBorders>
            <w:shd w:val="clear" w:color="auto" w:fill="auto"/>
            <w:noWrap/>
            <w:vAlign w:val="center"/>
            <w:hideMark/>
          </w:tcPr>
          <w:p w14:paraId="219348D7"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2A5E1E4C"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40,135</w:t>
            </w:r>
          </w:p>
        </w:tc>
      </w:tr>
      <w:tr w:rsidR="008428AF" w:rsidRPr="00A2223A" w14:paraId="50573EB1" w14:textId="77777777" w:rsidTr="00DD382E">
        <w:trPr>
          <w:trHeight w:val="300"/>
        </w:trPr>
        <w:tc>
          <w:tcPr>
            <w:tcW w:w="1588" w:type="dxa"/>
            <w:tcBorders>
              <w:top w:val="nil"/>
              <w:left w:val="single" w:sz="4" w:space="0" w:color="auto"/>
              <w:bottom w:val="single" w:sz="4" w:space="0" w:color="auto"/>
              <w:right w:val="single" w:sz="4" w:space="0" w:color="auto"/>
            </w:tcBorders>
            <w:shd w:val="clear" w:color="auto" w:fill="auto"/>
            <w:noWrap/>
            <w:vAlign w:val="center"/>
            <w:hideMark/>
          </w:tcPr>
          <w:p w14:paraId="2CA7143A" w14:textId="77777777" w:rsidR="00FE1263" w:rsidRPr="00A2223A" w:rsidRDefault="00FE1263" w:rsidP="003D68D1">
            <w:pPr>
              <w:spacing w:after="0" w:line="240" w:lineRule="auto"/>
              <w:rPr>
                <w:rFonts w:cs="Arial"/>
                <w:color w:val="000000"/>
                <w:sz w:val="15"/>
                <w:szCs w:val="15"/>
                <w:lang w:eastAsia="en-AU"/>
              </w:rPr>
            </w:pPr>
            <w:r w:rsidRPr="00A2223A">
              <w:rPr>
                <w:rFonts w:cs="Arial"/>
                <w:color w:val="000000"/>
                <w:sz w:val="15"/>
                <w:szCs w:val="15"/>
                <w:lang w:eastAsia="en-AU"/>
              </w:rPr>
              <w:t>East Grampians Health Service</w:t>
            </w:r>
          </w:p>
        </w:tc>
        <w:tc>
          <w:tcPr>
            <w:tcW w:w="972" w:type="dxa"/>
            <w:tcBorders>
              <w:top w:val="nil"/>
              <w:left w:val="nil"/>
              <w:bottom w:val="single" w:sz="4" w:space="0" w:color="auto"/>
              <w:right w:val="single" w:sz="4" w:space="0" w:color="auto"/>
            </w:tcBorders>
            <w:shd w:val="clear" w:color="auto" w:fill="auto"/>
            <w:noWrap/>
            <w:vAlign w:val="center"/>
            <w:hideMark/>
          </w:tcPr>
          <w:p w14:paraId="20BFD282"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30,498</w:t>
            </w:r>
          </w:p>
        </w:tc>
        <w:tc>
          <w:tcPr>
            <w:tcW w:w="973" w:type="dxa"/>
            <w:tcBorders>
              <w:top w:val="nil"/>
              <w:left w:val="nil"/>
              <w:bottom w:val="single" w:sz="4" w:space="0" w:color="auto"/>
              <w:right w:val="single" w:sz="4" w:space="0" w:color="auto"/>
            </w:tcBorders>
            <w:shd w:val="clear" w:color="auto" w:fill="auto"/>
            <w:noWrap/>
            <w:vAlign w:val="center"/>
            <w:hideMark/>
          </w:tcPr>
          <w:p w14:paraId="79FB8C1B"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21,670</w:t>
            </w:r>
          </w:p>
        </w:tc>
        <w:tc>
          <w:tcPr>
            <w:tcW w:w="973" w:type="dxa"/>
            <w:tcBorders>
              <w:top w:val="nil"/>
              <w:left w:val="nil"/>
              <w:bottom w:val="single" w:sz="4" w:space="0" w:color="auto"/>
              <w:right w:val="single" w:sz="4" w:space="0" w:color="auto"/>
            </w:tcBorders>
            <w:shd w:val="clear" w:color="auto" w:fill="auto"/>
            <w:noWrap/>
            <w:vAlign w:val="center"/>
            <w:hideMark/>
          </w:tcPr>
          <w:p w14:paraId="423AE191"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2,620</w:t>
            </w:r>
          </w:p>
        </w:tc>
        <w:tc>
          <w:tcPr>
            <w:tcW w:w="973" w:type="dxa"/>
            <w:tcBorders>
              <w:top w:val="nil"/>
              <w:left w:val="nil"/>
              <w:bottom w:val="single" w:sz="4" w:space="0" w:color="auto"/>
              <w:right w:val="single" w:sz="4" w:space="0" w:color="auto"/>
            </w:tcBorders>
            <w:shd w:val="clear" w:color="auto" w:fill="auto"/>
            <w:noWrap/>
            <w:vAlign w:val="center"/>
            <w:hideMark/>
          </w:tcPr>
          <w:p w14:paraId="67EC57F5"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1,121</w:t>
            </w:r>
          </w:p>
        </w:tc>
        <w:tc>
          <w:tcPr>
            <w:tcW w:w="973" w:type="dxa"/>
            <w:tcBorders>
              <w:top w:val="nil"/>
              <w:left w:val="nil"/>
              <w:bottom w:val="single" w:sz="4" w:space="0" w:color="auto"/>
              <w:right w:val="single" w:sz="4" w:space="0" w:color="auto"/>
            </w:tcBorders>
            <w:shd w:val="clear" w:color="auto" w:fill="auto"/>
            <w:noWrap/>
            <w:vAlign w:val="center"/>
            <w:hideMark/>
          </w:tcPr>
          <w:p w14:paraId="70F73B80"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921</w:t>
            </w:r>
          </w:p>
        </w:tc>
        <w:tc>
          <w:tcPr>
            <w:tcW w:w="973" w:type="dxa"/>
            <w:tcBorders>
              <w:top w:val="nil"/>
              <w:left w:val="nil"/>
              <w:bottom w:val="single" w:sz="4" w:space="0" w:color="auto"/>
              <w:right w:val="single" w:sz="4" w:space="0" w:color="auto"/>
            </w:tcBorders>
            <w:shd w:val="clear" w:color="auto" w:fill="auto"/>
            <w:noWrap/>
            <w:vAlign w:val="center"/>
            <w:hideMark/>
          </w:tcPr>
          <w:p w14:paraId="57B2941C"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690</w:t>
            </w:r>
          </w:p>
        </w:tc>
        <w:tc>
          <w:tcPr>
            <w:tcW w:w="973" w:type="dxa"/>
            <w:tcBorders>
              <w:top w:val="nil"/>
              <w:left w:val="nil"/>
              <w:bottom w:val="single" w:sz="4" w:space="0" w:color="auto"/>
              <w:right w:val="single" w:sz="4" w:space="0" w:color="auto"/>
            </w:tcBorders>
            <w:shd w:val="clear" w:color="auto" w:fill="auto"/>
            <w:noWrap/>
            <w:vAlign w:val="center"/>
            <w:hideMark/>
          </w:tcPr>
          <w:p w14:paraId="78E8E4B0"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1,541</w:t>
            </w:r>
          </w:p>
        </w:tc>
        <w:tc>
          <w:tcPr>
            <w:tcW w:w="973" w:type="dxa"/>
            <w:tcBorders>
              <w:top w:val="nil"/>
              <w:left w:val="nil"/>
              <w:bottom w:val="single" w:sz="4" w:space="0" w:color="auto"/>
              <w:right w:val="single" w:sz="4" w:space="0" w:color="auto"/>
            </w:tcBorders>
            <w:shd w:val="clear" w:color="auto" w:fill="auto"/>
            <w:noWrap/>
            <w:vAlign w:val="center"/>
            <w:hideMark/>
          </w:tcPr>
          <w:p w14:paraId="199A3112"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4B594034"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3A00DB5D"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4DEC5BC5"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7F897E5D"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3,202</w:t>
            </w:r>
          </w:p>
        </w:tc>
        <w:tc>
          <w:tcPr>
            <w:tcW w:w="973" w:type="dxa"/>
            <w:tcBorders>
              <w:top w:val="nil"/>
              <w:left w:val="nil"/>
              <w:bottom w:val="single" w:sz="4" w:space="0" w:color="auto"/>
              <w:right w:val="single" w:sz="4" w:space="0" w:color="auto"/>
            </w:tcBorders>
            <w:shd w:val="clear" w:color="auto" w:fill="auto"/>
            <w:noWrap/>
            <w:vAlign w:val="center"/>
            <w:hideMark/>
          </w:tcPr>
          <w:p w14:paraId="58C1A1E8"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176D1F52"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31,766</w:t>
            </w:r>
          </w:p>
        </w:tc>
      </w:tr>
      <w:tr w:rsidR="008428AF" w:rsidRPr="00A2223A" w14:paraId="681B18F7" w14:textId="77777777" w:rsidTr="00DD382E">
        <w:trPr>
          <w:trHeight w:val="300"/>
        </w:trPr>
        <w:tc>
          <w:tcPr>
            <w:tcW w:w="1588" w:type="dxa"/>
            <w:tcBorders>
              <w:top w:val="nil"/>
              <w:left w:val="single" w:sz="4" w:space="0" w:color="auto"/>
              <w:bottom w:val="single" w:sz="4" w:space="0" w:color="auto"/>
              <w:right w:val="single" w:sz="4" w:space="0" w:color="auto"/>
            </w:tcBorders>
            <w:shd w:val="clear" w:color="auto" w:fill="auto"/>
            <w:noWrap/>
            <w:vAlign w:val="center"/>
            <w:hideMark/>
          </w:tcPr>
          <w:p w14:paraId="3E0CE517" w14:textId="77777777" w:rsidR="00FE1263" w:rsidRPr="00A2223A" w:rsidRDefault="00FE1263" w:rsidP="003D68D1">
            <w:pPr>
              <w:spacing w:after="0" w:line="240" w:lineRule="auto"/>
              <w:rPr>
                <w:rFonts w:cs="Arial"/>
                <w:color w:val="000000"/>
                <w:sz w:val="15"/>
                <w:szCs w:val="15"/>
                <w:lang w:eastAsia="en-AU"/>
              </w:rPr>
            </w:pPr>
            <w:r w:rsidRPr="00A2223A">
              <w:rPr>
                <w:rFonts w:cs="Arial"/>
                <w:color w:val="000000"/>
                <w:sz w:val="15"/>
                <w:szCs w:val="15"/>
                <w:lang w:eastAsia="en-AU"/>
              </w:rPr>
              <w:t>Echuca Regional Health</w:t>
            </w:r>
          </w:p>
        </w:tc>
        <w:tc>
          <w:tcPr>
            <w:tcW w:w="972" w:type="dxa"/>
            <w:tcBorders>
              <w:top w:val="nil"/>
              <w:left w:val="nil"/>
              <w:bottom w:val="single" w:sz="4" w:space="0" w:color="auto"/>
              <w:right w:val="single" w:sz="4" w:space="0" w:color="auto"/>
            </w:tcBorders>
            <w:shd w:val="clear" w:color="auto" w:fill="auto"/>
            <w:noWrap/>
            <w:vAlign w:val="center"/>
            <w:hideMark/>
          </w:tcPr>
          <w:p w14:paraId="0FBD8690"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81,086</w:t>
            </w:r>
          </w:p>
        </w:tc>
        <w:tc>
          <w:tcPr>
            <w:tcW w:w="973" w:type="dxa"/>
            <w:tcBorders>
              <w:top w:val="nil"/>
              <w:left w:val="nil"/>
              <w:bottom w:val="single" w:sz="4" w:space="0" w:color="auto"/>
              <w:right w:val="single" w:sz="4" w:space="0" w:color="auto"/>
            </w:tcBorders>
            <w:shd w:val="clear" w:color="auto" w:fill="auto"/>
            <w:noWrap/>
            <w:vAlign w:val="center"/>
            <w:hideMark/>
          </w:tcPr>
          <w:p w14:paraId="74E008AB"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47,193</w:t>
            </w:r>
          </w:p>
        </w:tc>
        <w:tc>
          <w:tcPr>
            <w:tcW w:w="973" w:type="dxa"/>
            <w:tcBorders>
              <w:top w:val="nil"/>
              <w:left w:val="nil"/>
              <w:bottom w:val="single" w:sz="4" w:space="0" w:color="auto"/>
              <w:right w:val="single" w:sz="4" w:space="0" w:color="auto"/>
            </w:tcBorders>
            <w:shd w:val="clear" w:color="auto" w:fill="auto"/>
            <w:noWrap/>
            <w:vAlign w:val="center"/>
            <w:hideMark/>
          </w:tcPr>
          <w:p w14:paraId="51B97777"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9,142</w:t>
            </w:r>
          </w:p>
        </w:tc>
        <w:tc>
          <w:tcPr>
            <w:tcW w:w="973" w:type="dxa"/>
            <w:tcBorders>
              <w:top w:val="nil"/>
              <w:left w:val="nil"/>
              <w:bottom w:val="single" w:sz="4" w:space="0" w:color="auto"/>
              <w:right w:val="single" w:sz="4" w:space="0" w:color="auto"/>
            </w:tcBorders>
            <w:shd w:val="clear" w:color="auto" w:fill="auto"/>
            <w:noWrap/>
            <w:vAlign w:val="center"/>
            <w:hideMark/>
          </w:tcPr>
          <w:p w14:paraId="5328E712"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13,717</w:t>
            </w:r>
          </w:p>
        </w:tc>
        <w:tc>
          <w:tcPr>
            <w:tcW w:w="973" w:type="dxa"/>
            <w:tcBorders>
              <w:top w:val="nil"/>
              <w:left w:val="nil"/>
              <w:bottom w:val="single" w:sz="4" w:space="0" w:color="auto"/>
              <w:right w:val="single" w:sz="4" w:space="0" w:color="auto"/>
            </w:tcBorders>
            <w:shd w:val="clear" w:color="auto" w:fill="auto"/>
            <w:noWrap/>
            <w:vAlign w:val="center"/>
            <w:hideMark/>
          </w:tcPr>
          <w:p w14:paraId="63358B62"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4,575</w:t>
            </w:r>
          </w:p>
        </w:tc>
        <w:tc>
          <w:tcPr>
            <w:tcW w:w="973" w:type="dxa"/>
            <w:tcBorders>
              <w:top w:val="nil"/>
              <w:left w:val="nil"/>
              <w:bottom w:val="single" w:sz="4" w:space="0" w:color="auto"/>
              <w:right w:val="single" w:sz="4" w:space="0" w:color="auto"/>
            </w:tcBorders>
            <w:shd w:val="clear" w:color="auto" w:fill="auto"/>
            <w:noWrap/>
            <w:vAlign w:val="center"/>
            <w:hideMark/>
          </w:tcPr>
          <w:p w14:paraId="18311362"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869</w:t>
            </w:r>
          </w:p>
        </w:tc>
        <w:tc>
          <w:tcPr>
            <w:tcW w:w="973" w:type="dxa"/>
            <w:tcBorders>
              <w:top w:val="nil"/>
              <w:left w:val="nil"/>
              <w:bottom w:val="single" w:sz="4" w:space="0" w:color="auto"/>
              <w:right w:val="single" w:sz="4" w:space="0" w:color="auto"/>
            </w:tcBorders>
            <w:shd w:val="clear" w:color="auto" w:fill="auto"/>
            <w:noWrap/>
            <w:vAlign w:val="center"/>
            <w:hideMark/>
          </w:tcPr>
          <w:p w14:paraId="2DC155D8"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3,027</w:t>
            </w:r>
          </w:p>
        </w:tc>
        <w:tc>
          <w:tcPr>
            <w:tcW w:w="973" w:type="dxa"/>
            <w:tcBorders>
              <w:top w:val="nil"/>
              <w:left w:val="nil"/>
              <w:bottom w:val="single" w:sz="4" w:space="0" w:color="auto"/>
              <w:right w:val="single" w:sz="4" w:space="0" w:color="auto"/>
            </w:tcBorders>
            <w:shd w:val="clear" w:color="auto" w:fill="auto"/>
            <w:noWrap/>
            <w:vAlign w:val="center"/>
            <w:hideMark/>
          </w:tcPr>
          <w:p w14:paraId="6D06FEA2"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40636B69"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411C7DFA"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7D19A9B2"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5C90159D"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5,153</w:t>
            </w:r>
          </w:p>
        </w:tc>
        <w:tc>
          <w:tcPr>
            <w:tcW w:w="973" w:type="dxa"/>
            <w:tcBorders>
              <w:top w:val="nil"/>
              <w:left w:val="nil"/>
              <w:bottom w:val="single" w:sz="4" w:space="0" w:color="auto"/>
              <w:right w:val="single" w:sz="4" w:space="0" w:color="auto"/>
            </w:tcBorders>
            <w:shd w:val="clear" w:color="auto" w:fill="auto"/>
            <w:noWrap/>
            <w:vAlign w:val="center"/>
            <w:hideMark/>
          </w:tcPr>
          <w:p w14:paraId="1E99FCEE"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14890896"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83,676</w:t>
            </w:r>
          </w:p>
        </w:tc>
      </w:tr>
      <w:tr w:rsidR="008428AF" w:rsidRPr="00A2223A" w14:paraId="738BFBD8" w14:textId="77777777" w:rsidTr="00DD382E">
        <w:trPr>
          <w:trHeight w:val="300"/>
        </w:trPr>
        <w:tc>
          <w:tcPr>
            <w:tcW w:w="1588" w:type="dxa"/>
            <w:tcBorders>
              <w:top w:val="nil"/>
              <w:left w:val="single" w:sz="4" w:space="0" w:color="auto"/>
              <w:bottom w:val="single" w:sz="4" w:space="0" w:color="auto"/>
              <w:right w:val="single" w:sz="4" w:space="0" w:color="auto"/>
            </w:tcBorders>
            <w:shd w:val="clear" w:color="auto" w:fill="auto"/>
            <w:noWrap/>
            <w:vAlign w:val="center"/>
            <w:hideMark/>
          </w:tcPr>
          <w:p w14:paraId="72999797" w14:textId="77777777" w:rsidR="00FE1263" w:rsidRPr="00A2223A" w:rsidRDefault="00FE1263" w:rsidP="003D68D1">
            <w:pPr>
              <w:spacing w:after="0" w:line="240" w:lineRule="auto"/>
              <w:rPr>
                <w:rFonts w:cs="Arial"/>
                <w:color w:val="000000"/>
                <w:sz w:val="15"/>
                <w:szCs w:val="15"/>
                <w:lang w:eastAsia="en-AU"/>
              </w:rPr>
            </w:pPr>
            <w:r w:rsidRPr="00A2223A">
              <w:rPr>
                <w:rFonts w:cs="Arial"/>
                <w:color w:val="000000"/>
                <w:sz w:val="15"/>
                <w:szCs w:val="15"/>
                <w:lang w:eastAsia="en-AU"/>
              </w:rPr>
              <w:t>Gippsland Southern Health Service</w:t>
            </w:r>
          </w:p>
        </w:tc>
        <w:tc>
          <w:tcPr>
            <w:tcW w:w="972" w:type="dxa"/>
            <w:tcBorders>
              <w:top w:val="nil"/>
              <w:left w:val="nil"/>
              <w:bottom w:val="single" w:sz="4" w:space="0" w:color="auto"/>
              <w:right w:val="single" w:sz="4" w:space="0" w:color="auto"/>
            </w:tcBorders>
            <w:shd w:val="clear" w:color="auto" w:fill="auto"/>
            <w:noWrap/>
            <w:vAlign w:val="center"/>
            <w:hideMark/>
          </w:tcPr>
          <w:p w14:paraId="09597039"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28,027</w:t>
            </w:r>
          </w:p>
        </w:tc>
        <w:tc>
          <w:tcPr>
            <w:tcW w:w="973" w:type="dxa"/>
            <w:tcBorders>
              <w:top w:val="nil"/>
              <w:left w:val="nil"/>
              <w:bottom w:val="single" w:sz="4" w:space="0" w:color="auto"/>
              <w:right w:val="single" w:sz="4" w:space="0" w:color="auto"/>
            </w:tcBorders>
            <w:shd w:val="clear" w:color="auto" w:fill="auto"/>
            <w:noWrap/>
            <w:vAlign w:val="center"/>
            <w:hideMark/>
          </w:tcPr>
          <w:p w14:paraId="4732F1A1"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18,054</w:t>
            </w:r>
          </w:p>
        </w:tc>
        <w:tc>
          <w:tcPr>
            <w:tcW w:w="973" w:type="dxa"/>
            <w:tcBorders>
              <w:top w:val="nil"/>
              <w:left w:val="nil"/>
              <w:bottom w:val="single" w:sz="4" w:space="0" w:color="auto"/>
              <w:right w:val="single" w:sz="4" w:space="0" w:color="auto"/>
            </w:tcBorders>
            <w:shd w:val="clear" w:color="auto" w:fill="auto"/>
            <w:noWrap/>
            <w:vAlign w:val="center"/>
            <w:hideMark/>
          </w:tcPr>
          <w:p w14:paraId="086C8CCD"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2,273</w:t>
            </w:r>
          </w:p>
        </w:tc>
        <w:tc>
          <w:tcPr>
            <w:tcW w:w="973" w:type="dxa"/>
            <w:tcBorders>
              <w:top w:val="nil"/>
              <w:left w:val="nil"/>
              <w:bottom w:val="single" w:sz="4" w:space="0" w:color="auto"/>
              <w:right w:val="single" w:sz="4" w:space="0" w:color="auto"/>
            </w:tcBorders>
            <w:shd w:val="clear" w:color="auto" w:fill="auto"/>
            <w:noWrap/>
            <w:vAlign w:val="center"/>
            <w:hideMark/>
          </w:tcPr>
          <w:p w14:paraId="476249BF"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2,239</w:t>
            </w:r>
          </w:p>
        </w:tc>
        <w:tc>
          <w:tcPr>
            <w:tcW w:w="973" w:type="dxa"/>
            <w:tcBorders>
              <w:top w:val="nil"/>
              <w:left w:val="nil"/>
              <w:bottom w:val="single" w:sz="4" w:space="0" w:color="auto"/>
              <w:right w:val="single" w:sz="4" w:space="0" w:color="auto"/>
            </w:tcBorders>
            <w:shd w:val="clear" w:color="auto" w:fill="auto"/>
            <w:noWrap/>
            <w:vAlign w:val="center"/>
            <w:hideMark/>
          </w:tcPr>
          <w:p w14:paraId="20B403D9"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1,052</w:t>
            </w:r>
          </w:p>
        </w:tc>
        <w:tc>
          <w:tcPr>
            <w:tcW w:w="973" w:type="dxa"/>
            <w:tcBorders>
              <w:top w:val="nil"/>
              <w:left w:val="nil"/>
              <w:bottom w:val="single" w:sz="4" w:space="0" w:color="auto"/>
              <w:right w:val="single" w:sz="4" w:space="0" w:color="auto"/>
            </w:tcBorders>
            <w:shd w:val="clear" w:color="auto" w:fill="auto"/>
            <w:noWrap/>
            <w:vAlign w:val="center"/>
            <w:hideMark/>
          </w:tcPr>
          <w:p w14:paraId="35045F0B"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641</w:t>
            </w:r>
          </w:p>
        </w:tc>
        <w:tc>
          <w:tcPr>
            <w:tcW w:w="973" w:type="dxa"/>
            <w:tcBorders>
              <w:top w:val="nil"/>
              <w:left w:val="nil"/>
              <w:bottom w:val="single" w:sz="4" w:space="0" w:color="auto"/>
              <w:right w:val="single" w:sz="4" w:space="0" w:color="auto"/>
            </w:tcBorders>
            <w:shd w:val="clear" w:color="auto" w:fill="auto"/>
            <w:noWrap/>
            <w:vAlign w:val="center"/>
            <w:hideMark/>
          </w:tcPr>
          <w:p w14:paraId="03BF0037"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313</w:t>
            </w:r>
          </w:p>
        </w:tc>
        <w:tc>
          <w:tcPr>
            <w:tcW w:w="973" w:type="dxa"/>
            <w:tcBorders>
              <w:top w:val="nil"/>
              <w:left w:val="nil"/>
              <w:bottom w:val="single" w:sz="4" w:space="0" w:color="auto"/>
              <w:right w:val="single" w:sz="4" w:space="0" w:color="auto"/>
            </w:tcBorders>
            <w:shd w:val="clear" w:color="auto" w:fill="auto"/>
            <w:noWrap/>
            <w:vAlign w:val="center"/>
            <w:hideMark/>
          </w:tcPr>
          <w:p w14:paraId="517801F1"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03EF4ABA"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223</w:t>
            </w:r>
          </w:p>
        </w:tc>
        <w:tc>
          <w:tcPr>
            <w:tcW w:w="973" w:type="dxa"/>
            <w:tcBorders>
              <w:top w:val="nil"/>
              <w:left w:val="nil"/>
              <w:bottom w:val="single" w:sz="4" w:space="0" w:color="auto"/>
              <w:right w:val="single" w:sz="4" w:space="0" w:color="auto"/>
            </w:tcBorders>
            <w:shd w:val="clear" w:color="auto" w:fill="auto"/>
            <w:noWrap/>
            <w:vAlign w:val="center"/>
            <w:hideMark/>
          </w:tcPr>
          <w:p w14:paraId="0E1282B0"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772C477E"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78BF9765"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3,989</w:t>
            </w:r>
          </w:p>
        </w:tc>
        <w:tc>
          <w:tcPr>
            <w:tcW w:w="973" w:type="dxa"/>
            <w:tcBorders>
              <w:top w:val="nil"/>
              <w:left w:val="nil"/>
              <w:bottom w:val="single" w:sz="4" w:space="0" w:color="auto"/>
              <w:right w:val="single" w:sz="4" w:space="0" w:color="auto"/>
            </w:tcBorders>
            <w:shd w:val="clear" w:color="auto" w:fill="auto"/>
            <w:noWrap/>
            <w:vAlign w:val="center"/>
            <w:hideMark/>
          </w:tcPr>
          <w:p w14:paraId="691FE9D0"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0859AE9A"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28,784</w:t>
            </w:r>
          </w:p>
        </w:tc>
      </w:tr>
      <w:tr w:rsidR="008428AF" w:rsidRPr="00A2223A" w14:paraId="283B11E2" w14:textId="77777777" w:rsidTr="00DD382E">
        <w:trPr>
          <w:trHeight w:val="300"/>
        </w:trPr>
        <w:tc>
          <w:tcPr>
            <w:tcW w:w="1588" w:type="dxa"/>
            <w:tcBorders>
              <w:top w:val="nil"/>
              <w:left w:val="single" w:sz="4" w:space="0" w:color="auto"/>
              <w:bottom w:val="single" w:sz="4" w:space="0" w:color="auto"/>
              <w:right w:val="single" w:sz="4" w:space="0" w:color="auto"/>
            </w:tcBorders>
            <w:shd w:val="clear" w:color="auto" w:fill="auto"/>
            <w:noWrap/>
            <w:vAlign w:val="center"/>
            <w:hideMark/>
          </w:tcPr>
          <w:p w14:paraId="5C498C9F" w14:textId="77777777" w:rsidR="00FE1263" w:rsidRPr="00A2223A" w:rsidRDefault="00FE1263" w:rsidP="003D68D1">
            <w:pPr>
              <w:spacing w:after="0" w:line="240" w:lineRule="auto"/>
              <w:rPr>
                <w:rFonts w:cs="Arial"/>
                <w:color w:val="000000"/>
                <w:sz w:val="15"/>
                <w:szCs w:val="15"/>
                <w:lang w:eastAsia="en-AU"/>
              </w:rPr>
            </w:pPr>
            <w:r w:rsidRPr="00A2223A">
              <w:rPr>
                <w:rFonts w:cs="Arial"/>
                <w:color w:val="000000"/>
                <w:sz w:val="15"/>
                <w:szCs w:val="15"/>
                <w:lang w:eastAsia="en-AU"/>
              </w:rPr>
              <w:t>Kyabram District Health Service</w:t>
            </w:r>
          </w:p>
        </w:tc>
        <w:tc>
          <w:tcPr>
            <w:tcW w:w="972" w:type="dxa"/>
            <w:tcBorders>
              <w:top w:val="nil"/>
              <w:left w:val="nil"/>
              <w:bottom w:val="single" w:sz="4" w:space="0" w:color="auto"/>
              <w:right w:val="single" w:sz="4" w:space="0" w:color="auto"/>
            </w:tcBorders>
            <w:shd w:val="clear" w:color="auto" w:fill="auto"/>
            <w:noWrap/>
            <w:vAlign w:val="center"/>
            <w:hideMark/>
          </w:tcPr>
          <w:p w14:paraId="0CA4930C"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20,776</w:t>
            </w:r>
          </w:p>
        </w:tc>
        <w:tc>
          <w:tcPr>
            <w:tcW w:w="973" w:type="dxa"/>
            <w:tcBorders>
              <w:top w:val="nil"/>
              <w:left w:val="nil"/>
              <w:bottom w:val="single" w:sz="4" w:space="0" w:color="auto"/>
              <w:right w:val="single" w:sz="4" w:space="0" w:color="auto"/>
            </w:tcBorders>
            <w:shd w:val="clear" w:color="auto" w:fill="auto"/>
            <w:noWrap/>
            <w:vAlign w:val="center"/>
            <w:hideMark/>
          </w:tcPr>
          <w:p w14:paraId="20A9DA53"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14,547</w:t>
            </w:r>
          </w:p>
        </w:tc>
        <w:tc>
          <w:tcPr>
            <w:tcW w:w="973" w:type="dxa"/>
            <w:tcBorders>
              <w:top w:val="nil"/>
              <w:left w:val="nil"/>
              <w:bottom w:val="single" w:sz="4" w:space="0" w:color="auto"/>
              <w:right w:val="single" w:sz="4" w:space="0" w:color="auto"/>
            </w:tcBorders>
            <w:shd w:val="clear" w:color="auto" w:fill="auto"/>
            <w:noWrap/>
            <w:vAlign w:val="center"/>
            <w:hideMark/>
          </w:tcPr>
          <w:p w14:paraId="2F296703"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1,368</w:t>
            </w:r>
          </w:p>
        </w:tc>
        <w:tc>
          <w:tcPr>
            <w:tcW w:w="973" w:type="dxa"/>
            <w:tcBorders>
              <w:top w:val="nil"/>
              <w:left w:val="nil"/>
              <w:bottom w:val="single" w:sz="4" w:space="0" w:color="auto"/>
              <w:right w:val="single" w:sz="4" w:space="0" w:color="auto"/>
            </w:tcBorders>
            <w:shd w:val="clear" w:color="auto" w:fill="auto"/>
            <w:noWrap/>
            <w:vAlign w:val="center"/>
            <w:hideMark/>
          </w:tcPr>
          <w:p w14:paraId="6261B528"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1,335</w:t>
            </w:r>
          </w:p>
        </w:tc>
        <w:tc>
          <w:tcPr>
            <w:tcW w:w="973" w:type="dxa"/>
            <w:tcBorders>
              <w:top w:val="nil"/>
              <w:left w:val="nil"/>
              <w:bottom w:val="single" w:sz="4" w:space="0" w:color="auto"/>
              <w:right w:val="single" w:sz="4" w:space="0" w:color="auto"/>
            </w:tcBorders>
            <w:shd w:val="clear" w:color="auto" w:fill="auto"/>
            <w:noWrap/>
            <w:vAlign w:val="center"/>
            <w:hideMark/>
          </w:tcPr>
          <w:p w14:paraId="596F9BEB"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603</w:t>
            </w:r>
          </w:p>
        </w:tc>
        <w:tc>
          <w:tcPr>
            <w:tcW w:w="973" w:type="dxa"/>
            <w:tcBorders>
              <w:top w:val="nil"/>
              <w:left w:val="nil"/>
              <w:bottom w:val="single" w:sz="4" w:space="0" w:color="auto"/>
              <w:right w:val="single" w:sz="4" w:space="0" w:color="auto"/>
            </w:tcBorders>
            <w:shd w:val="clear" w:color="auto" w:fill="auto"/>
            <w:noWrap/>
            <w:vAlign w:val="center"/>
            <w:hideMark/>
          </w:tcPr>
          <w:p w14:paraId="29BD5ECA"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 </w:t>
            </w:r>
            <w:r>
              <w:rPr>
                <w:rFonts w:cs="Arial"/>
                <w:color w:val="000000"/>
                <w:sz w:val="15"/>
                <w:szCs w:val="15"/>
                <w:lang w:eastAsia="en-AU"/>
              </w:rPr>
              <w:t>0</w:t>
            </w:r>
          </w:p>
        </w:tc>
        <w:tc>
          <w:tcPr>
            <w:tcW w:w="973" w:type="dxa"/>
            <w:tcBorders>
              <w:top w:val="nil"/>
              <w:left w:val="nil"/>
              <w:bottom w:val="single" w:sz="4" w:space="0" w:color="auto"/>
              <w:right w:val="single" w:sz="4" w:space="0" w:color="auto"/>
            </w:tcBorders>
            <w:shd w:val="clear" w:color="auto" w:fill="auto"/>
            <w:noWrap/>
            <w:vAlign w:val="center"/>
            <w:hideMark/>
          </w:tcPr>
          <w:p w14:paraId="60EA2BBF"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146</w:t>
            </w:r>
          </w:p>
        </w:tc>
        <w:tc>
          <w:tcPr>
            <w:tcW w:w="973" w:type="dxa"/>
            <w:tcBorders>
              <w:top w:val="nil"/>
              <w:left w:val="nil"/>
              <w:bottom w:val="single" w:sz="4" w:space="0" w:color="auto"/>
              <w:right w:val="single" w:sz="4" w:space="0" w:color="auto"/>
            </w:tcBorders>
            <w:shd w:val="clear" w:color="auto" w:fill="auto"/>
            <w:noWrap/>
            <w:vAlign w:val="center"/>
            <w:hideMark/>
          </w:tcPr>
          <w:p w14:paraId="129D195A"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2FE258CE"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197598C7"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4F72B7C6"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7F010A95"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3,100</w:t>
            </w:r>
          </w:p>
        </w:tc>
        <w:tc>
          <w:tcPr>
            <w:tcW w:w="973" w:type="dxa"/>
            <w:tcBorders>
              <w:top w:val="nil"/>
              <w:left w:val="nil"/>
              <w:bottom w:val="single" w:sz="4" w:space="0" w:color="auto"/>
              <w:right w:val="single" w:sz="4" w:space="0" w:color="auto"/>
            </w:tcBorders>
            <w:shd w:val="clear" w:color="auto" w:fill="auto"/>
            <w:noWrap/>
            <w:vAlign w:val="center"/>
            <w:hideMark/>
          </w:tcPr>
          <w:p w14:paraId="65FFE64B"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2532C84E"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21,100</w:t>
            </w:r>
          </w:p>
        </w:tc>
      </w:tr>
      <w:tr w:rsidR="008428AF" w:rsidRPr="00A2223A" w14:paraId="0512C2CB" w14:textId="77777777" w:rsidTr="00DD382E">
        <w:trPr>
          <w:trHeight w:val="300"/>
        </w:trPr>
        <w:tc>
          <w:tcPr>
            <w:tcW w:w="1588" w:type="dxa"/>
            <w:tcBorders>
              <w:top w:val="nil"/>
              <w:left w:val="single" w:sz="4" w:space="0" w:color="auto"/>
              <w:bottom w:val="single" w:sz="4" w:space="0" w:color="auto"/>
              <w:right w:val="single" w:sz="4" w:space="0" w:color="auto"/>
            </w:tcBorders>
            <w:shd w:val="clear" w:color="auto" w:fill="auto"/>
            <w:noWrap/>
            <w:vAlign w:val="center"/>
            <w:hideMark/>
          </w:tcPr>
          <w:p w14:paraId="7D29D1C1" w14:textId="77777777" w:rsidR="00FE1263" w:rsidRPr="00A2223A" w:rsidRDefault="00FE1263" w:rsidP="003D68D1">
            <w:pPr>
              <w:spacing w:after="0" w:line="240" w:lineRule="auto"/>
              <w:rPr>
                <w:rFonts w:cs="Arial"/>
                <w:color w:val="000000"/>
                <w:sz w:val="15"/>
                <w:szCs w:val="15"/>
                <w:lang w:eastAsia="en-AU"/>
              </w:rPr>
            </w:pPr>
            <w:r w:rsidRPr="00A2223A">
              <w:rPr>
                <w:rFonts w:cs="Arial"/>
                <w:color w:val="000000"/>
                <w:sz w:val="15"/>
                <w:szCs w:val="15"/>
                <w:lang w:eastAsia="en-AU"/>
              </w:rPr>
              <w:lastRenderedPageBreak/>
              <w:t>Maryborough District Health Service</w:t>
            </w:r>
          </w:p>
        </w:tc>
        <w:tc>
          <w:tcPr>
            <w:tcW w:w="972" w:type="dxa"/>
            <w:tcBorders>
              <w:top w:val="nil"/>
              <w:left w:val="nil"/>
              <w:bottom w:val="single" w:sz="4" w:space="0" w:color="auto"/>
              <w:right w:val="single" w:sz="4" w:space="0" w:color="auto"/>
            </w:tcBorders>
            <w:shd w:val="clear" w:color="auto" w:fill="auto"/>
            <w:noWrap/>
            <w:vAlign w:val="center"/>
            <w:hideMark/>
          </w:tcPr>
          <w:p w14:paraId="4860E454"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29,249</w:t>
            </w:r>
          </w:p>
        </w:tc>
        <w:tc>
          <w:tcPr>
            <w:tcW w:w="973" w:type="dxa"/>
            <w:tcBorders>
              <w:top w:val="nil"/>
              <w:left w:val="nil"/>
              <w:bottom w:val="single" w:sz="4" w:space="0" w:color="auto"/>
              <w:right w:val="single" w:sz="4" w:space="0" w:color="auto"/>
            </w:tcBorders>
            <w:shd w:val="clear" w:color="auto" w:fill="auto"/>
            <w:noWrap/>
            <w:vAlign w:val="center"/>
            <w:hideMark/>
          </w:tcPr>
          <w:p w14:paraId="4824573D"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19,066</w:t>
            </w:r>
          </w:p>
        </w:tc>
        <w:tc>
          <w:tcPr>
            <w:tcW w:w="973" w:type="dxa"/>
            <w:tcBorders>
              <w:top w:val="nil"/>
              <w:left w:val="nil"/>
              <w:bottom w:val="single" w:sz="4" w:space="0" w:color="auto"/>
              <w:right w:val="single" w:sz="4" w:space="0" w:color="auto"/>
            </w:tcBorders>
            <w:shd w:val="clear" w:color="auto" w:fill="auto"/>
            <w:noWrap/>
            <w:vAlign w:val="center"/>
            <w:hideMark/>
          </w:tcPr>
          <w:p w14:paraId="35338824"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2,455</w:t>
            </w:r>
          </w:p>
        </w:tc>
        <w:tc>
          <w:tcPr>
            <w:tcW w:w="973" w:type="dxa"/>
            <w:tcBorders>
              <w:top w:val="nil"/>
              <w:left w:val="nil"/>
              <w:bottom w:val="single" w:sz="4" w:space="0" w:color="auto"/>
              <w:right w:val="single" w:sz="4" w:space="0" w:color="auto"/>
            </w:tcBorders>
            <w:shd w:val="clear" w:color="auto" w:fill="auto"/>
            <w:noWrap/>
            <w:vAlign w:val="center"/>
            <w:hideMark/>
          </w:tcPr>
          <w:p w14:paraId="14FAA3C6"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2,702</w:t>
            </w:r>
          </w:p>
        </w:tc>
        <w:tc>
          <w:tcPr>
            <w:tcW w:w="973" w:type="dxa"/>
            <w:tcBorders>
              <w:top w:val="nil"/>
              <w:left w:val="nil"/>
              <w:bottom w:val="single" w:sz="4" w:space="0" w:color="auto"/>
              <w:right w:val="single" w:sz="4" w:space="0" w:color="auto"/>
            </w:tcBorders>
            <w:shd w:val="clear" w:color="auto" w:fill="auto"/>
            <w:noWrap/>
            <w:vAlign w:val="center"/>
            <w:hideMark/>
          </w:tcPr>
          <w:p w14:paraId="6E699C79"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179</w:t>
            </w:r>
          </w:p>
        </w:tc>
        <w:tc>
          <w:tcPr>
            <w:tcW w:w="973" w:type="dxa"/>
            <w:tcBorders>
              <w:top w:val="nil"/>
              <w:left w:val="nil"/>
              <w:bottom w:val="single" w:sz="4" w:space="0" w:color="auto"/>
              <w:right w:val="single" w:sz="4" w:space="0" w:color="auto"/>
            </w:tcBorders>
            <w:shd w:val="clear" w:color="auto" w:fill="auto"/>
            <w:noWrap/>
            <w:vAlign w:val="center"/>
            <w:hideMark/>
          </w:tcPr>
          <w:p w14:paraId="64A4BAFA"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336</w:t>
            </w:r>
          </w:p>
        </w:tc>
        <w:tc>
          <w:tcPr>
            <w:tcW w:w="973" w:type="dxa"/>
            <w:tcBorders>
              <w:top w:val="nil"/>
              <w:left w:val="nil"/>
              <w:bottom w:val="single" w:sz="4" w:space="0" w:color="auto"/>
              <w:right w:val="single" w:sz="4" w:space="0" w:color="auto"/>
            </w:tcBorders>
            <w:shd w:val="clear" w:color="auto" w:fill="auto"/>
            <w:noWrap/>
            <w:vAlign w:val="center"/>
            <w:hideMark/>
          </w:tcPr>
          <w:p w14:paraId="1EA5EDC0"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554</w:t>
            </w:r>
          </w:p>
        </w:tc>
        <w:tc>
          <w:tcPr>
            <w:tcW w:w="973" w:type="dxa"/>
            <w:tcBorders>
              <w:top w:val="nil"/>
              <w:left w:val="nil"/>
              <w:bottom w:val="single" w:sz="4" w:space="0" w:color="auto"/>
              <w:right w:val="single" w:sz="4" w:space="0" w:color="auto"/>
            </w:tcBorders>
            <w:shd w:val="clear" w:color="auto" w:fill="auto"/>
            <w:noWrap/>
            <w:vAlign w:val="center"/>
            <w:hideMark/>
          </w:tcPr>
          <w:p w14:paraId="5E9EABED"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08368063"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2DE80EE9"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3A90DC48"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625F959D"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4,015</w:t>
            </w:r>
          </w:p>
        </w:tc>
        <w:tc>
          <w:tcPr>
            <w:tcW w:w="973" w:type="dxa"/>
            <w:tcBorders>
              <w:top w:val="nil"/>
              <w:left w:val="nil"/>
              <w:bottom w:val="single" w:sz="4" w:space="0" w:color="auto"/>
              <w:right w:val="single" w:sz="4" w:space="0" w:color="auto"/>
            </w:tcBorders>
            <w:shd w:val="clear" w:color="auto" w:fill="auto"/>
            <w:noWrap/>
            <w:vAlign w:val="center"/>
            <w:hideMark/>
          </w:tcPr>
          <w:p w14:paraId="07FB919D"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590DE4E3"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29,308</w:t>
            </w:r>
          </w:p>
        </w:tc>
      </w:tr>
      <w:tr w:rsidR="008428AF" w:rsidRPr="00A2223A" w14:paraId="71A7FA2E" w14:textId="77777777" w:rsidTr="00DD382E">
        <w:trPr>
          <w:trHeight w:val="300"/>
        </w:trPr>
        <w:tc>
          <w:tcPr>
            <w:tcW w:w="1588" w:type="dxa"/>
            <w:tcBorders>
              <w:top w:val="nil"/>
              <w:left w:val="single" w:sz="4" w:space="0" w:color="auto"/>
              <w:bottom w:val="single" w:sz="4" w:space="0" w:color="auto"/>
              <w:right w:val="single" w:sz="4" w:space="0" w:color="auto"/>
            </w:tcBorders>
            <w:shd w:val="clear" w:color="auto" w:fill="auto"/>
            <w:noWrap/>
            <w:vAlign w:val="center"/>
            <w:hideMark/>
          </w:tcPr>
          <w:p w14:paraId="3BC78F8F" w14:textId="77777777" w:rsidR="00FE1263" w:rsidRPr="00A2223A" w:rsidRDefault="00FE1263" w:rsidP="003D68D1">
            <w:pPr>
              <w:spacing w:after="0" w:line="240" w:lineRule="auto"/>
              <w:rPr>
                <w:rFonts w:cs="Arial"/>
                <w:color w:val="000000"/>
                <w:sz w:val="15"/>
                <w:szCs w:val="15"/>
                <w:lang w:eastAsia="en-AU"/>
              </w:rPr>
            </w:pPr>
            <w:r w:rsidRPr="00A2223A">
              <w:rPr>
                <w:rFonts w:cs="Arial"/>
                <w:color w:val="000000"/>
                <w:sz w:val="15"/>
                <w:szCs w:val="15"/>
                <w:lang w:eastAsia="en-AU"/>
              </w:rPr>
              <w:t>Mildura Base Public Hospital</w:t>
            </w:r>
          </w:p>
        </w:tc>
        <w:tc>
          <w:tcPr>
            <w:tcW w:w="972" w:type="dxa"/>
            <w:tcBorders>
              <w:top w:val="nil"/>
              <w:left w:val="nil"/>
              <w:bottom w:val="single" w:sz="4" w:space="0" w:color="auto"/>
              <w:right w:val="single" w:sz="4" w:space="0" w:color="auto"/>
            </w:tcBorders>
            <w:shd w:val="clear" w:color="auto" w:fill="auto"/>
            <w:noWrap/>
            <w:vAlign w:val="center"/>
            <w:hideMark/>
          </w:tcPr>
          <w:p w14:paraId="71DB220F"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154,940</w:t>
            </w:r>
          </w:p>
        </w:tc>
        <w:tc>
          <w:tcPr>
            <w:tcW w:w="973" w:type="dxa"/>
            <w:tcBorders>
              <w:top w:val="nil"/>
              <w:left w:val="nil"/>
              <w:bottom w:val="single" w:sz="4" w:space="0" w:color="auto"/>
              <w:right w:val="single" w:sz="4" w:space="0" w:color="auto"/>
            </w:tcBorders>
            <w:shd w:val="clear" w:color="auto" w:fill="auto"/>
            <w:noWrap/>
            <w:vAlign w:val="center"/>
            <w:hideMark/>
          </w:tcPr>
          <w:p w14:paraId="7EB693BB"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86,844</w:t>
            </w:r>
          </w:p>
        </w:tc>
        <w:tc>
          <w:tcPr>
            <w:tcW w:w="973" w:type="dxa"/>
            <w:tcBorders>
              <w:top w:val="nil"/>
              <w:left w:val="nil"/>
              <w:bottom w:val="single" w:sz="4" w:space="0" w:color="auto"/>
              <w:right w:val="single" w:sz="4" w:space="0" w:color="auto"/>
            </w:tcBorders>
            <w:shd w:val="clear" w:color="auto" w:fill="auto"/>
            <w:noWrap/>
            <w:vAlign w:val="center"/>
            <w:hideMark/>
          </w:tcPr>
          <w:p w14:paraId="3D4E578F"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8,832</w:t>
            </w:r>
          </w:p>
        </w:tc>
        <w:tc>
          <w:tcPr>
            <w:tcW w:w="973" w:type="dxa"/>
            <w:tcBorders>
              <w:top w:val="nil"/>
              <w:left w:val="nil"/>
              <w:bottom w:val="single" w:sz="4" w:space="0" w:color="auto"/>
              <w:right w:val="single" w:sz="4" w:space="0" w:color="auto"/>
            </w:tcBorders>
            <w:shd w:val="clear" w:color="auto" w:fill="auto"/>
            <w:noWrap/>
            <w:vAlign w:val="center"/>
            <w:hideMark/>
          </w:tcPr>
          <w:p w14:paraId="0181CEB6"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19,823</w:t>
            </w:r>
          </w:p>
        </w:tc>
        <w:tc>
          <w:tcPr>
            <w:tcW w:w="973" w:type="dxa"/>
            <w:tcBorders>
              <w:top w:val="nil"/>
              <w:left w:val="nil"/>
              <w:bottom w:val="single" w:sz="4" w:space="0" w:color="auto"/>
              <w:right w:val="single" w:sz="4" w:space="0" w:color="auto"/>
            </w:tcBorders>
            <w:shd w:val="clear" w:color="auto" w:fill="auto"/>
            <w:noWrap/>
            <w:vAlign w:val="center"/>
            <w:hideMark/>
          </w:tcPr>
          <w:p w14:paraId="6BE3D3B6"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4,368</w:t>
            </w:r>
          </w:p>
        </w:tc>
        <w:tc>
          <w:tcPr>
            <w:tcW w:w="973" w:type="dxa"/>
            <w:tcBorders>
              <w:top w:val="nil"/>
              <w:left w:val="nil"/>
              <w:bottom w:val="single" w:sz="4" w:space="0" w:color="auto"/>
              <w:right w:val="single" w:sz="4" w:space="0" w:color="auto"/>
            </w:tcBorders>
            <w:shd w:val="clear" w:color="auto" w:fill="auto"/>
            <w:noWrap/>
            <w:vAlign w:val="center"/>
            <w:hideMark/>
          </w:tcPr>
          <w:p w14:paraId="1E3DE4C8"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 </w:t>
            </w:r>
            <w:r>
              <w:rPr>
                <w:rFonts w:cs="Arial"/>
                <w:color w:val="000000"/>
                <w:sz w:val="15"/>
                <w:szCs w:val="15"/>
                <w:lang w:eastAsia="en-AU"/>
              </w:rPr>
              <w:t>0</w:t>
            </w:r>
          </w:p>
        </w:tc>
        <w:tc>
          <w:tcPr>
            <w:tcW w:w="973" w:type="dxa"/>
            <w:tcBorders>
              <w:top w:val="nil"/>
              <w:left w:val="nil"/>
              <w:bottom w:val="single" w:sz="4" w:space="0" w:color="auto"/>
              <w:right w:val="single" w:sz="4" w:space="0" w:color="auto"/>
            </w:tcBorders>
            <w:shd w:val="clear" w:color="auto" w:fill="auto"/>
            <w:noWrap/>
            <w:vAlign w:val="center"/>
            <w:hideMark/>
          </w:tcPr>
          <w:p w14:paraId="477E8ED1"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4,298</w:t>
            </w:r>
          </w:p>
        </w:tc>
        <w:tc>
          <w:tcPr>
            <w:tcW w:w="973" w:type="dxa"/>
            <w:tcBorders>
              <w:top w:val="nil"/>
              <w:left w:val="nil"/>
              <w:bottom w:val="single" w:sz="4" w:space="0" w:color="auto"/>
              <w:right w:val="single" w:sz="4" w:space="0" w:color="auto"/>
            </w:tcBorders>
            <w:shd w:val="clear" w:color="auto" w:fill="auto"/>
            <w:noWrap/>
            <w:vAlign w:val="center"/>
            <w:hideMark/>
          </w:tcPr>
          <w:p w14:paraId="5D39D0AD"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5,102</w:t>
            </w:r>
          </w:p>
        </w:tc>
        <w:tc>
          <w:tcPr>
            <w:tcW w:w="973" w:type="dxa"/>
            <w:tcBorders>
              <w:top w:val="nil"/>
              <w:left w:val="nil"/>
              <w:bottom w:val="single" w:sz="4" w:space="0" w:color="auto"/>
              <w:right w:val="single" w:sz="4" w:space="0" w:color="auto"/>
            </w:tcBorders>
            <w:shd w:val="clear" w:color="auto" w:fill="auto"/>
            <w:noWrap/>
            <w:vAlign w:val="center"/>
            <w:hideMark/>
          </w:tcPr>
          <w:p w14:paraId="0E075424"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13,752</w:t>
            </w:r>
          </w:p>
        </w:tc>
        <w:tc>
          <w:tcPr>
            <w:tcW w:w="973" w:type="dxa"/>
            <w:tcBorders>
              <w:top w:val="nil"/>
              <w:left w:val="nil"/>
              <w:bottom w:val="single" w:sz="4" w:space="0" w:color="auto"/>
              <w:right w:val="single" w:sz="4" w:space="0" w:color="auto"/>
            </w:tcBorders>
            <w:shd w:val="clear" w:color="auto" w:fill="auto"/>
            <w:noWrap/>
            <w:vAlign w:val="center"/>
            <w:hideMark/>
          </w:tcPr>
          <w:p w14:paraId="4A33B402"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3,728</w:t>
            </w:r>
          </w:p>
        </w:tc>
        <w:tc>
          <w:tcPr>
            <w:tcW w:w="973" w:type="dxa"/>
            <w:tcBorders>
              <w:top w:val="nil"/>
              <w:left w:val="nil"/>
              <w:bottom w:val="single" w:sz="4" w:space="0" w:color="auto"/>
              <w:right w:val="single" w:sz="4" w:space="0" w:color="auto"/>
            </w:tcBorders>
            <w:shd w:val="clear" w:color="auto" w:fill="auto"/>
            <w:noWrap/>
            <w:vAlign w:val="center"/>
            <w:hideMark/>
          </w:tcPr>
          <w:p w14:paraId="3C8D7CC8"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1AF8C625"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10,771</w:t>
            </w:r>
          </w:p>
        </w:tc>
        <w:tc>
          <w:tcPr>
            <w:tcW w:w="973" w:type="dxa"/>
            <w:tcBorders>
              <w:top w:val="nil"/>
              <w:left w:val="nil"/>
              <w:bottom w:val="single" w:sz="4" w:space="0" w:color="auto"/>
              <w:right w:val="single" w:sz="4" w:space="0" w:color="auto"/>
            </w:tcBorders>
            <w:shd w:val="clear" w:color="auto" w:fill="auto"/>
            <w:noWrap/>
            <w:vAlign w:val="center"/>
            <w:hideMark/>
          </w:tcPr>
          <w:p w14:paraId="54D649D7"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3BDB9320"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157,518</w:t>
            </w:r>
          </w:p>
        </w:tc>
      </w:tr>
      <w:tr w:rsidR="008428AF" w:rsidRPr="00A2223A" w14:paraId="166EC253" w14:textId="77777777" w:rsidTr="00DD382E">
        <w:trPr>
          <w:trHeight w:val="300"/>
        </w:trPr>
        <w:tc>
          <w:tcPr>
            <w:tcW w:w="1588" w:type="dxa"/>
            <w:tcBorders>
              <w:top w:val="nil"/>
              <w:left w:val="single" w:sz="4" w:space="0" w:color="auto"/>
              <w:bottom w:val="single" w:sz="4" w:space="0" w:color="auto"/>
              <w:right w:val="single" w:sz="4" w:space="0" w:color="auto"/>
            </w:tcBorders>
            <w:shd w:val="clear" w:color="auto" w:fill="auto"/>
            <w:noWrap/>
            <w:vAlign w:val="center"/>
            <w:hideMark/>
          </w:tcPr>
          <w:p w14:paraId="5435A275" w14:textId="77777777" w:rsidR="00FE1263" w:rsidRPr="00A2223A" w:rsidRDefault="00FE1263" w:rsidP="003D68D1">
            <w:pPr>
              <w:spacing w:after="0" w:line="240" w:lineRule="auto"/>
              <w:rPr>
                <w:rFonts w:cs="Arial"/>
                <w:color w:val="000000"/>
                <w:sz w:val="15"/>
                <w:szCs w:val="15"/>
                <w:lang w:eastAsia="en-AU"/>
              </w:rPr>
            </w:pPr>
            <w:r w:rsidRPr="00A2223A">
              <w:rPr>
                <w:rFonts w:cs="Arial"/>
                <w:color w:val="000000"/>
                <w:sz w:val="15"/>
                <w:szCs w:val="15"/>
                <w:lang w:eastAsia="en-AU"/>
              </w:rPr>
              <w:t>Northeast Health Wangaratta</w:t>
            </w:r>
          </w:p>
        </w:tc>
        <w:tc>
          <w:tcPr>
            <w:tcW w:w="972" w:type="dxa"/>
            <w:tcBorders>
              <w:top w:val="nil"/>
              <w:left w:val="nil"/>
              <w:bottom w:val="single" w:sz="4" w:space="0" w:color="auto"/>
              <w:right w:val="single" w:sz="4" w:space="0" w:color="auto"/>
            </w:tcBorders>
            <w:shd w:val="clear" w:color="auto" w:fill="auto"/>
            <w:noWrap/>
            <w:vAlign w:val="center"/>
            <w:hideMark/>
          </w:tcPr>
          <w:p w14:paraId="28A64423"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158,208</w:t>
            </w:r>
          </w:p>
        </w:tc>
        <w:tc>
          <w:tcPr>
            <w:tcW w:w="973" w:type="dxa"/>
            <w:tcBorders>
              <w:top w:val="nil"/>
              <w:left w:val="nil"/>
              <w:bottom w:val="single" w:sz="4" w:space="0" w:color="auto"/>
              <w:right w:val="single" w:sz="4" w:space="0" w:color="auto"/>
            </w:tcBorders>
            <w:shd w:val="clear" w:color="auto" w:fill="auto"/>
            <w:noWrap/>
            <w:vAlign w:val="center"/>
            <w:hideMark/>
          </w:tcPr>
          <w:p w14:paraId="0D90C032"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107,589</w:t>
            </w:r>
          </w:p>
        </w:tc>
        <w:tc>
          <w:tcPr>
            <w:tcW w:w="973" w:type="dxa"/>
            <w:tcBorders>
              <w:top w:val="nil"/>
              <w:left w:val="nil"/>
              <w:bottom w:val="single" w:sz="4" w:space="0" w:color="auto"/>
              <w:right w:val="single" w:sz="4" w:space="0" w:color="auto"/>
            </w:tcBorders>
            <w:shd w:val="clear" w:color="auto" w:fill="auto"/>
            <w:noWrap/>
            <w:vAlign w:val="center"/>
            <w:hideMark/>
          </w:tcPr>
          <w:p w14:paraId="0529EA9A"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12,019</w:t>
            </w:r>
          </w:p>
        </w:tc>
        <w:tc>
          <w:tcPr>
            <w:tcW w:w="973" w:type="dxa"/>
            <w:tcBorders>
              <w:top w:val="nil"/>
              <w:left w:val="nil"/>
              <w:bottom w:val="single" w:sz="4" w:space="0" w:color="auto"/>
              <w:right w:val="single" w:sz="4" w:space="0" w:color="auto"/>
            </w:tcBorders>
            <w:shd w:val="clear" w:color="auto" w:fill="auto"/>
            <w:noWrap/>
            <w:vAlign w:val="center"/>
            <w:hideMark/>
          </w:tcPr>
          <w:p w14:paraId="3419BE68"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26,024</w:t>
            </w:r>
          </w:p>
        </w:tc>
        <w:tc>
          <w:tcPr>
            <w:tcW w:w="973" w:type="dxa"/>
            <w:tcBorders>
              <w:top w:val="nil"/>
              <w:left w:val="nil"/>
              <w:bottom w:val="single" w:sz="4" w:space="0" w:color="auto"/>
              <w:right w:val="single" w:sz="4" w:space="0" w:color="auto"/>
            </w:tcBorders>
            <w:shd w:val="clear" w:color="auto" w:fill="auto"/>
            <w:noWrap/>
            <w:vAlign w:val="center"/>
            <w:hideMark/>
          </w:tcPr>
          <w:p w14:paraId="5AAA78EA"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6,510</w:t>
            </w:r>
          </w:p>
        </w:tc>
        <w:tc>
          <w:tcPr>
            <w:tcW w:w="973" w:type="dxa"/>
            <w:tcBorders>
              <w:top w:val="nil"/>
              <w:left w:val="nil"/>
              <w:bottom w:val="single" w:sz="4" w:space="0" w:color="auto"/>
              <w:right w:val="single" w:sz="4" w:space="0" w:color="auto"/>
            </w:tcBorders>
            <w:shd w:val="clear" w:color="auto" w:fill="auto"/>
            <w:noWrap/>
            <w:vAlign w:val="center"/>
            <w:hideMark/>
          </w:tcPr>
          <w:p w14:paraId="58EDA0BE"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1,109</w:t>
            </w:r>
          </w:p>
        </w:tc>
        <w:tc>
          <w:tcPr>
            <w:tcW w:w="973" w:type="dxa"/>
            <w:tcBorders>
              <w:top w:val="nil"/>
              <w:left w:val="nil"/>
              <w:bottom w:val="single" w:sz="4" w:space="0" w:color="auto"/>
              <w:right w:val="single" w:sz="4" w:space="0" w:color="auto"/>
            </w:tcBorders>
            <w:shd w:val="clear" w:color="auto" w:fill="auto"/>
            <w:noWrap/>
            <w:vAlign w:val="center"/>
            <w:hideMark/>
          </w:tcPr>
          <w:p w14:paraId="2F3C7CE7"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3,025</w:t>
            </w:r>
          </w:p>
        </w:tc>
        <w:tc>
          <w:tcPr>
            <w:tcW w:w="973" w:type="dxa"/>
            <w:tcBorders>
              <w:top w:val="nil"/>
              <w:left w:val="nil"/>
              <w:bottom w:val="single" w:sz="4" w:space="0" w:color="auto"/>
              <w:right w:val="single" w:sz="4" w:space="0" w:color="auto"/>
            </w:tcBorders>
            <w:shd w:val="clear" w:color="auto" w:fill="auto"/>
            <w:noWrap/>
            <w:vAlign w:val="center"/>
            <w:hideMark/>
          </w:tcPr>
          <w:p w14:paraId="3E9088A1"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14</w:t>
            </w:r>
          </w:p>
        </w:tc>
        <w:tc>
          <w:tcPr>
            <w:tcW w:w="973" w:type="dxa"/>
            <w:tcBorders>
              <w:top w:val="nil"/>
              <w:left w:val="nil"/>
              <w:bottom w:val="single" w:sz="4" w:space="0" w:color="auto"/>
              <w:right w:val="single" w:sz="4" w:space="0" w:color="auto"/>
            </w:tcBorders>
            <w:shd w:val="clear" w:color="auto" w:fill="auto"/>
            <w:noWrap/>
            <w:vAlign w:val="center"/>
            <w:hideMark/>
          </w:tcPr>
          <w:p w14:paraId="49D652BE"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159</w:t>
            </w:r>
          </w:p>
        </w:tc>
        <w:tc>
          <w:tcPr>
            <w:tcW w:w="973" w:type="dxa"/>
            <w:tcBorders>
              <w:top w:val="nil"/>
              <w:left w:val="nil"/>
              <w:bottom w:val="single" w:sz="4" w:space="0" w:color="auto"/>
              <w:right w:val="single" w:sz="4" w:space="0" w:color="auto"/>
            </w:tcBorders>
            <w:shd w:val="clear" w:color="auto" w:fill="auto"/>
            <w:noWrap/>
            <w:vAlign w:val="center"/>
            <w:hideMark/>
          </w:tcPr>
          <w:p w14:paraId="3E311D16"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 </w:t>
            </w:r>
            <w:r>
              <w:rPr>
                <w:rFonts w:cs="Arial"/>
                <w:color w:val="000000"/>
                <w:sz w:val="15"/>
                <w:szCs w:val="15"/>
                <w:lang w:eastAsia="en-AU"/>
              </w:rPr>
              <w:t>0</w:t>
            </w:r>
          </w:p>
        </w:tc>
        <w:tc>
          <w:tcPr>
            <w:tcW w:w="973" w:type="dxa"/>
            <w:tcBorders>
              <w:top w:val="nil"/>
              <w:left w:val="nil"/>
              <w:bottom w:val="single" w:sz="4" w:space="0" w:color="auto"/>
              <w:right w:val="single" w:sz="4" w:space="0" w:color="auto"/>
            </w:tcBorders>
            <w:shd w:val="clear" w:color="auto" w:fill="auto"/>
            <w:noWrap/>
            <w:vAlign w:val="center"/>
            <w:hideMark/>
          </w:tcPr>
          <w:p w14:paraId="7D35BB91"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11699D12"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5,236</w:t>
            </w:r>
          </w:p>
        </w:tc>
        <w:tc>
          <w:tcPr>
            <w:tcW w:w="973" w:type="dxa"/>
            <w:tcBorders>
              <w:top w:val="nil"/>
              <w:left w:val="nil"/>
              <w:bottom w:val="single" w:sz="4" w:space="0" w:color="auto"/>
              <w:right w:val="single" w:sz="4" w:space="0" w:color="auto"/>
            </w:tcBorders>
            <w:shd w:val="clear" w:color="auto" w:fill="auto"/>
            <w:noWrap/>
            <w:vAlign w:val="center"/>
            <w:hideMark/>
          </w:tcPr>
          <w:p w14:paraId="1BBB6487"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7F0C503A" w14:textId="77777777" w:rsidR="00FE1263" w:rsidRPr="00B0602B" w:rsidRDefault="00FE1263" w:rsidP="003D68D1">
            <w:pPr>
              <w:spacing w:after="0" w:line="240" w:lineRule="auto"/>
              <w:jc w:val="right"/>
              <w:rPr>
                <w:rFonts w:cs="Arial"/>
                <w:b/>
                <w:bCs/>
                <w:color w:val="000000"/>
                <w:sz w:val="15"/>
                <w:szCs w:val="15"/>
                <w:lang w:eastAsia="en-AU"/>
              </w:rPr>
            </w:pPr>
            <w:r w:rsidRPr="00B0602B">
              <w:rPr>
                <w:rFonts w:cs="Arial"/>
                <w:b/>
                <w:bCs/>
                <w:color w:val="000000"/>
                <w:sz w:val="15"/>
                <w:szCs w:val="15"/>
                <w:lang w:eastAsia="en-AU"/>
              </w:rPr>
              <w:t>161,684</w:t>
            </w:r>
          </w:p>
        </w:tc>
      </w:tr>
      <w:tr w:rsidR="008428AF" w:rsidRPr="00A2223A" w14:paraId="58638636" w14:textId="77777777" w:rsidTr="00DD382E">
        <w:trPr>
          <w:trHeight w:val="300"/>
        </w:trPr>
        <w:tc>
          <w:tcPr>
            <w:tcW w:w="1588" w:type="dxa"/>
            <w:tcBorders>
              <w:top w:val="nil"/>
              <w:left w:val="single" w:sz="4" w:space="0" w:color="auto"/>
              <w:bottom w:val="single" w:sz="4" w:space="0" w:color="auto"/>
              <w:right w:val="single" w:sz="4" w:space="0" w:color="auto"/>
            </w:tcBorders>
            <w:shd w:val="clear" w:color="auto" w:fill="auto"/>
            <w:noWrap/>
            <w:vAlign w:val="center"/>
            <w:hideMark/>
          </w:tcPr>
          <w:p w14:paraId="3221AA5E" w14:textId="77777777" w:rsidR="00FE1263" w:rsidRPr="00A2223A" w:rsidRDefault="00FE1263" w:rsidP="003D68D1">
            <w:pPr>
              <w:spacing w:after="0" w:line="240" w:lineRule="auto"/>
              <w:rPr>
                <w:rFonts w:cs="Arial"/>
                <w:color w:val="000000"/>
                <w:sz w:val="15"/>
                <w:szCs w:val="15"/>
                <w:lang w:eastAsia="en-AU"/>
              </w:rPr>
            </w:pPr>
            <w:r w:rsidRPr="00A2223A">
              <w:rPr>
                <w:rFonts w:cs="Arial"/>
                <w:color w:val="000000"/>
                <w:sz w:val="15"/>
                <w:szCs w:val="15"/>
                <w:lang w:eastAsia="en-AU"/>
              </w:rPr>
              <w:t>Portland District Health</w:t>
            </w:r>
          </w:p>
        </w:tc>
        <w:tc>
          <w:tcPr>
            <w:tcW w:w="972" w:type="dxa"/>
            <w:tcBorders>
              <w:top w:val="nil"/>
              <w:left w:val="nil"/>
              <w:bottom w:val="single" w:sz="4" w:space="0" w:color="auto"/>
              <w:right w:val="single" w:sz="4" w:space="0" w:color="auto"/>
            </w:tcBorders>
            <w:shd w:val="clear" w:color="auto" w:fill="auto"/>
            <w:noWrap/>
            <w:vAlign w:val="center"/>
            <w:hideMark/>
          </w:tcPr>
          <w:p w14:paraId="5091A52D"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35,508</w:t>
            </w:r>
          </w:p>
        </w:tc>
        <w:tc>
          <w:tcPr>
            <w:tcW w:w="973" w:type="dxa"/>
            <w:tcBorders>
              <w:top w:val="nil"/>
              <w:left w:val="nil"/>
              <w:bottom w:val="single" w:sz="4" w:space="0" w:color="auto"/>
              <w:right w:val="single" w:sz="4" w:space="0" w:color="auto"/>
            </w:tcBorders>
            <w:shd w:val="clear" w:color="auto" w:fill="auto"/>
            <w:noWrap/>
            <w:vAlign w:val="center"/>
            <w:hideMark/>
          </w:tcPr>
          <w:p w14:paraId="7E7A7EB1"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21,992</w:t>
            </w:r>
          </w:p>
        </w:tc>
        <w:tc>
          <w:tcPr>
            <w:tcW w:w="973" w:type="dxa"/>
            <w:tcBorders>
              <w:top w:val="nil"/>
              <w:left w:val="nil"/>
              <w:bottom w:val="single" w:sz="4" w:space="0" w:color="auto"/>
              <w:right w:val="single" w:sz="4" w:space="0" w:color="auto"/>
            </w:tcBorders>
            <w:shd w:val="clear" w:color="auto" w:fill="auto"/>
            <w:noWrap/>
            <w:vAlign w:val="center"/>
            <w:hideMark/>
          </w:tcPr>
          <w:p w14:paraId="3C5B5A37"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3,206</w:t>
            </w:r>
          </w:p>
        </w:tc>
        <w:tc>
          <w:tcPr>
            <w:tcW w:w="973" w:type="dxa"/>
            <w:tcBorders>
              <w:top w:val="nil"/>
              <w:left w:val="nil"/>
              <w:bottom w:val="single" w:sz="4" w:space="0" w:color="auto"/>
              <w:right w:val="single" w:sz="4" w:space="0" w:color="auto"/>
            </w:tcBorders>
            <w:shd w:val="clear" w:color="auto" w:fill="auto"/>
            <w:noWrap/>
            <w:vAlign w:val="center"/>
            <w:hideMark/>
          </w:tcPr>
          <w:p w14:paraId="17A0CB05"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5,318</w:t>
            </w:r>
          </w:p>
        </w:tc>
        <w:tc>
          <w:tcPr>
            <w:tcW w:w="973" w:type="dxa"/>
            <w:tcBorders>
              <w:top w:val="nil"/>
              <w:left w:val="nil"/>
              <w:bottom w:val="single" w:sz="4" w:space="0" w:color="auto"/>
              <w:right w:val="single" w:sz="4" w:space="0" w:color="auto"/>
            </w:tcBorders>
            <w:shd w:val="clear" w:color="auto" w:fill="auto"/>
            <w:noWrap/>
            <w:vAlign w:val="center"/>
            <w:hideMark/>
          </w:tcPr>
          <w:p w14:paraId="0E994CE5"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1,015</w:t>
            </w:r>
          </w:p>
        </w:tc>
        <w:tc>
          <w:tcPr>
            <w:tcW w:w="973" w:type="dxa"/>
            <w:tcBorders>
              <w:top w:val="nil"/>
              <w:left w:val="nil"/>
              <w:bottom w:val="single" w:sz="4" w:space="0" w:color="auto"/>
              <w:right w:val="single" w:sz="4" w:space="0" w:color="auto"/>
            </w:tcBorders>
            <w:shd w:val="clear" w:color="auto" w:fill="auto"/>
            <w:noWrap/>
            <w:vAlign w:val="center"/>
            <w:hideMark/>
          </w:tcPr>
          <w:p w14:paraId="2A27AB02"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332</w:t>
            </w:r>
          </w:p>
        </w:tc>
        <w:tc>
          <w:tcPr>
            <w:tcW w:w="973" w:type="dxa"/>
            <w:tcBorders>
              <w:top w:val="nil"/>
              <w:left w:val="nil"/>
              <w:bottom w:val="single" w:sz="4" w:space="0" w:color="auto"/>
              <w:right w:val="single" w:sz="4" w:space="0" w:color="auto"/>
            </w:tcBorders>
            <w:shd w:val="clear" w:color="auto" w:fill="auto"/>
            <w:noWrap/>
            <w:vAlign w:val="center"/>
            <w:hideMark/>
          </w:tcPr>
          <w:p w14:paraId="4ED83FF2"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514</w:t>
            </w:r>
          </w:p>
        </w:tc>
        <w:tc>
          <w:tcPr>
            <w:tcW w:w="973" w:type="dxa"/>
            <w:tcBorders>
              <w:top w:val="nil"/>
              <w:left w:val="nil"/>
              <w:bottom w:val="single" w:sz="4" w:space="0" w:color="auto"/>
              <w:right w:val="single" w:sz="4" w:space="0" w:color="auto"/>
            </w:tcBorders>
            <w:shd w:val="clear" w:color="auto" w:fill="auto"/>
            <w:noWrap/>
            <w:vAlign w:val="center"/>
            <w:hideMark/>
          </w:tcPr>
          <w:p w14:paraId="591A070C"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 </w:t>
            </w:r>
            <w:r>
              <w:rPr>
                <w:rFonts w:cs="Arial"/>
                <w:color w:val="000000"/>
                <w:sz w:val="15"/>
                <w:szCs w:val="15"/>
                <w:lang w:eastAsia="en-AU"/>
              </w:rPr>
              <w:t>0</w:t>
            </w:r>
          </w:p>
        </w:tc>
        <w:tc>
          <w:tcPr>
            <w:tcW w:w="973" w:type="dxa"/>
            <w:tcBorders>
              <w:top w:val="nil"/>
              <w:left w:val="nil"/>
              <w:bottom w:val="single" w:sz="4" w:space="0" w:color="auto"/>
              <w:right w:val="single" w:sz="4" w:space="0" w:color="auto"/>
            </w:tcBorders>
            <w:shd w:val="clear" w:color="auto" w:fill="auto"/>
            <w:noWrap/>
            <w:vAlign w:val="center"/>
            <w:hideMark/>
          </w:tcPr>
          <w:p w14:paraId="568D32EC"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01E7603B"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 </w:t>
            </w:r>
            <w:r>
              <w:rPr>
                <w:rFonts w:cs="Arial"/>
                <w:color w:val="000000"/>
                <w:sz w:val="15"/>
                <w:szCs w:val="15"/>
                <w:lang w:eastAsia="en-AU"/>
              </w:rPr>
              <w:t>0</w:t>
            </w:r>
          </w:p>
        </w:tc>
        <w:tc>
          <w:tcPr>
            <w:tcW w:w="973" w:type="dxa"/>
            <w:tcBorders>
              <w:top w:val="nil"/>
              <w:left w:val="nil"/>
              <w:bottom w:val="single" w:sz="4" w:space="0" w:color="auto"/>
              <w:right w:val="single" w:sz="4" w:space="0" w:color="auto"/>
            </w:tcBorders>
            <w:shd w:val="clear" w:color="auto" w:fill="auto"/>
            <w:noWrap/>
            <w:vAlign w:val="center"/>
            <w:hideMark/>
          </w:tcPr>
          <w:p w14:paraId="24635867"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12433E44"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3,940</w:t>
            </w:r>
          </w:p>
        </w:tc>
        <w:tc>
          <w:tcPr>
            <w:tcW w:w="973" w:type="dxa"/>
            <w:tcBorders>
              <w:top w:val="nil"/>
              <w:left w:val="nil"/>
              <w:bottom w:val="single" w:sz="4" w:space="0" w:color="auto"/>
              <w:right w:val="single" w:sz="4" w:space="0" w:color="auto"/>
            </w:tcBorders>
            <w:shd w:val="clear" w:color="auto" w:fill="auto"/>
            <w:noWrap/>
            <w:vAlign w:val="center"/>
            <w:hideMark/>
          </w:tcPr>
          <w:p w14:paraId="38B86ED3"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1680705E"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36,317</w:t>
            </w:r>
          </w:p>
        </w:tc>
      </w:tr>
      <w:tr w:rsidR="008428AF" w:rsidRPr="00A2223A" w14:paraId="2AE2B859" w14:textId="77777777" w:rsidTr="00DD382E">
        <w:trPr>
          <w:trHeight w:val="300"/>
        </w:trPr>
        <w:tc>
          <w:tcPr>
            <w:tcW w:w="1588" w:type="dxa"/>
            <w:tcBorders>
              <w:top w:val="nil"/>
              <w:left w:val="single" w:sz="4" w:space="0" w:color="auto"/>
              <w:bottom w:val="single" w:sz="4" w:space="0" w:color="auto"/>
              <w:right w:val="single" w:sz="4" w:space="0" w:color="auto"/>
            </w:tcBorders>
            <w:shd w:val="clear" w:color="auto" w:fill="auto"/>
            <w:noWrap/>
            <w:vAlign w:val="center"/>
            <w:hideMark/>
          </w:tcPr>
          <w:p w14:paraId="7D20AB11" w14:textId="77777777" w:rsidR="00FE1263" w:rsidRPr="00A2223A" w:rsidRDefault="00FE1263" w:rsidP="003D68D1">
            <w:pPr>
              <w:spacing w:after="0" w:line="240" w:lineRule="auto"/>
              <w:rPr>
                <w:rFonts w:cs="Arial"/>
                <w:color w:val="000000"/>
                <w:sz w:val="15"/>
                <w:szCs w:val="15"/>
                <w:lang w:eastAsia="en-AU"/>
              </w:rPr>
            </w:pPr>
            <w:r w:rsidRPr="00A2223A">
              <w:rPr>
                <w:rFonts w:cs="Arial"/>
                <w:color w:val="000000"/>
                <w:sz w:val="15"/>
                <w:szCs w:val="15"/>
                <w:lang w:eastAsia="en-AU"/>
              </w:rPr>
              <w:t>South West Healthcare</w:t>
            </w:r>
          </w:p>
        </w:tc>
        <w:tc>
          <w:tcPr>
            <w:tcW w:w="972" w:type="dxa"/>
            <w:tcBorders>
              <w:top w:val="nil"/>
              <w:left w:val="nil"/>
              <w:bottom w:val="single" w:sz="4" w:space="0" w:color="auto"/>
              <w:right w:val="single" w:sz="4" w:space="0" w:color="auto"/>
            </w:tcBorders>
            <w:shd w:val="clear" w:color="auto" w:fill="auto"/>
            <w:noWrap/>
            <w:vAlign w:val="center"/>
            <w:hideMark/>
          </w:tcPr>
          <w:p w14:paraId="694FA921"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195,405</w:t>
            </w:r>
          </w:p>
        </w:tc>
        <w:tc>
          <w:tcPr>
            <w:tcW w:w="973" w:type="dxa"/>
            <w:tcBorders>
              <w:top w:val="nil"/>
              <w:left w:val="nil"/>
              <w:bottom w:val="single" w:sz="4" w:space="0" w:color="auto"/>
              <w:right w:val="single" w:sz="4" w:space="0" w:color="auto"/>
            </w:tcBorders>
            <w:shd w:val="clear" w:color="auto" w:fill="auto"/>
            <w:noWrap/>
            <w:vAlign w:val="center"/>
            <w:hideMark/>
          </w:tcPr>
          <w:p w14:paraId="30183DDE"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96,673</w:t>
            </w:r>
          </w:p>
        </w:tc>
        <w:tc>
          <w:tcPr>
            <w:tcW w:w="973" w:type="dxa"/>
            <w:tcBorders>
              <w:top w:val="nil"/>
              <w:left w:val="nil"/>
              <w:bottom w:val="single" w:sz="4" w:space="0" w:color="auto"/>
              <w:right w:val="single" w:sz="4" w:space="0" w:color="auto"/>
            </w:tcBorders>
            <w:shd w:val="clear" w:color="auto" w:fill="auto"/>
            <w:noWrap/>
            <w:vAlign w:val="center"/>
            <w:hideMark/>
          </w:tcPr>
          <w:p w14:paraId="2D0A3030"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15,362</w:t>
            </w:r>
          </w:p>
        </w:tc>
        <w:tc>
          <w:tcPr>
            <w:tcW w:w="973" w:type="dxa"/>
            <w:tcBorders>
              <w:top w:val="nil"/>
              <w:left w:val="nil"/>
              <w:bottom w:val="single" w:sz="4" w:space="0" w:color="auto"/>
              <w:right w:val="single" w:sz="4" w:space="0" w:color="auto"/>
            </w:tcBorders>
            <w:shd w:val="clear" w:color="auto" w:fill="auto"/>
            <w:noWrap/>
            <w:vAlign w:val="center"/>
            <w:hideMark/>
          </w:tcPr>
          <w:p w14:paraId="7AE7604D"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25,825</w:t>
            </w:r>
          </w:p>
        </w:tc>
        <w:tc>
          <w:tcPr>
            <w:tcW w:w="973" w:type="dxa"/>
            <w:tcBorders>
              <w:top w:val="nil"/>
              <w:left w:val="nil"/>
              <w:bottom w:val="single" w:sz="4" w:space="0" w:color="auto"/>
              <w:right w:val="single" w:sz="4" w:space="0" w:color="auto"/>
            </w:tcBorders>
            <w:shd w:val="clear" w:color="auto" w:fill="auto"/>
            <w:noWrap/>
            <w:vAlign w:val="center"/>
            <w:hideMark/>
          </w:tcPr>
          <w:p w14:paraId="19665306"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11,317</w:t>
            </w:r>
          </w:p>
        </w:tc>
        <w:tc>
          <w:tcPr>
            <w:tcW w:w="973" w:type="dxa"/>
            <w:tcBorders>
              <w:top w:val="nil"/>
              <w:left w:val="nil"/>
              <w:bottom w:val="single" w:sz="4" w:space="0" w:color="auto"/>
              <w:right w:val="single" w:sz="4" w:space="0" w:color="auto"/>
            </w:tcBorders>
            <w:shd w:val="clear" w:color="auto" w:fill="auto"/>
            <w:noWrap/>
            <w:vAlign w:val="center"/>
            <w:hideMark/>
          </w:tcPr>
          <w:p w14:paraId="058BDA23"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1,182</w:t>
            </w:r>
          </w:p>
        </w:tc>
        <w:tc>
          <w:tcPr>
            <w:tcW w:w="973" w:type="dxa"/>
            <w:tcBorders>
              <w:top w:val="nil"/>
              <w:left w:val="nil"/>
              <w:bottom w:val="single" w:sz="4" w:space="0" w:color="auto"/>
              <w:right w:val="single" w:sz="4" w:space="0" w:color="auto"/>
            </w:tcBorders>
            <w:shd w:val="clear" w:color="auto" w:fill="auto"/>
            <w:noWrap/>
            <w:vAlign w:val="center"/>
            <w:hideMark/>
          </w:tcPr>
          <w:p w14:paraId="613C12BB"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7,096</w:t>
            </w:r>
          </w:p>
        </w:tc>
        <w:tc>
          <w:tcPr>
            <w:tcW w:w="973" w:type="dxa"/>
            <w:tcBorders>
              <w:top w:val="nil"/>
              <w:left w:val="nil"/>
              <w:bottom w:val="single" w:sz="4" w:space="0" w:color="auto"/>
              <w:right w:val="single" w:sz="4" w:space="0" w:color="auto"/>
            </w:tcBorders>
            <w:shd w:val="clear" w:color="auto" w:fill="auto"/>
            <w:noWrap/>
            <w:vAlign w:val="center"/>
            <w:hideMark/>
          </w:tcPr>
          <w:p w14:paraId="58A77B9B"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7,417</w:t>
            </w:r>
          </w:p>
        </w:tc>
        <w:tc>
          <w:tcPr>
            <w:tcW w:w="973" w:type="dxa"/>
            <w:tcBorders>
              <w:top w:val="nil"/>
              <w:left w:val="nil"/>
              <w:bottom w:val="single" w:sz="4" w:space="0" w:color="auto"/>
              <w:right w:val="single" w:sz="4" w:space="0" w:color="auto"/>
            </w:tcBorders>
            <w:shd w:val="clear" w:color="auto" w:fill="auto"/>
            <w:noWrap/>
            <w:vAlign w:val="center"/>
            <w:hideMark/>
          </w:tcPr>
          <w:p w14:paraId="2C3DC3D3"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19,042</w:t>
            </w:r>
          </w:p>
        </w:tc>
        <w:tc>
          <w:tcPr>
            <w:tcW w:w="973" w:type="dxa"/>
            <w:tcBorders>
              <w:top w:val="nil"/>
              <w:left w:val="nil"/>
              <w:bottom w:val="single" w:sz="4" w:space="0" w:color="auto"/>
              <w:right w:val="single" w:sz="4" w:space="0" w:color="auto"/>
            </w:tcBorders>
            <w:shd w:val="clear" w:color="auto" w:fill="auto"/>
            <w:noWrap/>
            <w:vAlign w:val="center"/>
            <w:hideMark/>
          </w:tcPr>
          <w:p w14:paraId="588E3950"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5,211</w:t>
            </w:r>
          </w:p>
        </w:tc>
        <w:tc>
          <w:tcPr>
            <w:tcW w:w="973" w:type="dxa"/>
            <w:tcBorders>
              <w:top w:val="nil"/>
              <w:left w:val="nil"/>
              <w:bottom w:val="single" w:sz="4" w:space="0" w:color="auto"/>
              <w:right w:val="single" w:sz="4" w:space="0" w:color="auto"/>
            </w:tcBorders>
            <w:shd w:val="clear" w:color="auto" w:fill="auto"/>
            <w:noWrap/>
            <w:vAlign w:val="center"/>
            <w:hideMark/>
          </w:tcPr>
          <w:p w14:paraId="63398CB9"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31D88D2B"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9,202</w:t>
            </w:r>
          </w:p>
        </w:tc>
        <w:tc>
          <w:tcPr>
            <w:tcW w:w="973" w:type="dxa"/>
            <w:tcBorders>
              <w:top w:val="nil"/>
              <w:left w:val="nil"/>
              <w:bottom w:val="single" w:sz="4" w:space="0" w:color="auto"/>
              <w:right w:val="single" w:sz="4" w:space="0" w:color="auto"/>
            </w:tcBorders>
            <w:shd w:val="clear" w:color="auto" w:fill="auto"/>
            <w:noWrap/>
            <w:vAlign w:val="center"/>
            <w:hideMark/>
          </w:tcPr>
          <w:p w14:paraId="5BAC7D0A"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0345E159" w14:textId="77777777" w:rsidR="00FE1263" w:rsidRPr="00E776D1" w:rsidRDefault="00FE1263" w:rsidP="003D68D1">
            <w:pPr>
              <w:spacing w:after="0" w:line="240" w:lineRule="auto"/>
              <w:jc w:val="right"/>
              <w:rPr>
                <w:rFonts w:cs="Arial"/>
                <w:b/>
                <w:bCs/>
                <w:color w:val="000000"/>
                <w:sz w:val="15"/>
                <w:szCs w:val="15"/>
                <w:lang w:eastAsia="en-AU"/>
              </w:rPr>
            </w:pPr>
            <w:r w:rsidRPr="00E776D1">
              <w:rPr>
                <w:rFonts w:cs="Arial"/>
                <w:b/>
                <w:bCs/>
                <w:color w:val="000000"/>
                <w:sz w:val="15"/>
                <w:szCs w:val="15"/>
                <w:lang w:eastAsia="en-AU"/>
              </w:rPr>
              <w:t>198,326</w:t>
            </w:r>
          </w:p>
        </w:tc>
      </w:tr>
      <w:tr w:rsidR="008428AF" w:rsidRPr="00A2223A" w14:paraId="7383BB86" w14:textId="77777777" w:rsidTr="00DD382E">
        <w:trPr>
          <w:trHeight w:val="300"/>
        </w:trPr>
        <w:tc>
          <w:tcPr>
            <w:tcW w:w="1588" w:type="dxa"/>
            <w:tcBorders>
              <w:top w:val="nil"/>
              <w:left w:val="single" w:sz="4" w:space="0" w:color="auto"/>
              <w:bottom w:val="single" w:sz="4" w:space="0" w:color="auto"/>
              <w:right w:val="single" w:sz="4" w:space="0" w:color="auto"/>
            </w:tcBorders>
            <w:shd w:val="clear" w:color="auto" w:fill="auto"/>
            <w:noWrap/>
            <w:vAlign w:val="center"/>
            <w:hideMark/>
          </w:tcPr>
          <w:p w14:paraId="56C6FDD5" w14:textId="77777777" w:rsidR="00FE1263" w:rsidRPr="00A2223A" w:rsidRDefault="00FE1263" w:rsidP="003D68D1">
            <w:pPr>
              <w:spacing w:after="0" w:line="240" w:lineRule="auto"/>
              <w:rPr>
                <w:rFonts w:cs="Arial"/>
                <w:color w:val="000000"/>
                <w:sz w:val="15"/>
                <w:szCs w:val="15"/>
                <w:lang w:eastAsia="en-AU"/>
              </w:rPr>
            </w:pPr>
            <w:r w:rsidRPr="00A2223A">
              <w:rPr>
                <w:rFonts w:cs="Arial"/>
                <w:color w:val="000000"/>
                <w:sz w:val="15"/>
                <w:szCs w:val="15"/>
                <w:lang w:eastAsia="en-AU"/>
              </w:rPr>
              <w:t>Swan Hill District Health</w:t>
            </w:r>
          </w:p>
        </w:tc>
        <w:tc>
          <w:tcPr>
            <w:tcW w:w="972" w:type="dxa"/>
            <w:tcBorders>
              <w:top w:val="nil"/>
              <w:left w:val="nil"/>
              <w:bottom w:val="single" w:sz="4" w:space="0" w:color="auto"/>
              <w:right w:val="single" w:sz="4" w:space="0" w:color="auto"/>
            </w:tcBorders>
            <w:shd w:val="clear" w:color="auto" w:fill="auto"/>
            <w:noWrap/>
            <w:vAlign w:val="center"/>
            <w:hideMark/>
          </w:tcPr>
          <w:p w14:paraId="2B04BA82"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55,109</w:t>
            </w:r>
          </w:p>
        </w:tc>
        <w:tc>
          <w:tcPr>
            <w:tcW w:w="973" w:type="dxa"/>
            <w:tcBorders>
              <w:top w:val="nil"/>
              <w:left w:val="nil"/>
              <w:bottom w:val="single" w:sz="4" w:space="0" w:color="auto"/>
              <w:right w:val="single" w:sz="4" w:space="0" w:color="auto"/>
            </w:tcBorders>
            <w:shd w:val="clear" w:color="auto" w:fill="auto"/>
            <w:noWrap/>
            <w:vAlign w:val="center"/>
            <w:hideMark/>
          </w:tcPr>
          <w:p w14:paraId="6F73D6CE"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28,585</w:t>
            </w:r>
          </w:p>
        </w:tc>
        <w:tc>
          <w:tcPr>
            <w:tcW w:w="973" w:type="dxa"/>
            <w:tcBorders>
              <w:top w:val="nil"/>
              <w:left w:val="nil"/>
              <w:bottom w:val="single" w:sz="4" w:space="0" w:color="auto"/>
              <w:right w:val="single" w:sz="4" w:space="0" w:color="auto"/>
            </w:tcBorders>
            <w:shd w:val="clear" w:color="auto" w:fill="auto"/>
            <w:noWrap/>
            <w:vAlign w:val="center"/>
            <w:hideMark/>
          </w:tcPr>
          <w:p w14:paraId="4A0484E9"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5,683</w:t>
            </w:r>
          </w:p>
        </w:tc>
        <w:tc>
          <w:tcPr>
            <w:tcW w:w="973" w:type="dxa"/>
            <w:tcBorders>
              <w:top w:val="nil"/>
              <w:left w:val="nil"/>
              <w:bottom w:val="single" w:sz="4" w:space="0" w:color="auto"/>
              <w:right w:val="single" w:sz="4" w:space="0" w:color="auto"/>
            </w:tcBorders>
            <w:shd w:val="clear" w:color="auto" w:fill="auto"/>
            <w:noWrap/>
            <w:vAlign w:val="center"/>
            <w:hideMark/>
          </w:tcPr>
          <w:p w14:paraId="2A6BC406"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10,607</w:t>
            </w:r>
          </w:p>
        </w:tc>
        <w:tc>
          <w:tcPr>
            <w:tcW w:w="973" w:type="dxa"/>
            <w:tcBorders>
              <w:top w:val="nil"/>
              <w:left w:val="nil"/>
              <w:bottom w:val="single" w:sz="4" w:space="0" w:color="auto"/>
              <w:right w:val="single" w:sz="4" w:space="0" w:color="auto"/>
            </w:tcBorders>
            <w:shd w:val="clear" w:color="auto" w:fill="auto"/>
            <w:noWrap/>
            <w:vAlign w:val="center"/>
            <w:hideMark/>
          </w:tcPr>
          <w:p w14:paraId="034BEACE"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2,422</w:t>
            </w:r>
          </w:p>
        </w:tc>
        <w:tc>
          <w:tcPr>
            <w:tcW w:w="973" w:type="dxa"/>
            <w:tcBorders>
              <w:top w:val="nil"/>
              <w:left w:val="nil"/>
              <w:bottom w:val="single" w:sz="4" w:space="0" w:color="auto"/>
              <w:right w:val="single" w:sz="4" w:space="0" w:color="auto"/>
            </w:tcBorders>
            <w:shd w:val="clear" w:color="auto" w:fill="auto"/>
            <w:noWrap/>
            <w:vAlign w:val="center"/>
            <w:hideMark/>
          </w:tcPr>
          <w:p w14:paraId="127BA566"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929</w:t>
            </w:r>
          </w:p>
        </w:tc>
        <w:tc>
          <w:tcPr>
            <w:tcW w:w="973" w:type="dxa"/>
            <w:tcBorders>
              <w:top w:val="nil"/>
              <w:left w:val="nil"/>
              <w:bottom w:val="single" w:sz="4" w:space="0" w:color="auto"/>
              <w:right w:val="single" w:sz="4" w:space="0" w:color="auto"/>
            </w:tcBorders>
            <w:shd w:val="clear" w:color="auto" w:fill="auto"/>
            <w:noWrap/>
            <w:vAlign w:val="center"/>
            <w:hideMark/>
          </w:tcPr>
          <w:p w14:paraId="2C84F540"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1,047</w:t>
            </w:r>
          </w:p>
        </w:tc>
        <w:tc>
          <w:tcPr>
            <w:tcW w:w="973" w:type="dxa"/>
            <w:tcBorders>
              <w:top w:val="nil"/>
              <w:left w:val="nil"/>
              <w:bottom w:val="single" w:sz="4" w:space="0" w:color="auto"/>
              <w:right w:val="single" w:sz="4" w:space="0" w:color="auto"/>
            </w:tcBorders>
            <w:shd w:val="clear" w:color="auto" w:fill="auto"/>
            <w:noWrap/>
            <w:vAlign w:val="center"/>
            <w:hideMark/>
          </w:tcPr>
          <w:p w14:paraId="03C175C4"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 </w:t>
            </w:r>
            <w:r>
              <w:rPr>
                <w:rFonts w:cs="Arial"/>
                <w:color w:val="000000"/>
                <w:sz w:val="15"/>
                <w:szCs w:val="15"/>
                <w:lang w:eastAsia="en-AU"/>
              </w:rPr>
              <w:t>0</w:t>
            </w:r>
          </w:p>
        </w:tc>
        <w:tc>
          <w:tcPr>
            <w:tcW w:w="973" w:type="dxa"/>
            <w:tcBorders>
              <w:top w:val="nil"/>
              <w:left w:val="nil"/>
              <w:bottom w:val="single" w:sz="4" w:space="0" w:color="auto"/>
              <w:right w:val="single" w:sz="4" w:space="0" w:color="auto"/>
            </w:tcBorders>
            <w:shd w:val="clear" w:color="auto" w:fill="auto"/>
            <w:noWrap/>
            <w:vAlign w:val="center"/>
            <w:hideMark/>
          </w:tcPr>
          <w:p w14:paraId="2FCF87B1"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47956093"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 </w:t>
            </w:r>
            <w:r>
              <w:rPr>
                <w:rFonts w:cs="Arial"/>
                <w:color w:val="000000"/>
                <w:sz w:val="15"/>
                <w:szCs w:val="15"/>
                <w:lang w:eastAsia="en-AU"/>
              </w:rPr>
              <w:t>0</w:t>
            </w:r>
          </w:p>
        </w:tc>
        <w:tc>
          <w:tcPr>
            <w:tcW w:w="973" w:type="dxa"/>
            <w:tcBorders>
              <w:top w:val="nil"/>
              <w:left w:val="nil"/>
              <w:bottom w:val="single" w:sz="4" w:space="0" w:color="auto"/>
              <w:right w:val="single" w:sz="4" w:space="0" w:color="auto"/>
            </w:tcBorders>
            <w:shd w:val="clear" w:color="auto" w:fill="auto"/>
            <w:noWrap/>
            <w:vAlign w:val="center"/>
            <w:hideMark/>
          </w:tcPr>
          <w:p w14:paraId="48A6C7FC"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4152ED8E"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6,069</w:t>
            </w:r>
          </w:p>
        </w:tc>
        <w:tc>
          <w:tcPr>
            <w:tcW w:w="973" w:type="dxa"/>
            <w:tcBorders>
              <w:top w:val="nil"/>
              <w:left w:val="nil"/>
              <w:bottom w:val="single" w:sz="4" w:space="0" w:color="auto"/>
              <w:right w:val="single" w:sz="4" w:space="0" w:color="auto"/>
            </w:tcBorders>
            <w:shd w:val="clear" w:color="auto" w:fill="auto"/>
            <w:noWrap/>
            <w:vAlign w:val="center"/>
            <w:hideMark/>
          </w:tcPr>
          <w:p w14:paraId="257046B7"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5F55A40F"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55,342</w:t>
            </w:r>
          </w:p>
        </w:tc>
      </w:tr>
      <w:tr w:rsidR="008428AF" w:rsidRPr="00A2223A" w14:paraId="0E0F3FCB" w14:textId="77777777" w:rsidTr="00DD382E">
        <w:trPr>
          <w:trHeight w:val="300"/>
        </w:trPr>
        <w:tc>
          <w:tcPr>
            <w:tcW w:w="1588" w:type="dxa"/>
            <w:tcBorders>
              <w:top w:val="nil"/>
              <w:left w:val="single" w:sz="4" w:space="0" w:color="auto"/>
              <w:bottom w:val="single" w:sz="4" w:space="0" w:color="auto"/>
              <w:right w:val="single" w:sz="4" w:space="0" w:color="auto"/>
            </w:tcBorders>
            <w:shd w:val="clear" w:color="auto" w:fill="auto"/>
            <w:noWrap/>
            <w:vAlign w:val="center"/>
            <w:hideMark/>
          </w:tcPr>
          <w:p w14:paraId="1FBDE8FC" w14:textId="77777777" w:rsidR="00FE1263" w:rsidRPr="00A2223A" w:rsidRDefault="00FE1263" w:rsidP="003D68D1">
            <w:pPr>
              <w:spacing w:after="0" w:line="240" w:lineRule="auto"/>
              <w:rPr>
                <w:rFonts w:cs="Arial"/>
                <w:color w:val="000000"/>
                <w:sz w:val="15"/>
                <w:szCs w:val="15"/>
                <w:lang w:eastAsia="en-AU"/>
              </w:rPr>
            </w:pPr>
            <w:r w:rsidRPr="00A2223A">
              <w:rPr>
                <w:rFonts w:cs="Arial"/>
                <w:color w:val="000000"/>
                <w:sz w:val="15"/>
                <w:szCs w:val="15"/>
                <w:lang w:eastAsia="en-AU"/>
              </w:rPr>
              <w:t>West Gippsland Healthcare Group</w:t>
            </w:r>
          </w:p>
        </w:tc>
        <w:tc>
          <w:tcPr>
            <w:tcW w:w="972" w:type="dxa"/>
            <w:tcBorders>
              <w:top w:val="nil"/>
              <w:left w:val="nil"/>
              <w:bottom w:val="single" w:sz="4" w:space="0" w:color="auto"/>
              <w:right w:val="single" w:sz="4" w:space="0" w:color="auto"/>
            </w:tcBorders>
            <w:shd w:val="clear" w:color="auto" w:fill="auto"/>
            <w:noWrap/>
            <w:vAlign w:val="center"/>
            <w:hideMark/>
          </w:tcPr>
          <w:p w14:paraId="539FD533"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107,897</w:t>
            </w:r>
          </w:p>
        </w:tc>
        <w:tc>
          <w:tcPr>
            <w:tcW w:w="973" w:type="dxa"/>
            <w:tcBorders>
              <w:top w:val="nil"/>
              <w:left w:val="nil"/>
              <w:bottom w:val="single" w:sz="4" w:space="0" w:color="auto"/>
              <w:right w:val="single" w:sz="4" w:space="0" w:color="auto"/>
            </w:tcBorders>
            <w:shd w:val="clear" w:color="auto" w:fill="auto"/>
            <w:noWrap/>
            <w:vAlign w:val="center"/>
            <w:hideMark/>
          </w:tcPr>
          <w:p w14:paraId="35C2F492"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72,288</w:t>
            </w:r>
          </w:p>
        </w:tc>
        <w:tc>
          <w:tcPr>
            <w:tcW w:w="973" w:type="dxa"/>
            <w:tcBorders>
              <w:top w:val="nil"/>
              <w:left w:val="nil"/>
              <w:bottom w:val="single" w:sz="4" w:space="0" w:color="auto"/>
              <w:right w:val="single" w:sz="4" w:space="0" w:color="auto"/>
            </w:tcBorders>
            <w:shd w:val="clear" w:color="auto" w:fill="auto"/>
            <w:noWrap/>
            <w:vAlign w:val="center"/>
            <w:hideMark/>
          </w:tcPr>
          <w:p w14:paraId="132D6639"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8,108</w:t>
            </w:r>
          </w:p>
        </w:tc>
        <w:tc>
          <w:tcPr>
            <w:tcW w:w="973" w:type="dxa"/>
            <w:tcBorders>
              <w:top w:val="nil"/>
              <w:left w:val="nil"/>
              <w:bottom w:val="single" w:sz="4" w:space="0" w:color="auto"/>
              <w:right w:val="single" w:sz="4" w:space="0" w:color="auto"/>
            </w:tcBorders>
            <w:shd w:val="clear" w:color="auto" w:fill="auto"/>
            <w:noWrap/>
            <w:vAlign w:val="center"/>
            <w:hideMark/>
          </w:tcPr>
          <w:p w14:paraId="4FB762BC"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15,508</w:t>
            </w:r>
          </w:p>
        </w:tc>
        <w:tc>
          <w:tcPr>
            <w:tcW w:w="973" w:type="dxa"/>
            <w:tcBorders>
              <w:top w:val="nil"/>
              <w:left w:val="nil"/>
              <w:bottom w:val="single" w:sz="4" w:space="0" w:color="auto"/>
              <w:right w:val="single" w:sz="4" w:space="0" w:color="auto"/>
            </w:tcBorders>
            <w:shd w:val="clear" w:color="auto" w:fill="auto"/>
            <w:noWrap/>
            <w:vAlign w:val="center"/>
            <w:hideMark/>
          </w:tcPr>
          <w:p w14:paraId="4953B1D2"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1,741</w:t>
            </w:r>
          </w:p>
        </w:tc>
        <w:tc>
          <w:tcPr>
            <w:tcW w:w="973" w:type="dxa"/>
            <w:tcBorders>
              <w:top w:val="nil"/>
              <w:left w:val="nil"/>
              <w:bottom w:val="single" w:sz="4" w:space="0" w:color="auto"/>
              <w:right w:val="single" w:sz="4" w:space="0" w:color="auto"/>
            </w:tcBorders>
            <w:shd w:val="clear" w:color="auto" w:fill="auto"/>
            <w:noWrap/>
            <w:vAlign w:val="center"/>
            <w:hideMark/>
          </w:tcPr>
          <w:p w14:paraId="2AD991DE"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906</w:t>
            </w:r>
          </w:p>
        </w:tc>
        <w:tc>
          <w:tcPr>
            <w:tcW w:w="973" w:type="dxa"/>
            <w:tcBorders>
              <w:top w:val="nil"/>
              <w:left w:val="nil"/>
              <w:bottom w:val="single" w:sz="4" w:space="0" w:color="auto"/>
              <w:right w:val="single" w:sz="4" w:space="0" w:color="auto"/>
            </w:tcBorders>
            <w:shd w:val="clear" w:color="auto" w:fill="auto"/>
            <w:noWrap/>
            <w:vAlign w:val="center"/>
            <w:hideMark/>
          </w:tcPr>
          <w:p w14:paraId="77BDBD8C"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2,416</w:t>
            </w:r>
          </w:p>
        </w:tc>
        <w:tc>
          <w:tcPr>
            <w:tcW w:w="973" w:type="dxa"/>
            <w:tcBorders>
              <w:top w:val="nil"/>
              <w:left w:val="nil"/>
              <w:bottom w:val="single" w:sz="4" w:space="0" w:color="auto"/>
              <w:right w:val="single" w:sz="4" w:space="0" w:color="auto"/>
            </w:tcBorders>
            <w:shd w:val="clear" w:color="auto" w:fill="auto"/>
            <w:noWrap/>
            <w:vAlign w:val="center"/>
            <w:hideMark/>
          </w:tcPr>
          <w:p w14:paraId="451DA423"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 </w:t>
            </w:r>
            <w:r>
              <w:rPr>
                <w:rFonts w:cs="Arial"/>
                <w:color w:val="000000"/>
                <w:sz w:val="15"/>
                <w:szCs w:val="15"/>
                <w:lang w:eastAsia="en-AU"/>
              </w:rPr>
              <w:t>0</w:t>
            </w:r>
          </w:p>
        </w:tc>
        <w:tc>
          <w:tcPr>
            <w:tcW w:w="973" w:type="dxa"/>
            <w:tcBorders>
              <w:top w:val="nil"/>
              <w:left w:val="nil"/>
              <w:bottom w:val="single" w:sz="4" w:space="0" w:color="auto"/>
              <w:right w:val="single" w:sz="4" w:space="0" w:color="auto"/>
            </w:tcBorders>
            <w:shd w:val="clear" w:color="auto" w:fill="auto"/>
            <w:noWrap/>
            <w:vAlign w:val="center"/>
            <w:hideMark/>
          </w:tcPr>
          <w:p w14:paraId="1D2EAB5C"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22709754"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 </w:t>
            </w:r>
            <w:r>
              <w:rPr>
                <w:rFonts w:cs="Arial"/>
                <w:color w:val="000000"/>
                <w:sz w:val="15"/>
                <w:szCs w:val="15"/>
                <w:lang w:eastAsia="en-AU"/>
              </w:rPr>
              <w:t>0</w:t>
            </w:r>
          </w:p>
        </w:tc>
        <w:tc>
          <w:tcPr>
            <w:tcW w:w="973" w:type="dxa"/>
            <w:tcBorders>
              <w:top w:val="nil"/>
              <w:left w:val="nil"/>
              <w:bottom w:val="single" w:sz="4" w:space="0" w:color="auto"/>
              <w:right w:val="single" w:sz="4" w:space="0" w:color="auto"/>
            </w:tcBorders>
            <w:shd w:val="clear" w:color="auto" w:fill="auto"/>
            <w:noWrap/>
            <w:vAlign w:val="center"/>
            <w:hideMark/>
          </w:tcPr>
          <w:p w14:paraId="546A401D"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0B2A8722"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9,358</w:t>
            </w:r>
          </w:p>
        </w:tc>
        <w:tc>
          <w:tcPr>
            <w:tcW w:w="973" w:type="dxa"/>
            <w:tcBorders>
              <w:top w:val="nil"/>
              <w:left w:val="nil"/>
              <w:bottom w:val="single" w:sz="4" w:space="0" w:color="auto"/>
              <w:right w:val="single" w:sz="4" w:space="0" w:color="auto"/>
            </w:tcBorders>
            <w:shd w:val="clear" w:color="auto" w:fill="auto"/>
            <w:noWrap/>
            <w:vAlign w:val="center"/>
            <w:hideMark/>
          </w:tcPr>
          <w:p w14:paraId="798EDAB8"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7869CDF6" w14:textId="77777777" w:rsidR="00FE1263" w:rsidRPr="00E776D1" w:rsidRDefault="00FE1263" w:rsidP="003D68D1">
            <w:pPr>
              <w:spacing w:after="0" w:line="240" w:lineRule="auto"/>
              <w:jc w:val="right"/>
              <w:rPr>
                <w:rFonts w:cs="Arial"/>
                <w:b/>
                <w:bCs/>
                <w:color w:val="000000"/>
                <w:sz w:val="15"/>
                <w:szCs w:val="15"/>
                <w:lang w:eastAsia="en-AU"/>
              </w:rPr>
            </w:pPr>
            <w:r w:rsidRPr="00E776D1">
              <w:rPr>
                <w:rFonts w:cs="Arial"/>
                <w:b/>
                <w:bCs/>
                <w:color w:val="000000"/>
                <w:sz w:val="15"/>
                <w:szCs w:val="15"/>
                <w:lang w:eastAsia="en-AU"/>
              </w:rPr>
              <w:t>110,324</w:t>
            </w:r>
          </w:p>
        </w:tc>
      </w:tr>
      <w:tr w:rsidR="008428AF" w:rsidRPr="00A2223A" w14:paraId="7CF0ADC0" w14:textId="77777777" w:rsidTr="00DD382E">
        <w:trPr>
          <w:trHeight w:val="300"/>
        </w:trPr>
        <w:tc>
          <w:tcPr>
            <w:tcW w:w="1588" w:type="dxa"/>
            <w:tcBorders>
              <w:top w:val="nil"/>
              <w:left w:val="single" w:sz="4" w:space="0" w:color="auto"/>
              <w:bottom w:val="single" w:sz="4" w:space="0" w:color="auto"/>
              <w:right w:val="single" w:sz="4" w:space="0" w:color="auto"/>
            </w:tcBorders>
            <w:shd w:val="clear" w:color="auto" w:fill="auto"/>
            <w:noWrap/>
            <w:vAlign w:val="center"/>
            <w:hideMark/>
          </w:tcPr>
          <w:p w14:paraId="7A0F1819" w14:textId="77777777" w:rsidR="00FE1263" w:rsidRPr="00A2223A" w:rsidRDefault="00FE1263" w:rsidP="003D68D1">
            <w:pPr>
              <w:spacing w:after="0" w:line="240" w:lineRule="auto"/>
              <w:rPr>
                <w:rFonts w:cs="Arial"/>
                <w:color w:val="000000"/>
                <w:sz w:val="15"/>
                <w:szCs w:val="15"/>
                <w:lang w:eastAsia="en-AU"/>
              </w:rPr>
            </w:pPr>
            <w:r w:rsidRPr="00A2223A">
              <w:rPr>
                <w:rFonts w:cs="Arial"/>
                <w:color w:val="000000"/>
                <w:sz w:val="15"/>
                <w:szCs w:val="15"/>
                <w:lang w:eastAsia="en-AU"/>
              </w:rPr>
              <w:t>Western District Health Service</w:t>
            </w:r>
          </w:p>
        </w:tc>
        <w:tc>
          <w:tcPr>
            <w:tcW w:w="972" w:type="dxa"/>
            <w:tcBorders>
              <w:top w:val="nil"/>
              <w:left w:val="nil"/>
              <w:bottom w:val="single" w:sz="4" w:space="0" w:color="auto"/>
              <w:right w:val="single" w:sz="4" w:space="0" w:color="auto"/>
            </w:tcBorders>
            <w:shd w:val="clear" w:color="auto" w:fill="auto"/>
            <w:noWrap/>
            <w:vAlign w:val="center"/>
            <w:hideMark/>
          </w:tcPr>
          <w:p w14:paraId="301C709E"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59,636</w:t>
            </w:r>
          </w:p>
        </w:tc>
        <w:tc>
          <w:tcPr>
            <w:tcW w:w="973" w:type="dxa"/>
            <w:tcBorders>
              <w:top w:val="nil"/>
              <w:left w:val="nil"/>
              <w:bottom w:val="single" w:sz="4" w:space="0" w:color="auto"/>
              <w:right w:val="single" w:sz="4" w:space="0" w:color="auto"/>
            </w:tcBorders>
            <w:shd w:val="clear" w:color="auto" w:fill="auto"/>
            <w:noWrap/>
            <w:vAlign w:val="center"/>
            <w:hideMark/>
          </w:tcPr>
          <w:p w14:paraId="4E1928DA"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36,893</w:t>
            </w:r>
          </w:p>
        </w:tc>
        <w:tc>
          <w:tcPr>
            <w:tcW w:w="973" w:type="dxa"/>
            <w:tcBorders>
              <w:top w:val="nil"/>
              <w:left w:val="nil"/>
              <w:bottom w:val="single" w:sz="4" w:space="0" w:color="auto"/>
              <w:right w:val="single" w:sz="4" w:space="0" w:color="auto"/>
            </w:tcBorders>
            <w:shd w:val="clear" w:color="auto" w:fill="auto"/>
            <w:noWrap/>
            <w:vAlign w:val="center"/>
            <w:hideMark/>
          </w:tcPr>
          <w:p w14:paraId="364109AA"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5,954</w:t>
            </w:r>
          </w:p>
        </w:tc>
        <w:tc>
          <w:tcPr>
            <w:tcW w:w="973" w:type="dxa"/>
            <w:tcBorders>
              <w:top w:val="nil"/>
              <w:left w:val="nil"/>
              <w:bottom w:val="single" w:sz="4" w:space="0" w:color="auto"/>
              <w:right w:val="single" w:sz="4" w:space="0" w:color="auto"/>
            </w:tcBorders>
            <w:shd w:val="clear" w:color="auto" w:fill="auto"/>
            <w:noWrap/>
            <w:vAlign w:val="center"/>
            <w:hideMark/>
          </w:tcPr>
          <w:p w14:paraId="781C89C2"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8,233</w:t>
            </w:r>
          </w:p>
        </w:tc>
        <w:tc>
          <w:tcPr>
            <w:tcW w:w="973" w:type="dxa"/>
            <w:tcBorders>
              <w:top w:val="nil"/>
              <w:left w:val="nil"/>
              <w:bottom w:val="single" w:sz="4" w:space="0" w:color="auto"/>
              <w:right w:val="single" w:sz="4" w:space="0" w:color="auto"/>
            </w:tcBorders>
            <w:shd w:val="clear" w:color="auto" w:fill="auto"/>
            <w:noWrap/>
            <w:vAlign w:val="center"/>
            <w:hideMark/>
          </w:tcPr>
          <w:p w14:paraId="79DDD0DB"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2,076</w:t>
            </w:r>
          </w:p>
        </w:tc>
        <w:tc>
          <w:tcPr>
            <w:tcW w:w="973" w:type="dxa"/>
            <w:tcBorders>
              <w:top w:val="nil"/>
              <w:left w:val="nil"/>
              <w:bottom w:val="single" w:sz="4" w:space="0" w:color="auto"/>
              <w:right w:val="single" w:sz="4" w:space="0" w:color="auto"/>
            </w:tcBorders>
            <w:shd w:val="clear" w:color="auto" w:fill="auto"/>
            <w:noWrap/>
            <w:vAlign w:val="center"/>
            <w:hideMark/>
          </w:tcPr>
          <w:p w14:paraId="4DA26BA7"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382</w:t>
            </w:r>
          </w:p>
        </w:tc>
        <w:tc>
          <w:tcPr>
            <w:tcW w:w="973" w:type="dxa"/>
            <w:tcBorders>
              <w:top w:val="nil"/>
              <w:left w:val="nil"/>
              <w:bottom w:val="single" w:sz="4" w:space="0" w:color="auto"/>
              <w:right w:val="single" w:sz="4" w:space="0" w:color="auto"/>
            </w:tcBorders>
            <w:shd w:val="clear" w:color="auto" w:fill="auto"/>
            <w:noWrap/>
            <w:vAlign w:val="center"/>
            <w:hideMark/>
          </w:tcPr>
          <w:p w14:paraId="6B08B683"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863</w:t>
            </w:r>
          </w:p>
        </w:tc>
        <w:tc>
          <w:tcPr>
            <w:tcW w:w="973" w:type="dxa"/>
            <w:tcBorders>
              <w:top w:val="nil"/>
              <w:left w:val="nil"/>
              <w:bottom w:val="single" w:sz="4" w:space="0" w:color="auto"/>
              <w:right w:val="single" w:sz="4" w:space="0" w:color="auto"/>
            </w:tcBorders>
            <w:shd w:val="clear" w:color="auto" w:fill="auto"/>
            <w:noWrap/>
            <w:vAlign w:val="center"/>
            <w:hideMark/>
          </w:tcPr>
          <w:p w14:paraId="484EBF6B"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 </w:t>
            </w:r>
            <w:r>
              <w:rPr>
                <w:rFonts w:cs="Arial"/>
                <w:color w:val="000000"/>
                <w:sz w:val="15"/>
                <w:szCs w:val="15"/>
                <w:lang w:eastAsia="en-AU"/>
              </w:rPr>
              <w:t>0</w:t>
            </w:r>
          </w:p>
        </w:tc>
        <w:tc>
          <w:tcPr>
            <w:tcW w:w="973" w:type="dxa"/>
            <w:tcBorders>
              <w:top w:val="nil"/>
              <w:left w:val="nil"/>
              <w:bottom w:val="single" w:sz="4" w:space="0" w:color="auto"/>
              <w:right w:val="single" w:sz="4" w:space="0" w:color="auto"/>
            </w:tcBorders>
            <w:shd w:val="clear" w:color="auto" w:fill="auto"/>
            <w:noWrap/>
            <w:vAlign w:val="center"/>
            <w:hideMark/>
          </w:tcPr>
          <w:p w14:paraId="10124138"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122</w:t>
            </w:r>
          </w:p>
        </w:tc>
        <w:tc>
          <w:tcPr>
            <w:tcW w:w="973" w:type="dxa"/>
            <w:tcBorders>
              <w:top w:val="nil"/>
              <w:left w:val="nil"/>
              <w:bottom w:val="single" w:sz="4" w:space="0" w:color="auto"/>
              <w:right w:val="single" w:sz="4" w:space="0" w:color="auto"/>
            </w:tcBorders>
            <w:shd w:val="clear" w:color="auto" w:fill="auto"/>
            <w:noWrap/>
            <w:vAlign w:val="center"/>
            <w:hideMark/>
          </w:tcPr>
          <w:p w14:paraId="275CB08D"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 </w:t>
            </w:r>
            <w:r>
              <w:rPr>
                <w:rFonts w:cs="Arial"/>
                <w:color w:val="000000"/>
                <w:sz w:val="15"/>
                <w:szCs w:val="15"/>
                <w:lang w:eastAsia="en-AU"/>
              </w:rPr>
              <w:t>0</w:t>
            </w:r>
          </w:p>
        </w:tc>
        <w:tc>
          <w:tcPr>
            <w:tcW w:w="973" w:type="dxa"/>
            <w:tcBorders>
              <w:top w:val="nil"/>
              <w:left w:val="nil"/>
              <w:bottom w:val="single" w:sz="4" w:space="0" w:color="auto"/>
              <w:right w:val="single" w:sz="4" w:space="0" w:color="auto"/>
            </w:tcBorders>
            <w:shd w:val="clear" w:color="auto" w:fill="auto"/>
            <w:noWrap/>
            <w:vAlign w:val="center"/>
            <w:hideMark/>
          </w:tcPr>
          <w:p w14:paraId="29EDD556"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241DFBFE" w14:textId="77777777" w:rsidR="00FE1263" w:rsidRPr="00A2223A" w:rsidRDefault="00FE1263" w:rsidP="003D68D1">
            <w:pPr>
              <w:spacing w:after="0" w:line="240" w:lineRule="auto"/>
              <w:jc w:val="right"/>
              <w:rPr>
                <w:rFonts w:cs="Arial"/>
                <w:color w:val="000000"/>
                <w:sz w:val="15"/>
                <w:szCs w:val="15"/>
                <w:lang w:eastAsia="en-AU"/>
              </w:rPr>
            </w:pPr>
            <w:r w:rsidRPr="00A2223A">
              <w:rPr>
                <w:rFonts w:cs="Arial"/>
                <w:color w:val="000000"/>
                <w:sz w:val="15"/>
                <w:szCs w:val="15"/>
                <w:lang w:eastAsia="en-AU"/>
              </w:rPr>
              <w:t>6,009</w:t>
            </w:r>
          </w:p>
        </w:tc>
        <w:tc>
          <w:tcPr>
            <w:tcW w:w="973" w:type="dxa"/>
            <w:tcBorders>
              <w:top w:val="nil"/>
              <w:left w:val="nil"/>
              <w:bottom w:val="single" w:sz="4" w:space="0" w:color="auto"/>
              <w:right w:val="single" w:sz="4" w:space="0" w:color="auto"/>
            </w:tcBorders>
            <w:shd w:val="clear" w:color="auto" w:fill="auto"/>
            <w:noWrap/>
            <w:vAlign w:val="center"/>
            <w:hideMark/>
          </w:tcPr>
          <w:p w14:paraId="2D58F825" w14:textId="77777777" w:rsidR="00FE1263" w:rsidRPr="00A2223A" w:rsidRDefault="00FE1263" w:rsidP="003D68D1">
            <w:pPr>
              <w:spacing w:after="0" w:line="240" w:lineRule="auto"/>
              <w:jc w:val="right"/>
              <w:rPr>
                <w:rFonts w:cs="Arial"/>
                <w:color w:val="000000"/>
                <w:sz w:val="15"/>
                <w:szCs w:val="15"/>
                <w:lang w:eastAsia="en-AU"/>
              </w:rPr>
            </w:pPr>
            <w:r>
              <w:rPr>
                <w:rFonts w:cs="Arial"/>
                <w:color w:val="000000"/>
                <w:sz w:val="15"/>
                <w:szCs w:val="15"/>
                <w:lang w:eastAsia="en-AU"/>
              </w:rPr>
              <w:t>0</w:t>
            </w:r>
            <w:r w:rsidRPr="00A2223A">
              <w:rPr>
                <w:rFonts w:cs="Arial"/>
                <w:color w:val="000000"/>
                <w:sz w:val="15"/>
                <w:szCs w:val="15"/>
                <w:lang w:eastAsia="en-AU"/>
              </w:rPr>
              <w:t> </w:t>
            </w:r>
          </w:p>
        </w:tc>
        <w:tc>
          <w:tcPr>
            <w:tcW w:w="973" w:type="dxa"/>
            <w:tcBorders>
              <w:top w:val="nil"/>
              <w:left w:val="nil"/>
              <w:bottom w:val="single" w:sz="4" w:space="0" w:color="auto"/>
              <w:right w:val="single" w:sz="4" w:space="0" w:color="auto"/>
            </w:tcBorders>
            <w:shd w:val="clear" w:color="auto" w:fill="auto"/>
            <w:noWrap/>
            <w:vAlign w:val="center"/>
            <w:hideMark/>
          </w:tcPr>
          <w:p w14:paraId="4934781C"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60,531</w:t>
            </w:r>
          </w:p>
        </w:tc>
      </w:tr>
      <w:tr w:rsidR="008428AF" w:rsidRPr="00A2223A" w14:paraId="4439544F" w14:textId="77777777" w:rsidTr="00DD382E">
        <w:trPr>
          <w:trHeight w:val="300"/>
        </w:trPr>
        <w:tc>
          <w:tcPr>
            <w:tcW w:w="1588" w:type="dxa"/>
            <w:tcBorders>
              <w:top w:val="nil"/>
              <w:left w:val="single" w:sz="4" w:space="0" w:color="auto"/>
              <w:bottom w:val="single" w:sz="4" w:space="0" w:color="auto"/>
              <w:right w:val="single" w:sz="4" w:space="0" w:color="auto"/>
            </w:tcBorders>
            <w:shd w:val="clear" w:color="auto" w:fill="auto"/>
            <w:noWrap/>
            <w:vAlign w:val="center"/>
            <w:hideMark/>
          </w:tcPr>
          <w:p w14:paraId="384687F3" w14:textId="77777777" w:rsidR="00FE1263" w:rsidRPr="00A2223A" w:rsidRDefault="00FE1263" w:rsidP="003D68D1">
            <w:pPr>
              <w:spacing w:after="0" w:line="240" w:lineRule="auto"/>
              <w:rPr>
                <w:rFonts w:cs="Arial"/>
                <w:b/>
                <w:bCs/>
                <w:color w:val="000000"/>
                <w:sz w:val="15"/>
                <w:szCs w:val="15"/>
                <w:lang w:eastAsia="en-AU"/>
              </w:rPr>
            </w:pPr>
            <w:r w:rsidRPr="00A2223A">
              <w:rPr>
                <w:rFonts w:cs="Arial"/>
                <w:b/>
                <w:bCs/>
                <w:color w:val="000000"/>
                <w:sz w:val="15"/>
                <w:szCs w:val="15"/>
                <w:lang w:eastAsia="en-AU"/>
              </w:rPr>
              <w:t>Total</w:t>
            </w:r>
          </w:p>
        </w:tc>
        <w:tc>
          <w:tcPr>
            <w:tcW w:w="972" w:type="dxa"/>
            <w:tcBorders>
              <w:top w:val="nil"/>
              <w:left w:val="nil"/>
              <w:bottom w:val="single" w:sz="4" w:space="0" w:color="auto"/>
              <w:right w:val="single" w:sz="4" w:space="0" w:color="auto"/>
            </w:tcBorders>
            <w:shd w:val="clear" w:color="auto" w:fill="auto"/>
            <w:noWrap/>
            <w:vAlign w:val="center"/>
            <w:hideMark/>
          </w:tcPr>
          <w:p w14:paraId="04DA5005"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1,312,706</w:t>
            </w:r>
          </w:p>
        </w:tc>
        <w:tc>
          <w:tcPr>
            <w:tcW w:w="973" w:type="dxa"/>
            <w:tcBorders>
              <w:top w:val="nil"/>
              <w:left w:val="nil"/>
              <w:bottom w:val="single" w:sz="4" w:space="0" w:color="auto"/>
              <w:right w:val="single" w:sz="4" w:space="0" w:color="auto"/>
            </w:tcBorders>
            <w:shd w:val="clear" w:color="auto" w:fill="auto"/>
            <w:noWrap/>
            <w:vAlign w:val="center"/>
            <w:hideMark/>
          </w:tcPr>
          <w:p w14:paraId="463C8205"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792,734</w:t>
            </w:r>
          </w:p>
        </w:tc>
        <w:tc>
          <w:tcPr>
            <w:tcW w:w="973" w:type="dxa"/>
            <w:tcBorders>
              <w:top w:val="nil"/>
              <w:left w:val="nil"/>
              <w:bottom w:val="single" w:sz="4" w:space="0" w:color="auto"/>
              <w:right w:val="single" w:sz="4" w:space="0" w:color="auto"/>
            </w:tcBorders>
            <w:shd w:val="clear" w:color="auto" w:fill="auto"/>
            <w:noWrap/>
            <w:vAlign w:val="center"/>
            <w:hideMark/>
          </w:tcPr>
          <w:p w14:paraId="1A54C81E"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114,896</w:t>
            </w:r>
          </w:p>
        </w:tc>
        <w:tc>
          <w:tcPr>
            <w:tcW w:w="973" w:type="dxa"/>
            <w:tcBorders>
              <w:top w:val="nil"/>
              <w:left w:val="nil"/>
              <w:bottom w:val="single" w:sz="4" w:space="0" w:color="auto"/>
              <w:right w:val="single" w:sz="4" w:space="0" w:color="auto"/>
            </w:tcBorders>
            <w:shd w:val="clear" w:color="auto" w:fill="auto"/>
            <w:noWrap/>
            <w:vAlign w:val="center"/>
            <w:hideMark/>
          </w:tcPr>
          <w:p w14:paraId="418DF99F"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184,220</w:t>
            </w:r>
          </w:p>
        </w:tc>
        <w:tc>
          <w:tcPr>
            <w:tcW w:w="973" w:type="dxa"/>
            <w:tcBorders>
              <w:top w:val="nil"/>
              <w:left w:val="nil"/>
              <w:bottom w:val="single" w:sz="4" w:space="0" w:color="auto"/>
              <w:right w:val="single" w:sz="4" w:space="0" w:color="auto"/>
            </w:tcBorders>
            <w:shd w:val="clear" w:color="auto" w:fill="auto"/>
            <w:noWrap/>
            <w:vAlign w:val="center"/>
            <w:hideMark/>
          </w:tcPr>
          <w:p w14:paraId="7EAE109D"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56,461</w:t>
            </w:r>
          </w:p>
        </w:tc>
        <w:tc>
          <w:tcPr>
            <w:tcW w:w="973" w:type="dxa"/>
            <w:tcBorders>
              <w:top w:val="nil"/>
              <w:left w:val="nil"/>
              <w:bottom w:val="single" w:sz="4" w:space="0" w:color="auto"/>
              <w:right w:val="single" w:sz="4" w:space="0" w:color="auto"/>
            </w:tcBorders>
            <w:shd w:val="clear" w:color="auto" w:fill="auto"/>
            <w:noWrap/>
            <w:vAlign w:val="center"/>
            <w:hideMark/>
          </w:tcPr>
          <w:p w14:paraId="76C05EA7"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11,163</w:t>
            </w:r>
          </w:p>
        </w:tc>
        <w:tc>
          <w:tcPr>
            <w:tcW w:w="973" w:type="dxa"/>
            <w:tcBorders>
              <w:top w:val="nil"/>
              <w:left w:val="nil"/>
              <w:bottom w:val="single" w:sz="4" w:space="0" w:color="auto"/>
              <w:right w:val="single" w:sz="4" w:space="0" w:color="auto"/>
            </w:tcBorders>
            <w:shd w:val="clear" w:color="auto" w:fill="auto"/>
            <w:noWrap/>
            <w:vAlign w:val="center"/>
            <w:hideMark/>
          </w:tcPr>
          <w:p w14:paraId="4CFC242E"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32,386</w:t>
            </w:r>
          </w:p>
        </w:tc>
        <w:tc>
          <w:tcPr>
            <w:tcW w:w="973" w:type="dxa"/>
            <w:tcBorders>
              <w:top w:val="nil"/>
              <w:left w:val="nil"/>
              <w:bottom w:val="single" w:sz="4" w:space="0" w:color="auto"/>
              <w:right w:val="single" w:sz="4" w:space="0" w:color="auto"/>
            </w:tcBorders>
            <w:shd w:val="clear" w:color="auto" w:fill="auto"/>
            <w:noWrap/>
            <w:vAlign w:val="center"/>
            <w:hideMark/>
          </w:tcPr>
          <w:p w14:paraId="0004C7C4"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12,533</w:t>
            </w:r>
          </w:p>
        </w:tc>
        <w:tc>
          <w:tcPr>
            <w:tcW w:w="973" w:type="dxa"/>
            <w:tcBorders>
              <w:top w:val="nil"/>
              <w:left w:val="nil"/>
              <w:bottom w:val="single" w:sz="4" w:space="0" w:color="auto"/>
              <w:right w:val="single" w:sz="4" w:space="0" w:color="auto"/>
            </w:tcBorders>
            <w:shd w:val="clear" w:color="auto" w:fill="auto"/>
            <w:noWrap/>
            <w:vAlign w:val="center"/>
            <w:hideMark/>
          </w:tcPr>
          <w:p w14:paraId="52704F84"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34,740</w:t>
            </w:r>
          </w:p>
        </w:tc>
        <w:tc>
          <w:tcPr>
            <w:tcW w:w="973" w:type="dxa"/>
            <w:tcBorders>
              <w:top w:val="nil"/>
              <w:left w:val="nil"/>
              <w:bottom w:val="single" w:sz="4" w:space="0" w:color="auto"/>
              <w:right w:val="single" w:sz="4" w:space="0" w:color="auto"/>
            </w:tcBorders>
            <w:shd w:val="clear" w:color="auto" w:fill="auto"/>
            <w:noWrap/>
            <w:vAlign w:val="center"/>
            <w:hideMark/>
          </w:tcPr>
          <w:p w14:paraId="39A76654"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8,939</w:t>
            </w:r>
          </w:p>
        </w:tc>
        <w:tc>
          <w:tcPr>
            <w:tcW w:w="973" w:type="dxa"/>
            <w:tcBorders>
              <w:top w:val="nil"/>
              <w:left w:val="nil"/>
              <w:bottom w:val="single" w:sz="4" w:space="0" w:color="auto"/>
              <w:right w:val="single" w:sz="4" w:space="0" w:color="auto"/>
            </w:tcBorders>
            <w:shd w:val="clear" w:color="auto" w:fill="auto"/>
            <w:noWrap/>
            <w:vAlign w:val="center"/>
            <w:hideMark/>
          </w:tcPr>
          <w:p w14:paraId="660D7104" w14:textId="77777777" w:rsidR="00FE1263" w:rsidRPr="00F43704" w:rsidRDefault="00FE1263" w:rsidP="003D68D1">
            <w:pPr>
              <w:spacing w:after="0" w:line="240" w:lineRule="auto"/>
              <w:jc w:val="center"/>
              <w:rPr>
                <w:rFonts w:cs="Arial"/>
                <w:b/>
                <w:bCs/>
                <w:color w:val="000000"/>
                <w:sz w:val="15"/>
                <w:szCs w:val="15"/>
                <w:lang w:eastAsia="en-AU"/>
              </w:rPr>
            </w:pPr>
            <w:r>
              <w:rPr>
                <w:rFonts w:cs="Arial"/>
                <w:color w:val="000000"/>
                <w:sz w:val="15"/>
                <w:szCs w:val="15"/>
                <w:lang w:eastAsia="en-AU"/>
              </w:rPr>
              <w:t xml:space="preserve">              </w:t>
            </w:r>
            <w:r w:rsidRPr="00F43704">
              <w:rPr>
                <w:rFonts w:cs="Arial"/>
                <w:b/>
                <w:bCs/>
                <w:color w:val="000000"/>
                <w:sz w:val="15"/>
                <w:szCs w:val="15"/>
                <w:lang w:eastAsia="en-AU"/>
              </w:rPr>
              <w:t>0</w:t>
            </w:r>
          </w:p>
        </w:tc>
        <w:tc>
          <w:tcPr>
            <w:tcW w:w="973" w:type="dxa"/>
            <w:tcBorders>
              <w:top w:val="nil"/>
              <w:left w:val="nil"/>
              <w:bottom w:val="single" w:sz="4" w:space="0" w:color="auto"/>
              <w:right w:val="single" w:sz="4" w:space="0" w:color="auto"/>
            </w:tcBorders>
            <w:shd w:val="clear" w:color="auto" w:fill="auto"/>
            <w:noWrap/>
            <w:vAlign w:val="center"/>
            <w:hideMark/>
          </w:tcPr>
          <w:p w14:paraId="2CB591C0"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102,075</w:t>
            </w:r>
          </w:p>
        </w:tc>
        <w:tc>
          <w:tcPr>
            <w:tcW w:w="973" w:type="dxa"/>
            <w:tcBorders>
              <w:top w:val="nil"/>
              <w:left w:val="nil"/>
              <w:bottom w:val="single" w:sz="4" w:space="0" w:color="auto"/>
              <w:right w:val="single" w:sz="4" w:space="0" w:color="auto"/>
            </w:tcBorders>
            <w:shd w:val="clear" w:color="auto" w:fill="auto"/>
            <w:noWrap/>
            <w:vAlign w:val="center"/>
            <w:hideMark/>
          </w:tcPr>
          <w:p w14:paraId="4CA550C9" w14:textId="77777777" w:rsidR="00FE1263" w:rsidRPr="00A2223A" w:rsidRDefault="00FE1263" w:rsidP="003D68D1">
            <w:pPr>
              <w:spacing w:after="0" w:line="240" w:lineRule="auto"/>
              <w:jc w:val="center"/>
              <w:rPr>
                <w:rFonts w:cs="Arial"/>
                <w:b/>
                <w:bCs/>
                <w:color w:val="000000"/>
                <w:sz w:val="15"/>
                <w:szCs w:val="15"/>
                <w:lang w:eastAsia="en-AU"/>
              </w:rPr>
            </w:pPr>
            <w:r>
              <w:rPr>
                <w:rFonts w:cs="Arial"/>
                <w:b/>
                <w:bCs/>
                <w:color w:val="000000"/>
                <w:sz w:val="15"/>
                <w:szCs w:val="15"/>
                <w:lang w:eastAsia="en-AU"/>
              </w:rPr>
              <w:t xml:space="preserve">               </w:t>
            </w:r>
            <w:r w:rsidRPr="00BA2163">
              <w:rPr>
                <w:rFonts w:cs="Arial"/>
                <w:b/>
                <w:bCs/>
                <w:color w:val="000000"/>
                <w:sz w:val="15"/>
                <w:szCs w:val="15"/>
                <w:lang w:eastAsia="en-AU"/>
              </w:rPr>
              <w:t>0</w:t>
            </w:r>
          </w:p>
        </w:tc>
        <w:tc>
          <w:tcPr>
            <w:tcW w:w="973" w:type="dxa"/>
            <w:tcBorders>
              <w:top w:val="nil"/>
              <w:left w:val="nil"/>
              <w:bottom w:val="single" w:sz="4" w:space="0" w:color="auto"/>
              <w:right w:val="single" w:sz="4" w:space="0" w:color="auto"/>
            </w:tcBorders>
            <w:shd w:val="clear" w:color="auto" w:fill="auto"/>
            <w:noWrap/>
            <w:vAlign w:val="center"/>
            <w:hideMark/>
          </w:tcPr>
          <w:p w14:paraId="7D190748" w14:textId="77777777" w:rsidR="00FE1263" w:rsidRPr="00FD71B4" w:rsidRDefault="00FE1263" w:rsidP="003D68D1">
            <w:pPr>
              <w:spacing w:after="0" w:line="240" w:lineRule="auto"/>
              <w:jc w:val="right"/>
              <w:rPr>
                <w:rFonts w:cs="Arial"/>
                <w:b/>
                <w:bCs/>
                <w:color w:val="000000"/>
                <w:sz w:val="15"/>
                <w:szCs w:val="15"/>
                <w:lang w:eastAsia="en-AU"/>
              </w:rPr>
            </w:pPr>
            <w:r w:rsidRPr="00FD71B4">
              <w:rPr>
                <w:rFonts w:cs="Arial"/>
                <w:b/>
                <w:bCs/>
                <w:color w:val="000000"/>
                <w:sz w:val="15"/>
                <w:szCs w:val="15"/>
                <w:lang w:eastAsia="en-AU"/>
              </w:rPr>
              <w:t>1,350,147</w:t>
            </w:r>
          </w:p>
        </w:tc>
      </w:tr>
    </w:tbl>
    <w:p w14:paraId="7F1A19B0" w14:textId="77777777" w:rsidR="00FE1263" w:rsidRDefault="00FE1263" w:rsidP="00685B35">
      <w:pPr>
        <w:pStyle w:val="Body"/>
        <w:keepNext/>
        <w:keepLines/>
        <w:spacing w:line="240" w:lineRule="auto"/>
      </w:pPr>
    </w:p>
    <w:p w14:paraId="57C8945E" w14:textId="3BE1FE0F" w:rsidR="00FE1263" w:rsidRDefault="00FE1263" w:rsidP="00685B35">
      <w:pPr>
        <w:pStyle w:val="Body"/>
        <w:keepNext/>
        <w:keepLines/>
        <w:spacing w:line="240" w:lineRule="auto"/>
      </w:pPr>
      <w:r>
        <w:t xml:space="preserve">Combined total – $’000s </w:t>
      </w:r>
    </w:p>
    <w:tbl>
      <w:tblPr>
        <w:tblW w:w="15168" w:type="dxa"/>
        <w:tblInd w:w="-289" w:type="dxa"/>
        <w:tblLayout w:type="fixed"/>
        <w:tblLook w:val="04A0" w:firstRow="1" w:lastRow="0" w:firstColumn="1" w:lastColumn="0" w:noHBand="0" w:noVBand="1"/>
      </w:tblPr>
      <w:tblGrid>
        <w:gridCol w:w="1555"/>
        <w:gridCol w:w="972"/>
        <w:gridCol w:w="972"/>
        <w:gridCol w:w="973"/>
        <w:gridCol w:w="972"/>
        <w:gridCol w:w="972"/>
        <w:gridCol w:w="973"/>
        <w:gridCol w:w="972"/>
        <w:gridCol w:w="972"/>
        <w:gridCol w:w="973"/>
        <w:gridCol w:w="972"/>
        <w:gridCol w:w="972"/>
        <w:gridCol w:w="973"/>
        <w:gridCol w:w="972"/>
        <w:gridCol w:w="973"/>
      </w:tblGrid>
      <w:tr w:rsidR="007D1F76" w:rsidRPr="00A2223A" w14:paraId="41C8827A" w14:textId="77777777" w:rsidTr="0069187E">
        <w:trPr>
          <w:trHeight w:val="900"/>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750FB1EE"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Health Service</w:t>
            </w:r>
          </w:p>
        </w:tc>
        <w:tc>
          <w:tcPr>
            <w:tcW w:w="972" w:type="dxa"/>
            <w:tcBorders>
              <w:top w:val="single" w:sz="4" w:space="0" w:color="auto"/>
              <w:left w:val="nil"/>
              <w:bottom w:val="single" w:sz="4" w:space="0" w:color="auto"/>
              <w:right w:val="single" w:sz="4" w:space="0" w:color="auto"/>
            </w:tcBorders>
            <w:shd w:val="clear" w:color="auto" w:fill="auto"/>
            <w:hideMark/>
          </w:tcPr>
          <w:p w14:paraId="7629E3BB"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2022–23</w:t>
            </w:r>
            <w:r w:rsidRPr="00A2223A">
              <w:rPr>
                <w:rFonts w:cs="Arial"/>
                <w:b/>
                <w:bCs/>
                <w:color w:val="53565A"/>
                <w:sz w:val="16"/>
                <w:szCs w:val="16"/>
                <w:lang w:eastAsia="en-AU"/>
              </w:rPr>
              <w:br/>
              <w:t>Total</w:t>
            </w:r>
          </w:p>
        </w:tc>
        <w:tc>
          <w:tcPr>
            <w:tcW w:w="972" w:type="dxa"/>
            <w:tcBorders>
              <w:top w:val="single" w:sz="4" w:space="0" w:color="auto"/>
              <w:left w:val="nil"/>
              <w:bottom w:val="single" w:sz="4" w:space="0" w:color="auto"/>
              <w:right w:val="single" w:sz="4" w:space="0" w:color="auto"/>
            </w:tcBorders>
            <w:shd w:val="clear" w:color="auto" w:fill="auto"/>
            <w:hideMark/>
          </w:tcPr>
          <w:p w14:paraId="401268E8"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Acute admitted</w:t>
            </w:r>
          </w:p>
        </w:tc>
        <w:tc>
          <w:tcPr>
            <w:tcW w:w="973" w:type="dxa"/>
            <w:tcBorders>
              <w:top w:val="single" w:sz="4" w:space="0" w:color="auto"/>
              <w:left w:val="nil"/>
              <w:bottom w:val="single" w:sz="4" w:space="0" w:color="auto"/>
              <w:right w:val="single" w:sz="4" w:space="0" w:color="auto"/>
            </w:tcBorders>
            <w:shd w:val="clear" w:color="auto" w:fill="auto"/>
            <w:hideMark/>
          </w:tcPr>
          <w:p w14:paraId="1D4F5C62"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Acute non-admitted</w:t>
            </w:r>
          </w:p>
        </w:tc>
        <w:tc>
          <w:tcPr>
            <w:tcW w:w="972" w:type="dxa"/>
            <w:tcBorders>
              <w:top w:val="single" w:sz="4" w:space="0" w:color="auto"/>
              <w:left w:val="nil"/>
              <w:bottom w:val="single" w:sz="4" w:space="0" w:color="auto"/>
              <w:right w:val="single" w:sz="4" w:space="0" w:color="auto"/>
            </w:tcBorders>
            <w:shd w:val="clear" w:color="auto" w:fill="auto"/>
            <w:hideMark/>
          </w:tcPr>
          <w:p w14:paraId="0897D5C0"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Emergency</w:t>
            </w:r>
          </w:p>
        </w:tc>
        <w:tc>
          <w:tcPr>
            <w:tcW w:w="972" w:type="dxa"/>
            <w:tcBorders>
              <w:top w:val="single" w:sz="4" w:space="0" w:color="auto"/>
              <w:left w:val="nil"/>
              <w:bottom w:val="single" w:sz="4" w:space="0" w:color="auto"/>
              <w:right w:val="single" w:sz="4" w:space="0" w:color="auto"/>
            </w:tcBorders>
            <w:shd w:val="clear" w:color="auto" w:fill="auto"/>
            <w:hideMark/>
          </w:tcPr>
          <w:p w14:paraId="43EFD86D"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Subacute</w:t>
            </w:r>
          </w:p>
        </w:tc>
        <w:tc>
          <w:tcPr>
            <w:tcW w:w="973" w:type="dxa"/>
            <w:tcBorders>
              <w:top w:val="single" w:sz="4" w:space="0" w:color="auto"/>
              <w:left w:val="nil"/>
              <w:bottom w:val="single" w:sz="4" w:space="0" w:color="auto"/>
              <w:right w:val="single" w:sz="4" w:space="0" w:color="auto"/>
            </w:tcBorders>
            <w:shd w:val="clear" w:color="auto" w:fill="auto"/>
            <w:hideMark/>
          </w:tcPr>
          <w:p w14:paraId="634EB7D8"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Subacute non-admitted</w:t>
            </w:r>
          </w:p>
        </w:tc>
        <w:tc>
          <w:tcPr>
            <w:tcW w:w="972" w:type="dxa"/>
            <w:tcBorders>
              <w:top w:val="single" w:sz="4" w:space="0" w:color="auto"/>
              <w:left w:val="nil"/>
              <w:bottom w:val="single" w:sz="4" w:space="0" w:color="auto"/>
              <w:right w:val="single" w:sz="4" w:space="0" w:color="auto"/>
            </w:tcBorders>
            <w:shd w:val="clear" w:color="auto" w:fill="auto"/>
            <w:hideMark/>
          </w:tcPr>
          <w:p w14:paraId="5DEFC909"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Teaching, training and research</w:t>
            </w:r>
          </w:p>
        </w:tc>
        <w:tc>
          <w:tcPr>
            <w:tcW w:w="972" w:type="dxa"/>
            <w:tcBorders>
              <w:top w:val="single" w:sz="4" w:space="0" w:color="auto"/>
              <w:left w:val="nil"/>
              <w:bottom w:val="single" w:sz="4" w:space="0" w:color="auto"/>
              <w:right w:val="single" w:sz="4" w:space="0" w:color="auto"/>
            </w:tcBorders>
            <w:shd w:val="clear" w:color="auto" w:fill="auto"/>
            <w:hideMark/>
          </w:tcPr>
          <w:p w14:paraId="530049DE"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Mental health admitted</w:t>
            </w:r>
          </w:p>
        </w:tc>
        <w:tc>
          <w:tcPr>
            <w:tcW w:w="973" w:type="dxa"/>
            <w:tcBorders>
              <w:top w:val="single" w:sz="4" w:space="0" w:color="auto"/>
              <w:left w:val="nil"/>
              <w:bottom w:val="single" w:sz="4" w:space="0" w:color="auto"/>
              <w:right w:val="single" w:sz="4" w:space="0" w:color="auto"/>
            </w:tcBorders>
            <w:shd w:val="clear" w:color="auto" w:fill="auto"/>
            <w:hideMark/>
          </w:tcPr>
          <w:p w14:paraId="4D1E9D31"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Non-admitted mental health</w:t>
            </w:r>
          </w:p>
        </w:tc>
        <w:tc>
          <w:tcPr>
            <w:tcW w:w="972" w:type="dxa"/>
            <w:tcBorders>
              <w:top w:val="single" w:sz="4" w:space="0" w:color="auto"/>
              <w:left w:val="nil"/>
              <w:bottom w:val="single" w:sz="4" w:space="0" w:color="auto"/>
              <w:right w:val="single" w:sz="4" w:space="0" w:color="auto"/>
            </w:tcBorders>
            <w:shd w:val="clear" w:color="auto" w:fill="auto"/>
            <w:hideMark/>
          </w:tcPr>
          <w:p w14:paraId="2A814EF2"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Non-admitted CAMHS</w:t>
            </w:r>
          </w:p>
        </w:tc>
        <w:tc>
          <w:tcPr>
            <w:tcW w:w="972" w:type="dxa"/>
            <w:tcBorders>
              <w:top w:val="single" w:sz="4" w:space="0" w:color="auto"/>
              <w:left w:val="nil"/>
              <w:bottom w:val="single" w:sz="4" w:space="0" w:color="auto"/>
              <w:right w:val="single" w:sz="4" w:space="0" w:color="auto"/>
            </w:tcBorders>
            <w:shd w:val="clear" w:color="auto" w:fill="auto"/>
            <w:hideMark/>
          </w:tcPr>
          <w:p w14:paraId="3DBE7434"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Other public hospital programs</w:t>
            </w:r>
          </w:p>
        </w:tc>
        <w:tc>
          <w:tcPr>
            <w:tcW w:w="973" w:type="dxa"/>
            <w:tcBorders>
              <w:top w:val="single" w:sz="4" w:space="0" w:color="auto"/>
              <w:left w:val="nil"/>
              <w:bottom w:val="single" w:sz="4" w:space="0" w:color="auto"/>
              <w:right w:val="single" w:sz="4" w:space="0" w:color="auto"/>
            </w:tcBorders>
            <w:shd w:val="clear" w:color="auto" w:fill="auto"/>
            <w:hideMark/>
          </w:tcPr>
          <w:p w14:paraId="4E7CC402"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Out of scope of agreement</w:t>
            </w:r>
          </w:p>
        </w:tc>
        <w:tc>
          <w:tcPr>
            <w:tcW w:w="972" w:type="dxa"/>
            <w:tcBorders>
              <w:top w:val="single" w:sz="4" w:space="0" w:color="auto"/>
              <w:left w:val="nil"/>
              <w:bottom w:val="single" w:sz="4" w:space="0" w:color="auto"/>
              <w:right w:val="single" w:sz="4" w:space="0" w:color="auto"/>
            </w:tcBorders>
            <w:shd w:val="clear" w:color="000000" w:fill="FFFFFF"/>
            <w:hideMark/>
          </w:tcPr>
          <w:p w14:paraId="237867C1"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2023–24</w:t>
            </w:r>
            <w:r w:rsidRPr="00A2223A">
              <w:rPr>
                <w:rFonts w:cs="Arial"/>
                <w:b/>
                <w:bCs/>
                <w:color w:val="53565A"/>
                <w:sz w:val="16"/>
                <w:szCs w:val="16"/>
                <w:lang w:eastAsia="en-AU"/>
              </w:rPr>
              <w:br/>
              <w:t>Specialised drug therapies</w:t>
            </w:r>
          </w:p>
        </w:tc>
        <w:tc>
          <w:tcPr>
            <w:tcW w:w="973" w:type="dxa"/>
            <w:tcBorders>
              <w:top w:val="single" w:sz="4" w:space="0" w:color="auto"/>
              <w:left w:val="nil"/>
              <w:bottom w:val="single" w:sz="4" w:space="0" w:color="auto"/>
              <w:right w:val="single" w:sz="4" w:space="0" w:color="auto"/>
            </w:tcBorders>
            <w:shd w:val="clear" w:color="auto" w:fill="auto"/>
            <w:hideMark/>
          </w:tcPr>
          <w:p w14:paraId="5D312796" w14:textId="77777777" w:rsidR="00FE1263" w:rsidRPr="00A2223A" w:rsidRDefault="00FE1263" w:rsidP="003D68D1">
            <w:pPr>
              <w:spacing w:after="0" w:line="240" w:lineRule="auto"/>
              <w:jc w:val="right"/>
              <w:rPr>
                <w:rFonts w:cs="Arial"/>
                <w:b/>
                <w:bCs/>
                <w:color w:val="53565A"/>
                <w:sz w:val="16"/>
                <w:szCs w:val="16"/>
                <w:lang w:eastAsia="en-AU"/>
              </w:rPr>
            </w:pPr>
            <w:r w:rsidRPr="00A2223A">
              <w:rPr>
                <w:rFonts w:cs="Arial"/>
                <w:b/>
                <w:bCs/>
                <w:color w:val="53565A"/>
                <w:sz w:val="16"/>
                <w:szCs w:val="16"/>
                <w:lang w:eastAsia="en-AU"/>
              </w:rPr>
              <w:t>Total</w:t>
            </w:r>
          </w:p>
        </w:tc>
      </w:tr>
      <w:tr w:rsidR="008428AF" w:rsidRPr="00A2223A" w14:paraId="2C2AD9C3" w14:textId="77777777" w:rsidTr="0069187E">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4426C1E" w14:textId="77777777" w:rsidR="00FE1263" w:rsidRPr="00A2223A" w:rsidRDefault="00FE1263" w:rsidP="003D68D1">
            <w:pPr>
              <w:spacing w:after="0" w:line="240" w:lineRule="auto"/>
              <w:rPr>
                <w:rFonts w:cs="Arial"/>
                <w:b/>
                <w:bCs/>
                <w:color w:val="000000"/>
                <w:sz w:val="15"/>
                <w:szCs w:val="15"/>
                <w:lang w:eastAsia="en-AU"/>
              </w:rPr>
            </w:pPr>
            <w:r>
              <w:rPr>
                <w:rFonts w:cs="Arial"/>
                <w:b/>
                <w:bCs/>
                <w:color w:val="000000"/>
                <w:sz w:val="15"/>
                <w:szCs w:val="15"/>
                <w:lang w:eastAsia="en-AU"/>
              </w:rPr>
              <w:t>T</w:t>
            </w:r>
            <w:r w:rsidRPr="00A2223A">
              <w:rPr>
                <w:rFonts w:cs="Arial"/>
                <w:b/>
                <w:bCs/>
                <w:color w:val="000000"/>
                <w:sz w:val="15"/>
                <w:szCs w:val="15"/>
                <w:lang w:eastAsia="en-AU"/>
              </w:rPr>
              <w:t>otal</w:t>
            </w:r>
          </w:p>
        </w:tc>
        <w:tc>
          <w:tcPr>
            <w:tcW w:w="972" w:type="dxa"/>
            <w:tcBorders>
              <w:top w:val="nil"/>
              <w:left w:val="nil"/>
              <w:bottom w:val="single" w:sz="4" w:space="0" w:color="auto"/>
              <w:right w:val="single" w:sz="4" w:space="0" w:color="auto"/>
            </w:tcBorders>
            <w:shd w:val="clear" w:color="auto" w:fill="auto"/>
            <w:noWrap/>
            <w:vAlign w:val="center"/>
            <w:hideMark/>
          </w:tcPr>
          <w:p w14:paraId="433AA705"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15,541,885</w:t>
            </w:r>
          </w:p>
        </w:tc>
        <w:tc>
          <w:tcPr>
            <w:tcW w:w="972" w:type="dxa"/>
            <w:tcBorders>
              <w:top w:val="nil"/>
              <w:left w:val="nil"/>
              <w:bottom w:val="single" w:sz="4" w:space="0" w:color="auto"/>
              <w:right w:val="single" w:sz="4" w:space="0" w:color="auto"/>
            </w:tcBorders>
            <w:shd w:val="clear" w:color="auto" w:fill="auto"/>
            <w:noWrap/>
            <w:vAlign w:val="center"/>
            <w:hideMark/>
          </w:tcPr>
          <w:p w14:paraId="3C2648C7"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9,178,852</w:t>
            </w:r>
          </w:p>
        </w:tc>
        <w:tc>
          <w:tcPr>
            <w:tcW w:w="973" w:type="dxa"/>
            <w:tcBorders>
              <w:top w:val="nil"/>
              <w:left w:val="nil"/>
              <w:bottom w:val="single" w:sz="4" w:space="0" w:color="auto"/>
              <w:right w:val="single" w:sz="4" w:space="0" w:color="auto"/>
            </w:tcBorders>
            <w:shd w:val="clear" w:color="auto" w:fill="auto"/>
            <w:noWrap/>
            <w:vAlign w:val="center"/>
            <w:hideMark/>
          </w:tcPr>
          <w:p w14:paraId="23C2CB98"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1,361,842</w:t>
            </w:r>
          </w:p>
        </w:tc>
        <w:tc>
          <w:tcPr>
            <w:tcW w:w="972" w:type="dxa"/>
            <w:tcBorders>
              <w:top w:val="nil"/>
              <w:left w:val="nil"/>
              <w:bottom w:val="single" w:sz="4" w:space="0" w:color="auto"/>
              <w:right w:val="single" w:sz="4" w:space="0" w:color="auto"/>
            </w:tcBorders>
            <w:shd w:val="clear" w:color="auto" w:fill="auto"/>
            <w:noWrap/>
            <w:vAlign w:val="center"/>
            <w:hideMark/>
          </w:tcPr>
          <w:p w14:paraId="03093CC5"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1,488,792</w:t>
            </w:r>
          </w:p>
        </w:tc>
        <w:tc>
          <w:tcPr>
            <w:tcW w:w="972" w:type="dxa"/>
            <w:tcBorders>
              <w:top w:val="nil"/>
              <w:left w:val="nil"/>
              <w:bottom w:val="single" w:sz="4" w:space="0" w:color="auto"/>
              <w:right w:val="single" w:sz="4" w:space="0" w:color="auto"/>
            </w:tcBorders>
            <w:shd w:val="clear" w:color="auto" w:fill="auto"/>
            <w:noWrap/>
            <w:vAlign w:val="center"/>
            <w:hideMark/>
          </w:tcPr>
          <w:p w14:paraId="146D0E09"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688,704</w:t>
            </w:r>
          </w:p>
        </w:tc>
        <w:tc>
          <w:tcPr>
            <w:tcW w:w="973" w:type="dxa"/>
            <w:tcBorders>
              <w:top w:val="nil"/>
              <w:left w:val="nil"/>
              <w:bottom w:val="single" w:sz="4" w:space="0" w:color="auto"/>
              <w:right w:val="single" w:sz="4" w:space="0" w:color="auto"/>
            </w:tcBorders>
            <w:shd w:val="clear" w:color="auto" w:fill="auto"/>
            <w:noWrap/>
            <w:vAlign w:val="center"/>
            <w:hideMark/>
          </w:tcPr>
          <w:p w14:paraId="36C03927"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49,316</w:t>
            </w:r>
          </w:p>
        </w:tc>
        <w:tc>
          <w:tcPr>
            <w:tcW w:w="972" w:type="dxa"/>
            <w:tcBorders>
              <w:top w:val="nil"/>
              <w:left w:val="nil"/>
              <w:bottom w:val="single" w:sz="4" w:space="0" w:color="auto"/>
              <w:right w:val="single" w:sz="4" w:space="0" w:color="auto"/>
            </w:tcBorders>
            <w:shd w:val="clear" w:color="auto" w:fill="auto"/>
            <w:noWrap/>
            <w:vAlign w:val="center"/>
            <w:hideMark/>
          </w:tcPr>
          <w:p w14:paraId="075D5B66"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332,097</w:t>
            </w:r>
          </w:p>
        </w:tc>
        <w:tc>
          <w:tcPr>
            <w:tcW w:w="972" w:type="dxa"/>
            <w:tcBorders>
              <w:top w:val="nil"/>
              <w:left w:val="nil"/>
              <w:bottom w:val="single" w:sz="4" w:space="0" w:color="auto"/>
              <w:right w:val="single" w:sz="4" w:space="0" w:color="auto"/>
            </w:tcBorders>
            <w:shd w:val="clear" w:color="auto" w:fill="auto"/>
            <w:noWrap/>
            <w:vAlign w:val="center"/>
            <w:hideMark/>
          </w:tcPr>
          <w:p w14:paraId="2387FD72"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584,669</w:t>
            </w:r>
          </w:p>
        </w:tc>
        <w:tc>
          <w:tcPr>
            <w:tcW w:w="973" w:type="dxa"/>
            <w:tcBorders>
              <w:top w:val="nil"/>
              <w:left w:val="nil"/>
              <w:bottom w:val="single" w:sz="4" w:space="0" w:color="auto"/>
              <w:right w:val="single" w:sz="4" w:space="0" w:color="auto"/>
            </w:tcBorders>
            <w:shd w:val="clear" w:color="auto" w:fill="auto"/>
            <w:noWrap/>
            <w:vAlign w:val="center"/>
            <w:hideMark/>
          </w:tcPr>
          <w:p w14:paraId="3312CA64"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917,003</w:t>
            </w:r>
          </w:p>
        </w:tc>
        <w:tc>
          <w:tcPr>
            <w:tcW w:w="972" w:type="dxa"/>
            <w:tcBorders>
              <w:top w:val="nil"/>
              <w:left w:val="nil"/>
              <w:bottom w:val="single" w:sz="4" w:space="0" w:color="auto"/>
              <w:right w:val="single" w:sz="4" w:space="0" w:color="auto"/>
            </w:tcBorders>
            <w:shd w:val="clear" w:color="auto" w:fill="auto"/>
            <w:noWrap/>
            <w:vAlign w:val="center"/>
            <w:hideMark/>
          </w:tcPr>
          <w:p w14:paraId="72EB3F35"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216,519</w:t>
            </w:r>
          </w:p>
        </w:tc>
        <w:tc>
          <w:tcPr>
            <w:tcW w:w="972" w:type="dxa"/>
            <w:tcBorders>
              <w:top w:val="nil"/>
              <w:left w:val="nil"/>
              <w:bottom w:val="single" w:sz="4" w:space="0" w:color="auto"/>
              <w:right w:val="single" w:sz="4" w:space="0" w:color="auto"/>
            </w:tcBorders>
            <w:shd w:val="clear" w:color="auto" w:fill="auto"/>
            <w:noWrap/>
            <w:vAlign w:val="center"/>
            <w:hideMark/>
          </w:tcPr>
          <w:p w14:paraId="45E4CF23"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 </w:t>
            </w:r>
            <w:r>
              <w:rPr>
                <w:rFonts w:cs="Arial"/>
                <w:b/>
                <w:bCs/>
                <w:color w:val="000000"/>
                <w:sz w:val="15"/>
                <w:szCs w:val="15"/>
                <w:lang w:eastAsia="en-AU"/>
              </w:rPr>
              <w:t>0</w:t>
            </w:r>
          </w:p>
        </w:tc>
        <w:tc>
          <w:tcPr>
            <w:tcW w:w="973" w:type="dxa"/>
            <w:tcBorders>
              <w:top w:val="nil"/>
              <w:left w:val="nil"/>
              <w:bottom w:val="single" w:sz="4" w:space="0" w:color="auto"/>
              <w:right w:val="single" w:sz="4" w:space="0" w:color="auto"/>
            </w:tcBorders>
            <w:shd w:val="clear" w:color="auto" w:fill="auto"/>
            <w:noWrap/>
            <w:vAlign w:val="center"/>
            <w:hideMark/>
          </w:tcPr>
          <w:p w14:paraId="75EB475B"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1,057,500</w:t>
            </w:r>
          </w:p>
        </w:tc>
        <w:tc>
          <w:tcPr>
            <w:tcW w:w="972" w:type="dxa"/>
            <w:tcBorders>
              <w:top w:val="nil"/>
              <w:left w:val="nil"/>
              <w:bottom w:val="single" w:sz="4" w:space="0" w:color="auto"/>
              <w:right w:val="single" w:sz="4" w:space="0" w:color="auto"/>
            </w:tcBorders>
            <w:shd w:val="clear" w:color="auto" w:fill="auto"/>
            <w:noWrap/>
            <w:vAlign w:val="center"/>
            <w:hideMark/>
          </w:tcPr>
          <w:p w14:paraId="5E1D5F80" w14:textId="77777777" w:rsidR="00FE1263" w:rsidRPr="00A2223A" w:rsidRDefault="00FE1263" w:rsidP="003D68D1">
            <w:pPr>
              <w:spacing w:after="0" w:line="240" w:lineRule="auto"/>
              <w:jc w:val="right"/>
              <w:rPr>
                <w:rFonts w:cs="Arial"/>
                <w:b/>
                <w:bCs/>
                <w:color w:val="000000"/>
                <w:sz w:val="15"/>
                <w:szCs w:val="15"/>
                <w:lang w:eastAsia="en-AU"/>
              </w:rPr>
            </w:pPr>
            <w:r w:rsidRPr="00A2223A">
              <w:rPr>
                <w:rFonts w:cs="Arial"/>
                <w:b/>
                <w:bCs/>
                <w:color w:val="000000"/>
                <w:sz w:val="15"/>
                <w:szCs w:val="15"/>
                <w:lang w:eastAsia="en-AU"/>
              </w:rPr>
              <w:t>69,545</w:t>
            </w:r>
          </w:p>
        </w:tc>
        <w:tc>
          <w:tcPr>
            <w:tcW w:w="973" w:type="dxa"/>
            <w:tcBorders>
              <w:top w:val="nil"/>
              <w:left w:val="nil"/>
              <w:bottom w:val="single" w:sz="4" w:space="0" w:color="auto"/>
              <w:right w:val="single" w:sz="4" w:space="0" w:color="auto"/>
            </w:tcBorders>
            <w:shd w:val="clear" w:color="auto" w:fill="auto"/>
            <w:noWrap/>
            <w:vAlign w:val="center"/>
            <w:hideMark/>
          </w:tcPr>
          <w:p w14:paraId="27E58BA4" w14:textId="77777777" w:rsidR="00FE1263" w:rsidRPr="00FD71B4" w:rsidRDefault="00FE1263" w:rsidP="003D68D1">
            <w:pPr>
              <w:spacing w:after="0" w:line="240" w:lineRule="auto"/>
              <w:jc w:val="right"/>
              <w:rPr>
                <w:rFonts w:cs="Arial"/>
                <w:b/>
                <w:bCs/>
                <w:color w:val="000000"/>
                <w:sz w:val="15"/>
                <w:szCs w:val="15"/>
              </w:rPr>
            </w:pPr>
            <w:r>
              <w:rPr>
                <w:rFonts w:cs="Arial"/>
                <w:b/>
                <w:bCs/>
                <w:color w:val="000000"/>
                <w:sz w:val="15"/>
                <w:szCs w:val="15"/>
              </w:rPr>
              <w:t>15,944,840</w:t>
            </w:r>
          </w:p>
        </w:tc>
      </w:tr>
    </w:tbl>
    <w:p w14:paraId="0F287944" w14:textId="6A8C9CB9" w:rsidR="00974CBE" w:rsidRDefault="00974CBE" w:rsidP="00977693">
      <w:pPr>
        <w:pStyle w:val="Body"/>
      </w:pPr>
    </w:p>
    <w:p w14:paraId="326512BD" w14:textId="5476A59D" w:rsidR="00977693" w:rsidRPr="00974CBE" w:rsidRDefault="00974CBE" w:rsidP="00974CBE">
      <w:pPr>
        <w:spacing w:after="0" w:line="240" w:lineRule="auto"/>
        <w:rPr>
          <w:rFonts w:eastAsia="Times"/>
        </w:rPr>
      </w:pPr>
      <w:r>
        <w:br w:type="page"/>
      </w:r>
    </w:p>
    <w:p w14:paraId="358EAC54" w14:textId="1EEB58EB" w:rsidR="000B27B9" w:rsidRPr="005827F1" w:rsidRDefault="000B27B9" w:rsidP="00081936">
      <w:pPr>
        <w:pStyle w:val="Heading3"/>
        <w:numPr>
          <w:ilvl w:val="2"/>
          <w:numId w:val="33"/>
        </w:numPr>
        <w:spacing w:before="240"/>
        <w:ind w:left="1134"/>
      </w:pPr>
      <w:bookmarkStart w:id="1035" w:name="_Toc144905670"/>
      <w:bookmarkStart w:id="1036" w:name="_Toc156569692"/>
      <w:bookmarkEnd w:id="1035"/>
      <w:r>
        <w:lastRenderedPageBreak/>
        <w:t xml:space="preserve">Mental </w:t>
      </w:r>
      <w:r w:rsidR="007E7961">
        <w:t xml:space="preserve">health expenditure </w:t>
      </w:r>
      <w:r w:rsidR="00331D5D">
        <w:t>b</w:t>
      </w:r>
      <w:r>
        <w:t xml:space="preserve">udgets </w:t>
      </w:r>
      <w:r w:rsidR="005D1FCB" w:rsidRPr="00FE0F24">
        <w:t>202</w:t>
      </w:r>
      <w:r w:rsidR="00237BBC">
        <w:t>2</w:t>
      </w:r>
      <w:r w:rsidR="003D518F" w:rsidRPr="00FE0F24">
        <w:t>–</w:t>
      </w:r>
      <w:r w:rsidR="005D1FCB" w:rsidRPr="00FE0F24">
        <w:t>2</w:t>
      </w:r>
      <w:r w:rsidR="00237BBC">
        <w:t>3</w:t>
      </w:r>
      <w:r w:rsidR="005D1FCB" w:rsidRPr="00FE0F24">
        <w:t xml:space="preserve"> and</w:t>
      </w:r>
      <w:r w:rsidR="005D1FCB" w:rsidRPr="00052989">
        <w:t xml:space="preserve"> </w:t>
      </w:r>
      <w:r w:rsidR="005D1FCB" w:rsidRPr="00FE0F24">
        <w:t>202</w:t>
      </w:r>
      <w:r w:rsidR="00237BBC">
        <w:t>3</w:t>
      </w:r>
      <w:r w:rsidR="003D518F" w:rsidRPr="00FE0F24">
        <w:t>–</w:t>
      </w:r>
      <w:r w:rsidR="005D1FCB" w:rsidRPr="00FE0F24">
        <w:t>2</w:t>
      </w:r>
      <w:r w:rsidR="00237BBC">
        <w:t>4</w:t>
      </w:r>
      <w:r>
        <w:t xml:space="preserve"> by </w:t>
      </w:r>
      <w:r w:rsidR="007E7961">
        <w:t>service t</w:t>
      </w:r>
      <w:r>
        <w:t>ype</w:t>
      </w:r>
      <w:bookmarkEnd w:id="1030"/>
      <w:bookmarkEnd w:id="1031"/>
      <w:bookmarkEnd w:id="1032"/>
      <w:bookmarkEnd w:id="1033"/>
      <w:bookmarkEnd w:id="1034"/>
      <w:bookmarkEnd w:id="1036"/>
    </w:p>
    <w:p w14:paraId="3D75EF0D" w14:textId="77777777" w:rsidR="000B27B9" w:rsidRDefault="000B27B9" w:rsidP="0064265C">
      <w:pPr>
        <w:pStyle w:val="Tablefigurenote9pt"/>
      </w:pPr>
      <w:r w:rsidRPr="00A62258">
        <w:t>Note</w:t>
      </w:r>
      <w:r>
        <w:t>s</w:t>
      </w:r>
      <w:r w:rsidRPr="00A62258">
        <w:t>:</w:t>
      </w:r>
    </w:p>
    <w:p w14:paraId="47B63363" w14:textId="77777777" w:rsidR="000B27B9" w:rsidRDefault="000B27B9" w:rsidP="007973C3">
      <w:pPr>
        <w:pStyle w:val="Tablenoteroman"/>
        <w:numPr>
          <w:ilvl w:val="0"/>
          <w:numId w:val="5"/>
        </w:numPr>
        <w:rPr>
          <w:lang w:eastAsia="en-AU"/>
        </w:rPr>
      </w:pPr>
      <w:r>
        <w:rPr>
          <w:lang w:eastAsia="en-AU"/>
        </w:rPr>
        <w:t>Subtotals and totals may not add up due to rounding.</w:t>
      </w:r>
    </w:p>
    <w:p w14:paraId="33DE38C1" w14:textId="341D17A2" w:rsidR="000B27B9" w:rsidRDefault="000B27B9" w:rsidP="000E08EF">
      <w:pPr>
        <w:pStyle w:val="Tablecaption"/>
      </w:pPr>
      <w:bookmarkStart w:id="1037" w:name="_Ref452894778"/>
      <w:bookmarkStart w:id="1038" w:name="_Ref423037518"/>
      <w:bookmarkStart w:id="1039" w:name="_Toc12780563"/>
      <w:bookmarkStart w:id="1040" w:name="_Toc14194819"/>
      <w:bookmarkStart w:id="1041" w:name="_Toc33704000"/>
      <w:bookmarkStart w:id="1042" w:name="_Toc109894130"/>
      <w:bookmarkStart w:id="1043" w:name="_Toc156568681"/>
      <w:r>
        <w:t xml:space="preserve">Table </w:t>
      </w:r>
      <w:r>
        <w:fldChar w:fldCharType="begin"/>
      </w:r>
      <w:r>
        <w:instrText>STYLEREF 1 \s</w:instrText>
      </w:r>
      <w:r>
        <w:fldChar w:fldCharType="separate"/>
      </w:r>
      <w:r w:rsidR="00892F13">
        <w:rPr>
          <w:noProof/>
        </w:rPr>
        <w:t>2</w:t>
      </w:r>
      <w:r>
        <w:fldChar w:fldCharType="end"/>
      </w:r>
      <w:r w:rsidR="00742C12">
        <w:t>.</w:t>
      </w:r>
      <w:r>
        <w:fldChar w:fldCharType="begin"/>
      </w:r>
      <w:r>
        <w:instrText>SEQ Table \* ARABIC \s 1</w:instrText>
      </w:r>
      <w:r>
        <w:fldChar w:fldCharType="separate"/>
      </w:r>
      <w:r w:rsidR="00892F13">
        <w:rPr>
          <w:noProof/>
        </w:rPr>
        <w:t>4</w:t>
      </w:r>
      <w:r>
        <w:fldChar w:fldCharType="end"/>
      </w:r>
      <w:bookmarkEnd w:id="1037"/>
      <w:r>
        <w:t xml:space="preserve">: Mental health </w:t>
      </w:r>
      <w:r w:rsidRPr="00B06738">
        <w:t xml:space="preserve">expenditure budgets </w:t>
      </w:r>
      <w:r w:rsidR="005D1FCB" w:rsidRPr="00B06738">
        <w:t>202</w:t>
      </w:r>
      <w:r w:rsidR="00237BBC">
        <w:t>2</w:t>
      </w:r>
      <w:r w:rsidR="008D7899">
        <w:t>–</w:t>
      </w:r>
      <w:r w:rsidR="005D1FCB" w:rsidRPr="00B06738">
        <w:t>2</w:t>
      </w:r>
      <w:r w:rsidR="00237BBC">
        <w:t>3</w:t>
      </w:r>
      <w:r w:rsidR="005D1FCB" w:rsidRPr="00B06738">
        <w:t xml:space="preserve"> and 202</w:t>
      </w:r>
      <w:r w:rsidR="00237BBC">
        <w:t>3</w:t>
      </w:r>
      <w:r w:rsidR="008D7899">
        <w:t>–</w:t>
      </w:r>
      <w:r w:rsidR="005D1FCB" w:rsidRPr="00B06738">
        <w:t>2</w:t>
      </w:r>
      <w:r w:rsidR="00237BBC">
        <w:t>4</w:t>
      </w:r>
      <w:r w:rsidR="005D1FCB" w:rsidRPr="00B06738">
        <w:t xml:space="preserve"> </w:t>
      </w:r>
      <w:r w:rsidRPr="00B06738">
        <w:t>by service type</w:t>
      </w:r>
      <w:bookmarkEnd w:id="1038"/>
      <w:bookmarkEnd w:id="1039"/>
      <w:bookmarkEnd w:id="1040"/>
      <w:bookmarkEnd w:id="1041"/>
      <w:bookmarkEnd w:id="1042"/>
      <w:bookmarkEnd w:id="1043"/>
    </w:p>
    <w:p w14:paraId="20B25F1E" w14:textId="61630760" w:rsidR="00B06738" w:rsidRDefault="00B06738" w:rsidP="00C7344B">
      <w:pPr>
        <w:pStyle w:val="Bodyaftertablefigure"/>
        <w:spacing w:line="240" w:lineRule="auto"/>
      </w:pPr>
      <w:bookmarkStart w:id="1044" w:name="_Toc12780660"/>
      <w:bookmarkStart w:id="1045" w:name="_Toc14172301"/>
      <w:bookmarkStart w:id="1046" w:name="_Toc33703975"/>
      <w:bookmarkStart w:id="1047" w:name="_Toc55381163"/>
      <w:bookmarkStart w:id="1048" w:name="_Toc100263369"/>
      <w:r>
        <w:t>Metropolitan</w:t>
      </w:r>
      <w:r w:rsidR="00CD0974">
        <w:t xml:space="preserve"> and regional </w:t>
      </w:r>
      <w:r w:rsidR="008D7899">
        <w:t>– $’000s</w:t>
      </w:r>
    </w:p>
    <w:tbl>
      <w:tblPr>
        <w:tblW w:w="14884" w:type="dxa"/>
        <w:tblInd w:w="-147" w:type="dxa"/>
        <w:tblLayout w:type="fixed"/>
        <w:tblLook w:val="04A0" w:firstRow="1" w:lastRow="0" w:firstColumn="1" w:lastColumn="0" w:noHBand="0" w:noVBand="1"/>
      </w:tblPr>
      <w:tblGrid>
        <w:gridCol w:w="1838"/>
        <w:gridCol w:w="1449"/>
        <w:gridCol w:w="1450"/>
        <w:gridCol w:w="1449"/>
        <w:gridCol w:w="1450"/>
        <w:gridCol w:w="1449"/>
        <w:gridCol w:w="1450"/>
        <w:gridCol w:w="1449"/>
        <w:gridCol w:w="1450"/>
        <w:gridCol w:w="1450"/>
      </w:tblGrid>
      <w:tr w:rsidR="00977693" w:rsidRPr="000C4609" w14:paraId="46ABBFA9" w14:textId="77777777" w:rsidTr="00FE1263">
        <w:trPr>
          <w:trHeight w:val="799"/>
          <w:tblHeader/>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18C29BD2" w14:textId="77777777" w:rsidR="00977693" w:rsidRPr="000C4609" w:rsidRDefault="00977693" w:rsidP="003D68D1">
            <w:pPr>
              <w:spacing w:after="0" w:line="240" w:lineRule="auto"/>
              <w:rPr>
                <w:rFonts w:cs="Arial"/>
                <w:b/>
                <w:bCs/>
                <w:color w:val="53565A"/>
                <w:sz w:val="16"/>
                <w:szCs w:val="16"/>
                <w:lang w:eastAsia="en-AU"/>
              </w:rPr>
            </w:pPr>
            <w:r w:rsidRPr="000C4609">
              <w:rPr>
                <w:rFonts w:cs="Arial"/>
                <w:b/>
                <w:bCs/>
                <w:color w:val="53565A"/>
                <w:sz w:val="16"/>
                <w:szCs w:val="16"/>
                <w:lang w:eastAsia="en-AU"/>
              </w:rPr>
              <w:t xml:space="preserve">Health service </w:t>
            </w:r>
          </w:p>
        </w:tc>
        <w:tc>
          <w:tcPr>
            <w:tcW w:w="1449" w:type="dxa"/>
            <w:tcBorders>
              <w:top w:val="single" w:sz="4" w:space="0" w:color="auto"/>
              <w:left w:val="nil"/>
              <w:bottom w:val="single" w:sz="4" w:space="0" w:color="auto"/>
              <w:right w:val="single" w:sz="4" w:space="0" w:color="auto"/>
            </w:tcBorders>
            <w:shd w:val="clear" w:color="auto" w:fill="auto"/>
            <w:hideMark/>
          </w:tcPr>
          <w:p w14:paraId="7CE07478" w14:textId="77777777" w:rsidR="00977693" w:rsidRPr="000C4609" w:rsidRDefault="00977693" w:rsidP="003D68D1">
            <w:pPr>
              <w:spacing w:after="0" w:line="240" w:lineRule="auto"/>
              <w:jc w:val="right"/>
              <w:rPr>
                <w:rFonts w:cs="Arial"/>
                <w:b/>
                <w:bCs/>
                <w:color w:val="53565A"/>
                <w:sz w:val="16"/>
                <w:szCs w:val="16"/>
                <w:lang w:eastAsia="en-AU"/>
              </w:rPr>
            </w:pPr>
            <w:r w:rsidRPr="000C4609">
              <w:rPr>
                <w:rFonts w:cs="Arial"/>
                <w:b/>
                <w:bCs/>
                <w:color w:val="53565A"/>
                <w:sz w:val="16"/>
                <w:szCs w:val="16"/>
                <w:lang w:eastAsia="en-AU"/>
              </w:rPr>
              <w:t xml:space="preserve">2022-2023 </w:t>
            </w:r>
            <w:r w:rsidRPr="000C4609">
              <w:rPr>
                <w:rFonts w:cs="Arial"/>
                <w:b/>
                <w:bCs/>
                <w:color w:val="53565A"/>
                <w:sz w:val="16"/>
                <w:szCs w:val="16"/>
                <w:lang w:eastAsia="en-AU"/>
              </w:rPr>
              <w:br/>
              <w:t>Total</w:t>
            </w:r>
          </w:p>
        </w:tc>
        <w:tc>
          <w:tcPr>
            <w:tcW w:w="1450" w:type="dxa"/>
            <w:tcBorders>
              <w:top w:val="single" w:sz="4" w:space="0" w:color="auto"/>
              <w:left w:val="nil"/>
              <w:bottom w:val="single" w:sz="4" w:space="0" w:color="auto"/>
              <w:right w:val="single" w:sz="4" w:space="0" w:color="auto"/>
            </w:tcBorders>
            <w:shd w:val="clear" w:color="auto" w:fill="auto"/>
            <w:hideMark/>
          </w:tcPr>
          <w:p w14:paraId="49E10DBD" w14:textId="77777777" w:rsidR="00977693" w:rsidRPr="000C4609" w:rsidRDefault="00977693" w:rsidP="003D68D1">
            <w:pPr>
              <w:spacing w:after="0" w:line="240" w:lineRule="auto"/>
              <w:jc w:val="right"/>
              <w:rPr>
                <w:rFonts w:cs="Arial"/>
                <w:b/>
                <w:bCs/>
                <w:color w:val="53565A"/>
                <w:sz w:val="16"/>
                <w:szCs w:val="16"/>
                <w:lang w:eastAsia="en-AU"/>
              </w:rPr>
            </w:pPr>
            <w:r w:rsidRPr="000C4609">
              <w:rPr>
                <w:rFonts w:cs="Arial"/>
                <w:b/>
                <w:bCs/>
                <w:color w:val="53565A"/>
                <w:sz w:val="16"/>
                <w:szCs w:val="16"/>
                <w:lang w:eastAsia="en-AU"/>
              </w:rPr>
              <w:t>2023–24</w:t>
            </w:r>
            <w:r w:rsidRPr="000C4609">
              <w:rPr>
                <w:rFonts w:cs="Arial"/>
                <w:b/>
                <w:bCs/>
                <w:color w:val="53565A"/>
                <w:sz w:val="16"/>
                <w:szCs w:val="16"/>
                <w:lang w:eastAsia="en-AU"/>
              </w:rPr>
              <w:br/>
              <w:t>Acute</w:t>
            </w:r>
          </w:p>
        </w:tc>
        <w:tc>
          <w:tcPr>
            <w:tcW w:w="1449" w:type="dxa"/>
            <w:tcBorders>
              <w:top w:val="single" w:sz="4" w:space="0" w:color="auto"/>
              <w:left w:val="nil"/>
              <w:bottom w:val="single" w:sz="4" w:space="0" w:color="auto"/>
              <w:right w:val="single" w:sz="4" w:space="0" w:color="auto"/>
            </w:tcBorders>
            <w:shd w:val="clear" w:color="auto" w:fill="auto"/>
            <w:hideMark/>
          </w:tcPr>
          <w:p w14:paraId="59D8E619" w14:textId="77777777" w:rsidR="00977693" w:rsidRPr="000C4609" w:rsidRDefault="00977693" w:rsidP="003D68D1">
            <w:pPr>
              <w:spacing w:after="0" w:line="240" w:lineRule="auto"/>
              <w:jc w:val="right"/>
              <w:rPr>
                <w:rFonts w:cs="Arial"/>
                <w:b/>
                <w:bCs/>
                <w:color w:val="53565A"/>
                <w:sz w:val="16"/>
                <w:szCs w:val="16"/>
                <w:lang w:eastAsia="en-AU"/>
              </w:rPr>
            </w:pPr>
            <w:r w:rsidRPr="000C4609">
              <w:rPr>
                <w:rFonts w:cs="Arial"/>
                <w:b/>
                <w:bCs/>
                <w:color w:val="53565A"/>
                <w:sz w:val="16"/>
                <w:szCs w:val="16"/>
                <w:lang w:eastAsia="en-AU"/>
              </w:rPr>
              <w:t>2023–24</w:t>
            </w:r>
            <w:r w:rsidRPr="000C4609">
              <w:rPr>
                <w:rFonts w:cs="Arial"/>
                <w:b/>
                <w:bCs/>
                <w:color w:val="53565A"/>
                <w:sz w:val="16"/>
                <w:szCs w:val="16"/>
                <w:lang w:eastAsia="en-AU"/>
              </w:rPr>
              <w:br/>
              <w:t>Non Acute</w:t>
            </w:r>
          </w:p>
        </w:tc>
        <w:tc>
          <w:tcPr>
            <w:tcW w:w="1450" w:type="dxa"/>
            <w:tcBorders>
              <w:top w:val="single" w:sz="4" w:space="0" w:color="auto"/>
              <w:left w:val="nil"/>
              <w:bottom w:val="single" w:sz="4" w:space="0" w:color="auto"/>
              <w:right w:val="single" w:sz="4" w:space="0" w:color="auto"/>
            </w:tcBorders>
            <w:shd w:val="clear" w:color="auto" w:fill="auto"/>
            <w:hideMark/>
          </w:tcPr>
          <w:p w14:paraId="71003022" w14:textId="77777777" w:rsidR="00977693" w:rsidRPr="000C4609" w:rsidRDefault="00977693" w:rsidP="003D68D1">
            <w:pPr>
              <w:spacing w:after="0" w:line="240" w:lineRule="auto"/>
              <w:jc w:val="right"/>
              <w:rPr>
                <w:rFonts w:cs="Arial"/>
                <w:b/>
                <w:bCs/>
                <w:color w:val="53565A"/>
                <w:sz w:val="16"/>
                <w:szCs w:val="16"/>
                <w:lang w:eastAsia="en-AU"/>
              </w:rPr>
            </w:pPr>
            <w:r w:rsidRPr="000C4609">
              <w:rPr>
                <w:rFonts w:cs="Arial"/>
                <w:b/>
                <w:bCs/>
                <w:color w:val="53565A"/>
                <w:sz w:val="16"/>
                <w:szCs w:val="16"/>
                <w:lang w:eastAsia="en-AU"/>
              </w:rPr>
              <w:t>2023–24</w:t>
            </w:r>
            <w:r w:rsidRPr="000C4609">
              <w:rPr>
                <w:rFonts w:cs="Arial"/>
                <w:b/>
                <w:bCs/>
                <w:color w:val="53565A"/>
                <w:sz w:val="16"/>
                <w:szCs w:val="16"/>
                <w:lang w:eastAsia="en-AU"/>
              </w:rPr>
              <w:br/>
              <w:t>Ambulatory</w:t>
            </w:r>
          </w:p>
        </w:tc>
        <w:tc>
          <w:tcPr>
            <w:tcW w:w="1449" w:type="dxa"/>
            <w:tcBorders>
              <w:top w:val="single" w:sz="4" w:space="0" w:color="auto"/>
              <w:left w:val="nil"/>
              <w:bottom w:val="single" w:sz="4" w:space="0" w:color="auto"/>
              <w:right w:val="single" w:sz="4" w:space="0" w:color="auto"/>
            </w:tcBorders>
            <w:shd w:val="clear" w:color="auto" w:fill="auto"/>
            <w:hideMark/>
          </w:tcPr>
          <w:p w14:paraId="2F438D80" w14:textId="77777777" w:rsidR="00977693" w:rsidRPr="000C4609" w:rsidRDefault="00977693" w:rsidP="003D68D1">
            <w:pPr>
              <w:spacing w:after="0" w:line="240" w:lineRule="auto"/>
              <w:jc w:val="right"/>
              <w:rPr>
                <w:rFonts w:cs="Arial"/>
                <w:b/>
                <w:bCs/>
                <w:color w:val="53565A"/>
                <w:sz w:val="16"/>
                <w:szCs w:val="16"/>
                <w:lang w:eastAsia="en-AU"/>
              </w:rPr>
            </w:pPr>
            <w:r w:rsidRPr="000C4609">
              <w:rPr>
                <w:rFonts w:cs="Arial"/>
                <w:b/>
                <w:bCs/>
                <w:color w:val="53565A"/>
                <w:sz w:val="16"/>
                <w:szCs w:val="16"/>
                <w:lang w:eastAsia="en-AU"/>
              </w:rPr>
              <w:t>2023–24 Psychosocial Rehabilitation &amp; Support</w:t>
            </w:r>
          </w:p>
        </w:tc>
        <w:tc>
          <w:tcPr>
            <w:tcW w:w="1450" w:type="dxa"/>
            <w:tcBorders>
              <w:top w:val="single" w:sz="4" w:space="0" w:color="auto"/>
              <w:left w:val="nil"/>
              <w:bottom w:val="single" w:sz="4" w:space="0" w:color="auto"/>
              <w:right w:val="single" w:sz="4" w:space="0" w:color="auto"/>
            </w:tcBorders>
            <w:shd w:val="clear" w:color="auto" w:fill="auto"/>
            <w:hideMark/>
          </w:tcPr>
          <w:p w14:paraId="4D9838CC" w14:textId="77777777" w:rsidR="00977693" w:rsidRPr="000C4609" w:rsidRDefault="00977693" w:rsidP="003D68D1">
            <w:pPr>
              <w:spacing w:after="0" w:line="240" w:lineRule="auto"/>
              <w:jc w:val="right"/>
              <w:rPr>
                <w:rFonts w:cs="Arial"/>
                <w:b/>
                <w:bCs/>
                <w:color w:val="53565A"/>
                <w:sz w:val="16"/>
                <w:szCs w:val="16"/>
                <w:lang w:eastAsia="en-AU"/>
              </w:rPr>
            </w:pPr>
            <w:r w:rsidRPr="000C4609">
              <w:rPr>
                <w:rFonts w:cs="Arial"/>
                <w:b/>
                <w:bCs/>
                <w:color w:val="53565A"/>
                <w:sz w:val="16"/>
                <w:szCs w:val="16"/>
                <w:lang w:eastAsia="en-AU"/>
              </w:rPr>
              <w:t>2023–24</w:t>
            </w:r>
            <w:r w:rsidRPr="000C4609">
              <w:rPr>
                <w:rFonts w:cs="Arial"/>
                <w:b/>
                <w:bCs/>
                <w:color w:val="53565A"/>
                <w:sz w:val="16"/>
                <w:szCs w:val="16"/>
                <w:lang w:eastAsia="en-AU"/>
              </w:rPr>
              <w:br/>
              <w:t>Residential</w:t>
            </w:r>
          </w:p>
        </w:tc>
        <w:tc>
          <w:tcPr>
            <w:tcW w:w="1449" w:type="dxa"/>
            <w:tcBorders>
              <w:top w:val="single" w:sz="4" w:space="0" w:color="auto"/>
              <w:left w:val="nil"/>
              <w:bottom w:val="single" w:sz="4" w:space="0" w:color="auto"/>
              <w:right w:val="single" w:sz="4" w:space="0" w:color="auto"/>
            </w:tcBorders>
            <w:shd w:val="clear" w:color="auto" w:fill="auto"/>
            <w:hideMark/>
          </w:tcPr>
          <w:p w14:paraId="63C7C705" w14:textId="77777777" w:rsidR="00977693" w:rsidRPr="000C4609" w:rsidRDefault="00977693" w:rsidP="003D68D1">
            <w:pPr>
              <w:spacing w:after="0" w:line="240" w:lineRule="auto"/>
              <w:jc w:val="right"/>
              <w:rPr>
                <w:rFonts w:cs="Arial"/>
                <w:b/>
                <w:bCs/>
                <w:color w:val="53565A"/>
                <w:sz w:val="16"/>
                <w:szCs w:val="16"/>
                <w:lang w:eastAsia="en-AU"/>
              </w:rPr>
            </w:pPr>
            <w:r w:rsidRPr="000C4609">
              <w:rPr>
                <w:rFonts w:cs="Arial"/>
                <w:b/>
                <w:bCs/>
                <w:color w:val="53565A"/>
                <w:sz w:val="16"/>
                <w:szCs w:val="16"/>
                <w:lang w:eastAsia="en-AU"/>
              </w:rPr>
              <w:t>2023–24</w:t>
            </w:r>
            <w:r w:rsidRPr="000C4609">
              <w:rPr>
                <w:rFonts w:cs="Arial"/>
                <w:b/>
                <w:bCs/>
                <w:color w:val="53565A"/>
                <w:sz w:val="16"/>
                <w:szCs w:val="16"/>
                <w:lang w:eastAsia="en-AU"/>
              </w:rPr>
              <w:br/>
              <w:t>Service System Capacity</w:t>
            </w:r>
          </w:p>
        </w:tc>
        <w:tc>
          <w:tcPr>
            <w:tcW w:w="1450" w:type="dxa"/>
            <w:tcBorders>
              <w:top w:val="single" w:sz="4" w:space="0" w:color="auto"/>
              <w:left w:val="nil"/>
              <w:bottom w:val="single" w:sz="4" w:space="0" w:color="auto"/>
              <w:right w:val="single" w:sz="4" w:space="0" w:color="auto"/>
            </w:tcBorders>
            <w:shd w:val="clear" w:color="auto" w:fill="auto"/>
            <w:hideMark/>
          </w:tcPr>
          <w:p w14:paraId="022AEDA7" w14:textId="77777777" w:rsidR="00977693" w:rsidRPr="000C4609" w:rsidRDefault="00977693" w:rsidP="003D68D1">
            <w:pPr>
              <w:spacing w:after="0" w:line="240" w:lineRule="auto"/>
              <w:jc w:val="right"/>
              <w:rPr>
                <w:rFonts w:cs="Arial"/>
                <w:b/>
                <w:bCs/>
                <w:color w:val="53565A"/>
                <w:sz w:val="16"/>
                <w:szCs w:val="16"/>
                <w:lang w:eastAsia="en-AU"/>
              </w:rPr>
            </w:pPr>
            <w:r w:rsidRPr="000C4609">
              <w:rPr>
                <w:rFonts w:cs="Arial"/>
                <w:b/>
                <w:bCs/>
                <w:color w:val="53565A"/>
                <w:sz w:val="16"/>
                <w:szCs w:val="16"/>
                <w:lang w:eastAsia="en-AU"/>
              </w:rPr>
              <w:t>2023–24</w:t>
            </w:r>
            <w:r w:rsidRPr="000C4609">
              <w:rPr>
                <w:rFonts w:cs="Arial"/>
                <w:b/>
                <w:bCs/>
                <w:color w:val="53565A"/>
                <w:sz w:val="16"/>
                <w:szCs w:val="16"/>
                <w:lang w:eastAsia="en-AU"/>
              </w:rPr>
              <w:br/>
              <w:t>Subacute</w:t>
            </w:r>
          </w:p>
        </w:tc>
        <w:tc>
          <w:tcPr>
            <w:tcW w:w="1450" w:type="dxa"/>
            <w:tcBorders>
              <w:top w:val="single" w:sz="4" w:space="0" w:color="auto"/>
              <w:left w:val="nil"/>
              <w:bottom w:val="single" w:sz="4" w:space="0" w:color="auto"/>
              <w:right w:val="single" w:sz="4" w:space="0" w:color="auto"/>
            </w:tcBorders>
            <w:shd w:val="clear" w:color="auto" w:fill="auto"/>
            <w:hideMark/>
          </w:tcPr>
          <w:p w14:paraId="43EBC32F" w14:textId="77777777" w:rsidR="00977693" w:rsidRPr="000C4609" w:rsidRDefault="00977693" w:rsidP="003D68D1">
            <w:pPr>
              <w:spacing w:after="0" w:line="240" w:lineRule="auto"/>
              <w:jc w:val="right"/>
              <w:rPr>
                <w:rFonts w:cs="Arial"/>
                <w:b/>
                <w:bCs/>
                <w:color w:val="53565A"/>
                <w:sz w:val="16"/>
                <w:szCs w:val="16"/>
                <w:lang w:eastAsia="en-AU"/>
              </w:rPr>
            </w:pPr>
            <w:r w:rsidRPr="000C4609">
              <w:rPr>
                <w:rFonts w:cs="Arial"/>
                <w:b/>
                <w:bCs/>
                <w:color w:val="53565A"/>
                <w:sz w:val="16"/>
                <w:szCs w:val="16"/>
                <w:lang w:eastAsia="en-AU"/>
              </w:rPr>
              <w:t>2023–24</w:t>
            </w:r>
            <w:r w:rsidRPr="000C4609">
              <w:rPr>
                <w:rFonts w:cs="Arial"/>
                <w:b/>
                <w:bCs/>
                <w:color w:val="53565A"/>
                <w:sz w:val="16"/>
                <w:szCs w:val="16"/>
                <w:lang w:eastAsia="en-AU"/>
              </w:rPr>
              <w:br/>
              <w:t>Total</w:t>
            </w:r>
          </w:p>
        </w:tc>
      </w:tr>
      <w:tr w:rsidR="00977693" w:rsidRPr="000C4609" w14:paraId="15B72640" w14:textId="77777777" w:rsidTr="00FE1263">
        <w:trPr>
          <w:trHeight w:val="39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5E4A237"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t>Albury Wodonga Health</w:t>
            </w:r>
          </w:p>
        </w:tc>
        <w:tc>
          <w:tcPr>
            <w:tcW w:w="1449" w:type="dxa"/>
            <w:tcBorders>
              <w:top w:val="nil"/>
              <w:left w:val="nil"/>
              <w:bottom w:val="single" w:sz="4" w:space="0" w:color="auto"/>
              <w:right w:val="single" w:sz="4" w:space="0" w:color="auto"/>
            </w:tcBorders>
            <w:shd w:val="clear" w:color="auto" w:fill="auto"/>
            <w:noWrap/>
            <w:vAlign w:val="center"/>
            <w:hideMark/>
          </w:tcPr>
          <w:p w14:paraId="6F30006E"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41,805</w:t>
            </w:r>
          </w:p>
        </w:tc>
        <w:tc>
          <w:tcPr>
            <w:tcW w:w="1450" w:type="dxa"/>
            <w:tcBorders>
              <w:top w:val="nil"/>
              <w:left w:val="nil"/>
              <w:bottom w:val="single" w:sz="4" w:space="0" w:color="auto"/>
              <w:right w:val="single" w:sz="4" w:space="0" w:color="auto"/>
            </w:tcBorders>
            <w:shd w:val="clear" w:color="auto" w:fill="auto"/>
            <w:noWrap/>
            <w:vAlign w:val="center"/>
            <w:hideMark/>
          </w:tcPr>
          <w:p w14:paraId="1F8D5DBF"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8,087</w:t>
            </w:r>
          </w:p>
        </w:tc>
        <w:tc>
          <w:tcPr>
            <w:tcW w:w="1449" w:type="dxa"/>
            <w:tcBorders>
              <w:top w:val="nil"/>
              <w:left w:val="nil"/>
              <w:bottom w:val="single" w:sz="4" w:space="0" w:color="auto"/>
              <w:right w:val="single" w:sz="4" w:space="0" w:color="auto"/>
            </w:tcBorders>
            <w:shd w:val="clear" w:color="auto" w:fill="auto"/>
            <w:noWrap/>
            <w:vAlign w:val="center"/>
            <w:hideMark/>
          </w:tcPr>
          <w:p w14:paraId="0D521D84"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 0</w:t>
            </w:r>
          </w:p>
        </w:tc>
        <w:tc>
          <w:tcPr>
            <w:tcW w:w="1450" w:type="dxa"/>
            <w:tcBorders>
              <w:top w:val="nil"/>
              <w:left w:val="nil"/>
              <w:bottom w:val="single" w:sz="4" w:space="0" w:color="auto"/>
              <w:right w:val="single" w:sz="4" w:space="0" w:color="auto"/>
            </w:tcBorders>
            <w:shd w:val="clear" w:color="auto" w:fill="auto"/>
            <w:noWrap/>
            <w:vAlign w:val="center"/>
            <w:hideMark/>
          </w:tcPr>
          <w:p w14:paraId="2242FC1D"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22,868</w:t>
            </w:r>
          </w:p>
        </w:tc>
        <w:tc>
          <w:tcPr>
            <w:tcW w:w="1449" w:type="dxa"/>
            <w:tcBorders>
              <w:top w:val="nil"/>
              <w:left w:val="nil"/>
              <w:bottom w:val="single" w:sz="4" w:space="0" w:color="auto"/>
              <w:right w:val="single" w:sz="4" w:space="0" w:color="auto"/>
            </w:tcBorders>
            <w:shd w:val="clear" w:color="auto" w:fill="auto"/>
            <w:noWrap/>
            <w:vAlign w:val="center"/>
            <w:hideMark/>
          </w:tcPr>
          <w:p w14:paraId="7ECEAFFC"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100</w:t>
            </w:r>
          </w:p>
        </w:tc>
        <w:tc>
          <w:tcPr>
            <w:tcW w:w="1450" w:type="dxa"/>
            <w:tcBorders>
              <w:top w:val="nil"/>
              <w:left w:val="nil"/>
              <w:bottom w:val="single" w:sz="4" w:space="0" w:color="auto"/>
              <w:right w:val="single" w:sz="4" w:space="0" w:color="auto"/>
            </w:tcBorders>
            <w:shd w:val="clear" w:color="auto" w:fill="auto"/>
            <w:noWrap/>
            <w:vAlign w:val="center"/>
            <w:hideMark/>
          </w:tcPr>
          <w:p w14:paraId="5A425360"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1,556</w:t>
            </w:r>
          </w:p>
        </w:tc>
        <w:tc>
          <w:tcPr>
            <w:tcW w:w="1449" w:type="dxa"/>
            <w:tcBorders>
              <w:top w:val="nil"/>
              <w:left w:val="nil"/>
              <w:bottom w:val="single" w:sz="4" w:space="0" w:color="auto"/>
              <w:right w:val="single" w:sz="4" w:space="0" w:color="auto"/>
            </w:tcBorders>
            <w:shd w:val="clear" w:color="auto" w:fill="auto"/>
            <w:noWrap/>
            <w:vAlign w:val="center"/>
            <w:hideMark/>
          </w:tcPr>
          <w:p w14:paraId="3D857B64"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4,143</w:t>
            </w:r>
          </w:p>
        </w:tc>
        <w:tc>
          <w:tcPr>
            <w:tcW w:w="1450" w:type="dxa"/>
            <w:tcBorders>
              <w:top w:val="nil"/>
              <w:left w:val="nil"/>
              <w:bottom w:val="single" w:sz="4" w:space="0" w:color="auto"/>
              <w:right w:val="single" w:sz="4" w:space="0" w:color="auto"/>
            </w:tcBorders>
            <w:shd w:val="clear" w:color="auto" w:fill="auto"/>
            <w:noWrap/>
            <w:vAlign w:val="center"/>
            <w:hideMark/>
          </w:tcPr>
          <w:p w14:paraId="44DB8C49"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6,390</w:t>
            </w:r>
          </w:p>
        </w:tc>
        <w:tc>
          <w:tcPr>
            <w:tcW w:w="1450" w:type="dxa"/>
            <w:tcBorders>
              <w:top w:val="nil"/>
              <w:left w:val="nil"/>
              <w:bottom w:val="single" w:sz="4" w:space="0" w:color="auto"/>
              <w:right w:val="single" w:sz="4" w:space="0" w:color="auto"/>
            </w:tcBorders>
            <w:shd w:val="clear" w:color="auto" w:fill="auto"/>
            <w:noWrap/>
            <w:vAlign w:val="center"/>
            <w:hideMark/>
          </w:tcPr>
          <w:p w14:paraId="35A1A802"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43,144</w:t>
            </w:r>
          </w:p>
        </w:tc>
      </w:tr>
      <w:tr w:rsidR="00977693" w:rsidRPr="000C4609" w14:paraId="2E8C8F4C" w14:textId="77777777" w:rsidTr="00FE1263">
        <w:trPr>
          <w:trHeight w:val="3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E4330B4"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t>Alfred Health</w:t>
            </w:r>
          </w:p>
        </w:tc>
        <w:tc>
          <w:tcPr>
            <w:tcW w:w="1449" w:type="dxa"/>
            <w:tcBorders>
              <w:top w:val="nil"/>
              <w:left w:val="nil"/>
              <w:bottom w:val="single" w:sz="4" w:space="0" w:color="auto"/>
              <w:right w:val="single" w:sz="4" w:space="0" w:color="auto"/>
            </w:tcBorders>
            <w:shd w:val="clear" w:color="auto" w:fill="auto"/>
            <w:noWrap/>
            <w:vAlign w:val="center"/>
            <w:hideMark/>
          </w:tcPr>
          <w:p w14:paraId="62B03FDB"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115,462</w:t>
            </w:r>
          </w:p>
        </w:tc>
        <w:tc>
          <w:tcPr>
            <w:tcW w:w="1450" w:type="dxa"/>
            <w:tcBorders>
              <w:top w:val="nil"/>
              <w:left w:val="nil"/>
              <w:bottom w:val="single" w:sz="4" w:space="0" w:color="auto"/>
              <w:right w:val="single" w:sz="4" w:space="0" w:color="auto"/>
            </w:tcBorders>
            <w:shd w:val="clear" w:color="auto" w:fill="auto"/>
            <w:noWrap/>
            <w:vAlign w:val="center"/>
            <w:hideMark/>
          </w:tcPr>
          <w:p w14:paraId="1E8EA5ED"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46,551</w:t>
            </w:r>
          </w:p>
        </w:tc>
        <w:tc>
          <w:tcPr>
            <w:tcW w:w="1449" w:type="dxa"/>
            <w:tcBorders>
              <w:top w:val="nil"/>
              <w:left w:val="nil"/>
              <w:bottom w:val="single" w:sz="4" w:space="0" w:color="auto"/>
              <w:right w:val="single" w:sz="4" w:space="0" w:color="auto"/>
            </w:tcBorders>
            <w:shd w:val="clear" w:color="auto" w:fill="auto"/>
            <w:noWrap/>
            <w:vAlign w:val="center"/>
            <w:hideMark/>
          </w:tcPr>
          <w:p w14:paraId="6180481E"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115B8AA2"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63,329</w:t>
            </w:r>
          </w:p>
        </w:tc>
        <w:tc>
          <w:tcPr>
            <w:tcW w:w="1449" w:type="dxa"/>
            <w:tcBorders>
              <w:top w:val="nil"/>
              <w:left w:val="nil"/>
              <w:bottom w:val="single" w:sz="4" w:space="0" w:color="auto"/>
              <w:right w:val="single" w:sz="4" w:space="0" w:color="auto"/>
            </w:tcBorders>
            <w:shd w:val="clear" w:color="auto" w:fill="auto"/>
            <w:noWrap/>
            <w:vAlign w:val="center"/>
            <w:hideMark/>
          </w:tcPr>
          <w:p w14:paraId="7FE21342"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305</w:t>
            </w:r>
          </w:p>
        </w:tc>
        <w:tc>
          <w:tcPr>
            <w:tcW w:w="1450" w:type="dxa"/>
            <w:tcBorders>
              <w:top w:val="nil"/>
              <w:left w:val="nil"/>
              <w:bottom w:val="single" w:sz="4" w:space="0" w:color="auto"/>
              <w:right w:val="single" w:sz="4" w:space="0" w:color="auto"/>
            </w:tcBorders>
            <w:shd w:val="clear" w:color="auto" w:fill="auto"/>
            <w:noWrap/>
            <w:vAlign w:val="center"/>
            <w:hideMark/>
          </w:tcPr>
          <w:p w14:paraId="1F09C3D7"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54AAC221"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7,579</w:t>
            </w:r>
          </w:p>
        </w:tc>
        <w:tc>
          <w:tcPr>
            <w:tcW w:w="1450" w:type="dxa"/>
            <w:tcBorders>
              <w:top w:val="nil"/>
              <w:left w:val="nil"/>
              <w:bottom w:val="single" w:sz="4" w:space="0" w:color="auto"/>
              <w:right w:val="single" w:sz="4" w:space="0" w:color="auto"/>
            </w:tcBorders>
            <w:shd w:val="clear" w:color="auto" w:fill="auto"/>
            <w:noWrap/>
            <w:vAlign w:val="center"/>
            <w:hideMark/>
          </w:tcPr>
          <w:p w14:paraId="35E66094"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6,679</w:t>
            </w:r>
          </w:p>
        </w:tc>
        <w:tc>
          <w:tcPr>
            <w:tcW w:w="1450" w:type="dxa"/>
            <w:tcBorders>
              <w:top w:val="nil"/>
              <w:left w:val="nil"/>
              <w:bottom w:val="single" w:sz="4" w:space="0" w:color="auto"/>
              <w:right w:val="single" w:sz="4" w:space="0" w:color="auto"/>
            </w:tcBorders>
            <w:shd w:val="clear" w:color="auto" w:fill="auto"/>
            <w:noWrap/>
            <w:vAlign w:val="center"/>
            <w:hideMark/>
          </w:tcPr>
          <w:p w14:paraId="6213D984"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124,442</w:t>
            </w:r>
          </w:p>
        </w:tc>
      </w:tr>
      <w:tr w:rsidR="00977693" w:rsidRPr="000C4609" w14:paraId="7956FE70" w14:textId="77777777" w:rsidTr="00FE1263">
        <w:trPr>
          <w:trHeight w:val="3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1621120"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t>Austin Health</w:t>
            </w:r>
          </w:p>
        </w:tc>
        <w:tc>
          <w:tcPr>
            <w:tcW w:w="1449" w:type="dxa"/>
            <w:tcBorders>
              <w:top w:val="nil"/>
              <w:left w:val="nil"/>
              <w:bottom w:val="single" w:sz="4" w:space="0" w:color="auto"/>
              <w:right w:val="single" w:sz="4" w:space="0" w:color="auto"/>
            </w:tcBorders>
            <w:shd w:val="clear" w:color="auto" w:fill="auto"/>
            <w:noWrap/>
            <w:vAlign w:val="center"/>
            <w:hideMark/>
          </w:tcPr>
          <w:p w14:paraId="0A37F383"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91,243</w:t>
            </w:r>
          </w:p>
        </w:tc>
        <w:tc>
          <w:tcPr>
            <w:tcW w:w="1450" w:type="dxa"/>
            <w:tcBorders>
              <w:top w:val="nil"/>
              <w:left w:val="nil"/>
              <w:bottom w:val="single" w:sz="4" w:space="0" w:color="auto"/>
              <w:right w:val="single" w:sz="4" w:space="0" w:color="auto"/>
            </w:tcBorders>
            <w:shd w:val="clear" w:color="auto" w:fill="auto"/>
            <w:noWrap/>
            <w:vAlign w:val="center"/>
            <w:hideMark/>
          </w:tcPr>
          <w:p w14:paraId="1F8597DF"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34,625</w:t>
            </w:r>
          </w:p>
        </w:tc>
        <w:tc>
          <w:tcPr>
            <w:tcW w:w="1449" w:type="dxa"/>
            <w:tcBorders>
              <w:top w:val="nil"/>
              <w:left w:val="nil"/>
              <w:bottom w:val="single" w:sz="4" w:space="0" w:color="auto"/>
              <w:right w:val="single" w:sz="4" w:space="0" w:color="auto"/>
            </w:tcBorders>
            <w:shd w:val="clear" w:color="auto" w:fill="auto"/>
            <w:noWrap/>
            <w:vAlign w:val="center"/>
            <w:hideMark/>
          </w:tcPr>
          <w:p w14:paraId="63201117"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5,715</w:t>
            </w:r>
          </w:p>
        </w:tc>
        <w:tc>
          <w:tcPr>
            <w:tcW w:w="1450" w:type="dxa"/>
            <w:tcBorders>
              <w:top w:val="nil"/>
              <w:left w:val="nil"/>
              <w:bottom w:val="single" w:sz="4" w:space="0" w:color="auto"/>
              <w:right w:val="single" w:sz="4" w:space="0" w:color="auto"/>
            </w:tcBorders>
            <w:shd w:val="clear" w:color="auto" w:fill="auto"/>
            <w:noWrap/>
            <w:vAlign w:val="center"/>
            <w:hideMark/>
          </w:tcPr>
          <w:p w14:paraId="603C7958"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40,533</w:t>
            </w:r>
          </w:p>
        </w:tc>
        <w:tc>
          <w:tcPr>
            <w:tcW w:w="1449" w:type="dxa"/>
            <w:tcBorders>
              <w:top w:val="nil"/>
              <w:left w:val="nil"/>
              <w:bottom w:val="single" w:sz="4" w:space="0" w:color="auto"/>
              <w:right w:val="single" w:sz="4" w:space="0" w:color="auto"/>
            </w:tcBorders>
            <w:shd w:val="clear" w:color="auto" w:fill="auto"/>
            <w:noWrap/>
            <w:vAlign w:val="center"/>
            <w:hideMark/>
          </w:tcPr>
          <w:p w14:paraId="0B080495"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192</w:t>
            </w:r>
          </w:p>
        </w:tc>
        <w:tc>
          <w:tcPr>
            <w:tcW w:w="1450" w:type="dxa"/>
            <w:tcBorders>
              <w:top w:val="nil"/>
              <w:left w:val="nil"/>
              <w:bottom w:val="single" w:sz="4" w:space="0" w:color="auto"/>
              <w:right w:val="single" w:sz="4" w:space="0" w:color="auto"/>
            </w:tcBorders>
            <w:shd w:val="clear" w:color="auto" w:fill="auto"/>
            <w:noWrap/>
            <w:vAlign w:val="center"/>
            <w:hideMark/>
          </w:tcPr>
          <w:p w14:paraId="4DA472EA"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38D949FC"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7,654</w:t>
            </w:r>
          </w:p>
        </w:tc>
        <w:tc>
          <w:tcPr>
            <w:tcW w:w="1450" w:type="dxa"/>
            <w:tcBorders>
              <w:top w:val="nil"/>
              <w:left w:val="nil"/>
              <w:bottom w:val="single" w:sz="4" w:space="0" w:color="auto"/>
              <w:right w:val="single" w:sz="4" w:space="0" w:color="auto"/>
            </w:tcBorders>
            <w:shd w:val="clear" w:color="auto" w:fill="auto"/>
            <w:noWrap/>
            <w:vAlign w:val="center"/>
            <w:hideMark/>
          </w:tcPr>
          <w:p w14:paraId="02F80D43"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10,800</w:t>
            </w:r>
          </w:p>
        </w:tc>
        <w:tc>
          <w:tcPr>
            <w:tcW w:w="1450" w:type="dxa"/>
            <w:tcBorders>
              <w:top w:val="nil"/>
              <w:left w:val="nil"/>
              <w:bottom w:val="single" w:sz="4" w:space="0" w:color="auto"/>
              <w:right w:val="single" w:sz="4" w:space="0" w:color="auto"/>
            </w:tcBorders>
            <w:shd w:val="clear" w:color="auto" w:fill="auto"/>
            <w:noWrap/>
            <w:vAlign w:val="center"/>
            <w:hideMark/>
          </w:tcPr>
          <w:p w14:paraId="0121661C"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99,519</w:t>
            </w:r>
          </w:p>
        </w:tc>
      </w:tr>
      <w:tr w:rsidR="00977693" w:rsidRPr="000C4609" w14:paraId="5945402A" w14:textId="77777777" w:rsidTr="00FE1263">
        <w:trPr>
          <w:trHeight w:val="3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96BFD5A"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t>Barwon Health</w:t>
            </w:r>
          </w:p>
        </w:tc>
        <w:tc>
          <w:tcPr>
            <w:tcW w:w="1449" w:type="dxa"/>
            <w:tcBorders>
              <w:top w:val="nil"/>
              <w:left w:val="nil"/>
              <w:bottom w:val="single" w:sz="4" w:space="0" w:color="auto"/>
              <w:right w:val="single" w:sz="4" w:space="0" w:color="auto"/>
            </w:tcBorders>
            <w:shd w:val="clear" w:color="auto" w:fill="auto"/>
            <w:noWrap/>
            <w:vAlign w:val="center"/>
            <w:hideMark/>
          </w:tcPr>
          <w:p w14:paraId="5EE3374A"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97,856</w:t>
            </w:r>
          </w:p>
        </w:tc>
        <w:tc>
          <w:tcPr>
            <w:tcW w:w="1450" w:type="dxa"/>
            <w:tcBorders>
              <w:top w:val="nil"/>
              <w:left w:val="nil"/>
              <w:bottom w:val="single" w:sz="4" w:space="0" w:color="auto"/>
              <w:right w:val="single" w:sz="4" w:space="0" w:color="auto"/>
            </w:tcBorders>
            <w:shd w:val="clear" w:color="auto" w:fill="auto"/>
            <w:noWrap/>
            <w:vAlign w:val="center"/>
            <w:hideMark/>
          </w:tcPr>
          <w:p w14:paraId="4DCD0AAB"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31,518</w:t>
            </w:r>
          </w:p>
        </w:tc>
        <w:tc>
          <w:tcPr>
            <w:tcW w:w="1449" w:type="dxa"/>
            <w:tcBorders>
              <w:top w:val="nil"/>
              <w:left w:val="nil"/>
              <w:bottom w:val="single" w:sz="4" w:space="0" w:color="auto"/>
              <w:right w:val="single" w:sz="4" w:space="0" w:color="auto"/>
            </w:tcBorders>
            <w:shd w:val="clear" w:color="auto" w:fill="auto"/>
            <w:noWrap/>
            <w:vAlign w:val="center"/>
            <w:hideMark/>
          </w:tcPr>
          <w:p w14:paraId="4E1F1477"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686</w:t>
            </w:r>
          </w:p>
        </w:tc>
        <w:tc>
          <w:tcPr>
            <w:tcW w:w="1450" w:type="dxa"/>
            <w:tcBorders>
              <w:top w:val="nil"/>
              <w:left w:val="nil"/>
              <w:bottom w:val="single" w:sz="4" w:space="0" w:color="auto"/>
              <w:right w:val="single" w:sz="4" w:space="0" w:color="auto"/>
            </w:tcBorders>
            <w:shd w:val="clear" w:color="auto" w:fill="auto"/>
            <w:noWrap/>
            <w:vAlign w:val="center"/>
            <w:hideMark/>
          </w:tcPr>
          <w:p w14:paraId="19610AF9"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62,752</w:t>
            </w:r>
          </w:p>
        </w:tc>
        <w:tc>
          <w:tcPr>
            <w:tcW w:w="1449" w:type="dxa"/>
            <w:tcBorders>
              <w:top w:val="nil"/>
              <w:left w:val="nil"/>
              <w:bottom w:val="single" w:sz="4" w:space="0" w:color="auto"/>
              <w:right w:val="single" w:sz="4" w:space="0" w:color="auto"/>
            </w:tcBorders>
            <w:shd w:val="clear" w:color="auto" w:fill="auto"/>
            <w:noWrap/>
            <w:vAlign w:val="center"/>
            <w:hideMark/>
          </w:tcPr>
          <w:p w14:paraId="3AEEC1F5"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100</w:t>
            </w:r>
          </w:p>
        </w:tc>
        <w:tc>
          <w:tcPr>
            <w:tcW w:w="1450" w:type="dxa"/>
            <w:tcBorders>
              <w:top w:val="nil"/>
              <w:left w:val="nil"/>
              <w:bottom w:val="single" w:sz="4" w:space="0" w:color="auto"/>
              <w:right w:val="single" w:sz="4" w:space="0" w:color="auto"/>
            </w:tcBorders>
            <w:shd w:val="clear" w:color="auto" w:fill="auto"/>
            <w:noWrap/>
            <w:vAlign w:val="center"/>
            <w:hideMark/>
          </w:tcPr>
          <w:p w14:paraId="7493A320"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1,821</w:t>
            </w:r>
          </w:p>
        </w:tc>
        <w:tc>
          <w:tcPr>
            <w:tcW w:w="1449" w:type="dxa"/>
            <w:tcBorders>
              <w:top w:val="nil"/>
              <w:left w:val="nil"/>
              <w:bottom w:val="single" w:sz="4" w:space="0" w:color="auto"/>
              <w:right w:val="single" w:sz="4" w:space="0" w:color="auto"/>
            </w:tcBorders>
            <w:shd w:val="clear" w:color="auto" w:fill="auto"/>
            <w:noWrap/>
            <w:vAlign w:val="center"/>
            <w:hideMark/>
          </w:tcPr>
          <w:p w14:paraId="5EE5FBA2"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5,924</w:t>
            </w:r>
          </w:p>
        </w:tc>
        <w:tc>
          <w:tcPr>
            <w:tcW w:w="1450" w:type="dxa"/>
            <w:tcBorders>
              <w:top w:val="nil"/>
              <w:left w:val="nil"/>
              <w:bottom w:val="single" w:sz="4" w:space="0" w:color="auto"/>
              <w:right w:val="single" w:sz="4" w:space="0" w:color="auto"/>
            </w:tcBorders>
            <w:shd w:val="clear" w:color="auto" w:fill="auto"/>
            <w:noWrap/>
            <w:vAlign w:val="center"/>
            <w:hideMark/>
          </w:tcPr>
          <w:p w14:paraId="37F35D2E"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4,385</w:t>
            </w:r>
          </w:p>
        </w:tc>
        <w:tc>
          <w:tcPr>
            <w:tcW w:w="1450" w:type="dxa"/>
            <w:tcBorders>
              <w:top w:val="nil"/>
              <w:left w:val="nil"/>
              <w:bottom w:val="single" w:sz="4" w:space="0" w:color="auto"/>
              <w:right w:val="single" w:sz="4" w:space="0" w:color="auto"/>
            </w:tcBorders>
            <w:shd w:val="clear" w:color="auto" w:fill="auto"/>
            <w:noWrap/>
            <w:vAlign w:val="center"/>
            <w:hideMark/>
          </w:tcPr>
          <w:p w14:paraId="0E4A73B3"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107,186</w:t>
            </w:r>
          </w:p>
        </w:tc>
      </w:tr>
      <w:tr w:rsidR="00977693" w:rsidRPr="000C4609" w14:paraId="74AB56E3" w14:textId="77777777" w:rsidTr="00FE1263">
        <w:trPr>
          <w:trHeight w:val="3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0BB768E"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t>Bendigo Health</w:t>
            </w:r>
          </w:p>
        </w:tc>
        <w:tc>
          <w:tcPr>
            <w:tcW w:w="1449" w:type="dxa"/>
            <w:tcBorders>
              <w:top w:val="nil"/>
              <w:left w:val="nil"/>
              <w:bottom w:val="single" w:sz="4" w:space="0" w:color="auto"/>
              <w:right w:val="single" w:sz="4" w:space="0" w:color="auto"/>
            </w:tcBorders>
            <w:shd w:val="clear" w:color="auto" w:fill="auto"/>
            <w:noWrap/>
            <w:vAlign w:val="center"/>
            <w:hideMark/>
          </w:tcPr>
          <w:p w14:paraId="42C0039F"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82,944</w:t>
            </w:r>
          </w:p>
        </w:tc>
        <w:tc>
          <w:tcPr>
            <w:tcW w:w="1450" w:type="dxa"/>
            <w:tcBorders>
              <w:top w:val="nil"/>
              <w:left w:val="nil"/>
              <w:bottom w:val="single" w:sz="4" w:space="0" w:color="auto"/>
              <w:right w:val="single" w:sz="4" w:space="0" w:color="auto"/>
            </w:tcBorders>
            <w:shd w:val="clear" w:color="auto" w:fill="auto"/>
            <w:noWrap/>
            <w:vAlign w:val="center"/>
            <w:hideMark/>
          </w:tcPr>
          <w:p w14:paraId="5B57C307"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20,229</w:t>
            </w:r>
          </w:p>
        </w:tc>
        <w:tc>
          <w:tcPr>
            <w:tcW w:w="1449" w:type="dxa"/>
            <w:tcBorders>
              <w:top w:val="nil"/>
              <w:left w:val="nil"/>
              <w:bottom w:val="single" w:sz="4" w:space="0" w:color="auto"/>
              <w:right w:val="single" w:sz="4" w:space="0" w:color="auto"/>
            </w:tcBorders>
            <w:shd w:val="clear" w:color="auto" w:fill="auto"/>
            <w:noWrap/>
            <w:vAlign w:val="center"/>
            <w:hideMark/>
          </w:tcPr>
          <w:p w14:paraId="50E1BC55"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4,572</w:t>
            </w:r>
          </w:p>
        </w:tc>
        <w:tc>
          <w:tcPr>
            <w:tcW w:w="1450" w:type="dxa"/>
            <w:tcBorders>
              <w:top w:val="nil"/>
              <w:left w:val="nil"/>
              <w:bottom w:val="single" w:sz="4" w:space="0" w:color="auto"/>
              <w:right w:val="single" w:sz="4" w:space="0" w:color="auto"/>
            </w:tcBorders>
            <w:shd w:val="clear" w:color="auto" w:fill="auto"/>
            <w:noWrap/>
            <w:vAlign w:val="center"/>
            <w:hideMark/>
          </w:tcPr>
          <w:p w14:paraId="7F02EC15"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45,731</w:t>
            </w:r>
          </w:p>
        </w:tc>
        <w:tc>
          <w:tcPr>
            <w:tcW w:w="1449" w:type="dxa"/>
            <w:tcBorders>
              <w:top w:val="nil"/>
              <w:left w:val="nil"/>
              <w:bottom w:val="single" w:sz="4" w:space="0" w:color="auto"/>
              <w:right w:val="single" w:sz="4" w:space="0" w:color="auto"/>
            </w:tcBorders>
            <w:shd w:val="clear" w:color="auto" w:fill="auto"/>
            <w:noWrap/>
            <w:vAlign w:val="center"/>
            <w:hideMark/>
          </w:tcPr>
          <w:p w14:paraId="2E27CE5A"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224</w:t>
            </w:r>
          </w:p>
        </w:tc>
        <w:tc>
          <w:tcPr>
            <w:tcW w:w="1450" w:type="dxa"/>
            <w:tcBorders>
              <w:top w:val="nil"/>
              <w:left w:val="nil"/>
              <w:bottom w:val="single" w:sz="4" w:space="0" w:color="auto"/>
              <w:right w:val="single" w:sz="4" w:space="0" w:color="auto"/>
            </w:tcBorders>
            <w:shd w:val="clear" w:color="auto" w:fill="auto"/>
            <w:noWrap/>
            <w:vAlign w:val="center"/>
            <w:hideMark/>
          </w:tcPr>
          <w:p w14:paraId="48241BC0"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1,404</w:t>
            </w:r>
          </w:p>
        </w:tc>
        <w:tc>
          <w:tcPr>
            <w:tcW w:w="1449" w:type="dxa"/>
            <w:tcBorders>
              <w:top w:val="nil"/>
              <w:left w:val="nil"/>
              <w:bottom w:val="single" w:sz="4" w:space="0" w:color="auto"/>
              <w:right w:val="single" w:sz="4" w:space="0" w:color="auto"/>
            </w:tcBorders>
            <w:shd w:val="clear" w:color="auto" w:fill="auto"/>
            <w:noWrap/>
            <w:vAlign w:val="center"/>
            <w:hideMark/>
          </w:tcPr>
          <w:p w14:paraId="2C497269"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7,303</w:t>
            </w:r>
          </w:p>
        </w:tc>
        <w:tc>
          <w:tcPr>
            <w:tcW w:w="1450" w:type="dxa"/>
            <w:tcBorders>
              <w:top w:val="nil"/>
              <w:left w:val="nil"/>
              <w:bottom w:val="single" w:sz="4" w:space="0" w:color="auto"/>
              <w:right w:val="single" w:sz="4" w:space="0" w:color="auto"/>
            </w:tcBorders>
            <w:shd w:val="clear" w:color="auto" w:fill="auto"/>
            <w:noWrap/>
            <w:vAlign w:val="center"/>
            <w:hideMark/>
          </w:tcPr>
          <w:p w14:paraId="18B701EF"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6,449</w:t>
            </w:r>
          </w:p>
        </w:tc>
        <w:tc>
          <w:tcPr>
            <w:tcW w:w="1450" w:type="dxa"/>
            <w:tcBorders>
              <w:top w:val="nil"/>
              <w:left w:val="nil"/>
              <w:bottom w:val="single" w:sz="4" w:space="0" w:color="auto"/>
              <w:right w:val="single" w:sz="4" w:space="0" w:color="auto"/>
            </w:tcBorders>
            <w:shd w:val="clear" w:color="auto" w:fill="auto"/>
            <w:noWrap/>
            <w:vAlign w:val="center"/>
            <w:hideMark/>
          </w:tcPr>
          <w:p w14:paraId="3FD1F4DB"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85,912</w:t>
            </w:r>
          </w:p>
        </w:tc>
      </w:tr>
      <w:tr w:rsidR="00977693" w:rsidRPr="000C4609" w14:paraId="22E12531" w14:textId="77777777" w:rsidTr="00FE1263">
        <w:trPr>
          <w:trHeight w:val="39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C3140CB"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t>Calvary Health Care Bethlehem Limited</w:t>
            </w:r>
          </w:p>
        </w:tc>
        <w:tc>
          <w:tcPr>
            <w:tcW w:w="1449" w:type="dxa"/>
            <w:tcBorders>
              <w:top w:val="nil"/>
              <w:left w:val="nil"/>
              <w:bottom w:val="single" w:sz="4" w:space="0" w:color="auto"/>
              <w:right w:val="single" w:sz="4" w:space="0" w:color="auto"/>
            </w:tcBorders>
            <w:shd w:val="clear" w:color="auto" w:fill="auto"/>
            <w:noWrap/>
            <w:vAlign w:val="center"/>
            <w:hideMark/>
          </w:tcPr>
          <w:p w14:paraId="388F8F2D"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76748CAF"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7045FF85"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48688B86"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6DBD7768"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189AC7EC"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04F45505"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2C6E61B5"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21A71BC5"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r>
      <w:tr w:rsidR="00977693" w:rsidRPr="000C4609" w14:paraId="436CEE5C" w14:textId="77777777" w:rsidTr="00FE1263">
        <w:trPr>
          <w:trHeight w:val="3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25C8D5D"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t>Eastern Health</w:t>
            </w:r>
          </w:p>
        </w:tc>
        <w:tc>
          <w:tcPr>
            <w:tcW w:w="1449" w:type="dxa"/>
            <w:tcBorders>
              <w:top w:val="nil"/>
              <w:left w:val="nil"/>
              <w:bottom w:val="single" w:sz="4" w:space="0" w:color="auto"/>
              <w:right w:val="single" w:sz="4" w:space="0" w:color="auto"/>
            </w:tcBorders>
            <w:shd w:val="clear" w:color="auto" w:fill="auto"/>
            <w:noWrap/>
            <w:vAlign w:val="center"/>
            <w:hideMark/>
          </w:tcPr>
          <w:p w14:paraId="23A7E3FB"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184,708</w:t>
            </w:r>
          </w:p>
        </w:tc>
        <w:tc>
          <w:tcPr>
            <w:tcW w:w="1450" w:type="dxa"/>
            <w:tcBorders>
              <w:top w:val="nil"/>
              <w:left w:val="nil"/>
              <w:bottom w:val="single" w:sz="4" w:space="0" w:color="auto"/>
              <w:right w:val="single" w:sz="4" w:space="0" w:color="auto"/>
            </w:tcBorders>
            <w:shd w:val="clear" w:color="auto" w:fill="auto"/>
            <w:noWrap/>
            <w:vAlign w:val="center"/>
            <w:hideMark/>
          </w:tcPr>
          <w:p w14:paraId="7AE1DAB0"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51,615</w:t>
            </w:r>
          </w:p>
        </w:tc>
        <w:tc>
          <w:tcPr>
            <w:tcW w:w="1449" w:type="dxa"/>
            <w:tcBorders>
              <w:top w:val="nil"/>
              <w:left w:val="nil"/>
              <w:bottom w:val="single" w:sz="4" w:space="0" w:color="auto"/>
              <w:right w:val="single" w:sz="4" w:space="0" w:color="auto"/>
            </w:tcBorders>
            <w:shd w:val="clear" w:color="auto" w:fill="auto"/>
            <w:noWrap/>
            <w:vAlign w:val="center"/>
            <w:hideMark/>
          </w:tcPr>
          <w:p w14:paraId="458F8F38"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2F7625CC"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109,423</w:t>
            </w:r>
          </w:p>
        </w:tc>
        <w:tc>
          <w:tcPr>
            <w:tcW w:w="1449" w:type="dxa"/>
            <w:tcBorders>
              <w:top w:val="nil"/>
              <w:left w:val="nil"/>
              <w:bottom w:val="single" w:sz="4" w:space="0" w:color="auto"/>
              <w:right w:val="single" w:sz="4" w:space="0" w:color="auto"/>
            </w:tcBorders>
            <w:shd w:val="clear" w:color="auto" w:fill="auto"/>
            <w:noWrap/>
            <w:vAlign w:val="center"/>
            <w:hideMark/>
          </w:tcPr>
          <w:p w14:paraId="6294BD67"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192</w:t>
            </w:r>
          </w:p>
        </w:tc>
        <w:tc>
          <w:tcPr>
            <w:tcW w:w="1450" w:type="dxa"/>
            <w:tcBorders>
              <w:top w:val="nil"/>
              <w:left w:val="nil"/>
              <w:bottom w:val="single" w:sz="4" w:space="0" w:color="auto"/>
              <w:right w:val="single" w:sz="4" w:space="0" w:color="auto"/>
            </w:tcBorders>
            <w:shd w:val="clear" w:color="auto" w:fill="auto"/>
            <w:noWrap/>
            <w:vAlign w:val="center"/>
            <w:hideMark/>
          </w:tcPr>
          <w:p w14:paraId="7F32FE64"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2,770</w:t>
            </w:r>
          </w:p>
        </w:tc>
        <w:tc>
          <w:tcPr>
            <w:tcW w:w="1449" w:type="dxa"/>
            <w:tcBorders>
              <w:top w:val="nil"/>
              <w:left w:val="nil"/>
              <w:bottom w:val="single" w:sz="4" w:space="0" w:color="auto"/>
              <w:right w:val="single" w:sz="4" w:space="0" w:color="auto"/>
            </w:tcBorders>
            <w:shd w:val="clear" w:color="auto" w:fill="auto"/>
            <w:noWrap/>
            <w:vAlign w:val="center"/>
            <w:hideMark/>
          </w:tcPr>
          <w:p w14:paraId="62564AB2"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9,881</w:t>
            </w:r>
          </w:p>
        </w:tc>
        <w:tc>
          <w:tcPr>
            <w:tcW w:w="1450" w:type="dxa"/>
            <w:tcBorders>
              <w:top w:val="nil"/>
              <w:left w:val="nil"/>
              <w:bottom w:val="single" w:sz="4" w:space="0" w:color="auto"/>
              <w:right w:val="single" w:sz="4" w:space="0" w:color="auto"/>
            </w:tcBorders>
            <w:shd w:val="clear" w:color="auto" w:fill="auto"/>
            <w:noWrap/>
            <w:vAlign w:val="center"/>
            <w:hideMark/>
          </w:tcPr>
          <w:p w14:paraId="237C7EFC"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11,911</w:t>
            </w:r>
          </w:p>
        </w:tc>
        <w:tc>
          <w:tcPr>
            <w:tcW w:w="1450" w:type="dxa"/>
            <w:tcBorders>
              <w:top w:val="nil"/>
              <w:left w:val="nil"/>
              <w:bottom w:val="single" w:sz="4" w:space="0" w:color="auto"/>
              <w:right w:val="single" w:sz="4" w:space="0" w:color="auto"/>
            </w:tcBorders>
            <w:shd w:val="clear" w:color="auto" w:fill="auto"/>
            <w:noWrap/>
            <w:vAlign w:val="center"/>
            <w:hideMark/>
          </w:tcPr>
          <w:p w14:paraId="7A2047BC"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185,793</w:t>
            </w:r>
          </w:p>
        </w:tc>
      </w:tr>
      <w:tr w:rsidR="00977693" w:rsidRPr="000C4609" w14:paraId="5818EFD0" w14:textId="77777777" w:rsidTr="00FE1263">
        <w:trPr>
          <w:trHeight w:val="39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5010B06"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t>Goulburn Valley Health</w:t>
            </w:r>
          </w:p>
        </w:tc>
        <w:tc>
          <w:tcPr>
            <w:tcW w:w="1449" w:type="dxa"/>
            <w:tcBorders>
              <w:top w:val="nil"/>
              <w:left w:val="nil"/>
              <w:bottom w:val="single" w:sz="4" w:space="0" w:color="auto"/>
              <w:right w:val="single" w:sz="4" w:space="0" w:color="auto"/>
            </w:tcBorders>
            <w:shd w:val="clear" w:color="auto" w:fill="auto"/>
            <w:noWrap/>
            <w:vAlign w:val="center"/>
            <w:hideMark/>
          </w:tcPr>
          <w:p w14:paraId="5410C995"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41,197</w:t>
            </w:r>
          </w:p>
        </w:tc>
        <w:tc>
          <w:tcPr>
            <w:tcW w:w="1450" w:type="dxa"/>
            <w:tcBorders>
              <w:top w:val="nil"/>
              <w:left w:val="nil"/>
              <w:bottom w:val="single" w:sz="4" w:space="0" w:color="auto"/>
              <w:right w:val="single" w:sz="4" w:space="0" w:color="auto"/>
            </w:tcBorders>
            <w:shd w:val="clear" w:color="auto" w:fill="auto"/>
            <w:noWrap/>
            <w:vAlign w:val="center"/>
            <w:hideMark/>
          </w:tcPr>
          <w:p w14:paraId="23124241"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7,577</w:t>
            </w:r>
          </w:p>
        </w:tc>
        <w:tc>
          <w:tcPr>
            <w:tcW w:w="1449" w:type="dxa"/>
            <w:tcBorders>
              <w:top w:val="nil"/>
              <w:left w:val="nil"/>
              <w:bottom w:val="single" w:sz="4" w:space="0" w:color="auto"/>
              <w:right w:val="single" w:sz="4" w:space="0" w:color="auto"/>
            </w:tcBorders>
            <w:shd w:val="clear" w:color="auto" w:fill="auto"/>
            <w:noWrap/>
            <w:vAlign w:val="center"/>
            <w:hideMark/>
          </w:tcPr>
          <w:p w14:paraId="0E848B63"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0DE40B4B"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26,074</w:t>
            </w:r>
          </w:p>
        </w:tc>
        <w:tc>
          <w:tcPr>
            <w:tcW w:w="1449" w:type="dxa"/>
            <w:tcBorders>
              <w:top w:val="nil"/>
              <w:left w:val="nil"/>
              <w:bottom w:val="single" w:sz="4" w:space="0" w:color="auto"/>
              <w:right w:val="single" w:sz="4" w:space="0" w:color="auto"/>
            </w:tcBorders>
            <w:shd w:val="clear" w:color="auto" w:fill="auto"/>
            <w:noWrap/>
            <w:vAlign w:val="center"/>
            <w:hideMark/>
          </w:tcPr>
          <w:p w14:paraId="0091E3D0"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91</w:t>
            </w:r>
          </w:p>
        </w:tc>
        <w:tc>
          <w:tcPr>
            <w:tcW w:w="1450" w:type="dxa"/>
            <w:tcBorders>
              <w:top w:val="nil"/>
              <w:left w:val="nil"/>
              <w:bottom w:val="single" w:sz="4" w:space="0" w:color="auto"/>
              <w:right w:val="single" w:sz="4" w:space="0" w:color="auto"/>
            </w:tcBorders>
            <w:shd w:val="clear" w:color="auto" w:fill="auto"/>
            <w:noWrap/>
            <w:vAlign w:val="center"/>
            <w:hideMark/>
          </w:tcPr>
          <w:p w14:paraId="77DD5270"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809</w:t>
            </w:r>
          </w:p>
        </w:tc>
        <w:tc>
          <w:tcPr>
            <w:tcW w:w="1449" w:type="dxa"/>
            <w:tcBorders>
              <w:top w:val="nil"/>
              <w:left w:val="nil"/>
              <w:bottom w:val="single" w:sz="4" w:space="0" w:color="auto"/>
              <w:right w:val="single" w:sz="4" w:space="0" w:color="auto"/>
            </w:tcBorders>
            <w:shd w:val="clear" w:color="auto" w:fill="auto"/>
            <w:noWrap/>
            <w:vAlign w:val="center"/>
            <w:hideMark/>
          </w:tcPr>
          <w:p w14:paraId="00B09585"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4,321</w:t>
            </w:r>
          </w:p>
        </w:tc>
        <w:tc>
          <w:tcPr>
            <w:tcW w:w="1450" w:type="dxa"/>
            <w:tcBorders>
              <w:top w:val="nil"/>
              <w:left w:val="nil"/>
              <w:bottom w:val="single" w:sz="4" w:space="0" w:color="auto"/>
              <w:right w:val="single" w:sz="4" w:space="0" w:color="auto"/>
            </w:tcBorders>
            <w:shd w:val="clear" w:color="auto" w:fill="auto"/>
            <w:noWrap/>
            <w:vAlign w:val="center"/>
            <w:hideMark/>
          </w:tcPr>
          <w:p w14:paraId="1164AD84"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3,654</w:t>
            </w:r>
          </w:p>
        </w:tc>
        <w:tc>
          <w:tcPr>
            <w:tcW w:w="1450" w:type="dxa"/>
            <w:tcBorders>
              <w:top w:val="nil"/>
              <w:left w:val="nil"/>
              <w:bottom w:val="single" w:sz="4" w:space="0" w:color="auto"/>
              <w:right w:val="single" w:sz="4" w:space="0" w:color="auto"/>
            </w:tcBorders>
            <w:shd w:val="clear" w:color="auto" w:fill="auto"/>
            <w:noWrap/>
            <w:vAlign w:val="center"/>
            <w:hideMark/>
          </w:tcPr>
          <w:p w14:paraId="5E615C25"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42,527</w:t>
            </w:r>
          </w:p>
        </w:tc>
      </w:tr>
      <w:tr w:rsidR="00977693" w:rsidRPr="000C4609" w14:paraId="66831F49" w14:textId="77777777" w:rsidTr="00FE1263">
        <w:trPr>
          <w:trHeight w:val="3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FB4E42A"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t>Grampians Health</w:t>
            </w:r>
          </w:p>
        </w:tc>
        <w:tc>
          <w:tcPr>
            <w:tcW w:w="1449" w:type="dxa"/>
            <w:tcBorders>
              <w:top w:val="nil"/>
              <w:left w:val="nil"/>
              <w:bottom w:val="single" w:sz="4" w:space="0" w:color="auto"/>
              <w:right w:val="single" w:sz="4" w:space="0" w:color="auto"/>
            </w:tcBorders>
            <w:shd w:val="clear" w:color="auto" w:fill="auto"/>
            <w:noWrap/>
            <w:vAlign w:val="center"/>
            <w:hideMark/>
          </w:tcPr>
          <w:p w14:paraId="69A204C9"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62,264</w:t>
            </w:r>
          </w:p>
        </w:tc>
        <w:tc>
          <w:tcPr>
            <w:tcW w:w="1450" w:type="dxa"/>
            <w:tcBorders>
              <w:top w:val="nil"/>
              <w:left w:val="nil"/>
              <w:bottom w:val="single" w:sz="4" w:space="0" w:color="auto"/>
              <w:right w:val="single" w:sz="4" w:space="0" w:color="auto"/>
            </w:tcBorders>
            <w:shd w:val="clear" w:color="auto" w:fill="auto"/>
            <w:noWrap/>
            <w:vAlign w:val="center"/>
            <w:hideMark/>
          </w:tcPr>
          <w:p w14:paraId="079E7195"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14,321</w:t>
            </w:r>
          </w:p>
        </w:tc>
        <w:tc>
          <w:tcPr>
            <w:tcW w:w="1449" w:type="dxa"/>
            <w:tcBorders>
              <w:top w:val="nil"/>
              <w:left w:val="nil"/>
              <w:bottom w:val="single" w:sz="4" w:space="0" w:color="auto"/>
              <w:right w:val="single" w:sz="4" w:space="0" w:color="auto"/>
            </w:tcBorders>
            <w:shd w:val="clear" w:color="auto" w:fill="auto"/>
            <w:noWrap/>
            <w:vAlign w:val="center"/>
            <w:hideMark/>
          </w:tcPr>
          <w:p w14:paraId="64781D72"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2,743</w:t>
            </w:r>
          </w:p>
        </w:tc>
        <w:tc>
          <w:tcPr>
            <w:tcW w:w="1450" w:type="dxa"/>
            <w:tcBorders>
              <w:top w:val="nil"/>
              <w:left w:val="nil"/>
              <w:bottom w:val="single" w:sz="4" w:space="0" w:color="auto"/>
              <w:right w:val="single" w:sz="4" w:space="0" w:color="auto"/>
            </w:tcBorders>
            <w:shd w:val="clear" w:color="auto" w:fill="auto"/>
            <w:noWrap/>
            <w:vAlign w:val="center"/>
            <w:hideMark/>
          </w:tcPr>
          <w:p w14:paraId="6F0E80B8"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37,334</w:t>
            </w:r>
          </w:p>
        </w:tc>
        <w:tc>
          <w:tcPr>
            <w:tcW w:w="1449" w:type="dxa"/>
            <w:tcBorders>
              <w:top w:val="nil"/>
              <w:left w:val="nil"/>
              <w:bottom w:val="single" w:sz="4" w:space="0" w:color="auto"/>
              <w:right w:val="single" w:sz="4" w:space="0" w:color="auto"/>
            </w:tcBorders>
            <w:shd w:val="clear" w:color="auto" w:fill="auto"/>
            <w:noWrap/>
            <w:vAlign w:val="center"/>
            <w:hideMark/>
          </w:tcPr>
          <w:p w14:paraId="1A6CF8AD"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163</w:t>
            </w:r>
          </w:p>
        </w:tc>
        <w:tc>
          <w:tcPr>
            <w:tcW w:w="1450" w:type="dxa"/>
            <w:tcBorders>
              <w:top w:val="nil"/>
              <w:left w:val="nil"/>
              <w:bottom w:val="single" w:sz="4" w:space="0" w:color="auto"/>
              <w:right w:val="single" w:sz="4" w:space="0" w:color="auto"/>
            </w:tcBorders>
            <w:shd w:val="clear" w:color="auto" w:fill="auto"/>
            <w:noWrap/>
            <w:vAlign w:val="center"/>
            <w:hideMark/>
          </w:tcPr>
          <w:p w14:paraId="618CB2A1"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1,072</w:t>
            </w:r>
          </w:p>
        </w:tc>
        <w:tc>
          <w:tcPr>
            <w:tcW w:w="1449" w:type="dxa"/>
            <w:tcBorders>
              <w:top w:val="nil"/>
              <w:left w:val="nil"/>
              <w:bottom w:val="single" w:sz="4" w:space="0" w:color="auto"/>
              <w:right w:val="single" w:sz="4" w:space="0" w:color="auto"/>
            </w:tcBorders>
            <w:shd w:val="clear" w:color="auto" w:fill="auto"/>
            <w:noWrap/>
            <w:vAlign w:val="center"/>
            <w:hideMark/>
          </w:tcPr>
          <w:p w14:paraId="6DADA3A7"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4,330</w:t>
            </w:r>
          </w:p>
        </w:tc>
        <w:tc>
          <w:tcPr>
            <w:tcW w:w="1450" w:type="dxa"/>
            <w:tcBorders>
              <w:top w:val="nil"/>
              <w:left w:val="nil"/>
              <w:bottom w:val="single" w:sz="4" w:space="0" w:color="auto"/>
              <w:right w:val="single" w:sz="4" w:space="0" w:color="auto"/>
            </w:tcBorders>
            <w:shd w:val="clear" w:color="auto" w:fill="auto"/>
            <w:noWrap/>
            <w:vAlign w:val="center"/>
            <w:hideMark/>
          </w:tcPr>
          <w:p w14:paraId="396C1D5A"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3,867</w:t>
            </w:r>
          </w:p>
        </w:tc>
        <w:tc>
          <w:tcPr>
            <w:tcW w:w="1450" w:type="dxa"/>
            <w:tcBorders>
              <w:top w:val="nil"/>
              <w:left w:val="nil"/>
              <w:bottom w:val="single" w:sz="4" w:space="0" w:color="auto"/>
              <w:right w:val="single" w:sz="4" w:space="0" w:color="auto"/>
            </w:tcBorders>
            <w:shd w:val="clear" w:color="auto" w:fill="auto"/>
            <w:noWrap/>
            <w:vAlign w:val="center"/>
            <w:hideMark/>
          </w:tcPr>
          <w:p w14:paraId="03AEDDE4"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63,831</w:t>
            </w:r>
          </w:p>
        </w:tc>
      </w:tr>
      <w:tr w:rsidR="00977693" w:rsidRPr="000C4609" w14:paraId="73433AA1" w14:textId="77777777" w:rsidTr="00FE1263">
        <w:trPr>
          <w:trHeight w:val="39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F541AD8"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t>Latrobe Regional Health</w:t>
            </w:r>
          </w:p>
        </w:tc>
        <w:tc>
          <w:tcPr>
            <w:tcW w:w="1449" w:type="dxa"/>
            <w:tcBorders>
              <w:top w:val="nil"/>
              <w:left w:val="nil"/>
              <w:bottom w:val="single" w:sz="4" w:space="0" w:color="auto"/>
              <w:right w:val="single" w:sz="4" w:space="0" w:color="auto"/>
            </w:tcBorders>
            <w:shd w:val="clear" w:color="auto" w:fill="auto"/>
            <w:noWrap/>
            <w:vAlign w:val="center"/>
            <w:hideMark/>
          </w:tcPr>
          <w:p w14:paraId="6896BCD0"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70,571</w:t>
            </w:r>
          </w:p>
        </w:tc>
        <w:tc>
          <w:tcPr>
            <w:tcW w:w="1450" w:type="dxa"/>
            <w:tcBorders>
              <w:top w:val="nil"/>
              <w:left w:val="nil"/>
              <w:bottom w:val="single" w:sz="4" w:space="0" w:color="auto"/>
              <w:right w:val="single" w:sz="4" w:space="0" w:color="auto"/>
            </w:tcBorders>
            <w:shd w:val="clear" w:color="auto" w:fill="auto"/>
            <w:noWrap/>
            <w:vAlign w:val="center"/>
            <w:hideMark/>
          </w:tcPr>
          <w:p w14:paraId="79D66A6D"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16,018</w:t>
            </w:r>
          </w:p>
        </w:tc>
        <w:tc>
          <w:tcPr>
            <w:tcW w:w="1449" w:type="dxa"/>
            <w:tcBorders>
              <w:top w:val="nil"/>
              <w:left w:val="nil"/>
              <w:bottom w:val="single" w:sz="4" w:space="0" w:color="auto"/>
              <w:right w:val="single" w:sz="4" w:space="0" w:color="auto"/>
            </w:tcBorders>
            <w:shd w:val="clear" w:color="auto" w:fill="auto"/>
            <w:noWrap/>
            <w:vAlign w:val="center"/>
            <w:hideMark/>
          </w:tcPr>
          <w:p w14:paraId="31BDC2E5"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1,372</w:t>
            </w:r>
          </w:p>
        </w:tc>
        <w:tc>
          <w:tcPr>
            <w:tcW w:w="1450" w:type="dxa"/>
            <w:tcBorders>
              <w:top w:val="nil"/>
              <w:left w:val="nil"/>
              <w:bottom w:val="single" w:sz="4" w:space="0" w:color="auto"/>
              <w:right w:val="single" w:sz="4" w:space="0" w:color="auto"/>
            </w:tcBorders>
            <w:shd w:val="clear" w:color="auto" w:fill="auto"/>
            <w:noWrap/>
            <w:vAlign w:val="center"/>
            <w:hideMark/>
          </w:tcPr>
          <w:p w14:paraId="57EAA93A"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45,161</w:t>
            </w:r>
          </w:p>
        </w:tc>
        <w:tc>
          <w:tcPr>
            <w:tcW w:w="1449" w:type="dxa"/>
            <w:tcBorders>
              <w:top w:val="nil"/>
              <w:left w:val="nil"/>
              <w:bottom w:val="single" w:sz="4" w:space="0" w:color="auto"/>
              <w:right w:val="single" w:sz="4" w:space="0" w:color="auto"/>
            </w:tcBorders>
            <w:shd w:val="clear" w:color="auto" w:fill="auto"/>
            <w:noWrap/>
            <w:vAlign w:val="center"/>
            <w:hideMark/>
          </w:tcPr>
          <w:p w14:paraId="606AEE56"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91</w:t>
            </w:r>
          </w:p>
        </w:tc>
        <w:tc>
          <w:tcPr>
            <w:tcW w:w="1450" w:type="dxa"/>
            <w:tcBorders>
              <w:top w:val="nil"/>
              <w:left w:val="nil"/>
              <w:bottom w:val="single" w:sz="4" w:space="0" w:color="auto"/>
              <w:right w:val="single" w:sz="4" w:space="0" w:color="auto"/>
            </w:tcBorders>
            <w:shd w:val="clear" w:color="auto" w:fill="auto"/>
            <w:noWrap/>
            <w:vAlign w:val="center"/>
            <w:hideMark/>
          </w:tcPr>
          <w:p w14:paraId="01463209"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405</w:t>
            </w:r>
          </w:p>
        </w:tc>
        <w:tc>
          <w:tcPr>
            <w:tcW w:w="1449" w:type="dxa"/>
            <w:tcBorders>
              <w:top w:val="nil"/>
              <w:left w:val="nil"/>
              <w:bottom w:val="single" w:sz="4" w:space="0" w:color="auto"/>
              <w:right w:val="single" w:sz="4" w:space="0" w:color="auto"/>
            </w:tcBorders>
            <w:shd w:val="clear" w:color="auto" w:fill="auto"/>
            <w:noWrap/>
            <w:vAlign w:val="center"/>
            <w:hideMark/>
          </w:tcPr>
          <w:p w14:paraId="7CFA401C"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4,620</w:t>
            </w:r>
          </w:p>
        </w:tc>
        <w:tc>
          <w:tcPr>
            <w:tcW w:w="1450" w:type="dxa"/>
            <w:tcBorders>
              <w:top w:val="nil"/>
              <w:left w:val="nil"/>
              <w:bottom w:val="single" w:sz="4" w:space="0" w:color="auto"/>
              <w:right w:val="single" w:sz="4" w:space="0" w:color="auto"/>
            </w:tcBorders>
            <w:shd w:val="clear" w:color="auto" w:fill="auto"/>
            <w:noWrap/>
            <w:vAlign w:val="center"/>
            <w:hideMark/>
          </w:tcPr>
          <w:p w14:paraId="277A5EE5"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4,286</w:t>
            </w:r>
          </w:p>
        </w:tc>
        <w:tc>
          <w:tcPr>
            <w:tcW w:w="1450" w:type="dxa"/>
            <w:tcBorders>
              <w:top w:val="nil"/>
              <w:left w:val="nil"/>
              <w:bottom w:val="single" w:sz="4" w:space="0" w:color="auto"/>
              <w:right w:val="single" w:sz="4" w:space="0" w:color="auto"/>
            </w:tcBorders>
            <w:shd w:val="clear" w:color="auto" w:fill="auto"/>
            <w:noWrap/>
            <w:vAlign w:val="center"/>
            <w:hideMark/>
          </w:tcPr>
          <w:p w14:paraId="1C974BCA"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71,953</w:t>
            </w:r>
          </w:p>
        </w:tc>
      </w:tr>
      <w:tr w:rsidR="00977693" w:rsidRPr="000C4609" w14:paraId="0F39B8F9" w14:textId="77777777" w:rsidTr="00FE1263">
        <w:trPr>
          <w:trHeight w:val="3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52D1FCE"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t>Melbourne Health</w:t>
            </w:r>
          </w:p>
        </w:tc>
        <w:tc>
          <w:tcPr>
            <w:tcW w:w="1449" w:type="dxa"/>
            <w:tcBorders>
              <w:top w:val="nil"/>
              <w:left w:val="nil"/>
              <w:bottom w:val="single" w:sz="4" w:space="0" w:color="auto"/>
              <w:right w:val="single" w:sz="4" w:space="0" w:color="auto"/>
            </w:tcBorders>
            <w:shd w:val="clear" w:color="auto" w:fill="auto"/>
            <w:noWrap/>
            <w:vAlign w:val="center"/>
            <w:hideMark/>
          </w:tcPr>
          <w:p w14:paraId="5F2A22A3"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231,486</w:t>
            </w:r>
          </w:p>
        </w:tc>
        <w:tc>
          <w:tcPr>
            <w:tcW w:w="1450" w:type="dxa"/>
            <w:tcBorders>
              <w:top w:val="nil"/>
              <w:left w:val="nil"/>
              <w:bottom w:val="single" w:sz="4" w:space="0" w:color="auto"/>
              <w:right w:val="single" w:sz="4" w:space="0" w:color="auto"/>
            </w:tcBorders>
            <w:shd w:val="clear" w:color="auto" w:fill="auto"/>
            <w:noWrap/>
            <w:vAlign w:val="center"/>
            <w:hideMark/>
          </w:tcPr>
          <w:p w14:paraId="6E7FAA58"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34,610</w:t>
            </w:r>
          </w:p>
        </w:tc>
        <w:tc>
          <w:tcPr>
            <w:tcW w:w="1449" w:type="dxa"/>
            <w:tcBorders>
              <w:top w:val="nil"/>
              <w:left w:val="nil"/>
              <w:bottom w:val="single" w:sz="4" w:space="0" w:color="auto"/>
              <w:right w:val="single" w:sz="4" w:space="0" w:color="auto"/>
            </w:tcBorders>
            <w:shd w:val="clear" w:color="auto" w:fill="auto"/>
            <w:noWrap/>
            <w:vAlign w:val="center"/>
            <w:hideMark/>
          </w:tcPr>
          <w:p w14:paraId="32B6D7B9"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2B7EA176"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84,779</w:t>
            </w:r>
          </w:p>
        </w:tc>
        <w:tc>
          <w:tcPr>
            <w:tcW w:w="1449" w:type="dxa"/>
            <w:tcBorders>
              <w:top w:val="nil"/>
              <w:left w:val="nil"/>
              <w:bottom w:val="single" w:sz="4" w:space="0" w:color="auto"/>
              <w:right w:val="single" w:sz="4" w:space="0" w:color="auto"/>
            </w:tcBorders>
            <w:shd w:val="clear" w:color="auto" w:fill="auto"/>
            <w:noWrap/>
            <w:vAlign w:val="center"/>
            <w:hideMark/>
          </w:tcPr>
          <w:p w14:paraId="3404E9C2"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82</w:t>
            </w:r>
          </w:p>
        </w:tc>
        <w:tc>
          <w:tcPr>
            <w:tcW w:w="1450" w:type="dxa"/>
            <w:tcBorders>
              <w:top w:val="nil"/>
              <w:left w:val="nil"/>
              <w:bottom w:val="single" w:sz="4" w:space="0" w:color="auto"/>
              <w:right w:val="single" w:sz="4" w:space="0" w:color="auto"/>
            </w:tcBorders>
            <w:shd w:val="clear" w:color="auto" w:fill="auto"/>
            <w:noWrap/>
            <w:vAlign w:val="center"/>
            <w:hideMark/>
          </w:tcPr>
          <w:p w14:paraId="3B8892AA"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016F5FC6"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12,371</w:t>
            </w:r>
          </w:p>
        </w:tc>
        <w:tc>
          <w:tcPr>
            <w:tcW w:w="1450" w:type="dxa"/>
            <w:tcBorders>
              <w:top w:val="nil"/>
              <w:left w:val="nil"/>
              <w:bottom w:val="single" w:sz="4" w:space="0" w:color="auto"/>
              <w:right w:val="single" w:sz="4" w:space="0" w:color="auto"/>
            </w:tcBorders>
            <w:shd w:val="clear" w:color="auto" w:fill="auto"/>
            <w:noWrap/>
            <w:vAlign w:val="center"/>
            <w:hideMark/>
          </w:tcPr>
          <w:p w14:paraId="28B9E481"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5,254</w:t>
            </w:r>
          </w:p>
        </w:tc>
        <w:tc>
          <w:tcPr>
            <w:tcW w:w="1450" w:type="dxa"/>
            <w:tcBorders>
              <w:top w:val="nil"/>
              <w:left w:val="nil"/>
              <w:bottom w:val="single" w:sz="4" w:space="0" w:color="auto"/>
              <w:right w:val="single" w:sz="4" w:space="0" w:color="auto"/>
            </w:tcBorders>
            <w:shd w:val="clear" w:color="auto" w:fill="auto"/>
            <w:noWrap/>
            <w:vAlign w:val="center"/>
            <w:hideMark/>
          </w:tcPr>
          <w:p w14:paraId="7E7FFDD4"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137,096</w:t>
            </w:r>
          </w:p>
        </w:tc>
      </w:tr>
      <w:tr w:rsidR="00977693" w:rsidRPr="000C4609" w14:paraId="5BCBA3FB" w14:textId="77777777" w:rsidTr="00FE1263">
        <w:trPr>
          <w:trHeight w:val="39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479E992"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t>Mercy Hospitals Victoria Limited</w:t>
            </w:r>
          </w:p>
        </w:tc>
        <w:tc>
          <w:tcPr>
            <w:tcW w:w="1449" w:type="dxa"/>
            <w:tcBorders>
              <w:top w:val="nil"/>
              <w:left w:val="nil"/>
              <w:bottom w:val="single" w:sz="4" w:space="0" w:color="auto"/>
              <w:right w:val="single" w:sz="4" w:space="0" w:color="auto"/>
            </w:tcBorders>
            <w:shd w:val="clear" w:color="auto" w:fill="auto"/>
            <w:noWrap/>
            <w:vAlign w:val="center"/>
            <w:hideMark/>
          </w:tcPr>
          <w:p w14:paraId="440259F5"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82,004</w:t>
            </w:r>
          </w:p>
        </w:tc>
        <w:tc>
          <w:tcPr>
            <w:tcW w:w="1450" w:type="dxa"/>
            <w:tcBorders>
              <w:top w:val="nil"/>
              <w:left w:val="nil"/>
              <w:bottom w:val="single" w:sz="4" w:space="0" w:color="auto"/>
              <w:right w:val="single" w:sz="4" w:space="0" w:color="auto"/>
            </w:tcBorders>
            <w:shd w:val="clear" w:color="auto" w:fill="auto"/>
            <w:noWrap/>
            <w:vAlign w:val="center"/>
            <w:hideMark/>
          </w:tcPr>
          <w:p w14:paraId="2941F6A1"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23,164</w:t>
            </w:r>
          </w:p>
        </w:tc>
        <w:tc>
          <w:tcPr>
            <w:tcW w:w="1449" w:type="dxa"/>
            <w:tcBorders>
              <w:top w:val="nil"/>
              <w:left w:val="nil"/>
              <w:bottom w:val="single" w:sz="4" w:space="0" w:color="auto"/>
              <w:right w:val="single" w:sz="4" w:space="0" w:color="auto"/>
            </w:tcBorders>
            <w:shd w:val="clear" w:color="auto" w:fill="auto"/>
            <w:noWrap/>
            <w:vAlign w:val="center"/>
            <w:hideMark/>
          </w:tcPr>
          <w:p w14:paraId="629F442B"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130722FB"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41,639</w:t>
            </w:r>
          </w:p>
        </w:tc>
        <w:tc>
          <w:tcPr>
            <w:tcW w:w="1449" w:type="dxa"/>
            <w:tcBorders>
              <w:top w:val="nil"/>
              <w:left w:val="nil"/>
              <w:bottom w:val="single" w:sz="4" w:space="0" w:color="auto"/>
              <w:right w:val="single" w:sz="4" w:space="0" w:color="auto"/>
            </w:tcBorders>
            <w:shd w:val="clear" w:color="auto" w:fill="auto"/>
            <w:noWrap/>
            <w:vAlign w:val="center"/>
            <w:hideMark/>
          </w:tcPr>
          <w:p w14:paraId="13D5A63E"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119</w:t>
            </w:r>
          </w:p>
        </w:tc>
        <w:tc>
          <w:tcPr>
            <w:tcW w:w="1450" w:type="dxa"/>
            <w:tcBorders>
              <w:top w:val="nil"/>
              <w:left w:val="nil"/>
              <w:bottom w:val="single" w:sz="4" w:space="0" w:color="auto"/>
              <w:right w:val="single" w:sz="4" w:space="0" w:color="auto"/>
            </w:tcBorders>
            <w:shd w:val="clear" w:color="auto" w:fill="auto"/>
            <w:noWrap/>
            <w:vAlign w:val="center"/>
            <w:hideMark/>
          </w:tcPr>
          <w:p w14:paraId="06574EB3"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5E72E904"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6,667</w:t>
            </w:r>
          </w:p>
        </w:tc>
        <w:tc>
          <w:tcPr>
            <w:tcW w:w="1450" w:type="dxa"/>
            <w:tcBorders>
              <w:top w:val="nil"/>
              <w:left w:val="nil"/>
              <w:bottom w:val="single" w:sz="4" w:space="0" w:color="auto"/>
              <w:right w:val="single" w:sz="4" w:space="0" w:color="auto"/>
            </w:tcBorders>
            <w:shd w:val="clear" w:color="auto" w:fill="auto"/>
            <w:noWrap/>
            <w:vAlign w:val="center"/>
            <w:hideMark/>
          </w:tcPr>
          <w:p w14:paraId="79621CEF"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6,679</w:t>
            </w:r>
          </w:p>
        </w:tc>
        <w:tc>
          <w:tcPr>
            <w:tcW w:w="1450" w:type="dxa"/>
            <w:tcBorders>
              <w:top w:val="nil"/>
              <w:left w:val="nil"/>
              <w:bottom w:val="single" w:sz="4" w:space="0" w:color="auto"/>
              <w:right w:val="single" w:sz="4" w:space="0" w:color="auto"/>
            </w:tcBorders>
            <w:shd w:val="clear" w:color="auto" w:fill="auto"/>
            <w:noWrap/>
            <w:vAlign w:val="center"/>
            <w:hideMark/>
          </w:tcPr>
          <w:p w14:paraId="43FCFEE6"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78,268</w:t>
            </w:r>
          </w:p>
        </w:tc>
      </w:tr>
      <w:tr w:rsidR="00977693" w:rsidRPr="000C4609" w14:paraId="06851B26" w14:textId="77777777" w:rsidTr="00FE1263">
        <w:trPr>
          <w:trHeight w:val="3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E5EB9A3"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t>Monash Health</w:t>
            </w:r>
          </w:p>
        </w:tc>
        <w:tc>
          <w:tcPr>
            <w:tcW w:w="1449" w:type="dxa"/>
            <w:tcBorders>
              <w:top w:val="nil"/>
              <w:left w:val="nil"/>
              <w:bottom w:val="single" w:sz="4" w:space="0" w:color="auto"/>
              <w:right w:val="single" w:sz="4" w:space="0" w:color="auto"/>
            </w:tcBorders>
            <w:shd w:val="clear" w:color="auto" w:fill="auto"/>
            <w:noWrap/>
            <w:vAlign w:val="center"/>
            <w:hideMark/>
          </w:tcPr>
          <w:p w14:paraId="030479CF"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267,020</w:t>
            </w:r>
          </w:p>
        </w:tc>
        <w:tc>
          <w:tcPr>
            <w:tcW w:w="1450" w:type="dxa"/>
            <w:tcBorders>
              <w:top w:val="nil"/>
              <w:left w:val="nil"/>
              <w:bottom w:val="single" w:sz="4" w:space="0" w:color="auto"/>
              <w:right w:val="single" w:sz="4" w:space="0" w:color="auto"/>
            </w:tcBorders>
            <w:shd w:val="clear" w:color="auto" w:fill="auto"/>
            <w:noWrap/>
            <w:vAlign w:val="center"/>
            <w:hideMark/>
          </w:tcPr>
          <w:p w14:paraId="5DC1BAA3"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75,429</w:t>
            </w:r>
          </w:p>
        </w:tc>
        <w:tc>
          <w:tcPr>
            <w:tcW w:w="1449" w:type="dxa"/>
            <w:tcBorders>
              <w:top w:val="nil"/>
              <w:left w:val="nil"/>
              <w:bottom w:val="single" w:sz="4" w:space="0" w:color="auto"/>
              <w:right w:val="single" w:sz="4" w:space="0" w:color="auto"/>
            </w:tcBorders>
            <w:shd w:val="clear" w:color="auto" w:fill="auto"/>
            <w:noWrap/>
            <w:vAlign w:val="center"/>
            <w:hideMark/>
          </w:tcPr>
          <w:p w14:paraId="6C21E125"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11,423</w:t>
            </w:r>
          </w:p>
        </w:tc>
        <w:tc>
          <w:tcPr>
            <w:tcW w:w="1450" w:type="dxa"/>
            <w:tcBorders>
              <w:top w:val="nil"/>
              <w:left w:val="nil"/>
              <w:bottom w:val="single" w:sz="4" w:space="0" w:color="auto"/>
              <w:right w:val="single" w:sz="4" w:space="0" w:color="auto"/>
            </w:tcBorders>
            <w:shd w:val="clear" w:color="auto" w:fill="auto"/>
            <w:noWrap/>
            <w:vAlign w:val="center"/>
            <w:hideMark/>
          </w:tcPr>
          <w:p w14:paraId="6AC748CB"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143,698</w:t>
            </w:r>
          </w:p>
        </w:tc>
        <w:tc>
          <w:tcPr>
            <w:tcW w:w="1449" w:type="dxa"/>
            <w:tcBorders>
              <w:top w:val="nil"/>
              <w:left w:val="nil"/>
              <w:bottom w:val="single" w:sz="4" w:space="0" w:color="auto"/>
              <w:right w:val="single" w:sz="4" w:space="0" w:color="auto"/>
            </w:tcBorders>
            <w:shd w:val="clear" w:color="auto" w:fill="auto"/>
            <w:noWrap/>
            <w:vAlign w:val="center"/>
            <w:hideMark/>
          </w:tcPr>
          <w:p w14:paraId="7A40736D"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174</w:t>
            </w:r>
          </w:p>
        </w:tc>
        <w:tc>
          <w:tcPr>
            <w:tcW w:w="1450" w:type="dxa"/>
            <w:tcBorders>
              <w:top w:val="nil"/>
              <w:left w:val="nil"/>
              <w:bottom w:val="single" w:sz="4" w:space="0" w:color="auto"/>
              <w:right w:val="single" w:sz="4" w:space="0" w:color="auto"/>
            </w:tcBorders>
            <w:shd w:val="clear" w:color="auto" w:fill="auto"/>
            <w:noWrap/>
            <w:vAlign w:val="center"/>
            <w:hideMark/>
          </w:tcPr>
          <w:p w14:paraId="15991B28"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3,845</w:t>
            </w:r>
          </w:p>
        </w:tc>
        <w:tc>
          <w:tcPr>
            <w:tcW w:w="1449" w:type="dxa"/>
            <w:tcBorders>
              <w:top w:val="nil"/>
              <w:left w:val="nil"/>
              <w:bottom w:val="single" w:sz="4" w:space="0" w:color="auto"/>
              <w:right w:val="single" w:sz="4" w:space="0" w:color="auto"/>
            </w:tcBorders>
            <w:shd w:val="clear" w:color="auto" w:fill="auto"/>
            <w:noWrap/>
            <w:vAlign w:val="center"/>
            <w:hideMark/>
          </w:tcPr>
          <w:p w14:paraId="2DB37911"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10,355</w:t>
            </w:r>
          </w:p>
        </w:tc>
        <w:tc>
          <w:tcPr>
            <w:tcW w:w="1450" w:type="dxa"/>
            <w:tcBorders>
              <w:top w:val="nil"/>
              <w:left w:val="nil"/>
              <w:bottom w:val="single" w:sz="4" w:space="0" w:color="auto"/>
              <w:right w:val="single" w:sz="4" w:space="0" w:color="auto"/>
            </w:tcBorders>
            <w:shd w:val="clear" w:color="auto" w:fill="auto"/>
            <w:noWrap/>
            <w:vAlign w:val="center"/>
            <w:hideMark/>
          </w:tcPr>
          <w:p w14:paraId="5938491B"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22,115</w:t>
            </w:r>
          </w:p>
        </w:tc>
        <w:tc>
          <w:tcPr>
            <w:tcW w:w="1450" w:type="dxa"/>
            <w:tcBorders>
              <w:top w:val="nil"/>
              <w:left w:val="nil"/>
              <w:bottom w:val="single" w:sz="4" w:space="0" w:color="auto"/>
              <w:right w:val="single" w:sz="4" w:space="0" w:color="auto"/>
            </w:tcBorders>
            <w:shd w:val="clear" w:color="auto" w:fill="auto"/>
            <w:noWrap/>
            <w:vAlign w:val="center"/>
            <w:hideMark/>
          </w:tcPr>
          <w:p w14:paraId="5F597908"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267,037</w:t>
            </w:r>
          </w:p>
        </w:tc>
      </w:tr>
      <w:tr w:rsidR="00977693" w:rsidRPr="000C4609" w14:paraId="4D3B0FB6" w14:textId="77777777" w:rsidTr="00FE1263">
        <w:trPr>
          <w:trHeight w:val="3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B6F4238"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t>Northern Health</w:t>
            </w:r>
          </w:p>
        </w:tc>
        <w:tc>
          <w:tcPr>
            <w:tcW w:w="1449" w:type="dxa"/>
            <w:tcBorders>
              <w:top w:val="nil"/>
              <w:left w:val="nil"/>
              <w:bottom w:val="single" w:sz="4" w:space="0" w:color="auto"/>
              <w:right w:val="single" w:sz="4" w:space="0" w:color="auto"/>
            </w:tcBorders>
            <w:shd w:val="clear" w:color="auto" w:fill="auto"/>
            <w:noWrap/>
            <w:vAlign w:val="center"/>
            <w:hideMark/>
          </w:tcPr>
          <w:p w14:paraId="364C27C6"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118,606</w:t>
            </w:r>
          </w:p>
        </w:tc>
        <w:tc>
          <w:tcPr>
            <w:tcW w:w="1450" w:type="dxa"/>
            <w:tcBorders>
              <w:top w:val="nil"/>
              <w:left w:val="nil"/>
              <w:bottom w:val="single" w:sz="4" w:space="0" w:color="auto"/>
              <w:right w:val="single" w:sz="4" w:space="0" w:color="auto"/>
            </w:tcBorders>
            <w:shd w:val="clear" w:color="auto" w:fill="auto"/>
            <w:noWrap/>
            <w:vAlign w:val="center"/>
            <w:hideMark/>
          </w:tcPr>
          <w:p w14:paraId="229EB112"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55,818</w:t>
            </w:r>
          </w:p>
        </w:tc>
        <w:tc>
          <w:tcPr>
            <w:tcW w:w="1449" w:type="dxa"/>
            <w:tcBorders>
              <w:top w:val="nil"/>
              <w:left w:val="nil"/>
              <w:bottom w:val="single" w:sz="4" w:space="0" w:color="auto"/>
              <w:right w:val="single" w:sz="4" w:space="0" w:color="auto"/>
            </w:tcBorders>
            <w:shd w:val="clear" w:color="auto" w:fill="auto"/>
            <w:noWrap/>
            <w:vAlign w:val="center"/>
            <w:hideMark/>
          </w:tcPr>
          <w:p w14:paraId="3CFBC6B9"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2203701D"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71,123</w:t>
            </w:r>
          </w:p>
        </w:tc>
        <w:tc>
          <w:tcPr>
            <w:tcW w:w="1449" w:type="dxa"/>
            <w:tcBorders>
              <w:top w:val="nil"/>
              <w:left w:val="nil"/>
              <w:bottom w:val="single" w:sz="4" w:space="0" w:color="auto"/>
              <w:right w:val="single" w:sz="4" w:space="0" w:color="auto"/>
            </w:tcBorders>
            <w:shd w:val="clear" w:color="auto" w:fill="auto"/>
            <w:noWrap/>
            <w:vAlign w:val="center"/>
            <w:hideMark/>
          </w:tcPr>
          <w:p w14:paraId="78F0D841"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72</w:t>
            </w:r>
          </w:p>
        </w:tc>
        <w:tc>
          <w:tcPr>
            <w:tcW w:w="1450" w:type="dxa"/>
            <w:tcBorders>
              <w:top w:val="nil"/>
              <w:left w:val="nil"/>
              <w:bottom w:val="single" w:sz="4" w:space="0" w:color="auto"/>
              <w:right w:val="single" w:sz="4" w:space="0" w:color="auto"/>
            </w:tcBorders>
            <w:shd w:val="clear" w:color="auto" w:fill="auto"/>
            <w:noWrap/>
            <w:vAlign w:val="center"/>
            <w:hideMark/>
          </w:tcPr>
          <w:p w14:paraId="4AA54001"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2,363</w:t>
            </w:r>
          </w:p>
        </w:tc>
        <w:tc>
          <w:tcPr>
            <w:tcW w:w="1449" w:type="dxa"/>
            <w:tcBorders>
              <w:top w:val="nil"/>
              <w:left w:val="nil"/>
              <w:bottom w:val="single" w:sz="4" w:space="0" w:color="auto"/>
              <w:right w:val="single" w:sz="4" w:space="0" w:color="auto"/>
            </w:tcBorders>
            <w:shd w:val="clear" w:color="auto" w:fill="auto"/>
            <w:noWrap/>
            <w:vAlign w:val="center"/>
            <w:hideMark/>
          </w:tcPr>
          <w:p w14:paraId="40955316"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8,984</w:t>
            </w:r>
          </w:p>
        </w:tc>
        <w:tc>
          <w:tcPr>
            <w:tcW w:w="1450" w:type="dxa"/>
            <w:tcBorders>
              <w:top w:val="nil"/>
              <w:left w:val="nil"/>
              <w:bottom w:val="single" w:sz="4" w:space="0" w:color="auto"/>
              <w:right w:val="single" w:sz="4" w:space="0" w:color="auto"/>
            </w:tcBorders>
            <w:shd w:val="clear" w:color="auto" w:fill="auto"/>
            <w:noWrap/>
            <w:vAlign w:val="center"/>
            <w:hideMark/>
          </w:tcPr>
          <w:p w14:paraId="3BA13BF9"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11,859</w:t>
            </w:r>
          </w:p>
        </w:tc>
        <w:tc>
          <w:tcPr>
            <w:tcW w:w="1450" w:type="dxa"/>
            <w:tcBorders>
              <w:top w:val="nil"/>
              <w:left w:val="nil"/>
              <w:bottom w:val="single" w:sz="4" w:space="0" w:color="auto"/>
              <w:right w:val="single" w:sz="4" w:space="0" w:color="auto"/>
            </w:tcBorders>
            <w:shd w:val="clear" w:color="auto" w:fill="auto"/>
            <w:noWrap/>
            <w:vAlign w:val="center"/>
            <w:hideMark/>
          </w:tcPr>
          <w:p w14:paraId="33869626"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150,219</w:t>
            </w:r>
          </w:p>
        </w:tc>
      </w:tr>
      <w:tr w:rsidR="00977693" w:rsidRPr="000C4609" w14:paraId="3C3EA125" w14:textId="77777777" w:rsidTr="00FE1263">
        <w:trPr>
          <w:trHeight w:val="3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DD6A623"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t>Peninsula Health</w:t>
            </w:r>
          </w:p>
        </w:tc>
        <w:tc>
          <w:tcPr>
            <w:tcW w:w="1449" w:type="dxa"/>
            <w:tcBorders>
              <w:top w:val="nil"/>
              <w:left w:val="nil"/>
              <w:bottom w:val="single" w:sz="4" w:space="0" w:color="auto"/>
              <w:right w:val="single" w:sz="4" w:space="0" w:color="auto"/>
            </w:tcBorders>
            <w:shd w:val="clear" w:color="auto" w:fill="auto"/>
            <w:noWrap/>
            <w:vAlign w:val="center"/>
            <w:hideMark/>
          </w:tcPr>
          <w:p w14:paraId="5EB07191"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73,350</w:t>
            </w:r>
          </w:p>
        </w:tc>
        <w:tc>
          <w:tcPr>
            <w:tcW w:w="1450" w:type="dxa"/>
            <w:tcBorders>
              <w:top w:val="nil"/>
              <w:left w:val="nil"/>
              <w:bottom w:val="single" w:sz="4" w:space="0" w:color="auto"/>
              <w:right w:val="single" w:sz="4" w:space="0" w:color="auto"/>
            </w:tcBorders>
            <w:shd w:val="clear" w:color="auto" w:fill="auto"/>
            <w:noWrap/>
            <w:vAlign w:val="center"/>
            <w:hideMark/>
          </w:tcPr>
          <w:p w14:paraId="3201B466"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17,244</w:t>
            </w:r>
          </w:p>
        </w:tc>
        <w:tc>
          <w:tcPr>
            <w:tcW w:w="1449" w:type="dxa"/>
            <w:tcBorders>
              <w:top w:val="nil"/>
              <w:left w:val="nil"/>
              <w:bottom w:val="single" w:sz="4" w:space="0" w:color="auto"/>
              <w:right w:val="single" w:sz="4" w:space="0" w:color="auto"/>
            </w:tcBorders>
            <w:shd w:val="clear" w:color="auto" w:fill="auto"/>
            <w:noWrap/>
            <w:vAlign w:val="center"/>
            <w:hideMark/>
          </w:tcPr>
          <w:p w14:paraId="0672760A"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70270DF5"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39,472</w:t>
            </w:r>
          </w:p>
        </w:tc>
        <w:tc>
          <w:tcPr>
            <w:tcW w:w="1449" w:type="dxa"/>
            <w:tcBorders>
              <w:top w:val="nil"/>
              <w:left w:val="nil"/>
              <w:bottom w:val="single" w:sz="4" w:space="0" w:color="auto"/>
              <w:right w:val="single" w:sz="4" w:space="0" w:color="auto"/>
            </w:tcBorders>
            <w:shd w:val="clear" w:color="auto" w:fill="auto"/>
            <w:noWrap/>
            <w:vAlign w:val="center"/>
            <w:hideMark/>
          </w:tcPr>
          <w:p w14:paraId="254F7647"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88</w:t>
            </w:r>
          </w:p>
        </w:tc>
        <w:tc>
          <w:tcPr>
            <w:tcW w:w="1450" w:type="dxa"/>
            <w:tcBorders>
              <w:top w:val="nil"/>
              <w:left w:val="nil"/>
              <w:bottom w:val="single" w:sz="4" w:space="0" w:color="auto"/>
              <w:right w:val="single" w:sz="4" w:space="0" w:color="auto"/>
            </w:tcBorders>
            <w:shd w:val="clear" w:color="auto" w:fill="auto"/>
            <w:noWrap/>
            <w:vAlign w:val="center"/>
            <w:hideMark/>
          </w:tcPr>
          <w:p w14:paraId="74794873"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1,387</w:t>
            </w:r>
          </w:p>
        </w:tc>
        <w:tc>
          <w:tcPr>
            <w:tcW w:w="1449" w:type="dxa"/>
            <w:tcBorders>
              <w:top w:val="nil"/>
              <w:left w:val="nil"/>
              <w:bottom w:val="single" w:sz="4" w:space="0" w:color="auto"/>
              <w:right w:val="single" w:sz="4" w:space="0" w:color="auto"/>
            </w:tcBorders>
            <w:shd w:val="clear" w:color="auto" w:fill="auto"/>
            <w:noWrap/>
            <w:vAlign w:val="center"/>
            <w:hideMark/>
          </w:tcPr>
          <w:p w14:paraId="6BDD48A1"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6,697</w:t>
            </w:r>
          </w:p>
        </w:tc>
        <w:tc>
          <w:tcPr>
            <w:tcW w:w="1450" w:type="dxa"/>
            <w:tcBorders>
              <w:top w:val="nil"/>
              <w:left w:val="nil"/>
              <w:bottom w:val="single" w:sz="4" w:space="0" w:color="auto"/>
              <w:right w:val="single" w:sz="4" w:space="0" w:color="auto"/>
            </w:tcBorders>
            <w:shd w:val="clear" w:color="auto" w:fill="auto"/>
            <w:noWrap/>
            <w:vAlign w:val="center"/>
            <w:hideMark/>
          </w:tcPr>
          <w:p w14:paraId="23383536"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9,158</w:t>
            </w:r>
          </w:p>
        </w:tc>
        <w:tc>
          <w:tcPr>
            <w:tcW w:w="1450" w:type="dxa"/>
            <w:tcBorders>
              <w:top w:val="nil"/>
              <w:left w:val="nil"/>
              <w:bottom w:val="single" w:sz="4" w:space="0" w:color="auto"/>
              <w:right w:val="single" w:sz="4" w:space="0" w:color="auto"/>
            </w:tcBorders>
            <w:shd w:val="clear" w:color="auto" w:fill="auto"/>
            <w:noWrap/>
            <w:vAlign w:val="center"/>
            <w:hideMark/>
          </w:tcPr>
          <w:p w14:paraId="3E5E21AC"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74,047</w:t>
            </w:r>
          </w:p>
        </w:tc>
      </w:tr>
      <w:tr w:rsidR="00977693" w:rsidRPr="000C4609" w14:paraId="2E9FBF6F" w14:textId="77777777" w:rsidTr="00FE1263">
        <w:trPr>
          <w:trHeight w:val="39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9B8E43A"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t>Peter MacCallum Cancer Institute</w:t>
            </w:r>
          </w:p>
        </w:tc>
        <w:tc>
          <w:tcPr>
            <w:tcW w:w="1449" w:type="dxa"/>
            <w:tcBorders>
              <w:top w:val="nil"/>
              <w:left w:val="nil"/>
              <w:bottom w:val="single" w:sz="4" w:space="0" w:color="auto"/>
              <w:right w:val="single" w:sz="4" w:space="0" w:color="auto"/>
            </w:tcBorders>
            <w:shd w:val="clear" w:color="auto" w:fill="auto"/>
            <w:noWrap/>
            <w:vAlign w:val="center"/>
            <w:hideMark/>
          </w:tcPr>
          <w:p w14:paraId="55187277"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175</w:t>
            </w:r>
          </w:p>
        </w:tc>
        <w:tc>
          <w:tcPr>
            <w:tcW w:w="1450" w:type="dxa"/>
            <w:tcBorders>
              <w:top w:val="nil"/>
              <w:left w:val="nil"/>
              <w:bottom w:val="single" w:sz="4" w:space="0" w:color="auto"/>
              <w:right w:val="single" w:sz="4" w:space="0" w:color="auto"/>
            </w:tcBorders>
            <w:shd w:val="clear" w:color="auto" w:fill="auto"/>
            <w:noWrap/>
            <w:vAlign w:val="center"/>
            <w:hideMark/>
          </w:tcPr>
          <w:p w14:paraId="25EC2090"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6EAA0C47"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0CA5E314"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53051D4D"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0642052B"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2DCCEF34"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537</w:t>
            </w:r>
          </w:p>
        </w:tc>
        <w:tc>
          <w:tcPr>
            <w:tcW w:w="1450" w:type="dxa"/>
            <w:tcBorders>
              <w:top w:val="nil"/>
              <w:left w:val="nil"/>
              <w:bottom w:val="single" w:sz="4" w:space="0" w:color="auto"/>
              <w:right w:val="single" w:sz="4" w:space="0" w:color="auto"/>
            </w:tcBorders>
            <w:shd w:val="clear" w:color="auto" w:fill="auto"/>
            <w:noWrap/>
            <w:vAlign w:val="center"/>
            <w:hideMark/>
          </w:tcPr>
          <w:p w14:paraId="2A017AA7"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15CB2D91"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537</w:t>
            </w:r>
          </w:p>
        </w:tc>
      </w:tr>
      <w:tr w:rsidR="00977693" w:rsidRPr="000C4609" w14:paraId="10E7B396" w14:textId="77777777" w:rsidTr="00FE1263">
        <w:trPr>
          <w:trHeight w:val="39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17FE229"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t>St Vincent’s Hospital Melbourne Limited</w:t>
            </w:r>
          </w:p>
        </w:tc>
        <w:tc>
          <w:tcPr>
            <w:tcW w:w="1449" w:type="dxa"/>
            <w:tcBorders>
              <w:top w:val="nil"/>
              <w:left w:val="nil"/>
              <w:bottom w:val="single" w:sz="4" w:space="0" w:color="auto"/>
              <w:right w:val="single" w:sz="4" w:space="0" w:color="auto"/>
            </w:tcBorders>
            <w:shd w:val="clear" w:color="auto" w:fill="auto"/>
            <w:noWrap/>
            <w:vAlign w:val="center"/>
            <w:hideMark/>
          </w:tcPr>
          <w:p w14:paraId="62141AC1"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84,602</w:t>
            </w:r>
          </w:p>
        </w:tc>
        <w:tc>
          <w:tcPr>
            <w:tcW w:w="1450" w:type="dxa"/>
            <w:tcBorders>
              <w:top w:val="nil"/>
              <w:left w:val="nil"/>
              <w:bottom w:val="single" w:sz="4" w:space="0" w:color="auto"/>
              <w:right w:val="single" w:sz="4" w:space="0" w:color="auto"/>
            </w:tcBorders>
            <w:shd w:val="clear" w:color="auto" w:fill="auto"/>
            <w:noWrap/>
            <w:vAlign w:val="center"/>
            <w:hideMark/>
          </w:tcPr>
          <w:p w14:paraId="3853527A"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25,338</w:t>
            </w:r>
          </w:p>
        </w:tc>
        <w:tc>
          <w:tcPr>
            <w:tcW w:w="1449" w:type="dxa"/>
            <w:tcBorders>
              <w:top w:val="nil"/>
              <w:left w:val="nil"/>
              <w:bottom w:val="single" w:sz="4" w:space="0" w:color="auto"/>
              <w:right w:val="single" w:sz="4" w:space="0" w:color="auto"/>
            </w:tcBorders>
            <w:shd w:val="clear" w:color="auto" w:fill="auto"/>
            <w:noWrap/>
            <w:vAlign w:val="center"/>
            <w:hideMark/>
          </w:tcPr>
          <w:p w14:paraId="6F8FEF87"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7FE50CBE"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42,864</w:t>
            </w:r>
          </w:p>
        </w:tc>
        <w:tc>
          <w:tcPr>
            <w:tcW w:w="1449" w:type="dxa"/>
            <w:tcBorders>
              <w:top w:val="nil"/>
              <w:left w:val="nil"/>
              <w:bottom w:val="single" w:sz="4" w:space="0" w:color="auto"/>
              <w:right w:val="single" w:sz="4" w:space="0" w:color="auto"/>
            </w:tcBorders>
            <w:shd w:val="clear" w:color="auto" w:fill="auto"/>
            <w:noWrap/>
            <w:vAlign w:val="center"/>
            <w:hideMark/>
          </w:tcPr>
          <w:p w14:paraId="1126DB39"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137</w:t>
            </w:r>
          </w:p>
        </w:tc>
        <w:tc>
          <w:tcPr>
            <w:tcW w:w="1450" w:type="dxa"/>
            <w:tcBorders>
              <w:top w:val="nil"/>
              <w:left w:val="nil"/>
              <w:bottom w:val="single" w:sz="4" w:space="0" w:color="auto"/>
              <w:right w:val="single" w:sz="4" w:space="0" w:color="auto"/>
            </w:tcBorders>
            <w:shd w:val="clear" w:color="auto" w:fill="auto"/>
            <w:noWrap/>
            <w:vAlign w:val="center"/>
            <w:hideMark/>
          </w:tcPr>
          <w:p w14:paraId="1AB4D979"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2,934</w:t>
            </w:r>
          </w:p>
        </w:tc>
        <w:tc>
          <w:tcPr>
            <w:tcW w:w="1449" w:type="dxa"/>
            <w:tcBorders>
              <w:top w:val="nil"/>
              <w:left w:val="nil"/>
              <w:bottom w:val="single" w:sz="4" w:space="0" w:color="auto"/>
              <w:right w:val="single" w:sz="4" w:space="0" w:color="auto"/>
            </w:tcBorders>
            <w:shd w:val="clear" w:color="auto" w:fill="auto"/>
            <w:noWrap/>
            <w:vAlign w:val="center"/>
            <w:hideMark/>
          </w:tcPr>
          <w:p w14:paraId="2707C08A"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7,980</w:t>
            </w:r>
          </w:p>
        </w:tc>
        <w:tc>
          <w:tcPr>
            <w:tcW w:w="1450" w:type="dxa"/>
            <w:tcBorders>
              <w:top w:val="nil"/>
              <w:left w:val="nil"/>
              <w:bottom w:val="single" w:sz="4" w:space="0" w:color="auto"/>
              <w:right w:val="single" w:sz="4" w:space="0" w:color="auto"/>
            </w:tcBorders>
            <w:shd w:val="clear" w:color="auto" w:fill="auto"/>
            <w:noWrap/>
            <w:vAlign w:val="center"/>
            <w:hideMark/>
          </w:tcPr>
          <w:p w14:paraId="6F722FD8"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6,679</w:t>
            </w:r>
          </w:p>
        </w:tc>
        <w:tc>
          <w:tcPr>
            <w:tcW w:w="1450" w:type="dxa"/>
            <w:tcBorders>
              <w:top w:val="nil"/>
              <w:left w:val="nil"/>
              <w:bottom w:val="single" w:sz="4" w:space="0" w:color="auto"/>
              <w:right w:val="single" w:sz="4" w:space="0" w:color="auto"/>
            </w:tcBorders>
            <w:shd w:val="clear" w:color="auto" w:fill="auto"/>
            <w:noWrap/>
            <w:vAlign w:val="center"/>
            <w:hideMark/>
          </w:tcPr>
          <w:p w14:paraId="0AA256C6"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85,931</w:t>
            </w:r>
          </w:p>
        </w:tc>
      </w:tr>
      <w:tr w:rsidR="00977693" w:rsidRPr="000C4609" w14:paraId="6A529108" w14:textId="77777777" w:rsidTr="00FE1263">
        <w:trPr>
          <w:trHeight w:val="39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3E14A2D"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t>The Royal Childrens Hospital</w:t>
            </w:r>
          </w:p>
        </w:tc>
        <w:tc>
          <w:tcPr>
            <w:tcW w:w="1449" w:type="dxa"/>
            <w:tcBorders>
              <w:top w:val="nil"/>
              <w:left w:val="nil"/>
              <w:bottom w:val="single" w:sz="4" w:space="0" w:color="auto"/>
              <w:right w:val="single" w:sz="4" w:space="0" w:color="auto"/>
            </w:tcBorders>
            <w:shd w:val="clear" w:color="auto" w:fill="auto"/>
            <w:noWrap/>
            <w:vAlign w:val="center"/>
            <w:hideMark/>
          </w:tcPr>
          <w:p w14:paraId="14E75B2B"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31,447</w:t>
            </w:r>
          </w:p>
        </w:tc>
        <w:tc>
          <w:tcPr>
            <w:tcW w:w="1450" w:type="dxa"/>
            <w:tcBorders>
              <w:top w:val="nil"/>
              <w:left w:val="nil"/>
              <w:bottom w:val="single" w:sz="4" w:space="0" w:color="auto"/>
              <w:right w:val="single" w:sz="4" w:space="0" w:color="auto"/>
            </w:tcBorders>
            <w:shd w:val="clear" w:color="auto" w:fill="auto"/>
            <w:noWrap/>
            <w:vAlign w:val="center"/>
            <w:hideMark/>
          </w:tcPr>
          <w:p w14:paraId="0AA14AA7"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5,782</w:t>
            </w:r>
          </w:p>
        </w:tc>
        <w:tc>
          <w:tcPr>
            <w:tcW w:w="1449" w:type="dxa"/>
            <w:tcBorders>
              <w:top w:val="nil"/>
              <w:left w:val="nil"/>
              <w:bottom w:val="single" w:sz="4" w:space="0" w:color="auto"/>
              <w:right w:val="single" w:sz="4" w:space="0" w:color="auto"/>
            </w:tcBorders>
            <w:shd w:val="clear" w:color="auto" w:fill="auto"/>
            <w:noWrap/>
            <w:vAlign w:val="center"/>
            <w:hideMark/>
          </w:tcPr>
          <w:p w14:paraId="68B9ADD3"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364E6A98"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24,687</w:t>
            </w:r>
          </w:p>
        </w:tc>
        <w:tc>
          <w:tcPr>
            <w:tcW w:w="1449" w:type="dxa"/>
            <w:tcBorders>
              <w:top w:val="nil"/>
              <w:left w:val="nil"/>
              <w:bottom w:val="single" w:sz="4" w:space="0" w:color="auto"/>
              <w:right w:val="single" w:sz="4" w:space="0" w:color="auto"/>
            </w:tcBorders>
            <w:shd w:val="clear" w:color="auto" w:fill="auto"/>
            <w:noWrap/>
            <w:vAlign w:val="center"/>
            <w:hideMark/>
          </w:tcPr>
          <w:p w14:paraId="795C151E"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210</w:t>
            </w:r>
          </w:p>
        </w:tc>
        <w:tc>
          <w:tcPr>
            <w:tcW w:w="1450" w:type="dxa"/>
            <w:tcBorders>
              <w:top w:val="nil"/>
              <w:left w:val="nil"/>
              <w:bottom w:val="single" w:sz="4" w:space="0" w:color="auto"/>
              <w:right w:val="single" w:sz="4" w:space="0" w:color="auto"/>
            </w:tcBorders>
            <w:shd w:val="clear" w:color="auto" w:fill="auto"/>
            <w:noWrap/>
            <w:vAlign w:val="center"/>
            <w:hideMark/>
          </w:tcPr>
          <w:p w14:paraId="5CA3202D"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791636FC"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3,304</w:t>
            </w:r>
          </w:p>
        </w:tc>
        <w:tc>
          <w:tcPr>
            <w:tcW w:w="1450" w:type="dxa"/>
            <w:tcBorders>
              <w:top w:val="nil"/>
              <w:left w:val="nil"/>
              <w:bottom w:val="single" w:sz="4" w:space="0" w:color="auto"/>
              <w:right w:val="single" w:sz="4" w:space="0" w:color="auto"/>
            </w:tcBorders>
            <w:shd w:val="clear" w:color="auto" w:fill="auto"/>
            <w:noWrap/>
            <w:vAlign w:val="center"/>
            <w:hideMark/>
          </w:tcPr>
          <w:p w14:paraId="64485D2D"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472B7C76"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33,983</w:t>
            </w:r>
          </w:p>
        </w:tc>
      </w:tr>
      <w:tr w:rsidR="00977693" w:rsidRPr="000C4609" w14:paraId="129C7FEA" w14:textId="77777777" w:rsidTr="00FE1263">
        <w:trPr>
          <w:trHeight w:val="58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C92DBC2"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lastRenderedPageBreak/>
              <w:t>The Royal Victorian Eye and Ear Hospital</w:t>
            </w:r>
          </w:p>
        </w:tc>
        <w:tc>
          <w:tcPr>
            <w:tcW w:w="1449" w:type="dxa"/>
            <w:tcBorders>
              <w:top w:val="nil"/>
              <w:left w:val="nil"/>
              <w:bottom w:val="single" w:sz="4" w:space="0" w:color="auto"/>
              <w:right w:val="single" w:sz="4" w:space="0" w:color="auto"/>
            </w:tcBorders>
            <w:shd w:val="clear" w:color="auto" w:fill="auto"/>
            <w:noWrap/>
            <w:vAlign w:val="center"/>
            <w:hideMark/>
          </w:tcPr>
          <w:p w14:paraId="2905AB59"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598B3133"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4BEB5063"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1D77BE28"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15C6D65B"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081A2206"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6D980629"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7C3145C2"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094E0EDA"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r>
      <w:tr w:rsidR="00977693" w:rsidRPr="000C4609" w14:paraId="2D0033A6" w14:textId="77777777" w:rsidTr="00FE1263">
        <w:trPr>
          <w:trHeight w:val="39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8E3E8C3"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t>The Royal Women’s Hospital</w:t>
            </w:r>
          </w:p>
        </w:tc>
        <w:tc>
          <w:tcPr>
            <w:tcW w:w="1449" w:type="dxa"/>
            <w:tcBorders>
              <w:top w:val="nil"/>
              <w:left w:val="nil"/>
              <w:bottom w:val="single" w:sz="4" w:space="0" w:color="auto"/>
              <w:right w:val="single" w:sz="4" w:space="0" w:color="auto"/>
            </w:tcBorders>
            <w:shd w:val="clear" w:color="auto" w:fill="auto"/>
            <w:noWrap/>
            <w:vAlign w:val="center"/>
            <w:hideMark/>
          </w:tcPr>
          <w:p w14:paraId="7A652F84"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963</w:t>
            </w:r>
          </w:p>
        </w:tc>
        <w:tc>
          <w:tcPr>
            <w:tcW w:w="1450" w:type="dxa"/>
            <w:tcBorders>
              <w:top w:val="nil"/>
              <w:left w:val="nil"/>
              <w:bottom w:val="single" w:sz="4" w:space="0" w:color="auto"/>
              <w:right w:val="single" w:sz="4" w:space="0" w:color="auto"/>
            </w:tcBorders>
            <w:shd w:val="clear" w:color="auto" w:fill="auto"/>
            <w:noWrap/>
            <w:vAlign w:val="center"/>
            <w:hideMark/>
          </w:tcPr>
          <w:p w14:paraId="16DCE161"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32BEF49F"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62BB3BF2"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495</w:t>
            </w:r>
          </w:p>
        </w:tc>
        <w:tc>
          <w:tcPr>
            <w:tcW w:w="1449" w:type="dxa"/>
            <w:tcBorders>
              <w:top w:val="nil"/>
              <w:left w:val="nil"/>
              <w:bottom w:val="single" w:sz="4" w:space="0" w:color="auto"/>
              <w:right w:val="single" w:sz="4" w:space="0" w:color="auto"/>
            </w:tcBorders>
            <w:shd w:val="clear" w:color="auto" w:fill="auto"/>
            <w:noWrap/>
            <w:vAlign w:val="center"/>
            <w:hideMark/>
          </w:tcPr>
          <w:p w14:paraId="43F797FE"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0C8EC664"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5C5D9902"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317</w:t>
            </w:r>
          </w:p>
        </w:tc>
        <w:tc>
          <w:tcPr>
            <w:tcW w:w="1450" w:type="dxa"/>
            <w:tcBorders>
              <w:top w:val="nil"/>
              <w:left w:val="nil"/>
              <w:bottom w:val="single" w:sz="4" w:space="0" w:color="auto"/>
              <w:right w:val="single" w:sz="4" w:space="0" w:color="auto"/>
            </w:tcBorders>
            <w:shd w:val="clear" w:color="auto" w:fill="auto"/>
            <w:noWrap/>
            <w:vAlign w:val="center"/>
            <w:hideMark/>
          </w:tcPr>
          <w:p w14:paraId="0DC3C1CA"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50" w:type="dxa"/>
            <w:tcBorders>
              <w:top w:val="nil"/>
              <w:left w:val="nil"/>
              <w:bottom w:val="single" w:sz="4" w:space="0" w:color="auto"/>
              <w:right w:val="single" w:sz="4" w:space="0" w:color="auto"/>
            </w:tcBorders>
            <w:shd w:val="clear" w:color="auto" w:fill="auto"/>
            <w:noWrap/>
            <w:vAlign w:val="center"/>
            <w:hideMark/>
          </w:tcPr>
          <w:p w14:paraId="29EE109E"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812</w:t>
            </w:r>
          </w:p>
        </w:tc>
      </w:tr>
      <w:tr w:rsidR="00977693" w:rsidRPr="000C4609" w14:paraId="21FA92F8" w14:textId="77777777" w:rsidTr="00FE1263">
        <w:trPr>
          <w:trHeight w:val="31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BCA2E42"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t>Western Health</w:t>
            </w:r>
          </w:p>
        </w:tc>
        <w:tc>
          <w:tcPr>
            <w:tcW w:w="1449" w:type="dxa"/>
            <w:tcBorders>
              <w:top w:val="nil"/>
              <w:left w:val="nil"/>
              <w:bottom w:val="single" w:sz="4" w:space="0" w:color="auto"/>
              <w:right w:val="single" w:sz="4" w:space="0" w:color="auto"/>
            </w:tcBorders>
            <w:shd w:val="clear" w:color="auto" w:fill="auto"/>
            <w:noWrap/>
            <w:vAlign w:val="center"/>
            <w:hideMark/>
          </w:tcPr>
          <w:p w14:paraId="165D9AB5"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5,695</w:t>
            </w:r>
          </w:p>
        </w:tc>
        <w:tc>
          <w:tcPr>
            <w:tcW w:w="1450" w:type="dxa"/>
            <w:tcBorders>
              <w:top w:val="nil"/>
              <w:left w:val="nil"/>
              <w:bottom w:val="single" w:sz="4" w:space="0" w:color="auto"/>
              <w:right w:val="single" w:sz="4" w:space="0" w:color="auto"/>
            </w:tcBorders>
            <w:shd w:val="clear" w:color="auto" w:fill="auto"/>
            <w:noWrap/>
            <w:vAlign w:val="center"/>
            <w:hideMark/>
          </w:tcPr>
          <w:p w14:paraId="2004C7A1"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55,056</w:t>
            </w:r>
          </w:p>
        </w:tc>
        <w:tc>
          <w:tcPr>
            <w:tcW w:w="1449" w:type="dxa"/>
            <w:tcBorders>
              <w:top w:val="nil"/>
              <w:left w:val="nil"/>
              <w:bottom w:val="single" w:sz="4" w:space="0" w:color="auto"/>
              <w:right w:val="single" w:sz="4" w:space="0" w:color="auto"/>
            </w:tcBorders>
            <w:shd w:val="clear" w:color="auto" w:fill="auto"/>
            <w:noWrap/>
            <w:vAlign w:val="center"/>
            <w:hideMark/>
          </w:tcPr>
          <w:p w14:paraId="726B35F7"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5,944</w:t>
            </w:r>
          </w:p>
        </w:tc>
        <w:tc>
          <w:tcPr>
            <w:tcW w:w="1450" w:type="dxa"/>
            <w:tcBorders>
              <w:top w:val="nil"/>
              <w:left w:val="nil"/>
              <w:bottom w:val="single" w:sz="4" w:space="0" w:color="auto"/>
              <w:right w:val="single" w:sz="4" w:space="0" w:color="auto"/>
            </w:tcBorders>
            <w:shd w:val="clear" w:color="auto" w:fill="auto"/>
            <w:noWrap/>
            <w:vAlign w:val="center"/>
            <w:hideMark/>
          </w:tcPr>
          <w:p w14:paraId="160233B4"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39,498</w:t>
            </w:r>
          </w:p>
        </w:tc>
        <w:tc>
          <w:tcPr>
            <w:tcW w:w="1449" w:type="dxa"/>
            <w:tcBorders>
              <w:top w:val="nil"/>
              <w:left w:val="nil"/>
              <w:bottom w:val="single" w:sz="4" w:space="0" w:color="auto"/>
              <w:right w:val="single" w:sz="4" w:space="0" w:color="auto"/>
            </w:tcBorders>
            <w:shd w:val="clear" w:color="auto" w:fill="auto"/>
            <w:noWrap/>
            <w:vAlign w:val="center"/>
            <w:hideMark/>
          </w:tcPr>
          <w:p w14:paraId="6D863450"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51</w:t>
            </w:r>
          </w:p>
        </w:tc>
        <w:tc>
          <w:tcPr>
            <w:tcW w:w="1450" w:type="dxa"/>
            <w:tcBorders>
              <w:top w:val="nil"/>
              <w:left w:val="nil"/>
              <w:bottom w:val="single" w:sz="4" w:space="0" w:color="auto"/>
              <w:right w:val="single" w:sz="4" w:space="0" w:color="auto"/>
            </w:tcBorders>
            <w:shd w:val="clear" w:color="auto" w:fill="auto"/>
            <w:noWrap/>
            <w:vAlign w:val="center"/>
            <w:hideMark/>
          </w:tcPr>
          <w:p w14:paraId="5091DC8B"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06C6A787"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4,874</w:t>
            </w:r>
          </w:p>
        </w:tc>
        <w:tc>
          <w:tcPr>
            <w:tcW w:w="1450" w:type="dxa"/>
            <w:tcBorders>
              <w:top w:val="nil"/>
              <w:left w:val="nil"/>
              <w:bottom w:val="single" w:sz="4" w:space="0" w:color="auto"/>
              <w:right w:val="single" w:sz="4" w:space="0" w:color="auto"/>
            </w:tcBorders>
            <w:shd w:val="clear" w:color="auto" w:fill="auto"/>
            <w:noWrap/>
            <w:vAlign w:val="center"/>
            <w:hideMark/>
          </w:tcPr>
          <w:p w14:paraId="0E159028"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11,600</w:t>
            </w:r>
          </w:p>
        </w:tc>
        <w:tc>
          <w:tcPr>
            <w:tcW w:w="1450" w:type="dxa"/>
            <w:tcBorders>
              <w:top w:val="nil"/>
              <w:left w:val="nil"/>
              <w:bottom w:val="single" w:sz="4" w:space="0" w:color="auto"/>
              <w:right w:val="single" w:sz="4" w:space="0" w:color="auto"/>
            </w:tcBorders>
            <w:shd w:val="clear" w:color="auto" w:fill="auto"/>
            <w:noWrap/>
            <w:vAlign w:val="center"/>
            <w:hideMark/>
          </w:tcPr>
          <w:p w14:paraId="6C480527"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117,023</w:t>
            </w:r>
          </w:p>
        </w:tc>
      </w:tr>
      <w:tr w:rsidR="00977693" w:rsidRPr="000C4609" w14:paraId="4B065E37" w14:textId="77777777" w:rsidTr="00FE1263">
        <w:trPr>
          <w:trHeight w:val="3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4E4F9DB" w14:textId="77777777" w:rsidR="00977693" w:rsidRPr="00977693" w:rsidRDefault="00977693" w:rsidP="003D68D1">
            <w:pPr>
              <w:spacing w:after="0" w:line="240" w:lineRule="auto"/>
              <w:rPr>
                <w:rFonts w:cs="Arial"/>
                <w:b/>
                <w:bCs/>
                <w:color w:val="000000"/>
                <w:sz w:val="16"/>
                <w:szCs w:val="16"/>
                <w:lang w:eastAsia="en-AU"/>
              </w:rPr>
            </w:pPr>
            <w:r w:rsidRPr="00977693">
              <w:rPr>
                <w:rFonts w:cs="Arial"/>
                <w:b/>
                <w:bCs/>
                <w:color w:val="000000"/>
                <w:sz w:val="16"/>
                <w:szCs w:val="16"/>
                <w:lang w:eastAsia="en-AU"/>
              </w:rPr>
              <w:t>Total</w:t>
            </w:r>
          </w:p>
        </w:tc>
        <w:tc>
          <w:tcPr>
            <w:tcW w:w="1449" w:type="dxa"/>
            <w:tcBorders>
              <w:top w:val="nil"/>
              <w:left w:val="nil"/>
              <w:bottom w:val="single" w:sz="4" w:space="0" w:color="auto"/>
              <w:right w:val="single" w:sz="4" w:space="0" w:color="auto"/>
            </w:tcBorders>
            <w:shd w:val="clear" w:color="auto" w:fill="auto"/>
            <w:noWrap/>
            <w:vAlign w:val="center"/>
            <w:hideMark/>
          </w:tcPr>
          <w:p w14:paraId="7F51FE27"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1,683,400</w:t>
            </w:r>
          </w:p>
        </w:tc>
        <w:tc>
          <w:tcPr>
            <w:tcW w:w="1450" w:type="dxa"/>
            <w:tcBorders>
              <w:top w:val="nil"/>
              <w:left w:val="nil"/>
              <w:bottom w:val="single" w:sz="4" w:space="0" w:color="auto"/>
              <w:right w:val="single" w:sz="4" w:space="0" w:color="auto"/>
            </w:tcBorders>
            <w:shd w:val="clear" w:color="auto" w:fill="auto"/>
            <w:noWrap/>
            <w:vAlign w:val="center"/>
            <w:hideMark/>
          </w:tcPr>
          <w:p w14:paraId="079015D5"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522,984</w:t>
            </w:r>
          </w:p>
        </w:tc>
        <w:tc>
          <w:tcPr>
            <w:tcW w:w="1449" w:type="dxa"/>
            <w:tcBorders>
              <w:top w:val="nil"/>
              <w:left w:val="nil"/>
              <w:bottom w:val="single" w:sz="4" w:space="0" w:color="auto"/>
              <w:right w:val="single" w:sz="4" w:space="0" w:color="auto"/>
            </w:tcBorders>
            <w:shd w:val="clear" w:color="auto" w:fill="auto"/>
            <w:noWrap/>
            <w:vAlign w:val="center"/>
            <w:hideMark/>
          </w:tcPr>
          <w:p w14:paraId="3DA24301"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32,455</w:t>
            </w:r>
          </w:p>
        </w:tc>
        <w:tc>
          <w:tcPr>
            <w:tcW w:w="1450" w:type="dxa"/>
            <w:tcBorders>
              <w:top w:val="nil"/>
              <w:left w:val="nil"/>
              <w:bottom w:val="single" w:sz="4" w:space="0" w:color="auto"/>
              <w:right w:val="single" w:sz="4" w:space="0" w:color="auto"/>
            </w:tcBorders>
            <w:shd w:val="clear" w:color="auto" w:fill="auto"/>
            <w:noWrap/>
            <w:vAlign w:val="center"/>
            <w:hideMark/>
          </w:tcPr>
          <w:p w14:paraId="14F140CD"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941,459</w:t>
            </w:r>
          </w:p>
        </w:tc>
        <w:tc>
          <w:tcPr>
            <w:tcW w:w="1449" w:type="dxa"/>
            <w:tcBorders>
              <w:top w:val="nil"/>
              <w:left w:val="nil"/>
              <w:bottom w:val="single" w:sz="4" w:space="0" w:color="auto"/>
              <w:right w:val="single" w:sz="4" w:space="0" w:color="auto"/>
            </w:tcBorders>
            <w:shd w:val="clear" w:color="auto" w:fill="auto"/>
            <w:noWrap/>
            <w:vAlign w:val="center"/>
            <w:hideMark/>
          </w:tcPr>
          <w:p w14:paraId="064FBE3C"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2,392</w:t>
            </w:r>
          </w:p>
        </w:tc>
        <w:tc>
          <w:tcPr>
            <w:tcW w:w="1450" w:type="dxa"/>
            <w:tcBorders>
              <w:top w:val="nil"/>
              <w:left w:val="nil"/>
              <w:bottom w:val="single" w:sz="4" w:space="0" w:color="auto"/>
              <w:right w:val="single" w:sz="4" w:space="0" w:color="auto"/>
            </w:tcBorders>
            <w:shd w:val="clear" w:color="auto" w:fill="auto"/>
            <w:noWrap/>
            <w:vAlign w:val="center"/>
            <w:hideMark/>
          </w:tcPr>
          <w:p w14:paraId="3C41BB65"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20,366</w:t>
            </w:r>
          </w:p>
        </w:tc>
        <w:tc>
          <w:tcPr>
            <w:tcW w:w="1449" w:type="dxa"/>
            <w:tcBorders>
              <w:top w:val="nil"/>
              <w:left w:val="nil"/>
              <w:bottom w:val="single" w:sz="4" w:space="0" w:color="auto"/>
              <w:right w:val="single" w:sz="4" w:space="0" w:color="auto"/>
            </w:tcBorders>
            <w:shd w:val="clear" w:color="auto" w:fill="auto"/>
            <w:noWrap/>
            <w:vAlign w:val="center"/>
            <w:hideMark/>
          </w:tcPr>
          <w:p w14:paraId="40BEE2FD"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117,841</w:t>
            </w:r>
          </w:p>
        </w:tc>
        <w:tc>
          <w:tcPr>
            <w:tcW w:w="1450" w:type="dxa"/>
            <w:tcBorders>
              <w:top w:val="nil"/>
              <w:left w:val="nil"/>
              <w:bottom w:val="single" w:sz="4" w:space="0" w:color="auto"/>
              <w:right w:val="single" w:sz="4" w:space="0" w:color="auto"/>
            </w:tcBorders>
            <w:shd w:val="clear" w:color="auto" w:fill="auto"/>
            <w:noWrap/>
            <w:vAlign w:val="center"/>
            <w:hideMark/>
          </w:tcPr>
          <w:p w14:paraId="7616E0D1"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131,764</w:t>
            </w:r>
          </w:p>
        </w:tc>
        <w:tc>
          <w:tcPr>
            <w:tcW w:w="1450" w:type="dxa"/>
            <w:tcBorders>
              <w:top w:val="nil"/>
              <w:left w:val="nil"/>
              <w:bottom w:val="single" w:sz="4" w:space="0" w:color="auto"/>
              <w:right w:val="single" w:sz="4" w:space="0" w:color="auto"/>
            </w:tcBorders>
            <w:shd w:val="clear" w:color="auto" w:fill="auto"/>
            <w:noWrap/>
            <w:vAlign w:val="center"/>
            <w:hideMark/>
          </w:tcPr>
          <w:p w14:paraId="66BBBB1E"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1,769,261</w:t>
            </w:r>
          </w:p>
        </w:tc>
      </w:tr>
    </w:tbl>
    <w:p w14:paraId="7F6A5435" w14:textId="2D2D820C" w:rsidR="00977693" w:rsidRDefault="00977693" w:rsidP="00977693">
      <w:pPr>
        <w:pStyle w:val="Body"/>
      </w:pPr>
    </w:p>
    <w:p w14:paraId="7A41093B" w14:textId="751BBAAE" w:rsidR="004756B4" w:rsidRDefault="004756B4" w:rsidP="00685B35">
      <w:pPr>
        <w:pStyle w:val="Bodyaftertablefigure"/>
        <w:keepNext/>
        <w:keepLines/>
        <w:spacing w:line="240" w:lineRule="auto"/>
      </w:pPr>
      <w:r>
        <w:t xml:space="preserve">Subregional and local </w:t>
      </w:r>
      <w:r w:rsidR="00AE4B75">
        <w:t>– $’000s</w:t>
      </w:r>
    </w:p>
    <w:tbl>
      <w:tblPr>
        <w:tblW w:w="14884" w:type="dxa"/>
        <w:tblInd w:w="-147" w:type="dxa"/>
        <w:tblLayout w:type="fixed"/>
        <w:tblLook w:val="04A0" w:firstRow="1" w:lastRow="0" w:firstColumn="1" w:lastColumn="0" w:noHBand="0" w:noVBand="1"/>
      </w:tblPr>
      <w:tblGrid>
        <w:gridCol w:w="1843"/>
        <w:gridCol w:w="1449"/>
        <w:gridCol w:w="1449"/>
        <w:gridCol w:w="1449"/>
        <w:gridCol w:w="1449"/>
        <w:gridCol w:w="1449"/>
        <w:gridCol w:w="1449"/>
        <w:gridCol w:w="1449"/>
        <w:gridCol w:w="1449"/>
        <w:gridCol w:w="1449"/>
      </w:tblGrid>
      <w:tr w:rsidR="008428AF" w:rsidRPr="00AF3EDE" w14:paraId="6BC396AF" w14:textId="77777777" w:rsidTr="00FE1263">
        <w:trPr>
          <w:trHeight w:val="900"/>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442E6FD" w14:textId="77777777" w:rsidR="00977693" w:rsidRPr="00AF3EDE" w:rsidRDefault="00977693" w:rsidP="003D68D1">
            <w:pPr>
              <w:spacing w:after="0" w:line="240" w:lineRule="auto"/>
              <w:rPr>
                <w:rFonts w:cs="Arial"/>
                <w:b/>
                <w:bCs/>
                <w:color w:val="53565A"/>
                <w:sz w:val="16"/>
                <w:szCs w:val="16"/>
                <w:lang w:eastAsia="en-AU"/>
              </w:rPr>
            </w:pPr>
            <w:r w:rsidRPr="00AF3EDE">
              <w:rPr>
                <w:rFonts w:cs="Arial"/>
                <w:b/>
                <w:bCs/>
                <w:color w:val="53565A"/>
                <w:sz w:val="16"/>
                <w:szCs w:val="16"/>
                <w:lang w:eastAsia="en-AU"/>
              </w:rPr>
              <w:t xml:space="preserve">Health service </w:t>
            </w:r>
          </w:p>
        </w:tc>
        <w:tc>
          <w:tcPr>
            <w:tcW w:w="1449" w:type="dxa"/>
            <w:tcBorders>
              <w:top w:val="single" w:sz="4" w:space="0" w:color="auto"/>
              <w:left w:val="nil"/>
              <w:bottom w:val="single" w:sz="4" w:space="0" w:color="auto"/>
              <w:right w:val="single" w:sz="4" w:space="0" w:color="auto"/>
            </w:tcBorders>
            <w:shd w:val="clear" w:color="auto" w:fill="auto"/>
            <w:hideMark/>
          </w:tcPr>
          <w:p w14:paraId="25A464B5" w14:textId="77777777" w:rsidR="00977693" w:rsidRPr="00AF3EDE" w:rsidRDefault="00977693"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 xml:space="preserve">2022-2023 </w:t>
            </w:r>
            <w:r w:rsidRPr="00AF3EDE">
              <w:rPr>
                <w:rFonts w:cs="Arial"/>
                <w:b/>
                <w:bCs/>
                <w:color w:val="53565A"/>
                <w:sz w:val="16"/>
                <w:szCs w:val="16"/>
                <w:lang w:eastAsia="en-AU"/>
              </w:rPr>
              <w:br/>
              <w:t>Total</w:t>
            </w:r>
          </w:p>
        </w:tc>
        <w:tc>
          <w:tcPr>
            <w:tcW w:w="1449" w:type="dxa"/>
            <w:tcBorders>
              <w:top w:val="single" w:sz="4" w:space="0" w:color="auto"/>
              <w:left w:val="nil"/>
              <w:bottom w:val="single" w:sz="4" w:space="0" w:color="auto"/>
              <w:right w:val="single" w:sz="4" w:space="0" w:color="auto"/>
            </w:tcBorders>
            <w:shd w:val="clear" w:color="auto" w:fill="auto"/>
            <w:hideMark/>
          </w:tcPr>
          <w:p w14:paraId="2EB843B4" w14:textId="77777777" w:rsidR="00977693" w:rsidRPr="00AF3EDE" w:rsidRDefault="00977693"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sidRPr="00AF3EDE">
              <w:rPr>
                <w:rFonts w:cs="Arial"/>
                <w:b/>
                <w:bCs/>
                <w:color w:val="53565A"/>
                <w:sz w:val="16"/>
                <w:szCs w:val="16"/>
                <w:lang w:eastAsia="en-AU"/>
              </w:rPr>
              <w:br/>
              <w:t>Acute</w:t>
            </w:r>
          </w:p>
        </w:tc>
        <w:tc>
          <w:tcPr>
            <w:tcW w:w="1449" w:type="dxa"/>
            <w:tcBorders>
              <w:top w:val="single" w:sz="4" w:space="0" w:color="auto"/>
              <w:left w:val="nil"/>
              <w:bottom w:val="single" w:sz="4" w:space="0" w:color="auto"/>
              <w:right w:val="single" w:sz="4" w:space="0" w:color="auto"/>
            </w:tcBorders>
            <w:shd w:val="clear" w:color="auto" w:fill="auto"/>
            <w:hideMark/>
          </w:tcPr>
          <w:p w14:paraId="6E0A22F6" w14:textId="77777777" w:rsidR="00977693" w:rsidRPr="00AF3EDE" w:rsidRDefault="00977693"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sidRPr="00AF3EDE">
              <w:rPr>
                <w:rFonts w:cs="Arial"/>
                <w:b/>
                <w:bCs/>
                <w:color w:val="53565A"/>
                <w:sz w:val="16"/>
                <w:szCs w:val="16"/>
                <w:lang w:eastAsia="en-AU"/>
              </w:rPr>
              <w:br/>
              <w:t>Non Acute</w:t>
            </w:r>
          </w:p>
        </w:tc>
        <w:tc>
          <w:tcPr>
            <w:tcW w:w="1449" w:type="dxa"/>
            <w:tcBorders>
              <w:top w:val="single" w:sz="4" w:space="0" w:color="auto"/>
              <w:left w:val="nil"/>
              <w:bottom w:val="single" w:sz="4" w:space="0" w:color="auto"/>
              <w:right w:val="single" w:sz="4" w:space="0" w:color="auto"/>
            </w:tcBorders>
            <w:shd w:val="clear" w:color="auto" w:fill="auto"/>
            <w:hideMark/>
          </w:tcPr>
          <w:p w14:paraId="15EC17A7" w14:textId="77777777" w:rsidR="00977693" w:rsidRPr="00AF3EDE" w:rsidRDefault="00977693"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sidRPr="00AF3EDE">
              <w:rPr>
                <w:rFonts w:cs="Arial"/>
                <w:b/>
                <w:bCs/>
                <w:color w:val="53565A"/>
                <w:sz w:val="16"/>
                <w:szCs w:val="16"/>
                <w:lang w:eastAsia="en-AU"/>
              </w:rPr>
              <w:br/>
              <w:t>Ambulatory</w:t>
            </w:r>
          </w:p>
        </w:tc>
        <w:tc>
          <w:tcPr>
            <w:tcW w:w="1449" w:type="dxa"/>
            <w:tcBorders>
              <w:top w:val="single" w:sz="4" w:space="0" w:color="auto"/>
              <w:left w:val="nil"/>
              <w:bottom w:val="single" w:sz="4" w:space="0" w:color="auto"/>
              <w:right w:val="single" w:sz="4" w:space="0" w:color="auto"/>
            </w:tcBorders>
            <w:shd w:val="clear" w:color="auto" w:fill="auto"/>
            <w:hideMark/>
          </w:tcPr>
          <w:p w14:paraId="1D5424E2" w14:textId="77777777" w:rsidR="00977693" w:rsidRPr="00AF3EDE" w:rsidRDefault="00977693"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 Psychosocial Rehabilitation &amp; Support</w:t>
            </w:r>
          </w:p>
        </w:tc>
        <w:tc>
          <w:tcPr>
            <w:tcW w:w="1449" w:type="dxa"/>
            <w:tcBorders>
              <w:top w:val="single" w:sz="4" w:space="0" w:color="auto"/>
              <w:left w:val="nil"/>
              <w:bottom w:val="single" w:sz="4" w:space="0" w:color="auto"/>
              <w:right w:val="single" w:sz="4" w:space="0" w:color="auto"/>
            </w:tcBorders>
            <w:shd w:val="clear" w:color="auto" w:fill="auto"/>
            <w:hideMark/>
          </w:tcPr>
          <w:p w14:paraId="4017A2F5" w14:textId="77777777" w:rsidR="00977693" w:rsidRPr="00AF3EDE" w:rsidRDefault="00977693"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sidRPr="00AF3EDE">
              <w:rPr>
                <w:rFonts w:cs="Arial"/>
                <w:b/>
                <w:bCs/>
                <w:color w:val="53565A"/>
                <w:sz w:val="16"/>
                <w:szCs w:val="16"/>
                <w:lang w:eastAsia="en-AU"/>
              </w:rPr>
              <w:br/>
              <w:t>Residential</w:t>
            </w:r>
          </w:p>
        </w:tc>
        <w:tc>
          <w:tcPr>
            <w:tcW w:w="1449" w:type="dxa"/>
            <w:tcBorders>
              <w:top w:val="single" w:sz="4" w:space="0" w:color="auto"/>
              <w:left w:val="nil"/>
              <w:bottom w:val="single" w:sz="4" w:space="0" w:color="auto"/>
              <w:right w:val="single" w:sz="4" w:space="0" w:color="auto"/>
            </w:tcBorders>
            <w:shd w:val="clear" w:color="auto" w:fill="auto"/>
            <w:hideMark/>
          </w:tcPr>
          <w:p w14:paraId="65D354F6" w14:textId="77777777" w:rsidR="00977693" w:rsidRPr="00AF3EDE" w:rsidRDefault="00977693"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sidRPr="00AF3EDE">
              <w:rPr>
                <w:rFonts w:cs="Arial"/>
                <w:b/>
                <w:bCs/>
                <w:color w:val="53565A"/>
                <w:sz w:val="16"/>
                <w:szCs w:val="16"/>
                <w:lang w:eastAsia="en-AU"/>
              </w:rPr>
              <w:br/>
              <w:t>Service System Capacity</w:t>
            </w:r>
          </w:p>
        </w:tc>
        <w:tc>
          <w:tcPr>
            <w:tcW w:w="1449" w:type="dxa"/>
            <w:tcBorders>
              <w:top w:val="single" w:sz="4" w:space="0" w:color="auto"/>
              <w:left w:val="nil"/>
              <w:bottom w:val="single" w:sz="4" w:space="0" w:color="auto"/>
              <w:right w:val="single" w:sz="4" w:space="0" w:color="auto"/>
            </w:tcBorders>
            <w:shd w:val="clear" w:color="auto" w:fill="auto"/>
            <w:hideMark/>
          </w:tcPr>
          <w:p w14:paraId="776F57E7" w14:textId="77777777" w:rsidR="00977693" w:rsidRPr="00AF3EDE" w:rsidRDefault="00977693"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sidRPr="00AF3EDE">
              <w:rPr>
                <w:rFonts w:cs="Arial"/>
                <w:b/>
                <w:bCs/>
                <w:color w:val="53565A"/>
                <w:sz w:val="16"/>
                <w:szCs w:val="16"/>
                <w:lang w:eastAsia="en-AU"/>
              </w:rPr>
              <w:br/>
              <w:t>Subacute</w:t>
            </w:r>
          </w:p>
        </w:tc>
        <w:tc>
          <w:tcPr>
            <w:tcW w:w="1449" w:type="dxa"/>
            <w:tcBorders>
              <w:top w:val="single" w:sz="4" w:space="0" w:color="auto"/>
              <w:left w:val="nil"/>
              <w:bottom w:val="single" w:sz="4" w:space="0" w:color="auto"/>
              <w:right w:val="single" w:sz="4" w:space="0" w:color="auto"/>
            </w:tcBorders>
            <w:shd w:val="clear" w:color="auto" w:fill="auto"/>
            <w:hideMark/>
          </w:tcPr>
          <w:p w14:paraId="058C2066" w14:textId="77777777" w:rsidR="00977693" w:rsidRPr="00AF3EDE" w:rsidRDefault="00977693"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sidRPr="00AF3EDE">
              <w:rPr>
                <w:rFonts w:cs="Arial"/>
                <w:b/>
                <w:bCs/>
                <w:color w:val="53565A"/>
                <w:sz w:val="16"/>
                <w:szCs w:val="16"/>
                <w:lang w:eastAsia="en-AU"/>
              </w:rPr>
              <w:br/>
              <w:t>Total</w:t>
            </w:r>
          </w:p>
        </w:tc>
      </w:tr>
      <w:tr w:rsidR="008428AF" w:rsidRPr="00AF3EDE" w14:paraId="18A3C456" w14:textId="77777777" w:rsidTr="00FE1263">
        <w:trPr>
          <w:trHeight w:val="42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978A92A"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t>Mildura Base Public Hospital</w:t>
            </w:r>
          </w:p>
        </w:tc>
        <w:tc>
          <w:tcPr>
            <w:tcW w:w="1449" w:type="dxa"/>
            <w:tcBorders>
              <w:top w:val="nil"/>
              <w:left w:val="nil"/>
              <w:bottom w:val="single" w:sz="4" w:space="0" w:color="auto"/>
              <w:right w:val="single" w:sz="4" w:space="0" w:color="auto"/>
            </w:tcBorders>
            <w:shd w:val="clear" w:color="auto" w:fill="auto"/>
            <w:noWrap/>
            <w:vAlign w:val="center"/>
            <w:hideMark/>
          </w:tcPr>
          <w:p w14:paraId="34FE982F"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25,966</w:t>
            </w:r>
          </w:p>
        </w:tc>
        <w:tc>
          <w:tcPr>
            <w:tcW w:w="1449" w:type="dxa"/>
            <w:tcBorders>
              <w:top w:val="nil"/>
              <w:left w:val="nil"/>
              <w:bottom w:val="single" w:sz="4" w:space="0" w:color="auto"/>
              <w:right w:val="single" w:sz="4" w:space="0" w:color="auto"/>
            </w:tcBorders>
            <w:shd w:val="clear" w:color="auto" w:fill="auto"/>
            <w:noWrap/>
            <w:vAlign w:val="center"/>
            <w:hideMark/>
          </w:tcPr>
          <w:p w14:paraId="26211A71"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4,622</w:t>
            </w:r>
          </w:p>
        </w:tc>
        <w:tc>
          <w:tcPr>
            <w:tcW w:w="1449" w:type="dxa"/>
            <w:tcBorders>
              <w:top w:val="nil"/>
              <w:left w:val="nil"/>
              <w:bottom w:val="single" w:sz="4" w:space="0" w:color="auto"/>
              <w:right w:val="single" w:sz="4" w:space="0" w:color="auto"/>
            </w:tcBorders>
            <w:shd w:val="clear" w:color="auto" w:fill="auto"/>
            <w:noWrap/>
            <w:vAlign w:val="center"/>
            <w:hideMark/>
          </w:tcPr>
          <w:p w14:paraId="5F0032F2"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25AF5C36"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15,141</w:t>
            </w:r>
          </w:p>
        </w:tc>
        <w:tc>
          <w:tcPr>
            <w:tcW w:w="1449" w:type="dxa"/>
            <w:tcBorders>
              <w:top w:val="nil"/>
              <w:left w:val="nil"/>
              <w:bottom w:val="single" w:sz="4" w:space="0" w:color="auto"/>
              <w:right w:val="single" w:sz="4" w:space="0" w:color="auto"/>
            </w:tcBorders>
            <w:shd w:val="clear" w:color="auto" w:fill="auto"/>
            <w:noWrap/>
            <w:vAlign w:val="center"/>
            <w:hideMark/>
          </w:tcPr>
          <w:p w14:paraId="5371457A"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91</w:t>
            </w:r>
          </w:p>
        </w:tc>
        <w:tc>
          <w:tcPr>
            <w:tcW w:w="1449" w:type="dxa"/>
            <w:tcBorders>
              <w:top w:val="nil"/>
              <w:left w:val="nil"/>
              <w:bottom w:val="single" w:sz="4" w:space="0" w:color="auto"/>
              <w:right w:val="single" w:sz="4" w:space="0" w:color="auto"/>
            </w:tcBorders>
            <w:shd w:val="clear" w:color="auto" w:fill="auto"/>
            <w:noWrap/>
            <w:vAlign w:val="center"/>
            <w:hideMark/>
          </w:tcPr>
          <w:p w14:paraId="3B834C90"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371CF1BA"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4,395</w:t>
            </w:r>
          </w:p>
        </w:tc>
        <w:tc>
          <w:tcPr>
            <w:tcW w:w="1449" w:type="dxa"/>
            <w:tcBorders>
              <w:top w:val="nil"/>
              <w:left w:val="nil"/>
              <w:bottom w:val="single" w:sz="4" w:space="0" w:color="auto"/>
              <w:right w:val="single" w:sz="4" w:space="0" w:color="auto"/>
            </w:tcBorders>
            <w:shd w:val="clear" w:color="auto" w:fill="auto"/>
            <w:noWrap/>
            <w:vAlign w:val="center"/>
            <w:hideMark/>
          </w:tcPr>
          <w:p w14:paraId="6C7235FF"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2,077</w:t>
            </w:r>
          </w:p>
        </w:tc>
        <w:tc>
          <w:tcPr>
            <w:tcW w:w="1449" w:type="dxa"/>
            <w:tcBorders>
              <w:top w:val="nil"/>
              <w:left w:val="nil"/>
              <w:bottom w:val="single" w:sz="4" w:space="0" w:color="auto"/>
              <w:right w:val="single" w:sz="4" w:space="0" w:color="auto"/>
            </w:tcBorders>
            <w:shd w:val="clear" w:color="auto" w:fill="auto"/>
            <w:noWrap/>
            <w:vAlign w:val="center"/>
            <w:hideMark/>
          </w:tcPr>
          <w:p w14:paraId="748E7823"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26,327</w:t>
            </w:r>
          </w:p>
        </w:tc>
      </w:tr>
      <w:tr w:rsidR="008428AF" w:rsidRPr="00AF3EDE" w14:paraId="3CA236A4" w14:textId="77777777" w:rsidTr="00FE1263">
        <w:trPr>
          <w:trHeight w:val="42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DAFE730"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t>South West Healthcare</w:t>
            </w:r>
          </w:p>
        </w:tc>
        <w:tc>
          <w:tcPr>
            <w:tcW w:w="1449" w:type="dxa"/>
            <w:tcBorders>
              <w:top w:val="nil"/>
              <w:left w:val="nil"/>
              <w:bottom w:val="single" w:sz="4" w:space="0" w:color="auto"/>
              <w:right w:val="single" w:sz="4" w:space="0" w:color="auto"/>
            </w:tcBorders>
            <w:shd w:val="clear" w:color="auto" w:fill="auto"/>
            <w:noWrap/>
            <w:vAlign w:val="center"/>
            <w:hideMark/>
          </w:tcPr>
          <w:p w14:paraId="4045155F"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34,832</w:t>
            </w:r>
          </w:p>
        </w:tc>
        <w:tc>
          <w:tcPr>
            <w:tcW w:w="1449" w:type="dxa"/>
            <w:tcBorders>
              <w:top w:val="nil"/>
              <w:left w:val="nil"/>
              <w:bottom w:val="single" w:sz="4" w:space="0" w:color="auto"/>
              <w:right w:val="single" w:sz="4" w:space="0" w:color="auto"/>
            </w:tcBorders>
            <w:shd w:val="clear" w:color="auto" w:fill="auto"/>
            <w:noWrap/>
            <w:vAlign w:val="center"/>
            <w:hideMark/>
          </w:tcPr>
          <w:p w14:paraId="3551BDCC"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6,933</w:t>
            </w:r>
          </w:p>
        </w:tc>
        <w:tc>
          <w:tcPr>
            <w:tcW w:w="1449" w:type="dxa"/>
            <w:tcBorders>
              <w:top w:val="nil"/>
              <w:left w:val="nil"/>
              <w:bottom w:val="single" w:sz="4" w:space="0" w:color="auto"/>
              <w:right w:val="single" w:sz="4" w:space="0" w:color="auto"/>
            </w:tcBorders>
            <w:shd w:val="clear" w:color="auto" w:fill="auto"/>
            <w:noWrap/>
            <w:vAlign w:val="center"/>
            <w:hideMark/>
          </w:tcPr>
          <w:p w14:paraId="1BEAFE3F"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21288723"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21,058</w:t>
            </w:r>
          </w:p>
        </w:tc>
        <w:tc>
          <w:tcPr>
            <w:tcW w:w="1449" w:type="dxa"/>
            <w:tcBorders>
              <w:top w:val="nil"/>
              <w:left w:val="nil"/>
              <w:bottom w:val="single" w:sz="4" w:space="0" w:color="auto"/>
              <w:right w:val="single" w:sz="4" w:space="0" w:color="auto"/>
            </w:tcBorders>
            <w:shd w:val="clear" w:color="auto" w:fill="auto"/>
            <w:noWrap/>
            <w:vAlign w:val="center"/>
            <w:hideMark/>
          </w:tcPr>
          <w:p w14:paraId="2AD511CC"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100</w:t>
            </w:r>
          </w:p>
        </w:tc>
        <w:tc>
          <w:tcPr>
            <w:tcW w:w="1449" w:type="dxa"/>
            <w:tcBorders>
              <w:top w:val="nil"/>
              <w:left w:val="nil"/>
              <w:bottom w:val="single" w:sz="4" w:space="0" w:color="auto"/>
              <w:right w:val="single" w:sz="4" w:space="0" w:color="auto"/>
            </w:tcBorders>
            <w:shd w:val="clear" w:color="auto" w:fill="auto"/>
            <w:noWrap/>
            <w:vAlign w:val="center"/>
            <w:hideMark/>
          </w:tcPr>
          <w:p w14:paraId="4B188EE8"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082F4548"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5,268</w:t>
            </w:r>
          </w:p>
        </w:tc>
        <w:tc>
          <w:tcPr>
            <w:tcW w:w="1449" w:type="dxa"/>
            <w:tcBorders>
              <w:top w:val="nil"/>
              <w:left w:val="nil"/>
              <w:bottom w:val="single" w:sz="4" w:space="0" w:color="auto"/>
              <w:right w:val="single" w:sz="4" w:space="0" w:color="auto"/>
            </w:tcBorders>
            <w:shd w:val="clear" w:color="auto" w:fill="auto"/>
            <w:noWrap/>
            <w:vAlign w:val="center"/>
            <w:hideMark/>
          </w:tcPr>
          <w:p w14:paraId="18819D52"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3,115</w:t>
            </w:r>
          </w:p>
        </w:tc>
        <w:tc>
          <w:tcPr>
            <w:tcW w:w="1449" w:type="dxa"/>
            <w:tcBorders>
              <w:top w:val="nil"/>
              <w:left w:val="nil"/>
              <w:bottom w:val="single" w:sz="4" w:space="0" w:color="auto"/>
              <w:right w:val="single" w:sz="4" w:space="0" w:color="auto"/>
            </w:tcBorders>
            <w:shd w:val="clear" w:color="auto" w:fill="auto"/>
            <w:noWrap/>
            <w:vAlign w:val="center"/>
            <w:hideMark/>
          </w:tcPr>
          <w:p w14:paraId="3F7D152D"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36,474</w:t>
            </w:r>
          </w:p>
        </w:tc>
      </w:tr>
      <w:tr w:rsidR="008428AF" w:rsidRPr="00AF3EDE" w14:paraId="75FC56EF" w14:textId="77777777" w:rsidTr="00FE1263">
        <w:trPr>
          <w:trHeight w:val="42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616FC82"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t>Western District Health Service</w:t>
            </w:r>
          </w:p>
        </w:tc>
        <w:tc>
          <w:tcPr>
            <w:tcW w:w="1449" w:type="dxa"/>
            <w:tcBorders>
              <w:top w:val="nil"/>
              <w:left w:val="nil"/>
              <w:bottom w:val="single" w:sz="4" w:space="0" w:color="auto"/>
              <w:right w:val="single" w:sz="4" w:space="0" w:color="auto"/>
            </w:tcBorders>
            <w:shd w:val="clear" w:color="auto" w:fill="auto"/>
            <w:noWrap/>
            <w:vAlign w:val="center"/>
            <w:hideMark/>
          </w:tcPr>
          <w:p w14:paraId="2AE1D348"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119</w:t>
            </w:r>
          </w:p>
        </w:tc>
        <w:tc>
          <w:tcPr>
            <w:tcW w:w="1449" w:type="dxa"/>
            <w:tcBorders>
              <w:top w:val="nil"/>
              <w:left w:val="nil"/>
              <w:bottom w:val="single" w:sz="4" w:space="0" w:color="auto"/>
              <w:right w:val="single" w:sz="4" w:space="0" w:color="auto"/>
            </w:tcBorders>
            <w:shd w:val="clear" w:color="auto" w:fill="auto"/>
            <w:noWrap/>
            <w:vAlign w:val="center"/>
            <w:hideMark/>
          </w:tcPr>
          <w:p w14:paraId="347332A5"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426AB457"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129543A0"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035018B0"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32CFB6F5"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121</w:t>
            </w:r>
          </w:p>
        </w:tc>
        <w:tc>
          <w:tcPr>
            <w:tcW w:w="1449" w:type="dxa"/>
            <w:tcBorders>
              <w:top w:val="nil"/>
              <w:left w:val="nil"/>
              <w:bottom w:val="single" w:sz="4" w:space="0" w:color="auto"/>
              <w:right w:val="single" w:sz="4" w:space="0" w:color="auto"/>
            </w:tcBorders>
            <w:shd w:val="clear" w:color="auto" w:fill="auto"/>
            <w:noWrap/>
            <w:vAlign w:val="center"/>
            <w:hideMark/>
          </w:tcPr>
          <w:p w14:paraId="65AAB67C"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6127AFF3"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4A95F59D"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121</w:t>
            </w:r>
          </w:p>
        </w:tc>
      </w:tr>
      <w:tr w:rsidR="008428AF" w:rsidRPr="00AF3EDE" w14:paraId="636D584B" w14:textId="77777777" w:rsidTr="00FE1263">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C9FF2ED" w14:textId="77777777" w:rsidR="00977693" w:rsidRPr="00977693" w:rsidRDefault="00977693" w:rsidP="003D68D1">
            <w:pPr>
              <w:spacing w:after="0" w:line="240" w:lineRule="auto"/>
              <w:rPr>
                <w:rFonts w:cs="Arial"/>
                <w:b/>
                <w:bCs/>
                <w:color w:val="000000"/>
                <w:sz w:val="16"/>
                <w:szCs w:val="16"/>
                <w:lang w:eastAsia="en-AU"/>
              </w:rPr>
            </w:pPr>
            <w:r w:rsidRPr="00977693">
              <w:rPr>
                <w:rFonts w:cs="Arial"/>
                <w:b/>
                <w:bCs/>
                <w:color w:val="000000"/>
                <w:sz w:val="16"/>
                <w:szCs w:val="16"/>
                <w:lang w:eastAsia="en-AU"/>
              </w:rPr>
              <w:t>Total</w:t>
            </w:r>
          </w:p>
        </w:tc>
        <w:tc>
          <w:tcPr>
            <w:tcW w:w="1449" w:type="dxa"/>
            <w:tcBorders>
              <w:top w:val="nil"/>
              <w:left w:val="nil"/>
              <w:bottom w:val="single" w:sz="4" w:space="0" w:color="auto"/>
              <w:right w:val="single" w:sz="4" w:space="0" w:color="auto"/>
            </w:tcBorders>
            <w:shd w:val="clear" w:color="auto" w:fill="auto"/>
            <w:noWrap/>
            <w:vAlign w:val="center"/>
            <w:hideMark/>
          </w:tcPr>
          <w:p w14:paraId="4F3761B6"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60,916</w:t>
            </w:r>
          </w:p>
        </w:tc>
        <w:tc>
          <w:tcPr>
            <w:tcW w:w="1449" w:type="dxa"/>
            <w:tcBorders>
              <w:top w:val="nil"/>
              <w:left w:val="nil"/>
              <w:bottom w:val="single" w:sz="4" w:space="0" w:color="auto"/>
              <w:right w:val="single" w:sz="4" w:space="0" w:color="auto"/>
            </w:tcBorders>
            <w:shd w:val="clear" w:color="auto" w:fill="auto"/>
            <w:noWrap/>
            <w:vAlign w:val="center"/>
            <w:hideMark/>
          </w:tcPr>
          <w:p w14:paraId="1AAC6773"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11,555</w:t>
            </w:r>
          </w:p>
        </w:tc>
        <w:tc>
          <w:tcPr>
            <w:tcW w:w="1449" w:type="dxa"/>
            <w:tcBorders>
              <w:top w:val="nil"/>
              <w:left w:val="nil"/>
              <w:bottom w:val="single" w:sz="4" w:space="0" w:color="auto"/>
              <w:right w:val="single" w:sz="4" w:space="0" w:color="auto"/>
            </w:tcBorders>
            <w:shd w:val="clear" w:color="auto" w:fill="auto"/>
            <w:noWrap/>
            <w:vAlign w:val="center"/>
            <w:hideMark/>
          </w:tcPr>
          <w:p w14:paraId="63096291"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7A1752ED"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36,199</w:t>
            </w:r>
          </w:p>
        </w:tc>
        <w:tc>
          <w:tcPr>
            <w:tcW w:w="1449" w:type="dxa"/>
            <w:tcBorders>
              <w:top w:val="nil"/>
              <w:left w:val="nil"/>
              <w:bottom w:val="single" w:sz="4" w:space="0" w:color="auto"/>
              <w:right w:val="single" w:sz="4" w:space="0" w:color="auto"/>
            </w:tcBorders>
            <w:shd w:val="clear" w:color="auto" w:fill="auto"/>
            <w:noWrap/>
            <w:vAlign w:val="center"/>
            <w:hideMark/>
          </w:tcPr>
          <w:p w14:paraId="6BD550C5"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192</w:t>
            </w:r>
          </w:p>
        </w:tc>
        <w:tc>
          <w:tcPr>
            <w:tcW w:w="1449" w:type="dxa"/>
            <w:tcBorders>
              <w:top w:val="nil"/>
              <w:left w:val="nil"/>
              <w:bottom w:val="single" w:sz="4" w:space="0" w:color="auto"/>
              <w:right w:val="single" w:sz="4" w:space="0" w:color="auto"/>
            </w:tcBorders>
            <w:shd w:val="clear" w:color="auto" w:fill="auto"/>
            <w:noWrap/>
            <w:vAlign w:val="center"/>
            <w:hideMark/>
          </w:tcPr>
          <w:p w14:paraId="71888D60"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121</w:t>
            </w:r>
          </w:p>
        </w:tc>
        <w:tc>
          <w:tcPr>
            <w:tcW w:w="1449" w:type="dxa"/>
            <w:tcBorders>
              <w:top w:val="nil"/>
              <w:left w:val="nil"/>
              <w:bottom w:val="single" w:sz="4" w:space="0" w:color="auto"/>
              <w:right w:val="single" w:sz="4" w:space="0" w:color="auto"/>
            </w:tcBorders>
            <w:shd w:val="clear" w:color="auto" w:fill="auto"/>
            <w:noWrap/>
            <w:vAlign w:val="center"/>
            <w:hideMark/>
          </w:tcPr>
          <w:p w14:paraId="1EA486CD"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9,663</w:t>
            </w:r>
          </w:p>
        </w:tc>
        <w:tc>
          <w:tcPr>
            <w:tcW w:w="1449" w:type="dxa"/>
            <w:tcBorders>
              <w:top w:val="nil"/>
              <w:left w:val="nil"/>
              <w:bottom w:val="single" w:sz="4" w:space="0" w:color="auto"/>
              <w:right w:val="single" w:sz="4" w:space="0" w:color="auto"/>
            </w:tcBorders>
            <w:shd w:val="clear" w:color="auto" w:fill="auto"/>
            <w:noWrap/>
            <w:vAlign w:val="center"/>
            <w:hideMark/>
          </w:tcPr>
          <w:p w14:paraId="28D421BE"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5,192</w:t>
            </w:r>
          </w:p>
        </w:tc>
        <w:tc>
          <w:tcPr>
            <w:tcW w:w="1449" w:type="dxa"/>
            <w:tcBorders>
              <w:top w:val="nil"/>
              <w:left w:val="nil"/>
              <w:bottom w:val="single" w:sz="4" w:space="0" w:color="auto"/>
              <w:right w:val="single" w:sz="4" w:space="0" w:color="auto"/>
            </w:tcBorders>
            <w:shd w:val="clear" w:color="auto" w:fill="auto"/>
            <w:noWrap/>
            <w:vAlign w:val="center"/>
            <w:hideMark/>
          </w:tcPr>
          <w:p w14:paraId="6D1F437F"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62,922</w:t>
            </w:r>
          </w:p>
        </w:tc>
      </w:tr>
    </w:tbl>
    <w:p w14:paraId="3A5F00E5" w14:textId="6C86B9A6" w:rsidR="008A2FB1" w:rsidRDefault="008A2FB1" w:rsidP="00685B35">
      <w:pPr>
        <w:pStyle w:val="Bodyaftertablefigure"/>
        <w:keepNext/>
        <w:keepLines/>
        <w:spacing w:line="240" w:lineRule="auto"/>
      </w:pPr>
      <w:r>
        <w:t>Small rural health</w:t>
      </w:r>
      <w:r w:rsidR="000048B2">
        <w:t xml:space="preserve"> – $’000s</w:t>
      </w:r>
    </w:p>
    <w:tbl>
      <w:tblPr>
        <w:tblW w:w="14884" w:type="dxa"/>
        <w:tblInd w:w="-147" w:type="dxa"/>
        <w:tblLayout w:type="fixed"/>
        <w:tblLook w:val="04A0" w:firstRow="1" w:lastRow="0" w:firstColumn="1" w:lastColumn="0" w:noHBand="0" w:noVBand="1"/>
      </w:tblPr>
      <w:tblGrid>
        <w:gridCol w:w="1843"/>
        <w:gridCol w:w="1449"/>
        <w:gridCol w:w="1449"/>
        <w:gridCol w:w="1449"/>
        <w:gridCol w:w="1449"/>
        <w:gridCol w:w="1449"/>
        <w:gridCol w:w="1449"/>
        <w:gridCol w:w="1449"/>
        <w:gridCol w:w="1449"/>
        <w:gridCol w:w="1449"/>
      </w:tblGrid>
      <w:tr w:rsidR="008428AF" w:rsidRPr="00AF3EDE" w14:paraId="0DD43269" w14:textId="77777777" w:rsidTr="004A20FD">
        <w:trPr>
          <w:trHeight w:val="900"/>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61E6A56" w14:textId="77777777" w:rsidR="00977693" w:rsidRPr="00AF3EDE" w:rsidRDefault="00977693" w:rsidP="003D68D1">
            <w:pPr>
              <w:spacing w:after="0" w:line="240" w:lineRule="auto"/>
              <w:rPr>
                <w:rFonts w:cs="Arial"/>
                <w:b/>
                <w:bCs/>
                <w:color w:val="53565A"/>
                <w:sz w:val="16"/>
                <w:szCs w:val="16"/>
                <w:lang w:eastAsia="en-AU"/>
              </w:rPr>
            </w:pPr>
            <w:r w:rsidRPr="00AF3EDE">
              <w:rPr>
                <w:rFonts w:cs="Arial"/>
                <w:b/>
                <w:bCs/>
                <w:color w:val="53565A"/>
                <w:sz w:val="16"/>
                <w:szCs w:val="16"/>
                <w:lang w:eastAsia="en-AU"/>
              </w:rPr>
              <w:t xml:space="preserve">Health service </w:t>
            </w:r>
          </w:p>
        </w:tc>
        <w:tc>
          <w:tcPr>
            <w:tcW w:w="1449" w:type="dxa"/>
            <w:tcBorders>
              <w:top w:val="single" w:sz="4" w:space="0" w:color="auto"/>
              <w:left w:val="nil"/>
              <w:bottom w:val="single" w:sz="4" w:space="0" w:color="auto"/>
              <w:right w:val="single" w:sz="4" w:space="0" w:color="auto"/>
            </w:tcBorders>
            <w:shd w:val="clear" w:color="auto" w:fill="auto"/>
            <w:hideMark/>
          </w:tcPr>
          <w:p w14:paraId="57E22049" w14:textId="77777777" w:rsidR="00977693" w:rsidRPr="00AF3EDE" w:rsidRDefault="00977693"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 xml:space="preserve">2022-2023 </w:t>
            </w:r>
            <w:r w:rsidRPr="00AF3EDE">
              <w:rPr>
                <w:rFonts w:cs="Arial"/>
                <w:b/>
                <w:bCs/>
                <w:color w:val="53565A"/>
                <w:sz w:val="16"/>
                <w:szCs w:val="16"/>
                <w:lang w:eastAsia="en-AU"/>
              </w:rPr>
              <w:br/>
              <w:t>Total</w:t>
            </w:r>
          </w:p>
        </w:tc>
        <w:tc>
          <w:tcPr>
            <w:tcW w:w="1449" w:type="dxa"/>
            <w:tcBorders>
              <w:top w:val="single" w:sz="4" w:space="0" w:color="auto"/>
              <w:left w:val="nil"/>
              <w:bottom w:val="single" w:sz="4" w:space="0" w:color="auto"/>
              <w:right w:val="single" w:sz="4" w:space="0" w:color="auto"/>
            </w:tcBorders>
            <w:shd w:val="clear" w:color="auto" w:fill="auto"/>
            <w:hideMark/>
          </w:tcPr>
          <w:p w14:paraId="18FD6F75" w14:textId="77777777" w:rsidR="00977693" w:rsidRPr="00AF3EDE" w:rsidRDefault="00977693"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sidRPr="00AF3EDE">
              <w:rPr>
                <w:rFonts w:cs="Arial"/>
                <w:b/>
                <w:bCs/>
                <w:color w:val="53565A"/>
                <w:sz w:val="16"/>
                <w:szCs w:val="16"/>
                <w:lang w:eastAsia="en-AU"/>
              </w:rPr>
              <w:br/>
              <w:t>Acute</w:t>
            </w:r>
          </w:p>
        </w:tc>
        <w:tc>
          <w:tcPr>
            <w:tcW w:w="1449" w:type="dxa"/>
            <w:tcBorders>
              <w:top w:val="single" w:sz="4" w:space="0" w:color="auto"/>
              <w:left w:val="nil"/>
              <w:bottom w:val="single" w:sz="4" w:space="0" w:color="auto"/>
              <w:right w:val="single" w:sz="4" w:space="0" w:color="auto"/>
            </w:tcBorders>
            <w:shd w:val="clear" w:color="auto" w:fill="auto"/>
            <w:hideMark/>
          </w:tcPr>
          <w:p w14:paraId="4DA9944D" w14:textId="77777777" w:rsidR="00977693" w:rsidRPr="00AF3EDE" w:rsidRDefault="00977693"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sidRPr="00AF3EDE">
              <w:rPr>
                <w:rFonts w:cs="Arial"/>
                <w:b/>
                <w:bCs/>
                <w:color w:val="53565A"/>
                <w:sz w:val="16"/>
                <w:szCs w:val="16"/>
                <w:lang w:eastAsia="en-AU"/>
              </w:rPr>
              <w:br/>
              <w:t>Non Acute</w:t>
            </w:r>
          </w:p>
        </w:tc>
        <w:tc>
          <w:tcPr>
            <w:tcW w:w="1449" w:type="dxa"/>
            <w:tcBorders>
              <w:top w:val="single" w:sz="4" w:space="0" w:color="auto"/>
              <w:left w:val="nil"/>
              <w:bottom w:val="single" w:sz="4" w:space="0" w:color="auto"/>
              <w:right w:val="single" w:sz="4" w:space="0" w:color="auto"/>
            </w:tcBorders>
            <w:shd w:val="clear" w:color="auto" w:fill="auto"/>
            <w:hideMark/>
          </w:tcPr>
          <w:p w14:paraId="7DAB1BAB" w14:textId="77777777" w:rsidR="00977693" w:rsidRPr="00AF3EDE" w:rsidRDefault="00977693"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sidRPr="00AF3EDE">
              <w:rPr>
                <w:rFonts w:cs="Arial"/>
                <w:b/>
                <w:bCs/>
                <w:color w:val="53565A"/>
                <w:sz w:val="16"/>
                <w:szCs w:val="16"/>
                <w:lang w:eastAsia="en-AU"/>
              </w:rPr>
              <w:br/>
              <w:t>Ambulatory</w:t>
            </w:r>
          </w:p>
        </w:tc>
        <w:tc>
          <w:tcPr>
            <w:tcW w:w="1449" w:type="dxa"/>
            <w:tcBorders>
              <w:top w:val="single" w:sz="4" w:space="0" w:color="auto"/>
              <w:left w:val="nil"/>
              <w:bottom w:val="single" w:sz="4" w:space="0" w:color="auto"/>
              <w:right w:val="single" w:sz="4" w:space="0" w:color="auto"/>
            </w:tcBorders>
            <w:shd w:val="clear" w:color="auto" w:fill="auto"/>
            <w:hideMark/>
          </w:tcPr>
          <w:p w14:paraId="28517D30" w14:textId="77777777" w:rsidR="00977693" w:rsidRPr="00AF3EDE" w:rsidRDefault="00977693"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 Psychosocial Rehabilitation &amp; Support</w:t>
            </w:r>
          </w:p>
        </w:tc>
        <w:tc>
          <w:tcPr>
            <w:tcW w:w="1449" w:type="dxa"/>
            <w:tcBorders>
              <w:top w:val="single" w:sz="4" w:space="0" w:color="auto"/>
              <w:left w:val="nil"/>
              <w:bottom w:val="single" w:sz="4" w:space="0" w:color="auto"/>
              <w:right w:val="single" w:sz="4" w:space="0" w:color="auto"/>
            </w:tcBorders>
            <w:shd w:val="clear" w:color="auto" w:fill="auto"/>
            <w:hideMark/>
          </w:tcPr>
          <w:p w14:paraId="593C5CE6" w14:textId="77777777" w:rsidR="00977693" w:rsidRPr="00AF3EDE" w:rsidRDefault="00977693"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sidRPr="00AF3EDE">
              <w:rPr>
                <w:rFonts w:cs="Arial"/>
                <w:b/>
                <w:bCs/>
                <w:color w:val="53565A"/>
                <w:sz w:val="16"/>
                <w:szCs w:val="16"/>
                <w:lang w:eastAsia="en-AU"/>
              </w:rPr>
              <w:br/>
              <w:t>Residential</w:t>
            </w:r>
          </w:p>
        </w:tc>
        <w:tc>
          <w:tcPr>
            <w:tcW w:w="1449" w:type="dxa"/>
            <w:tcBorders>
              <w:top w:val="single" w:sz="4" w:space="0" w:color="auto"/>
              <w:left w:val="nil"/>
              <w:bottom w:val="single" w:sz="4" w:space="0" w:color="auto"/>
              <w:right w:val="single" w:sz="4" w:space="0" w:color="auto"/>
            </w:tcBorders>
            <w:shd w:val="clear" w:color="auto" w:fill="auto"/>
            <w:hideMark/>
          </w:tcPr>
          <w:p w14:paraId="7BC4C1D0" w14:textId="77777777" w:rsidR="00977693" w:rsidRPr="00AF3EDE" w:rsidRDefault="00977693"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sidRPr="00AF3EDE">
              <w:rPr>
                <w:rFonts w:cs="Arial"/>
                <w:b/>
                <w:bCs/>
                <w:color w:val="53565A"/>
                <w:sz w:val="16"/>
                <w:szCs w:val="16"/>
                <w:lang w:eastAsia="en-AU"/>
              </w:rPr>
              <w:br/>
              <w:t>Service System Capacity</w:t>
            </w:r>
          </w:p>
        </w:tc>
        <w:tc>
          <w:tcPr>
            <w:tcW w:w="1449" w:type="dxa"/>
            <w:tcBorders>
              <w:top w:val="single" w:sz="4" w:space="0" w:color="auto"/>
              <w:left w:val="nil"/>
              <w:bottom w:val="single" w:sz="4" w:space="0" w:color="auto"/>
              <w:right w:val="single" w:sz="4" w:space="0" w:color="auto"/>
            </w:tcBorders>
            <w:shd w:val="clear" w:color="auto" w:fill="auto"/>
            <w:hideMark/>
          </w:tcPr>
          <w:p w14:paraId="464C35BC" w14:textId="77777777" w:rsidR="00977693" w:rsidRPr="00AF3EDE" w:rsidRDefault="00977693"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sidRPr="00AF3EDE">
              <w:rPr>
                <w:rFonts w:cs="Arial"/>
                <w:b/>
                <w:bCs/>
                <w:color w:val="53565A"/>
                <w:sz w:val="16"/>
                <w:szCs w:val="16"/>
                <w:lang w:eastAsia="en-AU"/>
              </w:rPr>
              <w:br/>
              <w:t>Subacute</w:t>
            </w:r>
          </w:p>
        </w:tc>
        <w:tc>
          <w:tcPr>
            <w:tcW w:w="1449" w:type="dxa"/>
            <w:tcBorders>
              <w:top w:val="single" w:sz="4" w:space="0" w:color="auto"/>
              <w:left w:val="nil"/>
              <w:bottom w:val="single" w:sz="4" w:space="0" w:color="auto"/>
              <w:right w:val="single" w:sz="4" w:space="0" w:color="auto"/>
            </w:tcBorders>
            <w:shd w:val="clear" w:color="auto" w:fill="auto"/>
            <w:hideMark/>
          </w:tcPr>
          <w:p w14:paraId="74B639CC" w14:textId="77777777" w:rsidR="00977693" w:rsidRPr="00AF3EDE" w:rsidRDefault="00977693"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sidRPr="00AF3EDE">
              <w:rPr>
                <w:rFonts w:cs="Arial"/>
                <w:b/>
                <w:bCs/>
                <w:color w:val="53565A"/>
                <w:sz w:val="16"/>
                <w:szCs w:val="16"/>
                <w:lang w:eastAsia="en-AU"/>
              </w:rPr>
              <w:br/>
              <w:t>Total</w:t>
            </w:r>
          </w:p>
        </w:tc>
      </w:tr>
      <w:tr w:rsidR="008428AF" w:rsidRPr="00AF3EDE" w14:paraId="3CE66596" w14:textId="77777777" w:rsidTr="004A20FD">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09E9DD2" w14:textId="77777777" w:rsidR="00977693" w:rsidRPr="00977693" w:rsidRDefault="00977693" w:rsidP="003D68D1">
            <w:pPr>
              <w:spacing w:after="0" w:line="240" w:lineRule="auto"/>
              <w:rPr>
                <w:rFonts w:cs="Arial"/>
                <w:color w:val="000000"/>
                <w:sz w:val="16"/>
                <w:szCs w:val="16"/>
                <w:lang w:eastAsia="en-AU"/>
              </w:rPr>
            </w:pPr>
            <w:r w:rsidRPr="00977693">
              <w:rPr>
                <w:rFonts w:cs="Arial"/>
                <w:color w:val="000000"/>
                <w:sz w:val="16"/>
                <w:szCs w:val="16"/>
                <w:lang w:eastAsia="en-AU"/>
              </w:rPr>
              <w:t>West Wimmera Health Service</w:t>
            </w:r>
          </w:p>
        </w:tc>
        <w:tc>
          <w:tcPr>
            <w:tcW w:w="1449" w:type="dxa"/>
            <w:tcBorders>
              <w:top w:val="nil"/>
              <w:left w:val="nil"/>
              <w:bottom w:val="single" w:sz="4" w:space="0" w:color="auto"/>
              <w:right w:val="single" w:sz="4" w:space="0" w:color="auto"/>
            </w:tcBorders>
            <w:shd w:val="clear" w:color="auto" w:fill="auto"/>
            <w:noWrap/>
            <w:vAlign w:val="center"/>
            <w:hideMark/>
          </w:tcPr>
          <w:p w14:paraId="00193332"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277</w:t>
            </w:r>
          </w:p>
        </w:tc>
        <w:tc>
          <w:tcPr>
            <w:tcW w:w="1449" w:type="dxa"/>
            <w:tcBorders>
              <w:top w:val="nil"/>
              <w:left w:val="nil"/>
              <w:bottom w:val="single" w:sz="4" w:space="0" w:color="auto"/>
              <w:right w:val="single" w:sz="4" w:space="0" w:color="auto"/>
            </w:tcBorders>
            <w:shd w:val="clear" w:color="auto" w:fill="auto"/>
            <w:noWrap/>
            <w:vAlign w:val="center"/>
            <w:hideMark/>
          </w:tcPr>
          <w:p w14:paraId="61CDB797"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2C08FF10"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702DDCCE"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2A7CBC6E"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0E558987"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284</w:t>
            </w:r>
          </w:p>
        </w:tc>
        <w:tc>
          <w:tcPr>
            <w:tcW w:w="1449" w:type="dxa"/>
            <w:tcBorders>
              <w:top w:val="nil"/>
              <w:left w:val="nil"/>
              <w:bottom w:val="single" w:sz="4" w:space="0" w:color="auto"/>
              <w:right w:val="single" w:sz="4" w:space="0" w:color="auto"/>
            </w:tcBorders>
            <w:shd w:val="clear" w:color="auto" w:fill="auto"/>
            <w:noWrap/>
            <w:vAlign w:val="center"/>
            <w:hideMark/>
          </w:tcPr>
          <w:p w14:paraId="0289B10D"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7759EB41"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4FA30AE9" w14:textId="77777777" w:rsidR="00977693" w:rsidRPr="00977693" w:rsidRDefault="00977693" w:rsidP="003D68D1">
            <w:pPr>
              <w:spacing w:after="0" w:line="240" w:lineRule="auto"/>
              <w:jc w:val="right"/>
              <w:rPr>
                <w:rFonts w:cs="Arial"/>
                <w:color w:val="000000"/>
                <w:sz w:val="16"/>
                <w:szCs w:val="16"/>
                <w:lang w:eastAsia="en-AU"/>
              </w:rPr>
            </w:pPr>
            <w:r w:rsidRPr="00977693">
              <w:rPr>
                <w:rFonts w:cs="Arial"/>
                <w:color w:val="000000"/>
                <w:sz w:val="16"/>
                <w:szCs w:val="16"/>
                <w:lang w:eastAsia="en-AU"/>
              </w:rPr>
              <w:t>284</w:t>
            </w:r>
          </w:p>
        </w:tc>
      </w:tr>
      <w:tr w:rsidR="008428AF" w:rsidRPr="00AF3EDE" w14:paraId="333CDA30" w14:textId="77777777" w:rsidTr="004A20FD">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DD3F645" w14:textId="77777777" w:rsidR="00977693" w:rsidRPr="00977693" w:rsidRDefault="00977693" w:rsidP="003D68D1">
            <w:pPr>
              <w:spacing w:after="0" w:line="240" w:lineRule="auto"/>
              <w:rPr>
                <w:rFonts w:cs="Arial"/>
                <w:b/>
                <w:bCs/>
                <w:color w:val="000000"/>
                <w:sz w:val="16"/>
                <w:szCs w:val="16"/>
                <w:lang w:eastAsia="en-AU"/>
              </w:rPr>
            </w:pPr>
            <w:r w:rsidRPr="00977693">
              <w:rPr>
                <w:rFonts w:cs="Arial"/>
                <w:b/>
                <w:bCs/>
                <w:color w:val="000000"/>
                <w:sz w:val="16"/>
                <w:szCs w:val="16"/>
                <w:lang w:eastAsia="en-AU"/>
              </w:rPr>
              <w:t>Total</w:t>
            </w:r>
          </w:p>
        </w:tc>
        <w:tc>
          <w:tcPr>
            <w:tcW w:w="1449" w:type="dxa"/>
            <w:tcBorders>
              <w:top w:val="nil"/>
              <w:left w:val="nil"/>
              <w:bottom w:val="single" w:sz="4" w:space="0" w:color="auto"/>
              <w:right w:val="single" w:sz="4" w:space="0" w:color="auto"/>
            </w:tcBorders>
            <w:shd w:val="clear" w:color="auto" w:fill="auto"/>
            <w:noWrap/>
            <w:vAlign w:val="center"/>
            <w:hideMark/>
          </w:tcPr>
          <w:p w14:paraId="779B998B"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277</w:t>
            </w:r>
          </w:p>
        </w:tc>
        <w:tc>
          <w:tcPr>
            <w:tcW w:w="1449" w:type="dxa"/>
            <w:tcBorders>
              <w:top w:val="nil"/>
              <w:left w:val="nil"/>
              <w:bottom w:val="single" w:sz="4" w:space="0" w:color="auto"/>
              <w:right w:val="single" w:sz="4" w:space="0" w:color="auto"/>
            </w:tcBorders>
            <w:shd w:val="clear" w:color="auto" w:fill="auto"/>
            <w:noWrap/>
            <w:vAlign w:val="center"/>
            <w:hideMark/>
          </w:tcPr>
          <w:p w14:paraId="275E59AA"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 0</w:t>
            </w:r>
          </w:p>
        </w:tc>
        <w:tc>
          <w:tcPr>
            <w:tcW w:w="1449" w:type="dxa"/>
            <w:tcBorders>
              <w:top w:val="nil"/>
              <w:left w:val="nil"/>
              <w:bottom w:val="single" w:sz="4" w:space="0" w:color="auto"/>
              <w:right w:val="single" w:sz="4" w:space="0" w:color="auto"/>
            </w:tcBorders>
            <w:shd w:val="clear" w:color="auto" w:fill="auto"/>
            <w:noWrap/>
            <w:vAlign w:val="center"/>
            <w:hideMark/>
          </w:tcPr>
          <w:p w14:paraId="69A2A573"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1FB20CB0"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0C9D8299"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11A7E613"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284</w:t>
            </w:r>
          </w:p>
        </w:tc>
        <w:tc>
          <w:tcPr>
            <w:tcW w:w="1449" w:type="dxa"/>
            <w:tcBorders>
              <w:top w:val="nil"/>
              <w:left w:val="nil"/>
              <w:bottom w:val="single" w:sz="4" w:space="0" w:color="auto"/>
              <w:right w:val="single" w:sz="4" w:space="0" w:color="auto"/>
            </w:tcBorders>
            <w:shd w:val="clear" w:color="auto" w:fill="auto"/>
            <w:noWrap/>
            <w:vAlign w:val="center"/>
            <w:hideMark/>
          </w:tcPr>
          <w:p w14:paraId="71322D1C"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2CF96C95"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77C748B2" w14:textId="77777777" w:rsidR="00977693" w:rsidRPr="00977693" w:rsidRDefault="00977693" w:rsidP="003D68D1">
            <w:pPr>
              <w:spacing w:after="0" w:line="240" w:lineRule="auto"/>
              <w:jc w:val="right"/>
              <w:rPr>
                <w:rFonts w:cs="Arial"/>
                <w:b/>
                <w:bCs/>
                <w:color w:val="000000"/>
                <w:sz w:val="16"/>
                <w:szCs w:val="16"/>
                <w:lang w:eastAsia="en-AU"/>
              </w:rPr>
            </w:pPr>
            <w:r w:rsidRPr="00977693">
              <w:rPr>
                <w:rFonts w:cs="Arial"/>
                <w:b/>
                <w:bCs/>
                <w:color w:val="000000"/>
                <w:sz w:val="16"/>
                <w:szCs w:val="16"/>
                <w:lang w:eastAsia="en-AU"/>
              </w:rPr>
              <w:t>284</w:t>
            </w:r>
          </w:p>
        </w:tc>
      </w:tr>
    </w:tbl>
    <w:p w14:paraId="0B73594C" w14:textId="77777777" w:rsidR="004A20FD" w:rsidRDefault="004A20FD" w:rsidP="004756B4">
      <w:pPr>
        <w:pStyle w:val="Bodyaftertablefigure"/>
      </w:pPr>
    </w:p>
    <w:p w14:paraId="7A210490" w14:textId="77777777" w:rsidR="004A20FD" w:rsidRDefault="004A20FD" w:rsidP="004756B4">
      <w:pPr>
        <w:pStyle w:val="Bodyaftertablefigure"/>
      </w:pPr>
    </w:p>
    <w:p w14:paraId="0BFE6902" w14:textId="145EF23E" w:rsidR="00EA6FF8" w:rsidRDefault="003A68DA" w:rsidP="004756B4">
      <w:pPr>
        <w:pStyle w:val="Bodyaftertablefigure"/>
      </w:pPr>
      <w:r>
        <w:lastRenderedPageBreak/>
        <w:t>Non-</w:t>
      </w:r>
      <w:r w:rsidR="000048B2">
        <w:t>government – $’000s</w:t>
      </w:r>
    </w:p>
    <w:tbl>
      <w:tblPr>
        <w:tblW w:w="14737" w:type="dxa"/>
        <w:tblLayout w:type="fixed"/>
        <w:tblLook w:val="04A0" w:firstRow="1" w:lastRow="0" w:firstColumn="1" w:lastColumn="0" w:noHBand="0" w:noVBand="1"/>
      </w:tblPr>
      <w:tblGrid>
        <w:gridCol w:w="1696"/>
        <w:gridCol w:w="1449"/>
        <w:gridCol w:w="1449"/>
        <w:gridCol w:w="1449"/>
        <w:gridCol w:w="1449"/>
        <w:gridCol w:w="1449"/>
        <w:gridCol w:w="1449"/>
        <w:gridCol w:w="1449"/>
        <w:gridCol w:w="1449"/>
        <w:gridCol w:w="1449"/>
      </w:tblGrid>
      <w:tr w:rsidR="00462345" w:rsidRPr="00AF3EDE" w14:paraId="73D32760" w14:textId="77777777" w:rsidTr="00FE1263">
        <w:trPr>
          <w:trHeight w:val="900"/>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AEBAD60" w14:textId="77777777" w:rsidR="00462345" w:rsidRPr="00AF3EDE" w:rsidRDefault="00462345" w:rsidP="003D68D1">
            <w:pPr>
              <w:spacing w:after="0" w:line="240" w:lineRule="auto"/>
              <w:rPr>
                <w:rFonts w:cs="Arial"/>
                <w:b/>
                <w:bCs/>
                <w:color w:val="53565A"/>
                <w:sz w:val="16"/>
                <w:szCs w:val="16"/>
                <w:lang w:eastAsia="en-AU"/>
              </w:rPr>
            </w:pPr>
            <w:r w:rsidRPr="00AF3EDE">
              <w:rPr>
                <w:rFonts w:cs="Arial"/>
                <w:b/>
                <w:bCs/>
                <w:color w:val="53565A"/>
                <w:sz w:val="16"/>
                <w:szCs w:val="16"/>
                <w:lang w:eastAsia="en-AU"/>
              </w:rPr>
              <w:t xml:space="preserve">Health service </w:t>
            </w:r>
          </w:p>
        </w:tc>
        <w:tc>
          <w:tcPr>
            <w:tcW w:w="1449" w:type="dxa"/>
            <w:tcBorders>
              <w:top w:val="single" w:sz="4" w:space="0" w:color="auto"/>
              <w:left w:val="nil"/>
              <w:bottom w:val="single" w:sz="4" w:space="0" w:color="auto"/>
              <w:right w:val="single" w:sz="4" w:space="0" w:color="auto"/>
            </w:tcBorders>
            <w:shd w:val="clear" w:color="auto" w:fill="auto"/>
            <w:hideMark/>
          </w:tcPr>
          <w:p w14:paraId="7F0F0B2B" w14:textId="77777777" w:rsidR="00910825" w:rsidRDefault="00462345"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 xml:space="preserve">2022-23 </w:t>
            </w:r>
            <w:r w:rsidRPr="00AF3EDE">
              <w:rPr>
                <w:rFonts w:cs="Arial"/>
                <w:b/>
                <w:bCs/>
                <w:color w:val="53565A"/>
                <w:sz w:val="16"/>
                <w:szCs w:val="16"/>
                <w:lang w:eastAsia="en-AU"/>
              </w:rPr>
              <w:br w:type="page"/>
            </w:r>
            <w:r>
              <w:rPr>
                <w:rFonts w:cs="Arial"/>
                <w:b/>
                <w:bCs/>
                <w:color w:val="53565A"/>
                <w:sz w:val="16"/>
                <w:szCs w:val="16"/>
                <w:lang w:eastAsia="en-AU"/>
              </w:rPr>
              <w:t xml:space="preserve"> </w:t>
            </w:r>
          </w:p>
          <w:p w14:paraId="4E672812" w14:textId="1D130E0F" w:rsidR="00462345" w:rsidRPr="00AF3EDE" w:rsidRDefault="00462345"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Total</w:t>
            </w:r>
          </w:p>
        </w:tc>
        <w:tc>
          <w:tcPr>
            <w:tcW w:w="1449" w:type="dxa"/>
            <w:tcBorders>
              <w:top w:val="single" w:sz="4" w:space="0" w:color="auto"/>
              <w:left w:val="nil"/>
              <w:bottom w:val="single" w:sz="4" w:space="0" w:color="auto"/>
              <w:right w:val="single" w:sz="4" w:space="0" w:color="auto"/>
            </w:tcBorders>
            <w:shd w:val="clear" w:color="auto" w:fill="auto"/>
            <w:hideMark/>
          </w:tcPr>
          <w:p w14:paraId="684CF0AC" w14:textId="77777777" w:rsidR="00910825" w:rsidRDefault="00462345"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Pr>
                <w:rFonts w:cs="Arial"/>
                <w:b/>
                <w:bCs/>
                <w:color w:val="53565A"/>
                <w:sz w:val="16"/>
                <w:szCs w:val="16"/>
                <w:lang w:eastAsia="en-AU"/>
              </w:rPr>
              <w:t xml:space="preserve"> </w:t>
            </w:r>
            <w:r w:rsidRPr="00AF3EDE">
              <w:rPr>
                <w:rFonts w:cs="Arial"/>
                <w:b/>
                <w:bCs/>
                <w:color w:val="53565A"/>
                <w:sz w:val="16"/>
                <w:szCs w:val="16"/>
                <w:lang w:eastAsia="en-AU"/>
              </w:rPr>
              <w:br w:type="page"/>
            </w:r>
          </w:p>
          <w:p w14:paraId="66791F77" w14:textId="7F2C79E3" w:rsidR="00462345" w:rsidRPr="00AF3EDE" w:rsidRDefault="00462345"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Acute</w:t>
            </w:r>
          </w:p>
        </w:tc>
        <w:tc>
          <w:tcPr>
            <w:tcW w:w="1449" w:type="dxa"/>
            <w:tcBorders>
              <w:top w:val="single" w:sz="4" w:space="0" w:color="auto"/>
              <w:left w:val="nil"/>
              <w:bottom w:val="single" w:sz="4" w:space="0" w:color="auto"/>
              <w:right w:val="single" w:sz="4" w:space="0" w:color="auto"/>
            </w:tcBorders>
            <w:shd w:val="clear" w:color="auto" w:fill="auto"/>
            <w:hideMark/>
          </w:tcPr>
          <w:p w14:paraId="7B2E1020" w14:textId="77777777" w:rsidR="00910825" w:rsidRDefault="00462345"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Pr>
                <w:rFonts w:cs="Arial"/>
                <w:b/>
                <w:bCs/>
                <w:color w:val="53565A"/>
                <w:sz w:val="16"/>
                <w:szCs w:val="16"/>
                <w:lang w:eastAsia="en-AU"/>
              </w:rPr>
              <w:t xml:space="preserve"> </w:t>
            </w:r>
            <w:r w:rsidRPr="00AF3EDE">
              <w:rPr>
                <w:rFonts w:cs="Arial"/>
                <w:b/>
                <w:bCs/>
                <w:color w:val="53565A"/>
                <w:sz w:val="16"/>
                <w:szCs w:val="16"/>
                <w:lang w:eastAsia="en-AU"/>
              </w:rPr>
              <w:br w:type="page"/>
            </w:r>
          </w:p>
          <w:p w14:paraId="4FB90BC5" w14:textId="6AB9F662" w:rsidR="00462345" w:rsidRPr="00AF3EDE" w:rsidRDefault="00462345"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Non Acute</w:t>
            </w:r>
          </w:p>
        </w:tc>
        <w:tc>
          <w:tcPr>
            <w:tcW w:w="1449" w:type="dxa"/>
            <w:tcBorders>
              <w:top w:val="single" w:sz="4" w:space="0" w:color="auto"/>
              <w:left w:val="nil"/>
              <w:bottom w:val="single" w:sz="4" w:space="0" w:color="auto"/>
              <w:right w:val="single" w:sz="4" w:space="0" w:color="auto"/>
            </w:tcBorders>
            <w:shd w:val="clear" w:color="auto" w:fill="auto"/>
            <w:hideMark/>
          </w:tcPr>
          <w:p w14:paraId="090561DB" w14:textId="77777777" w:rsidR="00462345" w:rsidRPr="00AF3EDE" w:rsidRDefault="00462345"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Pr>
                <w:rFonts w:cs="Arial"/>
                <w:b/>
                <w:bCs/>
                <w:color w:val="53565A"/>
                <w:sz w:val="16"/>
                <w:szCs w:val="16"/>
                <w:lang w:eastAsia="en-AU"/>
              </w:rPr>
              <w:t xml:space="preserve"> </w:t>
            </w:r>
            <w:r w:rsidRPr="00AF3EDE">
              <w:rPr>
                <w:rFonts w:cs="Arial"/>
                <w:b/>
                <w:bCs/>
                <w:color w:val="53565A"/>
                <w:sz w:val="16"/>
                <w:szCs w:val="16"/>
                <w:lang w:eastAsia="en-AU"/>
              </w:rPr>
              <w:br w:type="page"/>
              <w:t>Ambulatory</w:t>
            </w:r>
          </w:p>
        </w:tc>
        <w:tc>
          <w:tcPr>
            <w:tcW w:w="1449" w:type="dxa"/>
            <w:tcBorders>
              <w:top w:val="single" w:sz="4" w:space="0" w:color="auto"/>
              <w:left w:val="nil"/>
              <w:bottom w:val="single" w:sz="4" w:space="0" w:color="auto"/>
              <w:right w:val="single" w:sz="4" w:space="0" w:color="auto"/>
            </w:tcBorders>
            <w:shd w:val="clear" w:color="auto" w:fill="auto"/>
            <w:hideMark/>
          </w:tcPr>
          <w:p w14:paraId="2E87C781" w14:textId="77777777" w:rsidR="00462345" w:rsidRPr="00AF3EDE" w:rsidRDefault="00462345"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 Psychosocial Rehabilitation &amp; Support</w:t>
            </w:r>
          </w:p>
        </w:tc>
        <w:tc>
          <w:tcPr>
            <w:tcW w:w="1449" w:type="dxa"/>
            <w:tcBorders>
              <w:top w:val="single" w:sz="4" w:space="0" w:color="auto"/>
              <w:left w:val="nil"/>
              <w:bottom w:val="single" w:sz="4" w:space="0" w:color="auto"/>
              <w:right w:val="single" w:sz="4" w:space="0" w:color="auto"/>
            </w:tcBorders>
            <w:shd w:val="clear" w:color="auto" w:fill="auto"/>
            <w:hideMark/>
          </w:tcPr>
          <w:p w14:paraId="29FD7B81" w14:textId="77777777" w:rsidR="00462345" w:rsidRPr="00AF3EDE" w:rsidRDefault="00462345"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Pr>
                <w:rFonts w:cs="Arial"/>
                <w:b/>
                <w:bCs/>
                <w:color w:val="53565A"/>
                <w:sz w:val="16"/>
                <w:szCs w:val="16"/>
                <w:lang w:eastAsia="en-AU"/>
              </w:rPr>
              <w:t xml:space="preserve"> </w:t>
            </w:r>
            <w:r w:rsidRPr="00AF3EDE">
              <w:rPr>
                <w:rFonts w:cs="Arial"/>
                <w:b/>
                <w:bCs/>
                <w:color w:val="53565A"/>
                <w:sz w:val="16"/>
                <w:szCs w:val="16"/>
                <w:lang w:eastAsia="en-AU"/>
              </w:rPr>
              <w:br w:type="page"/>
              <w:t>Residential</w:t>
            </w:r>
          </w:p>
        </w:tc>
        <w:tc>
          <w:tcPr>
            <w:tcW w:w="1449" w:type="dxa"/>
            <w:tcBorders>
              <w:top w:val="single" w:sz="4" w:space="0" w:color="auto"/>
              <w:left w:val="nil"/>
              <w:bottom w:val="single" w:sz="4" w:space="0" w:color="auto"/>
              <w:right w:val="single" w:sz="4" w:space="0" w:color="auto"/>
            </w:tcBorders>
            <w:shd w:val="clear" w:color="auto" w:fill="auto"/>
            <w:hideMark/>
          </w:tcPr>
          <w:p w14:paraId="7C77BCF5" w14:textId="77777777" w:rsidR="00462345" w:rsidRPr="00AF3EDE" w:rsidRDefault="00462345"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sidRPr="00AF3EDE">
              <w:rPr>
                <w:rFonts w:cs="Arial"/>
                <w:b/>
                <w:bCs/>
                <w:color w:val="53565A"/>
                <w:sz w:val="16"/>
                <w:szCs w:val="16"/>
                <w:lang w:eastAsia="en-AU"/>
              </w:rPr>
              <w:br w:type="page"/>
            </w:r>
            <w:r>
              <w:rPr>
                <w:rFonts w:cs="Arial"/>
                <w:b/>
                <w:bCs/>
                <w:color w:val="53565A"/>
                <w:sz w:val="16"/>
                <w:szCs w:val="16"/>
                <w:lang w:eastAsia="en-AU"/>
              </w:rPr>
              <w:t xml:space="preserve"> </w:t>
            </w:r>
            <w:r w:rsidRPr="00AF3EDE">
              <w:rPr>
                <w:rFonts w:cs="Arial"/>
                <w:b/>
                <w:bCs/>
                <w:color w:val="53565A"/>
                <w:sz w:val="16"/>
                <w:szCs w:val="16"/>
                <w:lang w:eastAsia="en-AU"/>
              </w:rPr>
              <w:t>Service System Capacity</w:t>
            </w:r>
          </w:p>
        </w:tc>
        <w:tc>
          <w:tcPr>
            <w:tcW w:w="1449" w:type="dxa"/>
            <w:tcBorders>
              <w:top w:val="single" w:sz="4" w:space="0" w:color="auto"/>
              <w:left w:val="nil"/>
              <w:bottom w:val="single" w:sz="4" w:space="0" w:color="auto"/>
              <w:right w:val="single" w:sz="4" w:space="0" w:color="auto"/>
            </w:tcBorders>
            <w:shd w:val="clear" w:color="auto" w:fill="auto"/>
            <w:hideMark/>
          </w:tcPr>
          <w:p w14:paraId="1898EC95" w14:textId="77777777" w:rsidR="00462345" w:rsidRPr="00AF3EDE" w:rsidRDefault="00462345"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Pr>
                <w:rFonts w:cs="Arial"/>
                <w:b/>
                <w:bCs/>
                <w:color w:val="53565A"/>
                <w:sz w:val="16"/>
                <w:szCs w:val="16"/>
                <w:lang w:eastAsia="en-AU"/>
              </w:rPr>
              <w:t xml:space="preserve"> </w:t>
            </w:r>
            <w:r w:rsidRPr="00AF3EDE">
              <w:rPr>
                <w:rFonts w:cs="Arial"/>
                <w:b/>
                <w:bCs/>
                <w:color w:val="53565A"/>
                <w:sz w:val="16"/>
                <w:szCs w:val="16"/>
                <w:lang w:eastAsia="en-AU"/>
              </w:rPr>
              <w:br w:type="page"/>
              <w:t>Subacute</w:t>
            </w:r>
          </w:p>
        </w:tc>
        <w:tc>
          <w:tcPr>
            <w:tcW w:w="1449" w:type="dxa"/>
            <w:tcBorders>
              <w:top w:val="single" w:sz="4" w:space="0" w:color="auto"/>
              <w:left w:val="nil"/>
              <w:bottom w:val="single" w:sz="4" w:space="0" w:color="auto"/>
              <w:right w:val="single" w:sz="4" w:space="0" w:color="auto"/>
            </w:tcBorders>
            <w:shd w:val="clear" w:color="auto" w:fill="auto"/>
            <w:hideMark/>
          </w:tcPr>
          <w:p w14:paraId="31C14160" w14:textId="77777777" w:rsidR="00462345" w:rsidRDefault="00462345"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Pr>
                <w:rFonts w:cs="Arial"/>
                <w:b/>
                <w:bCs/>
                <w:color w:val="53565A"/>
                <w:sz w:val="16"/>
                <w:szCs w:val="16"/>
                <w:lang w:eastAsia="en-AU"/>
              </w:rPr>
              <w:t xml:space="preserve"> </w:t>
            </w:r>
            <w:r w:rsidRPr="00AF3EDE">
              <w:rPr>
                <w:rFonts w:cs="Arial"/>
                <w:b/>
                <w:bCs/>
                <w:color w:val="53565A"/>
                <w:sz w:val="16"/>
                <w:szCs w:val="16"/>
                <w:lang w:eastAsia="en-AU"/>
              </w:rPr>
              <w:br w:type="page"/>
            </w:r>
          </w:p>
          <w:p w14:paraId="3DB8C10F" w14:textId="6DA6C42F" w:rsidR="00462345" w:rsidRPr="00AF3EDE" w:rsidRDefault="00462345"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Total</w:t>
            </w:r>
          </w:p>
        </w:tc>
      </w:tr>
      <w:tr w:rsidR="00462345" w:rsidRPr="00AF3EDE" w14:paraId="6A1E241F" w14:textId="77777777" w:rsidTr="00FE1263">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69A804B" w14:textId="77777777" w:rsidR="00462345" w:rsidRPr="00462345" w:rsidRDefault="00462345" w:rsidP="003D68D1">
            <w:pPr>
              <w:spacing w:after="0" w:line="240" w:lineRule="auto"/>
              <w:rPr>
                <w:rFonts w:cs="Arial"/>
                <w:color w:val="000000"/>
                <w:sz w:val="16"/>
                <w:szCs w:val="16"/>
                <w:lang w:eastAsia="en-AU"/>
              </w:rPr>
            </w:pPr>
            <w:r w:rsidRPr="00462345">
              <w:rPr>
                <w:rFonts w:cs="Arial"/>
                <w:color w:val="000000"/>
                <w:sz w:val="16"/>
                <w:szCs w:val="16"/>
                <w:lang w:eastAsia="en-AU"/>
              </w:rPr>
              <w:t>La Trobe University</w:t>
            </w:r>
          </w:p>
        </w:tc>
        <w:tc>
          <w:tcPr>
            <w:tcW w:w="1449" w:type="dxa"/>
            <w:tcBorders>
              <w:top w:val="nil"/>
              <w:left w:val="nil"/>
              <w:bottom w:val="single" w:sz="4" w:space="0" w:color="auto"/>
              <w:right w:val="single" w:sz="4" w:space="0" w:color="auto"/>
            </w:tcBorders>
            <w:shd w:val="clear" w:color="auto" w:fill="auto"/>
            <w:noWrap/>
            <w:vAlign w:val="center"/>
            <w:hideMark/>
          </w:tcPr>
          <w:p w14:paraId="70387ECE" w14:textId="77777777" w:rsidR="00462345" w:rsidRPr="00462345" w:rsidRDefault="00462345" w:rsidP="003D68D1">
            <w:pPr>
              <w:spacing w:after="0" w:line="240" w:lineRule="auto"/>
              <w:jc w:val="right"/>
              <w:rPr>
                <w:rFonts w:cs="Arial"/>
                <w:b/>
                <w:bCs/>
                <w:color w:val="000000"/>
                <w:sz w:val="16"/>
                <w:szCs w:val="16"/>
                <w:lang w:eastAsia="en-AU"/>
              </w:rPr>
            </w:pPr>
            <w:r w:rsidRPr="00462345">
              <w:rPr>
                <w:rFonts w:cs="Arial"/>
                <w:b/>
                <w:bCs/>
                <w:color w:val="000000"/>
                <w:sz w:val="16"/>
                <w:szCs w:val="16"/>
                <w:lang w:eastAsia="en-AU"/>
              </w:rPr>
              <w:t>2,211</w:t>
            </w:r>
          </w:p>
        </w:tc>
        <w:tc>
          <w:tcPr>
            <w:tcW w:w="1449" w:type="dxa"/>
            <w:tcBorders>
              <w:top w:val="nil"/>
              <w:left w:val="nil"/>
              <w:bottom w:val="single" w:sz="4" w:space="0" w:color="auto"/>
              <w:right w:val="single" w:sz="4" w:space="0" w:color="auto"/>
            </w:tcBorders>
            <w:shd w:val="clear" w:color="auto" w:fill="auto"/>
            <w:noWrap/>
            <w:vAlign w:val="center"/>
            <w:hideMark/>
          </w:tcPr>
          <w:p w14:paraId="4265A291" w14:textId="77777777" w:rsidR="00462345" w:rsidRPr="00462345" w:rsidRDefault="00462345" w:rsidP="003D68D1">
            <w:pPr>
              <w:spacing w:after="0" w:line="240" w:lineRule="auto"/>
              <w:jc w:val="right"/>
              <w:rPr>
                <w:rFonts w:cs="Arial"/>
                <w:color w:val="000000"/>
                <w:sz w:val="16"/>
                <w:szCs w:val="16"/>
                <w:lang w:eastAsia="en-AU"/>
              </w:rPr>
            </w:pPr>
            <w:r w:rsidRPr="00462345">
              <w:rPr>
                <w:rFonts w:cs="Arial"/>
                <w:color w:val="000000"/>
                <w:sz w:val="16"/>
                <w:szCs w:val="16"/>
                <w:lang w:eastAsia="en-AU"/>
              </w:rPr>
              <w:t> 0</w:t>
            </w:r>
          </w:p>
        </w:tc>
        <w:tc>
          <w:tcPr>
            <w:tcW w:w="1449" w:type="dxa"/>
            <w:tcBorders>
              <w:top w:val="nil"/>
              <w:left w:val="nil"/>
              <w:bottom w:val="single" w:sz="4" w:space="0" w:color="auto"/>
              <w:right w:val="single" w:sz="4" w:space="0" w:color="auto"/>
            </w:tcBorders>
            <w:shd w:val="clear" w:color="auto" w:fill="auto"/>
            <w:noWrap/>
            <w:vAlign w:val="center"/>
            <w:hideMark/>
          </w:tcPr>
          <w:p w14:paraId="501A66B9" w14:textId="77777777" w:rsidR="00462345" w:rsidRPr="00462345" w:rsidRDefault="00462345" w:rsidP="003D68D1">
            <w:pPr>
              <w:spacing w:after="0" w:line="240" w:lineRule="auto"/>
              <w:jc w:val="right"/>
              <w:rPr>
                <w:rFonts w:cs="Arial"/>
                <w:color w:val="000000"/>
                <w:sz w:val="16"/>
                <w:szCs w:val="16"/>
                <w:lang w:eastAsia="en-AU"/>
              </w:rPr>
            </w:pPr>
            <w:r w:rsidRPr="00462345">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1FE39D14" w14:textId="77777777" w:rsidR="00462345" w:rsidRPr="00462345" w:rsidRDefault="00462345" w:rsidP="003D68D1">
            <w:pPr>
              <w:spacing w:after="0" w:line="240" w:lineRule="auto"/>
              <w:jc w:val="right"/>
              <w:rPr>
                <w:rFonts w:cs="Arial"/>
                <w:color w:val="000000"/>
                <w:sz w:val="16"/>
                <w:szCs w:val="16"/>
                <w:lang w:eastAsia="en-AU"/>
              </w:rPr>
            </w:pPr>
            <w:r w:rsidRPr="00462345">
              <w:rPr>
                <w:rFonts w:cs="Arial"/>
                <w:color w:val="000000"/>
                <w:sz w:val="16"/>
                <w:szCs w:val="16"/>
                <w:lang w:eastAsia="en-AU"/>
              </w:rPr>
              <w:t>1,499</w:t>
            </w:r>
          </w:p>
        </w:tc>
        <w:tc>
          <w:tcPr>
            <w:tcW w:w="1449" w:type="dxa"/>
            <w:tcBorders>
              <w:top w:val="nil"/>
              <w:left w:val="nil"/>
              <w:bottom w:val="single" w:sz="4" w:space="0" w:color="auto"/>
              <w:right w:val="single" w:sz="4" w:space="0" w:color="auto"/>
            </w:tcBorders>
            <w:shd w:val="clear" w:color="auto" w:fill="auto"/>
            <w:noWrap/>
            <w:vAlign w:val="center"/>
            <w:hideMark/>
          </w:tcPr>
          <w:p w14:paraId="7A0DC1E2" w14:textId="77777777" w:rsidR="00462345" w:rsidRPr="00462345" w:rsidRDefault="00462345" w:rsidP="003D68D1">
            <w:pPr>
              <w:spacing w:after="0" w:line="240" w:lineRule="auto"/>
              <w:jc w:val="right"/>
              <w:rPr>
                <w:rFonts w:cs="Arial"/>
                <w:color w:val="000000"/>
                <w:sz w:val="16"/>
                <w:szCs w:val="16"/>
                <w:lang w:eastAsia="en-AU"/>
              </w:rPr>
            </w:pPr>
            <w:r w:rsidRPr="00462345">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7CD3EF16" w14:textId="77777777" w:rsidR="00462345" w:rsidRPr="00462345" w:rsidRDefault="00462345" w:rsidP="003D68D1">
            <w:pPr>
              <w:spacing w:after="0" w:line="240" w:lineRule="auto"/>
              <w:jc w:val="right"/>
              <w:rPr>
                <w:rFonts w:cs="Arial"/>
                <w:color w:val="000000"/>
                <w:sz w:val="16"/>
                <w:szCs w:val="16"/>
                <w:lang w:eastAsia="en-AU"/>
              </w:rPr>
            </w:pPr>
            <w:r w:rsidRPr="00462345">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69882616" w14:textId="77777777" w:rsidR="00462345" w:rsidRPr="00462345" w:rsidRDefault="00462345" w:rsidP="003D68D1">
            <w:pPr>
              <w:spacing w:after="0" w:line="240" w:lineRule="auto"/>
              <w:jc w:val="right"/>
              <w:rPr>
                <w:rFonts w:cs="Arial"/>
                <w:color w:val="000000"/>
                <w:sz w:val="16"/>
                <w:szCs w:val="16"/>
                <w:lang w:eastAsia="en-AU"/>
              </w:rPr>
            </w:pPr>
            <w:r w:rsidRPr="00462345">
              <w:rPr>
                <w:rFonts w:cs="Arial"/>
                <w:color w:val="000000"/>
                <w:sz w:val="16"/>
                <w:szCs w:val="16"/>
                <w:lang w:eastAsia="en-AU"/>
              </w:rPr>
              <w:t>765</w:t>
            </w:r>
          </w:p>
        </w:tc>
        <w:tc>
          <w:tcPr>
            <w:tcW w:w="1449" w:type="dxa"/>
            <w:tcBorders>
              <w:top w:val="nil"/>
              <w:left w:val="nil"/>
              <w:bottom w:val="single" w:sz="4" w:space="0" w:color="auto"/>
              <w:right w:val="single" w:sz="4" w:space="0" w:color="auto"/>
            </w:tcBorders>
            <w:shd w:val="clear" w:color="auto" w:fill="auto"/>
            <w:noWrap/>
            <w:vAlign w:val="center"/>
            <w:hideMark/>
          </w:tcPr>
          <w:p w14:paraId="272A0704" w14:textId="77777777" w:rsidR="00462345" w:rsidRPr="00462345" w:rsidRDefault="00462345" w:rsidP="003D68D1">
            <w:pPr>
              <w:spacing w:after="0" w:line="240" w:lineRule="auto"/>
              <w:jc w:val="right"/>
              <w:rPr>
                <w:rFonts w:cs="Arial"/>
                <w:color w:val="000000"/>
                <w:sz w:val="16"/>
                <w:szCs w:val="16"/>
                <w:lang w:eastAsia="en-AU"/>
              </w:rPr>
            </w:pPr>
            <w:r w:rsidRPr="00462345">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125BE2F2" w14:textId="77777777" w:rsidR="00462345" w:rsidRPr="00462345" w:rsidRDefault="00462345" w:rsidP="003D68D1">
            <w:pPr>
              <w:spacing w:after="0" w:line="240" w:lineRule="auto"/>
              <w:jc w:val="right"/>
              <w:rPr>
                <w:rFonts w:cs="Arial"/>
                <w:color w:val="000000"/>
                <w:sz w:val="16"/>
                <w:szCs w:val="16"/>
                <w:lang w:eastAsia="en-AU"/>
              </w:rPr>
            </w:pPr>
            <w:r w:rsidRPr="00462345">
              <w:rPr>
                <w:rFonts w:cs="Arial"/>
                <w:color w:val="000000"/>
                <w:sz w:val="16"/>
                <w:szCs w:val="16"/>
                <w:lang w:eastAsia="en-AU"/>
              </w:rPr>
              <w:t>2,264</w:t>
            </w:r>
          </w:p>
        </w:tc>
      </w:tr>
      <w:tr w:rsidR="00462345" w:rsidRPr="00AF3EDE" w14:paraId="660EC60A" w14:textId="77777777" w:rsidTr="00FE1263">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15C9AAC" w14:textId="77777777" w:rsidR="00462345" w:rsidRPr="00462345" w:rsidRDefault="00462345" w:rsidP="003D68D1">
            <w:pPr>
              <w:spacing w:after="0" w:line="240" w:lineRule="auto"/>
              <w:rPr>
                <w:rFonts w:cs="Arial"/>
                <w:color w:val="000000"/>
                <w:sz w:val="16"/>
                <w:szCs w:val="16"/>
                <w:lang w:eastAsia="en-AU"/>
              </w:rPr>
            </w:pPr>
            <w:r w:rsidRPr="00462345">
              <w:rPr>
                <w:rFonts w:cs="Arial"/>
                <w:color w:val="000000"/>
                <w:sz w:val="16"/>
                <w:szCs w:val="16"/>
                <w:lang w:eastAsia="en-AU"/>
              </w:rPr>
              <w:t>The University of Melbourne</w:t>
            </w:r>
          </w:p>
        </w:tc>
        <w:tc>
          <w:tcPr>
            <w:tcW w:w="1449" w:type="dxa"/>
            <w:tcBorders>
              <w:top w:val="nil"/>
              <w:left w:val="nil"/>
              <w:bottom w:val="single" w:sz="4" w:space="0" w:color="auto"/>
              <w:right w:val="single" w:sz="4" w:space="0" w:color="auto"/>
            </w:tcBorders>
            <w:shd w:val="clear" w:color="auto" w:fill="auto"/>
            <w:noWrap/>
            <w:vAlign w:val="center"/>
            <w:hideMark/>
          </w:tcPr>
          <w:p w14:paraId="78A6710D" w14:textId="77777777" w:rsidR="00462345" w:rsidRPr="00462345" w:rsidRDefault="00462345" w:rsidP="003D68D1">
            <w:pPr>
              <w:spacing w:after="0" w:line="240" w:lineRule="auto"/>
              <w:jc w:val="right"/>
              <w:rPr>
                <w:rFonts w:cs="Arial"/>
                <w:b/>
                <w:bCs/>
                <w:color w:val="000000"/>
                <w:sz w:val="16"/>
                <w:szCs w:val="16"/>
                <w:lang w:eastAsia="en-AU"/>
              </w:rPr>
            </w:pPr>
            <w:r w:rsidRPr="00462345">
              <w:rPr>
                <w:rFonts w:cs="Arial"/>
                <w:b/>
                <w:bCs/>
                <w:color w:val="000000"/>
                <w:sz w:val="16"/>
                <w:szCs w:val="16"/>
                <w:lang w:eastAsia="en-AU"/>
              </w:rPr>
              <w:t>395</w:t>
            </w:r>
          </w:p>
        </w:tc>
        <w:tc>
          <w:tcPr>
            <w:tcW w:w="1449" w:type="dxa"/>
            <w:tcBorders>
              <w:top w:val="nil"/>
              <w:left w:val="nil"/>
              <w:bottom w:val="single" w:sz="4" w:space="0" w:color="auto"/>
              <w:right w:val="single" w:sz="4" w:space="0" w:color="auto"/>
            </w:tcBorders>
            <w:shd w:val="clear" w:color="auto" w:fill="auto"/>
            <w:noWrap/>
            <w:vAlign w:val="center"/>
            <w:hideMark/>
          </w:tcPr>
          <w:p w14:paraId="244C053F" w14:textId="77777777" w:rsidR="00462345" w:rsidRPr="00462345" w:rsidRDefault="00462345" w:rsidP="003D68D1">
            <w:pPr>
              <w:spacing w:after="0" w:line="240" w:lineRule="auto"/>
              <w:jc w:val="right"/>
              <w:rPr>
                <w:rFonts w:cs="Arial"/>
                <w:color w:val="000000"/>
                <w:sz w:val="16"/>
                <w:szCs w:val="16"/>
                <w:lang w:eastAsia="en-AU"/>
              </w:rPr>
            </w:pPr>
            <w:r w:rsidRPr="00462345">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13720FBE" w14:textId="77777777" w:rsidR="00462345" w:rsidRPr="00462345" w:rsidRDefault="00462345" w:rsidP="003D68D1">
            <w:pPr>
              <w:spacing w:after="0" w:line="240" w:lineRule="auto"/>
              <w:jc w:val="right"/>
              <w:rPr>
                <w:rFonts w:cs="Arial"/>
                <w:color w:val="000000"/>
                <w:sz w:val="16"/>
                <w:szCs w:val="16"/>
                <w:lang w:eastAsia="en-AU"/>
              </w:rPr>
            </w:pPr>
            <w:r w:rsidRPr="00462345">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19D294F0" w14:textId="77777777" w:rsidR="00462345" w:rsidRPr="00462345" w:rsidRDefault="00462345" w:rsidP="003D68D1">
            <w:pPr>
              <w:spacing w:after="0" w:line="240" w:lineRule="auto"/>
              <w:jc w:val="right"/>
              <w:rPr>
                <w:rFonts w:cs="Arial"/>
                <w:color w:val="000000"/>
                <w:sz w:val="16"/>
                <w:szCs w:val="16"/>
                <w:lang w:eastAsia="en-AU"/>
              </w:rPr>
            </w:pPr>
            <w:r w:rsidRPr="00462345">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3EA87568" w14:textId="77777777" w:rsidR="00462345" w:rsidRPr="00462345" w:rsidRDefault="00462345" w:rsidP="003D68D1">
            <w:pPr>
              <w:spacing w:after="0" w:line="240" w:lineRule="auto"/>
              <w:jc w:val="right"/>
              <w:rPr>
                <w:rFonts w:cs="Arial"/>
                <w:color w:val="000000"/>
                <w:sz w:val="16"/>
                <w:szCs w:val="16"/>
                <w:lang w:eastAsia="en-AU"/>
              </w:rPr>
            </w:pPr>
            <w:r w:rsidRPr="00462345">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5FACF5CA" w14:textId="77777777" w:rsidR="00462345" w:rsidRPr="00462345" w:rsidRDefault="00462345" w:rsidP="003D68D1">
            <w:pPr>
              <w:spacing w:after="0" w:line="240" w:lineRule="auto"/>
              <w:jc w:val="right"/>
              <w:rPr>
                <w:rFonts w:cs="Arial"/>
                <w:color w:val="000000"/>
                <w:sz w:val="16"/>
                <w:szCs w:val="16"/>
                <w:lang w:eastAsia="en-AU"/>
              </w:rPr>
            </w:pPr>
            <w:r w:rsidRPr="00462345">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095E2C84" w14:textId="77777777" w:rsidR="00462345" w:rsidRPr="00462345" w:rsidRDefault="00462345" w:rsidP="003D68D1">
            <w:pPr>
              <w:spacing w:after="0" w:line="240" w:lineRule="auto"/>
              <w:jc w:val="right"/>
              <w:rPr>
                <w:rFonts w:cs="Arial"/>
                <w:color w:val="000000"/>
                <w:sz w:val="16"/>
                <w:szCs w:val="16"/>
                <w:lang w:eastAsia="en-AU"/>
              </w:rPr>
            </w:pPr>
            <w:r w:rsidRPr="00462345">
              <w:rPr>
                <w:rFonts w:cs="Arial"/>
                <w:color w:val="000000"/>
                <w:sz w:val="16"/>
                <w:szCs w:val="16"/>
                <w:lang w:eastAsia="en-AU"/>
              </w:rPr>
              <w:t>404</w:t>
            </w:r>
          </w:p>
        </w:tc>
        <w:tc>
          <w:tcPr>
            <w:tcW w:w="1449" w:type="dxa"/>
            <w:tcBorders>
              <w:top w:val="nil"/>
              <w:left w:val="nil"/>
              <w:bottom w:val="single" w:sz="4" w:space="0" w:color="auto"/>
              <w:right w:val="single" w:sz="4" w:space="0" w:color="auto"/>
            </w:tcBorders>
            <w:shd w:val="clear" w:color="auto" w:fill="auto"/>
            <w:noWrap/>
            <w:vAlign w:val="center"/>
            <w:hideMark/>
          </w:tcPr>
          <w:p w14:paraId="7CDE672B" w14:textId="77777777" w:rsidR="00462345" w:rsidRPr="00462345" w:rsidRDefault="00462345" w:rsidP="003D68D1">
            <w:pPr>
              <w:spacing w:after="0" w:line="240" w:lineRule="auto"/>
              <w:jc w:val="right"/>
              <w:rPr>
                <w:rFonts w:cs="Arial"/>
                <w:color w:val="000000"/>
                <w:sz w:val="16"/>
                <w:szCs w:val="16"/>
                <w:lang w:eastAsia="en-AU"/>
              </w:rPr>
            </w:pPr>
            <w:r w:rsidRPr="00462345">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7B28C4B1" w14:textId="77777777" w:rsidR="00462345" w:rsidRPr="00462345" w:rsidRDefault="00462345" w:rsidP="003D68D1">
            <w:pPr>
              <w:spacing w:after="0" w:line="240" w:lineRule="auto"/>
              <w:jc w:val="right"/>
              <w:rPr>
                <w:rFonts w:cs="Arial"/>
                <w:color w:val="000000"/>
                <w:sz w:val="16"/>
                <w:szCs w:val="16"/>
                <w:lang w:eastAsia="en-AU"/>
              </w:rPr>
            </w:pPr>
            <w:r w:rsidRPr="00462345">
              <w:rPr>
                <w:rFonts w:cs="Arial"/>
                <w:color w:val="000000"/>
                <w:sz w:val="16"/>
                <w:szCs w:val="16"/>
                <w:lang w:eastAsia="en-AU"/>
              </w:rPr>
              <w:t>404</w:t>
            </w:r>
          </w:p>
        </w:tc>
      </w:tr>
      <w:tr w:rsidR="00462345" w:rsidRPr="00AF3EDE" w14:paraId="03FCEEBC" w14:textId="77777777" w:rsidTr="00FE1263">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FD064B1" w14:textId="77777777" w:rsidR="00462345" w:rsidRPr="00462345" w:rsidRDefault="00462345" w:rsidP="003D68D1">
            <w:pPr>
              <w:spacing w:after="0" w:line="240" w:lineRule="auto"/>
              <w:rPr>
                <w:rFonts w:cs="Arial"/>
                <w:b/>
                <w:bCs/>
                <w:color w:val="000000"/>
                <w:sz w:val="16"/>
                <w:szCs w:val="16"/>
                <w:lang w:eastAsia="en-AU"/>
              </w:rPr>
            </w:pPr>
            <w:r w:rsidRPr="00462345">
              <w:rPr>
                <w:rFonts w:cs="Arial"/>
                <w:b/>
                <w:bCs/>
                <w:color w:val="000000"/>
                <w:sz w:val="16"/>
                <w:szCs w:val="16"/>
                <w:lang w:eastAsia="en-AU"/>
              </w:rPr>
              <w:t>Total</w:t>
            </w:r>
          </w:p>
        </w:tc>
        <w:tc>
          <w:tcPr>
            <w:tcW w:w="1449" w:type="dxa"/>
            <w:tcBorders>
              <w:top w:val="nil"/>
              <w:left w:val="nil"/>
              <w:bottom w:val="single" w:sz="4" w:space="0" w:color="auto"/>
              <w:right w:val="single" w:sz="4" w:space="0" w:color="auto"/>
            </w:tcBorders>
            <w:shd w:val="clear" w:color="auto" w:fill="auto"/>
            <w:noWrap/>
            <w:vAlign w:val="center"/>
            <w:hideMark/>
          </w:tcPr>
          <w:p w14:paraId="58B3CC31" w14:textId="77777777" w:rsidR="00462345" w:rsidRPr="00462345" w:rsidRDefault="00462345" w:rsidP="003D68D1">
            <w:pPr>
              <w:spacing w:after="0" w:line="240" w:lineRule="auto"/>
              <w:jc w:val="right"/>
              <w:rPr>
                <w:rFonts w:cs="Arial"/>
                <w:b/>
                <w:bCs/>
                <w:color w:val="000000"/>
                <w:sz w:val="16"/>
                <w:szCs w:val="16"/>
                <w:lang w:eastAsia="en-AU"/>
              </w:rPr>
            </w:pPr>
            <w:r w:rsidRPr="00462345">
              <w:rPr>
                <w:rFonts w:cs="Arial"/>
                <w:b/>
                <w:bCs/>
                <w:color w:val="000000"/>
                <w:sz w:val="16"/>
                <w:szCs w:val="16"/>
                <w:lang w:eastAsia="en-AU"/>
              </w:rPr>
              <w:t>2,606</w:t>
            </w:r>
          </w:p>
        </w:tc>
        <w:tc>
          <w:tcPr>
            <w:tcW w:w="1449" w:type="dxa"/>
            <w:tcBorders>
              <w:top w:val="nil"/>
              <w:left w:val="nil"/>
              <w:bottom w:val="single" w:sz="4" w:space="0" w:color="auto"/>
              <w:right w:val="single" w:sz="4" w:space="0" w:color="auto"/>
            </w:tcBorders>
            <w:shd w:val="clear" w:color="auto" w:fill="auto"/>
            <w:noWrap/>
            <w:vAlign w:val="center"/>
            <w:hideMark/>
          </w:tcPr>
          <w:p w14:paraId="04AD513E" w14:textId="77777777" w:rsidR="00462345" w:rsidRPr="00462345" w:rsidRDefault="00462345" w:rsidP="003D68D1">
            <w:pPr>
              <w:spacing w:after="0" w:line="240" w:lineRule="auto"/>
              <w:jc w:val="right"/>
              <w:rPr>
                <w:rFonts w:cs="Arial"/>
                <w:b/>
                <w:bCs/>
                <w:color w:val="000000"/>
                <w:sz w:val="16"/>
                <w:szCs w:val="16"/>
                <w:lang w:eastAsia="en-AU"/>
              </w:rPr>
            </w:pPr>
            <w:r w:rsidRPr="00462345">
              <w:rPr>
                <w:rFonts w:cs="Arial"/>
                <w:b/>
                <w:bCs/>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0812580C" w14:textId="77777777" w:rsidR="00462345" w:rsidRPr="00462345" w:rsidRDefault="00462345" w:rsidP="003D68D1">
            <w:pPr>
              <w:spacing w:after="0" w:line="240" w:lineRule="auto"/>
              <w:jc w:val="right"/>
              <w:rPr>
                <w:rFonts w:cs="Arial"/>
                <w:b/>
                <w:bCs/>
                <w:color w:val="000000"/>
                <w:sz w:val="16"/>
                <w:szCs w:val="16"/>
                <w:lang w:eastAsia="en-AU"/>
              </w:rPr>
            </w:pPr>
            <w:r w:rsidRPr="00462345">
              <w:rPr>
                <w:rFonts w:cs="Arial"/>
                <w:b/>
                <w:bCs/>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42C87164" w14:textId="77777777" w:rsidR="00462345" w:rsidRPr="00462345" w:rsidRDefault="00462345" w:rsidP="003D68D1">
            <w:pPr>
              <w:spacing w:after="0" w:line="240" w:lineRule="auto"/>
              <w:jc w:val="right"/>
              <w:rPr>
                <w:rFonts w:cs="Arial"/>
                <w:b/>
                <w:bCs/>
                <w:color w:val="000000"/>
                <w:sz w:val="16"/>
                <w:szCs w:val="16"/>
                <w:lang w:eastAsia="en-AU"/>
              </w:rPr>
            </w:pPr>
            <w:r w:rsidRPr="00462345">
              <w:rPr>
                <w:rFonts w:cs="Arial"/>
                <w:b/>
                <w:bCs/>
                <w:color w:val="000000"/>
                <w:sz w:val="16"/>
                <w:szCs w:val="16"/>
                <w:lang w:eastAsia="en-AU"/>
              </w:rPr>
              <w:t>1,499</w:t>
            </w:r>
          </w:p>
        </w:tc>
        <w:tc>
          <w:tcPr>
            <w:tcW w:w="1449" w:type="dxa"/>
            <w:tcBorders>
              <w:top w:val="nil"/>
              <w:left w:val="nil"/>
              <w:bottom w:val="single" w:sz="4" w:space="0" w:color="auto"/>
              <w:right w:val="single" w:sz="4" w:space="0" w:color="auto"/>
            </w:tcBorders>
            <w:shd w:val="clear" w:color="auto" w:fill="auto"/>
            <w:noWrap/>
            <w:vAlign w:val="center"/>
            <w:hideMark/>
          </w:tcPr>
          <w:p w14:paraId="1EB2E98A" w14:textId="77777777" w:rsidR="00462345" w:rsidRPr="00462345" w:rsidRDefault="00462345" w:rsidP="003D68D1">
            <w:pPr>
              <w:spacing w:after="0" w:line="240" w:lineRule="auto"/>
              <w:jc w:val="right"/>
              <w:rPr>
                <w:rFonts w:cs="Arial"/>
                <w:b/>
                <w:bCs/>
                <w:color w:val="000000"/>
                <w:sz w:val="16"/>
                <w:szCs w:val="16"/>
                <w:lang w:eastAsia="en-AU"/>
              </w:rPr>
            </w:pPr>
            <w:r w:rsidRPr="00462345">
              <w:rPr>
                <w:rFonts w:cs="Arial"/>
                <w:b/>
                <w:bCs/>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50B60F4D" w14:textId="77777777" w:rsidR="00462345" w:rsidRPr="00462345" w:rsidRDefault="00462345" w:rsidP="003D68D1">
            <w:pPr>
              <w:spacing w:after="0" w:line="240" w:lineRule="auto"/>
              <w:jc w:val="right"/>
              <w:rPr>
                <w:rFonts w:cs="Arial"/>
                <w:b/>
                <w:bCs/>
                <w:color w:val="000000"/>
                <w:sz w:val="16"/>
                <w:szCs w:val="16"/>
                <w:lang w:eastAsia="en-AU"/>
              </w:rPr>
            </w:pPr>
            <w:r w:rsidRPr="00462345">
              <w:rPr>
                <w:rFonts w:cs="Arial"/>
                <w:b/>
                <w:bCs/>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7375D157" w14:textId="77777777" w:rsidR="00462345" w:rsidRPr="00462345" w:rsidRDefault="00462345" w:rsidP="003D68D1">
            <w:pPr>
              <w:spacing w:after="0" w:line="240" w:lineRule="auto"/>
              <w:jc w:val="right"/>
              <w:rPr>
                <w:rFonts w:cs="Arial"/>
                <w:b/>
                <w:bCs/>
                <w:color w:val="000000"/>
                <w:sz w:val="16"/>
                <w:szCs w:val="16"/>
                <w:lang w:eastAsia="en-AU"/>
              </w:rPr>
            </w:pPr>
            <w:r w:rsidRPr="00462345">
              <w:rPr>
                <w:rFonts w:cs="Arial"/>
                <w:b/>
                <w:bCs/>
                <w:color w:val="000000"/>
                <w:sz w:val="16"/>
                <w:szCs w:val="16"/>
                <w:lang w:eastAsia="en-AU"/>
              </w:rPr>
              <w:t>1,169</w:t>
            </w:r>
          </w:p>
        </w:tc>
        <w:tc>
          <w:tcPr>
            <w:tcW w:w="1449" w:type="dxa"/>
            <w:tcBorders>
              <w:top w:val="nil"/>
              <w:left w:val="nil"/>
              <w:bottom w:val="single" w:sz="4" w:space="0" w:color="auto"/>
              <w:right w:val="single" w:sz="4" w:space="0" w:color="auto"/>
            </w:tcBorders>
            <w:shd w:val="clear" w:color="auto" w:fill="auto"/>
            <w:noWrap/>
            <w:vAlign w:val="center"/>
            <w:hideMark/>
          </w:tcPr>
          <w:p w14:paraId="09ECE4AE" w14:textId="77777777" w:rsidR="00462345" w:rsidRPr="00462345" w:rsidRDefault="00462345" w:rsidP="003D68D1">
            <w:pPr>
              <w:spacing w:after="0" w:line="240" w:lineRule="auto"/>
              <w:jc w:val="right"/>
              <w:rPr>
                <w:rFonts w:cs="Arial"/>
                <w:b/>
                <w:bCs/>
                <w:color w:val="000000"/>
                <w:sz w:val="16"/>
                <w:szCs w:val="16"/>
                <w:lang w:eastAsia="en-AU"/>
              </w:rPr>
            </w:pPr>
            <w:r w:rsidRPr="00462345">
              <w:rPr>
                <w:rFonts w:cs="Arial"/>
                <w:b/>
                <w:bCs/>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600D943E" w14:textId="77777777" w:rsidR="00462345" w:rsidRPr="00462345" w:rsidRDefault="00462345" w:rsidP="003D68D1">
            <w:pPr>
              <w:spacing w:after="0" w:line="240" w:lineRule="auto"/>
              <w:jc w:val="right"/>
              <w:rPr>
                <w:rFonts w:cs="Arial"/>
                <w:b/>
                <w:bCs/>
                <w:color w:val="000000"/>
                <w:sz w:val="16"/>
                <w:szCs w:val="16"/>
                <w:lang w:eastAsia="en-AU"/>
              </w:rPr>
            </w:pPr>
            <w:r w:rsidRPr="00462345">
              <w:rPr>
                <w:rFonts w:cs="Arial"/>
                <w:b/>
                <w:bCs/>
                <w:color w:val="000000"/>
                <w:sz w:val="16"/>
                <w:szCs w:val="16"/>
                <w:lang w:eastAsia="en-AU"/>
              </w:rPr>
              <w:t>2,668</w:t>
            </w:r>
          </w:p>
        </w:tc>
      </w:tr>
    </w:tbl>
    <w:p w14:paraId="04B66276" w14:textId="53A80B1D" w:rsidR="00462345" w:rsidRPr="00462345" w:rsidRDefault="004756B4" w:rsidP="00462345">
      <w:pPr>
        <w:pStyle w:val="Bodyaftertablefigure"/>
      </w:pPr>
      <w:r>
        <w:t>Other</w:t>
      </w:r>
      <w:r w:rsidR="000048B2">
        <w:t xml:space="preserve"> – $’000s</w:t>
      </w:r>
    </w:p>
    <w:tbl>
      <w:tblPr>
        <w:tblW w:w="14737" w:type="dxa"/>
        <w:tblLayout w:type="fixed"/>
        <w:tblLook w:val="04A0" w:firstRow="1" w:lastRow="0" w:firstColumn="1" w:lastColumn="0" w:noHBand="0" w:noVBand="1"/>
      </w:tblPr>
      <w:tblGrid>
        <w:gridCol w:w="1696"/>
        <w:gridCol w:w="1449"/>
        <w:gridCol w:w="1449"/>
        <w:gridCol w:w="1449"/>
        <w:gridCol w:w="1449"/>
        <w:gridCol w:w="1449"/>
        <w:gridCol w:w="1449"/>
        <w:gridCol w:w="1449"/>
        <w:gridCol w:w="1449"/>
        <w:gridCol w:w="1449"/>
      </w:tblGrid>
      <w:tr w:rsidR="00462345" w:rsidRPr="00AF3EDE" w14:paraId="0DDEF747" w14:textId="77777777" w:rsidTr="00FE1263">
        <w:trPr>
          <w:trHeight w:val="818"/>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6B7D2B55" w14:textId="77777777" w:rsidR="00462345" w:rsidRPr="00AF3EDE" w:rsidRDefault="00462345" w:rsidP="003D68D1">
            <w:pPr>
              <w:spacing w:after="0" w:line="240" w:lineRule="auto"/>
              <w:rPr>
                <w:rFonts w:cs="Arial"/>
                <w:b/>
                <w:bCs/>
                <w:color w:val="53565A"/>
                <w:sz w:val="16"/>
                <w:szCs w:val="16"/>
                <w:lang w:eastAsia="en-AU"/>
              </w:rPr>
            </w:pPr>
            <w:r w:rsidRPr="00AF3EDE">
              <w:rPr>
                <w:rFonts w:cs="Arial"/>
                <w:b/>
                <w:bCs/>
                <w:color w:val="53565A"/>
                <w:sz w:val="16"/>
                <w:szCs w:val="16"/>
                <w:lang w:eastAsia="en-AU"/>
              </w:rPr>
              <w:t xml:space="preserve">Health service </w:t>
            </w:r>
          </w:p>
        </w:tc>
        <w:tc>
          <w:tcPr>
            <w:tcW w:w="1449" w:type="dxa"/>
            <w:tcBorders>
              <w:top w:val="single" w:sz="4" w:space="0" w:color="auto"/>
              <w:left w:val="nil"/>
              <w:bottom w:val="single" w:sz="4" w:space="0" w:color="auto"/>
              <w:right w:val="single" w:sz="4" w:space="0" w:color="auto"/>
            </w:tcBorders>
            <w:shd w:val="clear" w:color="auto" w:fill="auto"/>
            <w:hideMark/>
          </w:tcPr>
          <w:p w14:paraId="3BF4442E" w14:textId="77777777" w:rsidR="00462345" w:rsidRPr="00AF3EDE" w:rsidRDefault="00462345"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 xml:space="preserve">2022-2023 </w:t>
            </w:r>
            <w:r w:rsidRPr="00AF3EDE">
              <w:rPr>
                <w:rFonts w:cs="Arial"/>
                <w:b/>
                <w:bCs/>
                <w:color w:val="53565A"/>
                <w:sz w:val="16"/>
                <w:szCs w:val="16"/>
                <w:lang w:eastAsia="en-AU"/>
              </w:rPr>
              <w:br/>
              <w:t>Total</w:t>
            </w:r>
          </w:p>
        </w:tc>
        <w:tc>
          <w:tcPr>
            <w:tcW w:w="1449" w:type="dxa"/>
            <w:tcBorders>
              <w:top w:val="single" w:sz="4" w:space="0" w:color="auto"/>
              <w:left w:val="nil"/>
              <w:bottom w:val="single" w:sz="4" w:space="0" w:color="auto"/>
              <w:right w:val="single" w:sz="4" w:space="0" w:color="auto"/>
            </w:tcBorders>
            <w:shd w:val="clear" w:color="auto" w:fill="auto"/>
            <w:hideMark/>
          </w:tcPr>
          <w:p w14:paraId="24E86C8F" w14:textId="77777777" w:rsidR="00462345" w:rsidRPr="00AF3EDE" w:rsidRDefault="00462345"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sidRPr="00AF3EDE">
              <w:rPr>
                <w:rFonts w:cs="Arial"/>
                <w:b/>
                <w:bCs/>
                <w:color w:val="53565A"/>
                <w:sz w:val="16"/>
                <w:szCs w:val="16"/>
                <w:lang w:eastAsia="en-AU"/>
              </w:rPr>
              <w:br/>
              <w:t>Acute</w:t>
            </w:r>
          </w:p>
        </w:tc>
        <w:tc>
          <w:tcPr>
            <w:tcW w:w="1449" w:type="dxa"/>
            <w:tcBorders>
              <w:top w:val="single" w:sz="4" w:space="0" w:color="auto"/>
              <w:left w:val="nil"/>
              <w:bottom w:val="single" w:sz="4" w:space="0" w:color="auto"/>
              <w:right w:val="single" w:sz="4" w:space="0" w:color="auto"/>
            </w:tcBorders>
            <w:shd w:val="clear" w:color="auto" w:fill="auto"/>
            <w:hideMark/>
          </w:tcPr>
          <w:p w14:paraId="0399673F" w14:textId="77777777" w:rsidR="00462345" w:rsidRPr="00AF3EDE" w:rsidRDefault="00462345"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sidRPr="00AF3EDE">
              <w:rPr>
                <w:rFonts w:cs="Arial"/>
                <w:b/>
                <w:bCs/>
                <w:color w:val="53565A"/>
                <w:sz w:val="16"/>
                <w:szCs w:val="16"/>
                <w:lang w:eastAsia="en-AU"/>
              </w:rPr>
              <w:br/>
              <w:t>Non Acute</w:t>
            </w:r>
          </w:p>
        </w:tc>
        <w:tc>
          <w:tcPr>
            <w:tcW w:w="1449" w:type="dxa"/>
            <w:tcBorders>
              <w:top w:val="single" w:sz="4" w:space="0" w:color="auto"/>
              <w:left w:val="nil"/>
              <w:bottom w:val="single" w:sz="4" w:space="0" w:color="auto"/>
              <w:right w:val="single" w:sz="4" w:space="0" w:color="auto"/>
            </w:tcBorders>
            <w:shd w:val="clear" w:color="auto" w:fill="auto"/>
            <w:hideMark/>
          </w:tcPr>
          <w:p w14:paraId="2F1A7F54" w14:textId="77777777" w:rsidR="00462345" w:rsidRPr="00AF3EDE" w:rsidRDefault="00462345"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sidRPr="00AF3EDE">
              <w:rPr>
                <w:rFonts w:cs="Arial"/>
                <w:b/>
                <w:bCs/>
                <w:color w:val="53565A"/>
                <w:sz w:val="16"/>
                <w:szCs w:val="16"/>
                <w:lang w:eastAsia="en-AU"/>
              </w:rPr>
              <w:br/>
              <w:t>Ambulatory</w:t>
            </w:r>
          </w:p>
        </w:tc>
        <w:tc>
          <w:tcPr>
            <w:tcW w:w="1449" w:type="dxa"/>
            <w:tcBorders>
              <w:top w:val="single" w:sz="4" w:space="0" w:color="auto"/>
              <w:left w:val="nil"/>
              <w:bottom w:val="single" w:sz="4" w:space="0" w:color="auto"/>
              <w:right w:val="single" w:sz="4" w:space="0" w:color="auto"/>
            </w:tcBorders>
            <w:shd w:val="clear" w:color="auto" w:fill="auto"/>
            <w:hideMark/>
          </w:tcPr>
          <w:p w14:paraId="26939022" w14:textId="77777777" w:rsidR="00462345" w:rsidRPr="00AF3EDE" w:rsidRDefault="00462345"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 Psychosocial Rehabilitation &amp; Support</w:t>
            </w:r>
          </w:p>
        </w:tc>
        <w:tc>
          <w:tcPr>
            <w:tcW w:w="1449" w:type="dxa"/>
            <w:tcBorders>
              <w:top w:val="single" w:sz="4" w:space="0" w:color="auto"/>
              <w:left w:val="nil"/>
              <w:bottom w:val="single" w:sz="4" w:space="0" w:color="auto"/>
              <w:right w:val="single" w:sz="4" w:space="0" w:color="auto"/>
            </w:tcBorders>
            <w:shd w:val="clear" w:color="auto" w:fill="auto"/>
            <w:hideMark/>
          </w:tcPr>
          <w:p w14:paraId="060D414C" w14:textId="77777777" w:rsidR="00462345" w:rsidRPr="00AF3EDE" w:rsidRDefault="00462345"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sidRPr="00AF3EDE">
              <w:rPr>
                <w:rFonts w:cs="Arial"/>
                <w:b/>
                <w:bCs/>
                <w:color w:val="53565A"/>
                <w:sz w:val="16"/>
                <w:szCs w:val="16"/>
                <w:lang w:eastAsia="en-AU"/>
              </w:rPr>
              <w:br/>
              <w:t>Residential</w:t>
            </w:r>
          </w:p>
        </w:tc>
        <w:tc>
          <w:tcPr>
            <w:tcW w:w="1449" w:type="dxa"/>
            <w:tcBorders>
              <w:top w:val="single" w:sz="4" w:space="0" w:color="auto"/>
              <w:left w:val="nil"/>
              <w:bottom w:val="single" w:sz="4" w:space="0" w:color="auto"/>
              <w:right w:val="single" w:sz="4" w:space="0" w:color="auto"/>
            </w:tcBorders>
            <w:shd w:val="clear" w:color="auto" w:fill="auto"/>
            <w:hideMark/>
          </w:tcPr>
          <w:p w14:paraId="458EA506" w14:textId="77777777" w:rsidR="00462345" w:rsidRPr="00AF3EDE" w:rsidRDefault="00462345"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sidRPr="00AF3EDE">
              <w:rPr>
                <w:rFonts w:cs="Arial"/>
                <w:b/>
                <w:bCs/>
                <w:color w:val="53565A"/>
                <w:sz w:val="16"/>
                <w:szCs w:val="16"/>
                <w:lang w:eastAsia="en-AU"/>
              </w:rPr>
              <w:br/>
              <w:t>Service System Capacity</w:t>
            </w:r>
          </w:p>
        </w:tc>
        <w:tc>
          <w:tcPr>
            <w:tcW w:w="1449" w:type="dxa"/>
            <w:tcBorders>
              <w:top w:val="single" w:sz="4" w:space="0" w:color="auto"/>
              <w:left w:val="nil"/>
              <w:bottom w:val="single" w:sz="4" w:space="0" w:color="auto"/>
              <w:right w:val="single" w:sz="4" w:space="0" w:color="auto"/>
            </w:tcBorders>
            <w:shd w:val="clear" w:color="auto" w:fill="auto"/>
            <w:hideMark/>
          </w:tcPr>
          <w:p w14:paraId="0C5DBBA9" w14:textId="77777777" w:rsidR="00462345" w:rsidRPr="00AF3EDE" w:rsidRDefault="00462345"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sidRPr="00AF3EDE">
              <w:rPr>
                <w:rFonts w:cs="Arial"/>
                <w:b/>
                <w:bCs/>
                <w:color w:val="53565A"/>
                <w:sz w:val="16"/>
                <w:szCs w:val="16"/>
                <w:lang w:eastAsia="en-AU"/>
              </w:rPr>
              <w:br/>
              <w:t>Subacute</w:t>
            </w:r>
          </w:p>
        </w:tc>
        <w:tc>
          <w:tcPr>
            <w:tcW w:w="1449" w:type="dxa"/>
            <w:tcBorders>
              <w:top w:val="single" w:sz="4" w:space="0" w:color="auto"/>
              <w:left w:val="nil"/>
              <w:bottom w:val="single" w:sz="4" w:space="0" w:color="auto"/>
              <w:right w:val="single" w:sz="4" w:space="0" w:color="auto"/>
            </w:tcBorders>
            <w:shd w:val="clear" w:color="auto" w:fill="auto"/>
            <w:hideMark/>
          </w:tcPr>
          <w:p w14:paraId="02F50C21" w14:textId="77777777" w:rsidR="00462345" w:rsidRPr="00AF3EDE" w:rsidRDefault="00462345" w:rsidP="003D68D1">
            <w:pPr>
              <w:spacing w:after="0" w:line="240" w:lineRule="auto"/>
              <w:jc w:val="right"/>
              <w:rPr>
                <w:rFonts w:cs="Arial"/>
                <w:b/>
                <w:bCs/>
                <w:color w:val="53565A"/>
                <w:sz w:val="16"/>
                <w:szCs w:val="16"/>
                <w:lang w:eastAsia="en-AU"/>
              </w:rPr>
            </w:pPr>
            <w:r w:rsidRPr="00AF3EDE">
              <w:rPr>
                <w:rFonts w:cs="Arial"/>
                <w:b/>
                <w:bCs/>
                <w:color w:val="53565A"/>
                <w:sz w:val="16"/>
                <w:szCs w:val="16"/>
                <w:lang w:eastAsia="en-AU"/>
              </w:rPr>
              <w:t>2023–24</w:t>
            </w:r>
            <w:r w:rsidRPr="00AF3EDE">
              <w:rPr>
                <w:rFonts w:cs="Arial"/>
                <w:b/>
                <w:bCs/>
                <w:color w:val="53565A"/>
                <w:sz w:val="16"/>
                <w:szCs w:val="16"/>
                <w:lang w:eastAsia="en-AU"/>
              </w:rPr>
              <w:br/>
              <w:t>Total</w:t>
            </w:r>
          </w:p>
        </w:tc>
      </w:tr>
      <w:tr w:rsidR="00462345" w:rsidRPr="00AF3EDE" w14:paraId="7FBFB455" w14:textId="77777777" w:rsidTr="00FE1263">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DC1157E"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Lyndoch Living Inc.</w:t>
            </w:r>
          </w:p>
        </w:tc>
        <w:tc>
          <w:tcPr>
            <w:tcW w:w="1449" w:type="dxa"/>
            <w:tcBorders>
              <w:top w:val="nil"/>
              <w:left w:val="nil"/>
              <w:bottom w:val="single" w:sz="4" w:space="0" w:color="auto"/>
              <w:right w:val="single" w:sz="4" w:space="0" w:color="auto"/>
            </w:tcBorders>
            <w:shd w:val="clear" w:color="auto" w:fill="auto"/>
            <w:noWrap/>
            <w:vAlign w:val="center"/>
            <w:hideMark/>
          </w:tcPr>
          <w:p w14:paraId="3362642E"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395</w:t>
            </w:r>
          </w:p>
        </w:tc>
        <w:tc>
          <w:tcPr>
            <w:tcW w:w="1449" w:type="dxa"/>
            <w:tcBorders>
              <w:top w:val="nil"/>
              <w:left w:val="nil"/>
              <w:bottom w:val="single" w:sz="4" w:space="0" w:color="auto"/>
              <w:right w:val="single" w:sz="4" w:space="0" w:color="auto"/>
            </w:tcBorders>
            <w:shd w:val="clear" w:color="auto" w:fill="auto"/>
            <w:noWrap/>
            <w:vAlign w:val="center"/>
            <w:hideMark/>
          </w:tcPr>
          <w:p w14:paraId="60AA17A5"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7859F419"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449" w:type="dxa"/>
            <w:tcBorders>
              <w:top w:val="nil"/>
              <w:left w:val="nil"/>
              <w:bottom w:val="single" w:sz="4" w:space="0" w:color="auto"/>
              <w:right w:val="single" w:sz="4" w:space="0" w:color="auto"/>
            </w:tcBorders>
            <w:shd w:val="clear" w:color="auto" w:fill="auto"/>
            <w:noWrap/>
            <w:vAlign w:val="center"/>
            <w:hideMark/>
          </w:tcPr>
          <w:p w14:paraId="2DF65726"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5E7A0E37"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0B8043C7"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405</w:t>
            </w:r>
          </w:p>
        </w:tc>
        <w:tc>
          <w:tcPr>
            <w:tcW w:w="1449" w:type="dxa"/>
            <w:tcBorders>
              <w:top w:val="nil"/>
              <w:left w:val="nil"/>
              <w:bottom w:val="single" w:sz="4" w:space="0" w:color="auto"/>
              <w:right w:val="single" w:sz="4" w:space="0" w:color="auto"/>
            </w:tcBorders>
            <w:shd w:val="clear" w:color="auto" w:fill="auto"/>
            <w:noWrap/>
            <w:vAlign w:val="center"/>
            <w:hideMark/>
          </w:tcPr>
          <w:p w14:paraId="52B4DD11"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7F91C2B8"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15E7FC1D"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405</w:t>
            </w:r>
          </w:p>
        </w:tc>
      </w:tr>
      <w:tr w:rsidR="00462345" w:rsidRPr="00AF3EDE" w14:paraId="53DB9CC9" w14:textId="77777777" w:rsidTr="00FE1263">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8760BE0"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The Queen Elizabeth Centre</w:t>
            </w:r>
          </w:p>
        </w:tc>
        <w:tc>
          <w:tcPr>
            <w:tcW w:w="1449" w:type="dxa"/>
            <w:tcBorders>
              <w:top w:val="nil"/>
              <w:left w:val="nil"/>
              <w:bottom w:val="single" w:sz="4" w:space="0" w:color="auto"/>
              <w:right w:val="single" w:sz="4" w:space="0" w:color="auto"/>
            </w:tcBorders>
            <w:shd w:val="clear" w:color="auto" w:fill="auto"/>
            <w:noWrap/>
            <w:vAlign w:val="center"/>
            <w:hideMark/>
          </w:tcPr>
          <w:p w14:paraId="63B278E6"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142</w:t>
            </w:r>
          </w:p>
        </w:tc>
        <w:tc>
          <w:tcPr>
            <w:tcW w:w="1449" w:type="dxa"/>
            <w:tcBorders>
              <w:top w:val="nil"/>
              <w:left w:val="nil"/>
              <w:bottom w:val="single" w:sz="4" w:space="0" w:color="auto"/>
              <w:right w:val="single" w:sz="4" w:space="0" w:color="auto"/>
            </w:tcBorders>
            <w:shd w:val="clear" w:color="auto" w:fill="auto"/>
            <w:noWrap/>
            <w:vAlign w:val="center"/>
            <w:hideMark/>
          </w:tcPr>
          <w:p w14:paraId="50D4F861"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15497F80"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1449" w:type="dxa"/>
            <w:tcBorders>
              <w:top w:val="nil"/>
              <w:left w:val="nil"/>
              <w:bottom w:val="single" w:sz="4" w:space="0" w:color="auto"/>
              <w:right w:val="single" w:sz="4" w:space="0" w:color="auto"/>
            </w:tcBorders>
            <w:shd w:val="clear" w:color="auto" w:fill="auto"/>
            <w:noWrap/>
            <w:vAlign w:val="center"/>
            <w:hideMark/>
          </w:tcPr>
          <w:p w14:paraId="3FAD184F"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6E8A5B20"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4CD6BEF4"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656878DF"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145</w:t>
            </w:r>
          </w:p>
        </w:tc>
        <w:tc>
          <w:tcPr>
            <w:tcW w:w="1449" w:type="dxa"/>
            <w:tcBorders>
              <w:top w:val="nil"/>
              <w:left w:val="nil"/>
              <w:bottom w:val="single" w:sz="4" w:space="0" w:color="auto"/>
              <w:right w:val="single" w:sz="4" w:space="0" w:color="auto"/>
            </w:tcBorders>
            <w:shd w:val="clear" w:color="auto" w:fill="auto"/>
            <w:noWrap/>
            <w:vAlign w:val="center"/>
            <w:hideMark/>
          </w:tcPr>
          <w:p w14:paraId="73F1E1DE"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21730034"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145</w:t>
            </w:r>
          </w:p>
        </w:tc>
      </w:tr>
      <w:tr w:rsidR="00462345" w:rsidRPr="00AF3EDE" w14:paraId="5008483A" w14:textId="77777777" w:rsidTr="00FE1263">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B1AB951"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Tweddle Child &amp; Family Health Service</w:t>
            </w:r>
          </w:p>
        </w:tc>
        <w:tc>
          <w:tcPr>
            <w:tcW w:w="1449" w:type="dxa"/>
            <w:tcBorders>
              <w:top w:val="nil"/>
              <w:left w:val="nil"/>
              <w:bottom w:val="single" w:sz="4" w:space="0" w:color="auto"/>
              <w:right w:val="single" w:sz="4" w:space="0" w:color="auto"/>
            </w:tcBorders>
            <w:shd w:val="clear" w:color="auto" w:fill="auto"/>
            <w:noWrap/>
            <w:vAlign w:val="center"/>
            <w:hideMark/>
          </w:tcPr>
          <w:p w14:paraId="3B441A4A"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145</w:t>
            </w:r>
          </w:p>
        </w:tc>
        <w:tc>
          <w:tcPr>
            <w:tcW w:w="1449" w:type="dxa"/>
            <w:tcBorders>
              <w:top w:val="nil"/>
              <w:left w:val="nil"/>
              <w:bottom w:val="single" w:sz="4" w:space="0" w:color="auto"/>
              <w:right w:val="single" w:sz="4" w:space="0" w:color="auto"/>
            </w:tcBorders>
            <w:shd w:val="clear" w:color="auto" w:fill="auto"/>
            <w:noWrap/>
            <w:vAlign w:val="center"/>
            <w:hideMark/>
          </w:tcPr>
          <w:p w14:paraId="3EB155C2"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3433DB41"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1449" w:type="dxa"/>
            <w:tcBorders>
              <w:top w:val="nil"/>
              <w:left w:val="nil"/>
              <w:bottom w:val="single" w:sz="4" w:space="0" w:color="auto"/>
              <w:right w:val="single" w:sz="4" w:space="0" w:color="auto"/>
            </w:tcBorders>
            <w:shd w:val="clear" w:color="auto" w:fill="auto"/>
            <w:noWrap/>
            <w:vAlign w:val="center"/>
            <w:hideMark/>
          </w:tcPr>
          <w:p w14:paraId="446F160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74AD7E22"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3ECCCBE6"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51B6FF9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149</w:t>
            </w:r>
          </w:p>
        </w:tc>
        <w:tc>
          <w:tcPr>
            <w:tcW w:w="1449" w:type="dxa"/>
            <w:tcBorders>
              <w:top w:val="nil"/>
              <w:left w:val="nil"/>
              <w:bottom w:val="single" w:sz="4" w:space="0" w:color="auto"/>
              <w:right w:val="single" w:sz="4" w:space="0" w:color="auto"/>
            </w:tcBorders>
            <w:shd w:val="clear" w:color="auto" w:fill="auto"/>
            <w:noWrap/>
            <w:vAlign w:val="center"/>
            <w:hideMark/>
          </w:tcPr>
          <w:p w14:paraId="7478E154"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5C6955AA"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149</w:t>
            </w:r>
          </w:p>
        </w:tc>
      </w:tr>
      <w:tr w:rsidR="00462345" w:rsidRPr="00AF3EDE" w14:paraId="3C6CF197" w14:textId="77777777" w:rsidTr="00FE1263">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8C7C15E"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Victorian Council of Social Services</w:t>
            </w:r>
          </w:p>
        </w:tc>
        <w:tc>
          <w:tcPr>
            <w:tcW w:w="1449" w:type="dxa"/>
            <w:tcBorders>
              <w:top w:val="nil"/>
              <w:left w:val="nil"/>
              <w:bottom w:val="single" w:sz="4" w:space="0" w:color="auto"/>
              <w:right w:val="single" w:sz="4" w:space="0" w:color="auto"/>
            </w:tcBorders>
            <w:shd w:val="clear" w:color="auto" w:fill="auto"/>
            <w:noWrap/>
            <w:vAlign w:val="center"/>
            <w:hideMark/>
          </w:tcPr>
          <w:p w14:paraId="52522D5B"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203</w:t>
            </w:r>
          </w:p>
        </w:tc>
        <w:tc>
          <w:tcPr>
            <w:tcW w:w="1449" w:type="dxa"/>
            <w:tcBorders>
              <w:top w:val="nil"/>
              <w:left w:val="nil"/>
              <w:bottom w:val="single" w:sz="4" w:space="0" w:color="auto"/>
              <w:right w:val="single" w:sz="4" w:space="0" w:color="auto"/>
            </w:tcBorders>
            <w:shd w:val="clear" w:color="auto" w:fill="auto"/>
            <w:noWrap/>
            <w:vAlign w:val="center"/>
            <w:hideMark/>
          </w:tcPr>
          <w:p w14:paraId="35A2DFB7"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446D3949"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1449" w:type="dxa"/>
            <w:tcBorders>
              <w:top w:val="nil"/>
              <w:left w:val="nil"/>
              <w:bottom w:val="single" w:sz="4" w:space="0" w:color="auto"/>
              <w:right w:val="single" w:sz="4" w:space="0" w:color="auto"/>
            </w:tcBorders>
            <w:shd w:val="clear" w:color="auto" w:fill="auto"/>
            <w:noWrap/>
            <w:vAlign w:val="center"/>
            <w:hideMark/>
          </w:tcPr>
          <w:p w14:paraId="2D3B7C23"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5E1623A7"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1262AED0"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6ED91FAD"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203</w:t>
            </w:r>
          </w:p>
        </w:tc>
        <w:tc>
          <w:tcPr>
            <w:tcW w:w="1449" w:type="dxa"/>
            <w:tcBorders>
              <w:top w:val="nil"/>
              <w:left w:val="nil"/>
              <w:bottom w:val="single" w:sz="4" w:space="0" w:color="auto"/>
              <w:right w:val="single" w:sz="4" w:space="0" w:color="auto"/>
            </w:tcBorders>
            <w:shd w:val="clear" w:color="auto" w:fill="auto"/>
            <w:noWrap/>
            <w:vAlign w:val="center"/>
            <w:hideMark/>
          </w:tcPr>
          <w:p w14:paraId="1AA11FF1"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32533033"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203</w:t>
            </w:r>
          </w:p>
        </w:tc>
      </w:tr>
      <w:tr w:rsidR="00462345" w:rsidRPr="00AF3EDE" w14:paraId="4FE419C8" w14:textId="77777777" w:rsidTr="00FE1263">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A7CF843"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Victorian Institute of Forensic Mental Health</w:t>
            </w:r>
          </w:p>
        </w:tc>
        <w:tc>
          <w:tcPr>
            <w:tcW w:w="1449" w:type="dxa"/>
            <w:tcBorders>
              <w:top w:val="nil"/>
              <w:left w:val="nil"/>
              <w:bottom w:val="single" w:sz="4" w:space="0" w:color="auto"/>
              <w:right w:val="single" w:sz="4" w:space="0" w:color="auto"/>
            </w:tcBorders>
            <w:shd w:val="clear" w:color="auto" w:fill="auto"/>
            <w:noWrap/>
            <w:vAlign w:val="center"/>
            <w:hideMark/>
          </w:tcPr>
          <w:p w14:paraId="674CE3FA"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83,340</w:t>
            </w:r>
          </w:p>
        </w:tc>
        <w:tc>
          <w:tcPr>
            <w:tcW w:w="1449" w:type="dxa"/>
            <w:tcBorders>
              <w:top w:val="nil"/>
              <w:left w:val="nil"/>
              <w:bottom w:val="single" w:sz="4" w:space="0" w:color="auto"/>
              <w:right w:val="single" w:sz="4" w:space="0" w:color="auto"/>
            </w:tcBorders>
            <w:shd w:val="clear" w:color="auto" w:fill="auto"/>
            <w:noWrap/>
            <w:vAlign w:val="center"/>
            <w:hideMark/>
          </w:tcPr>
          <w:p w14:paraId="0BD2CC29"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58,907</w:t>
            </w:r>
          </w:p>
        </w:tc>
        <w:tc>
          <w:tcPr>
            <w:tcW w:w="1449" w:type="dxa"/>
            <w:tcBorders>
              <w:top w:val="nil"/>
              <w:left w:val="nil"/>
              <w:bottom w:val="single" w:sz="4" w:space="0" w:color="auto"/>
              <w:right w:val="single" w:sz="4" w:space="0" w:color="auto"/>
            </w:tcBorders>
            <w:shd w:val="clear" w:color="auto" w:fill="auto"/>
            <w:noWrap/>
            <w:vAlign w:val="center"/>
            <w:hideMark/>
          </w:tcPr>
          <w:p w14:paraId="30EEE84F"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2,791</w:t>
            </w:r>
          </w:p>
        </w:tc>
        <w:tc>
          <w:tcPr>
            <w:tcW w:w="1449" w:type="dxa"/>
            <w:tcBorders>
              <w:top w:val="nil"/>
              <w:left w:val="nil"/>
              <w:bottom w:val="single" w:sz="4" w:space="0" w:color="auto"/>
              <w:right w:val="single" w:sz="4" w:space="0" w:color="auto"/>
            </w:tcBorders>
            <w:shd w:val="clear" w:color="auto" w:fill="auto"/>
            <w:noWrap/>
            <w:vAlign w:val="center"/>
            <w:hideMark/>
          </w:tcPr>
          <w:p w14:paraId="5852E701"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16,760</w:t>
            </w:r>
          </w:p>
        </w:tc>
        <w:tc>
          <w:tcPr>
            <w:tcW w:w="1449" w:type="dxa"/>
            <w:tcBorders>
              <w:top w:val="nil"/>
              <w:left w:val="nil"/>
              <w:bottom w:val="single" w:sz="4" w:space="0" w:color="auto"/>
              <w:right w:val="single" w:sz="4" w:space="0" w:color="auto"/>
            </w:tcBorders>
            <w:shd w:val="clear" w:color="auto" w:fill="auto"/>
            <w:noWrap/>
            <w:vAlign w:val="center"/>
            <w:hideMark/>
          </w:tcPr>
          <w:p w14:paraId="7F74F610"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4510C8CF"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2FF496ED"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8,188</w:t>
            </w:r>
          </w:p>
        </w:tc>
        <w:tc>
          <w:tcPr>
            <w:tcW w:w="1449" w:type="dxa"/>
            <w:tcBorders>
              <w:top w:val="nil"/>
              <w:left w:val="nil"/>
              <w:bottom w:val="single" w:sz="4" w:space="0" w:color="auto"/>
              <w:right w:val="single" w:sz="4" w:space="0" w:color="auto"/>
            </w:tcBorders>
            <w:shd w:val="clear" w:color="auto" w:fill="auto"/>
            <w:noWrap/>
            <w:vAlign w:val="center"/>
            <w:hideMark/>
          </w:tcPr>
          <w:p w14:paraId="554EC0E3"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494AA68C"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86,646</w:t>
            </w:r>
          </w:p>
        </w:tc>
      </w:tr>
      <w:tr w:rsidR="00462345" w:rsidRPr="00BA2163" w14:paraId="0C9A02D9" w14:textId="77777777" w:rsidTr="00FE1263">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CBDEE16" w14:textId="77777777" w:rsidR="00462345" w:rsidRPr="00B469AB" w:rsidRDefault="00462345" w:rsidP="003D68D1">
            <w:pPr>
              <w:spacing w:after="0" w:line="240" w:lineRule="auto"/>
              <w:rPr>
                <w:rFonts w:cs="Arial"/>
                <w:b/>
                <w:bCs/>
                <w:color w:val="000000"/>
                <w:sz w:val="16"/>
                <w:szCs w:val="16"/>
                <w:lang w:eastAsia="en-AU"/>
              </w:rPr>
            </w:pPr>
            <w:r w:rsidRPr="00B469AB">
              <w:rPr>
                <w:rFonts w:cs="Arial"/>
                <w:b/>
                <w:bCs/>
                <w:color w:val="000000"/>
                <w:sz w:val="16"/>
                <w:szCs w:val="16"/>
                <w:lang w:eastAsia="en-AU"/>
              </w:rPr>
              <w:t>Total</w:t>
            </w:r>
          </w:p>
        </w:tc>
        <w:tc>
          <w:tcPr>
            <w:tcW w:w="1449" w:type="dxa"/>
            <w:tcBorders>
              <w:top w:val="nil"/>
              <w:left w:val="nil"/>
              <w:bottom w:val="single" w:sz="4" w:space="0" w:color="auto"/>
              <w:right w:val="single" w:sz="4" w:space="0" w:color="auto"/>
            </w:tcBorders>
            <w:shd w:val="clear" w:color="auto" w:fill="auto"/>
            <w:noWrap/>
            <w:vAlign w:val="center"/>
            <w:hideMark/>
          </w:tcPr>
          <w:p w14:paraId="1D63B96E"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84,668</w:t>
            </w:r>
          </w:p>
        </w:tc>
        <w:tc>
          <w:tcPr>
            <w:tcW w:w="1449" w:type="dxa"/>
            <w:tcBorders>
              <w:top w:val="nil"/>
              <w:left w:val="nil"/>
              <w:bottom w:val="single" w:sz="4" w:space="0" w:color="auto"/>
              <w:right w:val="single" w:sz="4" w:space="0" w:color="auto"/>
            </w:tcBorders>
            <w:shd w:val="clear" w:color="auto" w:fill="auto"/>
            <w:noWrap/>
            <w:vAlign w:val="center"/>
            <w:hideMark/>
          </w:tcPr>
          <w:p w14:paraId="15CD791F"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58,907</w:t>
            </w:r>
          </w:p>
        </w:tc>
        <w:tc>
          <w:tcPr>
            <w:tcW w:w="1449" w:type="dxa"/>
            <w:tcBorders>
              <w:top w:val="nil"/>
              <w:left w:val="nil"/>
              <w:bottom w:val="single" w:sz="4" w:space="0" w:color="auto"/>
              <w:right w:val="single" w:sz="4" w:space="0" w:color="auto"/>
            </w:tcBorders>
            <w:shd w:val="clear" w:color="auto" w:fill="auto"/>
            <w:noWrap/>
            <w:vAlign w:val="center"/>
            <w:hideMark/>
          </w:tcPr>
          <w:p w14:paraId="06AC4AAB"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2,791</w:t>
            </w:r>
          </w:p>
        </w:tc>
        <w:tc>
          <w:tcPr>
            <w:tcW w:w="1449" w:type="dxa"/>
            <w:tcBorders>
              <w:top w:val="nil"/>
              <w:left w:val="nil"/>
              <w:bottom w:val="single" w:sz="4" w:space="0" w:color="auto"/>
              <w:right w:val="single" w:sz="4" w:space="0" w:color="auto"/>
            </w:tcBorders>
            <w:shd w:val="clear" w:color="auto" w:fill="auto"/>
            <w:noWrap/>
            <w:vAlign w:val="center"/>
            <w:hideMark/>
          </w:tcPr>
          <w:p w14:paraId="1AB942A3"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16,760</w:t>
            </w:r>
          </w:p>
        </w:tc>
        <w:tc>
          <w:tcPr>
            <w:tcW w:w="1449" w:type="dxa"/>
            <w:tcBorders>
              <w:top w:val="nil"/>
              <w:left w:val="nil"/>
              <w:bottom w:val="single" w:sz="4" w:space="0" w:color="auto"/>
              <w:right w:val="single" w:sz="4" w:space="0" w:color="auto"/>
            </w:tcBorders>
            <w:shd w:val="clear" w:color="auto" w:fill="auto"/>
            <w:noWrap/>
            <w:vAlign w:val="center"/>
            <w:hideMark/>
          </w:tcPr>
          <w:p w14:paraId="503E29C0"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7BD48FFA"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405</w:t>
            </w:r>
          </w:p>
        </w:tc>
        <w:tc>
          <w:tcPr>
            <w:tcW w:w="1449" w:type="dxa"/>
            <w:tcBorders>
              <w:top w:val="nil"/>
              <w:left w:val="nil"/>
              <w:bottom w:val="single" w:sz="4" w:space="0" w:color="auto"/>
              <w:right w:val="single" w:sz="4" w:space="0" w:color="auto"/>
            </w:tcBorders>
            <w:shd w:val="clear" w:color="auto" w:fill="auto"/>
            <w:noWrap/>
            <w:vAlign w:val="center"/>
            <w:hideMark/>
          </w:tcPr>
          <w:p w14:paraId="24A452DF"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8,685</w:t>
            </w:r>
          </w:p>
        </w:tc>
        <w:tc>
          <w:tcPr>
            <w:tcW w:w="1449" w:type="dxa"/>
            <w:tcBorders>
              <w:top w:val="nil"/>
              <w:left w:val="nil"/>
              <w:bottom w:val="single" w:sz="4" w:space="0" w:color="auto"/>
              <w:right w:val="single" w:sz="4" w:space="0" w:color="auto"/>
            </w:tcBorders>
            <w:shd w:val="clear" w:color="auto" w:fill="auto"/>
            <w:noWrap/>
            <w:vAlign w:val="center"/>
            <w:hideMark/>
          </w:tcPr>
          <w:p w14:paraId="4F0C01F6"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0 </w:t>
            </w:r>
          </w:p>
        </w:tc>
        <w:tc>
          <w:tcPr>
            <w:tcW w:w="1449" w:type="dxa"/>
            <w:tcBorders>
              <w:top w:val="nil"/>
              <w:left w:val="nil"/>
              <w:bottom w:val="single" w:sz="4" w:space="0" w:color="auto"/>
              <w:right w:val="single" w:sz="4" w:space="0" w:color="auto"/>
            </w:tcBorders>
            <w:shd w:val="clear" w:color="auto" w:fill="auto"/>
            <w:noWrap/>
            <w:vAlign w:val="center"/>
            <w:hideMark/>
          </w:tcPr>
          <w:p w14:paraId="1AB4291D"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87,547</w:t>
            </w:r>
          </w:p>
        </w:tc>
      </w:tr>
    </w:tbl>
    <w:p w14:paraId="38C23D63" w14:textId="0EB9DBCE" w:rsidR="00462345" w:rsidRDefault="00462345" w:rsidP="00462345">
      <w:pPr>
        <w:pStyle w:val="Body"/>
      </w:pPr>
    </w:p>
    <w:p w14:paraId="2D5BE52A" w14:textId="5BD28110" w:rsidR="00462345" w:rsidRPr="004A20FD" w:rsidRDefault="004756B4" w:rsidP="004A20FD">
      <w:pPr>
        <w:pStyle w:val="Bodyaftertablefigure"/>
        <w:keepNext/>
        <w:rPr>
          <w:color w:val="000000" w:themeColor="text1"/>
        </w:rPr>
      </w:pPr>
      <w:r w:rsidRPr="004A20FD">
        <w:rPr>
          <w:color w:val="000000" w:themeColor="text1"/>
        </w:rPr>
        <w:t>Combined total</w:t>
      </w:r>
      <w:r w:rsidR="000048B2" w:rsidRPr="004A20FD">
        <w:rPr>
          <w:color w:val="000000" w:themeColor="text1"/>
        </w:rPr>
        <w:t xml:space="preserve"> – $’000s</w:t>
      </w:r>
    </w:p>
    <w:tbl>
      <w:tblPr>
        <w:tblStyle w:val="TableGrid1"/>
        <w:tblW w:w="14742" w:type="dxa"/>
        <w:tblInd w:w="-5" w:type="dxa"/>
        <w:tblLayout w:type="fixed"/>
        <w:tblLook w:val="04A0" w:firstRow="1" w:lastRow="0" w:firstColumn="1" w:lastColumn="0" w:noHBand="0" w:noVBand="1"/>
      </w:tblPr>
      <w:tblGrid>
        <w:gridCol w:w="1701"/>
        <w:gridCol w:w="1449"/>
        <w:gridCol w:w="1449"/>
        <w:gridCol w:w="1449"/>
        <w:gridCol w:w="1449"/>
        <w:gridCol w:w="1449"/>
        <w:gridCol w:w="1449"/>
        <w:gridCol w:w="1449"/>
        <w:gridCol w:w="1449"/>
        <w:gridCol w:w="1449"/>
      </w:tblGrid>
      <w:tr w:rsidR="000048B2" w:rsidRPr="00B24F8E" w14:paraId="1EA82812" w14:textId="77777777" w:rsidTr="00476583">
        <w:trPr>
          <w:cnfStyle w:val="100000000000" w:firstRow="1" w:lastRow="0" w:firstColumn="0" w:lastColumn="0" w:oddVBand="0" w:evenVBand="0" w:oddHBand="0" w:evenHBand="0" w:firstRowFirstColumn="0" w:firstRowLastColumn="0" w:lastRowFirstColumn="0" w:lastRowLastColumn="0"/>
          <w:trHeight w:val="295"/>
        </w:trPr>
        <w:tc>
          <w:tcPr>
            <w:tcW w:w="1701" w:type="dxa"/>
            <w:shd w:val="clear" w:color="auto" w:fill="auto"/>
          </w:tcPr>
          <w:p w14:paraId="780300DD" w14:textId="7AFB2B9F" w:rsidR="000048B2" w:rsidRPr="004A20FD" w:rsidRDefault="000048B2" w:rsidP="00685B35">
            <w:pPr>
              <w:pStyle w:val="Tablecolheadlandscape"/>
              <w:rPr>
                <w:b w:val="0"/>
              </w:rPr>
            </w:pPr>
            <w:r w:rsidRPr="004A20FD">
              <w:t>Health services</w:t>
            </w:r>
          </w:p>
        </w:tc>
        <w:tc>
          <w:tcPr>
            <w:tcW w:w="1449" w:type="dxa"/>
            <w:shd w:val="clear" w:color="auto" w:fill="auto"/>
            <w:noWrap/>
          </w:tcPr>
          <w:p w14:paraId="10C57344" w14:textId="77777777" w:rsidR="000048B2" w:rsidRPr="004A20FD" w:rsidRDefault="000048B2" w:rsidP="00685B35">
            <w:pPr>
              <w:pStyle w:val="Tablecolheadlandscape"/>
              <w:jc w:val="right"/>
            </w:pPr>
            <w:r w:rsidRPr="004A20FD">
              <w:t>2022–2023</w:t>
            </w:r>
          </w:p>
          <w:p w14:paraId="264528FB" w14:textId="01E3BEF7" w:rsidR="000048B2" w:rsidRPr="004A20FD" w:rsidRDefault="000048B2" w:rsidP="00685B35">
            <w:pPr>
              <w:pStyle w:val="Tablecolheadlandscape"/>
              <w:jc w:val="right"/>
              <w:rPr>
                <w:b w:val="0"/>
              </w:rPr>
            </w:pPr>
            <w:r w:rsidRPr="004A20FD">
              <w:t>Total</w:t>
            </w:r>
          </w:p>
        </w:tc>
        <w:tc>
          <w:tcPr>
            <w:tcW w:w="1449" w:type="dxa"/>
            <w:shd w:val="clear" w:color="auto" w:fill="auto"/>
            <w:noWrap/>
          </w:tcPr>
          <w:p w14:paraId="1921B33E" w14:textId="77777777" w:rsidR="000048B2" w:rsidRPr="004A20FD" w:rsidRDefault="000048B2" w:rsidP="00685B35">
            <w:pPr>
              <w:pStyle w:val="Tablecolheadlandscape"/>
              <w:jc w:val="right"/>
            </w:pPr>
            <w:r w:rsidRPr="004A20FD">
              <w:t xml:space="preserve"> 2023–2024</w:t>
            </w:r>
          </w:p>
          <w:p w14:paraId="4641E10D" w14:textId="3CE61D21" w:rsidR="000048B2" w:rsidRPr="004A20FD" w:rsidRDefault="000048B2" w:rsidP="00685B35">
            <w:pPr>
              <w:pStyle w:val="Tablecolheadlandscape"/>
              <w:jc w:val="right"/>
              <w:rPr>
                <w:b w:val="0"/>
              </w:rPr>
            </w:pPr>
            <w:r w:rsidRPr="004A20FD">
              <w:t>Acute</w:t>
            </w:r>
          </w:p>
        </w:tc>
        <w:tc>
          <w:tcPr>
            <w:tcW w:w="1449" w:type="dxa"/>
            <w:shd w:val="clear" w:color="auto" w:fill="auto"/>
            <w:noWrap/>
          </w:tcPr>
          <w:p w14:paraId="62F85008" w14:textId="77777777" w:rsidR="000048B2" w:rsidRPr="004A20FD" w:rsidRDefault="000048B2" w:rsidP="00685B35">
            <w:pPr>
              <w:pStyle w:val="Tablecolheadlandscape"/>
              <w:jc w:val="right"/>
            </w:pPr>
            <w:r w:rsidRPr="004A20FD">
              <w:t xml:space="preserve">2023–2024 </w:t>
            </w:r>
          </w:p>
          <w:p w14:paraId="68638E94" w14:textId="6B2322F6" w:rsidR="000048B2" w:rsidRPr="004A20FD" w:rsidRDefault="000048B2" w:rsidP="00685B35">
            <w:pPr>
              <w:pStyle w:val="Tablecolheadlandscape"/>
              <w:jc w:val="right"/>
              <w:rPr>
                <w:b w:val="0"/>
              </w:rPr>
            </w:pPr>
            <w:r w:rsidRPr="004A20FD">
              <w:t>Non Acute</w:t>
            </w:r>
          </w:p>
        </w:tc>
        <w:tc>
          <w:tcPr>
            <w:tcW w:w="1449" w:type="dxa"/>
            <w:shd w:val="clear" w:color="auto" w:fill="auto"/>
            <w:noWrap/>
          </w:tcPr>
          <w:p w14:paraId="3E013253" w14:textId="77777777" w:rsidR="000048B2" w:rsidRPr="004A20FD" w:rsidRDefault="000048B2" w:rsidP="00685B35">
            <w:pPr>
              <w:pStyle w:val="Tablecolheadlandscape"/>
              <w:jc w:val="right"/>
            </w:pPr>
            <w:r w:rsidRPr="004A20FD">
              <w:t xml:space="preserve">2023–2024 </w:t>
            </w:r>
          </w:p>
          <w:p w14:paraId="4E61C252" w14:textId="4EF476D7" w:rsidR="000048B2" w:rsidRPr="004A20FD" w:rsidRDefault="000048B2" w:rsidP="00685B35">
            <w:pPr>
              <w:pStyle w:val="Tablecolheadlandscape"/>
              <w:jc w:val="right"/>
              <w:rPr>
                <w:b w:val="0"/>
              </w:rPr>
            </w:pPr>
            <w:r w:rsidRPr="004A20FD">
              <w:t>Ambulatory</w:t>
            </w:r>
          </w:p>
        </w:tc>
        <w:tc>
          <w:tcPr>
            <w:tcW w:w="1449" w:type="dxa"/>
            <w:shd w:val="clear" w:color="auto" w:fill="auto"/>
            <w:noWrap/>
          </w:tcPr>
          <w:p w14:paraId="137FE409" w14:textId="77777777" w:rsidR="000048B2" w:rsidRPr="004A20FD" w:rsidRDefault="000048B2" w:rsidP="00685B35">
            <w:pPr>
              <w:pStyle w:val="Tablecolheadlandscape"/>
              <w:jc w:val="right"/>
            </w:pPr>
            <w:r w:rsidRPr="004A20FD">
              <w:t xml:space="preserve">2023–2024 </w:t>
            </w:r>
          </w:p>
          <w:p w14:paraId="1768959D" w14:textId="2C5BDD26" w:rsidR="000048B2" w:rsidRPr="004A20FD" w:rsidRDefault="000048B2" w:rsidP="00685B35">
            <w:pPr>
              <w:pStyle w:val="Tablecolheadlandscape"/>
              <w:jc w:val="right"/>
              <w:rPr>
                <w:b w:val="0"/>
              </w:rPr>
            </w:pPr>
            <w:r w:rsidRPr="004A20FD">
              <w:t>Psychosocial rehabilitation &amp; support</w:t>
            </w:r>
          </w:p>
        </w:tc>
        <w:tc>
          <w:tcPr>
            <w:tcW w:w="1449" w:type="dxa"/>
            <w:shd w:val="clear" w:color="auto" w:fill="auto"/>
            <w:noWrap/>
          </w:tcPr>
          <w:p w14:paraId="5B3FD744" w14:textId="77777777" w:rsidR="000048B2" w:rsidRPr="004A20FD" w:rsidRDefault="000048B2" w:rsidP="00685B35">
            <w:pPr>
              <w:pStyle w:val="Tablecolheadlandscape"/>
              <w:jc w:val="right"/>
            </w:pPr>
            <w:r w:rsidRPr="004A20FD">
              <w:t xml:space="preserve">2023–2024 </w:t>
            </w:r>
          </w:p>
          <w:p w14:paraId="22406900" w14:textId="3B322B16" w:rsidR="000048B2" w:rsidRPr="004A20FD" w:rsidRDefault="000048B2" w:rsidP="00685B35">
            <w:pPr>
              <w:pStyle w:val="Tablecolheadlandscape"/>
              <w:jc w:val="right"/>
              <w:rPr>
                <w:b w:val="0"/>
              </w:rPr>
            </w:pPr>
            <w:r w:rsidRPr="004A20FD">
              <w:t>Residential</w:t>
            </w:r>
          </w:p>
        </w:tc>
        <w:tc>
          <w:tcPr>
            <w:tcW w:w="1449" w:type="dxa"/>
            <w:shd w:val="clear" w:color="auto" w:fill="auto"/>
            <w:noWrap/>
          </w:tcPr>
          <w:p w14:paraId="0EABCD9A" w14:textId="77777777" w:rsidR="000048B2" w:rsidRPr="004A20FD" w:rsidRDefault="000048B2" w:rsidP="00685B35">
            <w:pPr>
              <w:pStyle w:val="Tablecolheadlandscape"/>
              <w:jc w:val="right"/>
            </w:pPr>
            <w:r w:rsidRPr="004A20FD">
              <w:t xml:space="preserve">2023–2024 </w:t>
            </w:r>
          </w:p>
          <w:p w14:paraId="1C08EAFC" w14:textId="6FFB41EB" w:rsidR="000048B2" w:rsidRPr="004A20FD" w:rsidRDefault="000048B2" w:rsidP="00685B35">
            <w:pPr>
              <w:pStyle w:val="Tablecolheadlandscape"/>
              <w:jc w:val="right"/>
              <w:rPr>
                <w:b w:val="0"/>
              </w:rPr>
            </w:pPr>
            <w:r w:rsidRPr="004A20FD">
              <w:t>Service system capacity</w:t>
            </w:r>
          </w:p>
        </w:tc>
        <w:tc>
          <w:tcPr>
            <w:tcW w:w="1449" w:type="dxa"/>
            <w:shd w:val="clear" w:color="auto" w:fill="auto"/>
            <w:noWrap/>
          </w:tcPr>
          <w:p w14:paraId="151CBE53" w14:textId="77777777" w:rsidR="000048B2" w:rsidRPr="004A20FD" w:rsidRDefault="000048B2" w:rsidP="00685B35">
            <w:pPr>
              <w:pStyle w:val="Tablecolheadlandscape"/>
              <w:jc w:val="right"/>
            </w:pPr>
            <w:r w:rsidRPr="004A20FD">
              <w:t xml:space="preserve">2023–2024 </w:t>
            </w:r>
          </w:p>
          <w:p w14:paraId="1D2B920D" w14:textId="0ABE23A3" w:rsidR="000048B2" w:rsidRPr="004A20FD" w:rsidRDefault="000048B2" w:rsidP="00685B35">
            <w:pPr>
              <w:pStyle w:val="Tablecolheadlandscape"/>
              <w:jc w:val="right"/>
              <w:rPr>
                <w:b w:val="0"/>
              </w:rPr>
            </w:pPr>
            <w:r w:rsidRPr="004A20FD">
              <w:t>Subacute</w:t>
            </w:r>
          </w:p>
        </w:tc>
        <w:tc>
          <w:tcPr>
            <w:tcW w:w="1449" w:type="dxa"/>
            <w:shd w:val="clear" w:color="auto" w:fill="auto"/>
            <w:noWrap/>
          </w:tcPr>
          <w:p w14:paraId="2B8EC1A9" w14:textId="3B69E182" w:rsidR="000048B2" w:rsidRPr="004A20FD" w:rsidRDefault="000048B2" w:rsidP="00685B35">
            <w:pPr>
              <w:pStyle w:val="Tablecolheadlandscape"/>
              <w:jc w:val="right"/>
              <w:rPr>
                <w:b w:val="0"/>
              </w:rPr>
            </w:pPr>
            <w:r w:rsidRPr="004A20FD">
              <w:t>Total</w:t>
            </w:r>
          </w:p>
        </w:tc>
      </w:tr>
      <w:tr w:rsidR="004A20FD" w:rsidRPr="00B24F8E" w14:paraId="078E9282" w14:textId="77777777" w:rsidTr="00476583">
        <w:trPr>
          <w:trHeight w:val="443"/>
        </w:trPr>
        <w:tc>
          <w:tcPr>
            <w:tcW w:w="1701" w:type="dxa"/>
            <w:shd w:val="clear" w:color="auto" w:fill="auto"/>
            <w:vAlign w:val="center"/>
            <w:hideMark/>
          </w:tcPr>
          <w:p w14:paraId="1A82113D" w14:textId="77777777" w:rsidR="004A20FD" w:rsidRPr="00462345" w:rsidRDefault="004A20FD" w:rsidP="004A20FD">
            <w:pPr>
              <w:spacing w:after="0" w:line="240" w:lineRule="auto"/>
              <w:rPr>
                <w:rFonts w:cs="Arial"/>
                <w:b/>
                <w:bCs/>
                <w:color w:val="000000"/>
                <w:sz w:val="16"/>
                <w:szCs w:val="16"/>
                <w:highlight w:val="yellow"/>
                <w:lang w:eastAsia="en-AU"/>
              </w:rPr>
            </w:pPr>
            <w:r w:rsidRPr="004A20FD">
              <w:rPr>
                <w:rFonts w:cs="Arial"/>
                <w:b/>
                <w:bCs/>
                <w:color w:val="000000"/>
                <w:sz w:val="16"/>
                <w:szCs w:val="16"/>
                <w:lang w:eastAsia="en-AU"/>
              </w:rPr>
              <w:t>Total</w:t>
            </w:r>
          </w:p>
        </w:tc>
        <w:tc>
          <w:tcPr>
            <w:tcW w:w="1449" w:type="dxa"/>
            <w:shd w:val="clear" w:color="auto" w:fill="auto"/>
            <w:noWrap/>
            <w:vAlign w:val="center"/>
            <w:hideMark/>
          </w:tcPr>
          <w:p w14:paraId="0ADC004B" w14:textId="5381EEA9" w:rsidR="004A20FD" w:rsidRPr="004A20FD" w:rsidRDefault="004A20FD" w:rsidP="004A20FD">
            <w:pPr>
              <w:spacing w:after="0" w:line="240" w:lineRule="auto"/>
              <w:jc w:val="right"/>
              <w:rPr>
                <w:rFonts w:cs="Arial"/>
                <w:b/>
                <w:bCs/>
                <w:color w:val="000000"/>
                <w:sz w:val="16"/>
                <w:szCs w:val="16"/>
                <w:lang w:eastAsia="en-AU"/>
              </w:rPr>
            </w:pPr>
            <w:r w:rsidRPr="004A20FD">
              <w:rPr>
                <w:rFonts w:cs="Arial"/>
                <w:b/>
                <w:bCs/>
                <w:color w:val="000000"/>
                <w:sz w:val="16"/>
                <w:szCs w:val="16"/>
                <w:lang w:eastAsia="en-AU"/>
              </w:rPr>
              <w:t>1,831,866</w:t>
            </w:r>
          </w:p>
        </w:tc>
        <w:tc>
          <w:tcPr>
            <w:tcW w:w="1449" w:type="dxa"/>
            <w:shd w:val="clear" w:color="auto" w:fill="auto"/>
            <w:noWrap/>
            <w:vAlign w:val="center"/>
            <w:hideMark/>
          </w:tcPr>
          <w:p w14:paraId="3503FA63" w14:textId="34D46A05" w:rsidR="004A20FD" w:rsidRPr="004A20FD" w:rsidRDefault="004A20FD" w:rsidP="004A20FD">
            <w:pPr>
              <w:spacing w:after="0" w:line="240" w:lineRule="auto"/>
              <w:jc w:val="right"/>
              <w:rPr>
                <w:rFonts w:cs="Arial"/>
                <w:b/>
                <w:bCs/>
                <w:color w:val="000000"/>
                <w:sz w:val="16"/>
                <w:szCs w:val="16"/>
                <w:lang w:eastAsia="en-AU"/>
              </w:rPr>
            </w:pPr>
            <w:r w:rsidRPr="004A20FD">
              <w:rPr>
                <w:rFonts w:cs="Arial"/>
                <w:b/>
                <w:bCs/>
                <w:color w:val="000000"/>
                <w:sz w:val="16"/>
                <w:szCs w:val="16"/>
                <w:lang w:eastAsia="en-AU"/>
              </w:rPr>
              <w:t>593,446</w:t>
            </w:r>
          </w:p>
        </w:tc>
        <w:tc>
          <w:tcPr>
            <w:tcW w:w="1449" w:type="dxa"/>
            <w:shd w:val="clear" w:color="auto" w:fill="auto"/>
            <w:noWrap/>
            <w:vAlign w:val="center"/>
            <w:hideMark/>
          </w:tcPr>
          <w:p w14:paraId="74A98A31" w14:textId="53213861" w:rsidR="004A20FD" w:rsidRPr="004A20FD" w:rsidRDefault="004A20FD" w:rsidP="004A20FD">
            <w:pPr>
              <w:spacing w:after="0" w:line="240" w:lineRule="auto"/>
              <w:jc w:val="right"/>
              <w:rPr>
                <w:rFonts w:cs="Arial"/>
                <w:b/>
                <w:bCs/>
                <w:color w:val="000000"/>
                <w:sz w:val="16"/>
                <w:szCs w:val="16"/>
                <w:lang w:eastAsia="en-AU"/>
              </w:rPr>
            </w:pPr>
            <w:r w:rsidRPr="004A20FD">
              <w:rPr>
                <w:rFonts w:cs="Arial"/>
                <w:b/>
                <w:bCs/>
                <w:color w:val="000000"/>
                <w:sz w:val="16"/>
                <w:szCs w:val="16"/>
                <w:lang w:eastAsia="en-AU"/>
              </w:rPr>
              <w:t>35,246</w:t>
            </w:r>
          </w:p>
        </w:tc>
        <w:tc>
          <w:tcPr>
            <w:tcW w:w="1449" w:type="dxa"/>
            <w:shd w:val="clear" w:color="auto" w:fill="auto"/>
            <w:noWrap/>
            <w:vAlign w:val="center"/>
            <w:hideMark/>
          </w:tcPr>
          <w:p w14:paraId="27277F06" w14:textId="1AA5A2F9" w:rsidR="004A20FD" w:rsidRPr="004A20FD" w:rsidRDefault="004A20FD" w:rsidP="004A20FD">
            <w:pPr>
              <w:spacing w:after="0" w:line="240" w:lineRule="auto"/>
              <w:jc w:val="right"/>
              <w:rPr>
                <w:rFonts w:cs="Arial"/>
                <w:b/>
                <w:bCs/>
                <w:color w:val="000000"/>
                <w:sz w:val="16"/>
                <w:szCs w:val="16"/>
                <w:lang w:eastAsia="en-AU"/>
              </w:rPr>
            </w:pPr>
            <w:r w:rsidRPr="004A20FD">
              <w:rPr>
                <w:rFonts w:cs="Arial"/>
                <w:b/>
                <w:bCs/>
                <w:color w:val="000000"/>
                <w:sz w:val="16"/>
                <w:szCs w:val="16"/>
                <w:lang w:eastAsia="en-AU"/>
              </w:rPr>
              <w:t>995,916</w:t>
            </w:r>
          </w:p>
        </w:tc>
        <w:tc>
          <w:tcPr>
            <w:tcW w:w="1449" w:type="dxa"/>
            <w:shd w:val="clear" w:color="auto" w:fill="auto"/>
            <w:noWrap/>
            <w:vAlign w:val="center"/>
            <w:hideMark/>
          </w:tcPr>
          <w:p w14:paraId="3140E185" w14:textId="7B06B068" w:rsidR="004A20FD" w:rsidRPr="004A20FD" w:rsidRDefault="004A20FD" w:rsidP="004A20FD">
            <w:pPr>
              <w:spacing w:after="0" w:line="240" w:lineRule="auto"/>
              <w:jc w:val="right"/>
              <w:rPr>
                <w:rFonts w:cs="Arial"/>
                <w:b/>
                <w:bCs/>
                <w:color w:val="000000"/>
                <w:sz w:val="16"/>
                <w:szCs w:val="16"/>
                <w:lang w:eastAsia="en-AU"/>
              </w:rPr>
            </w:pPr>
            <w:r w:rsidRPr="004A20FD">
              <w:rPr>
                <w:rFonts w:cs="Arial"/>
                <w:b/>
                <w:bCs/>
                <w:color w:val="000000"/>
                <w:sz w:val="16"/>
                <w:szCs w:val="16"/>
                <w:lang w:eastAsia="en-AU"/>
              </w:rPr>
              <w:t>2,584</w:t>
            </w:r>
          </w:p>
        </w:tc>
        <w:tc>
          <w:tcPr>
            <w:tcW w:w="1449" w:type="dxa"/>
            <w:shd w:val="clear" w:color="auto" w:fill="auto"/>
            <w:noWrap/>
            <w:vAlign w:val="center"/>
            <w:hideMark/>
          </w:tcPr>
          <w:p w14:paraId="21188B14" w14:textId="0B4A61A4" w:rsidR="004A20FD" w:rsidRPr="004A20FD" w:rsidRDefault="004A20FD" w:rsidP="004A20FD">
            <w:pPr>
              <w:spacing w:after="0" w:line="240" w:lineRule="auto"/>
              <w:jc w:val="right"/>
              <w:rPr>
                <w:rFonts w:cs="Arial"/>
                <w:b/>
                <w:bCs/>
                <w:color w:val="000000"/>
                <w:sz w:val="16"/>
                <w:szCs w:val="16"/>
                <w:lang w:eastAsia="en-AU"/>
              </w:rPr>
            </w:pPr>
            <w:r w:rsidRPr="004A20FD">
              <w:rPr>
                <w:rFonts w:cs="Arial"/>
                <w:b/>
                <w:bCs/>
                <w:color w:val="000000"/>
                <w:sz w:val="16"/>
                <w:szCs w:val="16"/>
                <w:lang w:eastAsia="en-AU"/>
              </w:rPr>
              <w:t>21,175</w:t>
            </w:r>
          </w:p>
        </w:tc>
        <w:tc>
          <w:tcPr>
            <w:tcW w:w="1449" w:type="dxa"/>
            <w:shd w:val="clear" w:color="auto" w:fill="auto"/>
            <w:noWrap/>
            <w:vAlign w:val="center"/>
            <w:hideMark/>
          </w:tcPr>
          <w:p w14:paraId="459C36FD" w14:textId="27E46AB7" w:rsidR="004A20FD" w:rsidRPr="004A20FD" w:rsidRDefault="004A20FD" w:rsidP="004A20FD">
            <w:pPr>
              <w:spacing w:after="0" w:line="240" w:lineRule="auto"/>
              <w:jc w:val="right"/>
              <w:rPr>
                <w:rFonts w:cs="Arial"/>
                <w:b/>
                <w:bCs/>
                <w:color w:val="000000"/>
                <w:sz w:val="16"/>
                <w:szCs w:val="16"/>
                <w:lang w:eastAsia="en-AU"/>
              </w:rPr>
            </w:pPr>
            <w:r w:rsidRPr="004A20FD">
              <w:rPr>
                <w:rFonts w:cs="Arial"/>
                <w:b/>
                <w:bCs/>
                <w:color w:val="000000"/>
                <w:sz w:val="16"/>
                <w:szCs w:val="16"/>
                <w:lang w:eastAsia="en-AU"/>
              </w:rPr>
              <w:t>137,358</w:t>
            </w:r>
          </w:p>
        </w:tc>
        <w:tc>
          <w:tcPr>
            <w:tcW w:w="1449" w:type="dxa"/>
            <w:shd w:val="clear" w:color="auto" w:fill="auto"/>
            <w:noWrap/>
            <w:vAlign w:val="center"/>
            <w:hideMark/>
          </w:tcPr>
          <w:p w14:paraId="14F64EA5" w14:textId="79E94F4D" w:rsidR="004A20FD" w:rsidRPr="004A20FD" w:rsidRDefault="004A20FD" w:rsidP="004A20FD">
            <w:pPr>
              <w:spacing w:after="0" w:line="240" w:lineRule="auto"/>
              <w:jc w:val="right"/>
              <w:rPr>
                <w:rFonts w:cs="Arial"/>
                <w:b/>
                <w:bCs/>
                <w:color w:val="000000"/>
                <w:sz w:val="16"/>
                <w:szCs w:val="16"/>
                <w:lang w:eastAsia="en-AU"/>
              </w:rPr>
            </w:pPr>
            <w:r w:rsidRPr="004A20FD">
              <w:rPr>
                <w:rFonts w:cs="Arial"/>
                <w:b/>
                <w:bCs/>
                <w:color w:val="000000"/>
                <w:sz w:val="16"/>
                <w:szCs w:val="16"/>
                <w:lang w:eastAsia="en-AU"/>
              </w:rPr>
              <w:t>136,957</w:t>
            </w:r>
          </w:p>
        </w:tc>
        <w:tc>
          <w:tcPr>
            <w:tcW w:w="1449" w:type="dxa"/>
            <w:shd w:val="clear" w:color="auto" w:fill="auto"/>
            <w:noWrap/>
            <w:vAlign w:val="center"/>
            <w:hideMark/>
          </w:tcPr>
          <w:p w14:paraId="4833D566" w14:textId="7C8F0C00" w:rsidR="004A20FD" w:rsidRPr="004A20FD" w:rsidRDefault="004A20FD" w:rsidP="004A20FD">
            <w:pPr>
              <w:spacing w:after="0" w:line="240" w:lineRule="auto"/>
              <w:jc w:val="right"/>
              <w:rPr>
                <w:rFonts w:cs="Arial"/>
                <w:b/>
                <w:bCs/>
                <w:color w:val="000000"/>
                <w:sz w:val="16"/>
                <w:szCs w:val="16"/>
                <w:lang w:eastAsia="en-AU"/>
              </w:rPr>
            </w:pPr>
            <w:r w:rsidRPr="004A20FD">
              <w:rPr>
                <w:rFonts w:cs="Arial"/>
                <w:b/>
                <w:bCs/>
                <w:color w:val="000000"/>
                <w:sz w:val="16"/>
                <w:szCs w:val="16"/>
                <w:lang w:eastAsia="en-AU"/>
              </w:rPr>
              <w:t>1,922,682</w:t>
            </w:r>
          </w:p>
        </w:tc>
      </w:tr>
    </w:tbl>
    <w:p w14:paraId="5F7043C5" w14:textId="577328C3" w:rsidR="000B27B9" w:rsidRPr="00494D61" w:rsidRDefault="000B27B9" w:rsidP="00081936">
      <w:pPr>
        <w:pStyle w:val="Heading3"/>
        <w:numPr>
          <w:ilvl w:val="2"/>
          <w:numId w:val="33"/>
        </w:numPr>
        <w:spacing w:before="240"/>
        <w:ind w:left="1134"/>
      </w:pPr>
      <w:bookmarkStart w:id="1049" w:name="_Toc156569693"/>
      <w:r w:rsidRPr="00494D61">
        <w:lastRenderedPageBreak/>
        <w:t xml:space="preserve">Registered </w:t>
      </w:r>
      <w:r w:rsidR="00331D5D" w:rsidRPr="00494D61">
        <w:t>C</w:t>
      </w:r>
      <w:r w:rsidRPr="00494D61">
        <w:t xml:space="preserve">ommunity </w:t>
      </w:r>
      <w:r w:rsidR="00331D5D" w:rsidRPr="00494D61">
        <w:t>H</w:t>
      </w:r>
      <w:r w:rsidRPr="00494D61">
        <w:t xml:space="preserve">ealth </w:t>
      </w:r>
      <w:r w:rsidR="00331D5D" w:rsidRPr="00494D61">
        <w:t>C</w:t>
      </w:r>
      <w:r w:rsidRPr="00494D61">
        <w:t xml:space="preserve">entres </w:t>
      </w:r>
      <w:r w:rsidR="00331D5D" w:rsidRPr="00494D61">
        <w:t>B</w:t>
      </w:r>
      <w:r w:rsidRPr="00494D61">
        <w:t xml:space="preserve">udgets </w:t>
      </w:r>
      <w:bookmarkEnd w:id="1044"/>
      <w:bookmarkEnd w:id="1045"/>
      <w:bookmarkEnd w:id="1046"/>
      <w:bookmarkEnd w:id="1047"/>
      <w:r w:rsidR="005D1FCB" w:rsidRPr="00494D61">
        <w:t>202</w:t>
      </w:r>
      <w:r w:rsidR="0016433E">
        <w:t>2</w:t>
      </w:r>
      <w:r w:rsidR="00751CA4" w:rsidRPr="00494D61">
        <w:t>–</w:t>
      </w:r>
      <w:r w:rsidR="005D1FCB" w:rsidRPr="00494D61">
        <w:t>2</w:t>
      </w:r>
      <w:r w:rsidR="0016433E">
        <w:t>3</w:t>
      </w:r>
      <w:r w:rsidR="005D1FCB" w:rsidRPr="00494D61">
        <w:t xml:space="preserve"> and </w:t>
      </w:r>
      <w:bookmarkEnd w:id="1048"/>
      <w:r w:rsidR="005D1FCB" w:rsidRPr="00494D61">
        <w:t>202</w:t>
      </w:r>
      <w:r w:rsidR="0016433E">
        <w:t>3</w:t>
      </w:r>
      <w:r w:rsidR="00751CA4" w:rsidRPr="00494D61">
        <w:t>–</w:t>
      </w:r>
      <w:r w:rsidR="005D1FCB" w:rsidRPr="00494D61">
        <w:t>2</w:t>
      </w:r>
      <w:r w:rsidR="0016433E">
        <w:t>4</w:t>
      </w:r>
      <w:bookmarkEnd w:id="1049"/>
    </w:p>
    <w:p w14:paraId="5ED05311" w14:textId="61591043" w:rsidR="00462345" w:rsidRDefault="000B27B9" w:rsidP="00974CBE">
      <w:pPr>
        <w:pStyle w:val="Tablecaption"/>
      </w:pPr>
      <w:bookmarkStart w:id="1050" w:name="_Toc12780564"/>
      <w:bookmarkStart w:id="1051" w:name="_Toc14194820"/>
      <w:bookmarkStart w:id="1052" w:name="_Toc33704001"/>
      <w:bookmarkStart w:id="1053" w:name="_Toc109894131"/>
      <w:bookmarkStart w:id="1054" w:name="_Toc156568682"/>
      <w:r w:rsidRPr="00494D61">
        <w:t xml:space="preserve">Table </w:t>
      </w:r>
      <w:r>
        <w:fldChar w:fldCharType="begin"/>
      </w:r>
      <w:r>
        <w:instrText>STYLEREF 1 \s</w:instrText>
      </w:r>
      <w:r>
        <w:fldChar w:fldCharType="separate"/>
      </w:r>
      <w:r w:rsidR="00892F13">
        <w:rPr>
          <w:noProof/>
        </w:rPr>
        <w:t>2</w:t>
      </w:r>
      <w:r>
        <w:fldChar w:fldCharType="end"/>
      </w:r>
      <w:r w:rsidR="00742C12">
        <w:t>.</w:t>
      </w:r>
      <w:r>
        <w:fldChar w:fldCharType="begin"/>
      </w:r>
      <w:r>
        <w:instrText>SEQ Table \* ARABIC \s 1</w:instrText>
      </w:r>
      <w:r>
        <w:fldChar w:fldCharType="separate"/>
      </w:r>
      <w:r w:rsidR="00892F13">
        <w:rPr>
          <w:noProof/>
        </w:rPr>
        <w:t>5</w:t>
      </w:r>
      <w:r>
        <w:fldChar w:fldCharType="end"/>
      </w:r>
      <w:r w:rsidRPr="00494D61">
        <w:t xml:space="preserve">: Registered community expenditure budgets </w:t>
      </w:r>
      <w:bookmarkEnd w:id="1050"/>
      <w:bookmarkEnd w:id="1051"/>
      <w:bookmarkEnd w:id="1052"/>
      <w:bookmarkEnd w:id="1053"/>
      <w:r w:rsidR="005D1FCB" w:rsidRPr="00494D61">
        <w:t>202</w:t>
      </w:r>
      <w:r w:rsidR="0016433E">
        <w:t>2</w:t>
      </w:r>
      <w:r w:rsidR="00751CA4" w:rsidRPr="00494D61">
        <w:t>–</w:t>
      </w:r>
      <w:r w:rsidR="005D1FCB" w:rsidRPr="00494D61">
        <w:t>2</w:t>
      </w:r>
      <w:r w:rsidR="0016433E">
        <w:t>3</w:t>
      </w:r>
      <w:r w:rsidR="005D1FCB" w:rsidRPr="00494D61">
        <w:t xml:space="preserve"> and 202</w:t>
      </w:r>
      <w:r w:rsidR="0016433E">
        <w:t>3</w:t>
      </w:r>
      <w:r w:rsidR="00751CA4" w:rsidRPr="00494D61">
        <w:t>–</w:t>
      </w:r>
      <w:r w:rsidR="005D1FCB" w:rsidRPr="00494D61">
        <w:t>2</w:t>
      </w:r>
      <w:r w:rsidR="0016433E">
        <w:t>4</w:t>
      </w:r>
      <w:r w:rsidR="00E110F6">
        <w:t xml:space="preserve"> – $’000s</w:t>
      </w:r>
      <w:bookmarkEnd w:id="1054"/>
    </w:p>
    <w:tbl>
      <w:tblPr>
        <w:tblW w:w="14867" w:type="dxa"/>
        <w:tblInd w:w="-147" w:type="dxa"/>
        <w:tblLayout w:type="fixed"/>
        <w:tblLook w:val="04A0" w:firstRow="1" w:lastRow="0" w:firstColumn="1" w:lastColumn="0" w:noHBand="0" w:noVBand="1"/>
      </w:tblPr>
      <w:tblGrid>
        <w:gridCol w:w="1985"/>
        <w:gridCol w:w="920"/>
        <w:gridCol w:w="920"/>
        <w:gridCol w:w="920"/>
        <w:gridCol w:w="920"/>
        <w:gridCol w:w="920"/>
        <w:gridCol w:w="920"/>
        <w:gridCol w:w="921"/>
        <w:gridCol w:w="920"/>
        <w:gridCol w:w="920"/>
        <w:gridCol w:w="920"/>
        <w:gridCol w:w="920"/>
        <w:gridCol w:w="920"/>
        <w:gridCol w:w="920"/>
        <w:gridCol w:w="921"/>
      </w:tblGrid>
      <w:tr w:rsidR="008428AF" w:rsidRPr="00AB625A" w14:paraId="6AEFA811" w14:textId="77777777" w:rsidTr="00FE1263">
        <w:trPr>
          <w:trHeight w:val="1125"/>
          <w:tblHead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C565E" w14:textId="77777777" w:rsidR="00462345" w:rsidRPr="00AB625A" w:rsidRDefault="00462345" w:rsidP="003D68D1">
            <w:pPr>
              <w:spacing w:after="0" w:line="240" w:lineRule="auto"/>
              <w:rPr>
                <w:rFonts w:cs="Arial"/>
                <w:b/>
                <w:bCs/>
                <w:color w:val="53565A"/>
                <w:sz w:val="16"/>
                <w:szCs w:val="16"/>
                <w:lang w:eastAsia="en-AU"/>
              </w:rPr>
            </w:pPr>
            <w:r w:rsidRPr="00AB625A">
              <w:rPr>
                <w:rFonts w:cs="Arial"/>
                <w:b/>
                <w:bCs/>
                <w:color w:val="53565A"/>
                <w:sz w:val="16"/>
                <w:szCs w:val="16"/>
                <w:lang w:eastAsia="en-AU"/>
              </w:rPr>
              <w:t>Health Service</w:t>
            </w:r>
          </w:p>
        </w:tc>
        <w:tc>
          <w:tcPr>
            <w:tcW w:w="920" w:type="dxa"/>
            <w:tcBorders>
              <w:top w:val="single" w:sz="4" w:space="0" w:color="auto"/>
              <w:left w:val="nil"/>
              <w:bottom w:val="single" w:sz="4" w:space="0" w:color="auto"/>
              <w:right w:val="single" w:sz="4" w:space="0" w:color="auto"/>
            </w:tcBorders>
            <w:shd w:val="clear" w:color="auto" w:fill="auto"/>
            <w:hideMark/>
          </w:tcPr>
          <w:p w14:paraId="373A2E70" w14:textId="77777777" w:rsidR="00462345" w:rsidRPr="00AB625A" w:rsidRDefault="00462345"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2022–23</w:t>
            </w:r>
            <w:r w:rsidRPr="00AB625A">
              <w:rPr>
                <w:rFonts w:cs="Arial"/>
                <w:b/>
                <w:bCs/>
                <w:color w:val="53565A"/>
                <w:sz w:val="16"/>
                <w:szCs w:val="16"/>
                <w:lang w:eastAsia="en-AU"/>
              </w:rPr>
              <w:br/>
              <w:t>Acute health services</w:t>
            </w:r>
          </w:p>
        </w:tc>
        <w:tc>
          <w:tcPr>
            <w:tcW w:w="920" w:type="dxa"/>
            <w:tcBorders>
              <w:top w:val="single" w:sz="4" w:space="0" w:color="auto"/>
              <w:left w:val="nil"/>
              <w:bottom w:val="single" w:sz="4" w:space="0" w:color="auto"/>
              <w:right w:val="single" w:sz="4" w:space="0" w:color="auto"/>
            </w:tcBorders>
            <w:shd w:val="clear" w:color="auto" w:fill="auto"/>
            <w:hideMark/>
          </w:tcPr>
          <w:p w14:paraId="4E1453CE" w14:textId="77777777" w:rsidR="00462345" w:rsidRPr="00AB625A" w:rsidRDefault="00462345"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2022–23</w:t>
            </w:r>
            <w:r w:rsidRPr="00AB625A">
              <w:rPr>
                <w:rFonts w:cs="Arial"/>
                <w:b/>
                <w:bCs/>
                <w:color w:val="53565A"/>
                <w:sz w:val="16"/>
                <w:szCs w:val="16"/>
                <w:lang w:eastAsia="en-AU"/>
              </w:rPr>
              <w:br/>
              <w:t>Ageing, aged and home care</w:t>
            </w:r>
          </w:p>
        </w:tc>
        <w:tc>
          <w:tcPr>
            <w:tcW w:w="920" w:type="dxa"/>
            <w:tcBorders>
              <w:top w:val="single" w:sz="4" w:space="0" w:color="auto"/>
              <w:left w:val="nil"/>
              <w:bottom w:val="single" w:sz="4" w:space="0" w:color="auto"/>
              <w:right w:val="single" w:sz="4" w:space="0" w:color="auto"/>
            </w:tcBorders>
            <w:shd w:val="clear" w:color="auto" w:fill="auto"/>
            <w:hideMark/>
          </w:tcPr>
          <w:p w14:paraId="7CDFECDC" w14:textId="77777777" w:rsidR="00462345" w:rsidRPr="00AB625A" w:rsidRDefault="00462345"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2022–23</w:t>
            </w:r>
            <w:r w:rsidRPr="00AB625A">
              <w:rPr>
                <w:rFonts w:cs="Arial"/>
                <w:b/>
                <w:bCs/>
                <w:color w:val="53565A"/>
                <w:sz w:val="16"/>
                <w:szCs w:val="16"/>
                <w:lang w:eastAsia="en-AU"/>
              </w:rPr>
              <w:br/>
              <w:t>Drugs services</w:t>
            </w:r>
          </w:p>
        </w:tc>
        <w:tc>
          <w:tcPr>
            <w:tcW w:w="920" w:type="dxa"/>
            <w:tcBorders>
              <w:top w:val="single" w:sz="4" w:space="0" w:color="auto"/>
              <w:left w:val="nil"/>
              <w:bottom w:val="single" w:sz="4" w:space="0" w:color="auto"/>
              <w:right w:val="single" w:sz="4" w:space="0" w:color="auto"/>
            </w:tcBorders>
            <w:shd w:val="clear" w:color="auto" w:fill="auto"/>
            <w:hideMark/>
          </w:tcPr>
          <w:p w14:paraId="358EAAC2" w14:textId="77777777" w:rsidR="00462345" w:rsidRPr="00AB625A" w:rsidRDefault="00462345"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2022–23</w:t>
            </w:r>
            <w:r w:rsidRPr="00AB625A">
              <w:rPr>
                <w:rFonts w:cs="Arial"/>
                <w:b/>
                <w:bCs/>
                <w:color w:val="53565A"/>
                <w:sz w:val="16"/>
                <w:szCs w:val="16"/>
                <w:lang w:eastAsia="en-AU"/>
              </w:rPr>
              <w:br/>
              <w:t>Mental health</w:t>
            </w:r>
          </w:p>
        </w:tc>
        <w:tc>
          <w:tcPr>
            <w:tcW w:w="920" w:type="dxa"/>
            <w:tcBorders>
              <w:top w:val="single" w:sz="4" w:space="0" w:color="auto"/>
              <w:left w:val="nil"/>
              <w:bottom w:val="single" w:sz="4" w:space="0" w:color="auto"/>
              <w:right w:val="single" w:sz="4" w:space="0" w:color="auto"/>
            </w:tcBorders>
            <w:shd w:val="clear" w:color="auto" w:fill="auto"/>
            <w:hideMark/>
          </w:tcPr>
          <w:p w14:paraId="3D39B19D" w14:textId="77777777" w:rsidR="00462345" w:rsidRPr="00AB625A" w:rsidRDefault="00462345"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2022–23</w:t>
            </w:r>
            <w:r w:rsidRPr="00AB625A">
              <w:rPr>
                <w:rFonts w:cs="Arial"/>
                <w:b/>
                <w:bCs/>
                <w:color w:val="53565A"/>
                <w:sz w:val="16"/>
                <w:szCs w:val="16"/>
                <w:lang w:eastAsia="en-AU"/>
              </w:rPr>
              <w:br/>
              <w:t>Primary and dental health</w:t>
            </w:r>
          </w:p>
        </w:tc>
        <w:tc>
          <w:tcPr>
            <w:tcW w:w="920" w:type="dxa"/>
            <w:tcBorders>
              <w:top w:val="single" w:sz="4" w:space="0" w:color="auto"/>
              <w:left w:val="nil"/>
              <w:bottom w:val="single" w:sz="4" w:space="0" w:color="auto"/>
              <w:right w:val="single" w:sz="4" w:space="0" w:color="auto"/>
            </w:tcBorders>
            <w:shd w:val="clear" w:color="auto" w:fill="auto"/>
            <w:hideMark/>
          </w:tcPr>
          <w:p w14:paraId="695FA568" w14:textId="77777777" w:rsidR="00462345" w:rsidRPr="00AB625A" w:rsidRDefault="00462345"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2022–23</w:t>
            </w:r>
            <w:r w:rsidRPr="00AB625A">
              <w:rPr>
                <w:rFonts w:cs="Arial"/>
                <w:b/>
                <w:bCs/>
                <w:color w:val="53565A"/>
                <w:sz w:val="16"/>
                <w:szCs w:val="16"/>
                <w:lang w:eastAsia="en-AU"/>
              </w:rPr>
              <w:br/>
              <w:t>Public health</w:t>
            </w:r>
          </w:p>
        </w:tc>
        <w:tc>
          <w:tcPr>
            <w:tcW w:w="921" w:type="dxa"/>
            <w:tcBorders>
              <w:top w:val="single" w:sz="4" w:space="0" w:color="auto"/>
              <w:left w:val="nil"/>
              <w:bottom w:val="single" w:sz="4" w:space="0" w:color="auto"/>
              <w:right w:val="single" w:sz="4" w:space="0" w:color="auto"/>
            </w:tcBorders>
            <w:shd w:val="clear" w:color="auto" w:fill="auto"/>
            <w:hideMark/>
          </w:tcPr>
          <w:p w14:paraId="15596AAA" w14:textId="77777777" w:rsidR="00462345" w:rsidRPr="00AB625A" w:rsidRDefault="00462345"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2022–23</w:t>
            </w:r>
            <w:r w:rsidRPr="00AB625A">
              <w:rPr>
                <w:rFonts w:cs="Arial"/>
                <w:b/>
                <w:bCs/>
                <w:color w:val="53565A"/>
                <w:sz w:val="16"/>
                <w:szCs w:val="16"/>
                <w:lang w:eastAsia="en-AU"/>
              </w:rPr>
              <w:br/>
              <w:t>Total</w:t>
            </w:r>
          </w:p>
        </w:tc>
        <w:tc>
          <w:tcPr>
            <w:tcW w:w="920" w:type="dxa"/>
            <w:tcBorders>
              <w:top w:val="single" w:sz="4" w:space="0" w:color="auto"/>
              <w:left w:val="nil"/>
              <w:bottom w:val="single" w:sz="4" w:space="0" w:color="auto"/>
              <w:right w:val="single" w:sz="4" w:space="0" w:color="auto"/>
            </w:tcBorders>
            <w:shd w:val="clear" w:color="auto" w:fill="auto"/>
            <w:hideMark/>
          </w:tcPr>
          <w:p w14:paraId="225DB41B" w14:textId="77777777" w:rsidR="00462345" w:rsidRPr="00AB625A" w:rsidRDefault="00462345"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2023–24</w:t>
            </w:r>
            <w:r w:rsidRPr="00AB625A">
              <w:rPr>
                <w:rFonts w:cs="Arial"/>
                <w:b/>
                <w:bCs/>
                <w:color w:val="53565A"/>
                <w:sz w:val="16"/>
                <w:szCs w:val="16"/>
                <w:lang w:eastAsia="en-AU"/>
              </w:rPr>
              <w:br/>
              <w:t>Acute health services</w:t>
            </w:r>
          </w:p>
        </w:tc>
        <w:tc>
          <w:tcPr>
            <w:tcW w:w="920" w:type="dxa"/>
            <w:tcBorders>
              <w:top w:val="single" w:sz="4" w:space="0" w:color="auto"/>
              <w:left w:val="nil"/>
              <w:bottom w:val="single" w:sz="4" w:space="0" w:color="auto"/>
              <w:right w:val="single" w:sz="4" w:space="0" w:color="auto"/>
            </w:tcBorders>
            <w:shd w:val="clear" w:color="auto" w:fill="auto"/>
            <w:hideMark/>
          </w:tcPr>
          <w:p w14:paraId="7FD33A0F" w14:textId="77777777" w:rsidR="00462345" w:rsidRPr="00AB625A" w:rsidRDefault="00462345"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2023–24</w:t>
            </w:r>
            <w:r w:rsidRPr="00AB625A">
              <w:rPr>
                <w:rFonts w:cs="Arial"/>
                <w:b/>
                <w:bCs/>
                <w:color w:val="53565A"/>
                <w:sz w:val="16"/>
                <w:szCs w:val="16"/>
                <w:lang w:eastAsia="en-AU"/>
              </w:rPr>
              <w:br/>
              <w:t>Ageing, aged and home care</w:t>
            </w:r>
          </w:p>
        </w:tc>
        <w:tc>
          <w:tcPr>
            <w:tcW w:w="920" w:type="dxa"/>
            <w:tcBorders>
              <w:top w:val="single" w:sz="4" w:space="0" w:color="auto"/>
              <w:left w:val="nil"/>
              <w:bottom w:val="single" w:sz="4" w:space="0" w:color="auto"/>
              <w:right w:val="single" w:sz="4" w:space="0" w:color="auto"/>
            </w:tcBorders>
            <w:shd w:val="clear" w:color="auto" w:fill="auto"/>
            <w:hideMark/>
          </w:tcPr>
          <w:p w14:paraId="656751E0" w14:textId="77777777" w:rsidR="00462345" w:rsidRPr="00AB625A" w:rsidRDefault="00462345"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2023–24</w:t>
            </w:r>
            <w:r w:rsidRPr="00AB625A">
              <w:rPr>
                <w:rFonts w:cs="Arial"/>
                <w:b/>
                <w:bCs/>
                <w:color w:val="53565A"/>
                <w:sz w:val="16"/>
                <w:szCs w:val="16"/>
                <w:lang w:eastAsia="en-AU"/>
              </w:rPr>
              <w:br/>
              <w:t>Drugs services</w:t>
            </w:r>
          </w:p>
        </w:tc>
        <w:tc>
          <w:tcPr>
            <w:tcW w:w="920" w:type="dxa"/>
            <w:tcBorders>
              <w:top w:val="single" w:sz="4" w:space="0" w:color="auto"/>
              <w:left w:val="nil"/>
              <w:bottom w:val="single" w:sz="4" w:space="0" w:color="auto"/>
              <w:right w:val="single" w:sz="4" w:space="0" w:color="auto"/>
            </w:tcBorders>
            <w:shd w:val="clear" w:color="auto" w:fill="auto"/>
            <w:hideMark/>
          </w:tcPr>
          <w:p w14:paraId="47BCE51A" w14:textId="77777777" w:rsidR="00462345" w:rsidRPr="00AB625A" w:rsidRDefault="00462345"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2023–24</w:t>
            </w:r>
            <w:r w:rsidRPr="00AB625A">
              <w:rPr>
                <w:rFonts w:cs="Arial"/>
                <w:b/>
                <w:bCs/>
                <w:color w:val="53565A"/>
                <w:sz w:val="16"/>
                <w:szCs w:val="16"/>
                <w:lang w:eastAsia="en-AU"/>
              </w:rPr>
              <w:br/>
              <w:t>Mental health</w:t>
            </w:r>
          </w:p>
        </w:tc>
        <w:tc>
          <w:tcPr>
            <w:tcW w:w="920" w:type="dxa"/>
            <w:tcBorders>
              <w:top w:val="single" w:sz="4" w:space="0" w:color="auto"/>
              <w:left w:val="nil"/>
              <w:bottom w:val="single" w:sz="4" w:space="0" w:color="auto"/>
              <w:right w:val="single" w:sz="4" w:space="0" w:color="auto"/>
            </w:tcBorders>
            <w:shd w:val="clear" w:color="auto" w:fill="auto"/>
            <w:hideMark/>
          </w:tcPr>
          <w:p w14:paraId="34ADF169" w14:textId="77777777" w:rsidR="00462345" w:rsidRPr="00AB625A" w:rsidRDefault="00462345"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2023–24</w:t>
            </w:r>
            <w:r w:rsidRPr="00AB625A">
              <w:rPr>
                <w:rFonts w:cs="Arial"/>
                <w:b/>
                <w:bCs/>
                <w:color w:val="53565A"/>
                <w:sz w:val="16"/>
                <w:szCs w:val="16"/>
                <w:lang w:eastAsia="en-AU"/>
              </w:rPr>
              <w:br/>
              <w:t>Primary and dental health</w:t>
            </w:r>
          </w:p>
        </w:tc>
        <w:tc>
          <w:tcPr>
            <w:tcW w:w="920" w:type="dxa"/>
            <w:tcBorders>
              <w:top w:val="single" w:sz="4" w:space="0" w:color="auto"/>
              <w:left w:val="nil"/>
              <w:bottom w:val="single" w:sz="4" w:space="0" w:color="auto"/>
              <w:right w:val="single" w:sz="4" w:space="0" w:color="auto"/>
            </w:tcBorders>
            <w:shd w:val="clear" w:color="auto" w:fill="auto"/>
            <w:hideMark/>
          </w:tcPr>
          <w:p w14:paraId="10131041" w14:textId="77777777" w:rsidR="00462345" w:rsidRPr="00AB625A" w:rsidRDefault="00462345"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2023–24</w:t>
            </w:r>
            <w:r w:rsidRPr="00AB625A">
              <w:rPr>
                <w:rFonts w:cs="Arial"/>
                <w:b/>
                <w:bCs/>
                <w:color w:val="53565A"/>
                <w:sz w:val="16"/>
                <w:szCs w:val="16"/>
                <w:lang w:eastAsia="en-AU"/>
              </w:rPr>
              <w:br/>
              <w:t>Public health</w:t>
            </w:r>
          </w:p>
        </w:tc>
        <w:tc>
          <w:tcPr>
            <w:tcW w:w="921" w:type="dxa"/>
            <w:tcBorders>
              <w:top w:val="single" w:sz="4" w:space="0" w:color="auto"/>
              <w:left w:val="nil"/>
              <w:bottom w:val="single" w:sz="4" w:space="0" w:color="auto"/>
              <w:right w:val="single" w:sz="4" w:space="0" w:color="auto"/>
            </w:tcBorders>
            <w:shd w:val="clear" w:color="auto" w:fill="auto"/>
            <w:hideMark/>
          </w:tcPr>
          <w:p w14:paraId="46634F8D" w14:textId="77777777" w:rsidR="00462345" w:rsidRPr="00AB625A" w:rsidRDefault="00462345"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2023–24</w:t>
            </w:r>
            <w:r w:rsidRPr="00AB625A">
              <w:rPr>
                <w:rFonts w:cs="Arial"/>
                <w:b/>
                <w:bCs/>
                <w:color w:val="53565A"/>
                <w:sz w:val="16"/>
                <w:szCs w:val="16"/>
                <w:lang w:eastAsia="en-AU"/>
              </w:rPr>
              <w:br/>
              <w:t>Total</w:t>
            </w:r>
          </w:p>
        </w:tc>
      </w:tr>
      <w:tr w:rsidR="008428AF" w:rsidRPr="00AB625A" w14:paraId="11AFC6DF" w14:textId="77777777" w:rsidTr="00FE1263">
        <w:trPr>
          <w:trHeight w:val="3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70F77D6"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Access Health And Community</w:t>
            </w:r>
          </w:p>
        </w:tc>
        <w:tc>
          <w:tcPr>
            <w:tcW w:w="920" w:type="dxa"/>
            <w:tcBorders>
              <w:top w:val="nil"/>
              <w:left w:val="nil"/>
              <w:bottom w:val="single" w:sz="4" w:space="0" w:color="auto"/>
              <w:right w:val="single" w:sz="4" w:space="0" w:color="auto"/>
            </w:tcBorders>
            <w:shd w:val="clear" w:color="auto" w:fill="auto"/>
            <w:noWrap/>
            <w:vAlign w:val="center"/>
            <w:hideMark/>
          </w:tcPr>
          <w:p w14:paraId="7774F054"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920" w:type="dxa"/>
            <w:tcBorders>
              <w:top w:val="nil"/>
              <w:left w:val="nil"/>
              <w:bottom w:val="single" w:sz="4" w:space="0" w:color="auto"/>
              <w:right w:val="single" w:sz="4" w:space="0" w:color="auto"/>
            </w:tcBorders>
            <w:shd w:val="clear" w:color="auto" w:fill="auto"/>
            <w:noWrap/>
            <w:vAlign w:val="center"/>
            <w:hideMark/>
          </w:tcPr>
          <w:p w14:paraId="5C34D16E"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1,160</w:t>
            </w:r>
          </w:p>
        </w:tc>
        <w:tc>
          <w:tcPr>
            <w:tcW w:w="920" w:type="dxa"/>
            <w:tcBorders>
              <w:top w:val="nil"/>
              <w:left w:val="nil"/>
              <w:bottom w:val="single" w:sz="4" w:space="0" w:color="auto"/>
              <w:right w:val="single" w:sz="4" w:space="0" w:color="auto"/>
            </w:tcBorders>
            <w:shd w:val="clear" w:color="auto" w:fill="auto"/>
            <w:noWrap/>
            <w:vAlign w:val="center"/>
            <w:hideMark/>
          </w:tcPr>
          <w:p w14:paraId="7153602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0.00</w:t>
            </w:r>
          </w:p>
        </w:tc>
        <w:tc>
          <w:tcPr>
            <w:tcW w:w="920" w:type="dxa"/>
            <w:tcBorders>
              <w:top w:val="nil"/>
              <w:left w:val="nil"/>
              <w:bottom w:val="single" w:sz="4" w:space="0" w:color="auto"/>
              <w:right w:val="single" w:sz="4" w:space="0" w:color="auto"/>
            </w:tcBorders>
            <w:shd w:val="clear" w:color="auto" w:fill="auto"/>
            <w:noWrap/>
            <w:vAlign w:val="center"/>
            <w:hideMark/>
          </w:tcPr>
          <w:p w14:paraId="269D5173"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1,699</w:t>
            </w:r>
          </w:p>
        </w:tc>
        <w:tc>
          <w:tcPr>
            <w:tcW w:w="920" w:type="dxa"/>
            <w:tcBorders>
              <w:top w:val="nil"/>
              <w:left w:val="nil"/>
              <w:bottom w:val="single" w:sz="4" w:space="0" w:color="auto"/>
              <w:right w:val="single" w:sz="4" w:space="0" w:color="auto"/>
            </w:tcBorders>
            <w:shd w:val="clear" w:color="auto" w:fill="auto"/>
            <w:noWrap/>
            <w:vAlign w:val="center"/>
            <w:hideMark/>
          </w:tcPr>
          <w:p w14:paraId="7C4A7E1E"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3,518</w:t>
            </w:r>
          </w:p>
        </w:tc>
        <w:tc>
          <w:tcPr>
            <w:tcW w:w="920" w:type="dxa"/>
            <w:tcBorders>
              <w:top w:val="nil"/>
              <w:left w:val="nil"/>
              <w:bottom w:val="single" w:sz="4" w:space="0" w:color="auto"/>
              <w:right w:val="single" w:sz="4" w:space="0" w:color="auto"/>
            </w:tcBorders>
            <w:shd w:val="clear" w:color="auto" w:fill="auto"/>
            <w:noWrap/>
            <w:vAlign w:val="center"/>
            <w:hideMark/>
          </w:tcPr>
          <w:p w14:paraId="50D540D4"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2024EFA4"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6,377</w:t>
            </w:r>
          </w:p>
        </w:tc>
        <w:tc>
          <w:tcPr>
            <w:tcW w:w="920" w:type="dxa"/>
            <w:tcBorders>
              <w:top w:val="nil"/>
              <w:left w:val="nil"/>
              <w:bottom w:val="single" w:sz="4" w:space="0" w:color="auto"/>
              <w:right w:val="single" w:sz="4" w:space="0" w:color="auto"/>
            </w:tcBorders>
            <w:shd w:val="clear" w:color="auto" w:fill="auto"/>
            <w:noWrap/>
            <w:vAlign w:val="center"/>
            <w:hideMark/>
          </w:tcPr>
          <w:p w14:paraId="440A2C43"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5550DD55"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1,285</w:t>
            </w:r>
          </w:p>
        </w:tc>
        <w:tc>
          <w:tcPr>
            <w:tcW w:w="920" w:type="dxa"/>
            <w:tcBorders>
              <w:top w:val="nil"/>
              <w:left w:val="nil"/>
              <w:bottom w:val="single" w:sz="4" w:space="0" w:color="auto"/>
              <w:right w:val="single" w:sz="4" w:space="0" w:color="auto"/>
            </w:tcBorders>
            <w:shd w:val="clear" w:color="auto" w:fill="auto"/>
            <w:noWrap/>
            <w:vAlign w:val="center"/>
            <w:hideMark/>
          </w:tcPr>
          <w:p w14:paraId="1A47DB4D"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51B4CF25"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3,222</w:t>
            </w:r>
          </w:p>
        </w:tc>
        <w:tc>
          <w:tcPr>
            <w:tcW w:w="920" w:type="dxa"/>
            <w:tcBorders>
              <w:top w:val="nil"/>
              <w:left w:val="nil"/>
              <w:bottom w:val="single" w:sz="4" w:space="0" w:color="auto"/>
              <w:right w:val="single" w:sz="4" w:space="0" w:color="auto"/>
            </w:tcBorders>
            <w:shd w:val="clear" w:color="auto" w:fill="auto"/>
            <w:noWrap/>
            <w:vAlign w:val="center"/>
            <w:hideMark/>
          </w:tcPr>
          <w:p w14:paraId="207BA4C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3,648</w:t>
            </w:r>
          </w:p>
        </w:tc>
        <w:tc>
          <w:tcPr>
            <w:tcW w:w="920" w:type="dxa"/>
            <w:tcBorders>
              <w:top w:val="nil"/>
              <w:left w:val="nil"/>
              <w:bottom w:val="single" w:sz="4" w:space="0" w:color="auto"/>
              <w:right w:val="single" w:sz="4" w:space="0" w:color="auto"/>
            </w:tcBorders>
            <w:shd w:val="clear" w:color="auto" w:fill="auto"/>
            <w:noWrap/>
            <w:vAlign w:val="center"/>
            <w:hideMark/>
          </w:tcPr>
          <w:p w14:paraId="426DDE3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0BF35926"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8,154</w:t>
            </w:r>
          </w:p>
        </w:tc>
      </w:tr>
      <w:tr w:rsidR="008428AF" w:rsidRPr="00AB625A" w14:paraId="000DCDCF" w14:textId="77777777" w:rsidTr="00FE1263">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F6D181B"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Ballarat Community Health</w:t>
            </w:r>
          </w:p>
        </w:tc>
        <w:tc>
          <w:tcPr>
            <w:tcW w:w="920" w:type="dxa"/>
            <w:tcBorders>
              <w:top w:val="nil"/>
              <w:left w:val="nil"/>
              <w:bottom w:val="single" w:sz="4" w:space="0" w:color="auto"/>
              <w:right w:val="single" w:sz="4" w:space="0" w:color="auto"/>
            </w:tcBorders>
            <w:shd w:val="clear" w:color="auto" w:fill="auto"/>
            <w:noWrap/>
            <w:vAlign w:val="center"/>
            <w:hideMark/>
          </w:tcPr>
          <w:p w14:paraId="3742750A"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74</w:t>
            </w:r>
          </w:p>
        </w:tc>
        <w:tc>
          <w:tcPr>
            <w:tcW w:w="920" w:type="dxa"/>
            <w:tcBorders>
              <w:top w:val="nil"/>
              <w:left w:val="nil"/>
              <w:bottom w:val="single" w:sz="4" w:space="0" w:color="auto"/>
              <w:right w:val="single" w:sz="4" w:space="0" w:color="auto"/>
            </w:tcBorders>
            <w:shd w:val="clear" w:color="auto" w:fill="auto"/>
            <w:noWrap/>
            <w:vAlign w:val="center"/>
            <w:hideMark/>
          </w:tcPr>
          <w:p w14:paraId="0B90C113"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506</w:t>
            </w:r>
          </w:p>
        </w:tc>
        <w:tc>
          <w:tcPr>
            <w:tcW w:w="920" w:type="dxa"/>
            <w:tcBorders>
              <w:top w:val="nil"/>
              <w:left w:val="nil"/>
              <w:bottom w:val="single" w:sz="4" w:space="0" w:color="auto"/>
              <w:right w:val="single" w:sz="4" w:space="0" w:color="auto"/>
            </w:tcBorders>
            <w:shd w:val="clear" w:color="auto" w:fill="auto"/>
            <w:noWrap/>
            <w:vAlign w:val="center"/>
            <w:hideMark/>
          </w:tcPr>
          <w:p w14:paraId="4B4BB178"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3,352</w:t>
            </w:r>
          </w:p>
        </w:tc>
        <w:tc>
          <w:tcPr>
            <w:tcW w:w="920" w:type="dxa"/>
            <w:tcBorders>
              <w:top w:val="nil"/>
              <w:left w:val="nil"/>
              <w:bottom w:val="single" w:sz="4" w:space="0" w:color="auto"/>
              <w:right w:val="single" w:sz="4" w:space="0" w:color="auto"/>
            </w:tcBorders>
            <w:shd w:val="clear" w:color="auto" w:fill="auto"/>
            <w:noWrap/>
            <w:vAlign w:val="center"/>
            <w:hideMark/>
          </w:tcPr>
          <w:p w14:paraId="31E431F2"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779</w:t>
            </w:r>
          </w:p>
        </w:tc>
        <w:tc>
          <w:tcPr>
            <w:tcW w:w="920" w:type="dxa"/>
            <w:tcBorders>
              <w:top w:val="nil"/>
              <w:left w:val="nil"/>
              <w:bottom w:val="single" w:sz="4" w:space="0" w:color="auto"/>
              <w:right w:val="single" w:sz="4" w:space="0" w:color="auto"/>
            </w:tcBorders>
            <w:shd w:val="clear" w:color="auto" w:fill="auto"/>
            <w:noWrap/>
            <w:vAlign w:val="center"/>
            <w:hideMark/>
          </w:tcPr>
          <w:p w14:paraId="1A5CD33A"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3,136</w:t>
            </w:r>
          </w:p>
        </w:tc>
        <w:tc>
          <w:tcPr>
            <w:tcW w:w="920" w:type="dxa"/>
            <w:tcBorders>
              <w:top w:val="nil"/>
              <w:left w:val="nil"/>
              <w:bottom w:val="single" w:sz="4" w:space="0" w:color="auto"/>
              <w:right w:val="single" w:sz="4" w:space="0" w:color="auto"/>
            </w:tcBorders>
            <w:shd w:val="clear" w:color="auto" w:fill="auto"/>
            <w:noWrap/>
            <w:vAlign w:val="center"/>
            <w:hideMark/>
          </w:tcPr>
          <w:p w14:paraId="76202864"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280</w:t>
            </w:r>
          </w:p>
        </w:tc>
        <w:tc>
          <w:tcPr>
            <w:tcW w:w="921" w:type="dxa"/>
            <w:tcBorders>
              <w:top w:val="nil"/>
              <w:left w:val="nil"/>
              <w:bottom w:val="single" w:sz="4" w:space="0" w:color="auto"/>
              <w:right w:val="single" w:sz="4" w:space="0" w:color="auto"/>
            </w:tcBorders>
            <w:shd w:val="clear" w:color="auto" w:fill="auto"/>
            <w:noWrap/>
            <w:vAlign w:val="center"/>
            <w:hideMark/>
          </w:tcPr>
          <w:p w14:paraId="4ABA79BE"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8,126</w:t>
            </w:r>
          </w:p>
        </w:tc>
        <w:tc>
          <w:tcPr>
            <w:tcW w:w="920" w:type="dxa"/>
            <w:tcBorders>
              <w:top w:val="nil"/>
              <w:left w:val="nil"/>
              <w:bottom w:val="single" w:sz="4" w:space="0" w:color="auto"/>
              <w:right w:val="single" w:sz="4" w:space="0" w:color="auto"/>
            </w:tcBorders>
            <w:shd w:val="clear" w:color="auto" w:fill="auto"/>
            <w:noWrap/>
            <w:vAlign w:val="center"/>
            <w:hideMark/>
          </w:tcPr>
          <w:p w14:paraId="6EDD39C6"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76</w:t>
            </w:r>
          </w:p>
        </w:tc>
        <w:tc>
          <w:tcPr>
            <w:tcW w:w="920" w:type="dxa"/>
            <w:tcBorders>
              <w:top w:val="nil"/>
              <w:left w:val="nil"/>
              <w:bottom w:val="single" w:sz="4" w:space="0" w:color="auto"/>
              <w:right w:val="single" w:sz="4" w:space="0" w:color="auto"/>
            </w:tcBorders>
            <w:shd w:val="clear" w:color="auto" w:fill="auto"/>
            <w:noWrap/>
            <w:vAlign w:val="center"/>
            <w:hideMark/>
          </w:tcPr>
          <w:p w14:paraId="37FE5345"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560</w:t>
            </w:r>
          </w:p>
        </w:tc>
        <w:tc>
          <w:tcPr>
            <w:tcW w:w="920" w:type="dxa"/>
            <w:tcBorders>
              <w:top w:val="nil"/>
              <w:left w:val="nil"/>
              <w:bottom w:val="single" w:sz="4" w:space="0" w:color="auto"/>
              <w:right w:val="single" w:sz="4" w:space="0" w:color="auto"/>
            </w:tcBorders>
            <w:shd w:val="clear" w:color="auto" w:fill="auto"/>
            <w:noWrap/>
            <w:vAlign w:val="center"/>
            <w:hideMark/>
          </w:tcPr>
          <w:p w14:paraId="32CD5F1A"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3,462</w:t>
            </w:r>
          </w:p>
        </w:tc>
        <w:tc>
          <w:tcPr>
            <w:tcW w:w="920" w:type="dxa"/>
            <w:tcBorders>
              <w:top w:val="nil"/>
              <w:left w:val="nil"/>
              <w:bottom w:val="single" w:sz="4" w:space="0" w:color="auto"/>
              <w:right w:val="single" w:sz="4" w:space="0" w:color="auto"/>
            </w:tcBorders>
            <w:shd w:val="clear" w:color="auto" w:fill="auto"/>
            <w:noWrap/>
            <w:vAlign w:val="center"/>
            <w:hideMark/>
          </w:tcPr>
          <w:p w14:paraId="0BC6248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909</w:t>
            </w:r>
          </w:p>
        </w:tc>
        <w:tc>
          <w:tcPr>
            <w:tcW w:w="920" w:type="dxa"/>
            <w:tcBorders>
              <w:top w:val="nil"/>
              <w:left w:val="nil"/>
              <w:bottom w:val="single" w:sz="4" w:space="0" w:color="auto"/>
              <w:right w:val="single" w:sz="4" w:space="0" w:color="auto"/>
            </w:tcBorders>
            <w:shd w:val="clear" w:color="auto" w:fill="auto"/>
            <w:noWrap/>
            <w:vAlign w:val="center"/>
            <w:hideMark/>
          </w:tcPr>
          <w:p w14:paraId="4B748F89"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3,349</w:t>
            </w:r>
          </w:p>
        </w:tc>
        <w:tc>
          <w:tcPr>
            <w:tcW w:w="920" w:type="dxa"/>
            <w:tcBorders>
              <w:top w:val="nil"/>
              <w:left w:val="nil"/>
              <w:bottom w:val="single" w:sz="4" w:space="0" w:color="auto"/>
              <w:right w:val="single" w:sz="4" w:space="0" w:color="auto"/>
            </w:tcBorders>
            <w:shd w:val="clear" w:color="auto" w:fill="auto"/>
            <w:noWrap/>
            <w:vAlign w:val="center"/>
            <w:hideMark/>
          </w:tcPr>
          <w:p w14:paraId="51B34699"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289</w:t>
            </w:r>
          </w:p>
        </w:tc>
        <w:tc>
          <w:tcPr>
            <w:tcW w:w="921" w:type="dxa"/>
            <w:tcBorders>
              <w:top w:val="nil"/>
              <w:left w:val="nil"/>
              <w:bottom w:val="single" w:sz="4" w:space="0" w:color="auto"/>
              <w:right w:val="single" w:sz="4" w:space="0" w:color="auto"/>
            </w:tcBorders>
            <w:shd w:val="clear" w:color="auto" w:fill="auto"/>
            <w:noWrap/>
            <w:vAlign w:val="center"/>
            <w:hideMark/>
          </w:tcPr>
          <w:p w14:paraId="65A82E87"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8,644</w:t>
            </w:r>
          </w:p>
        </w:tc>
      </w:tr>
      <w:tr w:rsidR="008428AF" w:rsidRPr="00AB625A" w14:paraId="75D704AF" w14:textId="77777777" w:rsidTr="00FE1263">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C9D2CBB"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Banyule Community Health</w:t>
            </w:r>
          </w:p>
        </w:tc>
        <w:tc>
          <w:tcPr>
            <w:tcW w:w="920" w:type="dxa"/>
            <w:tcBorders>
              <w:top w:val="nil"/>
              <w:left w:val="nil"/>
              <w:bottom w:val="single" w:sz="4" w:space="0" w:color="auto"/>
              <w:right w:val="single" w:sz="4" w:space="0" w:color="auto"/>
            </w:tcBorders>
            <w:shd w:val="clear" w:color="auto" w:fill="auto"/>
            <w:noWrap/>
            <w:vAlign w:val="center"/>
            <w:hideMark/>
          </w:tcPr>
          <w:p w14:paraId="24C9D40F"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w:t>
            </w:r>
          </w:p>
        </w:tc>
        <w:tc>
          <w:tcPr>
            <w:tcW w:w="920" w:type="dxa"/>
            <w:tcBorders>
              <w:top w:val="nil"/>
              <w:left w:val="nil"/>
              <w:bottom w:val="single" w:sz="4" w:space="0" w:color="auto"/>
              <w:right w:val="single" w:sz="4" w:space="0" w:color="auto"/>
            </w:tcBorders>
            <w:shd w:val="clear" w:color="auto" w:fill="auto"/>
            <w:noWrap/>
            <w:vAlign w:val="center"/>
            <w:hideMark/>
          </w:tcPr>
          <w:p w14:paraId="6DD9078E"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819</w:t>
            </w:r>
          </w:p>
        </w:tc>
        <w:tc>
          <w:tcPr>
            <w:tcW w:w="920" w:type="dxa"/>
            <w:tcBorders>
              <w:top w:val="nil"/>
              <w:left w:val="nil"/>
              <w:bottom w:val="single" w:sz="4" w:space="0" w:color="auto"/>
              <w:right w:val="single" w:sz="4" w:space="0" w:color="auto"/>
            </w:tcBorders>
            <w:shd w:val="clear" w:color="auto" w:fill="auto"/>
            <w:noWrap/>
            <w:vAlign w:val="center"/>
            <w:hideMark/>
          </w:tcPr>
          <w:p w14:paraId="3A03D70F"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405E39AF"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79D7C33D"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3,173</w:t>
            </w:r>
          </w:p>
        </w:tc>
        <w:tc>
          <w:tcPr>
            <w:tcW w:w="920" w:type="dxa"/>
            <w:tcBorders>
              <w:top w:val="nil"/>
              <w:left w:val="nil"/>
              <w:bottom w:val="single" w:sz="4" w:space="0" w:color="auto"/>
              <w:right w:val="single" w:sz="4" w:space="0" w:color="auto"/>
            </w:tcBorders>
            <w:shd w:val="clear" w:color="auto" w:fill="auto"/>
            <w:noWrap/>
            <w:vAlign w:val="center"/>
            <w:hideMark/>
          </w:tcPr>
          <w:p w14:paraId="656A051A"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2F529FB9"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3,992</w:t>
            </w:r>
          </w:p>
        </w:tc>
        <w:tc>
          <w:tcPr>
            <w:tcW w:w="920" w:type="dxa"/>
            <w:tcBorders>
              <w:top w:val="nil"/>
              <w:left w:val="nil"/>
              <w:bottom w:val="single" w:sz="4" w:space="0" w:color="auto"/>
              <w:right w:val="single" w:sz="4" w:space="0" w:color="auto"/>
            </w:tcBorders>
            <w:shd w:val="clear" w:color="auto" w:fill="auto"/>
            <w:noWrap/>
            <w:vAlign w:val="center"/>
            <w:hideMark/>
          </w:tcPr>
          <w:p w14:paraId="0FC6378E"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424DF0A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810</w:t>
            </w:r>
          </w:p>
        </w:tc>
        <w:tc>
          <w:tcPr>
            <w:tcW w:w="920" w:type="dxa"/>
            <w:tcBorders>
              <w:top w:val="nil"/>
              <w:left w:val="nil"/>
              <w:bottom w:val="single" w:sz="4" w:space="0" w:color="auto"/>
              <w:right w:val="single" w:sz="4" w:space="0" w:color="auto"/>
            </w:tcBorders>
            <w:shd w:val="clear" w:color="auto" w:fill="auto"/>
            <w:noWrap/>
            <w:vAlign w:val="center"/>
            <w:hideMark/>
          </w:tcPr>
          <w:p w14:paraId="43169EC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55D6C74F"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2BA8FB51"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3,315</w:t>
            </w:r>
          </w:p>
        </w:tc>
        <w:tc>
          <w:tcPr>
            <w:tcW w:w="920" w:type="dxa"/>
            <w:tcBorders>
              <w:top w:val="nil"/>
              <w:left w:val="nil"/>
              <w:bottom w:val="single" w:sz="4" w:space="0" w:color="auto"/>
              <w:right w:val="single" w:sz="4" w:space="0" w:color="auto"/>
            </w:tcBorders>
            <w:shd w:val="clear" w:color="auto" w:fill="auto"/>
            <w:noWrap/>
            <w:vAlign w:val="center"/>
            <w:hideMark/>
          </w:tcPr>
          <w:p w14:paraId="0CBE0F32"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7259B08D"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4,125</w:t>
            </w:r>
          </w:p>
        </w:tc>
      </w:tr>
      <w:tr w:rsidR="008428AF" w:rsidRPr="00AB625A" w14:paraId="136F0917" w14:textId="77777777" w:rsidTr="00FE1263">
        <w:trPr>
          <w:trHeight w:val="3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4DBAA54"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Bellarine Community Health Ltd</w:t>
            </w:r>
          </w:p>
        </w:tc>
        <w:tc>
          <w:tcPr>
            <w:tcW w:w="920" w:type="dxa"/>
            <w:tcBorders>
              <w:top w:val="nil"/>
              <w:left w:val="nil"/>
              <w:bottom w:val="single" w:sz="4" w:space="0" w:color="auto"/>
              <w:right w:val="single" w:sz="4" w:space="0" w:color="auto"/>
            </w:tcBorders>
            <w:shd w:val="clear" w:color="auto" w:fill="auto"/>
            <w:noWrap/>
            <w:vAlign w:val="center"/>
            <w:hideMark/>
          </w:tcPr>
          <w:p w14:paraId="0A2242FE"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712</w:t>
            </w:r>
          </w:p>
        </w:tc>
        <w:tc>
          <w:tcPr>
            <w:tcW w:w="920" w:type="dxa"/>
            <w:tcBorders>
              <w:top w:val="nil"/>
              <w:left w:val="nil"/>
              <w:bottom w:val="single" w:sz="4" w:space="0" w:color="auto"/>
              <w:right w:val="single" w:sz="4" w:space="0" w:color="auto"/>
            </w:tcBorders>
            <w:shd w:val="clear" w:color="auto" w:fill="auto"/>
            <w:noWrap/>
            <w:vAlign w:val="center"/>
            <w:hideMark/>
          </w:tcPr>
          <w:p w14:paraId="5F70C205"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848</w:t>
            </w:r>
          </w:p>
        </w:tc>
        <w:tc>
          <w:tcPr>
            <w:tcW w:w="920" w:type="dxa"/>
            <w:tcBorders>
              <w:top w:val="nil"/>
              <w:left w:val="nil"/>
              <w:bottom w:val="single" w:sz="4" w:space="0" w:color="auto"/>
              <w:right w:val="single" w:sz="4" w:space="0" w:color="auto"/>
            </w:tcBorders>
            <w:shd w:val="clear" w:color="auto" w:fill="auto"/>
            <w:noWrap/>
            <w:vAlign w:val="center"/>
            <w:hideMark/>
          </w:tcPr>
          <w:p w14:paraId="03D0190E"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615DDC64"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68DCCBE8"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2,451</w:t>
            </w:r>
          </w:p>
        </w:tc>
        <w:tc>
          <w:tcPr>
            <w:tcW w:w="920" w:type="dxa"/>
            <w:tcBorders>
              <w:top w:val="nil"/>
              <w:left w:val="nil"/>
              <w:bottom w:val="single" w:sz="4" w:space="0" w:color="auto"/>
              <w:right w:val="single" w:sz="4" w:space="0" w:color="auto"/>
            </w:tcBorders>
            <w:shd w:val="clear" w:color="auto" w:fill="auto"/>
            <w:noWrap/>
            <w:vAlign w:val="center"/>
            <w:hideMark/>
          </w:tcPr>
          <w:p w14:paraId="79876C7A"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5B59856C"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4,011</w:t>
            </w:r>
          </w:p>
        </w:tc>
        <w:tc>
          <w:tcPr>
            <w:tcW w:w="920" w:type="dxa"/>
            <w:tcBorders>
              <w:top w:val="nil"/>
              <w:left w:val="nil"/>
              <w:bottom w:val="single" w:sz="4" w:space="0" w:color="auto"/>
              <w:right w:val="single" w:sz="4" w:space="0" w:color="auto"/>
            </w:tcBorders>
            <w:shd w:val="clear" w:color="auto" w:fill="auto"/>
            <w:noWrap/>
            <w:vAlign w:val="center"/>
            <w:hideMark/>
          </w:tcPr>
          <w:p w14:paraId="146058E1"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726</w:t>
            </w:r>
          </w:p>
        </w:tc>
        <w:tc>
          <w:tcPr>
            <w:tcW w:w="920" w:type="dxa"/>
            <w:tcBorders>
              <w:top w:val="nil"/>
              <w:left w:val="nil"/>
              <w:bottom w:val="single" w:sz="4" w:space="0" w:color="auto"/>
              <w:right w:val="single" w:sz="4" w:space="0" w:color="auto"/>
            </w:tcBorders>
            <w:shd w:val="clear" w:color="auto" w:fill="auto"/>
            <w:noWrap/>
            <w:vAlign w:val="center"/>
            <w:hideMark/>
          </w:tcPr>
          <w:p w14:paraId="4F3E5EA5"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869</w:t>
            </w:r>
          </w:p>
        </w:tc>
        <w:tc>
          <w:tcPr>
            <w:tcW w:w="920" w:type="dxa"/>
            <w:tcBorders>
              <w:top w:val="nil"/>
              <w:left w:val="nil"/>
              <w:bottom w:val="single" w:sz="4" w:space="0" w:color="auto"/>
              <w:right w:val="single" w:sz="4" w:space="0" w:color="auto"/>
            </w:tcBorders>
            <w:shd w:val="clear" w:color="auto" w:fill="auto"/>
            <w:noWrap/>
            <w:vAlign w:val="center"/>
            <w:hideMark/>
          </w:tcPr>
          <w:p w14:paraId="26C1AE8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6F51D2B9"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310E074F"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2,635</w:t>
            </w:r>
          </w:p>
        </w:tc>
        <w:tc>
          <w:tcPr>
            <w:tcW w:w="920" w:type="dxa"/>
            <w:tcBorders>
              <w:top w:val="nil"/>
              <w:left w:val="nil"/>
              <w:bottom w:val="single" w:sz="4" w:space="0" w:color="auto"/>
              <w:right w:val="single" w:sz="4" w:space="0" w:color="auto"/>
            </w:tcBorders>
            <w:shd w:val="clear" w:color="auto" w:fill="auto"/>
            <w:noWrap/>
            <w:vAlign w:val="center"/>
            <w:hideMark/>
          </w:tcPr>
          <w:p w14:paraId="023B1E2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31012180"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4,229</w:t>
            </w:r>
          </w:p>
        </w:tc>
      </w:tr>
      <w:tr w:rsidR="008428AF" w:rsidRPr="00AB625A" w14:paraId="5D5C3BF8" w14:textId="77777777" w:rsidTr="00FE1263">
        <w:trPr>
          <w:trHeight w:val="3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5BC7CD1"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Bendigo Community Health Services Limited</w:t>
            </w:r>
          </w:p>
        </w:tc>
        <w:tc>
          <w:tcPr>
            <w:tcW w:w="920" w:type="dxa"/>
            <w:tcBorders>
              <w:top w:val="nil"/>
              <w:left w:val="nil"/>
              <w:bottom w:val="single" w:sz="4" w:space="0" w:color="auto"/>
              <w:right w:val="single" w:sz="4" w:space="0" w:color="auto"/>
            </w:tcBorders>
            <w:shd w:val="clear" w:color="auto" w:fill="auto"/>
            <w:noWrap/>
            <w:vAlign w:val="center"/>
            <w:hideMark/>
          </w:tcPr>
          <w:p w14:paraId="4B0D2003"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109</w:t>
            </w:r>
          </w:p>
        </w:tc>
        <w:tc>
          <w:tcPr>
            <w:tcW w:w="920" w:type="dxa"/>
            <w:tcBorders>
              <w:top w:val="nil"/>
              <w:left w:val="nil"/>
              <w:bottom w:val="single" w:sz="4" w:space="0" w:color="auto"/>
              <w:right w:val="single" w:sz="4" w:space="0" w:color="auto"/>
            </w:tcBorders>
            <w:shd w:val="clear" w:color="auto" w:fill="auto"/>
            <w:noWrap/>
            <w:vAlign w:val="center"/>
            <w:hideMark/>
          </w:tcPr>
          <w:p w14:paraId="5191F4DF"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229</w:t>
            </w:r>
          </w:p>
        </w:tc>
        <w:tc>
          <w:tcPr>
            <w:tcW w:w="920" w:type="dxa"/>
            <w:tcBorders>
              <w:top w:val="nil"/>
              <w:left w:val="nil"/>
              <w:bottom w:val="single" w:sz="4" w:space="0" w:color="auto"/>
              <w:right w:val="single" w:sz="4" w:space="0" w:color="auto"/>
            </w:tcBorders>
            <w:shd w:val="clear" w:color="auto" w:fill="auto"/>
            <w:noWrap/>
            <w:vAlign w:val="center"/>
            <w:hideMark/>
          </w:tcPr>
          <w:p w14:paraId="676BEA6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4,941</w:t>
            </w:r>
          </w:p>
        </w:tc>
        <w:tc>
          <w:tcPr>
            <w:tcW w:w="920" w:type="dxa"/>
            <w:tcBorders>
              <w:top w:val="nil"/>
              <w:left w:val="nil"/>
              <w:bottom w:val="single" w:sz="4" w:space="0" w:color="auto"/>
              <w:right w:val="single" w:sz="4" w:space="0" w:color="auto"/>
            </w:tcBorders>
            <w:shd w:val="clear" w:color="auto" w:fill="auto"/>
            <w:noWrap/>
            <w:vAlign w:val="center"/>
            <w:hideMark/>
          </w:tcPr>
          <w:p w14:paraId="320D2227"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144</w:t>
            </w:r>
          </w:p>
        </w:tc>
        <w:tc>
          <w:tcPr>
            <w:tcW w:w="920" w:type="dxa"/>
            <w:tcBorders>
              <w:top w:val="nil"/>
              <w:left w:val="nil"/>
              <w:bottom w:val="single" w:sz="4" w:space="0" w:color="auto"/>
              <w:right w:val="single" w:sz="4" w:space="0" w:color="auto"/>
            </w:tcBorders>
            <w:shd w:val="clear" w:color="auto" w:fill="auto"/>
            <w:noWrap/>
            <w:vAlign w:val="center"/>
            <w:hideMark/>
          </w:tcPr>
          <w:p w14:paraId="3CE401BE"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5,801</w:t>
            </w:r>
          </w:p>
        </w:tc>
        <w:tc>
          <w:tcPr>
            <w:tcW w:w="920" w:type="dxa"/>
            <w:tcBorders>
              <w:top w:val="nil"/>
              <w:left w:val="nil"/>
              <w:bottom w:val="single" w:sz="4" w:space="0" w:color="auto"/>
              <w:right w:val="single" w:sz="4" w:space="0" w:color="auto"/>
            </w:tcBorders>
            <w:shd w:val="clear" w:color="auto" w:fill="auto"/>
            <w:noWrap/>
            <w:vAlign w:val="center"/>
            <w:hideMark/>
          </w:tcPr>
          <w:p w14:paraId="1223AC1F"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344</w:t>
            </w:r>
          </w:p>
        </w:tc>
        <w:tc>
          <w:tcPr>
            <w:tcW w:w="921" w:type="dxa"/>
            <w:tcBorders>
              <w:top w:val="nil"/>
              <w:left w:val="nil"/>
              <w:bottom w:val="single" w:sz="4" w:space="0" w:color="auto"/>
              <w:right w:val="single" w:sz="4" w:space="0" w:color="auto"/>
            </w:tcBorders>
            <w:shd w:val="clear" w:color="auto" w:fill="auto"/>
            <w:noWrap/>
            <w:vAlign w:val="center"/>
            <w:hideMark/>
          </w:tcPr>
          <w:p w14:paraId="7D8EC96B"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11,569</w:t>
            </w:r>
          </w:p>
        </w:tc>
        <w:tc>
          <w:tcPr>
            <w:tcW w:w="920" w:type="dxa"/>
            <w:tcBorders>
              <w:top w:val="nil"/>
              <w:left w:val="nil"/>
              <w:bottom w:val="single" w:sz="4" w:space="0" w:color="auto"/>
              <w:right w:val="single" w:sz="4" w:space="0" w:color="auto"/>
            </w:tcBorders>
            <w:shd w:val="clear" w:color="auto" w:fill="auto"/>
            <w:noWrap/>
            <w:vAlign w:val="center"/>
            <w:hideMark/>
          </w:tcPr>
          <w:p w14:paraId="69D21BD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146</w:t>
            </w:r>
          </w:p>
        </w:tc>
        <w:tc>
          <w:tcPr>
            <w:tcW w:w="920" w:type="dxa"/>
            <w:tcBorders>
              <w:top w:val="nil"/>
              <w:left w:val="nil"/>
              <w:bottom w:val="single" w:sz="4" w:space="0" w:color="auto"/>
              <w:right w:val="single" w:sz="4" w:space="0" w:color="auto"/>
            </w:tcBorders>
            <w:shd w:val="clear" w:color="auto" w:fill="auto"/>
            <w:noWrap/>
            <w:vAlign w:val="center"/>
            <w:hideMark/>
          </w:tcPr>
          <w:p w14:paraId="3C83A8D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267</w:t>
            </w:r>
          </w:p>
        </w:tc>
        <w:tc>
          <w:tcPr>
            <w:tcW w:w="920" w:type="dxa"/>
            <w:tcBorders>
              <w:top w:val="nil"/>
              <w:left w:val="nil"/>
              <w:bottom w:val="single" w:sz="4" w:space="0" w:color="auto"/>
              <w:right w:val="single" w:sz="4" w:space="0" w:color="auto"/>
            </w:tcBorders>
            <w:shd w:val="clear" w:color="auto" w:fill="auto"/>
            <w:noWrap/>
            <w:vAlign w:val="center"/>
            <w:hideMark/>
          </w:tcPr>
          <w:p w14:paraId="21F19C8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5,103</w:t>
            </w:r>
          </w:p>
        </w:tc>
        <w:tc>
          <w:tcPr>
            <w:tcW w:w="920" w:type="dxa"/>
            <w:tcBorders>
              <w:top w:val="nil"/>
              <w:left w:val="nil"/>
              <w:bottom w:val="single" w:sz="4" w:space="0" w:color="auto"/>
              <w:right w:val="single" w:sz="4" w:space="0" w:color="auto"/>
            </w:tcBorders>
            <w:shd w:val="clear" w:color="auto" w:fill="auto"/>
            <w:noWrap/>
            <w:vAlign w:val="center"/>
            <w:hideMark/>
          </w:tcPr>
          <w:p w14:paraId="4D0F692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148</w:t>
            </w:r>
          </w:p>
        </w:tc>
        <w:tc>
          <w:tcPr>
            <w:tcW w:w="920" w:type="dxa"/>
            <w:tcBorders>
              <w:top w:val="nil"/>
              <w:left w:val="nil"/>
              <w:bottom w:val="single" w:sz="4" w:space="0" w:color="auto"/>
              <w:right w:val="single" w:sz="4" w:space="0" w:color="auto"/>
            </w:tcBorders>
            <w:shd w:val="clear" w:color="auto" w:fill="auto"/>
            <w:noWrap/>
            <w:vAlign w:val="center"/>
            <w:hideMark/>
          </w:tcPr>
          <w:p w14:paraId="63428D4E"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5,882</w:t>
            </w:r>
          </w:p>
        </w:tc>
        <w:tc>
          <w:tcPr>
            <w:tcW w:w="920" w:type="dxa"/>
            <w:tcBorders>
              <w:top w:val="nil"/>
              <w:left w:val="nil"/>
              <w:bottom w:val="single" w:sz="4" w:space="0" w:color="auto"/>
              <w:right w:val="single" w:sz="4" w:space="0" w:color="auto"/>
            </w:tcBorders>
            <w:shd w:val="clear" w:color="auto" w:fill="auto"/>
            <w:noWrap/>
            <w:vAlign w:val="center"/>
            <w:hideMark/>
          </w:tcPr>
          <w:p w14:paraId="0B33DEC1"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356</w:t>
            </w:r>
          </w:p>
        </w:tc>
        <w:tc>
          <w:tcPr>
            <w:tcW w:w="921" w:type="dxa"/>
            <w:tcBorders>
              <w:top w:val="nil"/>
              <w:left w:val="nil"/>
              <w:bottom w:val="single" w:sz="4" w:space="0" w:color="auto"/>
              <w:right w:val="single" w:sz="4" w:space="0" w:color="auto"/>
            </w:tcBorders>
            <w:shd w:val="clear" w:color="auto" w:fill="auto"/>
            <w:noWrap/>
            <w:vAlign w:val="center"/>
            <w:hideMark/>
          </w:tcPr>
          <w:p w14:paraId="5FF5376D"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11,902</w:t>
            </w:r>
          </w:p>
        </w:tc>
      </w:tr>
      <w:tr w:rsidR="008428AF" w:rsidRPr="00AB625A" w14:paraId="3CE00A73" w14:textId="77777777" w:rsidTr="00FE1263">
        <w:trPr>
          <w:trHeight w:val="3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6757E19"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Bhn Better Health Network Ltd</w:t>
            </w:r>
          </w:p>
        </w:tc>
        <w:tc>
          <w:tcPr>
            <w:tcW w:w="920" w:type="dxa"/>
            <w:tcBorders>
              <w:top w:val="nil"/>
              <w:left w:val="nil"/>
              <w:bottom w:val="single" w:sz="4" w:space="0" w:color="auto"/>
              <w:right w:val="single" w:sz="4" w:space="0" w:color="auto"/>
            </w:tcBorders>
            <w:shd w:val="clear" w:color="auto" w:fill="auto"/>
            <w:noWrap/>
            <w:vAlign w:val="center"/>
            <w:hideMark/>
          </w:tcPr>
          <w:p w14:paraId="5473593A"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2,028</w:t>
            </w:r>
          </w:p>
        </w:tc>
        <w:tc>
          <w:tcPr>
            <w:tcW w:w="920" w:type="dxa"/>
            <w:tcBorders>
              <w:top w:val="nil"/>
              <w:left w:val="nil"/>
              <w:bottom w:val="single" w:sz="4" w:space="0" w:color="auto"/>
              <w:right w:val="single" w:sz="4" w:space="0" w:color="auto"/>
            </w:tcBorders>
            <w:shd w:val="clear" w:color="auto" w:fill="auto"/>
            <w:noWrap/>
            <w:vAlign w:val="center"/>
            <w:hideMark/>
          </w:tcPr>
          <w:p w14:paraId="6832DF3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2,764</w:t>
            </w:r>
          </w:p>
        </w:tc>
        <w:tc>
          <w:tcPr>
            <w:tcW w:w="920" w:type="dxa"/>
            <w:tcBorders>
              <w:top w:val="nil"/>
              <w:left w:val="nil"/>
              <w:bottom w:val="single" w:sz="4" w:space="0" w:color="auto"/>
              <w:right w:val="single" w:sz="4" w:space="0" w:color="auto"/>
            </w:tcBorders>
            <w:shd w:val="clear" w:color="auto" w:fill="auto"/>
            <w:noWrap/>
            <w:vAlign w:val="center"/>
            <w:hideMark/>
          </w:tcPr>
          <w:p w14:paraId="02AAE07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2,224</w:t>
            </w:r>
          </w:p>
        </w:tc>
        <w:tc>
          <w:tcPr>
            <w:tcW w:w="920" w:type="dxa"/>
            <w:tcBorders>
              <w:top w:val="nil"/>
              <w:left w:val="nil"/>
              <w:bottom w:val="single" w:sz="4" w:space="0" w:color="auto"/>
              <w:right w:val="single" w:sz="4" w:space="0" w:color="auto"/>
            </w:tcBorders>
            <w:shd w:val="clear" w:color="auto" w:fill="auto"/>
            <w:noWrap/>
            <w:vAlign w:val="center"/>
            <w:hideMark/>
          </w:tcPr>
          <w:p w14:paraId="7072A6C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1,650</w:t>
            </w:r>
          </w:p>
        </w:tc>
        <w:tc>
          <w:tcPr>
            <w:tcW w:w="920" w:type="dxa"/>
            <w:tcBorders>
              <w:top w:val="nil"/>
              <w:left w:val="nil"/>
              <w:bottom w:val="single" w:sz="4" w:space="0" w:color="auto"/>
              <w:right w:val="single" w:sz="4" w:space="0" w:color="auto"/>
            </w:tcBorders>
            <w:shd w:val="clear" w:color="auto" w:fill="auto"/>
            <w:noWrap/>
            <w:vAlign w:val="center"/>
            <w:hideMark/>
          </w:tcPr>
          <w:p w14:paraId="7975D153"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6,789</w:t>
            </w:r>
          </w:p>
        </w:tc>
        <w:tc>
          <w:tcPr>
            <w:tcW w:w="920" w:type="dxa"/>
            <w:tcBorders>
              <w:top w:val="nil"/>
              <w:left w:val="nil"/>
              <w:bottom w:val="single" w:sz="4" w:space="0" w:color="auto"/>
              <w:right w:val="single" w:sz="4" w:space="0" w:color="auto"/>
            </w:tcBorders>
            <w:shd w:val="clear" w:color="auto" w:fill="auto"/>
            <w:noWrap/>
            <w:vAlign w:val="center"/>
            <w:hideMark/>
          </w:tcPr>
          <w:p w14:paraId="37EC5F9A"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531</w:t>
            </w:r>
          </w:p>
        </w:tc>
        <w:tc>
          <w:tcPr>
            <w:tcW w:w="921" w:type="dxa"/>
            <w:tcBorders>
              <w:top w:val="nil"/>
              <w:left w:val="nil"/>
              <w:bottom w:val="single" w:sz="4" w:space="0" w:color="auto"/>
              <w:right w:val="single" w:sz="4" w:space="0" w:color="auto"/>
            </w:tcBorders>
            <w:shd w:val="clear" w:color="auto" w:fill="auto"/>
            <w:noWrap/>
            <w:vAlign w:val="center"/>
            <w:hideMark/>
          </w:tcPr>
          <w:p w14:paraId="021C79EE"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15,986</w:t>
            </w:r>
          </w:p>
        </w:tc>
        <w:tc>
          <w:tcPr>
            <w:tcW w:w="920" w:type="dxa"/>
            <w:tcBorders>
              <w:top w:val="nil"/>
              <w:left w:val="nil"/>
              <w:bottom w:val="single" w:sz="4" w:space="0" w:color="auto"/>
              <w:right w:val="single" w:sz="4" w:space="0" w:color="auto"/>
            </w:tcBorders>
            <w:shd w:val="clear" w:color="auto" w:fill="auto"/>
            <w:noWrap/>
            <w:vAlign w:val="center"/>
            <w:hideMark/>
          </w:tcPr>
          <w:p w14:paraId="197E50E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2,076</w:t>
            </w:r>
          </w:p>
        </w:tc>
        <w:tc>
          <w:tcPr>
            <w:tcW w:w="920" w:type="dxa"/>
            <w:tcBorders>
              <w:top w:val="nil"/>
              <w:left w:val="nil"/>
              <w:bottom w:val="single" w:sz="4" w:space="0" w:color="auto"/>
              <w:right w:val="single" w:sz="4" w:space="0" w:color="auto"/>
            </w:tcBorders>
            <w:shd w:val="clear" w:color="auto" w:fill="auto"/>
            <w:noWrap/>
            <w:vAlign w:val="center"/>
            <w:hideMark/>
          </w:tcPr>
          <w:p w14:paraId="1DF2F65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4,131</w:t>
            </w:r>
          </w:p>
        </w:tc>
        <w:tc>
          <w:tcPr>
            <w:tcW w:w="920" w:type="dxa"/>
            <w:tcBorders>
              <w:top w:val="nil"/>
              <w:left w:val="nil"/>
              <w:bottom w:val="single" w:sz="4" w:space="0" w:color="auto"/>
              <w:right w:val="single" w:sz="4" w:space="0" w:color="auto"/>
            </w:tcBorders>
            <w:shd w:val="clear" w:color="auto" w:fill="auto"/>
            <w:noWrap/>
            <w:vAlign w:val="center"/>
            <w:hideMark/>
          </w:tcPr>
          <w:p w14:paraId="0CE1C745"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3,465</w:t>
            </w:r>
          </w:p>
        </w:tc>
        <w:tc>
          <w:tcPr>
            <w:tcW w:w="920" w:type="dxa"/>
            <w:tcBorders>
              <w:top w:val="nil"/>
              <w:left w:val="nil"/>
              <w:bottom w:val="single" w:sz="4" w:space="0" w:color="auto"/>
              <w:right w:val="single" w:sz="4" w:space="0" w:color="auto"/>
            </w:tcBorders>
            <w:shd w:val="clear" w:color="auto" w:fill="auto"/>
            <w:noWrap/>
            <w:vAlign w:val="center"/>
            <w:hideMark/>
          </w:tcPr>
          <w:p w14:paraId="4CA65D1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3,121</w:t>
            </w:r>
          </w:p>
        </w:tc>
        <w:tc>
          <w:tcPr>
            <w:tcW w:w="920" w:type="dxa"/>
            <w:tcBorders>
              <w:top w:val="nil"/>
              <w:left w:val="nil"/>
              <w:bottom w:val="single" w:sz="4" w:space="0" w:color="auto"/>
              <w:right w:val="single" w:sz="4" w:space="0" w:color="auto"/>
            </w:tcBorders>
            <w:shd w:val="clear" w:color="auto" w:fill="auto"/>
            <w:noWrap/>
            <w:vAlign w:val="center"/>
            <w:hideMark/>
          </w:tcPr>
          <w:p w14:paraId="254EDA1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10,747</w:t>
            </w:r>
          </w:p>
        </w:tc>
        <w:tc>
          <w:tcPr>
            <w:tcW w:w="920" w:type="dxa"/>
            <w:tcBorders>
              <w:top w:val="nil"/>
              <w:left w:val="nil"/>
              <w:bottom w:val="single" w:sz="4" w:space="0" w:color="auto"/>
              <w:right w:val="single" w:sz="4" w:space="0" w:color="auto"/>
            </w:tcBorders>
            <w:shd w:val="clear" w:color="auto" w:fill="auto"/>
            <w:noWrap/>
            <w:vAlign w:val="center"/>
            <w:hideMark/>
          </w:tcPr>
          <w:p w14:paraId="5D121CF7"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828</w:t>
            </w:r>
          </w:p>
        </w:tc>
        <w:tc>
          <w:tcPr>
            <w:tcW w:w="921" w:type="dxa"/>
            <w:tcBorders>
              <w:top w:val="nil"/>
              <w:left w:val="nil"/>
              <w:bottom w:val="single" w:sz="4" w:space="0" w:color="auto"/>
              <w:right w:val="single" w:sz="4" w:space="0" w:color="auto"/>
            </w:tcBorders>
            <w:shd w:val="clear" w:color="auto" w:fill="auto"/>
            <w:noWrap/>
            <w:vAlign w:val="center"/>
            <w:hideMark/>
          </w:tcPr>
          <w:p w14:paraId="1AEE23CC"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24,369</w:t>
            </w:r>
          </w:p>
        </w:tc>
      </w:tr>
      <w:tr w:rsidR="008428AF" w:rsidRPr="00AB625A" w14:paraId="300BA47C" w14:textId="77777777" w:rsidTr="00FE1263">
        <w:trPr>
          <w:trHeight w:val="3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9FDA03C"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Central Bayside Community Health Services Limited</w:t>
            </w:r>
          </w:p>
        </w:tc>
        <w:tc>
          <w:tcPr>
            <w:tcW w:w="920" w:type="dxa"/>
            <w:tcBorders>
              <w:top w:val="nil"/>
              <w:left w:val="nil"/>
              <w:bottom w:val="single" w:sz="4" w:space="0" w:color="auto"/>
              <w:right w:val="single" w:sz="4" w:space="0" w:color="auto"/>
            </w:tcBorders>
            <w:shd w:val="clear" w:color="auto" w:fill="auto"/>
            <w:noWrap/>
            <w:vAlign w:val="center"/>
            <w:hideMark/>
          </w:tcPr>
          <w:p w14:paraId="11F9226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1DAA5032"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211</w:t>
            </w:r>
          </w:p>
        </w:tc>
        <w:tc>
          <w:tcPr>
            <w:tcW w:w="920" w:type="dxa"/>
            <w:tcBorders>
              <w:top w:val="nil"/>
              <w:left w:val="nil"/>
              <w:bottom w:val="single" w:sz="4" w:space="0" w:color="auto"/>
              <w:right w:val="single" w:sz="4" w:space="0" w:color="auto"/>
            </w:tcBorders>
            <w:shd w:val="clear" w:color="auto" w:fill="auto"/>
            <w:noWrap/>
            <w:vAlign w:val="center"/>
            <w:hideMark/>
          </w:tcPr>
          <w:p w14:paraId="29D3422A"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289E2159"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55720FE0"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1,028</w:t>
            </w:r>
          </w:p>
        </w:tc>
        <w:tc>
          <w:tcPr>
            <w:tcW w:w="920" w:type="dxa"/>
            <w:tcBorders>
              <w:top w:val="nil"/>
              <w:left w:val="nil"/>
              <w:bottom w:val="single" w:sz="4" w:space="0" w:color="auto"/>
              <w:right w:val="single" w:sz="4" w:space="0" w:color="auto"/>
            </w:tcBorders>
            <w:shd w:val="clear" w:color="auto" w:fill="auto"/>
            <w:noWrap/>
            <w:vAlign w:val="center"/>
            <w:hideMark/>
          </w:tcPr>
          <w:p w14:paraId="13D7D53A"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5A1BC52C"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1,238</w:t>
            </w:r>
          </w:p>
        </w:tc>
        <w:tc>
          <w:tcPr>
            <w:tcW w:w="920" w:type="dxa"/>
            <w:tcBorders>
              <w:top w:val="nil"/>
              <w:left w:val="nil"/>
              <w:bottom w:val="single" w:sz="4" w:space="0" w:color="auto"/>
              <w:right w:val="single" w:sz="4" w:space="0" w:color="auto"/>
            </w:tcBorders>
            <w:shd w:val="clear" w:color="auto" w:fill="auto"/>
            <w:noWrap/>
            <w:vAlign w:val="center"/>
            <w:hideMark/>
          </w:tcPr>
          <w:p w14:paraId="7667FE2D"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0E8EF259"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1CF3E653"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53D7B526"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154D5916"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535F5225"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0ADF3547"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0 </w:t>
            </w:r>
          </w:p>
        </w:tc>
      </w:tr>
      <w:tr w:rsidR="008428AF" w:rsidRPr="00AB625A" w14:paraId="608051E2" w14:textId="77777777" w:rsidTr="00FE1263">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9B1EBA8"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Cohealth Limited</w:t>
            </w:r>
          </w:p>
        </w:tc>
        <w:tc>
          <w:tcPr>
            <w:tcW w:w="920" w:type="dxa"/>
            <w:tcBorders>
              <w:top w:val="nil"/>
              <w:left w:val="nil"/>
              <w:bottom w:val="single" w:sz="4" w:space="0" w:color="auto"/>
              <w:right w:val="single" w:sz="4" w:space="0" w:color="auto"/>
            </w:tcBorders>
            <w:shd w:val="clear" w:color="auto" w:fill="auto"/>
            <w:noWrap/>
            <w:vAlign w:val="center"/>
            <w:hideMark/>
          </w:tcPr>
          <w:p w14:paraId="49AA783A"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2BD32E00"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6,549</w:t>
            </w:r>
          </w:p>
        </w:tc>
        <w:tc>
          <w:tcPr>
            <w:tcW w:w="920" w:type="dxa"/>
            <w:tcBorders>
              <w:top w:val="nil"/>
              <w:left w:val="nil"/>
              <w:bottom w:val="single" w:sz="4" w:space="0" w:color="auto"/>
              <w:right w:val="single" w:sz="4" w:space="0" w:color="auto"/>
            </w:tcBorders>
            <w:shd w:val="clear" w:color="auto" w:fill="auto"/>
            <w:noWrap/>
            <w:vAlign w:val="center"/>
            <w:hideMark/>
          </w:tcPr>
          <w:p w14:paraId="5F98832D"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3,218</w:t>
            </w:r>
          </w:p>
        </w:tc>
        <w:tc>
          <w:tcPr>
            <w:tcW w:w="920" w:type="dxa"/>
            <w:tcBorders>
              <w:top w:val="nil"/>
              <w:left w:val="nil"/>
              <w:bottom w:val="single" w:sz="4" w:space="0" w:color="auto"/>
              <w:right w:val="single" w:sz="4" w:space="0" w:color="auto"/>
            </w:tcBorders>
            <w:shd w:val="clear" w:color="auto" w:fill="auto"/>
            <w:noWrap/>
            <w:vAlign w:val="center"/>
            <w:hideMark/>
          </w:tcPr>
          <w:p w14:paraId="78ED32A1"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10,824</w:t>
            </w:r>
          </w:p>
        </w:tc>
        <w:tc>
          <w:tcPr>
            <w:tcW w:w="920" w:type="dxa"/>
            <w:tcBorders>
              <w:top w:val="nil"/>
              <w:left w:val="nil"/>
              <w:bottom w:val="single" w:sz="4" w:space="0" w:color="auto"/>
              <w:right w:val="single" w:sz="4" w:space="0" w:color="auto"/>
            </w:tcBorders>
            <w:shd w:val="clear" w:color="auto" w:fill="auto"/>
            <w:noWrap/>
            <w:vAlign w:val="center"/>
            <w:hideMark/>
          </w:tcPr>
          <w:p w14:paraId="3EBC5029"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11,720</w:t>
            </w:r>
          </w:p>
        </w:tc>
        <w:tc>
          <w:tcPr>
            <w:tcW w:w="920" w:type="dxa"/>
            <w:tcBorders>
              <w:top w:val="nil"/>
              <w:left w:val="nil"/>
              <w:bottom w:val="single" w:sz="4" w:space="0" w:color="auto"/>
              <w:right w:val="single" w:sz="4" w:space="0" w:color="auto"/>
            </w:tcBorders>
            <w:shd w:val="clear" w:color="auto" w:fill="auto"/>
            <w:noWrap/>
            <w:vAlign w:val="center"/>
            <w:hideMark/>
          </w:tcPr>
          <w:p w14:paraId="595C1088"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134</w:t>
            </w:r>
          </w:p>
        </w:tc>
        <w:tc>
          <w:tcPr>
            <w:tcW w:w="921" w:type="dxa"/>
            <w:tcBorders>
              <w:top w:val="nil"/>
              <w:left w:val="nil"/>
              <w:bottom w:val="single" w:sz="4" w:space="0" w:color="auto"/>
              <w:right w:val="single" w:sz="4" w:space="0" w:color="auto"/>
            </w:tcBorders>
            <w:shd w:val="clear" w:color="auto" w:fill="auto"/>
            <w:noWrap/>
            <w:vAlign w:val="center"/>
            <w:hideMark/>
          </w:tcPr>
          <w:p w14:paraId="3BF310DE"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32,445</w:t>
            </w:r>
          </w:p>
        </w:tc>
        <w:tc>
          <w:tcPr>
            <w:tcW w:w="920" w:type="dxa"/>
            <w:tcBorders>
              <w:top w:val="nil"/>
              <w:left w:val="nil"/>
              <w:bottom w:val="single" w:sz="4" w:space="0" w:color="auto"/>
              <w:right w:val="single" w:sz="4" w:space="0" w:color="auto"/>
            </w:tcBorders>
            <w:shd w:val="clear" w:color="auto" w:fill="auto"/>
            <w:noWrap/>
            <w:vAlign w:val="center"/>
            <w:hideMark/>
          </w:tcPr>
          <w:p w14:paraId="76DAD7D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4497EA23"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6,928</w:t>
            </w:r>
          </w:p>
        </w:tc>
        <w:tc>
          <w:tcPr>
            <w:tcW w:w="920" w:type="dxa"/>
            <w:tcBorders>
              <w:top w:val="nil"/>
              <w:left w:val="nil"/>
              <w:bottom w:val="single" w:sz="4" w:space="0" w:color="auto"/>
              <w:right w:val="single" w:sz="4" w:space="0" w:color="auto"/>
            </w:tcBorders>
            <w:shd w:val="clear" w:color="auto" w:fill="auto"/>
            <w:noWrap/>
            <w:vAlign w:val="center"/>
            <w:hideMark/>
          </w:tcPr>
          <w:p w14:paraId="12FE2B0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3,324</w:t>
            </w:r>
          </w:p>
        </w:tc>
        <w:tc>
          <w:tcPr>
            <w:tcW w:w="920" w:type="dxa"/>
            <w:tcBorders>
              <w:top w:val="nil"/>
              <w:left w:val="nil"/>
              <w:bottom w:val="single" w:sz="4" w:space="0" w:color="auto"/>
              <w:right w:val="single" w:sz="4" w:space="0" w:color="auto"/>
            </w:tcBorders>
            <w:shd w:val="clear" w:color="auto" w:fill="auto"/>
            <w:noWrap/>
            <w:vAlign w:val="center"/>
            <w:hideMark/>
          </w:tcPr>
          <w:p w14:paraId="3BC5EECF"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16,459</w:t>
            </w:r>
          </w:p>
        </w:tc>
        <w:tc>
          <w:tcPr>
            <w:tcW w:w="920" w:type="dxa"/>
            <w:tcBorders>
              <w:top w:val="nil"/>
              <w:left w:val="nil"/>
              <w:bottom w:val="single" w:sz="4" w:space="0" w:color="auto"/>
              <w:right w:val="single" w:sz="4" w:space="0" w:color="auto"/>
            </w:tcBorders>
            <w:shd w:val="clear" w:color="auto" w:fill="auto"/>
            <w:noWrap/>
            <w:vAlign w:val="center"/>
            <w:hideMark/>
          </w:tcPr>
          <w:p w14:paraId="33673C50"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12,287</w:t>
            </w:r>
          </w:p>
        </w:tc>
        <w:tc>
          <w:tcPr>
            <w:tcW w:w="920" w:type="dxa"/>
            <w:tcBorders>
              <w:top w:val="nil"/>
              <w:left w:val="nil"/>
              <w:bottom w:val="single" w:sz="4" w:space="0" w:color="auto"/>
              <w:right w:val="single" w:sz="4" w:space="0" w:color="auto"/>
            </w:tcBorders>
            <w:shd w:val="clear" w:color="auto" w:fill="auto"/>
            <w:noWrap/>
            <w:vAlign w:val="center"/>
            <w:hideMark/>
          </w:tcPr>
          <w:p w14:paraId="1A819CF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138</w:t>
            </w:r>
          </w:p>
        </w:tc>
        <w:tc>
          <w:tcPr>
            <w:tcW w:w="921" w:type="dxa"/>
            <w:tcBorders>
              <w:top w:val="nil"/>
              <w:left w:val="nil"/>
              <w:bottom w:val="single" w:sz="4" w:space="0" w:color="auto"/>
              <w:right w:val="single" w:sz="4" w:space="0" w:color="auto"/>
            </w:tcBorders>
            <w:shd w:val="clear" w:color="auto" w:fill="auto"/>
            <w:noWrap/>
            <w:vAlign w:val="center"/>
            <w:hideMark/>
          </w:tcPr>
          <w:p w14:paraId="797033CE"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39,136</w:t>
            </w:r>
          </w:p>
        </w:tc>
      </w:tr>
      <w:tr w:rsidR="008428AF" w:rsidRPr="00AB625A" w14:paraId="67EF654E" w14:textId="77777777" w:rsidTr="00FE1263">
        <w:trPr>
          <w:trHeight w:val="3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5D2223E"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Darebin Community Health Service</w:t>
            </w:r>
          </w:p>
        </w:tc>
        <w:tc>
          <w:tcPr>
            <w:tcW w:w="920" w:type="dxa"/>
            <w:tcBorders>
              <w:top w:val="nil"/>
              <w:left w:val="nil"/>
              <w:bottom w:val="single" w:sz="4" w:space="0" w:color="auto"/>
              <w:right w:val="single" w:sz="4" w:space="0" w:color="auto"/>
            </w:tcBorders>
            <w:shd w:val="clear" w:color="auto" w:fill="auto"/>
            <w:noWrap/>
            <w:vAlign w:val="center"/>
            <w:hideMark/>
          </w:tcPr>
          <w:p w14:paraId="597887E1"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583</w:t>
            </w:r>
          </w:p>
        </w:tc>
        <w:tc>
          <w:tcPr>
            <w:tcW w:w="920" w:type="dxa"/>
            <w:tcBorders>
              <w:top w:val="nil"/>
              <w:left w:val="nil"/>
              <w:bottom w:val="single" w:sz="4" w:space="0" w:color="auto"/>
              <w:right w:val="single" w:sz="4" w:space="0" w:color="auto"/>
            </w:tcBorders>
            <w:shd w:val="clear" w:color="auto" w:fill="auto"/>
            <w:noWrap/>
            <w:vAlign w:val="center"/>
            <w:hideMark/>
          </w:tcPr>
          <w:p w14:paraId="00019709"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857</w:t>
            </w:r>
          </w:p>
        </w:tc>
        <w:tc>
          <w:tcPr>
            <w:tcW w:w="920" w:type="dxa"/>
            <w:tcBorders>
              <w:top w:val="nil"/>
              <w:left w:val="nil"/>
              <w:bottom w:val="single" w:sz="4" w:space="0" w:color="auto"/>
              <w:right w:val="single" w:sz="4" w:space="0" w:color="auto"/>
            </w:tcBorders>
            <w:shd w:val="clear" w:color="auto" w:fill="auto"/>
            <w:noWrap/>
            <w:vAlign w:val="center"/>
            <w:hideMark/>
          </w:tcPr>
          <w:p w14:paraId="580BF502"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576</w:t>
            </w:r>
          </w:p>
        </w:tc>
        <w:tc>
          <w:tcPr>
            <w:tcW w:w="920" w:type="dxa"/>
            <w:tcBorders>
              <w:top w:val="nil"/>
              <w:left w:val="nil"/>
              <w:bottom w:val="single" w:sz="4" w:space="0" w:color="auto"/>
              <w:right w:val="single" w:sz="4" w:space="0" w:color="auto"/>
            </w:tcBorders>
            <w:shd w:val="clear" w:color="auto" w:fill="auto"/>
            <w:noWrap/>
            <w:vAlign w:val="center"/>
            <w:hideMark/>
          </w:tcPr>
          <w:p w14:paraId="5DC3252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2275C95A"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5,957</w:t>
            </w:r>
          </w:p>
        </w:tc>
        <w:tc>
          <w:tcPr>
            <w:tcW w:w="920" w:type="dxa"/>
            <w:tcBorders>
              <w:top w:val="nil"/>
              <w:left w:val="nil"/>
              <w:bottom w:val="single" w:sz="4" w:space="0" w:color="auto"/>
              <w:right w:val="single" w:sz="4" w:space="0" w:color="auto"/>
            </w:tcBorders>
            <w:shd w:val="clear" w:color="auto" w:fill="auto"/>
            <w:noWrap/>
            <w:vAlign w:val="center"/>
            <w:hideMark/>
          </w:tcPr>
          <w:p w14:paraId="1BBA364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51C1C8B7"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7,972</w:t>
            </w:r>
          </w:p>
        </w:tc>
        <w:tc>
          <w:tcPr>
            <w:tcW w:w="920" w:type="dxa"/>
            <w:tcBorders>
              <w:top w:val="nil"/>
              <w:left w:val="nil"/>
              <w:bottom w:val="single" w:sz="4" w:space="0" w:color="auto"/>
              <w:right w:val="single" w:sz="4" w:space="0" w:color="auto"/>
            </w:tcBorders>
            <w:shd w:val="clear" w:color="auto" w:fill="auto"/>
            <w:noWrap/>
            <w:vAlign w:val="center"/>
            <w:hideMark/>
          </w:tcPr>
          <w:p w14:paraId="123DFCC9"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6F175880"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880</w:t>
            </w:r>
          </w:p>
        </w:tc>
        <w:tc>
          <w:tcPr>
            <w:tcW w:w="920" w:type="dxa"/>
            <w:tcBorders>
              <w:top w:val="nil"/>
              <w:left w:val="nil"/>
              <w:bottom w:val="single" w:sz="4" w:space="0" w:color="auto"/>
              <w:right w:val="single" w:sz="4" w:space="0" w:color="auto"/>
            </w:tcBorders>
            <w:shd w:val="clear" w:color="auto" w:fill="auto"/>
            <w:noWrap/>
            <w:vAlign w:val="center"/>
            <w:hideMark/>
          </w:tcPr>
          <w:p w14:paraId="6DAB0A27"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595</w:t>
            </w:r>
          </w:p>
        </w:tc>
        <w:tc>
          <w:tcPr>
            <w:tcW w:w="920" w:type="dxa"/>
            <w:tcBorders>
              <w:top w:val="nil"/>
              <w:left w:val="nil"/>
              <w:bottom w:val="single" w:sz="4" w:space="0" w:color="auto"/>
              <w:right w:val="single" w:sz="4" w:space="0" w:color="auto"/>
            </w:tcBorders>
            <w:shd w:val="clear" w:color="auto" w:fill="auto"/>
            <w:noWrap/>
            <w:vAlign w:val="center"/>
            <w:hideMark/>
          </w:tcPr>
          <w:p w14:paraId="55B16A7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124EFBAE"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6,131</w:t>
            </w:r>
          </w:p>
        </w:tc>
        <w:tc>
          <w:tcPr>
            <w:tcW w:w="920" w:type="dxa"/>
            <w:tcBorders>
              <w:top w:val="nil"/>
              <w:left w:val="nil"/>
              <w:bottom w:val="single" w:sz="4" w:space="0" w:color="auto"/>
              <w:right w:val="single" w:sz="4" w:space="0" w:color="auto"/>
            </w:tcBorders>
            <w:shd w:val="clear" w:color="auto" w:fill="auto"/>
            <w:noWrap/>
            <w:vAlign w:val="center"/>
            <w:hideMark/>
          </w:tcPr>
          <w:p w14:paraId="7B19F383"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2D9FD65C"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7,605</w:t>
            </w:r>
          </w:p>
        </w:tc>
      </w:tr>
      <w:tr w:rsidR="008428AF" w:rsidRPr="00AB625A" w14:paraId="48420EBB" w14:textId="77777777" w:rsidTr="00FE1263">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60E5207"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Dpv Health</w:t>
            </w:r>
          </w:p>
        </w:tc>
        <w:tc>
          <w:tcPr>
            <w:tcW w:w="920" w:type="dxa"/>
            <w:tcBorders>
              <w:top w:val="nil"/>
              <w:left w:val="nil"/>
              <w:bottom w:val="single" w:sz="4" w:space="0" w:color="auto"/>
              <w:right w:val="single" w:sz="4" w:space="0" w:color="auto"/>
            </w:tcBorders>
            <w:shd w:val="clear" w:color="auto" w:fill="auto"/>
            <w:noWrap/>
            <w:vAlign w:val="center"/>
            <w:hideMark/>
          </w:tcPr>
          <w:p w14:paraId="4E6DB793"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622864D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1,733</w:t>
            </w:r>
          </w:p>
        </w:tc>
        <w:tc>
          <w:tcPr>
            <w:tcW w:w="920" w:type="dxa"/>
            <w:tcBorders>
              <w:top w:val="nil"/>
              <w:left w:val="nil"/>
              <w:bottom w:val="single" w:sz="4" w:space="0" w:color="auto"/>
              <w:right w:val="single" w:sz="4" w:space="0" w:color="auto"/>
            </w:tcBorders>
            <w:shd w:val="clear" w:color="auto" w:fill="auto"/>
            <w:noWrap/>
            <w:vAlign w:val="center"/>
            <w:hideMark/>
          </w:tcPr>
          <w:p w14:paraId="42B21953"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458250F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w:t>
            </w:r>
          </w:p>
        </w:tc>
        <w:tc>
          <w:tcPr>
            <w:tcW w:w="920" w:type="dxa"/>
            <w:tcBorders>
              <w:top w:val="nil"/>
              <w:left w:val="nil"/>
              <w:bottom w:val="single" w:sz="4" w:space="0" w:color="auto"/>
              <w:right w:val="single" w:sz="4" w:space="0" w:color="auto"/>
            </w:tcBorders>
            <w:shd w:val="clear" w:color="auto" w:fill="auto"/>
            <w:noWrap/>
            <w:vAlign w:val="center"/>
            <w:hideMark/>
          </w:tcPr>
          <w:p w14:paraId="33698021"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10,371</w:t>
            </w:r>
          </w:p>
        </w:tc>
        <w:tc>
          <w:tcPr>
            <w:tcW w:w="920" w:type="dxa"/>
            <w:tcBorders>
              <w:top w:val="nil"/>
              <w:left w:val="nil"/>
              <w:bottom w:val="single" w:sz="4" w:space="0" w:color="auto"/>
              <w:right w:val="single" w:sz="4" w:space="0" w:color="auto"/>
            </w:tcBorders>
            <w:shd w:val="clear" w:color="auto" w:fill="auto"/>
            <w:noWrap/>
            <w:vAlign w:val="center"/>
            <w:hideMark/>
          </w:tcPr>
          <w:p w14:paraId="71654EBF"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568AF0A5"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12,106</w:t>
            </w:r>
          </w:p>
        </w:tc>
        <w:tc>
          <w:tcPr>
            <w:tcW w:w="920" w:type="dxa"/>
            <w:tcBorders>
              <w:top w:val="nil"/>
              <w:left w:val="nil"/>
              <w:bottom w:val="single" w:sz="4" w:space="0" w:color="auto"/>
              <w:right w:val="single" w:sz="4" w:space="0" w:color="auto"/>
            </w:tcBorders>
            <w:shd w:val="clear" w:color="auto" w:fill="auto"/>
            <w:noWrap/>
            <w:vAlign w:val="center"/>
            <w:hideMark/>
          </w:tcPr>
          <w:p w14:paraId="2B3EBC24"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20C46E86"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1,922</w:t>
            </w:r>
          </w:p>
        </w:tc>
        <w:tc>
          <w:tcPr>
            <w:tcW w:w="920" w:type="dxa"/>
            <w:tcBorders>
              <w:top w:val="nil"/>
              <w:left w:val="nil"/>
              <w:bottom w:val="single" w:sz="4" w:space="0" w:color="auto"/>
              <w:right w:val="single" w:sz="4" w:space="0" w:color="auto"/>
            </w:tcBorders>
            <w:shd w:val="clear" w:color="auto" w:fill="auto"/>
            <w:noWrap/>
            <w:vAlign w:val="center"/>
            <w:hideMark/>
          </w:tcPr>
          <w:p w14:paraId="2AD0BC0F"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24CB59D4"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w:t>
            </w:r>
          </w:p>
        </w:tc>
        <w:tc>
          <w:tcPr>
            <w:tcW w:w="920" w:type="dxa"/>
            <w:tcBorders>
              <w:top w:val="nil"/>
              <w:left w:val="nil"/>
              <w:bottom w:val="single" w:sz="4" w:space="0" w:color="auto"/>
              <w:right w:val="single" w:sz="4" w:space="0" w:color="auto"/>
            </w:tcBorders>
            <w:shd w:val="clear" w:color="auto" w:fill="auto"/>
            <w:noWrap/>
            <w:vAlign w:val="center"/>
            <w:hideMark/>
          </w:tcPr>
          <w:p w14:paraId="2841CD58"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10,906</w:t>
            </w:r>
          </w:p>
        </w:tc>
        <w:tc>
          <w:tcPr>
            <w:tcW w:w="920" w:type="dxa"/>
            <w:tcBorders>
              <w:top w:val="nil"/>
              <w:left w:val="nil"/>
              <w:bottom w:val="single" w:sz="4" w:space="0" w:color="auto"/>
              <w:right w:val="single" w:sz="4" w:space="0" w:color="auto"/>
            </w:tcBorders>
            <w:shd w:val="clear" w:color="auto" w:fill="auto"/>
            <w:noWrap/>
            <w:vAlign w:val="center"/>
            <w:hideMark/>
          </w:tcPr>
          <w:p w14:paraId="7F6F6CB3"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70AA1705"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12,830</w:t>
            </w:r>
          </w:p>
        </w:tc>
      </w:tr>
      <w:tr w:rsidR="008428AF" w:rsidRPr="00AB625A" w14:paraId="2C41A2D8" w14:textId="77777777" w:rsidTr="00FE1263">
        <w:trPr>
          <w:trHeight w:val="3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93BF5C6"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Eastern Access Community Health Inc</w:t>
            </w:r>
          </w:p>
        </w:tc>
        <w:tc>
          <w:tcPr>
            <w:tcW w:w="920" w:type="dxa"/>
            <w:tcBorders>
              <w:top w:val="nil"/>
              <w:left w:val="nil"/>
              <w:bottom w:val="single" w:sz="4" w:space="0" w:color="auto"/>
              <w:right w:val="single" w:sz="4" w:space="0" w:color="auto"/>
            </w:tcBorders>
            <w:shd w:val="clear" w:color="auto" w:fill="auto"/>
            <w:noWrap/>
            <w:vAlign w:val="center"/>
            <w:hideMark/>
          </w:tcPr>
          <w:p w14:paraId="7C507E99"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3715B356"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1,708</w:t>
            </w:r>
          </w:p>
        </w:tc>
        <w:tc>
          <w:tcPr>
            <w:tcW w:w="920" w:type="dxa"/>
            <w:tcBorders>
              <w:top w:val="nil"/>
              <w:left w:val="nil"/>
              <w:bottom w:val="single" w:sz="4" w:space="0" w:color="auto"/>
              <w:right w:val="single" w:sz="4" w:space="0" w:color="auto"/>
            </w:tcBorders>
            <w:shd w:val="clear" w:color="auto" w:fill="auto"/>
            <w:noWrap/>
            <w:vAlign w:val="center"/>
            <w:hideMark/>
          </w:tcPr>
          <w:p w14:paraId="568DB88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9,043</w:t>
            </w:r>
          </w:p>
        </w:tc>
        <w:tc>
          <w:tcPr>
            <w:tcW w:w="920" w:type="dxa"/>
            <w:tcBorders>
              <w:top w:val="nil"/>
              <w:left w:val="nil"/>
              <w:bottom w:val="single" w:sz="4" w:space="0" w:color="auto"/>
              <w:right w:val="single" w:sz="4" w:space="0" w:color="auto"/>
            </w:tcBorders>
            <w:shd w:val="clear" w:color="auto" w:fill="auto"/>
            <w:noWrap/>
            <w:vAlign w:val="center"/>
            <w:hideMark/>
          </w:tcPr>
          <w:p w14:paraId="15ED7F38"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3,501</w:t>
            </w:r>
          </w:p>
        </w:tc>
        <w:tc>
          <w:tcPr>
            <w:tcW w:w="920" w:type="dxa"/>
            <w:tcBorders>
              <w:top w:val="nil"/>
              <w:left w:val="nil"/>
              <w:bottom w:val="single" w:sz="4" w:space="0" w:color="auto"/>
              <w:right w:val="single" w:sz="4" w:space="0" w:color="auto"/>
            </w:tcBorders>
            <w:shd w:val="clear" w:color="auto" w:fill="auto"/>
            <w:noWrap/>
            <w:vAlign w:val="center"/>
            <w:hideMark/>
          </w:tcPr>
          <w:p w14:paraId="53364F33"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7,675</w:t>
            </w:r>
          </w:p>
        </w:tc>
        <w:tc>
          <w:tcPr>
            <w:tcW w:w="920" w:type="dxa"/>
            <w:tcBorders>
              <w:top w:val="nil"/>
              <w:left w:val="nil"/>
              <w:bottom w:val="single" w:sz="4" w:space="0" w:color="auto"/>
              <w:right w:val="single" w:sz="4" w:space="0" w:color="auto"/>
            </w:tcBorders>
            <w:shd w:val="clear" w:color="auto" w:fill="auto"/>
            <w:noWrap/>
            <w:vAlign w:val="center"/>
            <w:hideMark/>
          </w:tcPr>
          <w:p w14:paraId="658938C8"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5C544804"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21,928</w:t>
            </w:r>
          </w:p>
        </w:tc>
        <w:tc>
          <w:tcPr>
            <w:tcW w:w="920" w:type="dxa"/>
            <w:tcBorders>
              <w:top w:val="nil"/>
              <w:left w:val="nil"/>
              <w:bottom w:val="single" w:sz="4" w:space="0" w:color="auto"/>
              <w:right w:val="single" w:sz="4" w:space="0" w:color="auto"/>
            </w:tcBorders>
            <w:shd w:val="clear" w:color="auto" w:fill="auto"/>
            <w:noWrap/>
            <w:vAlign w:val="center"/>
            <w:hideMark/>
          </w:tcPr>
          <w:p w14:paraId="285BA8D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5F69A682"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1,755</w:t>
            </w:r>
          </w:p>
        </w:tc>
        <w:tc>
          <w:tcPr>
            <w:tcW w:w="920" w:type="dxa"/>
            <w:tcBorders>
              <w:top w:val="nil"/>
              <w:left w:val="nil"/>
              <w:bottom w:val="single" w:sz="4" w:space="0" w:color="auto"/>
              <w:right w:val="single" w:sz="4" w:space="0" w:color="auto"/>
            </w:tcBorders>
            <w:shd w:val="clear" w:color="auto" w:fill="auto"/>
            <w:noWrap/>
            <w:vAlign w:val="center"/>
            <w:hideMark/>
          </w:tcPr>
          <w:p w14:paraId="7325B7F8"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9,341</w:t>
            </w:r>
          </w:p>
        </w:tc>
        <w:tc>
          <w:tcPr>
            <w:tcW w:w="920" w:type="dxa"/>
            <w:tcBorders>
              <w:top w:val="nil"/>
              <w:left w:val="nil"/>
              <w:bottom w:val="single" w:sz="4" w:space="0" w:color="auto"/>
              <w:right w:val="single" w:sz="4" w:space="0" w:color="auto"/>
            </w:tcBorders>
            <w:shd w:val="clear" w:color="auto" w:fill="auto"/>
            <w:noWrap/>
            <w:vAlign w:val="center"/>
            <w:hideMark/>
          </w:tcPr>
          <w:p w14:paraId="090F90C5"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3,615</w:t>
            </w:r>
          </w:p>
        </w:tc>
        <w:tc>
          <w:tcPr>
            <w:tcW w:w="920" w:type="dxa"/>
            <w:tcBorders>
              <w:top w:val="nil"/>
              <w:left w:val="nil"/>
              <w:bottom w:val="single" w:sz="4" w:space="0" w:color="auto"/>
              <w:right w:val="single" w:sz="4" w:space="0" w:color="auto"/>
            </w:tcBorders>
            <w:shd w:val="clear" w:color="auto" w:fill="auto"/>
            <w:noWrap/>
            <w:vAlign w:val="center"/>
            <w:hideMark/>
          </w:tcPr>
          <w:p w14:paraId="353189C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7,789</w:t>
            </w:r>
          </w:p>
        </w:tc>
        <w:tc>
          <w:tcPr>
            <w:tcW w:w="920" w:type="dxa"/>
            <w:tcBorders>
              <w:top w:val="nil"/>
              <w:left w:val="nil"/>
              <w:bottom w:val="single" w:sz="4" w:space="0" w:color="auto"/>
              <w:right w:val="single" w:sz="4" w:space="0" w:color="auto"/>
            </w:tcBorders>
            <w:shd w:val="clear" w:color="auto" w:fill="auto"/>
            <w:noWrap/>
            <w:vAlign w:val="center"/>
            <w:hideMark/>
          </w:tcPr>
          <w:p w14:paraId="487FFB60"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70DB686A"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22,499</w:t>
            </w:r>
          </w:p>
        </w:tc>
      </w:tr>
      <w:tr w:rsidR="008428AF" w:rsidRPr="00AB625A" w14:paraId="1A76A7F3" w14:textId="77777777" w:rsidTr="00FE1263">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D110784"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Gateway Health Limited</w:t>
            </w:r>
          </w:p>
        </w:tc>
        <w:tc>
          <w:tcPr>
            <w:tcW w:w="920" w:type="dxa"/>
            <w:tcBorders>
              <w:top w:val="nil"/>
              <w:left w:val="nil"/>
              <w:bottom w:val="single" w:sz="4" w:space="0" w:color="auto"/>
              <w:right w:val="single" w:sz="4" w:space="0" w:color="auto"/>
            </w:tcBorders>
            <w:shd w:val="clear" w:color="auto" w:fill="auto"/>
            <w:noWrap/>
            <w:vAlign w:val="center"/>
            <w:hideMark/>
          </w:tcPr>
          <w:p w14:paraId="415A44FF"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3F15AFC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605</w:t>
            </w:r>
          </w:p>
        </w:tc>
        <w:tc>
          <w:tcPr>
            <w:tcW w:w="920" w:type="dxa"/>
            <w:tcBorders>
              <w:top w:val="nil"/>
              <w:left w:val="nil"/>
              <w:bottom w:val="single" w:sz="4" w:space="0" w:color="auto"/>
              <w:right w:val="single" w:sz="4" w:space="0" w:color="auto"/>
            </w:tcBorders>
            <w:shd w:val="clear" w:color="auto" w:fill="auto"/>
            <w:noWrap/>
            <w:vAlign w:val="center"/>
            <w:hideMark/>
          </w:tcPr>
          <w:p w14:paraId="3E05F1B0"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2,810</w:t>
            </w:r>
          </w:p>
        </w:tc>
        <w:tc>
          <w:tcPr>
            <w:tcW w:w="920" w:type="dxa"/>
            <w:tcBorders>
              <w:top w:val="nil"/>
              <w:left w:val="nil"/>
              <w:bottom w:val="single" w:sz="4" w:space="0" w:color="auto"/>
              <w:right w:val="single" w:sz="4" w:space="0" w:color="auto"/>
            </w:tcBorders>
            <w:shd w:val="clear" w:color="auto" w:fill="auto"/>
            <w:noWrap/>
            <w:vAlign w:val="center"/>
            <w:hideMark/>
          </w:tcPr>
          <w:p w14:paraId="0515B8D8"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938</w:t>
            </w:r>
          </w:p>
        </w:tc>
        <w:tc>
          <w:tcPr>
            <w:tcW w:w="920" w:type="dxa"/>
            <w:tcBorders>
              <w:top w:val="nil"/>
              <w:left w:val="nil"/>
              <w:bottom w:val="single" w:sz="4" w:space="0" w:color="auto"/>
              <w:right w:val="single" w:sz="4" w:space="0" w:color="auto"/>
            </w:tcBorders>
            <w:shd w:val="clear" w:color="auto" w:fill="auto"/>
            <w:noWrap/>
            <w:vAlign w:val="center"/>
            <w:hideMark/>
          </w:tcPr>
          <w:p w14:paraId="2D60EA05"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2,681</w:t>
            </w:r>
          </w:p>
        </w:tc>
        <w:tc>
          <w:tcPr>
            <w:tcW w:w="920" w:type="dxa"/>
            <w:tcBorders>
              <w:top w:val="nil"/>
              <w:left w:val="nil"/>
              <w:bottom w:val="single" w:sz="4" w:space="0" w:color="auto"/>
              <w:right w:val="single" w:sz="4" w:space="0" w:color="auto"/>
            </w:tcBorders>
            <w:shd w:val="clear" w:color="auto" w:fill="auto"/>
            <w:noWrap/>
            <w:vAlign w:val="center"/>
            <w:hideMark/>
          </w:tcPr>
          <w:p w14:paraId="79FE9A74"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210</w:t>
            </w:r>
          </w:p>
        </w:tc>
        <w:tc>
          <w:tcPr>
            <w:tcW w:w="921" w:type="dxa"/>
            <w:tcBorders>
              <w:top w:val="nil"/>
              <w:left w:val="nil"/>
              <w:bottom w:val="single" w:sz="4" w:space="0" w:color="auto"/>
              <w:right w:val="single" w:sz="4" w:space="0" w:color="auto"/>
            </w:tcBorders>
            <w:shd w:val="clear" w:color="auto" w:fill="auto"/>
            <w:noWrap/>
            <w:vAlign w:val="center"/>
            <w:hideMark/>
          </w:tcPr>
          <w:p w14:paraId="37784FC6"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7,244</w:t>
            </w:r>
          </w:p>
        </w:tc>
        <w:tc>
          <w:tcPr>
            <w:tcW w:w="920" w:type="dxa"/>
            <w:tcBorders>
              <w:top w:val="nil"/>
              <w:left w:val="nil"/>
              <w:bottom w:val="single" w:sz="4" w:space="0" w:color="auto"/>
              <w:right w:val="single" w:sz="4" w:space="0" w:color="auto"/>
            </w:tcBorders>
            <w:shd w:val="clear" w:color="auto" w:fill="auto"/>
            <w:noWrap/>
            <w:vAlign w:val="center"/>
            <w:hideMark/>
          </w:tcPr>
          <w:p w14:paraId="1D992DAF"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187A4262"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620</w:t>
            </w:r>
          </w:p>
        </w:tc>
        <w:tc>
          <w:tcPr>
            <w:tcW w:w="920" w:type="dxa"/>
            <w:tcBorders>
              <w:top w:val="nil"/>
              <w:left w:val="nil"/>
              <w:bottom w:val="single" w:sz="4" w:space="0" w:color="auto"/>
              <w:right w:val="single" w:sz="4" w:space="0" w:color="auto"/>
            </w:tcBorders>
            <w:shd w:val="clear" w:color="auto" w:fill="auto"/>
            <w:noWrap/>
            <w:vAlign w:val="center"/>
            <w:hideMark/>
          </w:tcPr>
          <w:p w14:paraId="255158B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2,902</w:t>
            </w:r>
          </w:p>
        </w:tc>
        <w:tc>
          <w:tcPr>
            <w:tcW w:w="920" w:type="dxa"/>
            <w:tcBorders>
              <w:top w:val="nil"/>
              <w:left w:val="nil"/>
              <w:bottom w:val="single" w:sz="4" w:space="0" w:color="auto"/>
              <w:right w:val="single" w:sz="4" w:space="0" w:color="auto"/>
            </w:tcBorders>
            <w:shd w:val="clear" w:color="auto" w:fill="auto"/>
            <w:noWrap/>
            <w:vAlign w:val="center"/>
            <w:hideMark/>
          </w:tcPr>
          <w:p w14:paraId="3CC5E170"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1,575</w:t>
            </w:r>
          </w:p>
        </w:tc>
        <w:tc>
          <w:tcPr>
            <w:tcW w:w="920" w:type="dxa"/>
            <w:tcBorders>
              <w:top w:val="nil"/>
              <w:left w:val="nil"/>
              <w:bottom w:val="single" w:sz="4" w:space="0" w:color="auto"/>
              <w:right w:val="single" w:sz="4" w:space="0" w:color="auto"/>
            </w:tcBorders>
            <w:shd w:val="clear" w:color="auto" w:fill="auto"/>
            <w:noWrap/>
            <w:vAlign w:val="center"/>
            <w:hideMark/>
          </w:tcPr>
          <w:p w14:paraId="0E6667E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2,966</w:t>
            </w:r>
          </w:p>
        </w:tc>
        <w:tc>
          <w:tcPr>
            <w:tcW w:w="920" w:type="dxa"/>
            <w:tcBorders>
              <w:top w:val="nil"/>
              <w:left w:val="nil"/>
              <w:bottom w:val="single" w:sz="4" w:space="0" w:color="auto"/>
              <w:right w:val="single" w:sz="4" w:space="0" w:color="auto"/>
            </w:tcBorders>
            <w:shd w:val="clear" w:color="auto" w:fill="auto"/>
            <w:noWrap/>
            <w:vAlign w:val="center"/>
            <w:hideMark/>
          </w:tcPr>
          <w:p w14:paraId="09AD813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217</w:t>
            </w:r>
          </w:p>
        </w:tc>
        <w:tc>
          <w:tcPr>
            <w:tcW w:w="921" w:type="dxa"/>
            <w:tcBorders>
              <w:top w:val="nil"/>
              <w:left w:val="nil"/>
              <w:bottom w:val="single" w:sz="4" w:space="0" w:color="auto"/>
              <w:right w:val="single" w:sz="4" w:space="0" w:color="auto"/>
            </w:tcBorders>
            <w:shd w:val="clear" w:color="auto" w:fill="auto"/>
            <w:noWrap/>
            <w:vAlign w:val="center"/>
            <w:hideMark/>
          </w:tcPr>
          <w:p w14:paraId="60438C9F"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8,280</w:t>
            </w:r>
          </w:p>
        </w:tc>
      </w:tr>
      <w:tr w:rsidR="008428AF" w:rsidRPr="00AB625A" w14:paraId="5D9A93AA" w14:textId="77777777" w:rsidTr="00FE1263">
        <w:trPr>
          <w:trHeight w:val="3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515D63D"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Gippsland Lakes Community Health</w:t>
            </w:r>
          </w:p>
        </w:tc>
        <w:tc>
          <w:tcPr>
            <w:tcW w:w="920" w:type="dxa"/>
            <w:tcBorders>
              <w:top w:val="nil"/>
              <w:left w:val="nil"/>
              <w:bottom w:val="single" w:sz="4" w:space="0" w:color="auto"/>
              <w:right w:val="single" w:sz="4" w:space="0" w:color="auto"/>
            </w:tcBorders>
            <w:shd w:val="clear" w:color="auto" w:fill="auto"/>
            <w:noWrap/>
            <w:vAlign w:val="center"/>
            <w:hideMark/>
          </w:tcPr>
          <w:p w14:paraId="41C8CE82"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614</w:t>
            </w:r>
          </w:p>
        </w:tc>
        <w:tc>
          <w:tcPr>
            <w:tcW w:w="920" w:type="dxa"/>
            <w:tcBorders>
              <w:top w:val="nil"/>
              <w:left w:val="nil"/>
              <w:bottom w:val="single" w:sz="4" w:space="0" w:color="auto"/>
              <w:right w:val="single" w:sz="4" w:space="0" w:color="auto"/>
            </w:tcBorders>
            <w:shd w:val="clear" w:color="auto" w:fill="auto"/>
            <w:noWrap/>
            <w:vAlign w:val="center"/>
            <w:hideMark/>
          </w:tcPr>
          <w:p w14:paraId="4FA71DBA"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577</w:t>
            </w:r>
          </w:p>
        </w:tc>
        <w:tc>
          <w:tcPr>
            <w:tcW w:w="920" w:type="dxa"/>
            <w:tcBorders>
              <w:top w:val="nil"/>
              <w:left w:val="nil"/>
              <w:bottom w:val="single" w:sz="4" w:space="0" w:color="auto"/>
              <w:right w:val="single" w:sz="4" w:space="0" w:color="auto"/>
            </w:tcBorders>
            <w:shd w:val="clear" w:color="auto" w:fill="auto"/>
            <w:noWrap/>
            <w:vAlign w:val="center"/>
            <w:hideMark/>
          </w:tcPr>
          <w:p w14:paraId="592C53DE"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326</w:t>
            </w:r>
          </w:p>
        </w:tc>
        <w:tc>
          <w:tcPr>
            <w:tcW w:w="920" w:type="dxa"/>
            <w:tcBorders>
              <w:top w:val="nil"/>
              <w:left w:val="nil"/>
              <w:bottom w:val="single" w:sz="4" w:space="0" w:color="auto"/>
              <w:right w:val="single" w:sz="4" w:space="0" w:color="auto"/>
            </w:tcBorders>
            <w:shd w:val="clear" w:color="auto" w:fill="auto"/>
            <w:noWrap/>
            <w:vAlign w:val="center"/>
            <w:hideMark/>
          </w:tcPr>
          <w:p w14:paraId="149A49B0"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39</w:t>
            </w:r>
          </w:p>
        </w:tc>
        <w:tc>
          <w:tcPr>
            <w:tcW w:w="920" w:type="dxa"/>
            <w:tcBorders>
              <w:top w:val="nil"/>
              <w:left w:val="nil"/>
              <w:bottom w:val="single" w:sz="4" w:space="0" w:color="auto"/>
              <w:right w:val="single" w:sz="4" w:space="0" w:color="auto"/>
            </w:tcBorders>
            <w:shd w:val="clear" w:color="auto" w:fill="auto"/>
            <w:noWrap/>
            <w:vAlign w:val="center"/>
            <w:hideMark/>
          </w:tcPr>
          <w:p w14:paraId="7E0996D6"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3,874</w:t>
            </w:r>
          </w:p>
        </w:tc>
        <w:tc>
          <w:tcPr>
            <w:tcW w:w="920" w:type="dxa"/>
            <w:tcBorders>
              <w:top w:val="nil"/>
              <w:left w:val="nil"/>
              <w:bottom w:val="single" w:sz="4" w:space="0" w:color="auto"/>
              <w:right w:val="single" w:sz="4" w:space="0" w:color="auto"/>
            </w:tcBorders>
            <w:shd w:val="clear" w:color="auto" w:fill="auto"/>
            <w:noWrap/>
            <w:vAlign w:val="center"/>
            <w:hideMark/>
          </w:tcPr>
          <w:p w14:paraId="50EC8EE5"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120</w:t>
            </w:r>
          </w:p>
        </w:tc>
        <w:tc>
          <w:tcPr>
            <w:tcW w:w="921" w:type="dxa"/>
            <w:tcBorders>
              <w:top w:val="nil"/>
              <w:left w:val="nil"/>
              <w:bottom w:val="single" w:sz="4" w:space="0" w:color="auto"/>
              <w:right w:val="single" w:sz="4" w:space="0" w:color="auto"/>
            </w:tcBorders>
            <w:shd w:val="clear" w:color="auto" w:fill="auto"/>
            <w:noWrap/>
            <w:vAlign w:val="center"/>
            <w:hideMark/>
          </w:tcPr>
          <w:p w14:paraId="1E32CA79"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5,551</w:t>
            </w:r>
          </w:p>
        </w:tc>
        <w:tc>
          <w:tcPr>
            <w:tcW w:w="920" w:type="dxa"/>
            <w:tcBorders>
              <w:top w:val="nil"/>
              <w:left w:val="nil"/>
              <w:bottom w:val="single" w:sz="4" w:space="0" w:color="auto"/>
              <w:right w:val="single" w:sz="4" w:space="0" w:color="auto"/>
            </w:tcBorders>
            <w:shd w:val="clear" w:color="auto" w:fill="auto"/>
            <w:noWrap/>
            <w:vAlign w:val="center"/>
            <w:hideMark/>
          </w:tcPr>
          <w:p w14:paraId="1D8E5149"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626</w:t>
            </w:r>
          </w:p>
        </w:tc>
        <w:tc>
          <w:tcPr>
            <w:tcW w:w="920" w:type="dxa"/>
            <w:tcBorders>
              <w:top w:val="nil"/>
              <w:left w:val="nil"/>
              <w:bottom w:val="single" w:sz="4" w:space="0" w:color="auto"/>
              <w:right w:val="single" w:sz="4" w:space="0" w:color="auto"/>
            </w:tcBorders>
            <w:shd w:val="clear" w:color="auto" w:fill="auto"/>
            <w:noWrap/>
            <w:vAlign w:val="center"/>
            <w:hideMark/>
          </w:tcPr>
          <w:p w14:paraId="77D12260"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591</w:t>
            </w:r>
          </w:p>
        </w:tc>
        <w:tc>
          <w:tcPr>
            <w:tcW w:w="920" w:type="dxa"/>
            <w:tcBorders>
              <w:top w:val="nil"/>
              <w:left w:val="nil"/>
              <w:bottom w:val="single" w:sz="4" w:space="0" w:color="auto"/>
              <w:right w:val="single" w:sz="4" w:space="0" w:color="auto"/>
            </w:tcBorders>
            <w:shd w:val="clear" w:color="auto" w:fill="auto"/>
            <w:noWrap/>
            <w:vAlign w:val="center"/>
            <w:hideMark/>
          </w:tcPr>
          <w:p w14:paraId="2D20BA4E"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337</w:t>
            </w:r>
          </w:p>
        </w:tc>
        <w:tc>
          <w:tcPr>
            <w:tcW w:w="920" w:type="dxa"/>
            <w:tcBorders>
              <w:top w:val="nil"/>
              <w:left w:val="nil"/>
              <w:bottom w:val="single" w:sz="4" w:space="0" w:color="auto"/>
              <w:right w:val="single" w:sz="4" w:space="0" w:color="auto"/>
            </w:tcBorders>
            <w:shd w:val="clear" w:color="auto" w:fill="auto"/>
            <w:noWrap/>
            <w:vAlign w:val="center"/>
            <w:hideMark/>
          </w:tcPr>
          <w:p w14:paraId="5B981EDF"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96</w:t>
            </w:r>
          </w:p>
        </w:tc>
        <w:tc>
          <w:tcPr>
            <w:tcW w:w="920" w:type="dxa"/>
            <w:tcBorders>
              <w:top w:val="nil"/>
              <w:left w:val="nil"/>
              <w:bottom w:val="single" w:sz="4" w:space="0" w:color="auto"/>
              <w:right w:val="single" w:sz="4" w:space="0" w:color="auto"/>
            </w:tcBorders>
            <w:shd w:val="clear" w:color="auto" w:fill="auto"/>
            <w:noWrap/>
            <w:vAlign w:val="center"/>
            <w:hideMark/>
          </w:tcPr>
          <w:p w14:paraId="75E5375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4,218</w:t>
            </w:r>
          </w:p>
        </w:tc>
        <w:tc>
          <w:tcPr>
            <w:tcW w:w="920" w:type="dxa"/>
            <w:tcBorders>
              <w:top w:val="nil"/>
              <w:left w:val="nil"/>
              <w:bottom w:val="single" w:sz="4" w:space="0" w:color="auto"/>
              <w:right w:val="single" w:sz="4" w:space="0" w:color="auto"/>
            </w:tcBorders>
            <w:shd w:val="clear" w:color="auto" w:fill="auto"/>
            <w:noWrap/>
            <w:vAlign w:val="center"/>
            <w:hideMark/>
          </w:tcPr>
          <w:p w14:paraId="7589C944"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186</w:t>
            </w:r>
          </w:p>
        </w:tc>
        <w:tc>
          <w:tcPr>
            <w:tcW w:w="921" w:type="dxa"/>
            <w:tcBorders>
              <w:top w:val="nil"/>
              <w:left w:val="nil"/>
              <w:bottom w:val="single" w:sz="4" w:space="0" w:color="auto"/>
              <w:right w:val="single" w:sz="4" w:space="0" w:color="auto"/>
            </w:tcBorders>
            <w:shd w:val="clear" w:color="auto" w:fill="auto"/>
            <w:noWrap/>
            <w:vAlign w:val="center"/>
            <w:hideMark/>
          </w:tcPr>
          <w:p w14:paraId="41FB37DB"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6,054</w:t>
            </w:r>
          </w:p>
        </w:tc>
      </w:tr>
      <w:tr w:rsidR="008428AF" w:rsidRPr="00AB625A" w14:paraId="4E2B3704" w14:textId="77777777" w:rsidTr="00FE1263">
        <w:trPr>
          <w:trHeight w:val="3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E1FC910"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Grampians Community Health</w:t>
            </w:r>
          </w:p>
        </w:tc>
        <w:tc>
          <w:tcPr>
            <w:tcW w:w="920" w:type="dxa"/>
            <w:tcBorders>
              <w:top w:val="nil"/>
              <w:left w:val="nil"/>
              <w:bottom w:val="single" w:sz="4" w:space="0" w:color="auto"/>
              <w:right w:val="single" w:sz="4" w:space="0" w:color="auto"/>
            </w:tcBorders>
            <w:shd w:val="clear" w:color="auto" w:fill="auto"/>
            <w:noWrap/>
            <w:vAlign w:val="center"/>
            <w:hideMark/>
          </w:tcPr>
          <w:p w14:paraId="7471184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31BDD8E7"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546</w:t>
            </w:r>
          </w:p>
        </w:tc>
        <w:tc>
          <w:tcPr>
            <w:tcW w:w="920" w:type="dxa"/>
            <w:tcBorders>
              <w:top w:val="nil"/>
              <w:left w:val="nil"/>
              <w:bottom w:val="single" w:sz="4" w:space="0" w:color="auto"/>
              <w:right w:val="single" w:sz="4" w:space="0" w:color="auto"/>
            </w:tcBorders>
            <w:shd w:val="clear" w:color="auto" w:fill="auto"/>
            <w:noWrap/>
            <w:vAlign w:val="center"/>
            <w:hideMark/>
          </w:tcPr>
          <w:p w14:paraId="5B36DFDF"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283</w:t>
            </w:r>
          </w:p>
        </w:tc>
        <w:tc>
          <w:tcPr>
            <w:tcW w:w="920" w:type="dxa"/>
            <w:tcBorders>
              <w:top w:val="nil"/>
              <w:left w:val="nil"/>
              <w:bottom w:val="single" w:sz="4" w:space="0" w:color="auto"/>
              <w:right w:val="single" w:sz="4" w:space="0" w:color="auto"/>
            </w:tcBorders>
            <w:shd w:val="clear" w:color="auto" w:fill="auto"/>
            <w:noWrap/>
            <w:vAlign w:val="center"/>
            <w:hideMark/>
          </w:tcPr>
          <w:p w14:paraId="63375290"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90</w:t>
            </w:r>
          </w:p>
        </w:tc>
        <w:tc>
          <w:tcPr>
            <w:tcW w:w="920" w:type="dxa"/>
            <w:tcBorders>
              <w:top w:val="nil"/>
              <w:left w:val="nil"/>
              <w:bottom w:val="single" w:sz="4" w:space="0" w:color="auto"/>
              <w:right w:val="single" w:sz="4" w:space="0" w:color="auto"/>
            </w:tcBorders>
            <w:shd w:val="clear" w:color="auto" w:fill="auto"/>
            <w:noWrap/>
            <w:vAlign w:val="center"/>
            <w:hideMark/>
          </w:tcPr>
          <w:p w14:paraId="5C67555F"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1,010</w:t>
            </w:r>
          </w:p>
        </w:tc>
        <w:tc>
          <w:tcPr>
            <w:tcW w:w="920" w:type="dxa"/>
            <w:tcBorders>
              <w:top w:val="nil"/>
              <w:left w:val="nil"/>
              <w:bottom w:val="single" w:sz="4" w:space="0" w:color="auto"/>
              <w:right w:val="single" w:sz="4" w:space="0" w:color="auto"/>
            </w:tcBorders>
            <w:shd w:val="clear" w:color="auto" w:fill="auto"/>
            <w:noWrap/>
            <w:vAlign w:val="center"/>
            <w:hideMark/>
          </w:tcPr>
          <w:p w14:paraId="03430F68"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3EB2BFDB"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1,928</w:t>
            </w:r>
          </w:p>
        </w:tc>
        <w:tc>
          <w:tcPr>
            <w:tcW w:w="920" w:type="dxa"/>
            <w:tcBorders>
              <w:top w:val="nil"/>
              <w:left w:val="nil"/>
              <w:bottom w:val="single" w:sz="4" w:space="0" w:color="auto"/>
              <w:right w:val="single" w:sz="4" w:space="0" w:color="auto"/>
            </w:tcBorders>
            <w:shd w:val="clear" w:color="auto" w:fill="auto"/>
            <w:noWrap/>
            <w:vAlign w:val="center"/>
            <w:hideMark/>
          </w:tcPr>
          <w:p w14:paraId="6A76FB71"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71990872"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559</w:t>
            </w:r>
          </w:p>
        </w:tc>
        <w:tc>
          <w:tcPr>
            <w:tcW w:w="920" w:type="dxa"/>
            <w:tcBorders>
              <w:top w:val="nil"/>
              <w:left w:val="nil"/>
              <w:bottom w:val="single" w:sz="4" w:space="0" w:color="auto"/>
              <w:right w:val="single" w:sz="4" w:space="0" w:color="auto"/>
            </w:tcBorders>
            <w:shd w:val="clear" w:color="auto" w:fill="auto"/>
            <w:noWrap/>
            <w:vAlign w:val="center"/>
            <w:hideMark/>
          </w:tcPr>
          <w:p w14:paraId="16E5FAE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292</w:t>
            </w:r>
          </w:p>
        </w:tc>
        <w:tc>
          <w:tcPr>
            <w:tcW w:w="920" w:type="dxa"/>
            <w:tcBorders>
              <w:top w:val="nil"/>
              <w:left w:val="nil"/>
              <w:bottom w:val="single" w:sz="4" w:space="0" w:color="auto"/>
              <w:right w:val="single" w:sz="4" w:space="0" w:color="auto"/>
            </w:tcBorders>
            <w:shd w:val="clear" w:color="auto" w:fill="auto"/>
            <w:noWrap/>
            <w:vAlign w:val="center"/>
            <w:hideMark/>
          </w:tcPr>
          <w:p w14:paraId="0FD7ECCE"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93</w:t>
            </w:r>
          </w:p>
        </w:tc>
        <w:tc>
          <w:tcPr>
            <w:tcW w:w="920" w:type="dxa"/>
            <w:tcBorders>
              <w:top w:val="nil"/>
              <w:left w:val="nil"/>
              <w:bottom w:val="single" w:sz="4" w:space="0" w:color="auto"/>
              <w:right w:val="single" w:sz="4" w:space="0" w:color="auto"/>
            </w:tcBorders>
            <w:shd w:val="clear" w:color="auto" w:fill="auto"/>
            <w:noWrap/>
            <w:vAlign w:val="center"/>
            <w:hideMark/>
          </w:tcPr>
          <w:p w14:paraId="69A44FB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1,058</w:t>
            </w:r>
          </w:p>
        </w:tc>
        <w:tc>
          <w:tcPr>
            <w:tcW w:w="920" w:type="dxa"/>
            <w:tcBorders>
              <w:top w:val="nil"/>
              <w:left w:val="nil"/>
              <w:bottom w:val="single" w:sz="4" w:space="0" w:color="auto"/>
              <w:right w:val="single" w:sz="4" w:space="0" w:color="auto"/>
            </w:tcBorders>
            <w:shd w:val="clear" w:color="auto" w:fill="auto"/>
            <w:noWrap/>
            <w:vAlign w:val="center"/>
            <w:hideMark/>
          </w:tcPr>
          <w:p w14:paraId="5F93C247"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4290F59C"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2,002</w:t>
            </w:r>
          </w:p>
        </w:tc>
      </w:tr>
      <w:tr w:rsidR="008428AF" w:rsidRPr="00AB625A" w14:paraId="46FB1E2D" w14:textId="77777777" w:rsidTr="00FE1263">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AEA6A05"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Ipc Health</w:t>
            </w:r>
          </w:p>
        </w:tc>
        <w:tc>
          <w:tcPr>
            <w:tcW w:w="920" w:type="dxa"/>
            <w:tcBorders>
              <w:top w:val="nil"/>
              <w:left w:val="nil"/>
              <w:bottom w:val="single" w:sz="4" w:space="0" w:color="auto"/>
              <w:right w:val="single" w:sz="4" w:space="0" w:color="auto"/>
            </w:tcBorders>
            <w:shd w:val="clear" w:color="auto" w:fill="auto"/>
            <w:noWrap/>
            <w:vAlign w:val="center"/>
            <w:hideMark/>
          </w:tcPr>
          <w:p w14:paraId="3DF22C4A"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0E99F112"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3,343</w:t>
            </w:r>
          </w:p>
        </w:tc>
        <w:tc>
          <w:tcPr>
            <w:tcW w:w="920" w:type="dxa"/>
            <w:tcBorders>
              <w:top w:val="nil"/>
              <w:left w:val="nil"/>
              <w:bottom w:val="single" w:sz="4" w:space="0" w:color="auto"/>
              <w:right w:val="single" w:sz="4" w:space="0" w:color="auto"/>
            </w:tcBorders>
            <w:shd w:val="clear" w:color="auto" w:fill="auto"/>
            <w:noWrap/>
            <w:vAlign w:val="center"/>
            <w:hideMark/>
          </w:tcPr>
          <w:p w14:paraId="42C1FF61"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276EFCCA"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67E48EF9"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12,438</w:t>
            </w:r>
          </w:p>
        </w:tc>
        <w:tc>
          <w:tcPr>
            <w:tcW w:w="920" w:type="dxa"/>
            <w:tcBorders>
              <w:top w:val="nil"/>
              <w:left w:val="nil"/>
              <w:bottom w:val="single" w:sz="4" w:space="0" w:color="auto"/>
              <w:right w:val="single" w:sz="4" w:space="0" w:color="auto"/>
            </w:tcBorders>
            <w:shd w:val="clear" w:color="auto" w:fill="auto"/>
            <w:noWrap/>
            <w:vAlign w:val="center"/>
            <w:hideMark/>
          </w:tcPr>
          <w:p w14:paraId="464DCC22"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319D20D9"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15,781</w:t>
            </w:r>
          </w:p>
        </w:tc>
        <w:tc>
          <w:tcPr>
            <w:tcW w:w="920" w:type="dxa"/>
            <w:tcBorders>
              <w:top w:val="nil"/>
              <w:left w:val="nil"/>
              <w:bottom w:val="single" w:sz="4" w:space="0" w:color="auto"/>
              <w:right w:val="single" w:sz="4" w:space="0" w:color="auto"/>
            </w:tcBorders>
            <w:shd w:val="clear" w:color="auto" w:fill="auto"/>
            <w:noWrap/>
            <w:vAlign w:val="center"/>
            <w:hideMark/>
          </w:tcPr>
          <w:p w14:paraId="7401FF45"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0BAADD20"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3,764</w:t>
            </w:r>
          </w:p>
        </w:tc>
        <w:tc>
          <w:tcPr>
            <w:tcW w:w="920" w:type="dxa"/>
            <w:tcBorders>
              <w:top w:val="nil"/>
              <w:left w:val="nil"/>
              <w:bottom w:val="single" w:sz="4" w:space="0" w:color="auto"/>
              <w:right w:val="single" w:sz="4" w:space="0" w:color="auto"/>
            </w:tcBorders>
            <w:shd w:val="clear" w:color="auto" w:fill="auto"/>
            <w:noWrap/>
            <w:vAlign w:val="center"/>
            <w:hideMark/>
          </w:tcPr>
          <w:p w14:paraId="34F1CD32"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3B59D653"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007FFBD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12,939</w:t>
            </w:r>
          </w:p>
        </w:tc>
        <w:tc>
          <w:tcPr>
            <w:tcW w:w="920" w:type="dxa"/>
            <w:tcBorders>
              <w:top w:val="nil"/>
              <w:left w:val="nil"/>
              <w:bottom w:val="single" w:sz="4" w:space="0" w:color="auto"/>
              <w:right w:val="single" w:sz="4" w:space="0" w:color="auto"/>
            </w:tcBorders>
            <w:shd w:val="clear" w:color="auto" w:fill="auto"/>
            <w:noWrap/>
            <w:vAlign w:val="center"/>
            <w:hideMark/>
          </w:tcPr>
          <w:p w14:paraId="48EDC1E5"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64345704"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16,703</w:t>
            </w:r>
          </w:p>
        </w:tc>
      </w:tr>
      <w:tr w:rsidR="008428AF" w:rsidRPr="00AB625A" w14:paraId="0C3F69F6" w14:textId="77777777" w:rsidTr="00FE1263">
        <w:trPr>
          <w:trHeight w:val="3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AC18981"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Latrobe Community Health Service Limited</w:t>
            </w:r>
          </w:p>
        </w:tc>
        <w:tc>
          <w:tcPr>
            <w:tcW w:w="920" w:type="dxa"/>
            <w:tcBorders>
              <w:top w:val="nil"/>
              <w:left w:val="nil"/>
              <w:bottom w:val="single" w:sz="4" w:space="0" w:color="auto"/>
              <w:right w:val="single" w:sz="4" w:space="0" w:color="auto"/>
            </w:tcBorders>
            <w:shd w:val="clear" w:color="auto" w:fill="auto"/>
            <w:noWrap/>
            <w:vAlign w:val="center"/>
            <w:hideMark/>
          </w:tcPr>
          <w:p w14:paraId="5DC4D594"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1,634</w:t>
            </w:r>
          </w:p>
        </w:tc>
        <w:tc>
          <w:tcPr>
            <w:tcW w:w="920" w:type="dxa"/>
            <w:tcBorders>
              <w:top w:val="nil"/>
              <w:left w:val="nil"/>
              <w:bottom w:val="single" w:sz="4" w:space="0" w:color="auto"/>
              <w:right w:val="single" w:sz="4" w:space="0" w:color="auto"/>
            </w:tcBorders>
            <w:shd w:val="clear" w:color="auto" w:fill="auto"/>
            <w:noWrap/>
            <w:vAlign w:val="center"/>
            <w:hideMark/>
          </w:tcPr>
          <w:p w14:paraId="6342860D"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3,413</w:t>
            </w:r>
          </w:p>
        </w:tc>
        <w:tc>
          <w:tcPr>
            <w:tcW w:w="920" w:type="dxa"/>
            <w:tcBorders>
              <w:top w:val="nil"/>
              <w:left w:val="nil"/>
              <w:bottom w:val="single" w:sz="4" w:space="0" w:color="auto"/>
              <w:right w:val="single" w:sz="4" w:space="0" w:color="auto"/>
            </w:tcBorders>
            <w:shd w:val="clear" w:color="auto" w:fill="auto"/>
            <w:noWrap/>
            <w:vAlign w:val="center"/>
            <w:hideMark/>
          </w:tcPr>
          <w:p w14:paraId="0A1D8129"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6,305</w:t>
            </w:r>
          </w:p>
        </w:tc>
        <w:tc>
          <w:tcPr>
            <w:tcW w:w="920" w:type="dxa"/>
            <w:tcBorders>
              <w:top w:val="nil"/>
              <w:left w:val="nil"/>
              <w:bottom w:val="single" w:sz="4" w:space="0" w:color="auto"/>
              <w:right w:val="single" w:sz="4" w:space="0" w:color="auto"/>
            </w:tcBorders>
            <w:shd w:val="clear" w:color="auto" w:fill="auto"/>
            <w:noWrap/>
            <w:vAlign w:val="center"/>
            <w:hideMark/>
          </w:tcPr>
          <w:p w14:paraId="28F0AC9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857</w:t>
            </w:r>
          </w:p>
        </w:tc>
        <w:tc>
          <w:tcPr>
            <w:tcW w:w="920" w:type="dxa"/>
            <w:tcBorders>
              <w:top w:val="nil"/>
              <w:left w:val="nil"/>
              <w:bottom w:val="single" w:sz="4" w:space="0" w:color="auto"/>
              <w:right w:val="single" w:sz="4" w:space="0" w:color="auto"/>
            </w:tcBorders>
            <w:shd w:val="clear" w:color="auto" w:fill="auto"/>
            <w:noWrap/>
            <w:vAlign w:val="center"/>
            <w:hideMark/>
          </w:tcPr>
          <w:p w14:paraId="341A7E51"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8,455</w:t>
            </w:r>
          </w:p>
        </w:tc>
        <w:tc>
          <w:tcPr>
            <w:tcW w:w="920" w:type="dxa"/>
            <w:tcBorders>
              <w:top w:val="nil"/>
              <w:left w:val="nil"/>
              <w:bottom w:val="single" w:sz="4" w:space="0" w:color="auto"/>
              <w:right w:val="single" w:sz="4" w:space="0" w:color="auto"/>
            </w:tcBorders>
            <w:shd w:val="clear" w:color="auto" w:fill="auto"/>
            <w:noWrap/>
            <w:vAlign w:val="center"/>
            <w:hideMark/>
          </w:tcPr>
          <w:p w14:paraId="776CB241"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1FFF56BC"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20,664</w:t>
            </w:r>
          </w:p>
        </w:tc>
        <w:tc>
          <w:tcPr>
            <w:tcW w:w="920" w:type="dxa"/>
            <w:tcBorders>
              <w:top w:val="nil"/>
              <w:left w:val="nil"/>
              <w:bottom w:val="single" w:sz="4" w:space="0" w:color="auto"/>
              <w:right w:val="single" w:sz="4" w:space="0" w:color="auto"/>
            </w:tcBorders>
            <w:shd w:val="clear" w:color="auto" w:fill="auto"/>
            <w:noWrap/>
            <w:vAlign w:val="center"/>
            <w:hideMark/>
          </w:tcPr>
          <w:p w14:paraId="21AF2C29"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1,670</w:t>
            </w:r>
          </w:p>
        </w:tc>
        <w:tc>
          <w:tcPr>
            <w:tcW w:w="920" w:type="dxa"/>
            <w:tcBorders>
              <w:top w:val="nil"/>
              <w:left w:val="nil"/>
              <w:bottom w:val="single" w:sz="4" w:space="0" w:color="auto"/>
              <w:right w:val="single" w:sz="4" w:space="0" w:color="auto"/>
            </w:tcBorders>
            <w:shd w:val="clear" w:color="auto" w:fill="auto"/>
            <w:noWrap/>
            <w:vAlign w:val="center"/>
            <w:hideMark/>
          </w:tcPr>
          <w:p w14:paraId="583DEDC5"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3,665</w:t>
            </w:r>
          </w:p>
        </w:tc>
        <w:tc>
          <w:tcPr>
            <w:tcW w:w="920" w:type="dxa"/>
            <w:tcBorders>
              <w:top w:val="nil"/>
              <w:left w:val="nil"/>
              <w:bottom w:val="single" w:sz="4" w:space="0" w:color="auto"/>
              <w:right w:val="single" w:sz="4" w:space="0" w:color="auto"/>
            </w:tcBorders>
            <w:shd w:val="clear" w:color="auto" w:fill="auto"/>
            <w:noWrap/>
            <w:vAlign w:val="center"/>
            <w:hideMark/>
          </w:tcPr>
          <w:p w14:paraId="5AD78657"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6,479</w:t>
            </w:r>
          </w:p>
        </w:tc>
        <w:tc>
          <w:tcPr>
            <w:tcW w:w="920" w:type="dxa"/>
            <w:tcBorders>
              <w:top w:val="nil"/>
              <w:left w:val="nil"/>
              <w:bottom w:val="single" w:sz="4" w:space="0" w:color="auto"/>
              <w:right w:val="single" w:sz="4" w:space="0" w:color="auto"/>
            </w:tcBorders>
            <w:shd w:val="clear" w:color="auto" w:fill="auto"/>
            <w:noWrap/>
            <w:vAlign w:val="center"/>
            <w:hideMark/>
          </w:tcPr>
          <w:p w14:paraId="1949A767"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935</w:t>
            </w:r>
          </w:p>
        </w:tc>
        <w:tc>
          <w:tcPr>
            <w:tcW w:w="920" w:type="dxa"/>
            <w:tcBorders>
              <w:top w:val="nil"/>
              <w:left w:val="nil"/>
              <w:bottom w:val="single" w:sz="4" w:space="0" w:color="auto"/>
              <w:right w:val="single" w:sz="4" w:space="0" w:color="auto"/>
            </w:tcBorders>
            <w:shd w:val="clear" w:color="auto" w:fill="auto"/>
            <w:noWrap/>
            <w:vAlign w:val="center"/>
            <w:hideMark/>
          </w:tcPr>
          <w:p w14:paraId="39A7CE32"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8,850</w:t>
            </w:r>
          </w:p>
        </w:tc>
        <w:tc>
          <w:tcPr>
            <w:tcW w:w="920" w:type="dxa"/>
            <w:tcBorders>
              <w:top w:val="nil"/>
              <w:left w:val="nil"/>
              <w:bottom w:val="single" w:sz="4" w:space="0" w:color="auto"/>
              <w:right w:val="single" w:sz="4" w:space="0" w:color="auto"/>
            </w:tcBorders>
            <w:shd w:val="clear" w:color="auto" w:fill="auto"/>
            <w:noWrap/>
            <w:vAlign w:val="center"/>
            <w:hideMark/>
          </w:tcPr>
          <w:p w14:paraId="759E1B58"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4D8BEE3D"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21,599</w:t>
            </w:r>
          </w:p>
        </w:tc>
      </w:tr>
      <w:tr w:rsidR="008428AF" w:rsidRPr="00AB625A" w14:paraId="6B8594DA" w14:textId="77777777" w:rsidTr="00FE1263">
        <w:trPr>
          <w:trHeight w:val="3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7D0C700"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Merri Community Health Services Limited</w:t>
            </w:r>
          </w:p>
        </w:tc>
        <w:tc>
          <w:tcPr>
            <w:tcW w:w="920" w:type="dxa"/>
            <w:tcBorders>
              <w:top w:val="nil"/>
              <w:left w:val="nil"/>
              <w:bottom w:val="single" w:sz="4" w:space="0" w:color="auto"/>
              <w:right w:val="single" w:sz="4" w:space="0" w:color="auto"/>
            </w:tcBorders>
            <w:shd w:val="clear" w:color="auto" w:fill="auto"/>
            <w:noWrap/>
            <w:vAlign w:val="center"/>
            <w:hideMark/>
          </w:tcPr>
          <w:p w14:paraId="1F6F3387"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08188482"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1,543</w:t>
            </w:r>
          </w:p>
        </w:tc>
        <w:tc>
          <w:tcPr>
            <w:tcW w:w="920" w:type="dxa"/>
            <w:tcBorders>
              <w:top w:val="nil"/>
              <w:left w:val="nil"/>
              <w:bottom w:val="single" w:sz="4" w:space="0" w:color="auto"/>
              <w:right w:val="single" w:sz="4" w:space="0" w:color="auto"/>
            </w:tcBorders>
            <w:shd w:val="clear" w:color="auto" w:fill="auto"/>
            <w:noWrap/>
            <w:vAlign w:val="center"/>
            <w:hideMark/>
          </w:tcPr>
          <w:p w14:paraId="2FA02720"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2E09BD6F"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80</w:t>
            </w:r>
          </w:p>
        </w:tc>
        <w:tc>
          <w:tcPr>
            <w:tcW w:w="920" w:type="dxa"/>
            <w:tcBorders>
              <w:top w:val="nil"/>
              <w:left w:val="nil"/>
              <w:bottom w:val="single" w:sz="4" w:space="0" w:color="auto"/>
              <w:right w:val="single" w:sz="4" w:space="0" w:color="auto"/>
            </w:tcBorders>
            <w:shd w:val="clear" w:color="auto" w:fill="auto"/>
            <w:noWrap/>
            <w:vAlign w:val="center"/>
            <w:hideMark/>
          </w:tcPr>
          <w:p w14:paraId="46B517C0"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4,136</w:t>
            </w:r>
          </w:p>
        </w:tc>
        <w:tc>
          <w:tcPr>
            <w:tcW w:w="920" w:type="dxa"/>
            <w:tcBorders>
              <w:top w:val="nil"/>
              <w:left w:val="nil"/>
              <w:bottom w:val="single" w:sz="4" w:space="0" w:color="auto"/>
              <w:right w:val="single" w:sz="4" w:space="0" w:color="auto"/>
            </w:tcBorders>
            <w:shd w:val="clear" w:color="auto" w:fill="auto"/>
            <w:noWrap/>
            <w:vAlign w:val="center"/>
            <w:hideMark/>
          </w:tcPr>
          <w:p w14:paraId="2C5D0515"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0798B26D"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5,759</w:t>
            </w:r>
          </w:p>
        </w:tc>
        <w:tc>
          <w:tcPr>
            <w:tcW w:w="920" w:type="dxa"/>
            <w:tcBorders>
              <w:top w:val="nil"/>
              <w:left w:val="nil"/>
              <w:bottom w:val="single" w:sz="4" w:space="0" w:color="auto"/>
              <w:right w:val="single" w:sz="4" w:space="0" w:color="auto"/>
            </w:tcBorders>
            <w:shd w:val="clear" w:color="auto" w:fill="auto"/>
            <w:noWrap/>
            <w:vAlign w:val="center"/>
            <w:hideMark/>
          </w:tcPr>
          <w:p w14:paraId="0801B121"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43F4F4F0"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1,581</w:t>
            </w:r>
          </w:p>
        </w:tc>
        <w:tc>
          <w:tcPr>
            <w:tcW w:w="920" w:type="dxa"/>
            <w:tcBorders>
              <w:top w:val="nil"/>
              <w:left w:val="nil"/>
              <w:bottom w:val="single" w:sz="4" w:space="0" w:color="auto"/>
              <w:right w:val="single" w:sz="4" w:space="0" w:color="auto"/>
            </w:tcBorders>
            <w:shd w:val="clear" w:color="auto" w:fill="auto"/>
            <w:noWrap/>
            <w:vAlign w:val="center"/>
            <w:hideMark/>
          </w:tcPr>
          <w:p w14:paraId="27656CA3"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79056DB2"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83</w:t>
            </w:r>
          </w:p>
        </w:tc>
        <w:tc>
          <w:tcPr>
            <w:tcW w:w="920" w:type="dxa"/>
            <w:tcBorders>
              <w:top w:val="nil"/>
              <w:left w:val="nil"/>
              <w:bottom w:val="single" w:sz="4" w:space="0" w:color="auto"/>
              <w:right w:val="single" w:sz="4" w:space="0" w:color="auto"/>
            </w:tcBorders>
            <w:shd w:val="clear" w:color="auto" w:fill="auto"/>
            <w:noWrap/>
            <w:vAlign w:val="center"/>
            <w:hideMark/>
          </w:tcPr>
          <w:p w14:paraId="604E469D"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4,398</w:t>
            </w:r>
          </w:p>
        </w:tc>
        <w:tc>
          <w:tcPr>
            <w:tcW w:w="920" w:type="dxa"/>
            <w:tcBorders>
              <w:top w:val="nil"/>
              <w:left w:val="nil"/>
              <w:bottom w:val="single" w:sz="4" w:space="0" w:color="auto"/>
              <w:right w:val="single" w:sz="4" w:space="0" w:color="auto"/>
            </w:tcBorders>
            <w:shd w:val="clear" w:color="auto" w:fill="auto"/>
            <w:noWrap/>
            <w:vAlign w:val="center"/>
            <w:hideMark/>
          </w:tcPr>
          <w:p w14:paraId="35F7E61A"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024350F6"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6,062</w:t>
            </w:r>
          </w:p>
        </w:tc>
      </w:tr>
      <w:tr w:rsidR="008428AF" w:rsidRPr="00AB625A" w14:paraId="7E432D24" w14:textId="77777777" w:rsidTr="00FE1263">
        <w:trPr>
          <w:trHeight w:val="3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EAC64D5"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Nillumbik Community Health Service Ltd</w:t>
            </w:r>
          </w:p>
        </w:tc>
        <w:tc>
          <w:tcPr>
            <w:tcW w:w="920" w:type="dxa"/>
            <w:tcBorders>
              <w:top w:val="nil"/>
              <w:left w:val="nil"/>
              <w:bottom w:val="single" w:sz="4" w:space="0" w:color="auto"/>
              <w:right w:val="single" w:sz="4" w:space="0" w:color="auto"/>
            </w:tcBorders>
            <w:shd w:val="clear" w:color="auto" w:fill="auto"/>
            <w:noWrap/>
            <w:vAlign w:val="center"/>
            <w:hideMark/>
          </w:tcPr>
          <w:p w14:paraId="36A5370A"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7B3D579E"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991</w:t>
            </w:r>
          </w:p>
        </w:tc>
        <w:tc>
          <w:tcPr>
            <w:tcW w:w="920" w:type="dxa"/>
            <w:tcBorders>
              <w:top w:val="nil"/>
              <w:left w:val="nil"/>
              <w:bottom w:val="single" w:sz="4" w:space="0" w:color="auto"/>
              <w:right w:val="single" w:sz="4" w:space="0" w:color="auto"/>
            </w:tcBorders>
            <w:shd w:val="clear" w:color="auto" w:fill="auto"/>
            <w:noWrap/>
            <w:vAlign w:val="center"/>
            <w:hideMark/>
          </w:tcPr>
          <w:p w14:paraId="7B573232"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591</w:t>
            </w:r>
          </w:p>
        </w:tc>
        <w:tc>
          <w:tcPr>
            <w:tcW w:w="920" w:type="dxa"/>
            <w:tcBorders>
              <w:top w:val="nil"/>
              <w:left w:val="nil"/>
              <w:bottom w:val="single" w:sz="4" w:space="0" w:color="auto"/>
              <w:right w:val="single" w:sz="4" w:space="0" w:color="auto"/>
            </w:tcBorders>
            <w:shd w:val="clear" w:color="auto" w:fill="auto"/>
            <w:noWrap/>
            <w:vAlign w:val="center"/>
            <w:hideMark/>
          </w:tcPr>
          <w:p w14:paraId="5B2D9449"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7E9E928D"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4,435</w:t>
            </w:r>
          </w:p>
        </w:tc>
        <w:tc>
          <w:tcPr>
            <w:tcW w:w="920" w:type="dxa"/>
            <w:tcBorders>
              <w:top w:val="nil"/>
              <w:left w:val="nil"/>
              <w:bottom w:val="single" w:sz="4" w:space="0" w:color="auto"/>
              <w:right w:val="single" w:sz="4" w:space="0" w:color="auto"/>
            </w:tcBorders>
            <w:shd w:val="clear" w:color="auto" w:fill="auto"/>
            <w:noWrap/>
            <w:vAlign w:val="center"/>
            <w:hideMark/>
          </w:tcPr>
          <w:p w14:paraId="246929DA"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71776922"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6,017</w:t>
            </w:r>
          </w:p>
        </w:tc>
        <w:tc>
          <w:tcPr>
            <w:tcW w:w="920" w:type="dxa"/>
            <w:tcBorders>
              <w:top w:val="nil"/>
              <w:left w:val="nil"/>
              <w:bottom w:val="single" w:sz="4" w:space="0" w:color="auto"/>
              <w:right w:val="single" w:sz="4" w:space="0" w:color="auto"/>
            </w:tcBorders>
            <w:shd w:val="clear" w:color="auto" w:fill="auto"/>
            <w:noWrap/>
            <w:vAlign w:val="center"/>
            <w:hideMark/>
          </w:tcPr>
          <w:p w14:paraId="0D092E7F"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34497C67"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1,094</w:t>
            </w:r>
          </w:p>
        </w:tc>
        <w:tc>
          <w:tcPr>
            <w:tcW w:w="920" w:type="dxa"/>
            <w:tcBorders>
              <w:top w:val="nil"/>
              <w:left w:val="nil"/>
              <w:bottom w:val="single" w:sz="4" w:space="0" w:color="auto"/>
              <w:right w:val="single" w:sz="4" w:space="0" w:color="auto"/>
            </w:tcBorders>
            <w:shd w:val="clear" w:color="auto" w:fill="auto"/>
            <w:noWrap/>
            <w:vAlign w:val="center"/>
            <w:hideMark/>
          </w:tcPr>
          <w:p w14:paraId="02365317"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610</w:t>
            </w:r>
          </w:p>
        </w:tc>
        <w:tc>
          <w:tcPr>
            <w:tcW w:w="920" w:type="dxa"/>
            <w:tcBorders>
              <w:top w:val="nil"/>
              <w:left w:val="nil"/>
              <w:bottom w:val="single" w:sz="4" w:space="0" w:color="auto"/>
              <w:right w:val="single" w:sz="4" w:space="0" w:color="auto"/>
            </w:tcBorders>
            <w:shd w:val="clear" w:color="auto" w:fill="auto"/>
            <w:noWrap/>
            <w:vAlign w:val="center"/>
            <w:hideMark/>
          </w:tcPr>
          <w:p w14:paraId="791E3A65"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17B338DF"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4,583</w:t>
            </w:r>
          </w:p>
        </w:tc>
        <w:tc>
          <w:tcPr>
            <w:tcW w:w="920" w:type="dxa"/>
            <w:tcBorders>
              <w:top w:val="nil"/>
              <w:left w:val="nil"/>
              <w:bottom w:val="single" w:sz="4" w:space="0" w:color="auto"/>
              <w:right w:val="single" w:sz="4" w:space="0" w:color="auto"/>
            </w:tcBorders>
            <w:shd w:val="clear" w:color="auto" w:fill="auto"/>
            <w:noWrap/>
            <w:vAlign w:val="center"/>
            <w:hideMark/>
          </w:tcPr>
          <w:p w14:paraId="51997716"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077A6A0D"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6,287</w:t>
            </w:r>
          </w:p>
        </w:tc>
      </w:tr>
      <w:tr w:rsidR="008428AF" w:rsidRPr="00AB625A" w14:paraId="283FA8FC" w14:textId="77777777" w:rsidTr="00FE1263">
        <w:trPr>
          <w:trHeight w:val="3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227B5A9"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North Richmond Community Health Limited</w:t>
            </w:r>
          </w:p>
        </w:tc>
        <w:tc>
          <w:tcPr>
            <w:tcW w:w="920" w:type="dxa"/>
            <w:tcBorders>
              <w:top w:val="nil"/>
              <w:left w:val="nil"/>
              <w:bottom w:val="single" w:sz="4" w:space="0" w:color="auto"/>
              <w:right w:val="single" w:sz="4" w:space="0" w:color="auto"/>
            </w:tcBorders>
            <w:shd w:val="clear" w:color="auto" w:fill="auto"/>
            <w:noWrap/>
            <w:vAlign w:val="center"/>
            <w:hideMark/>
          </w:tcPr>
          <w:p w14:paraId="787110B3"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1,759</w:t>
            </w:r>
          </w:p>
        </w:tc>
        <w:tc>
          <w:tcPr>
            <w:tcW w:w="920" w:type="dxa"/>
            <w:tcBorders>
              <w:top w:val="nil"/>
              <w:left w:val="nil"/>
              <w:bottom w:val="single" w:sz="4" w:space="0" w:color="auto"/>
              <w:right w:val="single" w:sz="4" w:space="0" w:color="auto"/>
            </w:tcBorders>
            <w:shd w:val="clear" w:color="auto" w:fill="auto"/>
            <w:noWrap/>
            <w:vAlign w:val="center"/>
            <w:hideMark/>
          </w:tcPr>
          <w:p w14:paraId="249A8A0E"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116</w:t>
            </w:r>
          </w:p>
        </w:tc>
        <w:tc>
          <w:tcPr>
            <w:tcW w:w="920" w:type="dxa"/>
            <w:tcBorders>
              <w:top w:val="nil"/>
              <w:left w:val="nil"/>
              <w:bottom w:val="single" w:sz="4" w:space="0" w:color="auto"/>
              <w:right w:val="single" w:sz="4" w:space="0" w:color="auto"/>
            </w:tcBorders>
            <w:shd w:val="clear" w:color="auto" w:fill="auto"/>
            <w:noWrap/>
            <w:vAlign w:val="center"/>
            <w:hideMark/>
          </w:tcPr>
          <w:p w14:paraId="57AF0BA2"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573</w:t>
            </w:r>
          </w:p>
        </w:tc>
        <w:tc>
          <w:tcPr>
            <w:tcW w:w="920" w:type="dxa"/>
            <w:tcBorders>
              <w:top w:val="nil"/>
              <w:left w:val="nil"/>
              <w:bottom w:val="single" w:sz="4" w:space="0" w:color="auto"/>
              <w:right w:val="single" w:sz="4" w:space="0" w:color="auto"/>
            </w:tcBorders>
            <w:shd w:val="clear" w:color="auto" w:fill="auto"/>
            <w:noWrap/>
            <w:vAlign w:val="center"/>
            <w:hideMark/>
          </w:tcPr>
          <w:p w14:paraId="715E29CE"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4476A984"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2,276</w:t>
            </w:r>
          </w:p>
        </w:tc>
        <w:tc>
          <w:tcPr>
            <w:tcW w:w="920" w:type="dxa"/>
            <w:tcBorders>
              <w:top w:val="nil"/>
              <w:left w:val="nil"/>
              <w:bottom w:val="single" w:sz="4" w:space="0" w:color="auto"/>
              <w:right w:val="single" w:sz="4" w:space="0" w:color="auto"/>
            </w:tcBorders>
            <w:shd w:val="clear" w:color="auto" w:fill="auto"/>
            <w:noWrap/>
            <w:vAlign w:val="center"/>
            <w:hideMark/>
          </w:tcPr>
          <w:p w14:paraId="1751F32A"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1,248</w:t>
            </w:r>
          </w:p>
        </w:tc>
        <w:tc>
          <w:tcPr>
            <w:tcW w:w="921" w:type="dxa"/>
            <w:tcBorders>
              <w:top w:val="nil"/>
              <w:left w:val="nil"/>
              <w:bottom w:val="single" w:sz="4" w:space="0" w:color="auto"/>
              <w:right w:val="single" w:sz="4" w:space="0" w:color="auto"/>
            </w:tcBorders>
            <w:shd w:val="clear" w:color="auto" w:fill="auto"/>
            <w:noWrap/>
            <w:vAlign w:val="center"/>
            <w:hideMark/>
          </w:tcPr>
          <w:p w14:paraId="3DEA4D4D"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5,972</w:t>
            </w:r>
          </w:p>
        </w:tc>
        <w:tc>
          <w:tcPr>
            <w:tcW w:w="920" w:type="dxa"/>
            <w:tcBorders>
              <w:top w:val="nil"/>
              <w:left w:val="nil"/>
              <w:bottom w:val="single" w:sz="4" w:space="0" w:color="auto"/>
              <w:right w:val="single" w:sz="4" w:space="0" w:color="auto"/>
            </w:tcBorders>
            <w:shd w:val="clear" w:color="auto" w:fill="auto"/>
            <w:noWrap/>
            <w:vAlign w:val="center"/>
            <w:hideMark/>
          </w:tcPr>
          <w:p w14:paraId="60A461E8"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1,801</w:t>
            </w:r>
          </w:p>
        </w:tc>
        <w:tc>
          <w:tcPr>
            <w:tcW w:w="920" w:type="dxa"/>
            <w:tcBorders>
              <w:top w:val="nil"/>
              <w:left w:val="nil"/>
              <w:bottom w:val="single" w:sz="4" w:space="0" w:color="auto"/>
              <w:right w:val="single" w:sz="4" w:space="0" w:color="auto"/>
            </w:tcBorders>
            <w:shd w:val="clear" w:color="auto" w:fill="auto"/>
            <w:noWrap/>
            <w:vAlign w:val="center"/>
            <w:hideMark/>
          </w:tcPr>
          <w:p w14:paraId="1D4CE071"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119</w:t>
            </w:r>
          </w:p>
        </w:tc>
        <w:tc>
          <w:tcPr>
            <w:tcW w:w="920" w:type="dxa"/>
            <w:tcBorders>
              <w:top w:val="nil"/>
              <w:left w:val="nil"/>
              <w:bottom w:val="single" w:sz="4" w:space="0" w:color="auto"/>
              <w:right w:val="single" w:sz="4" w:space="0" w:color="auto"/>
            </w:tcBorders>
            <w:shd w:val="clear" w:color="auto" w:fill="auto"/>
            <w:noWrap/>
            <w:vAlign w:val="center"/>
            <w:hideMark/>
          </w:tcPr>
          <w:p w14:paraId="294B1CC1"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592</w:t>
            </w:r>
          </w:p>
        </w:tc>
        <w:tc>
          <w:tcPr>
            <w:tcW w:w="920" w:type="dxa"/>
            <w:tcBorders>
              <w:top w:val="nil"/>
              <w:left w:val="nil"/>
              <w:bottom w:val="single" w:sz="4" w:space="0" w:color="auto"/>
              <w:right w:val="single" w:sz="4" w:space="0" w:color="auto"/>
            </w:tcBorders>
            <w:shd w:val="clear" w:color="auto" w:fill="auto"/>
            <w:noWrap/>
            <w:vAlign w:val="center"/>
            <w:hideMark/>
          </w:tcPr>
          <w:p w14:paraId="419AD973"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6C94F99A"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2,742</w:t>
            </w:r>
          </w:p>
        </w:tc>
        <w:tc>
          <w:tcPr>
            <w:tcW w:w="920" w:type="dxa"/>
            <w:tcBorders>
              <w:top w:val="nil"/>
              <w:left w:val="nil"/>
              <w:bottom w:val="single" w:sz="4" w:space="0" w:color="auto"/>
              <w:right w:val="single" w:sz="4" w:space="0" w:color="auto"/>
            </w:tcBorders>
            <w:shd w:val="clear" w:color="auto" w:fill="auto"/>
            <w:noWrap/>
            <w:vAlign w:val="center"/>
            <w:hideMark/>
          </w:tcPr>
          <w:p w14:paraId="2A386735"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1,289</w:t>
            </w:r>
          </w:p>
        </w:tc>
        <w:tc>
          <w:tcPr>
            <w:tcW w:w="921" w:type="dxa"/>
            <w:tcBorders>
              <w:top w:val="nil"/>
              <w:left w:val="nil"/>
              <w:bottom w:val="single" w:sz="4" w:space="0" w:color="auto"/>
              <w:right w:val="single" w:sz="4" w:space="0" w:color="auto"/>
            </w:tcBorders>
            <w:shd w:val="clear" w:color="auto" w:fill="auto"/>
            <w:noWrap/>
            <w:vAlign w:val="center"/>
            <w:hideMark/>
          </w:tcPr>
          <w:p w14:paraId="50DC2336"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6,543</w:t>
            </w:r>
          </w:p>
        </w:tc>
      </w:tr>
      <w:tr w:rsidR="008428AF" w:rsidRPr="00AB625A" w14:paraId="2232BBA0" w14:textId="77777777" w:rsidTr="00FE1263">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D428146"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Primary Care Connect</w:t>
            </w:r>
          </w:p>
        </w:tc>
        <w:tc>
          <w:tcPr>
            <w:tcW w:w="920" w:type="dxa"/>
            <w:tcBorders>
              <w:top w:val="nil"/>
              <w:left w:val="nil"/>
              <w:bottom w:val="single" w:sz="4" w:space="0" w:color="auto"/>
              <w:right w:val="single" w:sz="4" w:space="0" w:color="auto"/>
            </w:tcBorders>
            <w:shd w:val="clear" w:color="auto" w:fill="auto"/>
            <w:noWrap/>
            <w:vAlign w:val="center"/>
            <w:hideMark/>
          </w:tcPr>
          <w:p w14:paraId="6B6616F8"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468C1F4E"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0899CCE1"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1,281</w:t>
            </w:r>
          </w:p>
        </w:tc>
        <w:tc>
          <w:tcPr>
            <w:tcW w:w="920" w:type="dxa"/>
            <w:tcBorders>
              <w:top w:val="nil"/>
              <w:left w:val="nil"/>
              <w:bottom w:val="single" w:sz="4" w:space="0" w:color="auto"/>
              <w:right w:val="single" w:sz="4" w:space="0" w:color="auto"/>
            </w:tcBorders>
            <w:shd w:val="clear" w:color="auto" w:fill="auto"/>
            <w:noWrap/>
            <w:vAlign w:val="center"/>
            <w:hideMark/>
          </w:tcPr>
          <w:p w14:paraId="0F55898A"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5F8A36A4"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2,060</w:t>
            </w:r>
          </w:p>
        </w:tc>
        <w:tc>
          <w:tcPr>
            <w:tcW w:w="920" w:type="dxa"/>
            <w:tcBorders>
              <w:top w:val="nil"/>
              <w:left w:val="nil"/>
              <w:bottom w:val="single" w:sz="4" w:space="0" w:color="auto"/>
              <w:right w:val="single" w:sz="4" w:space="0" w:color="auto"/>
            </w:tcBorders>
            <w:shd w:val="clear" w:color="auto" w:fill="auto"/>
            <w:noWrap/>
            <w:vAlign w:val="center"/>
            <w:hideMark/>
          </w:tcPr>
          <w:p w14:paraId="545F24A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610E8DF5"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3,341</w:t>
            </w:r>
          </w:p>
        </w:tc>
        <w:tc>
          <w:tcPr>
            <w:tcW w:w="920" w:type="dxa"/>
            <w:tcBorders>
              <w:top w:val="nil"/>
              <w:left w:val="nil"/>
              <w:bottom w:val="single" w:sz="4" w:space="0" w:color="auto"/>
              <w:right w:val="single" w:sz="4" w:space="0" w:color="auto"/>
            </w:tcBorders>
            <w:shd w:val="clear" w:color="auto" w:fill="auto"/>
            <w:noWrap/>
            <w:vAlign w:val="center"/>
            <w:hideMark/>
          </w:tcPr>
          <w:p w14:paraId="0668E80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019AA107"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24203168"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1,323</w:t>
            </w:r>
          </w:p>
        </w:tc>
        <w:tc>
          <w:tcPr>
            <w:tcW w:w="920" w:type="dxa"/>
            <w:tcBorders>
              <w:top w:val="nil"/>
              <w:left w:val="nil"/>
              <w:bottom w:val="single" w:sz="4" w:space="0" w:color="auto"/>
              <w:right w:val="single" w:sz="4" w:space="0" w:color="auto"/>
            </w:tcBorders>
            <w:shd w:val="clear" w:color="auto" w:fill="auto"/>
            <w:noWrap/>
            <w:vAlign w:val="center"/>
            <w:hideMark/>
          </w:tcPr>
          <w:p w14:paraId="02142E8A"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5B4A153F"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2,091</w:t>
            </w:r>
          </w:p>
        </w:tc>
        <w:tc>
          <w:tcPr>
            <w:tcW w:w="920" w:type="dxa"/>
            <w:tcBorders>
              <w:top w:val="nil"/>
              <w:left w:val="nil"/>
              <w:bottom w:val="single" w:sz="4" w:space="0" w:color="auto"/>
              <w:right w:val="single" w:sz="4" w:space="0" w:color="auto"/>
            </w:tcBorders>
            <w:shd w:val="clear" w:color="auto" w:fill="auto"/>
            <w:noWrap/>
            <w:vAlign w:val="center"/>
            <w:hideMark/>
          </w:tcPr>
          <w:p w14:paraId="441E016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4E2951C4"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3,414</w:t>
            </w:r>
          </w:p>
        </w:tc>
      </w:tr>
      <w:tr w:rsidR="008428AF" w:rsidRPr="00AB625A" w14:paraId="5182FC89" w14:textId="77777777" w:rsidTr="00FE1263">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F54A06D"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Ranges Community Health</w:t>
            </w:r>
          </w:p>
        </w:tc>
        <w:tc>
          <w:tcPr>
            <w:tcW w:w="920" w:type="dxa"/>
            <w:tcBorders>
              <w:top w:val="nil"/>
              <w:left w:val="nil"/>
              <w:bottom w:val="single" w:sz="4" w:space="0" w:color="auto"/>
              <w:right w:val="single" w:sz="4" w:space="0" w:color="auto"/>
            </w:tcBorders>
            <w:shd w:val="clear" w:color="auto" w:fill="auto"/>
            <w:noWrap/>
            <w:vAlign w:val="center"/>
            <w:hideMark/>
          </w:tcPr>
          <w:p w14:paraId="3C9B2B06"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27CE4C37"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479</w:t>
            </w:r>
          </w:p>
        </w:tc>
        <w:tc>
          <w:tcPr>
            <w:tcW w:w="920" w:type="dxa"/>
            <w:tcBorders>
              <w:top w:val="nil"/>
              <w:left w:val="nil"/>
              <w:bottom w:val="single" w:sz="4" w:space="0" w:color="auto"/>
              <w:right w:val="single" w:sz="4" w:space="0" w:color="auto"/>
            </w:tcBorders>
            <w:shd w:val="clear" w:color="auto" w:fill="auto"/>
            <w:noWrap/>
            <w:vAlign w:val="center"/>
            <w:hideMark/>
          </w:tcPr>
          <w:p w14:paraId="304E94F3"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51B5063E"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28BD5BCE"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2,675</w:t>
            </w:r>
          </w:p>
        </w:tc>
        <w:tc>
          <w:tcPr>
            <w:tcW w:w="920" w:type="dxa"/>
            <w:tcBorders>
              <w:top w:val="nil"/>
              <w:left w:val="nil"/>
              <w:bottom w:val="single" w:sz="4" w:space="0" w:color="auto"/>
              <w:right w:val="single" w:sz="4" w:space="0" w:color="auto"/>
            </w:tcBorders>
            <w:shd w:val="clear" w:color="auto" w:fill="auto"/>
            <w:noWrap/>
            <w:vAlign w:val="center"/>
            <w:hideMark/>
          </w:tcPr>
          <w:p w14:paraId="0377BB2A"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2353FF1E"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3,154</w:t>
            </w:r>
          </w:p>
        </w:tc>
        <w:tc>
          <w:tcPr>
            <w:tcW w:w="920" w:type="dxa"/>
            <w:tcBorders>
              <w:top w:val="nil"/>
              <w:left w:val="nil"/>
              <w:bottom w:val="single" w:sz="4" w:space="0" w:color="auto"/>
              <w:right w:val="single" w:sz="4" w:space="0" w:color="auto"/>
            </w:tcBorders>
            <w:shd w:val="clear" w:color="auto" w:fill="auto"/>
            <w:noWrap/>
            <w:vAlign w:val="center"/>
            <w:hideMark/>
          </w:tcPr>
          <w:p w14:paraId="686EF8F7"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0451F81F"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491</w:t>
            </w:r>
          </w:p>
        </w:tc>
        <w:tc>
          <w:tcPr>
            <w:tcW w:w="920" w:type="dxa"/>
            <w:tcBorders>
              <w:top w:val="nil"/>
              <w:left w:val="nil"/>
              <w:bottom w:val="single" w:sz="4" w:space="0" w:color="auto"/>
              <w:right w:val="single" w:sz="4" w:space="0" w:color="auto"/>
            </w:tcBorders>
            <w:shd w:val="clear" w:color="auto" w:fill="auto"/>
            <w:noWrap/>
            <w:vAlign w:val="center"/>
            <w:hideMark/>
          </w:tcPr>
          <w:p w14:paraId="57A86F50"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73C336C9"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2319BE59"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2,801</w:t>
            </w:r>
          </w:p>
        </w:tc>
        <w:tc>
          <w:tcPr>
            <w:tcW w:w="920" w:type="dxa"/>
            <w:tcBorders>
              <w:top w:val="nil"/>
              <w:left w:val="nil"/>
              <w:bottom w:val="single" w:sz="4" w:space="0" w:color="auto"/>
              <w:right w:val="single" w:sz="4" w:space="0" w:color="auto"/>
            </w:tcBorders>
            <w:shd w:val="clear" w:color="auto" w:fill="auto"/>
            <w:noWrap/>
            <w:vAlign w:val="center"/>
            <w:hideMark/>
          </w:tcPr>
          <w:p w14:paraId="2DA82397"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266A27BB"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3,292</w:t>
            </w:r>
          </w:p>
        </w:tc>
      </w:tr>
      <w:tr w:rsidR="008428AF" w:rsidRPr="00AB625A" w14:paraId="3DD64062" w14:textId="77777777" w:rsidTr="00FE1263">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91EF82D"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Star Health Group Limited</w:t>
            </w:r>
          </w:p>
        </w:tc>
        <w:tc>
          <w:tcPr>
            <w:tcW w:w="920" w:type="dxa"/>
            <w:tcBorders>
              <w:top w:val="nil"/>
              <w:left w:val="nil"/>
              <w:bottom w:val="single" w:sz="4" w:space="0" w:color="auto"/>
              <w:right w:val="single" w:sz="4" w:space="0" w:color="auto"/>
            </w:tcBorders>
            <w:shd w:val="clear" w:color="auto" w:fill="auto"/>
            <w:noWrap/>
            <w:vAlign w:val="center"/>
            <w:hideMark/>
          </w:tcPr>
          <w:p w14:paraId="2423991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04B59AF2"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874</w:t>
            </w:r>
          </w:p>
        </w:tc>
        <w:tc>
          <w:tcPr>
            <w:tcW w:w="920" w:type="dxa"/>
            <w:tcBorders>
              <w:top w:val="nil"/>
              <w:left w:val="nil"/>
              <w:bottom w:val="single" w:sz="4" w:space="0" w:color="auto"/>
              <w:right w:val="single" w:sz="4" w:space="0" w:color="auto"/>
            </w:tcBorders>
            <w:shd w:val="clear" w:color="auto" w:fill="auto"/>
            <w:noWrap/>
            <w:vAlign w:val="center"/>
            <w:hideMark/>
          </w:tcPr>
          <w:p w14:paraId="4605EC3D"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1,130</w:t>
            </w:r>
          </w:p>
        </w:tc>
        <w:tc>
          <w:tcPr>
            <w:tcW w:w="920" w:type="dxa"/>
            <w:tcBorders>
              <w:top w:val="nil"/>
              <w:left w:val="nil"/>
              <w:bottom w:val="single" w:sz="4" w:space="0" w:color="auto"/>
              <w:right w:val="single" w:sz="4" w:space="0" w:color="auto"/>
            </w:tcBorders>
            <w:shd w:val="clear" w:color="auto" w:fill="auto"/>
            <w:noWrap/>
            <w:vAlign w:val="center"/>
            <w:hideMark/>
          </w:tcPr>
          <w:p w14:paraId="6C44AE15"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w:t>
            </w:r>
          </w:p>
        </w:tc>
        <w:tc>
          <w:tcPr>
            <w:tcW w:w="920" w:type="dxa"/>
            <w:tcBorders>
              <w:top w:val="nil"/>
              <w:left w:val="nil"/>
              <w:bottom w:val="single" w:sz="4" w:space="0" w:color="auto"/>
              <w:right w:val="single" w:sz="4" w:space="0" w:color="auto"/>
            </w:tcBorders>
            <w:shd w:val="clear" w:color="auto" w:fill="auto"/>
            <w:noWrap/>
            <w:vAlign w:val="center"/>
            <w:hideMark/>
          </w:tcPr>
          <w:p w14:paraId="21D7583D"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1,592</w:t>
            </w:r>
          </w:p>
        </w:tc>
        <w:tc>
          <w:tcPr>
            <w:tcW w:w="920" w:type="dxa"/>
            <w:tcBorders>
              <w:top w:val="nil"/>
              <w:left w:val="nil"/>
              <w:bottom w:val="single" w:sz="4" w:space="0" w:color="auto"/>
              <w:right w:val="single" w:sz="4" w:space="0" w:color="auto"/>
            </w:tcBorders>
            <w:shd w:val="clear" w:color="auto" w:fill="auto"/>
            <w:noWrap/>
            <w:vAlign w:val="center"/>
            <w:hideMark/>
          </w:tcPr>
          <w:p w14:paraId="5D60D255"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270</w:t>
            </w:r>
          </w:p>
        </w:tc>
        <w:tc>
          <w:tcPr>
            <w:tcW w:w="921" w:type="dxa"/>
            <w:tcBorders>
              <w:top w:val="nil"/>
              <w:left w:val="nil"/>
              <w:bottom w:val="single" w:sz="4" w:space="0" w:color="auto"/>
              <w:right w:val="single" w:sz="4" w:space="0" w:color="auto"/>
            </w:tcBorders>
            <w:shd w:val="clear" w:color="auto" w:fill="auto"/>
            <w:noWrap/>
            <w:vAlign w:val="center"/>
            <w:hideMark/>
          </w:tcPr>
          <w:p w14:paraId="6671ED3B"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3,868</w:t>
            </w:r>
          </w:p>
        </w:tc>
        <w:tc>
          <w:tcPr>
            <w:tcW w:w="920" w:type="dxa"/>
            <w:tcBorders>
              <w:top w:val="nil"/>
              <w:left w:val="nil"/>
              <w:bottom w:val="single" w:sz="4" w:space="0" w:color="auto"/>
              <w:right w:val="single" w:sz="4" w:space="0" w:color="auto"/>
            </w:tcBorders>
            <w:shd w:val="clear" w:color="auto" w:fill="auto"/>
            <w:noWrap/>
            <w:vAlign w:val="center"/>
            <w:hideMark/>
          </w:tcPr>
          <w:p w14:paraId="3BA6CEE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095CE916"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4C66B10E"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1AA34B8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0595C4BA"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5DA8D402"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30DA32A9"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0 </w:t>
            </w:r>
          </w:p>
        </w:tc>
      </w:tr>
      <w:tr w:rsidR="008428AF" w:rsidRPr="00AB625A" w14:paraId="3C156ADC" w14:textId="77777777" w:rsidTr="00FE1263">
        <w:trPr>
          <w:trHeight w:val="3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F70B1E9"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Sunbury Community Health Centre Limited</w:t>
            </w:r>
          </w:p>
        </w:tc>
        <w:tc>
          <w:tcPr>
            <w:tcW w:w="920" w:type="dxa"/>
            <w:tcBorders>
              <w:top w:val="nil"/>
              <w:left w:val="nil"/>
              <w:bottom w:val="single" w:sz="4" w:space="0" w:color="auto"/>
              <w:right w:val="single" w:sz="4" w:space="0" w:color="auto"/>
            </w:tcBorders>
            <w:shd w:val="clear" w:color="auto" w:fill="auto"/>
            <w:noWrap/>
            <w:vAlign w:val="center"/>
            <w:hideMark/>
          </w:tcPr>
          <w:p w14:paraId="01662E56"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480C41EE"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714</w:t>
            </w:r>
          </w:p>
        </w:tc>
        <w:tc>
          <w:tcPr>
            <w:tcW w:w="920" w:type="dxa"/>
            <w:tcBorders>
              <w:top w:val="nil"/>
              <w:left w:val="nil"/>
              <w:bottom w:val="single" w:sz="4" w:space="0" w:color="auto"/>
              <w:right w:val="single" w:sz="4" w:space="0" w:color="auto"/>
            </w:tcBorders>
            <w:shd w:val="clear" w:color="auto" w:fill="auto"/>
            <w:noWrap/>
            <w:vAlign w:val="center"/>
            <w:hideMark/>
          </w:tcPr>
          <w:p w14:paraId="194A1324"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437</w:t>
            </w:r>
          </w:p>
        </w:tc>
        <w:tc>
          <w:tcPr>
            <w:tcW w:w="920" w:type="dxa"/>
            <w:tcBorders>
              <w:top w:val="nil"/>
              <w:left w:val="nil"/>
              <w:bottom w:val="single" w:sz="4" w:space="0" w:color="auto"/>
              <w:right w:val="single" w:sz="4" w:space="0" w:color="auto"/>
            </w:tcBorders>
            <w:shd w:val="clear" w:color="auto" w:fill="auto"/>
            <w:noWrap/>
            <w:vAlign w:val="center"/>
            <w:hideMark/>
          </w:tcPr>
          <w:p w14:paraId="49CD1C8D"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231</w:t>
            </w:r>
          </w:p>
        </w:tc>
        <w:tc>
          <w:tcPr>
            <w:tcW w:w="920" w:type="dxa"/>
            <w:tcBorders>
              <w:top w:val="nil"/>
              <w:left w:val="nil"/>
              <w:bottom w:val="single" w:sz="4" w:space="0" w:color="auto"/>
              <w:right w:val="single" w:sz="4" w:space="0" w:color="auto"/>
            </w:tcBorders>
            <w:shd w:val="clear" w:color="auto" w:fill="auto"/>
            <w:noWrap/>
            <w:vAlign w:val="center"/>
            <w:hideMark/>
          </w:tcPr>
          <w:p w14:paraId="5CCD2A35"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2,843</w:t>
            </w:r>
          </w:p>
        </w:tc>
        <w:tc>
          <w:tcPr>
            <w:tcW w:w="920" w:type="dxa"/>
            <w:tcBorders>
              <w:top w:val="nil"/>
              <w:left w:val="nil"/>
              <w:bottom w:val="single" w:sz="4" w:space="0" w:color="auto"/>
              <w:right w:val="single" w:sz="4" w:space="0" w:color="auto"/>
            </w:tcBorders>
            <w:shd w:val="clear" w:color="auto" w:fill="auto"/>
            <w:noWrap/>
            <w:vAlign w:val="center"/>
            <w:hideMark/>
          </w:tcPr>
          <w:p w14:paraId="45D91D0D"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353C67D8"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4,225</w:t>
            </w:r>
          </w:p>
        </w:tc>
        <w:tc>
          <w:tcPr>
            <w:tcW w:w="920" w:type="dxa"/>
            <w:tcBorders>
              <w:top w:val="nil"/>
              <w:left w:val="nil"/>
              <w:bottom w:val="single" w:sz="4" w:space="0" w:color="auto"/>
              <w:right w:val="single" w:sz="4" w:space="0" w:color="auto"/>
            </w:tcBorders>
            <w:shd w:val="clear" w:color="auto" w:fill="auto"/>
            <w:noWrap/>
            <w:vAlign w:val="center"/>
            <w:hideMark/>
          </w:tcPr>
          <w:p w14:paraId="6968A76D"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6EEBF841"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749</w:t>
            </w:r>
          </w:p>
        </w:tc>
        <w:tc>
          <w:tcPr>
            <w:tcW w:w="920" w:type="dxa"/>
            <w:tcBorders>
              <w:top w:val="nil"/>
              <w:left w:val="nil"/>
              <w:bottom w:val="single" w:sz="4" w:space="0" w:color="auto"/>
              <w:right w:val="single" w:sz="4" w:space="0" w:color="auto"/>
            </w:tcBorders>
            <w:shd w:val="clear" w:color="auto" w:fill="auto"/>
            <w:noWrap/>
            <w:vAlign w:val="center"/>
            <w:hideMark/>
          </w:tcPr>
          <w:p w14:paraId="6D9FD8E3"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451</w:t>
            </w:r>
          </w:p>
        </w:tc>
        <w:tc>
          <w:tcPr>
            <w:tcW w:w="920" w:type="dxa"/>
            <w:tcBorders>
              <w:top w:val="nil"/>
              <w:left w:val="nil"/>
              <w:bottom w:val="single" w:sz="4" w:space="0" w:color="auto"/>
              <w:right w:val="single" w:sz="4" w:space="0" w:color="auto"/>
            </w:tcBorders>
            <w:shd w:val="clear" w:color="auto" w:fill="auto"/>
            <w:noWrap/>
            <w:vAlign w:val="center"/>
            <w:hideMark/>
          </w:tcPr>
          <w:p w14:paraId="28505F4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237</w:t>
            </w:r>
          </w:p>
        </w:tc>
        <w:tc>
          <w:tcPr>
            <w:tcW w:w="920" w:type="dxa"/>
            <w:tcBorders>
              <w:top w:val="nil"/>
              <w:left w:val="nil"/>
              <w:bottom w:val="single" w:sz="4" w:space="0" w:color="auto"/>
              <w:right w:val="single" w:sz="4" w:space="0" w:color="auto"/>
            </w:tcBorders>
            <w:shd w:val="clear" w:color="auto" w:fill="auto"/>
            <w:noWrap/>
            <w:vAlign w:val="center"/>
            <w:hideMark/>
          </w:tcPr>
          <w:p w14:paraId="2E64B091"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2,954</w:t>
            </w:r>
          </w:p>
        </w:tc>
        <w:tc>
          <w:tcPr>
            <w:tcW w:w="920" w:type="dxa"/>
            <w:tcBorders>
              <w:top w:val="nil"/>
              <w:left w:val="nil"/>
              <w:bottom w:val="single" w:sz="4" w:space="0" w:color="auto"/>
              <w:right w:val="single" w:sz="4" w:space="0" w:color="auto"/>
            </w:tcBorders>
            <w:shd w:val="clear" w:color="auto" w:fill="auto"/>
            <w:noWrap/>
            <w:vAlign w:val="center"/>
            <w:hideMark/>
          </w:tcPr>
          <w:p w14:paraId="67D668DD"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2781DD59"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4,391</w:t>
            </w:r>
          </w:p>
        </w:tc>
      </w:tr>
      <w:tr w:rsidR="008428AF" w:rsidRPr="00AB625A" w14:paraId="0D9EC51F" w14:textId="77777777" w:rsidTr="00FE1263">
        <w:trPr>
          <w:trHeight w:val="3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CB1575C"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Sunraysia Community Health Services Limited</w:t>
            </w:r>
          </w:p>
        </w:tc>
        <w:tc>
          <w:tcPr>
            <w:tcW w:w="920" w:type="dxa"/>
            <w:tcBorders>
              <w:top w:val="nil"/>
              <w:left w:val="nil"/>
              <w:bottom w:val="single" w:sz="4" w:space="0" w:color="auto"/>
              <w:right w:val="single" w:sz="4" w:space="0" w:color="auto"/>
            </w:tcBorders>
            <w:shd w:val="clear" w:color="auto" w:fill="auto"/>
            <w:noWrap/>
            <w:vAlign w:val="center"/>
            <w:hideMark/>
          </w:tcPr>
          <w:p w14:paraId="5A712B4E"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1,501</w:t>
            </w:r>
          </w:p>
        </w:tc>
        <w:tc>
          <w:tcPr>
            <w:tcW w:w="920" w:type="dxa"/>
            <w:tcBorders>
              <w:top w:val="nil"/>
              <w:left w:val="nil"/>
              <w:bottom w:val="single" w:sz="4" w:space="0" w:color="auto"/>
              <w:right w:val="single" w:sz="4" w:space="0" w:color="auto"/>
            </w:tcBorders>
            <w:shd w:val="clear" w:color="auto" w:fill="auto"/>
            <w:noWrap/>
            <w:vAlign w:val="center"/>
            <w:hideMark/>
          </w:tcPr>
          <w:p w14:paraId="429722B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989</w:t>
            </w:r>
          </w:p>
        </w:tc>
        <w:tc>
          <w:tcPr>
            <w:tcW w:w="920" w:type="dxa"/>
            <w:tcBorders>
              <w:top w:val="nil"/>
              <w:left w:val="nil"/>
              <w:bottom w:val="single" w:sz="4" w:space="0" w:color="auto"/>
              <w:right w:val="single" w:sz="4" w:space="0" w:color="auto"/>
            </w:tcBorders>
            <w:shd w:val="clear" w:color="auto" w:fill="auto"/>
            <w:noWrap/>
            <w:vAlign w:val="center"/>
            <w:hideMark/>
          </w:tcPr>
          <w:p w14:paraId="3B1C4024"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901</w:t>
            </w:r>
          </w:p>
        </w:tc>
        <w:tc>
          <w:tcPr>
            <w:tcW w:w="920" w:type="dxa"/>
            <w:tcBorders>
              <w:top w:val="nil"/>
              <w:left w:val="nil"/>
              <w:bottom w:val="single" w:sz="4" w:space="0" w:color="auto"/>
              <w:right w:val="single" w:sz="4" w:space="0" w:color="auto"/>
            </w:tcBorders>
            <w:shd w:val="clear" w:color="auto" w:fill="auto"/>
            <w:noWrap/>
            <w:vAlign w:val="center"/>
            <w:hideMark/>
          </w:tcPr>
          <w:p w14:paraId="45D5879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2BC0400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3,668</w:t>
            </w:r>
          </w:p>
        </w:tc>
        <w:tc>
          <w:tcPr>
            <w:tcW w:w="920" w:type="dxa"/>
            <w:tcBorders>
              <w:top w:val="nil"/>
              <w:left w:val="nil"/>
              <w:bottom w:val="single" w:sz="4" w:space="0" w:color="auto"/>
              <w:right w:val="single" w:sz="4" w:space="0" w:color="auto"/>
            </w:tcBorders>
            <w:shd w:val="clear" w:color="auto" w:fill="auto"/>
            <w:noWrap/>
            <w:vAlign w:val="center"/>
            <w:hideMark/>
          </w:tcPr>
          <w:p w14:paraId="0965ADB5"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1CC5A5B7"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7,060</w:t>
            </w:r>
          </w:p>
        </w:tc>
        <w:tc>
          <w:tcPr>
            <w:tcW w:w="920" w:type="dxa"/>
            <w:tcBorders>
              <w:top w:val="nil"/>
              <w:left w:val="nil"/>
              <w:bottom w:val="single" w:sz="4" w:space="0" w:color="auto"/>
              <w:right w:val="single" w:sz="4" w:space="0" w:color="auto"/>
            </w:tcBorders>
            <w:shd w:val="clear" w:color="auto" w:fill="auto"/>
            <w:noWrap/>
            <w:vAlign w:val="center"/>
            <w:hideMark/>
          </w:tcPr>
          <w:p w14:paraId="6573105B"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1,494</w:t>
            </w:r>
          </w:p>
        </w:tc>
        <w:tc>
          <w:tcPr>
            <w:tcW w:w="920" w:type="dxa"/>
            <w:tcBorders>
              <w:top w:val="nil"/>
              <w:left w:val="nil"/>
              <w:bottom w:val="single" w:sz="4" w:space="0" w:color="auto"/>
              <w:right w:val="single" w:sz="4" w:space="0" w:color="auto"/>
            </w:tcBorders>
            <w:shd w:val="clear" w:color="auto" w:fill="auto"/>
            <w:noWrap/>
            <w:vAlign w:val="center"/>
            <w:hideMark/>
          </w:tcPr>
          <w:p w14:paraId="0A4759B7"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1,356</w:t>
            </w:r>
          </w:p>
        </w:tc>
        <w:tc>
          <w:tcPr>
            <w:tcW w:w="920" w:type="dxa"/>
            <w:tcBorders>
              <w:top w:val="nil"/>
              <w:left w:val="nil"/>
              <w:bottom w:val="single" w:sz="4" w:space="0" w:color="auto"/>
              <w:right w:val="single" w:sz="4" w:space="0" w:color="auto"/>
            </w:tcBorders>
            <w:shd w:val="clear" w:color="auto" w:fill="auto"/>
            <w:noWrap/>
            <w:vAlign w:val="center"/>
            <w:hideMark/>
          </w:tcPr>
          <w:p w14:paraId="6E496F1C"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931</w:t>
            </w:r>
          </w:p>
        </w:tc>
        <w:tc>
          <w:tcPr>
            <w:tcW w:w="920" w:type="dxa"/>
            <w:tcBorders>
              <w:top w:val="nil"/>
              <w:left w:val="nil"/>
              <w:bottom w:val="single" w:sz="4" w:space="0" w:color="auto"/>
              <w:right w:val="single" w:sz="4" w:space="0" w:color="auto"/>
            </w:tcBorders>
            <w:shd w:val="clear" w:color="auto" w:fill="auto"/>
            <w:noWrap/>
            <w:vAlign w:val="center"/>
            <w:hideMark/>
          </w:tcPr>
          <w:p w14:paraId="123876C4"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1B30FEC5"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4,118</w:t>
            </w:r>
          </w:p>
        </w:tc>
        <w:tc>
          <w:tcPr>
            <w:tcW w:w="920" w:type="dxa"/>
            <w:tcBorders>
              <w:top w:val="nil"/>
              <w:left w:val="nil"/>
              <w:bottom w:val="single" w:sz="4" w:space="0" w:color="auto"/>
              <w:right w:val="single" w:sz="4" w:space="0" w:color="auto"/>
            </w:tcBorders>
            <w:shd w:val="clear" w:color="auto" w:fill="auto"/>
            <w:noWrap/>
            <w:vAlign w:val="center"/>
            <w:hideMark/>
          </w:tcPr>
          <w:p w14:paraId="41AA7C92"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135</w:t>
            </w:r>
          </w:p>
        </w:tc>
        <w:tc>
          <w:tcPr>
            <w:tcW w:w="921" w:type="dxa"/>
            <w:tcBorders>
              <w:top w:val="nil"/>
              <w:left w:val="nil"/>
              <w:bottom w:val="single" w:sz="4" w:space="0" w:color="auto"/>
              <w:right w:val="single" w:sz="4" w:space="0" w:color="auto"/>
            </w:tcBorders>
            <w:shd w:val="clear" w:color="auto" w:fill="auto"/>
            <w:noWrap/>
            <w:vAlign w:val="center"/>
            <w:hideMark/>
          </w:tcPr>
          <w:p w14:paraId="4479BEF0"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8,034</w:t>
            </w:r>
          </w:p>
        </w:tc>
      </w:tr>
      <w:tr w:rsidR="008428AF" w:rsidRPr="00AB625A" w14:paraId="4BB7F71A" w14:textId="77777777" w:rsidTr="00FE1263">
        <w:trPr>
          <w:trHeight w:val="3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EFCF820" w14:textId="77777777" w:rsidR="00462345" w:rsidRPr="00B469AB" w:rsidRDefault="00462345" w:rsidP="003D68D1">
            <w:pPr>
              <w:spacing w:after="0" w:line="240" w:lineRule="auto"/>
              <w:rPr>
                <w:rFonts w:cs="Arial"/>
                <w:color w:val="000000"/>
                <w:sz w:val="16"/>
                <w:szCs w:val="16"/>
                <w:lang w:eastAsia="en-AU"/>
              </w:rPr>
            </w:pPr>
            <w:r w:rsidRPr="00B469AB">
              <w:rPr>
                <w:rFonts w:cs="Arial"/>
                <w:color w:val="000000"/>
                <w:sz w:val="16"/>
                <w:szCs w:val="16"/>
                <w:lang w:eastAsia="en-AU"/>
              </w:rPr>
              <w:t>All other organisations (&lt;$1 m)</w:t>
            </w:r>
          </w:p>
        </w:tc>
        <w:tc>
          <w:tcPr>
            <w:tcW w:w="920" w:type="dxa"/>
            <w:tcBorders>
              <w:top w:val="nil"/>
              <w:left w:val="nil"/>
              <w:bottom w:val="single" w:sz="4" w:space="0" w:color="auto"/>
              <w:right w:val="single" w:sz="4" w:space="0" w:color="auto"/>
            </w:tcBorders>
            <w:shd w:val="clear" w:color="auto" w:fill="auto"/>
            <w:noWrap/>
            <w:vAlign w:val="center"/>
            <w:hideMark/>
          </w:tcPr>
          <w:p w14:paraId="69C7B080"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2CCB0647"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238</w:t>
            </w:r>
          </w:p>
        </w:tc>
        <w:tc>
          <w:tcPr>
            <w:tcW w:w="920" w:type="dxa"/>
            <w:tcBorders>
              <w:top w:val="nil"/>
              <w:left w:val="nil"/>
              <w:bottom w:val="single" w:sz="4" w:space="0" w:color="auto"/>
              <w:right w:val="single" w:sz="4" w:space="0" w:color="auto"/>
            </w:tcBorders>
            <w:shd w:val="clear" w:color="auto" w:fill="auto"/>
            <w:noWrap/>
            <w:vAlign w:val="center"/>
            <w:hideMark/>
          </w:tcPr>
          <w:p w14:paraId="03BC9B3A"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220</w:t>
            </w:r>
          </w:p>
        </w:tc>
        <w:tc>
          <w:tcPr>
            <w:tcW w:w="920" w:type="dxa"/>
            <w:tcBorders>
              <w:top w:val="nil"/>
              <w:left w:val="nil"/>
              <w:bottom w:val="single" w:sz="4" w:space="0" w:color="auto"/>
              <w:right w:val="single" w:sz="4" w:space="0" w:color="auto"/>
            </w:tcBorders>
            <w:shd w:val="clear" w:color="auto" w:fill="auto"/>
            <w:noWrap/>
            <w:vAlign w:val="center"/>
            <w:hideMark/>
          </w:tcPr>
          <w:p w14:paraId="759BB3D8"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714F5303"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831</w:t>
            </w:r>
          </w:p>
        </w:tc>
        <w:tc>
          <w:tcPr>
            <w:tcW w:w="920" w:type="dxa"/>
            <w:tcBorders>
              <w:top w:val="nil"/>
              <w:left w:val="nil"/>
              <w:bottom w:val="single" w:sz="4" w:space="0" w:color="auto"/>
              <w:right w:val="single" w:sz="4" w:space="0" w:color="auto"/>
            </w:tcBorders>
            <w:shd w:val="clear" w:color="auto" w:fill="auto"/>
            <w:noWrap/>
            <w:vAlign w:val="center"/>
            <w:hideMark/>
          </w:tcPr>
          <w:p w14:paraId="0B308983"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60181DF6"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1,289</w:t>
            </w:r>
          </w:p>
        </w:tc>
        <w:tc>
          <w:tcPr>
            <w:tcW w:w="920" w:type="dxa"/>
            <w:tcBorders>
              <w:top w:val="nil"/>
              <w:left w:val="nil"/>
              <w:bottom w:val="single" w:sz="4" w:space="0" w:color="auto"/>
              <w:right w:val="single" w:sz="4" w:space="0" w:color="auto"/>
            </w:tcBorders>
            <w:shd w:val="clear" w:color="auto" w:fill="auto"/>
            <w:noWrap/>
            <w:vAlign w:val="center"/>
            <w:hideMark/>
          </w:tcPr>
          <w:p w14:paraId="18424920"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41FC1389"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239</w:t>
            </w:r>
          </w:p>
        </w:tc>
        <w:tc>
          <w:tcPr>
            <w:tcW w:w="920" w:type="dxa"/>
            <w:tcBorders>
              <w:top w:val="nil"/>
              <w:left w:val="nil"/>
              <w:bottom w:val="single" w:sz="4" w:space="0" w:color="auto"/>
              <w:right w:val="single" w:sz="4" w:space="0" w:color="auto"/>
            </w:tcBorders>
            <w:shd w:val="clear" w:color="auto" w:fill="auto"/>
            <w:noWrap/>
            <w:vAlign w:val="center"/>
            <w:hideMark/>
          </w:tcPr>
          <w:p w14:paraId="7E865079"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228</w:t>
            </w:r>
          </w:p>
        </w:tc>
        <w:tc>
          <w:tcPr>
            <w:tcW w:w="920" w:type="dxa"/>
            <w:tcBorders>
              <w:top w:val="nil"/>
              <w:left w:val="nil"/>
              <w:bottom w:val="single" w:sz="4" w:space="0" w:color="auto"/>
              <w:right w:val="single" w:sz="4" w:space="0" w:color="auto"/>
            </w:tcBorders>
            <w:shd w:val="clear" w:color="auto" w:fill="auto"/>
            <w:noWrap/>
            <w:vAlign w:val="center"/>
            <w:hideMark/>
          </w:tcPr>
          <w:p w14:paraId="01CA2CC5"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442429F4"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0" w:type="dxa"/>
            <w:tcBorders>
              <w:top w:val="nil"/>
              <w:left w:val="nil"/>
              <w:bottom w:val="single" w:sz="4" w:space="0" w:color="auto"/>
              <w:right w:val="single" w:sz="4" w:space="0" w:color="auto"/>
            </w:tcBorders>
            <w:shd w:val="clear" w:color="auto" w:fill="auto"/>
            <w:noWrap/>
            <w:vAlign w:val="center"/>
            <w:hideMark/>
          </w:tcPr>
          <w:p w14:paraId="3A6A4BD0" w14:textId="77777777" w:rsidR="00462345" w:rsidRPr="00B469AB" w:rsidRDefault="00462345"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21" w:type="dxa"/>
            <w:tcBorders>
              <w:top w:val="nil"/>
              <w:left w:val="nil"/>
              <w:bottom w:val="single" w:sz="4" w:space="0" w:color="auto"/>
              <w:right w:val="single" w:sz="4" w:space="0" w:color="auto"/>
            </w:tcBorders>
            <w:shd w:val="clear" w:color="auto" w:fill="auto"/>
            <w:noWrap/>
            <w:vAlign w:val="center"/>
            <w:hideMark/>
          </w:tcPr>
          <w:p w14:paraId="1AEB30B3"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467</w:t>
            </w:r>
          </w:p>
        </w:tc>
      </w:tr>
      <w:tr w:rsidR="008428AF" w:rsidRPr="00AB625A" w14:paraId="1AC877C2" w14:textId="77777777" w:rsidTr="00FE126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B8F8380" w14:textId="77777777" w:rsidR="00462345" w:rsidRPr="00B469AB" w:rsidRDefault="00462345" w:rsidP="003D68D1">
            <w:pPr>
              <w:spacing w:after="0" w:line="240" w:lineRule="auto"/>
              <w:rPr>
                <w:rFonts w:cs="Arial"/>
                <w:b/>
                <w:bCs/>
                <w:color w:val="000000"/>
                <w:sz w:val="16"/>
                <w:szCs w:val="16"/>
                <w:lang w:eastAsia="en-AU"/>
              </w:rPr>
            </w:pPr>
            <w:r w:rsidRPr="00B469AB">
              <w:rPr>
                <w:rFonts w:cs="Arial"/>
                <w:b/>
                <w:bCs/>
                <w:color w:val="000000"/>
                <w:sz w:val="16"/>
                <w:szCs w:val="16"/>
                <w:lang w:eastAsia="en-AU"/>
              </w:rPr>
              <w:t>Grand Total</w:t>
            </w:r>
          </w:p>
        </w:tc>
        <w:tc>
          <w:tcPr>
            <w:tcW w:w="920" w:type="dxa"/>
            <w:tcBorders>
              <w:top w:val="nil"/>
              <w:left w:val="nil"/>
              <w:bottom w:val="single" w:sz="4" w:space="0" w:color="auto"/>
              <w:right w:val="single" w:sz="4" w:space="0" w:color="auto"/>
            </w:tcBorders>
            <w:shd w:val="clear" w:color="auto" w:fill="auto"/>
            <w:noWrap/>
            <w:vAlign w:val="center"/>
            <w:hideMark/>
          </w:tcPr>
          <w:p w14:paraId="7BB4A448"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9,014</w:t>
            </w:r>
          </w:p>
        </w:tc>
        <w:tc>
          <w:tcPr>
            <w:tcW w:w="920" w:type="dxa"/>
            <w:tcBorders>
              <w:top w:val="nil"/>
              <w:left w:val="nil"/>
              <w:bottom w:val="single" w:sz="4" w:space="0" w:color="auto"/>
              <w:right w:val="single" w:sz="4" w:space="0" w:color="auto"/>
            </w:tcBorders>
            <w:shd w:val="clear" w:color="auto" w:fill="auto"/>
            <w:noWrap/>
            <w:vAlign w:val="center"/>
            <w:hideMark/>
          </w:tcPr>
          <w:p w14:paraId="5C0F55D1"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31,811</w:t>
            </w:r>
          </w:p>
        </w:tc>
        <w:tc>
          <w:tcPr>
            <w:tcW w:w="920" w:type="dxa"/>
            <w:tcBorders>
              <w:top w:val="nil"/>
              <w:left w:val="nil"/>
              <w:bottom w:val="single" w:sz="4" w:space="0" w:color="auto"/>
              <w:right w:val="single" w:sz="4" w:space="0" w:color="auto"/>
            </w:tcBorders>
            <w:shd w:val="clear" w:color="auto" w:fill="auto"/>
            <w:noWrap/>
            <w:vAlign w:val="center"/>
            <w:hideMark/>
          </w:tcPr>
          <w:p w14:paraId="535C0FE9"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38,211</w:t>
            </w:r>
          </w:p>
        </w:tc>
        <w:tc>
          <w:tcPr>
            <w:tcW w:w="920" w:type="dxa"/>
            <w:tcBorders>
              <w:top w:val="nil"/>
              <w:left w:val="nil"/>
              <w:bottom w:val="single" w:sz="4" w:space="0" w:color="auto"/>
              <w:right w:val="single" w:sz="4" w:space="0" w:color="auto"/>
            </w:tcBorders>
            <w:shd w:val="clear" w:color="auto" w:fill="auto"/>
            <w:noWrap/>
            <w:vAlign w:val="center"/>
            <w:hideMark/>
          </w:tcPr>
          <w:p w14:paraId="0DDB4772"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20,837</w:t>
            </w:r>
          </w:p>
        </w:tc>
        <w:tc>
          <w:tcPr>
            <w:tcW w:w="920" w:type="dxa"/>
            <w:tcBorders>
              <w:top w:val="nil"/>
              <w:left w:val="nil"/>
              <w:bottom w:val="single" w:sz="4" w:space="0" w:color="auto"/>
              <w:right w:val="single" w:sz="4" w:space="0" w:color="auto"/>
            </w:tcBorders>
            <w:shd w:val="clear" w:color="auto" w:fill="auto"/>
            <w:noWrap/>
            <w:vAlign w:val="center"/>
            <w:hideMark/>
          </w:tcPr>
          <w:p w14:paraId="3050A62C"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114,591</w:t>
            </w:r>
          </w:p>
        </w:tc>
        <w:tc>
          <w:tcPr>
            <w:tcW w:w="920" w:type="dxa"/>
            <w:tcBorders>
              <w:top w:val="nil"/>
              <w:left w:val="nil"/>
              <w:bottom w:val="single" w:sz="4" w:space="0" w:color="auto"/>
              <w:right w:val="single" w:sz="4" w:space="0" w:color="auto"/>
            </w:tcBorders>
            <w:shd w:val="clear" w:color="auto" w:fill="auto"/>
            <w:noWrap/>
            <w:vAlign w:val="center"/>
            <w:hideMark/>
          </w:tcPr>
          <w:p w14:paraId="2103C3F2"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3,138</w:t>
            </w:r>
          </w:p>
        </w:tc>
        <w:tc>
          <w:tcPr>
            <w:tcW w:w="921" w:type="dxa"/>
            <w:tcBorders>
              <w:top w:val="nil"/>
              <w:left w:val="nil"/>
              <w:bottom w:val="single" w:sz="4" w:space="0" w:color="auto"/>
              <w:right w:val="single" w:sz="4" w:space="0" w:color="auto"/>
            </w:tcBorders>
            <w:shd w:val="clear" w:color="auto" w:fill="auto"/>
            <w:noWrap/>
            <w:vAlign w:val="center"/>
            <w:hideMark/>
          </w:tcPr>
          <w:p w14:paraId="2880EC37"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217,602</w:t>
            </w:r>
          </w:p>
        </w:tc>
        <w:tc>
          <w:tcPr>
            <w:tcW w:w="920" w:type="dxa"/>
            <w:tcBorders>
              <w:top w:val="nil"/>
              <w:left w:val="nil"/>
              <w:bottom w:val="single" w:sz="4" w:space="0" w:color="auto"/>
              <w:right w:val="single" w:sz="4" w:space="0" w:color="auto"/>
            </w:tcBorders>
            <w:shd w:val="clear" w:color="auto" w:fill="auto"/>
            <w:noWrap/>
            <w:vAlign w:val="center"/>
            <w:hideMark/>
          </w:tcPr>
          <w:p w14:paraId="74F2B086"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8,615</w:t>
            </w:r>
          </w:p>
        </w:tc>
        <w:tc>
          <w:tcPr>
            <w:tcW w:w="920" w:type="dxa"/>
            <w:tcBorders>
              <w:top w:val="nil"/>
              <w:left w:val="nil"/>
              <w:bottom w:val="single" w:sz="4" w:space="0" w:color="auto"/>
              <w:right w:val="single" w:sz="4" w:space="0" w:color="auto"/>
            </w:tcBorders>
            <w:shd w:val="clear" w:color="auto" w:fill="auto"/>
            <w:noWrap/>
            <w:vAlign w:val="center"/>
            <w:hideMark/>
          </w:tcPr>
          <w:p w14:paraId="1D6B0DE0"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34,234</w:t>
            </w:r>
          </w:p>
        </w:tc>
        <w:tc>
          <w:tcPr>
            <w:tcW w:w="920" w:type="dxa"/>
            <w:tcBorders>
              <w:top w:val="nil"/>
              <w:left w:val="nil"/>
              <w:bottom w:val="single" w:sz="4" w:space="0" w:color="auto"/>
              <w:right w:val="single" w:sz="4" w:space="0" w:color="auto"/>
            </w:tcBorders>
            <w:shd w:val="clear" w:color="auto" w:fill="auto"/>
            <w:noWrap/>
            <w:vAlign w:val="center"/>
            <w:hideMark/>
          </w:tcPr>
          <w:p w14:paraId="2F001455"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39,435</w:t>
            </w:r>
          </w:p>
        </w:tc>
        <w:tc>
          <w:tcPr>
            <w:tcW w:w="920" w:type="dxa"/>
            <w:tcBorders>
              <w:top w:val="nil"/>
              <w:left w:val="nil"/>
              <w:bottom w:val="single" w:sz="4" w:space="0" w:color="auto"/>
              <w:right w:val="single" w:sz="4" w:space="0" w:color="auto"/>
            </w:tcBorders>
            <w:shd w:val="clear" w:color="auto" w:fill="auto"/>
            <w:noWrap/>
            <w:vAlign w:val="center"/>
            <w:hideMark/>
          </w:tcPr>
          <w:p w14:paraId="3118BF12"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30,496</w:t>
            </w:r>
          </w:p>
        </w:tc>
        <w:tc>
          <w:tcPr>
            <w:tcW w:w="920" w:type="dxa"/>
            <w:tcBorders>
              <w:top w:val="nil"/>
              <w:left w:val="nil"/>
              <w:bottom w:val="single" w:sz="4" w:space="0" w:color="auto"/>
              <w:right w:val="single" w:sz="4" w:space="0" w:color="auto"/>
            </w:tcBorders>
            <w:shd w:val="clear" w:color="auto" w:fill="auto"/>
            <w:noWrap/>
            <w:vAlign w:val="center"/>
            <w:hideMark/>
          </w:tcPr>
          <w:p w14:paraId="1D66E63D"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120,404</w:t>
            </w:r>
          </w:p>
        </w:tc>
        <w:tc>
          <w:tcPr>
            <w:tcW w:w="920" w:type="dxa"/>
            <w:tcBorders>
              <w:top w:val="nil"/>
              <w:left w:val="nil"/>
              <w:bottom w:val="single" w:sz="4" w:space="0" w:color="auto"/>
              <w:right w:val="single" w:sz="4" w:space="0" w:color="auto"/>
            </w:tcBorders>
            <w:shd w:val="clear" w:color="auto" w:fill="auto"/>
            <w:noWrap/>
            <w:vAlign w:val="center"/>
            <w:hideMark/>
          </w:tcPr>
          <w:p w14:paraId="0F9B7DB1"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3,438</w:t>
            </w:r>
          </w:p>
        </w:tc>
        <w:tc>
          <w:tcPr>
            <w:tcW w:w="921" w:type="dxa"/>
            <w:tcBorders>
              <w:top w:val="nil"/>
              <w:left w:val="nil"/>
              <w:bottom w:val="single" w:sz="4" w:space="0" w:color="auto"/>
              <w:right w:val="single" w:sz="4" w:space="0" w:color="auto"/>
            </w:tcBorders>
            <w:shd w:val="clear" w:color="auto" w:fill="auto"/>
            <w:noWrap/>
            <w:vAlign w:val="center"/>
            <w:hideMark/>
          </w:tcPr>
          <w:p w14:paraId="5B31A65F" w14:textId="77777777" w:rsidR="00462345" w:rsidRPr="00B469AB" w:rsidRDefault="00462345"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236,622</w:t>
            </w:r>
          </w:p>
        </w:tc>
      </w:tr>
    </w:tbl>
    <w:p w14:paraId="74C03E6B" w14:textId="4A79DCD4" w:rsidR="00462345" w:rsidRDefault="00462345" w:rsidP="00462345">
      <w:pPr>
        <w:pStyle w:val="Body"/>
      </w:pPr>
    </w:p>
    <w:p w14:paraId="7F601D5A" w14:textId="2336DABF" w:rsidR="00462345" w:rsidRPr="00373188" w:rsidRDefault="00373188" w:rsidP="00373188">
      <w:pPr>
        <w:spacing w:after="0" w:line="240" w:lineRule="auto"/>
        <w:rPr>
          <w:rFonts w:eastAsia="Times"/>
        </w:rPr>
      </w:pPr>
      <w:r>
        <w:br w:type="page"/>
      </w:r>
    </w:p>
    <w:p w14:paraId="376C7BDA" w14:textId="39662440" w:rsidR="000B27B9" w:rsidRPr="00494D61" w:rsidRDefault="000B27B9" w:rsidP="00081936">
      <w:pPr>
        <w:pStyle w:val="Heading3"/>
        <w:numPr>
          <w:ilvl w:val="2"/>
          <w:numId w:val="33"/>
        </w:numPr>
        <w:spacing w:before="240"/>
        <w:ind w:left="1134"/>
      </w:pPr>
      <w:bookmarkStart w:id="1055" w:name="_Toc144905673"/>
      <w:bookmarkStart w:id="1056" w:name="_Toc12780661"/>
      <w:bookmarkStart w:id="1057" w:name="_Toc14172302"/>
      <w:bookmarkStart w:id="1058" w:name="_Toc33703976"/>
      <w:bookmarkStart w:id="1059" w:name="_Toc55381164"/>
      <w:bookmarkStart w:id="1060" w:name="_Toc100263370"/>
      <w:bookmarkStart w:id="1061" w:name="_Toc156569694"/>
      <w:bookmarkEnd w:id="1055"/>
      <w:r w:rsidRPr="00494D61">
        <w:t xml:space="preserve">Local </w:t>
      </w:r>
      <w:r w:rsidR="009522D1">
        <w:t>g</w:t>
      </w:r>
      <w:r w:rsidR="009522D1" w:rsidRPr="00494D61">
        <w:t xml:space="preserve">overnment </w:t>
      </w:r>
      <w:bookmarkEnd w:id="1056"/>
      <w:bookmarkEnd w:id="1057"/>
      <w:bookmarkEnd w:id="1058"/>
      <w:bookmarkEnd w:id="1059"/>
      <w:r w:rsidR="009522D1">
        <w:t>a</w:t>
      </w:r>
      <w:r w:rsidR="009522D1" w:rsidRPr="00494D61">
        <w:t xml:space="preserve">uthorities </w:t>
      </w:r>
      <w:r w:rsidR="005D1FCB" w:rsidRPr="00494D61">
        <w:t>202</w:t>
      </w:r>
      <w:r w:rsidR="00A0370E">
        <w:t>2</w:t>
      </w:r>
      <w:r w:rsidR="00AB0330" w:rsidRPr="00494D61">
        <w:t>–</w:t>
      </w:r>
      <w:r w:rsidR="005D1FCB" w:rsidRPr="00494D61">
        <w:t>2</w:t>
      </w:r>
      <w:r w:rsidR="00A0370E">
        <w:t>3</w:t>
      </w:r>
      <w:r w:rsidR="005D1FCB" w:rsidRPr="00494D61">
        <w:t xml:space="preserve"> and </w:t>
      </w:r>
      <w:bookmarkEnd w:id="1060"/>
      <w:r w:rsidR="005D1FCB" w:rsidRPr="00494D61">
        <w:t>202</w:t>
      </w:r>
      <w:r w:rsidR="00A0370E">
        <w:t>3</w:t>
      </w:r>
      <w:r w:rsidR="00AB0330" w:rsidRPr="00494D61">
        <w:t>–</w:t>
      </w:r>
      <w:r w:rsidR="005D1FCB" w:rsidRPr="00494D61">
        <w:t>2</w:t>
      </w:r>
      <w:r w:rsidR="00A0370E">
        <w:t>4</w:t>
      </w:r>
      <w:bookmarkEnd w:id="1061"/>
    </w:p>
    <w:p w14:paraId="57D832D6" w14:textId="77777777" w:rsidR="000B27B9" w:rsidRPr="00494D61" w:rsidRDefault="000B27B9" w:rsidP="0064265C">
      <w:pPr>
        <w:pStyle w:val="Tablefigurenote9pt"/>
      </w:pPr>
      <w:r w:rsidRPr="00494D61">
        <w:t>Notes:</w:t>
      </w:r>
    </w:p>
    <w:p w14:paraId="08506EB1" w14:textId="77777777" w:rsidR="000B27B9" w:rsidRPr="00494D61" w:rsidRDefault="000B27B9" w:rsidP="007973C3">
      <w:pPr>
        <w:pStyle w:val="Tablenoteroman"/>
        <w:numPr>
          <w:ilvl w:val="0"/>
          <w:numId w:val="6"/>
        </w:numPr>
      </w:pPr>
      <w:r w:rsidRPr="00494D61">
        <w:t>This table shows the health funding to local government authorities that receive &gt; $1 million from specific health outputs.</w:t>
      </w:r>
    </w:p>
    <w:p w14:paraId="4858F324" w14:textId="77777777" w:rsidR="000B27B9" w:rsidRPr="00494D61" w:rsidRDefault="000B27B9" w:rsidP="007973C3">
      <w:pPr>
        <w:pStyle w:val="Tablenoteroman"/>
        <w:numPr>
          <w:ilvl w:val="0"/>
          <w:numId w:val="6"/>
        </w:numPr>
        <w:rPr>
          <w:lang w:eastAsia="en-AU"/>
        </w:rPr>
      </w:pPr>
      <w:r w:rsidRPr="00494D61">
        <w:rPr>
          <w:lang w:eastAsia="en-AU"/>
        </w:rPr>
        <w:t>Subtotals and totals may not add up due to rounding.</w:t>
      </w:r>
    </w:p>
    <w:p w14:paraId="435DFA53" w14:textId="705941F9" w:rsidR="00B469AB" w:rsidRPr="00B469AB" w:rsidRDefault="000B27B9" w:rsidP="00974CBE">
      <w:pPr>
        <w:pStyle w:val="Tablecaption"/>
      </w:pPr>
      <w:bookmarkStart w:id="1062" w:name="_Toc12780565"/>
      <w:bookmarkStart w:id="1063" w:name="_Toc14194821"/>
      <w:bookmarkStart w:id="1064" w:name="_Toc33704002"/>
      <w:bookmarkStart w:id="1065" w:name="_Toc109894132"/>
      <w:bookmarkStart w:id="1066" w:name="_Toc156568683"/>
      <w:r w:rsidRPr="00494D61">
        <w:t xml:space="preserve">Table </w:t>
      </w:r>
      <w:r>
        <w:fldChar w:fldCharType="begin"/>
      </w:r>
      <w:r>
        <w:instrText>STYLEREF 1 \s</w:instrText>
      </w:r>
      <w:r>
        <w:fldChar w:fldCharType="separate"/>
      </w:r>
      <w:r w:rsidR="00892F13">
        <w:rPr>
          <w:noProof/>
        </w:rPr>
        <w:t>2</w:t>
      </w:r>
      <w:r>
        <w:fldChar w:fldCharType="end"/>
      </w:r>
      <w:r w:rsidR="00742C12">
        <w:t>.</w:t>
      </w:r>
      <w:r>
        <w:fldChar w:fldCharType="begin"/>
      </w:r>
      <w:r>
        <w:instrText>SEQ Table \* ARABIC \s 1</w:instrText>
      </w:r>
      <w:r>
        <w:fldChar w:fldCharType="separate"/>
      </w:r>
      <w:r w:rsidR="00892F13">
        <w:rPr>
          <w:noProof/>
        </w:rPr>
        <w:t>6</w:t>
      </w:r>
      <w:r>
        <w:fldChar w:fldCharType="end"/>
      </w:r>
      <w:r w:rsidRPr="00494D61">
        <w:t xml:space="preserve">: Local government authorities </w:t>
      </w:r>
      <w:bookmarkEnd w:id="1062"/>
      <w:bookmarkEnd w:id="1063"/>
      <w:bookmarkEnd w:id="1064"/>
      <w:bookmarkEnd w:id="1065"/>
      <w:r w:rsidR="005D1FCB" w:rsidRPr="00494D61">
        <w:t>202</w:t>
      </w:r>
      <w:r w:rsidR="00A0370E">
        <w:t>2</w:t>
      </w:r>
      <w:r w:rsidR="00AB0330" w:rsidRPr="00494D61">
        <w:t>–</w:t>
      </w:r>
      <w:r w:rsidR="005D1FCB" w:rsidRPr="00494D61">
        <w:t>2</w:t>
      </w:r>
      <w:r w:rsidR="00A0370E">
        <w:t>3</w:t>
      </w:r>
      <w:r w:rsidR="005D1FCB" w:rsidRPr="00494D61">
        <w:t xml:space="preserve"> and 202</w:t>
      </w:r>
      <w:r w:rsidR="00A0370E">
        <w:t>3</w:t>
      </w:r>
      <w:r w:rsidR="00AB0330" w:rsidRPr="00494D61">
        <w:t>–</w:t>
      </w:r>
      <w:r w:rsidR="005D1FCB" w:rsidRPr="00494D61">
        <w:t>2</w:t>
      </w:r>
      <w:r w:rsidR="00A0370E">
        <w:t>4</w:t>
      </w:r>
      <w:r w:rsidR="00E110F6">
        <w:t xml:space="preserve"> – $’000s</w:t>
      </w:r>
      <w:bookmarkEnd w:id="1066"/>
    </w:p>
    <w:tbl>
      <w:tblPr>
        <w:tblW w:w="14879" w:type="dxa"/>
        <w:tblLayout w:type="fixed"/>
        <w:tblLook w:val="04A0" w:firstRow="1" w:lastRow="0" w:firstColumn="1" w:lastColumn="0" w:noHBand="0" w:noVBand="1"/>
      </w:tblPr>
      <w:tblGrid>
        <w:gridCol w:w="2405"/>
        <w:gridCol w:w="1247"/>
        <w:gridCol w:w="1247"/>
        <w:gridCol w:w="1248"/>
        <w:gridCol w:w="1247"/>
        <w:gridCol w:w="1248"/>
        <w:gridCol w:w="1247"/>
        <w:gridCol w:w="1247"/>
        <w:gridCol w:w="1248"/>
        <w:gridCol w:w="1247"/>
        <w:gridCol w:w="1248"/>
      </w:tblGrid>
      <w:tr w:rsidR="00B469AB" w:rsidRPr="00AB625A" w14:paraId="7439D4EB" w14:textId="77777777" w:rsidTr="00414F21">
        <w:trPr>
          <w:trHeight w:val="900"/>
          <w:tblHeader/>
        </w:trPr>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14:paraId="7BFC33E4" w14:textId="77777777" w:rsidR="00B469AB" w:rsidRPr="00AB625A" w:rsidRDefault="00B469AB" w:rsidP="003D68D1">
            <w:pPr>
              <w:spacing w:after="0" w:line="240" w:lineRule="auto"/>
              <w:rPr>
                <w:rFonts w:cs="Arial"/>
                <w:b/>
                <w:bCs/>
                <w:color w:val="53565A"/>
                <w:sz w:val="16"/>
                <w:szCs w:val="16"/>
                <w:lang w:eastAsia="en-AU"/>
              </w:rPr>
            </w:pPr>
            <w:r w:rsidRPr="00AB625A">
              <w:rPr>
                <w:rFonts w:cs="Arial"/>
                <w:b/>
                <w:bCs/>
                <w:color w:val="53565A"/>
                <w:sz w:val="16"/>
                <w:szCs w:val="16"/>
                <w:lang w:eastAsia="en-AU"/>
              </w:rPr>
              <w:t>Health Service</w:t>
            </w:r>
          </w:p>
        </w:tc>
        <w:tc>
          <w:tcPr>
            <w:tcW w:w="1247" w:type="dxa"/>
            <w:tcBorders>
              <w:top w:val="single" w:sz="4" w:space="0" w:color="auto"/>
              <w:left w:val="nil"/>
              <w:bottom w:val="single" w:sz="4" w:space="0" w:color="auto"/>
              <w:right w:val="single" w:sz="4" w:space="0" w:color="auto"/>
            </w:tcBorders>
            <w:shd w:val="clear" w:color="auto" w:fill="auto"/>
            <w:hideMark/>
          </w:tcPr>
          <w:p w14:paraId="155FBC73" w14:textId="77777777" w:rsidR="00B469AB" w:rsidRPr="00AB625A" w:rsidRDefault="00B469AB"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2022–23</w:t>
            </w:r>
            <w:r w:rsidRPr="00AB625A">
              <w:rPr>
                <w:rFonts w:cs="Arial"/>
                <w:b/>
                <w:bCs/>
                <w:color w:val="53565A"/>
                <w:sz w:val="16"/>
                <w:szCs w:val="16"/>
                <w:lang w:eastAsia="en-AU"/>
              </w:rPr>
              <w:br/>
              <w:t>Ageing, aged and home care</w:t>
            </w:r>
          </w:p>
        </w:tc>
        <w:tc>
          <w:tcPr>
            <w:tcW w:w="1247" w:type="dxa"/>
            <w:tcBorders>
              <w:top w:val="single" w:sz="4" w:space="0" w:color="auto"/>
              <w:left w:val="nil"/>
              <w:bottom w:val="single" w:sz="4" w:space="0" w:color="auto"/>
              <w:right w:val="single" w:sz="4" w:space="0" w:color="auto"/>
            </w:tcBorders>
            <w:shd w:val="clear" w:color="auto" w:fill="auto"/>
            <w:hideMark/>
          </w:tcPr>
          <w:p w14:paraId="14CD3CC1" w14:textId="77777777" w:rsidR="00B469AB" w:rsidRPr="00AB625A" w:rsidRDefault="00B469AB"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2022–23</w:t>
            </w:r>
            <w:r w:rsidRPr="00AB625A">
              <w:rPr>
                <w:rFonts w:cs="Arial"/>
                <w:b/>
                <w:bCs/>
                <w:color w:val="53565A"/>
                <w:sz w:val="16"/>
                <w:szCs w:val="16"/>
                <w:lang w:eastAsia="en-AU"/>
              </w:rPr>
              <w:br/>
              <w:t>Mental health</w:t>
            </w:r>
          </w:p>
        </w:tc>
        <w:tc>
          <w:tcPr>
            <w:tcW w:w="1248" w:type="dxa"/>
            <w:tcBorders>
              <w:top w:val="single" w:sz="4" w:space="0" w:color="auto"/>
              <w:left w:val="nil"/>
              <w:bottom w:val="single" w:sz="4" w:space="0" w:color="auto"/>
              <w:right w:val="single" w:sz="4" w:space="0" w:color="auto"/>
            </w:tcBorders>
            <w:shd w:val="clear" w:color="auto" w:fill="auto"/>
            <w:hideMark/>
          </w:tcPr>
          <w:p w14:paraId="20A07BB3" w14:textId="77777777" w:rsidR="00B469AB" w:rsidRPr="00AB625A" w:rsidRDefault="00B469AB"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2022–23</w:t>
            </w:r>
            <w:r w:rsidRPr="00AB625A">
              <w:rPr>
                <w:rFonts w:cs="Arial"/>
                <w:b/>
                <w:bCs/>
                <w:color w:val="53565A"/>
                <w:sz w:val="16"/>
                <w:szCs w:val="16"/>
                <w:lang w:eastAsia="en-AU"/>
              </w:rPr>
              <w:br/>
              <w:t>Primary and dental health</w:t>
            </w:r>
          </w:p>
        </w:tc>
        <w:tc>
          <w:tcPr>
            <w:tcW w:w="1247" w:type="dxa"/>
            <w:tcBorders>
              <w:top w:val="single" w:sz="4" w:space="0" w:color="auto"/>
              <w:left w:val="nil"/>
              <w:bottom w:val="single" w:sz="4" w:space="0" w:color="auto"/>
              <w:right w:val="single" w:sz="4" w:space="0" w:color="auto"/>
            </w:tcBorders>
            <w:shd w:val="clear" w:color="auto" w:fill="auto"/>
            <w:hideMark/>
          </w:tcPr>
          <w:p w14:paraId="47B655B9" w14:textId="77777777" w:rsidR="00B469AB" w:rsidRPr="00AB625A" w:rsidRDefault="00B469AB"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2022–23</w:t>
            </w:r>
            <w:r w:rsidRPr="00AB625A">
              <w:rPr>
                <w:rFonts w:cs="Arial"/>
                <w:b/>
                <w:bCs/>
                <w:color w:val="53565A"/>
                <w:sz w:val="16"/>
                <w:szCs w:val="16"/>
                <w:lang w:eastAsia="en-AU"/>
              </w:rPr>
              <w:br/>
              <w:t>Public health</w:t>
            </w:r>
          </w:p>
        </w:tc>
        <w:tc>
          <w:tcPr>
            <w:tcW w:w="1248" w:type="dxa"/>
            <w:tcBorders>
              <w:top w:val="single" w:sz="4" w:space="0" w:color="auto"/>
              <w:left w:val="nil"/>
              <w:bottom w:val="single" w:sz="4" w:space="0" w:color="auto"/>
              <w:right w:val="single" w:sz="4" w:space="0" w:color="auto"/>
            </w:tcBorders>
            <w:shd w:val="clear" w:color="auto" w:fill="auto"/>
            <w:hideMark/>
          </w:tcPr>
          <w:p w14:paraId="39036FED" w14:textId="77777777" w:rsidR="00B469AB" w:rsidRPr="00AB625A" w:rsidRDefault="00B469AB"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2022–23</w:t>
            </w:r>
            <w:r w:rsidRPr="00AB625A">
              <w:rPr>
                <w:rFonts w:cs="Arial"/>
                <w:b/>
                <w:bCs/>
                <w:color w:val="53565A"/>
                <w:sz w:val="16"/>
                <w:szCs w:val="16"/>
                <w:lang w:eastAsia="en-AU"/>
              </w:rPr>
              <w:br/>
              <w:t>Total</w:t>
            </w:r>
          </w:p>
        </w:tc>
        <w:tc>
          <w:tcPr>
            <w:tcW w:w="1247" w:type="dxa"/>
            <w:tcBorders>
              <w:top w:val="single" w:sz="4" w:space="0" w:color="auto"/>
              <w:left w:val="nil"/>
              <w:bottom w:val="single" w:sz="4" w:space="0" w:color="auto"/>
              <w:right w:val="single" w:sz="4" w:space="0" w:color="auto"/>
            </w:tcBorders>
            <w:shd w:val="clear" w:color="auto" w:fill="auto"/>
            <w:hideMark/>
          </w:tcPr>
          <w:p w14:paraId="53E9A925" w14:textId="77777777" w:rsidR="00B469AB" w:rsidRPr="00AB625A" w:rsidRDefault="00B469AB"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2023–24</w:t>
            </w:r>
            <w:r w:rsidRPr="00AB625A">
              <w:rPr>
                <w:rFonts w:cs="Arial"/>
                <w:b/>
                <w:bCs/>
                <w:color w:val="53565A"/>
                <w:sz w:val="16"/>
                <w:szCs w:val="16"/>
                <w:lang w:eastAsia="en-AU"/>
              </w:rPr>
              <w:br/>
              <w:t>Ageing, aged and home care</w:t>
            </w:r>
          </w:p>
        </w:tc>
        <w:tc>
          <w:tcPr>
            <w:tcW w:w="1247" w:type="dxa"/>
            <w:tcBorders>
              <w:top w:val="single" w:sz="4" w:space="0" w:color="auto"/>
              <w:left w:val="nil"/>
              <w:bottom w:val="single" w:sz="4" w:space="0" w:color="auto"/>
              <w:right w:val="single" w:sz="4" w:space="0" w:color="auto"/>
            </w:tcBorders>
            <w:shd w:val="clear" w:color="auto" w:fill="auto"/>
            <w:hideMark/>
          </w:tcPr>
          <w:p w14:paraId="460AC64F" w14:textId="77777777" w:rsidR="00B469AB" w:rsidRPr="00AB625A" w:rsidRDefault="00B469AB"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2023–24</w:t>
            </w:r>
            <w:r w:rsidRPr="00AB625A">
              <w:rPr>
                <w:rFonts w:cs="Arial"/>
                <w:b/>
                <w:bCs/>
                <w:color w:val="53565A"/>
                <w:sz w:val="16"/>
                <w:szCs w:val="16"/>
                <w:lang w:eastAsia="en-AU"/>
              </w:rPr>
              <w:br/>
              <w:t>Mental health</w:t>
            </w:r>
          </w:p>
        </w:tc>
        <w:tc>
          <w:tcPr>
            <w:tcW w:w="1248" w:type="dxa"/>
            <w:tcBorders>
              <w:top w:val="single" w:sz="4" w:space="0" w:color="auto"/>
              <w:left w:val="nil"/>
              <w:bottom w:val="single" w:sz="4" w:space="0" w:color="auto"/>
              <w:right w:val="single" w:sz="4" w:space="0" w:color="auto"/>
            </w:tcBorders>
            <w:shd w:val="clear" w:color="auto" w:fill="auto"/>
            <w:hideMark/>
          </w:tcPr>
          <w:p w14:paraId="2666A4AF" w14:textId="77777777" w:rsidR="00B469AB" w:rsidRPr="00AB625A" w:rsidRDefault="00B469AB"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2023–24</w:t>
            </w:r>
            <w:r w:rsidRPr="00AB625A">
              <w:rPr>
                <w:rFonts w:cs="Arial"/>
                <w:b/>
                <w:bCs/>
                <w:color w:val="53565A"/>
                <w:sz w:val="16"/>
                <w:szCs w:val="16"/>
                <w:lang w:eastAsia="en-AU"/>
              </w:rPr>
              <w:br/>
              <w:t>Primary and dental health</w:t>
            </w:r>
          </w:p>
        </w:tc>
        <w:tc>
          <w:tcPr>
            <w:tcW w:w="1247" w:type="dxa"/>
            <w:tcBorders>
              <w:top w:val="single" w:sz="4" w:space="0" w:color="auto"/>
              <w:left w:val="nil"/>
              <w:bottom w:val="single" w:sz="4" w:space="0" w:color="auto"/>
              <w:right w:val="single" w:sz="4" w:space="0" w:color="auto"/>
            </w:tcBorders>
            <w:shd w:val="clear" w:color="auto" w:fill="auto"/>
            <w:hideMark/>
          </w:tcPr>
          <w:p w14:paraId="4AC89B33" w14:textId="77777777" w:rsidR="00B469AB" w:rsidRPr="00AB625A" w:rsidRDefault="00B469AB"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2023–24</w:t>
            </w:r>
            <w:r w:rsidRPr="00AB625A">
              <w:rPr>
                <w:rFonts w:cs="Arial"/>
                <w:b/>
                <w:bCs/>
                <w:color w:val="53565A"/>
                <w:sz w:val="16"/>
                <w:szCs w:val="16"/>
                <w:lang w:eastAsia="en-AU"/>
              </w:rPr>
              <w:br/>
              <w:t>Public health</w:t>
            </w:r>
          </w:p>
        </w:tc>
        <w:tc>
          <w:tcPr>
            <w:tcW w:w="1248" w:type="dxa"/>
            <w:tcBorders>
              <w:top w:val="single" w:sz="4" w:space="0" w:color="auto"/>
              <w:left w:val="nil"/>
              <w:bottom w:val="single" w:sz="4" w:space="0" w:color="auto"/>
              <w:right w:val="single" w:sz="4" w:space="0" w:color="auto"/>
            </w:tcBorders>
            <w:shd w:val="clear" w:color="auto" w:fill="auto"/>
            <w:hideMark/>
          </w:tcPr>
          <w:p w14:paraId="0CF6D443" w14:textId="77777777" w:rsidR="00B469AB" w:rsidRPr="00AB625A" w:rsidRDefault="00B469AB"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2023–24</w:t>
            </w:r>
            <w:r w:rsidRPr="00AB625A">
              <w:rPr>
                <w:rFonts w:cs="Arial"/>
                <w:b/>
                <w:bCs/>
                <w:color w:val="53565A"/>
                <w:sz w:val="16"/>
                <w:szCs w:val="16"/>
                <w:lang w:eastAsia="en-AU"/>
              </w:rPr>
              <w:br/>
              <w:t>Total</w:t>
            </w:r>
          </w:p>
        </w:tc>
      </w:tr>
      <w:tr w:rsidR="00B469AB" w:rsidRPr="00AB625A" w14:paraId="7FF108AD"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9AA3F9E"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Banyule City Council</w:t>
            </w:r>
          </w:p>
        </w:tc>
        <w:tc>
          <w:tcPr>
            <w:tcW w:w="1247" w:type="dxa"/>
            <w:tcBorders>
              <w:top w:val="nil"/>
              <w:left w:val="nil"/>
              <w:bottom w:val="single" w:sz="4" w:space="0" w:color="auto"/>
              <w:right w:val="single" w:sz="4" w:space="0" w:color="auto"/>
            </w:tcBorders>
            <w:shd w:val="clear" w:color="auto" w:fill="auto"/>
            <w:noWrap/>
            <w:vAlign w:val="center"/>
            <w:hideMark/>
          </w:tcPr>
          <w:p w14:paraId="4357812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306</w:t>
            </w:r>
          </w:p>
        </w:tc>
        <w:tc>
          <w:tcPr>
            <w:tcW w:w="1247" w:type="dxa"/>
            <w:tcBorders>
              <w:top w:val="nil"/>
              <w:left w:val="nil"/>
              <w:bottom w:val="single" w:sz="4" w:space="0" w:color="auto"/>
              <w:right w:val="single" w:sz="4" w:space="0" w:color="auto"/>
            </w:tcBorders>
            <w:shd w:val="clear" w:color="auto" w:fill="auto"/>
            <w:noWrap/>
            <w:vAlign w:val="center"/>
            <w:hideMark/>
          </w:tcPr>
          <w:p w14:paraId="0F03104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0393925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1,257</w:t>
            </w:r>
          </w:p>
        </w:tc>
        <w:tc>
          <w:tcPr>
            <w:tcW w:w="1247" w:type="dxa"/>
            <w:tcBorders>
              <w:top w:val="nil"/>
              <w:left w:val="nil"/>
              <w:bottom w:val="single" w:sz="4" w:space="0" w:color="auto"/>
              <w:right w:val="single" w:sz="4" w:space="0" w:color="auto"/>
            </w:tcBorders>
            <w:shd w:val="clear" w:color="auto" w:fill="auto"/>
            <w:noWrap/>
            <w:vAlign w:val="center"/>
            <w:hideMark/>
          </w:tcPr>
          <w:p w14:paraId="4F60D4D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50D20469"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1,563</w:t>
            </w:r>
          </w:p>
        </w:tc>
        <w:tc>
          <w:tcPr>
            <w:tcW w:w="1247" w:type="dxa"/>
            <w:tcBorders>
              <w:top w:val="nil"/>
              <w:left w:val="nil"/>
              <w:bottom w:val="single" w:sz="4" w:space="0" w:color="auto"/>
              <w:right w:val="single" w:sz="4" w:space="0" w:color="auto"/>
            </w:tcBorders>
            <w:shd w:val="clear" w:color="auto" w:fill="auto"/>
            <w:noWrap/>
            <w:vAlign w:val="center"/>
            <w:hideMark/>
          </w:tcPr>
          <w:p w14:paraId="240014D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314</w:t>
            </w:r>
          </w:p>
        </w:tc>
        <w:tc>
          <w:tcPr>
            <w:tcW w:w="1247" w:type="dxa"/>
            <w:tcBorders>
              <w:top w:val="nil"/>
              <w:left w:val="nil"/>
              <w:bottom w:val="single" w:sz="4" w:space="0" w:color="auto"/>
              <w:right w:val="single" w:sz="4" w:space="0" w:color="auto"/>
            </w:tcBorders>
            <w:shd w:val="clear" w:color="auto" w:fill="auto"/>
            <w:noWrap/>
            <w:vAlign w:val="center"/>
            <w:hideMark/>
          </w:tcPr>
          <w:p w14:paraId="322CA77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762169E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1,298</w:t>
            </w:r>
          </w:p>
        </w:tc>
        <w:tc>
          <w:tcPr>
            <w:tcW w:w="1247" w:type="dxa"/>
            <w:tcBorders>
              <w:top w:val="nil"/>
              <w:left w:val="nil"/>
              <w:bottom w:val="single" w:sz="4" w:space="0" w:color="auto"/>
              <w:right w:val="single" w:sz="4" w:space="0" w:color="auto"/>
            </w:tcBorders>
            <w:shd w:val="clear" w:color="auto" w:fill="auto"/>
            <w:noWrap/>
            <w:vAlign w:val="center"/>
            <w:hideMark/>
          </w:tcPr>
          <w:p w14:paraId="7AE7BAE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26FAD603"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1,612</w:t>
            </w:r>
          </w:p>
        </w:tc>
      </w:tr>
      <w:tr w:rsidR="00B469AB" w:rsidRPr="00AB625A" w14:paraId="6BD3206F"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CE6E203"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Baw Baw Shire Council</w:t>
            </w:r>
          </w:p>
        </w:tc>
        <w:tc>
          <w:tcPr>
            <w:tcW w:w="1247" w:type="dxa"/>
            <w:tcBorders>
              <w:top w:val="nil"/>
              <w:left w:val="nil"/>
              <w:bottom w:val="single" w:sz="4" w:space="0" w:color="auto"/>
              <w:right w:val="single" w:sz="4" w:space="0" w:color="auto"/>
            </w:tcBorders>
            <w:shd w:val="clear" w:color="auto" w:fill="auto"/>
            <w:noWrap/>
            <w:vAlign w:val="center"/>
            <w:hideMark/>
          </w:tcPr>
          <w:p w14:paraId="20796F0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40</w:t>
            </w:r>
          </w:p>
        </w:tc>
        <w:tc>
          <w:tcPr>
            <w:tcW w:w="1247" w:type="dxa"/>
            <w:tcBorders>
              <w:top w:val="nil"/>
              <w:left w:val="nil"/>
              <w:bottom w:val="single" w:sz="4" w:space="0" w:color="auto"/>
              <w:right w:val="single" w:sz="4" w:space="0" w:color="auto"/>
            </w:tcBorders>
            <w:shd w:val="clear" w:color="auto" w:fill="auto"/>
            <w:noWrap/>
            <w:vAlign w:val="center"/>
            <w:hideMark/>
          </w:tcPr>
          <w:p w14:paraId="6DA4FC2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6D6ABFE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1,002</w:t>
            </w:r>
          </w:p>
        </w:tc>
        <w:tc>
          <w:tcPr>
            <w:tcW w:w="1247" w:type="dxa"/>
            <w:tcBorders>
              <w:top w:val="nil"/>
              <w:left w:val="nil"/>
              <w:bottom w:val="single" w:sz="4" w:space="0" w:color="auto"/>
              <w:right w:val="single" w:sz="4" w:space="0" w:color="auto"/>
            </w:tcBorders>
            <w:shd w:val="clear" w:color="auto" w:fill="auto"/>
            <w:noWrap/>
            <w:vAlign w:val="center"/>
            <w:hideMark/>
          </w:tcPr>
          <w:p w14:paraId="3352043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6C78D4CC"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1,042</w:t>
            </w:r>
          </w:p>
        </w:tc>
        <w:tc>
          <w:tcPr>
            <w:tcW w:w="1247" w:type="dxa"/>
            <w:tcBorders>
              <w:top w:val="nil"/>
              <w:left w:val="nil"/>
              <w:bottom w:val="single" w:sz="4" w:space="0" w:color="auto"/>
              <w:right w:val="single" w:sz="4" w:space="0" w:color="auto"/>
            </w:tcBorders>
            <w:shd w:val="clear" w:color="auto" w:fill="auto"/>
            <w:noWrap/>
            <w:vAlign w:val="center"/>
            <w:hideMark/>
          </w:tcPr>
          <w:p w14:paraId="72888AF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41</w:t>
            </w:r>
          </w:p>
        </w:tc>
        <w:tc>
          <w:tcPr>
            <w:tcW w:w="1247" w:type="dxa"/>
            <w:tcBorders>
              <w:top w:val="nil"/>
              <w:left w:val="nil"/>
              <w:bottom w:val="single" w:sz="4" w:space="0" w:color="auto"/>
              <w:right w:val="single" w:sz="4" w:space="0" w:color="auto"/>
            </w:tcBorders>
            <w:shd w:val="clear" w:color="auto" w:fill="auto"/>
            <w:noWrap/>
            <w:vAlign w:val="center"/>
            <w:hideMark/>
          </w:tcPr>
          <w:p w14:paraId="7B49404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44332C4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1,035</w:t>
            </w:r>
          </w:p>
        </w:tc>
        <w:tc>
          <w:tcPr>
            <w:tcW w:w="1247" w:type="dxa"/>
            <w:tcBorders>
              <w:top w:val="nil"/>
              <w:left w:val="nil"/>
              <w:bottom w:val="single" w:sz="4" w:space="0" w:color="auto"/>
              <w:right w:val="single" w:sz="4" w:space="0" w:color="auto"/>
            </w:tcBorders>
            <w:shd w:val="clear" w:color="auto" w:fill="auto"/>
            <w:noWrap/>
            <w:vAlign w:val="center"/>
            <w:hideMark/>
          </w:tcPr>
          <w:p w14:paraId="7A363C7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0DBB770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1,076</w:t>
            </w:r>
          </w:p>
        </w:tc>
      </w:tr>
      <w:tr w:rsidR="00B469AB" w:rsidRPr="00AB625A" w14:paraId="5D0E65C9"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D90460D"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Bayside City Council</w:t>
            </w:r>
          </w:p>
        </w:tc>
        <w:tc>
          <w:tcPr>
            <w:tcW w:w="1247" w:type="dxa"/>
            <w:tcBorders>
              <w:top w:val="nil"/>
              <w:left w:val="nil"/>
              <w:bottom w:val="single" w:sz="4" w:space="0" w:color="auto"/>
              <w:right w:val="single" w:sz="4" w:space="0" w:color="auto"/>
            </w:tcBorders>
            <w:shd w:val="clear" w:color="auto" w:fill="auto"/>
            <w:noWrap/>
            <w:vAlign w:val="center"/>
            <w:hideMark/>
          </w:tcPr>
          <w:p w14:paraId="42DC20C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391</w:t>
            </w:r>
          </w:p>
        </w:tc>
        <w:tc>
          <w:tcPr>
            <w:tcW w:w="1247" w:type="dxa"/>
            <w:tcBorders>
              <w:top w:val="nil"/>
              <w:left w:val="nil"/>
              <w:bottom w:val="single" w:sz="4" w:space="0" w:color="auto"/>
              <w:right w:val="single" w:sz="4" w:space="0" w:color="auto"/>
            </w:tcBorders>
            <w:shd w:val="clear" w:color="auto" w:fill="auto"/>
            <w:noWrap/>
            <w:vAlign w:val="center"/>
            <w:hideMark/>
          </w:tcPr>
          <w:p w14:paraId="11E2A47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3ECC8D8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648</w:t>
            </w:r>
          </w:p>
        </w:tc>
        <w:tc>
          <w:tcPr>
            <w:tcW w:w="1247" w:type="dxa"/>
            <w:tcBorders>
              <w:top w:val="nil"/>
              <w:left w:val="nil"/>
              <w:bottom w:val="single" w:sz="4" w:space="0" w:color="auto"/>
              <w:right w:val="single" w:sz="4" w:space="0" w:color="auto"/>
            </w:tcBorders>
            <w:shd w:val="clear" w:color="auto" w:fill="auto"/>
            <w:noWrap/>
            <w:vAlign w:val="center"/>
            <w:hideMark/>
          </w:tcPr>
          <w:p w14:paraId="485F1AA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038EA75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1,040</w:t>
            </w:r>
          </w:p>
        </w:tc>
        <w:tc>
          <w:tcPr>
            <w:tcW w:w="1247" w:type="dxa"/>
            <w:tcBorders>
              <w:top w:val="nil"/>
              <w:left w:val="nil"/>
              <w:bottom w:val="single" w:sz="4" w:space="0" w:color="auto"/>
              <w:right w:val="single" w:sz="4" w:space="0" w:color="auto"/>
            </w:tcBorders>
            <w:shd w:val="clear" w:color="auto" w:fill="auto"/>
            <w:noWrap/>
            <w:vAlign w:val="center"/>
            <w:hideMark/>
          </w:tcPr>
          <w:p w14:paraId="12B6048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400</w:t>
            </w:r>
          </w:p>
        </w:tc>
        <w:tc>
          <w:tcPr>
            <w:tcW w:w="1247" w:type="dxa"/>
            <w:tcBorders>
              <w:top w:val="nil"/>
              <w:left w:val="nil"/>
              <w:bottom w:val="single" w:sz="4" w:space="0" w:color="auto"/>
              <w:right w:val="single" w:sz="4" w:space="0" w:color="auto"/>
            </w:tcBorders>
            <w:shd w:val="clear" w:color="auto" w:fill="auto"/>
            <w:noWrap/>
            <w:vAlign w:val="center"/>
            <w:hideMark/>
          </w:tcPr>
          <w:p w14:paraId="6BD78B2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47030DA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670</w:t>
            </w:r>
          </w:p>
        </w:tc>
        <w:tc>
          <w:tcPr>
            <w:tcW w:w="1247" w:type="dxa"/>
            <w:tcBorders>
              <w:top w:val="nil"/>
              <w:left w:val="nil"/>
              <w:bottom w:val="single" w:sz="4" w:space="0" w:color="auto"/>
              <w:right w:val="single" w:sz="4" w:space="0" w:color="auto"/>
            </w:tcBorders>
            <w:shd w:val="clear" w:color="auto" w:fill="auto"/>
            <w:noWrap/>
            <w:vAlign w:val="center"/>
            <w:hideMark/>
          </w:tcPr>
          <w:p w14:paraId="5B304E8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6741A97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1,070</w:t>
            </w:r>
          </w:p>
        </w:tc>
      </w:tr>
      <w:tr w:rsidR="00B469AB" w:rsidRPr="00AB625A" w14:paraId="7061767A"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C63B507"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Brimbank City Council</w:t>
            </w:r>
          </w:p>
        </w:tc>
        <w:tc>
          <w:tcPr>
            <w:tcW w:w="1247" w:type="dxa"/>
            <w:tcBorders>
              <w:top w:val="nil"/>
              <w:left w:val="nil"/>
              <w:bottom w:val="single" w:sz="4" w:space="0" w:color="auto"/>
              <w:right w:val="single" w:sz="4" w:space="0" w:color="auto"/>
            </w:tcBorders>
            <w:shd w:val="clear" w:color="auto" w:fill="auto"/>
            <w:noWrap/>
            <w:vAlign w:val="center"/>
            <w:hideMark/>
          </w:tcPr>
          <w:p w14:paraId="68247B5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619</w:t>
            </w:r>
          </w:p>
        </w:tc>
        <w:tc>
          <w:tcPr>
            <w:tcW w:w="1247" w:type="dxa"/>
            <w:tcBorders>
              <w:top w:val="nil"/>
              <w:left w:val="nil"/>
              <w:bottom w:val="single" w:sz="4" w:space="0" w:color="auto"/>
              <w:right w:val="single" w:sz="4" w:space="0" w:color="auto"/>
            </w:tcBorders>
            <w:shd w:val="clear" w:color="auto" w:fill="auto"/>
            <w:noWrap/>
            <w:vAlign w:val="center"/>
            <w:hideMark/>
          </w:tcPr>
          <w:p w14:paraId="5A9BF85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2C921B1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2,861</w:t>
            </w:r>
          </w:p>
        </w:tc>
        <w:tc>
          <w:tcPr>
            <w:tcW w:w="1247" w:type="dxa"/>
            <w:tcBorders>
              <w:top w:val="nil"/>
              <w:left w:val="nil"/>
              <w:bottom w:val="single" w:sz="4" w:space="0" w:color="auto"/>
              <w:right w:val="single" w:sz="4" w:space="0" w:color="auto"/>
            </w:tcBorders>
            <w:shd w:val="clear" w:color="auto" w:fill="auto"/>
            <w:noWrap/>
            <w:vAlign w:val="center"/>
            <w:hideMark/>
          </w:tcPr>
          <w:p w14:paraId="7C26D94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796AB6BC"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3,480</w:t>
            </w:r>
          </w:p>
        </w:tc>
        <w:tc>
          <w:tcPr>
            <w:tcW w:w="1247" w:type="dxa"/>
            <w:tcBorders>
              <w:top w:val="nil"/>
              <w:left w:val="nil"/>
              <w:bottom w:val="single" w:sz="4" w:space="0" w:color="auto"/>
              <w:right w:val="single" w:sz="4" w:space="0" w:color="auto"/>
            </w:tcBorders>
            <w:shd w:val="clear" w:color="auto" w:fill="auto"/>
            <w:noWrap/>
            <w:vAlign w:val="center"/>
            <w:hideMark/>
          </w:tcPr>
          <w:p w14:paraId="0DF135D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634</w:t>
            </w:r>
          </w:p>
        </w:tc>
        <w:tc>
          <w:tcPr>
            <w:tcW w:w="1247" w:type="dxa"/>
            <w:tcBorders>
              <w:top w:val="nil"/>
              <w:left w:val="nil"/>
              <w:bottom w:val="single" w:sz="4" w:space="0" w:color="auto"/>
              <w:right w:val="single" w:sz="4" w:space="0" w:color="auto"/>
            </w:tcBorders>
            <w:shd w:val="clear" w:color="auto" w:fill="auto"/>
            <w:noWrap/>
            <w:vAlign w:val="center"/>
            <w:hideMark/>
          </w:tcPr>
          <w:p w14:paraId="79AA85F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1DE1416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2,955</w:t>
            </w:r>
          </w:p>
        </w:tc>
        <w:tc>
          <w:tcPr>
            <w:tcW w:w="1247" w:type="dxa"/>
            <w:tcBorders>
              <w:top w:val="nil"/>
              <w:left w:val="nil"/>
              <w:bottom w:val="single" w:sz="4" w:space="0" w:color="auto"/>
              <w:right w:val="single" w:sz="4" w:space="0" w:color="auto"/>
            </w:tcBorders>
            <w:shd w:val="clear" w:color="auto" w:fill="auto"/>
            <w:noWrap/>
            <w:vAlign w:val="center"/>
            <w:hideMark/>
          </w:tcPr>
          <w:p w14:paraId="6597A22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05357F4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3,589</w:t>
            </w:r>
          </w:p>
        </w:tc>
      </w:tr>
      <w:tr w:rsidR="00B469AB" w:rsidRPr="00AB625A" w14:paraId="05D4B442"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60B076D"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Cardinia Shire Council</w:t>
            </w:r>
          </w:p>
        </w:tc>
        <w:tc>
          <w:tcPr>
            <w:tcW w:w="1247" w:type="dxa"/>
            <w:tcBorders>
              <w:top w:val="nil"/>
              <w:left w:val="nil"/>
              <w:bottom w:val="single" w:sz="4" w:space="0" w:color="auto"/>
              <w:right w:val="single" w:sz="4" w:space="0" w:color="auto"/>
            </w:tcBorders>
            <w:shd w:val="clear" w:color="auto" w:fill="auto"/>
            <w:noWrap/>
            <w:vAlign w:val="center"/>
            <w:hideMark/>
          </w:tcPr>
          <w:p w14:paraId="5028CA0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56</w:t>
            </w:r>
          </w:p>
        </w:tc>
        <w:tc>
          <w:tcPr>
            <w:tcW w:w="1247" w:type="dxa"/>
            <w:tcBorders>
              <w:top w:val="nil"/>
              <w:left w:val="nil"/>
              <w:bottom w:val="single" w:sz="4" w:space="0" w:color="auto"/>
              <w:right w:val="single" w:sz="4" w:space="0" w:color="auto"/>
            </w:tcBorders>
            <w:shd w:val="clear" w:color="auto" w:fill="auto"/>
            <w:noWrap/>
            <w:vAlign w:val="center"/>
            <w:hideMark/>
          </w:tcPr>
          <w:p w14:paraId="47DB117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3A39A81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2,382</w:t>
            </w:r>
          </w:p>
        </w:tc>
        <w:tc>
          <w:tcPr>
            <w:tcW w:w="1247" w:type="dxa"/>
            <w:tcBorders>
              <w:top w:val="nil"/>
              <w:left w:val="nil"/>
              <w:bottom w:val="single" w:sz="4" w:space="0" w:color="auto"/>
              <w:right w:val="single" w:sz="4" w:space="0" w:color="auto"/>
            </w:tcBorders>
            <w:shd w:val="clear" w:color="auto" w:fill="auto"/>
            <w:noWrap/>
            <w:vAlign w:val="center"/>
            <w:hideMark/>
          </w:tcPr>
          <w:p w14:paraId="50F189F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5D4690E3"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2,437</w:t>
            </w:r>
          </w:p>
        </w:tc>
        <w:tc>
          <w:tcPr>
            <w:tcW w:w="1247" w:type="dxa"/>
            <w:tcBorders>
              <w:top w:val="nil"/>
              <w:left w:val="nil"/>
              <w:bottom w:val="single" w:sz="4" w:space="0" w:color="auto"/>
              <w:right w:val="single" w:sz="4" w:space="0" w:color="auto"/>
            </w:tcBorders>
            <w:shd w:val="clear" w:color="auto" w:fill="auto"/>
            <w:noWrap/>
            <w:vAlign w:val="center"/>
            <w:hideMark/>
          </w:tcPr>
          <w:p w14:paraId="77312B3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57</w:t>
            </w:r>
          </w:p>
        </w:tc>
        <w:tc>
          <w:tcPr>
            <w:tcW w:w="1247" w:type="dxa"/>
            <w:tcBorders>
              <w:top w:val="nil"/>
              <w:left w:val="nil"/>
              <w:bottom w:val="single" w:sz="4" w:space="0" w:color="auto"/>
              <w:right w:val="single" w:sz="4" w:space="0" w:color="auto"/>
            </w:tcBorders>
            <w:shd w:val="clear" w:color="auto" w:fill="auto"/>
            <w:noWrap/>
            <w:vAlign w:val="center"/>
            <w:hideMark/>
          </w:tcPr>
          <w:p w14:paraId="34545D5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238C88A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2,460</w:t>
            </w:r>
          </w:p>
        </w:tc>
        <w:tc>
          <w:tcPr>
            <w:tcW w:w="1247" w:type="dxa"/>
            <w:tcBorders>
              <w:top w:val="nil"/>
              <w:left w:val="nil"/>
              <w:bottom w:val="single" w:sz="4" w:space="0" w:color="auto"/>
              <w:right w:val="single" w:sz="4" w:space="0" w:color="auto"/>
            </w:tcBorders>
            <w:shd w:val="clear" w:color="auto" w:fill="auto"/>
            <w:noWrap/>
            <w:vAlign w:val="center"/>
            <w:hideMark/>
          </w:tcPr>
          <w:p w14:paraId="61641AA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58606A23"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2,517</w:t>
            </w:r>
          </w:p>
        </w:tc>
      </w:tr>
      <w:tr w:rsidR="00B469AB" w:rsidRPr="00AB625A" w14:paraId="0B4F79DA"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C13FEE6"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Casey City Council</w:t>
            </w:r>
          </w:p>
        </w:tc>
        <w:tc>
          <w:tcPr>
            <w:tcW w:w="1247" w:type="dxa"/>
            <w:tcBorders>
              <w:top w:val="nil"/>
              <w:left w:val="nil"/>
              <w:bottom w:val="single" w:sz="4" w:space="0" w:color="auto"/>
              <w:right w:val="single" w:sz="4" w:space="0" w:color="auto"/>
            </w:tcBorders>
            <w:shd w:val="clear" w:color="auto" w:fill="auto"/>
            <w:noWrap/>
            <w:vAlign w:val="center"/>
            <w:hideMark/>
          </w:tcPr>
          <w:p w14:paraId="36269CD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644</w:t>
            </w:r>
          </w:p>
        </w:tc>
        <w:tc>
          <w:tcPr>
            <w:tcW w:w="1247" w:type="dxa"/>
            <w:tcBorders>
              <w:top w:val="nil"/>
              <w:left w:val="nil"/>
              <w:bottom w:val="single" w:sz="4" w:space="0" w:color="auto"/>
              <w:right w:val="single" w:sz="4" w:space="0" w:color="auto"/>
            </w:tcBorders>
            <w:shd w:val="clear" w:color="auto" w:fill="auto"/>
            <w:noWrap/>
            <w:vAlign w:val="center"/>
            <w:hideMark/>
          </w:tcPr>
          <w:p w14:paraId="025CA5E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37562E3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7,454</w:t>
            </w:r>
          </w:p>
        </w:tc>
        <w:tc>
          <w:tcPr>
            <w:tcW w:w="1247" w:type="dxa"/>
            <w:tcBorders>
              <w:top w:val="nil"/>
              <w:left w:val="nil"/>
              <w:bottom w:val="single" w:sz="4" w:space="0" w:color="auto"/>
              <w:right w:val="single" w:sz="4" w:space="0" w:color="auto"/>
            </w:tcBorders>
            <w:shd w:val="clear" w:color="auto" w:fill="auto"/>
            <w:noWrap/>
            <w:vAlign w:val="center"/>
            <w:hideMark/>
          </w:tcPr>
          <w:p w14:paraId="0036F76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23</w:t>
            </w:r>
          </w:p>
        </w:tc>
        <w:tc>
          <w:tcPr>
            <w:tcW w:w="1248" w:type="dxa"/>
            <w:tcBorders>
              <w:top w:val="nil"/>
              <w:left w:val="nil"/>
              <w:bottom w:val="single" w:sz="4" w:space="0" w:color="auto"/>
              <w:right w:val="single" w:sz="4" w:space="0" w:color="auto"/>
            </w:tcBorders>
            <w:shd w:val="clear" w:color="auto" w:fill="auto"/>
            <w:noWrap/>
            <w:vAlign w:val="center"/>
            <w:hideMark/>
          </w:tcPr>
          <w:p w14:paraId="57BD0C1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8,121</w:t>
            </w:r>
          </w:p>
        </w:tc>
        <w:tc>
          <w:tcPr>
            <w:tcW w:w="1247" w:type="dxa"/>
            <w:tcBorders>
              <w:top w:val="nil"/>
              <w:left w:val="nil"/>
              <w:bottom w:val="single" w:sz="4" w:space="0" w:color="auto"/>
              <w:right w:val="single" w:sz="4" w:space="0" w:color="auto"/>
            </w:tcBorders>
            <w:shd w:val="clear" w:color="auto" w:fill="auto"/>
            <w:noWrap/>
            <w:vAlign w:val="center"/>
            <w:hideMark/>
          </w:tcPr>
          <w:p w14:paraId="0A85D5F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48</w:t>
            </w:r>
          </w:p>
        </w:tc>
        <w:tc>
          <w:tcPr>
            <w:tcW w:w="1247" w:type="dxa"/>
            <w:tcBorders>
              <w:top w:val="nil"/>
              <w:left w:val="nil"/>
              <w:bottom w:val="single" w:sz="4" w:space="0" w:color="auto"/>
              <w:right w:val="single" w:sz="4" w:space="0" w:color="auto"/>
            </w:tcBorders>
            <w:shd w:val="clear" w:color="auto" w:fill="auto"/>
            <w:noWrap/>
            <w:vAlign w:val="center"/>
            <w:hideMark/>
          </w:tcPr>
          <w:p w14:paraId="4B6EB73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7177287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7,699</w:t>
            </w:r>
          </w:p>
        </w:tc>
        <w:tc>
          <w:tcPr>
            <w:tcW w:w="1247" w:type="dxa"/>
            <w:tcBorders>
              <w:top w:val="nil"/>
              <w:left w:val="nil"/>
              <w:bottom w:val="single" w:sz="4" w:space="0" w:color="auto"/>
              <w:right w:val="single" w:sz="4" w:space="0" w:color="auto"/>
            </w:tcBorders>
            <w:shd w:val="clear" w:color="auto" w:fill="auto"/>
            <w:noWrap/>
            <w:vAlign w:val="center"/>
            <w:hideMark/>
          </w:tcPr>
          <w:p w14:paraId="03596B7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187CEAFC"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7,748</w:t>
            </w:r>
          </w:p>
        </w:tc>
      </w:tr>
      <w:tr w:rsidR="00B469AB" w:rsidRPr="00AB625A" w14:paraId="7CF393AF"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3024B6F"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City Of Ballarat</w:t>
            </w:r>
          </w:p>
        </w:tc>
        <w:tc>
          <w:tcPr>
            <w:tcW w:w="1247" w:type="dxa"/>
            <w:tcBorders>
              <w:top w:val="nil"/>
              <w:left w:val="nil"/>
              <w:bottom w:val="single" w:sz="4" w:space="0" w:color="auto"/>
              <w:right w:val="single" w:sz="4" w:space="0" w:color="auto"/>
            </w:tcBorders>
            <w:shd w:val="clear" w:color="auto" w:fill="auto"/>
            <w:noWrap/>
            <w:vAlign w:val="center"/>
            <w:hideMark/>
          </w:tcPr>
          <w:p w14:paraId="0A148D6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47</w:t>
            </w:r>
          </w:p>
        </w:tc>
        <w:tc>
          <w:tcPr>
            <w:tcW w:w="1247" w:type="dxa"/>
            <w:tcBorders>
              <w:top w:val="nil"/>
              <w:left w:val="nil"/>
              <w:bottom w:val="single" w:sz="4" w:space="0" w:color="auto"/>
              <w:right w:val="single" w:sz="4" w:space="0" w:color="auto"/>
            </w:tcBorders>
            <w:shd w:val="clear" w:color="auto" w:fill="auto"/>
            <w:noWrap/>
            <w:vAlign w:val="center"/>
            <w:hideMark/>
          </w:tcPr>
          <w:p w14:paraId="5180BAF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5290DEA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1,756</w:t>
            </w:r>
          </w:p>
        </w:tc>
        <w:tc>
          <w:tcPr>
            <w:tcW w:w="1247" w:type="dxa"/>
            <w:tcBorders>
              <w:top w:val="nil"/>
              <w:left w:val="nil"/>
              <w:bottom w:val="single" w:sz="4" w:space="0" w:color="auto"/>
              <w:right w:val="single" w:sz="4" w:space="0" w:color="auto"/>
            </w:tcBorders>
            <w:shd w:val="clear" w:color="auto" w:fill="auto"/>
            <w:noWrap/>
            <w:vAlign w:val="center"/>
            <w:hideMark/>
          </w:tcPr>
          <w:p w14:paraId="1ABA63D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7B9416C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1,804</w:t>
            </w:r>
          </w:p>
        </w:tc>
        <w:tc>
          <w:tcPr>
            <w:tcW w:w="1247" w:type="dxa"/>
            <w:tcBorders>
              <w:top w:val="nil"/>
              <w:left w:val="nil"/>
              <w:bottom w:val="single" w:sz="4" w:space="0" w:color="auto"/>
              <w:right w:val="single" w:sz="4" w:space="0" w:color="auto"/>
            </w:tcBorders>
            <w:shd w:val="clear" w:color="auto" w:fill="auto"/>
            <w:noWrap/>
            <w:vAlign w:val="center"/>
            <w:hideMark/>
          </w:tcPr>
          <w:p w14:paraId="7B3A9F9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48</w:t>
            </w:r>
          </w:p>
        </w:tc>
        <w:tc>
          <w:tcPr>
            <w:tcW w:w="1247" w:type="dxa"/>
            <w:tcBorders>
              <w:top w:val="nil"/>
              <w:left w:val="nil"/>
              <w:bottom w:val="single" w:sz="4" w:space="0" w:color="auto"/>
              <w:right w:val="single" w:sz="4" w:space="0" w:color="auto"/>
            </w:tcBorders>
            <w:shd w:val="clear" w:color="auto" w:fill="auto"/>
            <w:noWrap/>
            <w:vAlign w:val="center"/>
            <w:hideMark/>
          </w:tcPr>
          <w:p w14:paraId="13085E6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431AA8C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1,814</w:t>
            </w:r>
          </w:p>
        </w:tc>
        <w:tc>
          <w:tcPr>
            <w:tcW w:w="1247" w:type="dxa"/>
            <w:tcBorders>
              <w:top w:val="nil"/>
              <w:left w:val="nil"/>
              <w:bottom w:val="single" w:sz="4" w:space="0" w:color="auto"/>
              <w:right w:val="single" w:sz="4" w:space="0" w:color="auto"/>
            </w:tcBorders>
            <w:shd w:val="clear" w:color="auto" w:fill="auto"/>
            <w:noWrap/>
            <w:vAlign w:val="center"/>
            <w:hideMark/>
          </w:tcPr>
          <w:p w14:paraId="70CAA55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29354DBA"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1,863</w:t>
            </w:r>
          </w:p>
        </w:tc>
      </w:tr>
      <w:tr w:rsidR="00B469AB" w:rsidRPr="00AB625A" w14:paraId="587A0C19"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775ACD8"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City Of Boroondara</w:t>
            </w:r>
          </w:p>
        </w:tc>
        <w:tc>
          <w:tcPr>
            <w:tcW w:w="1247" w:type="dxa"/>
            <w:tcBorders>
              <w:top w:val="nil"/>
              <w:left w:val="nil"/>
              <w:bottom w:val="single" w:sz="4" w:space="0" w:color="auto"/>
              <w:right w:val="single" w:sz="4" w:space="0" w:color="auto"/>
            </w:tcBorders>
            <w:shd w:val="clear" w:color="auto" w:fill="auto"/>
            <w:noWrap/>
            <w:vAlign w:val="center"/>
            <w:hideMark/>
          </w:tcPr>
          <w:p w14:paraId="68748F2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7" w:type="dxa"/>
            <w:tcBorders>
              <w:top w:val="nil"/>
              <w:left w:val="nil"/>
              <w:bottom w:val="single" w:sz="4" w:space="0" w:color="auto"/>
              <w:right w:val="single" w:sz="4" w:space="0" w:color="auto"/>
            </w:tcBorders>
            <w:shd w:val="clear" w:color="auto" w:fill="auto"/>
            <w:noWrap/>
            <w:vAlign w:val="center"/>
            <w:hideMark/>
          </w:tcPr>
          <w:p w14:paraId="5AA44C8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6C18482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991</w:t>
            </w:r>
          </w:p>
        </w:tc>
        <w:tc>
          <w:tcPr>
            <w:tcW w:w="1247" w:type="dxa"/>
            <w:tcBorders>
              <w:top w:val="nil"/>
              <w:left w:val="nil"/>
              <w:bottom w:val="single" w:sz="4" w:space="0" w:color="auto"/>
              <w:right w:val="single" w:sz="4" w:space="0" w:color="auto"/>
            </w:tcBorders>
            <w:shd w:val="clear" w:color="auto" w:fill="auto"/>
            <w:noWrap/>
            <w:vAlign w:val="center"/>
            <w:hideMark/>
          </w:tcPr>
          <w:p w14:paraId="7A94149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1DE6052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991</w:t>
            </w:r>
          </w:p>
        </w:tc>
        <w:tc>
          <w:tcPr>
            <w:tcW w:w="1247" w:type="dxa"/>
            <w:tcBorders>
              <w:top w:val="nil"/>
              <w:left w:val="nil"/>
              <w:bottom w:val="single" w:sz="4" w:space="0" w:color="auto"/>
              <w:right w:val="single" w:sz="4" w:space="0" w:color="auto"/>
            </w:tcBorders>
            <w:shd w:val="clear" w:color="auto" w:fill="auto"/>
            <w:noWrap/>
            <w:vAlign w:val="center"/>
            <w:hideMark/>
          </w:tcPr>
          <w:p w14:paraId="1C6144A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7" w:type="dxa"/>
            <w:tcBorders>
              <w:top w:val="nil"/>
              <w:left w:val="nil"/>
              <w:bottom w:val="single" w:sz="4" w:space="0" w:color="auto"/>
              <w:right w:val="single" w:sz="4" w:space="0" w:color="auto"/>
            </w:tcBorders>
            <w:shd w:val="clear" w:color="auto" w:fill="auto"/>
            <w:noWrap/>
            <w:vAlign w:val="center"/>
            <w:hideMark/>
          </w:tcPr>
          <w:p w14:paraId="5A92673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3D8EB8E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1,023</w:t>
            </w:r>
          </w:p>
        </w:tc>
        <w:tc>
          <w:tcPr>
            <w:tcW w:w="1247" w:type="dxa"/>
            <w:tcBorders>
              <w:top w:val="nil"/>
              <w:left w:val="nil"/>
              <w:bottom w:val="single" w:sz="4" w:space="0" w:color="auto"/>
              <w:right w:val="single" w:sz="4" w:space="0" w:color="auto"/>
            </w:tcBorders>
            <w:shd w:val="clear" w:color="auto" w:fill="auto"/>
            <w:noWrap/>
            <w:vAlign w:val="center"/>
            <w:hideMark/>
          </w:tcPr>
          <w:p w14:paraId="2758E69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1892F2D1"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1,023</w:t>
            </w:r>
          </w:p>
        </w:tc>
      </w:tr>
      <w:tr w:rsidR="00B469AB" w:rsidRPr="00AB625A" w14:paraId="68FF7948"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D2F028E"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City Of Darebin</w:t>
            </w:r>
          </w:p>
        </w:tc>
        <w:tc>
          <w:tcPr>
            <w:tcW w:w="1247" w:type="dxa"/>
            <w:tcBorders>
              <w:top w:val="nil"/>
              <w:left w:val="nil"/>
              <w:bottom w:val="single" w:sz="4" w:space="0" w:color="auto"/>
              <w:right w:val="single" w:sz="4" w:space="0" w:color="auto"/>
            </w:tcBorders>
            <w:shd w:val="clear" w:color="auto" w:fill="auto"/>
            <w:noWrap/>
            <w:vAlign w:val="center"/>
            <w:hideMark/>
          </w:tcPr>
          <w:p w14:paraId="6F81FBD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607</w:t>
            </w:r>
          </w:p>
        </w:tc>
        <w:tc>
          <w:tcPr>
            <w:tcW w:w="1247" w:type="dxa"/>
            <w:tcBorders>
              <w:top w:val="nil"/>
              <w:left w:val="nil"/>
              <w:bottom w:val="single" w:sz="4" w:space="0" w:color="auto"/>
              <w:right w:val="single" w:sz="4" w:space="0" w:color="auto"/>
            </w:tcBorders>
            <w:shd w:val="clear" w:color="auto" w:fill="auto"/>
            <w:noWrap/>
            <w:vAlign w:val="center"/>
            <w:hideMark/>
          </w:tcPr>
          <w:p w14:paraId="68A85E4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1E35693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1,520</w:t>
            </w:r>
          </w:p>
        </w:tc>
        <w:tc>
          <w:tcPr>
            <w:tcW w:w="1247" w:type="dxa"/>
            <w:tcBorders>
              <w:top w:val="nil"/>
              <w:left w:val="nil"/>
              <w:bottom w:val="single" w:sz="4" w:space="0" w:color="auto"/>
              <w:right w:val="single" w:sz="4" w:space="0" w:color="auto"/>
            </w:tcBorders>
            <w:shd w:val="clear" w:color="auto" w:fill="auto"/>
            <w:noWrap/>
            <w:vAlign w:val="center"/>
            <w:hideMark/>
          </w:tcPr>
          <w:p w14:paraId="0211346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6913FE5A"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2,127</w:t>
            </w:r>
          </w:p>
        </w:tc>
        <w:tc>
          <w:tcPr>
            <w:tcW w:w="1247" w:type="dxa"/>
            <w:tcBorders>
              <w:top w:val="nil"/>
              <w:left w:val="nil"/>
              <w:bottom w:val="single" w:sz="4" w:space="0" w:color="auto"/>
              <w:right w:val="single" w:sz="4" w:space="0" w:color="auto"/>
            </w:tcBorders>
            <w:shd w:val="clear" w:color="auto" w:fill="auto"/>
            <w:noWrap/>
            <w:vAlign w:val="center"/>
            <w:hideMark/>
          </w:tcPr>
          <w:p w14:paraId="3F119F9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621</w:t>
            </w:r>
          </w:p>
        </w:tc>
        <w:tc>
          <w:tcPr>
            <w:tcW w:w="1247" w:type="dxa"/>
            <w:tcBorders>
              <w:top w:val="nil"/>
              <w:left w:val="nil"/>
              <w:bottom w:val="single" w:sz="4" w:space="0" w:color="auto"/>
              <w:right w:val="single" w:sz="4" w:space="0" w:color="auto"/>
            </w:tcBorders>
            <w:shd w:val="clear" w:color="auto" w:fill="auto"/>
            <w:noWrap/>
            <w:vAlign w:val="center"/>
            <w:hideMark/>
          </w:tcPr>
          <w:p w14:paraId="2224F72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7F2A074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1,570</w:t>
            </w:r>
          </w:p>
        </w:tc>
        <w:tc>
          <w:tcPr>
            <w:tcW w:w="1247" w:type="dxa"/>
            <w:tcBorders>
              <w:top w:val="nil"/>
              <w:left w:val="nil"/>
              <w:bottom w:val="single" w:sz="4" w:space="0" w:color="auto"/>
              <w:right w:val="single" w:sz="4" w:space="0" w:color="auto"/>
            </w:tcBorders>
            <w:shd w:val="clear" w:color="auto" w:fill="auto"/>
            <w:noWrap/>
            <w:vAlign w:val="center"/>
            <w:hideMark/>
          </w:tcPr>
          <w:p w14:paraId="0A65270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6596E5EC"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2,191</w:t>
            </w:r>
          </w:p>
        </w:tc>
      </w:tr>
      <w:tr w:rsidR="00B469AB" w:rsidRPr="00AB625A" w14:paraId="57E772F1"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BDCA43C"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City Of Greater Geelong</w:t>
            </w:r>
          </w:p>
        </w:tc>
        <w:tc>
          <w:tcPr>
            <w:tcW w:w="1247" w:type="dxa"/>
            <w:tcBorders>
              <w:top w:val="nil"/>
              <w:left w:val="nil"/>
              <w:bottom w:val="single" w:sz="4" w:space="0" w:color="auto"/>
              <w:right w:val="single" w:sz="4" w:space="0" w:color="auto"/>
            </w:tcBorders>
            <w:shd w:val="clear" w:color="auto" w:fill="auto"/>
            <w:noWrap/>
            <w:vAlign w:val="center"/>
            <w:hideMark/>
          </w:tcPr>
          <w:p w14:paraId="4A956CE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738</w:t>
            </w:r>
          </w:p>
        </w:tc>
        <w:tc>
          <w:tcPr>
            <w:tcW w:w="1247" w:type="dxa"/>
            <w:tcBorders>
              <w:top w:val="nil"/>
              <w:left w:val="nil"/>
              <w:bottom w:val="single" w:sz="4" w:space="0" w:color="auto"/>
              <w:right w:val="single" w:sz="4" w:space="0" w:color="auto"/>
            </w:tcBorders>
            <w:shd w:val="clear" w:color="auto" w:fill="auto"/>
            <w:noWrap/>
            <w:vAlign w:val="center"/>
            <w:hideMark/>
          </w:tcPr>
          <w:p w14:paraId="617FFBB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05E76F0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3,499</w:t>
            </w:r>
          </w:p>
        </w:tc>
        <w:tc>
          <w:tcPr>
            <w:tcW w:w="1247" w:type="dxa"/>
            <w:tcBorders>
              <w:top w:val="nil"/>
              <w:left w:val="nil"/>
              <w:bottom w:val="single" w:sz="4" w:space="0" w:color="auto"/>
              <w:right w:val="single" w:sz="4" w:space="0" w:color="auto"/>
            </w:tcBorders>
            <w:shd w:val="clear" w:color="auto" w:fill="auto"/>
            <w:noWrap/>
            <w:vAlign w:val="center"/>
            <w:hideMark/>
          </w:tcPr>
          <w:p w14:paraId="1A9A013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64</w:t>
            </w:r>
          </w:p>
        </w:tc>
        <w:tc>
          <w:tcPr>
            <w:tcW w:w="1248" w:type="dxa"/>
            <w:tcBorders>
              <w:top w:val="nil"/>
              <w:left w:val="nil"/>
              <w:bottom w:val="single" w:sz="4" w:space="0" w:color="auto"/>
              <w:right w:val="single" w:sz="4" w:space="0" w:color="auto"/>
            </w:tcBorders>
            <w:shd w:val="clear" w:color="auto" w:fill="auto"/>
            <w:noWrap/>
            <w:vAlign w:val="center"/>
            <w:hideMark/>
          </w:tcPr>
          <w:p w14:paraId="212E110C"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4,301</w:t>
            </w:r>
          </w:p>
        </w:tc>
        <w:tc>
          <w:tcPr>
            <w:tcW w:w="1247" w:type="dxa"/>
            <w:tcBorders>
              <w:top w:val="nil"/>
              <w:left w:val="nil"/>
              <w:bottom w:val="single" w:sz="4" w:space="0" w:color="auto"/>
              <w:right w:val="single" w:sz="4" w:space="0" w:color="auto"/>
            </w:tcBorders>
            <w:shd w:val="clear" w:color="auto" w:fill="auto"/>
            <w:noWrap/>
            <w:vAlign w:val="center"/>
            <w:hideMark/>
          </w:tcPr>
          <w:p w14:paraId="7F50C05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756</w:t>
            </w:r>
          </w:p>
        </w:tc>
        <w:tc>
          <w:tcPr>
            <w:tcW w:w="1247" w:type="dxa"/>
            <w:tcBorders>
              <w:top w:val="nil"/>
              <w:left w:val="nil"/>
              <w:bottom w:val="single" w:sz="4" w:space="0" w:color="auto"/>
              <w:right w:val="single" w:sz="4" w:space="0" w:color="auto"/>
            </w:tcBorders>
            <w:shd w:val="clear" w:color="auto" w:fill="auto"/>
            <w:noWrap/>
            <w:vAlign w:val="center"/>
            <w:hideMark/>
          </w:tcPr>
          <w:p w14:paraId="57EEBDC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7CF3CA9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3,614</w:t>
            </w:r>
          </w:p>
        </w:tc>
        <w:tc>
          <w:tcPr>
            <w:tcW w:w="1247" w:type="dxa"/>
            <w:tcBorders>
              <w:top w:val="nil"/>
              <w:left w:val="nil"/>
              <w:bottom w:val="single" w:sz="4" w:space="0" w:color="auto"/>
              <w:right w:val="single" w:sz="4" w:space="0" w:color="auto"/>
            </w:tcBorders>
            <w:shd w:val="clear" w:color="auto" w:fill="auto"/>
            <w:noWrap/>
            <w:vAlign w:val="center"/>
            <w:hideMark/>
          </w:tcPr>
          <w:p w14:paraId="2FB1003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66</w:t>
            </w:r>
          </w:p>
        </w:tc>
        <w:tc>
          <w:tcPr>
            <w:tcW w:w="1248" w:type="dxa"/>
            <w:tcBorders>
              <w:top w:val="nil"/>
              <w:left w:val="nil"/>
              <w:bottom w:val="single" w:sz="4" w:space="0" w:color="auto"/>
              <w:right w:val="single" w:sz="4" w:space="0" w:color="auto"/>
            </w:tcBorders>
            <w:shd w:val="clear" w:color="auto" w:fill="auto"/>
            <w:noWrap/>
            <w:vAlign w:val="center"/>
            <w:hideMark/>
          </w:tcPr>
          <w:p w14:paraId="3463134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4,436</w:t>
            </w:r>
          </w:p>
        </w:tc>
      </w:tr>
      <w:tr w:rsidR="00B469AB" w:rsidRPr="00AB625A" w14:paraId="06D48E3A"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53173D2"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City Of Kingston</w:t>
            </w:r>
          </w:p>
        </w:tc>
        <w:tc>
          <w:tcPr>
            <w:tcW w:w="1247" w:type="dxa"/>
            <w:tcBorders>
              <w:top w:val="nil"/>
              <w:left w:val="nil"/>
              <w:bottom w:val="single" w:sz="4" w:space="0" w:color="auto"/>
              <w:right w:val="single" w:sz="4" w:space="0" w:color="auto"/>
            </w:tcBorders>
            <w:shd w:val="clear" w:color="auto" w:fill="auto"/>
            <w:noWrap/>
            <w:vAlign w:val="center"/>
            <w:hideMark/>
          </w:tcPr>
          <w:p w14:paraId="35352B3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1,574</w:t>
            </w:r>
          </w:p>
        </w:tc>
        <w:tc>
          <w:tcPr>
            <w:tcW w:w="1247" w:type="dxa"/>
            <w:tcBorders>
              <w:top w:val="nil"/>
              <w:left w:val="nil"/>
              <w:bottom w:val="single" w:sz="4" w:space="0" w:color="auto"/>
              <w:right w:val="single" w:sz="4" w:space="0" w:color="auto"/>
            </w:tcBorders>
            <w:shd w:val="clear" w:color="auto" w:fill="auto"/>
            <w:noWrap/>
            <w:vAlign w:val="center"/>
            <w:hideMark/>
          </w:tcPr>
          <w:p w14:paraId="53C6997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04FB547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1,437</w:t>
            </w:r>
          </w:p>
        </w:tc>
        <w:tc>
          <w:tcPr>
            <w:tcW w:w="1247" w:type="dxa"/>
            <w:tcBorders>
              <w:top w:val="nil"/>
              <w:left w:val="nil"/>
              <w:bottom w:val="single" w:sz="4" w:space="0" w:color="auto"/>
              <w:right w:val="single" w:sz="4" w:space="0" w:color="auto"/>
            </w:tcBorders>
            <w:shd w:val="clear" w:color="auto" w:fill="auto"/>
            <w:noWrap/>
            <w:vAlign w:val="center"/>
            <w:hideMark/>
          </w:tcPr>
          <w:p w14:paraId="38E3021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77D4D99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3,011</w:t>
            </w:r>
          </w:p>
        </w:tc>
        <w:tc>
          <w:tcPr>
            <w:tcW w:w="1247" w:type="dxa"/>
            <w:tcBorders>
              <w:top w:val="nil"/>
              <w:left w:val="nil"/>
              <w:bottom w:val="single" w:sz="4" w:space="0" w:color="auto"/>
              <w:right w:val="single" w:sz="4" w:space="0" w:color="auto"/>
            </w:tcBorders>
            <w:shd w:val="clear" w:color="auto" w:fill="auto"/>
            <w:noWrap/>
            <w:vAlign w:val="center"/>
            <w:hideMark/>
          </w:tcPr>
          <w:p w14:paraId="3BAB710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1,614</w:t>
            </w:r>
          </w:p>
        </w:tc>
        <w:tc>
          <w:tcPr>
            <w:tcW w:w="1247" w:type="dxa"/>
            <w:tcBorders>
              <w:top w:val="nil"/>
              <w:left w:val="nil"/>
              <w:bottom w:val="single" w:sz="4" w:space="0" w:color="auto"/>
              <w:right w:val="single" w:sz="4" w:space="0" w:color="auto"/>
            </w:tcBorders>
            <w:shd w:val="clear" w:color="auto" w:fill="auto"/>
            <w:noWrap/>
            <w:vAlign w:val="center"/>
            <w:hideMark/>
          </w:tcPr>
          <w:p w14:paraId="3B1B31C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1D51167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1,485</w:t>
            </w:r>
          </w:p>
        </w:tc>
        <w:tc>
          <w:tcPr>
            <w:tcW w:w="1247" w:type="dxa"/>
            <w:tcBorders>
              <w:top w:val="nil"/>
              <w:left w:val="nil"/>
              <w:bottom w:val="single" w:sz="4" w:space="0" w:color="auto"/>
              <w:right w:val="single" w:sz="4" w:space="0" w:color="auto"/>
            </w:tcBorders>
            <w:shd w:val="clear" w:color="auto" w:fill="auto"/>
            <w:noWrap/>
            <w:vAlign w:val="center"/>
            <w:hideMark/>
          </w:tcPr>
          <w:p w14:paraId="4AD7295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3B5A0091"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3,098</w:t>
            </w:r>
          </w:p>
        </w:tc>
      </w:tr>
      <w:tr w:rsidR="00B469AB" w:rsidRPr="00AB625A" w14:paraId="223FCEDF"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360E87E"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City Of Manningham</w:t>
            </w:r>
          </w:p>
        </w:tc>
        <w:tc>
          <w:tcPr>
            <w:tcW w:w="1247" w:type="dxa"/>
            <w:tcBorders>
              <w:top w:val="nil"/>
              <w:left w:val="nil"/>
              <w:bottom w:val="single" w:sz="4" w:space="0" w:color="auto"/>
              <w:right w:val="single" w:sz="4" w:space="0" w:color="auto"/>
            </w:tcBorders>
            <w:shd w:val="clear" w:color="auto" w:fill="auto"/>
            <w:noWrap/>
            <w:vAlign w:val="center"/>
            <w:hideMark/>
          </w:tcPr>
          <w:p w14:paraId="57C3DDB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33</w:t>
            </w:r>
          </w:p>
        </w:tc>
        <w:tc>
          <w:tcPr>
            <w:tcW w:w="1247" w:type="dxa"/>
            <w:tcBorders>
              <w:top w:val="nil"/>
              <w:left w:val="nil"/>
              <w:bottom w:val="single" w:sz="4" w:space="0" w:color="auto"/>
              <w:right w:val="single" w:sz="4" w:space="0" w:color="auto"/>
            </w:tcBorders>
            <w:shd w:val="clear" w:color="auto" w:fill="auto"/>
            <w:noWrap/>
            <w:vAlign w:val="center"/>
            <w:hideMark/>
          </w:tcPr>
          <w:p w14:paraId="101CF12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415BFF7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997</w:t>
            </w:r>
          </w:p>
        </w:tc>
        <w:tc>
          <w:tcPr>
            <w:tcW w:w="1247" w:type="dxa"/>
            <w:tcBorders>
              <w:top w:val="nil"/>
              <w:left w:val="nil"/>
              <w:bottom w:val="single" w:sz="4" w:space="0" w:color="auto"/>
              <w:right w:val="single" w:sz="4" w:space="0" w:color="auto"/>
            </w:tcBorders>
            <w:shd w:val="clear" w:color="auto" w:fill="auto"/>
            <w:noWrap/>
            <w:vAlign w:val="center"/>
            <w:hideMark/>
          </w:tcPr>
          <w:p w14:paraId="01646F1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0505BC2A"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1,030</w:t>
            </w:r>
          </w:p>
        </w:tc>
        <w:tc>
          <w:tcPr>
            <w:tcW w:w="1247" w:type="dxa"/>
            <w:tcBorders>
              <w:top w:val="nil"/>
              <w:left w:val="nil"/>
              <w:bottom w:val="single" w:sz="4" w:space="0" w:color="auto"/>
              <w:right w:val="single" w:sz="4" w:space="0" w:color="auto"/>
            </w:tcBorders>
            <w:shd w:val="clear" w:color="auto" w:fill="auto"/>
            <w:noWrap/>
            <w:vAlign w:val="center"/>
            <w:hideMark/>
          </w:tcPr>
          <w:p w14:paraId="48105AB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34</w:t>
            </w:r>
          </w:p>
        </w:tc>
        <w:tc>
          <w:tcPr>
            <w:tcW w:w="1247" w:type="dxa"/>
            <w:tcBorders>
              <w:top w:val="nil"/>
              <w:left w:val="nil"/>
              <w:bottom w:val="single" w:sz="4" w:space="0" w:color="auto"/>
              <w:right w:val="single" w:sz="4" w:space="0" w:color="auto"/>
            </w:tcBorders>
            <w:shd w:val="clear" w:color="auto" w:fill="auto"/>
            <w:noWrap/>
            <w:vAlign w:val="center"/>
            <w:hideMark/>
          </w:tcPr>
          <w:p w14:paraId="36742FE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225F2F6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1,030</w:t>
            </w:r>
          </w:p>
        </w:tc>
        <w:tc>
          <w:tcPr>
            <w:tcW w:w="1247" w:type="dxa"/>
            <w:tcBorders>
              <w:top w:val="nil"/>
              <w:left w:val="nil"/>
              <w:bottom w:val="single" w:sz="4" w:space="0" w:color="auto"/>
              <w:right w:val="single" w:sz="4" w:space="0" w:color="auto"/>
            </w:tcBorders>
            <w:shd w:val="clear" w:color="auto" w:fill="auto"/>
            <w:noWrap/>
            <w:vAlign w:val="center"/>
            <w:hideMark/>
          </w:tcPr>
          <w:p w14:paraId="38A94A0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51897AFB"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1,064</w:t>
            </w:r>
          </w:p>
        </w:tc>
      </w:tr>
      <w:tr w:rsidR="00B469AB" w:rsidRPr="00AB625A" w14:paraId="7B0B71FD"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4EFF2C5"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City Of Port Phillip</w:t>
            </w:r>
          </w:p>
        </w:tc>
        <w:tc>
          <w:tcPr>
            <w:tcW w:w="1247" w:type="dxa"/>
            <w:tcBorders>
              <w:top w:val="nil"/>
              <w:left w:val="nil"/>
              <w:bottom w:val="single" w:sz="4" w:space="0" w:color="auto"/>
              <w:right w:val="single" w:sz="4" w:space="0" w:color="auto"/>
            </w:tcBorders>
            <w:shd w:val="clear" w:color="auto" w:fill="auto"/>
            <w:noWrap/>
            <w:vAlign w:val="center"/>
            <w:hideMark/>
          </w:tcPr>
          <w:p w14:paraId="0441140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708</w:t>
            </w:r>
          </w:p>
        </w:tc>
        <w:tc>
          <w:tcPr>
            <w:tcW w:w="1247" w:type="dxa"/>
            <w:tcBorders>
              <w:top w:val="nil"/>
              <w:left w:val="nil"/>
              <w:bottom w:val="single" w:sz="4" w:space="0" w:color="auto"/>
              <w:right w:val="single" w:sz="4" w:space="0" w:color="auto"/>
            </w:tcBorders>
            <w:shd w:val="clear" w:color="auto" w:fill="auto"/>
            <w:noWrap/>
            <w:vAlign w:val="center"/>
            <w:hideMark/>
          </w:tcPr>
          <w:p w14:paraId="4FAB488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790A756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830</w:t>
            </w:r>
          </w:p>
        </w:tc>
        <w:tc>
          <w:tcPr>
            <w:tcW w:w="1247" w:type="dxa"/>
            <w:tcBorders>
              <w:top w:val="nil"/>
              <w:left w:val="nil"/>
              <w:bottom w:val="single" w:sz="4" w:space="0" w:color="auto"/>
              <w:right w:val="single" w:sz="4" w:space="0" w:color="auto"/>
            </w:tcBorders>
            <w:shd w:val="clear" w:color="auto" w:fill="auto"/>
            <w:noWrap/>
            <w:vAlign w:val="center"/>
            <w:hideMark/>
          </w:tcPr>
          <w:p w14:paraId="2145DA4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0FD315E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1,538</w:t>
            </w:r>
          </w:p>
        </w:tc>
        <w:tc>
          <w:tcPr>
            <w:tcW w:w="1247" w:type="dxa"/>
            <w:tcBorders>
              <w:top w:val="nil"/>
              <w:left w:val="nil"/>
              <w:bottom w:val="single" w:sz="4" w:space="0" w:color="auto"/>
              <w:right w:val="single" w:sz="4" w:space="0" w:color="auto"/>
            </w:tcBorders>
            <w:shd w:val="clear" w:color="auto" w:fill="auto"/>
            <w:noWrap/>
            <w:vAlign w:val="center"/>
            <w:hideMark/>
          </w:tcPr>
          <w:p w14:paraId="2FFB34E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725</w:t>
            </w:r>
          </w:p>
        </w:tc>
        <w:tc>
          <w:tcPr>
            <w:tcW w:w="1247" w:type="dxa"/>
            <w:tcBorders>
              <w:top w:val="nil"/>
              <w:left w:val="nil"/>
              <w:bottom w:val="single" w:sz="4" w:space="0" w:color="auto"/>
              <w:right w:val="single" w:sz="4" w:space="0" w:color="auto"/>
            </w:tcBorders>
            <w:shd w:val="clear" w:color="auto" w:fill="auto"/>
            <w:noWrap/>
            <w:vAlign w:val="center"/>
            <w:hideMark/>
          </w:tcPr>
          <w:p w14:paraId="5329456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715959A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858</w:t>
            </w:r>
          </w:p>
        </w:tc>
        <w:tc>
          <w:tcPr>
            <w:tcW w:w="1247" w:type="dxa"/>
            <w:tcBorders>
              <w:top w:val="nil"/>
              <w:left w:val="nil"/>
              <w:bottom w:val="single" w:sz="4" w:space="0" w:color="auto"/>
              <w:right w:val="single" w:sz="4" w:space="0" w:color="auto"/>
            </w:tcBorders>
            <w:shd w:val="clear" w:color="auto" w:fill="auto"/>
            <w:noWrap/>
            <w:vAlign w:val="center"/>
            <w:hideMark/>
          </w:tcPr>
          <w:p w14:paraId="0BD28EC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27BC3A0B"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1,582</w:t>
            </w:r>
          </w:p>
        </w:tc>
      </w:tr>
      <w:tr w:rsidR="00B469AB" w:rsidRPr="00AB625A" w14:paraId="7BE9143A"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120E762"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Frankston City Council</w:t>
            </w:r>
          </w:p>
        </w:tc>
        <w:tc>
          <w:tcPr>
            <w:tcW w:w="1247" w:type="dxa"/>
            <w:tcBorders>
              <w:top w:val="nil"/>
              <w:left w:val="nil"/>
              <w:bottom w:val="single" w:sz="4" w:space="0" w:color="auto"/>
              <w:right w:val="single" w:sz="4" w:space="0" w:color="auto"/>
            </w:tcBorders>
            <w:shd w:val="clear" w:color="auto" w:fill="auto"/>
            <w:noWrap/>
            <w:vAlign w:val="center"/>
            <w:hideMark/>
          </w:tcPr>
          <w:p w14:paraId="6659407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909</w:t>
            </w:r>
          </w:p>
        </w:tc>
        <w:tc>
          <w:tcPr>
            <w:tcW w:w="1247" w:type="dxa"/>
            <w:tcBorders>
              <w:top w:val="nil"/>
              <w:left w:val="nil"/>
              <w:bottom w:val="single" w:sz="4" w:space="0" w:color="auto"/>
              <w:right w:val="single" w:sz="4" w:space="0" w:color="auto"/>
            </w:tcBorders>
            <w:shd w:val="clear" w:color="auto" w:fill="auto"/>
            <w:noWrap/>
            <w:vAlign w:val="center"/>
            <w:hideMark/>
          </w:tcPr>
          <w:p w14:paraId="0909FE7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316</w:t>
            </w:r>
          </w:p>
        </w:tc>
        <w:tc>
          <w:tcPr>
            <w:tcW w:w="1248" w:type="dxa"/>
            <w:tcBorders>
              <w:top w:val="nil"/>
              <w:left w:val="nil"/>
              <w:bottom w:val="single" w:sz="4" w:space="0" w:color="auto"/>
              <w:right w:val="single" w:sz="4" w:space="0" w:color="auto"/>
            </w:tcBorders>
            <w:shd w:val="clear" w:color="auto" w:fill="auto"/>
            <w:noWrap/>
            <w:vAlign w:val="center"/>
            <w:hideMark/>
          </w:tcPr>
          <w:p w14:paraId="5F7461F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1,882</w:t>
            </w:r>
          </w:p>
        </w:tc>
        <w:tc>
          <w:tcPr>
            <w:tcW w:w="1247" w:type="dxa"/>
            <w:tcBorders>
              <w:top w:val="nil"/>
              <w:left w:val="nil"/>
              <w:bottom w:val="single" w:sz="4" w:space="0" w:color="auto"/>
              <w:right w:val="single" w:sz="4" w:space="0" w:color="auto"/>
            </w:tcBorders>
            <w:shd w:val="clear" w:color="auto" w:fill="auto"/>
            <w:noWrap/>
            <w:vAlign w:val="center"/>
            <w:hideMark/>
          </w:tcPr>
          <w:p w14:paraId="0EDE294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7BE34523"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3,106</w:t>
            </w:r>
          </w:p>
        </w:tc>
        <w:tc>
          <w:tcPr>
            <w:tcW w:w="1247" w:type="dxa"/>
            <w:tcBorders>
              <w:top w:val="nil"/>
              <w:left w:val="nil"/>
              <w:bottom w:val="single" w:sz="4" w:space="0" w:color="auto"/>
              <w:right w:val="single" w:sz="4" w:space="0" w:color="auto"/>
            </w:tcBorders>
            <w:shd w:val="clear" w:color="auto" w:fill="auto"/>
            <w:noWrap/>
            <w:vAlign w:val="center"/>
            <w:hideMark/>
          </w:tcPr>
          <w:p w14:paraId="58E04B9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930</w:t>
            </w:r>
          </w:p>
        </w:tc>
        <w:tc>
          <w:tcPr>
            <w:tcW w:w="1247" w:type="dxa"/>
            <w:tcBorders>
              <w:top w:val="nil"/>
              <w:left w:val="nil"/>
              <w:bottom w:val="single" w:sz="4" w:space="0" w:color="auto"/>
              <w:right w:val="single" w:sz="4" w:space="0" w:color="auto"/>
            </w:tcBorders>
            <w:shd w:val="clear" w:color="auto" w:fill="auto"/>
            <w:noWrap/>
            <w:vAlign w:val="center"/>
            <w:hideMark/>
          </w:tcPr>
          <w:p w14:paraId="2FC0039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323</w:t>
            </w:r>
          </w:p>
        </w:tc>
        <w:tc>
          <w:tcPr>
            <w:tcW w:w="1248" w:type="dxa"/>
            <w:tcBorders>
              <w:top w:val="nil"/>
              <w:left w:val="nil"/>
              <w:bottom w:val="single" w:sz="4" w:space="0" w:color="auto"/>
              <w:right w:val="single" w:sz="4" w:space="0" w:color="auto"/>
            </w:tcBorders>
            <w:shd w:val="clear" w:color="auto" w:fill="auto"/>
            <w:noWrap/>
            <w:vAlign w:val="center"/>
            <w:hideMark/>
          </w:tcPr>
          <w:p w14:paraId="7457AD9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1,943</w:t>
            </w:r>
          </w:p>
        </w:tc>
        <w:tc>
          <w:tcPr>
            <w:tcW w:w="1247" w:type="dxa"/>
            <w:tcBorders>
              <w:top w:val="nil"/>
              <w:left w:val="nil"/>
              <w:bottom w:val="single" w:sz="4" w:space="0" w:color="auto"/>
              <w:right w:val="single" w:sz="4" w:space="0" w:color="auto"/>
            </w:tcBorders>
            <w:shd w:val="clear" w:color="auto" w:fill="auto"/>
            <w:noWrap/>
            <w:vAlign w:val="center"/>
            <w:hideMark/>
          </w:tcPr>
          <w:p w14:paraId="62ABA15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6D589F6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3,197</w:t>
            </w:r>
          </w:p>
        </w:tc>
      </w:tr>
      <w:tr w:rsidR="00B469AB" w:rsidRPr="00AB625A" w14:paraId="34310D42"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7B9EA2F"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Glen Eira City Council</w:t>
            </w:r>
          </w:p>
        </w:tc>
        <w:tc>
          <w:tcPr>
            <w:tcW w:w="1247" w:type="dxa"/>
            <w:tcBorders>
              <w:top w:val="nil"/>
              <w:left w:val="nil"/>
              <w:bottom w:val="single" w:sz="4" w:space="0" w:color="auto"/>
              <w:right w:val="single" w:sz="4" w:space="0" w:color="auto"/>
            </w:tcBorders>
            <w:shd w:val="clear" w:color="auto" w:fill="auto"/>
            <w:noWrap/>
            <w:vAlign w:val="center"/>
            <w:hideMark/>
          </w:tcPr>
          <w:p w14:paraId="7259E35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430</w:t>
            </w:r>
          </w:p>
        </w:tc>
        <w:tc>
          <w:tcPr>
            <w:tcW w:w="1247" w:type="dxa"/>
            <w:tcBorders>
              <w:top w:val="nil"/>
              <w:left w:val="nil"/>
              <w:bottom w:val="single" w:sz="4" w:space="0" w:color="auto"/>
              <w:right w:val="single" w:sz="4" w:space="0" w:color="auto"/>
            </w:tcBorders>
            <w:shd w:val="clear" w:color="auto" w:fill="auto"/>
            <w:noWrap/>
            <w:vAlign w:val="center"/>
            <w:hideMark/>
          </w:tcPr>
          <w:p w14:paraId="7D7276E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2B47C20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1,278</w:t>
            </w:r>
          </w:p>
        </w:tc>
        <w:tc>
          <w:tcPr>
            <w:tcW w:w="1247" w:type="dxa"/>
            <w:tcBorders>
              <w:top w:val="nil"/>
              <w:left w:val="nil"/>
              <w:bottom w:val="single" w:sz="4" w:space="0" w:color="auto"/>
              <w:right w:val="single" w:sz="4" w:space="0" w:color="auto"/>
            </w:tcBorders>
            <w:shd w:val="clear" w:color="auto" w:fill="auto"/>
            <w:noWrap/>
            <w:vAlign w:val="center"/>
            <w:hideMark/>
          </w:tcPr>
          <w:p w14:paraId="7AEA444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08494BA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1,708</w:t>
            </w:r>
          </w:p>
        </w:tc>
        <w:tc>
          <w:tcPr>
            <w:tcW w:w="1247" w:type="dxa"/>
            <w:tcBorders>
              <w:top w:val="nil"/>
              <w:left w:val="nil"/>
              <w:bottom w:val="single" w:sz="4" w:space="0" w:color="auto"/>
              <w:right w:val="single" w:sz="4" w:space="0" w:color="auto"/>
            </w:tcBorders>
            <w:shd w:val="clear" w:color="auto" w:fill="auto"/>
            <w:noWrap/>
            <w:vAlign w:val="center"/>
            <w:hideMark/>
          </w:tcPr>
          <w:p w14:paraId="7EE9129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440</w:t>
            </w:r>
          </w:p>
        </w:tc>
        <w:tc>
          <w:tcPr>
            <w:tcW w:w="1247" w:type="dxa"/>
            <w:tcBorders>
              <w:top w:val="nil"/>
              <w:left w:val="nil"/>
              <w:bottom w:val="single" w:sz="4" w:space="0" w:color="auto"/>
              <w:right w:val="single" w:sz="4" w:space="0" w:color="auto"/>
            </w:tcBorders>
            <w:shd w:val="clear" w:color="auto" w:fill="auto"/>
            <w:noWrap/>
            <w:vAlign w:val="center"/>
            <w:hideMark/>
          </w:tcPr>
          <w:p w14:paraId="4E7A6C5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499C196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1,320</w:t>
            </w:r>
          </w:p>
        </w:tc>
        <w:tc>
          <w:tcPr>
            <w:tcW w:w="1247" w:type="dxa"/>
            <w:tcBorders>
              <w:top w:val="nil"/>
              <w:left w:val="nil"/>
              <w:bottom w:val="single" w:sz="4" w:space="0" w:color="auto"/>
              <w:right w:val="single" w:sz="4" w:space="0" w:color="auto"/>
            </w:tcBorders>
            <w:shd w:val="clear" w:color="auto" w:fill="auto"/>
            <w:noWrap/>
            <w:vAlign w:val="center"/>
            <w:hideMark/>
          </w:tcPr>
          <w:p w14:paraId="04877AA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5C794AA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1,761</w:t>
            </w:r>
          </w:p>
        </w:tc>
      </w:tr>
      <w:tr w:rsidR="00B469AB" w:rsidRPr="00AB625A" w14:paraId="029D9CD8" w14:textId="77777777" w:rsidTr="00414F21">
        <w:trPr>
          <w:trHeight w:val="39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8D65FBD"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Greater Bendigo City Council</w:t>
            </w:r>
          </w:p>
        </w:tc>
        <w:tc>
          <w:tcPr>
            <w:tcW w:w="1247" w:type="dxa"/>
            <w:tcBorders>
              <w:top w:val="nil"/>
              <w:left w:val="nil"/>
              <w:bottom w:val="single" w:sz="4" w:space="0" w:color="auto"/>
              <w:right w:val="single" w:sz="4" w:space="0" w:color="auto"/>
            </w:tcBorders>
            <w:shd w:val="clear" w:color="auto" w:fill="auto"/>
            <w:noWrap/>
            <w:vAlign w:val="center"/>
            <w:hideMark/>
          </w:tcPr>
          <w:p w14:paraId="3323A96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47</w:t>
            </w:r>
          </w:p>
        </w:tc>
        <w:tc>
          <w:tcPr>
            <w:tcW w:w="1247" w:type="dxa"/>
            <w:tcBorders>
              <w:top w:val="nil"/>
              <w:left w:val="nil"/>
              <w:bottom w:val="single" w:sz="4" w:space="0" w:color="auto"/>
              <w:right w:val="single" w:sz="4" w:space="0" w:color="auto"/>
            </w:tcBorders>
            <w:shd w:val="clear" w:color="auto" w:fill="auto"/>
            <w:noWrap/>
            <w:vAlign w:val="center"/>
            <w:hideMark/>
          </w:tcPr>
          <w:p w14:paraId="7A27BDA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61A3573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1,823</w:t>
            </w:r>
          </w:p>
        </w:tc>
        <w:tc>
          <w:tcPr>
            <w:tcW w:w="1247" w:type="dxa"/>
            <w:tcBorders>
              <w:top w:val="nil"/>
              <w:left w:val="nil"/>
              <w:bottom w:val="single" w:sz="4" w:space="0" w:color="auto"/>
              <w:right w:val="single" w:sz="4" w:space="0" w:color="auto"/>
            </w:tcBorders>
            <w:shd w:val="clear" w:color="auto" w:fill="auto"/>
            <w:noWrap/>
            <w:vAlign w:val="center"/>
            <w:hideMark/>
          </w:tcPr>
          <w:p w14:paraId="525648A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532EF14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1,871</w:t>
            </w:r>
          </w:p>
        </w:tc>
        <w:tc>
          <w:tcPr>
            <w:tcW w:w="1247" w:type="dxa"/>
            <w:tcBorders>
              <w:top w:val="nil"/>
              <w:left w:val="nil"/>
              <w:bottom w:val="single" w:sz="4" w:space="0" w:color="auto"/>
              <w:right w:val="single" w:sz="4" w:space="0" w:color="auto"/>
            </w:tcBorders>
            <w:shd w:val="clear" w:color="auto" w:fill="auto"/>
            <w:noWrap/>
            <w:vAlign w:val="center"/>
            <w:hideMark/>
          </w:tcPr>
          <w:p w14:paraId="4AEC431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48</w:t>
            </w:r>
          </w:p>
        </w:tc>
        <w:tc>
          <w:tcPr>
            <w:tcW w:w="1247" w:type="dxa"/>
            <w:tcBorders>
              <w:top w:val="nil"/>
              <w:left w:val="nil"/>
              <w:bottom w:val="single" w:sz="4" w:space="0" w:color="auto"/>
              <w:right w:val="single" w:sz="4" w:space="0" w:color="auto"/>
            </w:tcBorders>
            <w:shd w:val="clear" w:color="auto" w:fill="auto"/>
            <w:noWrap/>
            <w:vAlign w:val="center"/>
            <w:hideMark/>
          </w:tcPr>
          <w:p w14:paraId="64D65F3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0F105C2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1,883</w:t>
            </w:r>
          </w:p>
        </w:tc>
        <w:tc>
          <w:tcPr>
            <w:tcW w:w="1247" w:type="dxa"/>
            <w:tcBorders>
              <w:top w:val="nil"/>
              <w:left w:val="nil"/>
              <w:bottom w:val="single" w:sz="4" w:space="0" w:color="auto"/>
              <w:right w:val="single" w:sz="4" w:space="0" w:color="auto"/>
            </w:tcBorders>
            <w:shd w:val="clear" w:color="auto" w:fill="auto"/>
            <w:noWrap/>
            <w:vAlign w:val="center"/>
            <w:hideMark/>
          </w:tcPr>
          <w:p w14:paraId="01AB6E4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1,642</w:t>
            </w:r>
          </w:p>
        </w:tc>
        <w:tc>
          <w:tcPr>
            <w:tcW w:w="1248" w:type="dxa"/>
            <w:tcBorders>
              <w:top w:val="nil"/>
              <w:left w:val="nil"/>
              <w:bottom w:val="single" w:sz="4" w:space="0" w:color="auto"/>
              <w:right w:val="single" w:sz="4" w:space="0" w:color="auto"/>
            </w:tcBorders>
            <w:shd w:val="clear" w:color="auto" w:fill="auto"/>
            <w:noWrap/>
            <w:vAlign w:val="center"/>
            <w:hideMark/>
          </w:tcPr>
          <w:p w14:paraId="28B353AB"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3,573</w:t>
            </w:r>
          </w:p>
        </w:tc>
      </w:tr>
      <w:tr w:rsidR="00B469AB" w:rsidRPr="00AB625A" w14:paraId="0FF44844" w14:textId="77777777" w:rsidTr="00414F21">
        <w:trPr>
          <w:trHeight w:val="39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396CD27"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Greater Shepparton City Council</w:t>
            </w:r>
          </w:p>
        </w:tc>
        <w:tc>
          <w:tcPr>
            <w:tcW w:w="1247" w:type="dxa"/>
            <w:tcBorders>
              <w:top w:val="nil"/>
              <w:left w:val="nil"/>
              <w:bottom w:val="single" w:sz="4" w:space="0" w:color="auto"/>
              <w:right w:val="single" w:sz="4" w:space="0" w:color="auto"/>
            </w:tcBorders>
            <w:shd w:val="clear" w:color="auto" w:fill="auto"/>
            <w:noWrap/>
            <w:vAlign w:val="center"/>
            <w:hideMark/>
          </w:tcPr>
          <w:p w14:paraId="7B49445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47</w:t>
            </w:r>
          </w:p>
        </w:tc>
        <w:tc>
          <w:tcPr>
            <w:tcW w:w="1247" w:type="dxa"/>
            <w:tcBorders>
              <w:top w:val="nil"/>
              <w:left w:val="nil"/>
              <w:bottom w:val="single" w:sz="4" w:space="0" w:color="auto"/>
              <w:right w:val="single" w:sz="4" w:space="0" w:color="auto"/>
            </w:tcBorders>
            <w:shd w:val="clear" w:color="auto" w:fill="auto"/>
            <w:noWrap/>
            <w:vAlign w:val="center"/>
            <w:hideMark/>
          </w:tcPr>
          <w:p w14:paraId="44CF68B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63F012D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1,275</w:t>
            </w:r>
          </w:p>
        </w:tc>
        <w:tc>
          <w:tcPr>
            <w:tcW w:w="1247" w:type="dxa"/>
            <w:tcBorders>
              <w:top w:val="nil"/>
              <w:left w:val="nil"/>
              <w:bottom w:val="single" w:sz="4" w:space="0" w:color="auto"/>
              <w:right w:val="single" w:sz="4" w:space="0" w:color="auto"/>
            </w:tcBorders>
            <w:shd w:val="clear" w:color="auto" w:fill="auto"/>
            <w:noWrap/>
            <w:vAlign w:val="center"/>
            <w:hideMark/>
          </w:tcPr>
          <w:p w14:paraId="0C10637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6BC52C3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1,322</w:t>
            </w:r>
          </w:p>
        </w:tc>
        <w:tc>
          <w:tcPr>
            <w:tcW w:w="1247" w:type="dxa"/>
            <w:tcBorders>
              <w:top w:val="nil"/>
              <w:left w:val="nil"/>
              <w:bottom w:val="single" w:sz="4" w:space="0" w:color="auto"/>
              <w:right w:val="single" w:sz="4" w:space="0" w:color="auto"/>
            </w:tcBorders>
            <w:shd w:val="clear" w:color="auto" w:fill="auto"/>
            <w:noWrap/>
            <w:vAlign w:val="center"/>
            <w:hideMark/>
          </w:tcPr>
          <w:p w14:paraId="063D2AB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48</w:t>
            </w:r>
          </w:p>
        </w:tc>
        <w:tc>
          <w:tcPr>
            <w:tcW w:w="1247" w:type="dxa"/>
            <w:tcBorders>
              <w:top w:val="nil"/>
              <w:left w:val="nil"/>
              <w:bottom w:val="single" w:sz="4" w:space="0" w:color="auto"/>
              <w:right w:val="single" w:sz="4" w:space="0" w:color="auto"/>
            </w:tcBorders>
            <w:shd w:val="clear" w:color="auto" w:fill="auto"/>
            <w:noWrap/>
            <w:vAlign w:val="center"/>
            <w:hideMark/>
          </w:tcPr>
          <w:p w14:paraId="739CA34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5B3154E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1,317</w:t>
            </w:r>
          </w:p>
        </w:tc>
        <w:tc>
          <w:tcPr>
            <w:tcW w:w="1247" w:type="dxa"/>
            <w:tcBorders>
              <w:top w:val="nil"/>
              <w:left w:val="nil"/>
              <w:bottom w:val="single" w:sz="4" w:space="0" w:color="auto"/>
              <w:right w:val="single" w:sz="4" w:space="0" w:color="auto"/>
            </w:tcBorders>
            <w:shd w:val="clear" w:color="auto" w:fill="auto"/>
            <w:noWrap/>
            <w:vAlign w:val="center"/>
            <w:hideMark/>
          </w:tcPr>
          <w:p w14:paraId="0E93080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39A87DF1"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1,365</w:t>
            </w:r>
          </w:p>
        </w:tc>
      </w:tr>
      <w:tr w:rsidR="00B469AB" w:rsidRPr="00AB625A" w14:paraId="5462080B"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98517A5"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Hobsons Bay City Council</w:t>
            </w:r>
          </w:p>
        </w:tc>
        <w:tc>
          <w:tcPr>
            <w:tcW w:w="1247" w:type="dxa"/>
            <w:tcBorders>
              <w:top w:val="nil"/>
              <w:left w:val="nil"/>
              <w:bottom w:val="single" w:sz="4" w:space="0" w:color="auto"/>
              <w:right w:val="single" w:sz="4" w:space="0" w:color="auto"/>
            </w:tcBorders>
            <w:shd w:val="clear" w:color="auto" w:fill="auto"/>
            <w:noWrap/>
            <w:vAlign w:val="center"/>
            <w:hideMark/>
          </w:tcPr>
          <w:p w14:paraId="71E8DE9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155</w:t>
            </w:r>
          </w:p>
        </w:tc>
        <w:tc>
          <w:tcPr>
            <w:tcW w:w="1247" w:type="dxa"/>
            <w:tcBorders>
              <w:top w:val="nil"/>
              <w:left w:val="nil"/>
              <w:bottom w:val="single" w:sz="4" w:space="0" w:color="auto"/>
              <w:right w:val="single" w:sz="4" w:space="0" w:color="auto"/>
            </w:tcBorders>
            <w:shd w:val="clear" w:color="auto" w:fill="auto"/>
            <w:noWrap/>
            <w:vAlign w:val="center"/>
            <w:hideMark/>
          </w:tcPr>
          <w:p w14:paraId="0DB05C4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41D057A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1,060</w:t>
            </w:r>
          </w:p>
        </w:tc>
        <w:tc>
          <w:tcPr>
            <w:tcW w:w="1247" w:type="dxa"/>
            <w:tcBorders>
              <w:top w:val="nil"/>
              <w:left w:val="nil"/>
              <w:bottom w:val="single" w:sz="4" w:space="0" w:color="auto"/>
              <w:right w:val="single" w:sz="4" w:space="0" w:color="auto"/>
            </w:tcBorders>
            <w:shd w:val="clear" w:color="auto" w:fill="auto"/>
            <w:noWrap/>
            <w:vAlign w:val="center"/>
            <w:hideMark/>
          </w:tcPr>
          <w:p w14:paraId="70C0397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1968D40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1,215</w:t>
            </w:r>
          </w:p>
        </w:tc>
        <w:tc>
          <w:tcPr>
            <w:tcW w:w="1247" w:type="dxa"/>
            <w:tcBorders>
              <w:top w:val="nil"/>
              <w:left w:val="nil"/>
              <w:bottom w:val="single" w:sz="4" w:space="0" w:color="auto"/>
              <w:right w:val="single" w:sz="4" w:space="0" w:color="auto"/>
            </w:tcBorders>
            <w:shd w:val="clear" w:color="auto" w:fill="auto"/>
            <w:noWrap/>
            <w:vAlign w:val="center"/>
            <w:hideMark/>
          </w:tcPr>
          <w:p w14:paraId="659C10D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159</w:t>
            </w:r>
          </w:p>
        </w:tc>
        <w:tc>
          <w:tcPr>
            <w:tcW w:w="1247" w:type="dxa"/>
            <w:tcBorders>
              <w:top w:val="nil"/>
              <w:left w:val="nil"/>
              <w:bottom w:val="single" w:sz="4" w:space="0" w:color="auto"/>
              <w:right w:val="single" w:sz="4" w:space="0" w:color="auto"/>
            </w:tcBorders>
            <w:shd w:val="clear" w:color="auto" w:fill="auto"/>
            <w:noWrap/>
            <w:vAlign w:val="center"/>
            <w:hideMark/>
          </w:tcPr>
          <w:p w14:paraId="2F3F470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2994842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1,095</w:t>
            </w:r>
          </w:p>
        </w:tc>
        <w:tc>
          <w:tcPr>
            <w:tcW w:w="1247" w:type="dxa"/>
            <w:tcBorders>
              <w:top w:val="nil"/>
              <w:left w:val="nil"/>
              <w:bottom w:val="single" w:sz="4" w:space="0" w:color="auto"/>
              <w:right w:val="single" w:sz="4" w:space="0" w:color="auto"/>
            </w:tcBorders>
            <w:shd w:val="clear" w:color="auto" w:fill="auto"/>
            <w:noWrap/>
            <w:vAlign w:val="center"/>
            <w:hideMark/>
          </w:tcPr>
          <w:p w14:paraId="419D9C6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568556DC"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1,253</w:t>
            </w:r>
          </w:p>
        </w:tc>
      </w:tr>
      <w:tr w:rsidR="00B469AB" w:rsidRPr="00AB625A" w14:paraId="027A8639"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FDB6AD5"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Hume City Council</w:t>
            </w:r>
          </w:p>
        </w:tc>
        <w:tc>
          <w:tcPr>
            <w:tcW w:w="1247" w:type="dxa"/>
            <w:tcBorders>
              <w:top w:val="nil"/>
              <w:left w:val="nil"/>
              <w:bottom w:val="single" w:sz="4" w:space="0" w:color="auto"/>
              <w:right w:val="single" w:sz="4" w:space="0" w:color="auto"/>
            </w:tcBorders>
            <w:shd w:val="clear" w:color="auto" w:fill="auto"/>
            <w:noWrap/>
            <w:vAlign w:val="center"/>
            <w:hideMark/>
          </w:tcPr>
          <w:p w14:paraId="2F9E493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882</w:t>
            </w:r>
          </w:p>
        </w:tc>
        <w:tc>
          <w:tcPr>
            <w:tcW w:w="1247" w:type="dxa"/>
            <w:tcBorders>
              <w:top w:val="nil"/>
              <w:left w:val="nil"/>
              <w:bottom w:val="single" w:sz="4" w:space="0" w:color="auto"/>
              <w:right w:val="single" w:sz="4" w:space="0" w:color="auto"/>
            </w:tcBorders>
            <w:shd w:val="clear" w:color="auto" w:fill="auto"/>
            <w:noWrap/>
            <w:vAlign w:val="center"/>
            <w:hideMark/>
          </w:tcPr>
          <w:p w14:paraId="666C9D8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6FE3FAE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5,745</w:t>
            </w:r>
          </w:p>
        </w:tc>
        <w:tc>
          <w:tcPr>
            <w:tcW w:w="1247" w:type="dxa"/>
            <w:tcBorders>
              <w:top w:val="nil"/>
              <w:left w:val="nil"/>
              <w:bottom w:val="single" w:sz="4" w:space="0" w:color="auto"/>
              <w:right w:val="single" w:sz="4" w:space="0" w:color="auto"/>
            </w:tcBorders>
            <w:shd w:val="clear" w:color="auto" w:fill="auto"/>
            <w:noWrap/>
            <w:vAlign w:val="center"/>
            <w:hideMark/>
          </w:tcPr>
          <w:p w14:paraId="181CD52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252AB275"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6,628</w:t>
            </w:r>
          </w:p>
        </w:tc>
        <w:tc>
          <w:tcPr>
            <w:tcW w:w="1247" w:type="dxa"/>
            <w:tcBorders>
              <w:top w:val="nil"/>
              <w:left w:val="nil"/>
              <w:bottom w:val="single" w:sz="4" w:space="0" w:color="auto"/>
              <w:right w:val="single" w:sz="4" w:space="0" w:color="auto"/>
            </w:tcBorders>
            <w:shd w:val="clear" w:color="auto" w:fill="auto"/>
            <w:noWrap/>
            <w:vAlign w:val="center"/>
            <w:hideMark/>
          </w:tcPr>
          <w:p w14:paraId="720CF23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903</w:t>
            </w:r>
          </w:p>
        </w:tc>
        <w:tc>
          <w:tcPr>
            <w:tcW w:w="1247" w:type="dxa"/>
            <w:tcBorders>
              <w:top w:val="nil"/>
              <w:left w:val="nil"/>
              <w:bottom w:val="single" w:sz="4" w:space="0" w:color="auto"/>
              <w:right w:val="single" w:sz="4" w:space="0" w:color="auto"/>
            </w:tcBorders>
            <w:shd w:val="clear" w:color="auto" w:fill="auto"/>
            <w:noWrap/>
            <w:vAlign w:val="center"/>
            <w:hideMark/>
          </w:tcPr>
          <w:p w14:paraId="75B42AC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1BD9DA3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5,935</w:t>
            </w:r>
          </w:p>
        </w:tc>
        <w:tc>
          <w:tcPr>
            <w:tcW w:w="1247" w:type="dxa"/>
            <w:tcBorders>
              <w:top w:val="nil"/>
              <w:left w:val="nil"/>
              <w:bottom w:val="single" w:sz="4" w:space="0" w:color="auto"/>
              <w:right w:val="single" w:sz="4" w:space="0" w:color="auto"/>
            </w:tcBorders>
            <w:shd w:val="clear" w:color="auto" w:fill="auto"/>
            <w:noWrap/>
            <w:vAlign w:val="center"/>
            <w:hideMark/>
          </w:tcPr>
          <w:p w14:paraId="0F94C28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58F6788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6,838</w:t>
            </w:r>
          </w:p>
        </w:tc>
      </w:tr>
      <w:tr w:rsidR="00B469AB" w:rsidRPr="00AB625A" w14:paraId="2D047AA3"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17BEE82"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Knox City Council</w:t>
            </w:r>
          </w:p>
        </w:tc>
        <w:tc>
          <w:tcPr>
            <w:tcW w:w="1247" w:type="dxa"/>
            <w:tcBorders>
              <w:top w:val="nil"/>
              <w:left w:val="nil"/>
              <w:bottom w:val="single" w:sz="4" w:space="0" w:color="auto"/>
              <w:right w:val="single" w:sz="4" w:space="0" w:color="auto"/>
            </w:tcBorders>
            <w:shd w:val="clear" w:color="auto" w:fill="auto"/>
            <w:noWrap/>
            <w:vAlign w:val="center"/>
            <w:hideMark/>
          </w:tcPr>
          <w:p w14:paraId="7A79B4B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47</w:t>
            </w:r>
          </w:p>
        </w:tc>
        <w:tc>
          <w:tcPr>
            <w:tcW w:w="1247" w:type="dxa"/>
            <w:tcBorders>
              <w:top w:val="nil"/>
              <w:left w:val="nil"/>
              <w:bottom w:val="single" w:sz="4" w:space="0" w:color="auto"/>
              <w:right w:val="single" w:sz="4" w:space="0" w:color="auto"/>
            </w:tcBorders>
            <w:shd w:val="clear" w:color="auto" w:fill="auto"/>
            <w:noWrap/>
            <w:vAlign w:val="center"/>
            <w:hideMark/>
          </w:tcPr>
          <w:p w14:paraId="2A179A6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668ABF2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1,588</w:t>
            </w:r>
          </w:p>
        </w:tc>
        <w:tc>
          <w:tcPr>
            <w:tcW w:w="1247" w:type="dxa"/>
            <w:tcBorders>
              <w:top w:val="nil"/>
              <w:left w:val="nil"/>
              <w:bottom w:val="single" w:sz="4" w:space="0" w:color="auto"/>
              <w:right w:val="single" w:sz="4" w:space="0" w:color="auto"/>
            </w:tcBorders>
            <w:shd w:val="clear" w:color="auto" w:fill="auto"/>
            <w:noWrap/>
            <w:vAlign w:val="center"/>
            <w:hideMark/>
          </w:tcPr>
          <w:p w14:paraId="73D4FAC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4CA6D2C1"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1,635</w:t>
            </w:r>
          </w:p>
        </w:tc>
        <w:tc>
          <w:tcPr>
            <w:tcW w:w="1247" w:type="dxa"/>
            <w:tcBorders>
              <w:top w:val="nil"/>
              <w:left w:val="nil"/>
              <w:bottom w:val="single" w:sz="4" w:space="0" w:color="auto"/>
              <w:right w:val="single" w:sz="4" w:space="0" w:color="auto"/>
            </w:tcBorders>
            <w:shd w:val="clear" w:color="auto" w:fill="auto"/>
            <w:noWrap/>
            <w:vAlign w:val="center"/>
            <w:hideMark/>
          </w:tcPr>
          <w:p w14:paraId="36F0242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48</w:t>
            </w:r>
          </w:p>
        </w:tc>
        <w:tc>
          <w:tcPr>
            <w:tcW w:w="1247" w:type="dxa"/>
            <w:tcBorders>
              <w:top w:val="nil"/>
              <w:left w:val="nil"/>
              <w:bottom w:val="single" w:sz="4" w:space="0" w:color="auto"/>
              <w:right w:val="single" w:sz="4" w:space="0" w:color="auto"/>
            </w:tcBorders>
            <w:shd w:val="clear" w:color="auto" w:fill="auto"/>
            <w:noWrap/>
            <w:vAlign w:val="center"/>
            <w:hideMark/>
          </w:tcPr>
          <w:p w14:paraId="35A8F26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2D67E5E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1,640</w:t>
            </w:r>
          </w:p>
        </w:tc>
        <w:tc>
          <w:tcPr>
            <w:tcW w:w="1247" w:type="dxa"/>
            <w:tcBorders>
              <w:top w:val="nil"/>
              <w:left w:val="nil"/>
              <w:bottom w:val="single" w:sz="4" w:space="0" w:color="auto"/>
              <w:right w:val="single" w:sz="4" w:space="0" w:color="auto"/>
            </w:tcBorders>
            <w:shd w:val="clear" w:color="auto" w:fill="auto"/>
            <w:noWrap/>
            <w:vAlign w:val="center"/>
            <w:hideMark/>
          </w:tcPr>
          <w:p w14:paraId="05ECC21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66DFA687"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1,689</w:t>
            </w:r>
          </w:p>
        </w:tc>
      </w:tr>
      <w:tr w:rsidR="00B469AB" w:rsidRPr="00AB625A" w14:paraId="01109EC7"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FE180C8"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Latrobe City Council</w:t>
            </w:r>
          </w:p>
        </w:tc>
        <w:tc>
          <w:tcPr>
            <w:tcW w:w="1247" w:type="dxa"/>
            <w:tcBorders>
              <w:top w:val="nil"/>
              <w:left w:val="nil"/>
              <w:bottom w:val="single" w:sz="4" w:space="0" w:color="auto"/>
              <w:right w:val="single" w:sz="4" w:space="0" w:color="auto"/>
            </w:tcBorders>
            <w:shd w:val="clear" w:color="auto" w:fill="auto"/>
            <w:noWrap/>
            <w:vAlign w:val="center"/>
            <w:hideMark/>
          </w:tcPr>
          <w:p w14:paraId="291629A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7" w:type="dxa"/>
            <w:tcBorders>
              <w:top w:val="nil"/>
              <w:left w:val="nil"/>
              <w:bottom w:val="single" w:sz="4" w:space="0" w:color="auto"/>
              <w:right w:val="single" w:sz="4" w:space="0" w:color="auto"/>
            </w:tcBorders>
            <w:shd w:val="clear" w:color="auto" w:fill="auto"/>
            <w:noWrap/>
            <w:vAlign w:val="center"/>
            <w:hideMark/>
          </w:tcPr>
          <w:p w14:paraId="52490A4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250</w:t>
            </w:r>
          </w:p>
        </w:tc>
        <w:tc>
          <w:tcPr>
            <w:tcW w:w="1248" w:type="dxa"/>
            <w:tcBorders>
              <w:top w:val="nil"/>
              <w:left w:val="nil"/>
              <w:bottom w:val="single" w:sz="4" w:space="0" w:color="auto"/>
              <w:right w:val="single" w:sz="4" w:space="0" w:color="auto"/>
            </w:tcBorders>
            <w:shd w:val="clear" w:color="auto" w:fill="auto"/>
            <w:noWrap/>
            <w:vAlign w:val="center"/>
            <w:hideMark/>
          </w:tcPr>
          <w:p w14:paraId="571CA72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1,435</w:t>
            </w:r>
          </w:p>
        </w:tc>
        <w:tc>
          <w:tcPr>
            <w:tcW w:w="1247" w:type="dxa"/>
            <w:tcBorders>
              <w:top w:val="nil"/>
              <w:left w:val="nil"/>
              <w:bottom w:val="single" w:sz="4" w:space="0" w:color="auto"/>
              <w:right w:val="single" w:sz="4" w:space="0" w:color="auto"/>
            </w:tcBorders>
            <w:shd w:val="clear" w:color="auto" w:fill="auto"/>
            <w:noWrap/>
            <w:vAlign w:val="center"/>
            <w:hideMark/>
          </w:tcPr>
          <w:p w14:paraId="0146519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01B4414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1,685</w:t>
            </w:r>
          </w:p>
        </w:tc>
        <w:tc>
          <w:tcPr>
            <w:tcW w:w="1247" w:type="dxa"/>
            <w:tcBorders>
              <w:top w:val="nil"/>
              <w:left w:val="nil"/>
              <w:bottom w:val="single" w:sz="4" w:space="0" w:color="auto"/>
              <w:right w:val="single" w:sz="4" w:space="0" w:color="auto"/>
            </w:tcBorders>
            <w:shd w:val="clear" w:color="auto" w:fill="auto"/>
            <w:noWrap/>
            <w:vAlign w:val="center"/>
            <w:hideMark/>
          </w:tcPr>
          <w:p w14:paraId="7B392891"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 </w:t>
            </w:r>
          </w:p>
        </w:tc>
        <w:tc>
          <w:tcPr>
            <w:tcW w:w="1247" w:type="dxa"/>
            <w:tcBorders>
              <w:top w:val="nil"/>
              <w:left w:val="nil"/>
              <w:bottom w:val="single" w:sz="4" w:space="0" w:color="auto"/>
              <w:right w:val="single" w:sz="4" w:space="0" w:color="auto"/>
            </w:tcBorders>
            <w:shd w:val="clear" w:color="auto" w:fill="auto"/>
            <w:noWrap/>
            <w:vAlign w:val="center"/>
            <w:hideMark/>
          </w:tcPr>
          <w:p w14:paraId="5AD63DF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256</w:t>
            </w:r>
          </w:p>
        </w:tc>
        <w:tc>
          <w:tcPr>
            <w:tcW w:w="1248" w:type="dxa"/>
            <w:tcBorders>
              <w:top w:val="nil"/>
              <w:left w:val="nil"/>
              <w:bottom w:val="single" w:sz="4" w:space="0" w:color="auto"/>
              <w:right w:val="single" w:sz="4" w:space="0" w:color="auto"/>
            </w:tcBorders>
            <w:shd w:val="clear" w:color="auto" w:fill="auto"/>
            <w:noWrap/>
            <w:vAlign w:val="center"/>
            <w:hideMark/>
          </w:tcPr>
          <w:p w14:paraId="681424F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1,482</w:t>
            </w:r>
          </w:p>
        </w:tc>
        <w:tc>
          <w:tcPr>
            <w:tcW w:w="1247" w:type="dxa"/>
            <w:tcBorders>
              <w:top w:val="nil"/>
              <w:left w:val="nil"/>
              <w:bottom w:val="single" w:sz="4" w:space="0" w:color="auto"/>
              <w:right w:val="single" w:sz="4" w:space="0" w:color="auto"/>
            </w:tcBorders>
            <w:shd w:val="clear" w:color="auto" w:fill="auto"/>
            <w:noWrap/>
            <w:vAlign w:val="center"/>
            <w:hideMark/>
          </w:tcPr>
          <w:p w14:paraId="67DBEC3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7B016F1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1,738</w:t>
            </w:r>
          </w:p>
        </w:tc>
      </w:tr>
      <w:tr w:rsidR="00B469AB" w:rsidRPr="00AB625A" w14:paraId="2ED2B26C"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5A7F9DA"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Maribyrnong City Council</w:t>
            </w:r>
          </w:p>
        </w:tc>
        <w:tc>
          <w:tcPr>
            <w:tcW w:w="1247" w:type="dxa"/>
            <w:tcBorders>
              <w:top w:val="nil"/>
              <w:left w:val="nil"/>
              <w:bottom w:val="single" w:sz="4" w:space="0" w:color="auto"/>
              <w:right w:val="single" w:sz="4" w:space="0" w:color="auto"/>
            </w:tcBorders>
            <w:shd w:val="clear" w:color="auto" w:fill="auto"/>
            <w:noWrap/>
            <w:vAlign w:val="center"/>
            <w:hideMark/>
          </w:tcPr>
          <w:p w14:paraId="48291DE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97</w:t>
            </w:r>
          </w:p>
        </w:tc>
        <w:tc>
          <w:tcPr>
            <w:tcW w:w="1247" w:type="dxa"/>
            <w:tcBorders>
              <w:top w:val="nil"/>
              <w:left w:val="nil"/>
              <w:bottom w:val="single" w:sz="4" w:space="0" w:color="auto"/>
              <w:right w:val="single" w:sz="4" w:space="0" w:color="auto"/>
            </w:tcBorders>
            <w:shd w:val="clear" w:color="auto" w:fill="auto"/>
            <w:noWrap/>
            <w:vAlign w:val="center"/>
            <w:hideMark/>
          </w:tcPr>
          <w:p w14:paraId="6C6DEA8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4FCB50A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1,003</w:t>
            </w:r>
          </w:p>
        </w:tc>
        <w:tc>
          <w:tcPr>
            <w:tcW w:w="1247" w:type="dxa"/>
            <w:tcBorders>
              <w:top w:val="nil"/>
              <w:left w:val="nil"/>
              <w:bottom w:val="single" w:sz="4" w:space="0" w:color="auto"/>
              <w:right w:val="single" w:sz="4" w:space="0" w:color="auto"/>
            </w:tcBorders>
            <w:shd w:val="clear" w:color="auto" w:fill="auto"/>
            <w:noWrap/>
            <w:vAlign w:val="center"/>
            <w:hideMark/>
          </w:tcPr>
          <w:p w14:paraId="45E1EA3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06E307C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1,100</w:t>
            </w:r>
          </w:p>
        </w:tc>
        <w:tc>
          <w:tcPr>
            <w:tcW w:w="1247" w:type="dxa"/>
            <w:tcBorders>
              <w:top w:val="nil"/>
              <w:left w:val="nil"/>
              <w:bottom w:val="single" w:sz="4" w:space="0" w:color="auto"/>
              <w:right w:val="single" w:sz="4" w:space="0" w:color="auto"/>
            </w:tcBorders>
            <w:shd w:val="clear" w:color="auto" w:fill="auto"/>
            <w:noWrap/>
            <w:vAlign w:val="center"/>
            <w:hideMark/>
          </w:tcPr>
          <w:p w14:paraId="4EAD9E2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99</w:t>
            </w:r>
          </w:p>
        </w:tc>
        <w:tc>
          <w:tcPr>
            <w:tcW w:w="1247" w:type="dxa"/>
            <w:tcBorders>
              <w:top w:val="nil"/>
              <w:left w:val="nil"/>
              <w:bottom w:val="single" w:sz="4" w:space="0" w:color="auto"/>
              <w:right w:val="single" w:sz="4" w:space="0" w:color="auto"/>
            </w:tcBorders>
            <w:shd w:val="clear" w:color="auto" w:fill="auto"/>
            <w:noWrap/>
            <w:vAlign w:val="center"/>
            <w:hideMark/>
          </w:tcPr>
          <w:p w14:paraId="75982D1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6A074BD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1,037</w:t>
            </w:r>
          </w:p>
        </w:tc>
        <w:tc>
          <w:tcPr>
            <w:tcW w:w="1247" w:type="dxa"/>
            <w:tcBorders>
              <w:top w:val="nil"/>
              <w:left w:val="nil"/>
              <w:bottom w:val="single" w:sz="4" w:space="0" w:color="auto"/>
              <w:right w:val="single" w:sz="4" w:space="0" w:color="auto"/>
            </w:tcBorders>
            <w:shd w:val="clear" w:color="auto" w:fill="auto"/>
            <w:noWrap/>
            <w:vAlign w:val="center"/>
            <w:hideMark/>
          </w:tcPr>
          <w:p w14:paraId="34F5214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3B0AF7D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1,136</w:t>
            </w:r>
          </w:p>
        </w:tc>
      </w:tr>
      <w:tr w:rsidR="00B469AB" w:rsidRPr="00AB625A" w14:paraId="5F02A3A7"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4139F5E"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Maroondah City Council</w:t>
            </w:r>
          </w:p>
        </w:tc>
        <w:tc>
          <w:tcPr>
            <w:tcW w:w="1247" w:type="dxa"/>
            <w:tcBorders>
              <w:top w:val="nil"/>
              <w:left w:val="nil"/>
              <w:bottom w:val="single" w:sz="4" w:space="0" w:color="auto"/>
              <w:right w:val="single" w:sz="4" w:space="0" w:color="auto"/>
            </w:tcBorders>
            <w:shd w:val="clear" w:color="auto" w:fill="auto"/>
            <w:noWrap/>
            <w:vAlign w:val="center"/>
            <w:hideMark/>
          </w:tcPr>
          <w:p w14:paraId="5FD5B39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26</w:t>
            </w:r>
          </w:p>
        </w:tc>
        <w:tc>
          <w:tcPr>
            <w:tcW w:w="1247" w:type="dxa"/>
            <w:tcBorders>
              <w:top w:val="nil"/>
              <w:left w:val="nil"/>
              <w:bottom w:val="single" w:sz="4" w:space="0" w:color="auto"/>
              <w:right w:val="single" w:sz="4" w:space="0" w:color="auto"/>
            </w:tcBorders>
            <w:shd w:val="clear" w:color="auto" w:fill="auto"/>
            <w:noWrap/>
            <w:vAlign w:val="center"/>
            <w:hideMark/>
          </w:tcPr>
          <w:p w14:paraId="2457648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47B92DA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1,258</w:t>
            </w:r>
          </w:p>
        </w:tc>
        <w:tc>
          <w:tcPr>
            <w:tcW w:w="1247" w:type="dxa"/>
            <w:tcBorders>
              <w:top w:val="nil"/>
              <w:left w:val="nil"/>
              <w:bottom w:val="single" w:sz="4" w:space="0" w:color="auto"/>
              <w:right w:val="single" w:sz="4" w:space="0" w:color="auto"/>
            </w:tcBorders>
            <w:shd w:val="clear" w:color="auto" w:fill="auto"/>
            <w:noWrap/>
            <w:vAlign w:val="center"/>
            <w:hideMark/>
          </w:tcPr>
          <w:p w14:paraId="2618E42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23F5F53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1,284</w:t>
            </w:r>
          </w:p>
        </w:tc>
        <w:tc>
          <w:tcPr>
            <w:tcW w:w="1247" w:type="dxa"/>
            <w:tcBorders>
              <w:top w:val="nil"/>
              <w:left w:val="nil"/>
              <w:bottom w:val="single" w:sz="4" w:space="0" w:color="auto"/>
              <w:right w:val="single" w:sz="4" w:space="0" w:color="auto"/>
            </w:tcBorders>
            <w:shd w:val="clear" w:color="auto" w:fill="auto"/>
            <w:noWrap/>
            <w:vAlign w:val="center"/>
            <w:hideMark/>
          </w:tcPr>
          <w:p w14:paraId="2DCC8C7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27</w:t>
            </w:r>
          </w:p>
        </w:tc>
        <w:tc>
          <w:tcPr>
            <w:tcW w:w="1247" w:type="dxa"/>
            <w:tcBorders>
              <w:top w:val="nil"/>
              <w:left w:val="nil"/>
              <w:bottom w:val="single" w:sz="4" w:space="0" w:color="auto"/>
              <w:right w:val="single" w:sz="4" w:space="0" w:color="auto"/>
            </w:tcBorders>
            <w:shd w:val="clear" w:color="auto" w:fill="auto"/>
            <w:noWrap/>
            <w:vAlign w:val="center"/>
            <w:hideMark/>
          </w:tcPr>
          <w:p w14:paraId="1B36143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04B1568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1,299</w:t>
            </w:r>
          </w:p>
        </w:tc>
        <w:tc>
          <w:tcPr>
            <w:tcW w:w="1247" w:type="dxa"/>
            <w:tcBorders>
              <w:top w:val="nil"/>
              <w:left w:val="nil"/>
              <w:bottom w:val="single" w:sz="4" w:space="0" w:color="auto"/>
              <w:right w:val="single" w:sz="4" w:space="0" w:color="auto"/>
            </w:tcBorders>
            <w:shd w:val="clear" w:color="auto" w:fill="auto"/>
            <w:noWrap/>
            <w:vAlign w:val="center"/>
            <w:hideMark/>
          </w:tcPr>
          <w:p w14:paraId="2251FBE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3E3A560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1,326</w:t>
            </w:r>
          </w:p>
        </w:tc>
      </w:tr>
      <w:tr w:rsidR="00B469AB" w:rsidRPr="00AB625A" w14:paraId="0B860E7E"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34D3376"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Melton City Council</w:t>
            </w:r>
          </w:p>
        </w:tc>
        <w:tc>
          <w:tcPr>
            <w:tcW w:w="1247" w:type="dxa"/>
            <w:tcBorders>
              <w:top w:val="nil"/>
              <w:left w:val="nil"/>
              <w:bottom w:val="single" w:sz="4" w:space="0" w:color="auto"/>
              <w:right w:val="single" w:sz="4" w:space="0" w:color="auto"/>
            </w:tcBorders>
            <w:shd w:val="clear" w:color="auto" w:fill="auto"/>
            <w:noWrap/>
            <w:vAlign w:val="center"/>
            <w:hideMark/>
          </w:tcPr>
          <w:p w14:paraId="43BBD7A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615</w:t>
            </w:r>
          </w:p>
        </w:tc>
        <w:tc>
          <w:tcPr>
            <w:tcW w:w="1247" w:type="dxa"/>
            <w:tcBorders>
              <w:top w:val="nil"/>
              <w:left w:val="nil"/>
              <w:bottom w:val="single" w:sz="4" w:space="0" w:color="auto"/>
              <w:right w:val="single" w:sz="4" w:space="0" w:color="auto"/>
            </w:tcBorders>
            <w:shd w:val="clear" w:color="auto" w:fill="auto"/>
            <w:noWrap/>
            <w:vAlign w:val="center"/>
            <w:hideMark/>
          </w:tcPr>
          <w:p w14:paraId="184D452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676333C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4,066</w:t>
            </w:r>
          </w:p>
        </w:tc>
        <w:tc>
          <w:tcPr>
            <w:tcW w:w="1247" w:type="dxa"/>
            <w:tcBorders>
              <w:top w:val="nil"/>
              <w:left w:val="nil"/>
              <w:bottom w:val="single" w:sz="4" w:space="0" w:color="auto"/>
              <w:right w:val="single" w:sz="4" w:space="0" w:color="auto"/>
            </w:tcBorders>
            <w:shd w:val="clear" w:color="auto" w:fill="auto"/>
            <w:noWrap/>
            <w:vAlign w:val="center"/>
            <w:hideMark/>
          </w:tcPr>
          <w:p w14:paraId="63C612C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40CAA8E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4,681</w:t>
            </w:r>
          </w:p>
        </w:tc>
        <w:tc>
          <w:tcPr>
            <w:tcW w:w="1247" w:type="dxa"/>
            <w:tcBorders>
              <w:top w:val="nil"/>
              <w:left w:val="nil"/>
              <w:bottom w:val="single" w:sz="4" w:space="0" w:color="auto"/>
              <w:right w:val="single" w:sz="4" w:space="0" w:color="auto"/>
            </w:tcBorders>
            <w:shd w:val="clear" w:color="auto" w:fill="auto"/>
            <w:noWrap/>
            <w:vAlign w:val="center"/>
            <w:hideMark/>
          </w:tcPr>
          <w:p w14:paraId="39BE1BC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630</w:t>
            </w:r>
          </w:p>
        </w:tc>
        <w:tc>
          <w:tcPr>
            <w:tcW w:w="1247" w:type="dxa"/>
            <w:tcBorders>
              <w:top w:val="nil"/>
              <w:left w:val="nil"/>
              <w:bottom w:val="single" w:sz="4" w:space="0" w:color="auto"/>
              <w:right w:val="single" w:sz="4" w:space="0" w:color="auto"/>
            </w:tcBorders>
            <w:shd w:val="clear" w:color="auto" w:fill="auto"/>
            <w:noWrap/>
            <w:vAlign w:val="center"/>
            <w:hideMark/>
          </w:tcPr>
          <w:p w14:paraId="4D3D73A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498B4C0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4,200</w:t>
            </w:r>
          </w:p>
        </w:tc>
        <w:tc>
          <w:tcPr>
            <w:tcW w:w="1247" w:type="dxa"/>
            <w:tcBorders>
              <w:top w:val="nil"/>
              <w:left w:val="nil"/>
              <w:bottom w:val="single" w:sz="4" w:space="0" w:color="auto"/>
              <w:right w:val="single" w:sz="4" w:space="0" w:color="auto"/>
            </w:tcBorders>
            <w:shd w:val="clear" w:color="auto" w:fill="auto"/>
            <w:noWrap/>
            <w:vAlign w:val="center"/>
            <w:hideMark/>
          </w:tcPr>
          <w:p w14:paraId="7FF15BE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695F63D7"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4,830</w:t>
            </w:r>
          </w:p>
        </w:tc>
      </w:tr>
      <w:tr w:rsidR="00B469AB" w:rsidRPr="00AB625A" w14:paraId="13A66AA6"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0E6B404"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Mildura Rural City Council</w:t>
            </w:r>
          </w:p>
        </w:tc>
        <w:tc>
          <w:tcPr>
            <w:tcW w:w="1247" w:type="dxa"/>
            <w:tcBorders>
              <w:top w:val="nil"/>
              <w:left w:val="nil"/>
              <w:bottom w:val="single" w:sz="4" w:space="0" w:color="auto"/>
              <w:right w:val="single" w:sz="4" w:space="0" w:color="auto"/>
            </w:tcBorders>
            <w:shd w:val="clear" w:color="auto" w:fill="auto"/>
            <w:noWrap/>
            <w:vAlign w:val="center"/>
            <w:hideMark/>
          </w:tcPr>
          <w:p w14:paraId="1D94D8C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299</w:t>
            </w:r>
          </w:p>
        </w:tc>
        <w:tc>
          <w:tcPr>
            <w:tcW w:w="1247" w:type="dxa"/>
            <w:tcBorders>
              <w:top w:val="nil"/>
              <w:left w:val="nil"/>
              <w:bottom w:val="single" w:sz="4" w:space="0" w:color="auto"/>
              <w:right w:val="single" w:sz="4" w:space="0" w:color="auto"/>
            </w:tcBorders>
            <w:shd w:val="clear" w:color="auto" w:fill="auto"/>
            <w:noWrap/>
            <w:vAlign w:val="center"/>
            <w:hideMark/>
          </w:tcPr>
          <w:p w14:paraId="724DA75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28193B9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1,297</w:t>
            </w:r>
          </w:p>
        </w:tc>
        <w:tc>
          <w:tcPr>
            <w:tcW w:w="1247" w:type="dxa"/>
            <w:tcBorders>
              <w:top w:val="nil"/>
              <w:left w:val="nil"/>
              <w:bottom w:val="single" w:sz="4" w:space="0" w:color="auto"/>
              <w:right w:val="single" w:sz="4" w:space="0" w:color="auto"/>
            </w:tcBorders>
            <w:shd w:val="clear" w:color="auto" w:fill="auto"/>
            <w:noWrap/>
            <w:vAlign w:val="center"/>
            <w:hideMark/>
          </w:tcPr>
          <w:p w14:paraId="6B0F4C3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44EAF32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1,596</w:t>
            </w:r>
          </w:p>
        </w:tc>
        <w:tc>
          <w:tcPr>
            <w:tcW w:w="1247" w:type="dxa"/>
            <w:tcBorders>
              <w:top w:val="nil"/>
              <w:left w:val="nil"/>
              <w:bottom w:val="single" w:sz="4" w:space="0" w:color="auto"/>
              <w:right w:val="single" w:sz="4" w:space="0" w:color="auto"/>
            </w:tcBorders>
            <w:shd w:val="clear" w:color="auto" w:fill="auto"/>
            <w:noWrap/>
            <w:vAlign w:val="center"/>
            <w:hideMark/>
          </w:tcPr>
          <w:p w14:paraId="047FFD7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48</w:t>
            </w:r>
          </w:p>
        </w:tc>
        <w:tc>
          <w:tcPr>
            <w:tcW w:w="1247" w:type="dxa"/>
            <w:tcBorders>
              <w:top w:val="nil"/>
              <w:left w:val="nil"/>
              <w:bottom w:val="single" w:sz="4" w:space="0" w:color="auto"/>
              <w:right w:val="single" w:sz="4" w:space="0" w:color="auto"/>
            </w:tcBorders>
            <w:shd w:val="clear" w:color="auto" w:fill="auto"/>
            <w:noWrap/>
            <w:vAlign w:val="center"/>
            <w:hideMark/>
          </w:tcPr>
          <w:p w14:paraId="3D2B51D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41F0556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1,340</w:t>
            </w:r>
          </w:p>
        </w:tc>
        <w:tc>
          <w:tcPr>
            <w:tcW w:w="1247" w:type="dxa"/>
            <w:tcBorders>
              <w:top w:val="nil"/>
              <w:left w:val="nil"/>
              <w:bottom w:val="single" w:sz="4" w:space="0" w:color="auto"/>
              <w:right w:val="single" w:sz="4" w:space="0" w:color="auto"/>
            </w:tcBorders>
            <w:shd w:val="clear" w:color="auto" w:fill="auto"/>
            <w:noWrap/>
            <w:vAlign w:val="center"/>
            <w:hideMark/>
          </w:tcPr>
          <w:p w14:paraId="3C08A97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3359B5F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1,388</w:t>
            </w:r>
          </w:p>
        </w:tc>
      </w:tr>
      <w:tr w:rsidR="00B469AB" w:rsidRPr="00AB625A" w14:paraId="36EE73A0"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2561255"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Mitchell Shire Council</w:t>
            </w:r>
          </w:p>
        </w:tc>
        <w:tc>
          <w:tcPr>
            <w:tcW w:w="1247" w:type="dxa"/>
            <w:tcBorders>
              <w:top w:val="nil"/>
              <w:left w:val="nil"/>
              <w:bottom w:val="single" w:sz="4" w:space="0" w:color="auto"/>
              <w:right w:val="single" w:sz="4" w:space="0" w:color="auto"/>
            </w:tcBorders>
            <w:shd w:val="clear" w:color="auto" w:fill="auto"/>
            <w:noWrap/>
            <w:vAlign w:val="center"/>
            <w:hideMark/>
          </w:tcPr>
          <w:p w14:paraId="6B0A314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24</w:t>
            </w:r>
          </w:p>
        </w:tc>
        <w:tc>
          <w:tcPr>
            <w:tcW w:w="1247" w:type="dxa"/>
            <w:tcBorders>
              <w:top w:val="nil"/>
              <w:left w:val="nil"/>
              <w:bottom w:val="single" w:sz="4" w:space="0" w:color="auto"/>
              <w:right w:val="single" w:sz="4" w:space="0" w:color="auto"/>
            </w:tcBorders>
            <w:shd w:val="clear" w:color="auto" w:fill="auto"/>
            <w:noWrap/>
            <w:vAlign w:val="center"/>
            <w:hideMark/>
          </w:tcPr>
          <w:p w14:paraId="011147F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0F017F4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1,036</w:t>
            </w:r>
          </w:p>
        </w:tc>
        <w:tc>
          <w:tcPr>
            <w:tcW w:w="1247" w:type="dxa"/>
            <w:tcBorders>
              <w:top w:val="nil"/>
              <w:left w:val="nil"/>
              <w:bottom w:val="single" w:sz="4" w:space="0" w:color="auto"/>
              <w:right w:val="single" w:sz="4" w:space="0" w:color="auto"/>
            </w:tcBorders>
            <w:shd w:val="clear" w:color="auto" w:fill="auto"/>
            <w:noWrap/>
            <w:vAlign w:val="center"/>
            <w:hideMark/>
          </w:tcPr>
          <w:p w14:paraId="477BBBE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70E36EDB"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1,060</w:t>
            </w:r>
          </w:p>
        </w:tc>
        <w:tc>
          <w:tcPr>
            <w:tcW w:w="1247" w:type="dxa"/>
            <w:tcBorders>
              <w:top w:val="nil"/>
              <w:left w:val="nil"/>
              <w:bottom w:val="single" w:sz="4" w:space="0" w:color="auto"/>
              <w:right w:val="single" w:sz="4" w:space="0" w:color="auto"/>
            </w:tcBorders>
            <w:shd w:val="clear" w:color="auto" w:fill="auto"/>
            <w:noWrap/>
            <w:vAlign w:val="center"/>
            <w:hideMark/>
          </w:tcPr>
          <w:p w14:paraId="6020AE0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25</w:t>
            </w:r>
          </w:p>
        </w:tc>
        <w:tc>
          <w:tcPr>
            <w:tcW w:w="1247" w:type="dxa"/>
            <w:tcBorders>
              <w:top w:val="nil"/>
              <w:left w:val="nil"/>
              <w:bottom w:val="single" w:sz="4" w:space="0" w:color="auto"/>
              <w:right w:val="single" w:sz="4" w:space="0" w:color="auto"/>
            </w:tcBorders>
            <w:shd w:val="clear" w:color="auto" w:fill="auto"/>
            <w:noWrap/>
            <w:vAlign w:val="center"/>
            <w:hideMark/>
          </w:tcPr>
          <w:p w14:paraId="60C261D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1C317B7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1,070</w:t>
            </w:r>
          </w:p>
        </w:tc>
        <w:tc>
          <w:tcPr>
            <w:tcW w:w="1247" w:type="dxa"/>
            <w:tcBorders>
              <w:top w:val="nil"/>
              <w:left w:val="nil"/>
              <w:bottom w:val="single" w:sz="4" w:space="0" w:color="auto"/>
              <w:right w:val="single" w:sz="4" w:space="0" w:color="auto"/>
            </w:tcBorders>
            <w:shd w:val="clear" w:color="auto" w:fill="auto"/>
            <w:noWrap/>
            <w:vAlign w:val="center"/>
            <w:hideMark/>
          </w:tcPr>
          <w:p w14:paraId="315B04D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0BD64A5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1,095</w:t>
            </w:r>
          </w:p>
        </w:tc>
      </w:tr>
      <w:tr w:rsidR="00B469AB" w:rsidRPr="00AB625A" w14:paraId="6469B534"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4D6854F"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Monash City Council</w:t>
            </w:r>
          </w:p>
        </w:tc>
        <w:tc>
          <w:tcPr>
            <w:tcW w:w="1247" w:type="dxa"/>
            <w:tcBorders>
              <w:top w:val="nil"/>
              <w:left w:val="nil"/>
              <w:bottom w:val="single" w:sz="4" w:space="0" w:color="auto"/>
              <w:right w:val="single" w:sz="4" w:space="0" w:color="auto"/>
            </w:tcBorders>
            <w:shd w:val="clear" w:color="auto" w:fill="auto"/>
            <w:noWrap/>
            <w:vAlign w:val="center"/>
            <w:hideMark/>
          </w:tcPr>
          <w:p w14:paraId="64C50CC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7" w:type="dxa"/>
            <w:tcBorders>
              <w:top w:val="nil"/>
              <w:left w:val="nil"/>
              <w:bottom w:val="single" w:sz="4" w:space="0" w:color="auto"/>
              <w:right w:val="single" w:sz="4" w:space="0" w:color="auto"/>
            </w:tcBorders>
            <w:shd w:val="clear" w:color="auto" w:fill="auto"/>
            <w:noWrap/>
            <w:vAlign w:val="center"/>
            <w:hideMark/>
          </w:tcPr>
          <w:p w14:paraId="7688097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5BE08FB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1,541</w:t>
            </w:r>
          </w:p>
        </w:tc>
        <w:tc>
          <w:tcPr>
            <w:tcW w:w="1247" w:type="dxa"/>
            <w:tcBorders>
              <w:top w:val="nil"/>
              <w:left w:val="nil"/>
              <w:bottom w:val="single" w:sz="4" w:space="0" w:color="auto"/>
              <w:right w:val="single" w:sz="4" w:space="0" w:color="auto"/>
            </w:tcBorders>
            <w:shd w:val="clear" w:color="auto" w:fill="auto"/>
            <w:noWrap/>
            <w:vAlign w:val="center"/>
            <w:hideMark/>
          </w:tcPr>
          <w:p w14:paraId="50F57B9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749397E9"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1,541</w:t>
            </w:r>
          </w:p>
        </w:tc>
        <w:tc>
          <w:tcPr>
            <w:tcW w:w="1247" w:type="dxa"/>
            <w:tcBorders>
              <w:top w:val="nil"/>
              <w:left w:val="nil"/>
              <w:bottom w:val="single" w:sz="4" w:space="0" w:color="auto"/>
              <w:right w:val="single" w:sz="4" w:space="0" w:color="auto"/>
            </w:tcBorders>
            <w:shd w:val="clear" w:color="auto" w:fill="auto"/>
            <w:noWrap/>
            <w:vAlign w:val="center"/>
            <w:hideMark/>
          </w:tcPr>
          <w:p w14:paraId="5D37C519"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 </w:t>
            </w:r>
          </w:p>
        </w:tc>
        <w:tc>
          <w:tcPr>
            <w:tcW w:w="1247" w:type="dxa"/>
            <w:tcBorders>
              <w:top w:val="nil"/>
              <w:left w:val="nil"/>
              <w:bottom w:val="single" w:sz="4" w:space="0" w:color="auto"/>
              <w:right w:val="single" w:sz="4" w:space="0" w:color="auto"/>
            </w:tcBorders>
            <w:shd w:val="clear" w:color="auto" w:fill="auto"/>
            <w:noWrap/>
            <w:vAlign w:val="center"/>
            <w:hideMark/>
          </w:tcPr>
          <w:p w14:paraId="3F9128D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3ED9D63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1,592</w:t>
            </w:r>
          </w:p>
        </w:tc>
        <w:tc>
          <w:tcPr>
            <w:tcW w:w="1247" w:type="dxa"/>
            <w:tcBorders>
              <w:top w:val="nil"/>
              <w:left w:val="nil"/>
              <w:bottom w:val="single" w:sz="4" w:space="0" w:color="auto"/>
              <w:right w:val="single" w:sz="4" w:space="0" w:color="auto"/>
            </w:tcBorders>
            <w:shd w:val="clear" w:color="auto" w:fill="auto"/>
            <w:noWrap/>
            <w:vAlign w:val="center"/>
            <w:hideMark/>
          </w:tcPr>
          <w:p w14:paraId="45FBE8B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6C1B0A5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1,592</w:t>
            </w:r>
          </w:p>
        </w:tc>
      </w:tr>
      <w:tr w:rsidR="00B469AB" w:rsidRPr="00AB625A" w14:paraId="1702D71E"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6596BE0"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Moonee Valley City Council</w:t>
            </w:r>
          </w:p>
        </w:tc>
        <w:tc>
          <w:tcPr>
            <w:tcW w:w="1247" w:type="dxa"/>
            <w:tcBorders>
              <w:top w:val="nil"/>
              <w:left w:val="nil"/>
              <w:bottom w:val="single" w:sz="4" w:space="0" w:color="auto"/>
              <w:right w:val="single" w:sz="4" w:space="0" w:color="auto"/>
            </w:tcBorders>
            <w:shd w:val="clear" w:color="auto" w:fill="auto"/>
            <w:noWrap/>
            <w:vAlign w:val="center"/>
            <w:hideMark/>
          </w:tcPr>
          <w:p w14:paraId="6F8C3E0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559</w:t>
            </w:r>
          </w:p>
        </w:tc>
        <w:tc>
          <w:tcPr>
            <w:tcW w:w="1247" w:type="dxa"/>
            <w:tcBorders>
              <w:top w:val="nil"/>
              <w:left w:val="nil"/>
              <w:bottom w:val="single" w:sz="4" w:space="0" w:color="auto"/>
              <w:right w:val="single" w:sz="4" w:space="0" w:color="auto"/>
            </w:tcBorders>
            <w:shd w:val="clear" w:color="auto" w:fill="auto"/>
            <w:noWrap/>
            <w:vAlign w:val="center"/>
            <w:hideMark/>
          </w:tcPr>
          <w:p w14:paraId="723366B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38F900F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1,132</w:t>
            </w:r>
          </w:p>
        </w:tc>
        <w:tc>
          <w:tcPr>
            <w:tcW w:w="1247" w:type="dxa"/>
            <w:tcBorders>
              <w:top w:val="nil"/>
              <w:left w:val="nil"/>
              <w:bottom w:val="single" w:sz="4" w:space="0" w:color="auto"/>
              <w:right w:val="single" w:sz="4" w:space="0" w:color="auto"/>
            </w:tcBorders>
            <w:shd w:val="clear" w:color="auto" w:fill="auto"/>
            <w:noWrap/>
            <w:vAlign w:val="center"/>
            <w:hideMark/>
          </w:tcPr>
          <w:p w14:paraId="43A6759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63F92F37"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1,692</w:t>
            </w:r>
          </w:p>
        </w:tc>
        <w:tc>
          <w:tcPr>
            <w:tcW w:w="1247" w:type="dxa"/>
            <w:tcBorders>
              <w:top w:val="nil"/>
              <w:left w:val="nil"/>
              <w:bottom w:val="single" w:sz="4" w:space="0" w:color="auto"/>
              <w:right w:val="single" w:sz="4" w:space="0" w:color="auto"/>
            </w:tcBorders>
            <w:shd w:val="clear" w:color="auto" w:fill="auto"/>
            <w:noWrap/>
            <w:vAlign w:val="center"/>
            <w:hideMark/>
          </w:tcPr>
          <w:p w14:paraId="69952E4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573</w:t>
            </w:r>
          </w:p>
        </w:tc>
        <w:tc>
          <w:tcPr>
            <w:tcW w:w="1247" w:type="dxa"/>
            <w:tcBorders>
              <w:top w:val="nil"/>
              <w:left w:val="nil"/>
              <w:bottom w:val="single" w:sz="4" w:space="0" w:color="auto"/>
              <w:right w:val="single" w:sz="4" w:space="0" w:color="auto"/>
            </w:tcBorders>
            <w:shd w:val="clear" w:color="auto" w:fill="auto"/>
            <w:noWrap/>
            <w:vAlign w:val="center"/>
            <w:hideMark/>
          </w:tcPr>
          <w:p w14:paraId="1B1CC60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39E53CB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1,169</w:t>
            </w:r>
          </w:p>
        </w:tc>
        <w:tc>
          <w:tcPr>
            <w:tcW w:w="1247" w:type="dxa"/>
            <w:tcBorders>
              <w:top w:val="nil"/>
              <w:left w:val="nil"/>
              <w:bottom w:val="single" w:sz="4" w:space="0" w:color="auto"/>
              <w:right w:val="single" w:sz="4" w:space="0" w:color="auto"/>
            </w:tcBorders>
            <w:shd w:val="clear" w:color="auto" w:fill="auto"/>
            <w:noWrap/>
            <w:vAlign w:val="center"/>
            <w:hideMark/>
          </w:tcPr>
          <w:p w14:paraId="2A578B0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7B7D751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1,742</w:t>
            </w:r>
          </w:p>
        </w:tc>
      </w:tr>
      <w:tr w:rsidR="00B469AB" w:rsidRPr="00AB625A" w14:paraId="20B05E25"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3035DDB"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Moreland City Council</w:t>
            </w:r>
          </w:p>
        </w:tc>
        <w:tc>
          <w:tcPr>
            <w:tcW w:w="1247" w:type="dxa"/>
            <w:tcBorders>
              <w:top w:val="nil"/>
              <w:left w:val="nil"/>
              <w:bottom w:val="single" w:sz="4" w:space="0" w:color="auto"/>
              <w:right w:val="single" w:sz="4" w:space="0" w:color="auto"/>
            </w:tcBorders>
            <w:shd w:val="clear" w:color="auto" w:fill="auto"/>
            <w:noWrap/>
            <w:vAlign w:val="center"/>
            <w:hideMark/>
          </w:tcPr>
          <w:p w14:paraId="1334911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586</w:t>
            </w:r>
          </w:p>
        </w:tc>
        <w:tc>
          <w:tcPr>
            <w:tcW w:w="1247" w:type="dxa"/>
            <w:tcBorders>
              <w:top w:val="nil"/>
              <w:left w:val="nil"/>
              <w:bottom w:val="single" w:sz="4" w:space="0" w:color="auto"/>
              <w:right w:val="single" w:sz="4" w:space="0" w:color="auto"/>
            </w:tcBorders>
            <w:shd w:val="clear" w:color="auto" w:fill="auto"/>
            <w:noWrap/>
            <w:vAlign w:val="center"/>
            <w:hideMark/>
          </w:tcPr>
          <w:p w14:paraId="62AF2D3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7565AB1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2,019</w:t>
            </w:r>
          </w:p>
        </w:tc>
        <w:tc>
          <w:tcPr>
            <w:tcW w:w="1247" w:type="dxa"/>
            <w:tcBorders>
              <w:top w:val="nil"/>
              <w:left w:val="nil"/>
              <w:bottom w:val="single" w:sz="4" w:space="0" w:color="auto"/>
              <w:right w:val="single" w:sz="4" w:space="0" w:color="auto"/>
            </w:tcBorders>
            <w:shd w:val="clear" w:color="auto" w:fill="auto"/>
            <w:noWrap/>
            <w:vAlign w:val="center"/>
            <w:hideMark/>
          </w:tcPr>
          <w:p w14:paraId="58612F4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235E966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2,605</w:t>
            </w:r>
          </w:p>
        </w:tc>
        <w:tc>
          <w:tcPr>
            <w:tcW w:w="1247" w:type="dxa"/>
            <w:tcBorders>
              <w:top w:val="nil"/>
              <w:left w:val="nil"/>
              <w:bottom w:val="single" w:sz="4" w:space="0" w:color="auto"/>
              <w:right w:val="single" w:sz="4" w:space="0" w:color="auto"/>
            </w:tcBorders>
            <w:shd w:val="clear" w:color="auto" w:fill="auto"/>
            <w:noWrap/>
            <w:vAlign w:val="center"/>
            <w:hideMark/>
          </w:tcPr>
          <w:p w14:paraId="7EBB987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600</w:t>
            </w:r>
          </w:p>
        </w:tc>
        <w:tc>
          <w:tcPr>
            <w:tcW w:w="1247" w:type="dxa"/>
            <w:tcBorders>
              <w:top w:val="nil"/>
              <w:left w:val="nil"/>
              <w:bottom w:val="single" w:sz="4" w:space="0" w:color="auto"/>
              <w:right w:val="single" w:sz="4" w:space="0" w:color="auto"/>
            </w:tcBorders>
            <w:shd w:val="clear" w:color="auto" w:fill="auto"/>
            <w:noWrap/>
            <w:vAlign w:val="center"/>
            <w:hideMark/>
          </w:tcPr>
          <w:p w14:paraId="7DD52B4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75E9399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2,085</w:t>
            </w:r>
          </w:p>
        </w:tc>
        <w:tc>
          <w:tcPr>
            <w:tcW w:w="1247" w:type="dxa"/>
            <w:tcBorders>
              <w:top w:val="nil"/>
              <w:left w:val="nil"/>
              <w:bottom w:val="single" w:sz="4" w:space="0" w:color="auto"/>
              <w:right w:val="single" w:sz="4" w:space="0" w:color="auto"/>
            </w:tcBorders>
            <w:shd w:val="clear" w:color="auto" w:fill="auto"/>
            <w:noWrap/>
            <w:vAlign w:val="center"/>
            <w:hideMark/>
          </w:tcPr>
          <w:p w14:paraId="0F538C7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1340314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2,685</w:t>
            </w:r>
          </w:p>
        </w:tc>
      </w:tr>
      <w:tr w:rsidR="00B469AB" w:rsidRPr="00AB625A" w14:paraId="384B07EE" w14:textId="77777777" w:rsidTr="00414F21">
        <w:trPr>
          <w:trHeight w:val="39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9187EFE"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Mornington Peninsula Shire Council</w:t>
            </w:r>
          </w:p>
        </w:tc>
        <w:tc>
          <w:tcPr>
            <w:tcW w:w="1247" w:type="dxa"/>
            <w:tcBorders>
              <w:top w:val="nil"/>
              <w:left w:val="nil"/>
              <w:bottom w:val="single" w:sz="4" w:space="0" w:color="auto"/>
              <w:right w:val="single" w:sz="4" w:space="0" w:color="auto"/>
            </w:tcBorders>
            <w:shd w:val="clear" w:color="auto" w:fill="auto"/>
            <w:noWrap/>
            <w:vAlign w:val="center"/>
            <w:hideMark/>
          </w:tcPr>
          <w:p w14:paraId="2BCCB00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1,076</w:t>
            </w:r>
          </w:p>
        </w:tc>
        <w:tc>
          <w:tcPr>
            <w:tcW w:w="1247" w:type="dxa"/>
            <w:tcBorders>
              <w:top w:val="nil"/>
              <w:left w:val="nil"/>
              <w:bottom w:val="single" w:sz="4" w:space="0" w:color="auto"/>
              <w:right w:val="single" w:sz="4" w:space="0" w:color="auto"/>
            </w:tcBorders>
            <w:shd w:val="clear" w:color="auto" w:fill="auto"/>
            <w:noWrap/>
            <w:vAlign w:val="center"/>
            <w:hideMark/>
          </w:tcPr>
          <w:p w14:paraId="668A3A5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5FECD2C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1,845</w:t>
            </w:r>
          </w:p>
        </w:tc>
        <w:tc>
          <w:tcPr>
            <w:tcW w:w="1247" w:type="dxa"/>
            <w:tcBorders>
              <w:top w:val="nil"/>
              <w:left w:val="nil"/>
              <w:bottom w:val="single" w:sz="4" w:space="0" w:color="auto"/>
              <w:right w:val="single" w:sz="4" w:space="0" w:color="auto"/>
            </w:tcBorders>
            <w:shd w:val="clear" w:color="auto" w:fill="auto"/>
            <w:noWrap/>
            <w:vAlign w:val="center"/>
            <w:hideMark/>
          </w:tcPr>
          <w:p w14:paraId="1B5E03F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00CAEA0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2,921</w:t>
            </w:r>
          </w:p>
        </w:tc>
        <w:tc>
          <w:tcPr>
            <w:tcW w:w="1247" w:type="dxa"/>
            <w:tcBorders>
              <w:top w:val="nil"/>
              <w:left w:val="nil"/>
              <w:bottom w:val="single" w:sz="4" w:space="0" w:color="auto"/>
              <w:right w:val="single" w:sz="4" w:space="0" w:color="auto"/>
            </w:tcBorders>
            <w:shd w:val="clear" w:color="auto" w:fill="auto"/>
            <w:noWrap/>
            <w:vAlign w:val="center"/>
            <w:hideMark/>
          </w:tcPr>
          <w:p w14:paraId="038008F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1,102</w:t>
            </w:r>
          </w:p>
        </w:tc>
        <w:tc>
          <w:tcPr>
            <w:tcW w:w="1247" w:type="dxa"/>
            <w:tcBorders>
              <w:top w:val="nil"/>
              <w:left w:val="nil"/>
              <w:bottom w:val="single" w:sz="4" w:space="0" w:color="auto"/>
              <w:right w:val="single" w:sz="4" w:space="0" w:color="auto"/>
            </w:tcBorders>
            <w:shd w:val="clear" w:color="auto" w:fill="auto"/>
            <w:noWrap/>
            <w:vAlign w:val="center"/>
            <w:hideMark/>
          </w:tcPr>
          <w:p w14:paraId="61E40AE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0483F15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1,906</w:t>
            </w:r>
          </w:p>
        </w:tc>
        <w:tc>
          <w:tcPr>
            <w:tcW w:w="1247" w:type="dxa"/>
            <w:tcBorders>
              <w:top w:val="nil"/>
              <w:left w:val="nil"/>
              <w:bottom w:val="single" w:sz="4" w:space="0" w:color="auto"/>
              <w:right w:val="single" w:sz="4" w:space="0" w:color="auto"/>
            </w:tcBorders>
            <w:shd w:val="clear" w:color="auto" w:fill="auto"/>
            <w:noWrap/>
            <w:vAlign w:val="center"/>
            <w:hideMark/>
          </w:tcPr>
          <w:p w14:paraId="54CF270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2A19BBEC"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3,008</w:t>
            </w:r>
          </w:p>
        </w:tc>
      </w:tr>
      <w:tr w:rsidR="00B469AB" w:rsidRPr="00AB625A" w14:paraId="6D31626B" w14:textId="77777777" w:rsidTr="00414F21">
        <w:trPr>
          <w:trHeight w:val="39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17BFBF8"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Municipal Association of Victoria</w:t>
            </w:r>
          </w:p>
        </w:tc>
        <w:tc>
          <w:tcPr>
            <w:tcW w:w="1247" w:type="dxa"/>
            <w:tcBorders>
              <w:top w:val="nil"/>
              <w:left w:val="nil"/>
              <w:bottom w:val="single" w:sz="4" w:space="0" w:color="auto"/>
              <w:right w:val="single" w:sz="4" w:space="0" w:color="auto"/>
            </w:tcBorders>
            <w:shd w:val="clear" w:color="auto" w:fill="auto"/>
            <w:noWrap/>
            <w:vAlign w:val="center"/>
            <w:hideMark/>
          </w:tcPr>
          <w:p w14:paraId="7C7E300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196</w:t>
            </w:r>
          </w:p>
        </w:tc>
        <w:tc>
          <w:tcPr>
            <w:tcW w:w="1247" w:type="dxa"/>
            <w:tcBorders>
              <w:top w:val="nil"/>
              <w:left w:val="nil"/>
              <w:bottom w:val="single" w:sz="4" w:space="0" w:color="auto"/>
              <w:right w:val="single" w:sz="4" w:space="0" w:color="auto"/>
            </w:tcBorders>
            <w:shd w:val="clear" w:color="auto" w:fill="auto"/>
            <w:noWrap/>
            <w:vAlign w:val="center"/>
            <w:hideMark/>
          </w:tcPr>
          <w:p w14:paraId="1004B18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1F1BDBD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420</w:t>
            </w:r>
          </w:p>
        </w:tc>
        <w:tc>
          <w:tcPr>
            <w:tcW w:w="1247" w:type="dxa"/>
            <w:tcBorders>
              <w:top w:val="nil"/>
              <w:left w:val="nil"/>
              <w:bottom w:val="single" w:sz="4" w:space="0" w:color="auto"/>
              <w:right w:val="single" w:sz="4" w:space="0" w:color="auto"/>
            </w:tcBorders>
            <w:shd w:val="clear" w:color="auto" w:fill="auto"/>
            <w:noWrap/>
            <w:vAlign w:val="center"/>
            <w:hideMark/>
          </w:tcPr>
          <w:p w14:paraId="0ACE9A3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1,591</w:t>
            </w:r>
          </w:p>
        </w:tc>
        <w:tc>
          <w:tcPr>
            <w:tcW w:w="1248" w:type="dxa"/>
            <w:tcBorders>
              <w:top w:val="nil"/>
              <w:left w:val="nil"/>
              <w:bottom w:val="single" w:sz="4" w:space="0" w:color="auto"/>
              <w:right w:val="single" w:sz="4" w:space="0" w:color="auto"/>
            </w:tcBorders>
            <w:shd w:val="clear" w:color="auto" w:fill="auto"/>
            <w:noWrap/>
            <w:vAlign w:val="center"/>
            <w:hideMark/>
          </w:tcPr>
          <w:p w14:paraId="32FFA75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2,207</w:t>
            </w:r>
          </w:p>
        </w:tc>
        <w:tc>
          <w:tcPr>
            <w:tcW w:w="1247" w:type="dxa"/>
            <w:tcBorders>
              <w:top w:val="nil"/>
              <w:left w:val="nil"/>
              <w:bottom w:val="single" w:sz="4" w:space="0" w:color="auto"/>
              <w:right w:val="single" w:sz="4" w:space="0" w:color="auto"/>
            </w:tcBorders>
            <w:shd w:val="clear" w:color="auto" w:fill="auto"/>
            <w:noWrap/>
            <w:vAlign w:val="center"/>
            <w:hideMark/>
          </w:tcPr>
          <w:p w14:paraId="14C2BF1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203</w:t>
            </w:r>
          </w:p>
        </w:tc>
        <w:tc>
          <w:tcPr>
            <w:tcW w:w="1247" w:type="dxa"/>
            <w:tcBorders>
              <w:top w:val="nil"/>
              <w:left w:val="nil"/>
              <w:bottom w:val="single" w:sz="4" w:space="0" w:color="auto"/>
              <w:right w:val="single" w:sz="4" w:space="0" w:color="auto"/>
            </w:tcBorders>
            <w:shd w:val="clear" w:color="auto" w:fill="auto"/>
            <w:noWrap/>
            <w:vAlign w:val="center"/>
            <w:hideMark/>
          </w:tcPr>
          <w:p w14:paraId="0E2AC2E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198506E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421</w:t>
            </w:r>
          </w:p>
        </w:tc>
        <w:tc>
          <w:tcPr>
            <w:tcW w:w="1247" w:type="dxa"/>
            <w:tcBorders>
              <w:top w:val="nil"/>
              <w:left w:val="nil"/>
              <w:bottom w:val="single" w:sz="4" w:space="0" w:color="auto"/>
              <w:right w:val="single" w:sz="4" w:space="0" w:color="auto"/>
            </w:tcBorders>
            <w:shd w:val="clear" w:color="auto" w:fill="auto"/>
            <w:noWrap/>
            <w:vAlign w:val="center"/>
            <w:hideMark/>
          </w:tcPr>
          <w:p w14:paraId="1F6732C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1,644</w:t>
            </w:r>
          </w:p>
        </w:tc>
        <w:tc>
          <w:tcPr>
            <w:tcW w:w="1248" w:type="dxa"/>
            <w:tcBorders>
              <w:top w:val="nil"/>
              <w:left w:val="nil"/>
              <w:bottom w:val="single" w:sz="4" w:space="0" w:color="auto"/>
              <w:right w:val="single" w:sz="4" w:space="0" w:color="auto"/>
            </w:tcBorders>
            <w:shd w:val="clear" w:color="auto" w:fill="auto"/>
            <w:noWrap/>
            <w:vAlign w:val="center"/>
            <w:hideMark/>
          </w:tcPr>
          <w:p w14:paraId="5513A1C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2,267</w:t>
            </w:r>
          </w:p>
        </w:tc>
      </w:tr>
      <w:tr w:rsidR="00B469AB" w:rsidRPr="00AB625A" w14:paraId="474C8A4C"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A99A600"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Rural City Of Wangaratta</w:t>
            </w:r>
          </w:p>
        </w:tc>
        <w:tc>
          <w:tcPr>
            <w:tcW w:w="1247" w:type="dxa"/>
            <w:tcBorders>
              <w:top w:val="nil"/>
              <w:left w:val="nil"/>
              <w:bottom w:val="single" w:sz="4" w:space="0" w:color="auto"/>
              <w:right w:val="single" w:sz="4" w:space="0" w:color="auto"/>
            </w:tcBorders>
            <w:shd w:val="clear" w:color="auto" w:fill="auto"/>
            <w:noWrap/>
            <w:vAlign w:val="center"/>
            <w:hideMark/>
          </w:tcPr>
          <w:p w14:paraId="1381FCA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214</w:t>
            </w:r>
          </w:p>
        </w:tc>
        <w:tc>
          <w:tcPr>
            <w:tcW w:w="1247" w:type="dxa"/>
            <w:tcBorders>
              <w:top w:val="nil"/>
              <w:left w:val="nil"/>
              <w:bottom w:val="single" w:sz="4" w:space="0" w:color="auto"/>
              <w:right w:val="single" w:sz="4" w:space="0" w:color="auto"/>
            </w:tcBorders>
            <w:shd w:val="clear" w:color="auto" w:fill="auto"/>
            <w:noWrap/>
            <w:vAlign w:val="center"/>
            <w:hideMark/>
          </w:tcPr>
          <w:p w14:paraId="7CC77F4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220</w:t>
            </w:r>
          </w:p>
        </w:tc>
        <w:tc>
          <w:tcPr>
            <w:tcW w:w="1248" w:type="dxa"/>
            <w:tcBorders>
              <w:top w:val="nil"/>
              <w:left w:val="nil"/>
              <w:bottom w:val="single" w:sz="4" w:space="0" w:color="auto"/>
              <w:right w:val="single" w:sz="4" w:space="0" w:color="auto"/>
            </w:tcBorders>
            <w:shd w:val="clear" w:color="auto" w:fill="auto"/>
            <w:noWrap/>
            <w:vAlign w:val="center"/>
            <w:hideMark/>
          </w:tcPr>
          <w:p w14:paraId="0C6A4EA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538</w:t>
            </w:r>
          </w:p>
        </w:tc>
        <w:tc>
          <w:tcPr>
            <w:tcW w:w="1247" w:type="dxa"/>
            <w:tcBorders>
              <w:top w:val="nil"/>
              <w:left w:val="nil"/>
              <w:bottom w:val="single" w:sz="4" w:space="0" w:color="auto"/>
              <w:right w:val="single" w:sz="4" w:space="0" w:color="auto"/>
            </w:tcBorders>
            <w:shd w:val="clear" w:color="auto" w:fill="auto"/>
            <w:noWrap/>
            <w:vAlign w:val="center"/>
            <w:hideMark/>
          </w:tcPr>
          <w:p w14:paraId="6558861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101CA18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973</w:t>
            </w:r>
          </w:p>
        </w:tc>
        <w:tc>
          <w:tcPr>
            <w:tcW w:w="1247" w:type="dxa"/>
            <w:tcBorders>
              <w:top w:val="nil"/>
              <w:left w:val="nil"/>
              <w:bottom w:val="single" w:sz="4" w:space="0" w:color="auto"/>
              <w:right w:val="single" w:sz="4" w:space="0" w:color="auto"/>
            </w:tcBorders>
            <w:shd w:val="clear" w:color="auto" w:fill="auto"/>
            <w:noWrap/>
            <w:vAlign w:val="center"/>
            <w:hideMark/>
          </w:tcPr>
          <w:p w14:paraId="356E9AD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219</w:t>
            </w:r>
          </w:p>
        </w:tc>
        <w:tc>
          <w:tcPr>
            <w:tcW w:w="1247" w:type="dxa"/>
            <w:tcBorders>
              <w:top w:val="nil"/>
              <w:left w:val="nil"/>
              <w:bottom w:val="single" w:sz="4" w:space="0" w:color="auto"/>
              <w:right w:val="single" w:sz="4" w:space="0" w:color="auto"/>
            </w:tcBorders>
            <w:shd w:val="clear" w:color="auto" w:fill="auto"/>
            <w:noWrap/>
            <w:vAlign w:val="center"/>
            <w:hideMark/>
          </w:tcPr>
          <w:p w14:paraId="6F36937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225</w:t>
            </w:r>
          </w:p>
        </w:tc>
        <w:tc>
          <w:tcPr>
            <w:tcW w:w="1248" w:type="dxa"/>
            <w:tcBorders>
              <w:top w:val="nil"/>
              <w:left w:val="nil"/>
              <w:bottom w:val="single" w:sz="4" w:space="0" w:color="auto"/>
              <w:right w:val="single" w:sz="4" w:space="0" w:color="auto"/>
            </w:tcBorders>
            <w:shd w:val="clear" w:color="auto" w:fill="auto"/>
            <w:noWrap/>
            <w:vAlign w:val="center"/>
            <w:hideMark/>
          </w:tcPr>
          <w:p w14:paraId="1BC48EB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556</w:t>
            </w:r>
          </w:p>
        </w:tc>
        <w:tc>
          <w:tcPr>
            <w:tcW w:w="1247" w:type="dxa"/>
            <w:tcBorders>
              <w:top w:val="nil"/>
              <w:left w:val="nil"/>
              <w:bottom w:val="single" w:sz="4" w:space="0" w:color="auto"/>
              <w:right w:val="single" w:sz="4" w:space="0" w:color="auto"/>
            </w:tcBorders>
            <w:shd w:val="clear" w:color="auto" w:fill="auto"/>
            <w:noWrap/>
            <w:vAlign w:val="center"/>
            <w:hideMark/>
          </w:tcPr>
          <w:p w14:paraId="5EA3721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3F5BFED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1,001</w:t>
            </w:r>
          </w:p>
        </w:tc>
      </w:tr>
      <w:tr w:rsidR="00B469AB" w:rsidRPr="00AB625A" w14:paraId="0C22428C" w14:textId="77777777" w:rsidTr="00414F21">
        <w:trPr>
          <w:trHeight w:val="39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E6259AD"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The City of Greater Dandenong</w:t>
            </w:r>
          </w:p>
        </w:tc>
        <w:tc>
          <w:tcPr>
            <w:tcW w:w="1247" w:type="dxa"/>
            <w:tcBorders>
              <w:top w:val="nil"/>
              <w:left w:val="nil"/>
              <w:bottom w:val="single" w:sz="4" w:space="0" w:color="auto"/>
              <w:right w:val="single" w:sz="4" w:space="0" w:color="auto"/>
            </w:tcBorders>
            <w:shd w:val="clear" w:color="auto" w:fill="auto"/>
            <w:noWrap/>
            <w:vAlign w:val="center"/>
            <w:hideMark/>
          </w:tcPr>
          <w:p w14:paraId="7E173A6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1,309</w:t>
            </w:r>
          </w:p>
        </w:tc>
        <w:tc>
          <w:tcPr>
            <w:tcW w:w="1247" w:type="dxa"/>
            <w:tcBorders>
              <w:top w:val="nil"/>
              <w:left w:val="nil"/>
              <w:bottom w:val="single" w:sz="4" w:space="0" w:color="auto"/>
              <w:right w:val="single" w:sz="4" w:space="0" w:color="auto"/>
            </w:tcBorders>
            <w:shd w:val="clear" w:color="auto" w:fill="auto"/>
            <w:noWrap/>
            <w:vAlign w:val="center"/>
            <w:hideMark/>
          </w:tcPr>
          <w:p w14:paraId="5C288B9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1A7FD13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2,483</w:t>
            </w:r>
          </w:p>
        </w:tc>
        <w:tc>
          <w:tcPr>
            <w:tcW w:w="1247" w:type="dxa"/>
            <w:tcBorders>
              <w:top w:val="nil"/>
              <w:left w:val="nil"/>
              <w:bottom w:val="single" w:sz="4" w:space="0" w:color="auto"/>
              <w:right w:val="single" w:sz="4" w:space="0" w:color="auto"/>
            </w:tcBorders>
            <w:shd w:val="clear" w:color="auto" w:fill="auto"/>
            <w:noWrap/>
            <w:vAlign w:val="center"/>
            <w:hideMark/>
          </w:tcPr>
          <w:p w14:paraId="348AB92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48EEA6AC"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3,792</w:t>
            </w:r>
          </w:p>
        </w:tc>
        <w:tc>
          <w:tcPr>
            <w:tcW w:w="1247" w:type="dxa"/>
            <w:tcBorders>
              <w:top w:val="nil"/>
              <w:left w:val="nil"/>
              <w:bottom w:val="single" w:sz="4" w:space="0" w:color="auto"/>
              <w:right w:val="single" w:sz="4" w:space="0" w:color="auto"/>
            </w:tcBorders>
            <w:shd w:val="clear" w:color="auto" w:fill="auto"/>
            <w:noWrap/>
            <w:vAlign w:val="center"/>
            <w:hideMark/>
          </w:tcPr>
          <w:p w14:paraId="067CFE9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1,340</w:t>
            </w:r>
          </w:p>
        </w:tc>
        <w:tc>
          <w:tcPr>
            <w:tcW w:w="1247" w:type="dxa"/>
            <w:tcBorders>
              <w:top w:val="nil"/>
              <w:left w:val="nil"/>
              <w:bottom w:val="single" w:sz="4" w:space="0" w:color="auto"/>
              <w:right w:val="single" w:sz="4" w:space="0" w:color="auto"/>
            </w:tcBorders>
            <w:shd w:val="clear" w:color="auto" w:fill="auto"/>
            <w:noWrap/>
            <w:vAlign w:val="center"/>
            <w:hideMark/>
          </w:tcPr>
          <w:p w14:paraId="043F7BC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127BB55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2,565</w:t>
            </w:r>
          </w:p>
        </w:tc>
        <w:tc>
          <w:tcPr>
            <w:tcW w:w="1247" w:type="dxa"/>
            <w:tcBorders>
              <w:top w:val="nil"/>
              <w:left w:val="nil"/>
              <w:bottom w:val="single" w:sz="4" w:space="0" w:color="auto"/>
              <w:right w:val="single" w:sz="4" w:space="0" w:color="auto"/>
            </w:tcBorders>
            <w:shd w:val="clear" w:color="auto" w:fill="auto"/>
            <w:noWrap/>
            <w:vAlign w:val="center"/>
            <w:hideMark/>
          </w:tcPr>
          <w:p w14:paraId="2EE7B73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0A6CD489"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3,905</w:t>
            </w:r>
          </w:p>
        </w:tc>
      </w:tr>
      <w:tr w:rsidR="00B469AB" w:rsidRPr="00AB625A" w14:paraId="6655B1ED"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95F9FDF"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Whitehorse City Council</w:t>
            </w:r>
          </w:p>
        </w:tc>
        <w:tc>
          <w:tcPr>
            <w:tcW w:w="1247" w:type="dxa"/>
            <w:tcBorders>
              <w:top w:val="nil"/>
              <w:left w:val="nil"/>
              <w:bottom w:val="single" w:sz="4" w:space="0" w:color="auto"/>
              <w:right w:val="single" w:sz="4" w:space="0" w:color="auto"/>
            </w:tcBorders>
            <w:shd w:val="clear" w:color="auto" w:fill="auto"/>
            <w:noWrap/>
            <w:vAlign w:val="center"/>
            <w:hideMark/>
          </w:tcPr>
          <w:p w14:paraId="0484EB8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465</w:t>
            </w:r>
          </w:p>
        </w:tc>
        <w:tc>
          <w:tcPr>
            <w:tcW w:w="1247" w:type="dxa"/>
            <w:tcBorders>
              <w:top w:val="nil"/>
              <w:left w:val="nil"/>
              <w:bottom w:val="single" w:sz="4" w:space="0" w:color="auto"/>
              <w:right w:val="single" w:sz="4" w:space="0" w:color="auto"/>
            </w:tcBorders>
            <w:shd w:val="clear" w:color="auto" w:fill="auto"/>
            <w:noWrap/>
            <w:vAlign w:val="center"/>
            <w:hideMark/>
          </w:tcPr>
          <w:p w14:paraId="7A4C78C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62C14E5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1,336</w:t>
            </w:r>
          </w:p>
        </w:tc>
        <w:tc>
          <w:tcPr>
            <w:tcW w:w="1247" w:type="dxa"/>
            <w:tcBorders>
              <w:top w:val="nil"/>
              <w:left w:val="nil"/>
              <w:bottom w:val="single" w:sz="4" w:space="0" w:color="auto"/>
              <w:right w:val="single" w:sz="4" w:space="0" w:color="auto"/>
            </w:tcBorders>
            <w:shd w:val="clear" w:color="auto" w:fill="auto"/>
            <w:noWrap/>
            <w:vAlign w:val="center"/>
            <w:hideMark/>
          </w:tcPr>
          <w:p w14:paraId="2CE8464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65DD4C1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1,801</w:t>
            </w:r>
          </w:p>
        </w:tc>
        <w:tc>
          <w:tcPr>
            <w:tcW w:w="1247" w:type="dxa"/>
            <w:tcBorders>
              <w:top w:val="nil"/>
              <w:left w:val="nil"/>
              <w:bottom w:val="single" w:sz="4" w:space="0" w:color="auto"/>
              <w:right w:val="single" w:sz="4" w:space="0" w:color="auto"/>
            </w:tcBorders>
            <w:shd w:val="clear" w:color="auto" w:fill="auto"/>
            <w:noWrap/>
            <w:vAlign w:val="center"/>
            <w:hideMark/>
          </w:tcPr>
          <w:p w14:paraId="75BBF11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7" w:type="dxa"/>
            <w:tcBorders>
              <w:top w:val="nil"/>
              <w:left w:val="nil"/>
              <w:bottom w:val="single" w:sz="4" w:space="0" w:color="auto"/>
              <w:right w:val="single" w:sz="4" w:space="0" w:color="auto"/>
            </w:tcBorders>
            <w:shd w:val="clear" w:color="auto" w:fill="auto"/>
            <w:noWrap/>
            <w:vAlign w:val="center"/>
            <w:hideMark/>
          </w:tcPr>
          <w:p w14:paraId="461C825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4EC19AB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1,380</w:t>
            </w:r>
          </w:p>
        </w:tc>
        <w:tc>
          <w:tcPr>
            <w:tcW w:w="1247" w:type="dxa"/>
            <w:tcBorders>
              <w:top w:val="nil"/>
              <w:left w:val="nil"/>
              <w:bottom w:val="single" w:sz="4" w:space="0" w:color="auto"/>
              <w:right w:val="single" w:sz="4" w:space="0" w:color="auto"/>
            </w:tcBorders>
            <w:shd w:val="clear" w:color="auto" w:fill="auto"/>
            <w:noWrap/>
            <w:vAlign w:val="center"/>
            <w:hideMark/>
          </w:tcPr>
          <w:p w14:paraId="745997D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2C236E9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1,380</w:t>
            </w:r>
          </w:p>
        </w:tc>
      </w:tr>
      <w:tr w:rsidR="00B469AB" w:rsidRPr="00AB625A" w14:paraId="35119DBA"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097B79B"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Whittlesea City Council</w:t>
            </w:r>
          </w:p>
        </w:tc>
        <w:tc>
          <w:tcPr>
            <w:tcW w:w="1247" w:type="dxa"/>
            <w:tcBorders>
              <w:top w:val="nil"/>
              <w:left w:val="nil"/>
              <w:bottom w:val="single" w:sz="4" w:space="0" w:color="auto"/>
              <w:right w:val="single" w:sz="4" w:space="0" w:color="auto"/>
            </w:tcBorders>
            <w:shd w:val="clear" w:color="auto" w:fill="auto"/>
            <w:noWrap/>
            <w:vAlign w:val="center"/>
            <w:hideMark/>
          </w:tcPr>
          <w:p w14:paraId="576B550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878</w:t>
            </w:r>
          </w:p>
        </w:tc>
        <w:tc>
          <w:tcPr>
            <w:tcW w:w="1247" w:type="dxa"/>
            <w:tcBorders>
              <w:top w:val="nil"/>
              <w:left w:val="nil"/>
              <w:bottom w:val="single" w:sz="4" w:space="0" w:color="auto"/>
              <w:right w:val="single" w:sz="4" w:space="0" w:color="auto"/>
            </w:tcBorders>
            <w:shd w:val="clear" w:color="auto" w:fill="auto"/>
            <w:noWrap/>
            <w:vAlign w:val="center"/>
            <w:hideMark/>
          </w:tcPr>
          <w:p w14:paraId="4BA8DAD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27E0100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4,281</w:t>
            </w:r>
          </w:p>
        </w:tc>
        <w:tc>
          <w:tcPr>
            <w:tcW w:w="1247" w:type="dxa"/>
            <w:tcBorders>
              <w:top w:val="nil"/>
              <w:left w:val="nil"/>
              <w:bottom w:val="single" w:sz="4" w:space="0" w:color="auto"/>
              <w:right w:val="single" w:sz="4" w:space="0" w:color="auto"/>
            </w:tcBorders>
            <w:shd w:val="clear" w:color="auto" w:fill="auto"/>
            <w:noWrap/>
            <w:vAlign w:val="center"/>
            <w:hideMark/>
          </w:tcPr>
          <w:p w14:paraId="59D3663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1E04E9A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5,159</w:t>
            </w:r>
          </w:p>
        </w:tc>
        <w:tc>
          <w:tcPr>
            <w:tcW w:w="1247" w:type="dxa"/>
            <w:tcBorders>
              <w:top w:val="nil"/>
              <w:left w:val="nil"/>
              <w:bottom w:val="single" w:sz="4" w:space="0" w:color="auto"/>
              <w:right w:val="single" w:sz="4" w:space="0" w:color="auto"/>
            </w:tcBorders>
            <w:shd w:val="clear" w:color="auto" w:fill="auto"/>
            <w:noWrap/>
            <w:vAlign w:val="center"/>
            <w:hideMark/>
          </w:tcPr>
          <w:p w14:paraId="3D8482C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917</w:t>
            </w:r>
          </w:p>
        </w:tc>
        <w:tc>
          <w:tcPr>
            <w:tcW w:w="1247" w:type="dxa"/>
            <w:tcBorders>
              <w:top w:val="nil"/>
              <w:left w:val="nil"/>
              <w:bottom w:val="single" w:sz="4" w:space="0" w:color="auto"/>
              <w:right w:val="single" w:sz="4" w:space="0" w:color="auto"/>
            </w:tcBorders>
            <w:shd w:val="clear" w:color="auto" w:fill="auto"/>
            <w:noWrap/>
            <w:vAlign w:val="center"/>
            <w:hideMark/>
          </w:tcPr>
          <w:p w14:paraId="1F9B228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1D8975E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4,422</w:t>
            </w:r>
          </w:p>
        </w:tc>
        <w:tc>
          <w:tcPr>
            <w:tcW w:w="1247" w:type="dxa"/>
            <w:tcBorders>
              <w:top w:val="nil"/>
              <w:left w:val="nil"/>
              <w:bottom w:val="single" w:sz="4" w:space="0" w:color="auto"/>
              <w:right w:val="single" w:sz="4" w:space="0" w:color="auto"/>
            </w:tcBorders>
            <w:shd w:val="clear" w:color="auto" w:fill="auto"/>
            <w:noWrap/>
            <w:vAlign w:val="center"/>
            <w:hideMark/>
          </w:tcPr>
          <w:p w14:paraId="3D7C1FD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5DDE528C"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5,338</w:t>
            </w:r>
          </w:p>
        </w:tc>
      </w:tr>
      <w:tr w:rsidR="00B469AB" w:rsidRPr="00AB625A" w14:paraId="61BE525E"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FDCAC60"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Wyndham City Council</w:t>
            </w:r>
          </w:p>
        </w:tc>
        <w:tc>
          <w:tcPr>
            <w:tcW w:w="1247" w:type="dxa"/>
            <w:tcBorders>
              <w:top w:val="nil"/>
              <w:left w:val="nil"/>
              <w:bottom w:val="single" w:sz="4" w:space="0" w:color="auto"/>
              <w:right w:val="single" w:sz="4" w:space="0" w:color="auto"/>
            </w:tcBorders>
            <w:shd w:val="clear" w:color="auto" w:fill="auto"/>
            <w:noWrap/>
            <w:vAlign w:val="center"/>
            <w:hideMark/>
          </w:tcPr>
          <w:p w14:paraId="4FCDEDD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1,078</w:t>
            </w:r>
          </w:p>
        </w:tc>
        <w:tc>
          <w:tcPr>
            <w:tcW w:w="1247" w:type="dxa"/>
            <w:tcBorders>
              <w:top w:val="nil"/>
              <w:left w:val="nil"/>
              <w:bottom w:val="single" w:sz="4" w:space="0" w:color="auto"/>
              <w:right w:val="single" w:sz="4" w:space="0" w:color="auto"/>
            </w:tcBorders>
            <w:shd w:val="clear" w:color="auto" w:fill="auto"/>
            <w:noWrap/>
            <w:vAlign w:val="center"/>
            <w:hideMark/>
          </w:tcPr>
          <w:p w14:paraId="2A2A1A7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2C45F40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6,853</w:t>
            </w:r>
          </w:p>
        </w:tc>
        <w:tc>
          <w:tcPr>
            <w:tcW w:w="1247" w:type="dxa"/>
            <w:tcBorders>
              <w:top w:val="nil"/>
              <w:left w:val="nil"/>
              <w:bottom w:val="single" w:sz="4" w:space="0" w:color="auto"/>
              <w:right w:val="single" w:sz="4" w:space="0" w:color="auto"/>
            </w:tcBorders>
            <w:shd w:val="clear" w:color="auto" w:fill="auto"/>
            <w:noWrap/>
            <w:vAlign w:val="center"/>
            <w:hideMark/>
          </w:tcPr>
          <w:p w14:paraId="12AFEEF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026E35B9"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7,931</w:t>
            </w:r>
          </w:p>
        </w:tc>
        <w:tc>
          <w:tcPr>
            <w:tcW w:w="1247" w:type="dxa"/>
            <w:tcBorders>
              <w:top w:val="nil"/>
              <w:left w:val="nil"/>
              <w:bottom w:val="single" w:sz="4" w:space="0" w:color="auto"/>
              <w:right w:val="single" w:sz="4" w:space="0" w:color="auto"/>
            </w:tcBorders>
            <w:shd w:val="clear" w:color="auto" w:fill="auto"/>
            <w:noWrap/>
            <w:vAlign w:val="center"/>
            <w:hideMark/>
          </w:tcPr>
          <w:p w14:paraId="590FA71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1,103</w:t>
            </w:r>
          </w:p>
        </w:tc>
        <w:tc>
          <w:tcPr>
            <w:tcW w:w="1247" w:type="dxa"/>
            <w:tcBorders>
              <w:top w:val="nil"/>
              <w:left w:val="nil"/>
              <w:bottom w:val="single" w:sz="4" w:space="0" w:color="auto"/>
              <w:right w:val="single" w:sz="4" w:space="0" w:color="auto"/>
            </w:tcBorders>
            <w:shd w:val="clear" w:color="auto" w:fill="auto"/>
            <w:noWrap/>
            <w:vAlign w:val="center"/>
            <w:hideMark/>
          </w:tcPr>
          <w:p w14:paraId="4889EFA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6EBACEE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7,079</w:t>
            </w:r>
          </w:p>
        </w:tc>
        <w:tc>
          <w:tcPr>
            <w:tcW w:w="1247" w:type="dxa"/>
            <w:tcBorders>
              <w:top w:val="nil"/>
              <w:left w:val="nil"/>
              <w:bottom w:val="single" w:sz="4" w:space="0" w:color="auto"/>
              <w:right w:val="single" w:sz="4" w:space="0" w:color="auto"/>
            </w:tcBorders>
            <w:shd w:val="clear" w:color="auto" w:fill="auto"/>
            <w:noWrap/>
            <w:vAlign w:val="center"/>
            <w:hideMark/>
          </w:tcPr>
          <w:p w14:paraId="0FA03E7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1189779C"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8,182</w:t>
            </w:r>
          </w:p>
        </w:tc>
      </w:tr>
      <w:tr w:rsidR="00B469AB" w:rsidRPr="00AB625A" w14:paraId="7D979037"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D6AD0EA"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Yarra City Council</w:t>
            </w:r>
          </w:p>
        </w:tc>
        <w:tc>
          <w:tcPr>
            <w:tcW w:w="1247" w:type="dxa"/>
            <w:tcBorders>
              <w:top w:val="nil"/>
              <w:left w:val="nil"/>
              <w:bottom w:val="single" w:sz="4" w:space="0" w:color="auto"/>
              <w:right w:val="single" w:sz="4" w:space="0" w:color="auto"/>
            </w:tcBorders>
            <w:shd w:val="clear" w:color="auto" w:fill="auto"/>
            <w:noWrap/>
            <w:vAlign w:val="center"/>
            <w:hideMark/>
          </w:tcPr>
          <w:p w14:paraId="65DD890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576</w:t>
            </w:r>
          </w:p>
        </w:tc>
        <w:tc>
          <w:tcPr>
            <w:tcW w:w="1247" w:type="dxa"/>
            <w:tcBorders>
              <w:top w:val="nil"/>
              <w:left w:val="nil"/>
              <w:bottom w:val="single" w:sz="4" w:space="0" w:color="auto"/>
              <w:right w:val="single" w:sz="4" w:space="0" w:color="auto"/>
            </w:tcBorders>
            <w:shd w:val="clear" w:color="auto" w:fill="auto"/>
            <w:noWrap/>
            <w:vAlign w:val="center"/>
            <w:hideMark/>
          </w:tcPr>
          <w:p w14:paraId="7EDDF00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234F639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768</w:t>
            </w:r>
          </w:p>
        </w:tc>
        <w:tc>
          <w:tcPr>
            <w:tcW w:w="1247" w:type="dxa"/>
            <w:tcBorders>
              <w:top w:val="nil"/>
              <w:left w:val="nil"/>
              <w:bottom w:val="single" w:sz="4" w:space="0" w:color="auto"/>
              <w:right w:val="single" w:sz="4" w:space="0" w:color="auto"/>
            </w:tcBorders>
            <w:shd w:val="clear" w:color="auto" w:fill="auto"/>
            <w:noWrap/>
            <w:vAlign w:val="center"/>
            <w:hideMark/>
          </w:tcPr>
          <w:p w14:paraId="37AC605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6AF7A95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1,344</w:t>
            </w:r>
          </w:p>
        </w:tc>
        <w:tc>
          <w:tcPr>
            <w:tcW w:w="1247" w:type="dxa"/>
            <w:tcBorders>
              <w:top w:val="nil"/>
              <w:left w:val="nil"/>
              <w:bottom w:val="single" w:sz="4" w:space="0" w:color="auto"/>
              <w:right w:val="single" w:sz="4" w:space="0" w:color="auto"/>
            </w:tcBorders>
            <w:shd w:val="clear" w:color="auto" w:fill="auto"/>
            <w:noWrap/>
            <w:vAlign w:val="center"/>
            <w:hideMark/>
          </w:tcPr>
          <w:p w14:paraId="3A28450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589</w:t>
            </w:r>
          </w:p>
        </w:tc>
        <w:tc>
          <w:tcPr>
            <w:tcW w:w="1247" w:type="dxa"/>
            <w:tcBorders>
              <w:top w:val="nil"/>
              <w:left w:val="nil"/>
              <w:bottom w:val="single" w:sz="4" w:space="0" w:color="auto"/>
              <w:right w:val="single" w:sz="4" w:space="0" w:color="auto"/>
            </w:tcBorders>
            <w:shd w:val="clear" w:color="auto" w:fill="auto"/>
            <w:noWrap/>
            <w:vAlign w:val="center"/>
            <w:hideMark/>
          </w:tcPr>
          <w:p w14:paraId="35EBD51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335B714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794</w:t>
            </w:r>
          </w:p>
        </w:tc>
        <w:tc>
          <w:tcPr>
            <w:tcW w:w="1247" w:type="dxa"/>
            <w:tcBorders>
              <w:top w:val="nil"/>
              <w:left w:val="nil"/>
              <w:bottom w:val="single" w:sz="4" w:space="0" w:color="auto"/>
              <w:right w:val="single" w:sz="4" w:space="0" w:color="auto"/>
            </w:tcBorders>
            <w:shd w:val="clear" w:color="auto" w:fill="auto"/>
            <w:noWrap/>
            <w:vAlign w:val="center"/>
            <w:hideMark/>
          </w:tcPr>
          <w:p w14:paraId="5615B66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1A02EF0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1,383</w:t>
            </w:r>
          </w:p>
        </w:tc>
      </w:tr>
      <w:tr w:rsidR="00B469AB" w:rsidRPr="00AB625A" w14:paraId="3B49889D"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A84772E"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Yarra Ranges Shire Council</w:t>
            </w:r>
          </w:p>
        </w:tc>
        <w:tc>
          <w:tcPr>
            <w:tcW w:w="1247" w:type="dxa"/>
            <w:tcBorders>
              <w:top w:val="nil"/>
              <w:left w:val="nil"/>
              <w:bottom w:val="single" w:sz="4" w:space="0" w:color="auto"/>
              <w:right w:val="single" w:sz="4" w:space="0" w:color="auto"/>
            </w:tcBorders>
            <w:shd w:val="clear" w:color="auto" w:fill="auto"/>
            <w:noWrap/>
            <w:vAlign w:val="center"/>
            <w:hideMark/>
          </w:tcPr>
          <w:p w14:paraId="06DCFA7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167</w:t>
            </w:r>
          </w:p>
        </w:tc>
        <w:tc>
          <w:tcPr>
            <w:tcW w:w="1247" w:type="dxa"/>
            <w:tcBorders>
              <w:top w:val="nil"/>
              <w:left w:val="nil"/>
              <w:bottom w:val="single" w:sz="4" w:space="0" w:color="auto"/>
              <w:right w:val="single" w:sz="4" w:space="0" w:color="auto"/>
            </w:tcBorders>
            <w:shd w:val="clear" w:color="auto" w:fill="auto"/>
            <w:noWrap/>
            <w:vAlign w:val="center"/>
            <w:hideMark/>
          </w:tcPr>
          <w:p w14:paraId="6680E65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7A118C4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2,236</w:t>
            </w:r>
          </w:p>
        </w:tc>
        <w:tc>
          <w:tcPr>
            <w:tcW w:w="1247" w:type="dxa"/>
            <w:tcBorders>
              <w:top w:val="nil"/>
              <w:left w:val="nil"/>
              <w:bottom w:val="single" w:sz="4" w:space="0" w:color="auto"/>
              <w:right w:val="single" w:sz="4" w:space="0" w:color="auto"/>
            </w:tcBorders>
            <w:shd w:val="clear" w:color="auto" w:fill="auto"/>
            <w:noWrap/>
            <w:vAlign w:val="center"/>
            <w:hideMark/>
          </w:tcPr>
          <w:p w14:paraId="0E3F05C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22CDDE3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2,403</w:t>
            </w:r>
          </w:p>
        </w:tc>
        <w:tc>
          <w:tcPr>
            <w:tcW w:w="1247" w:type="dxa"/>
            <w:tcBorders>
              <w:top w:val="nil"/>
              <w:left w:val="nil"/>
              <w:bottom w:val="single" w:sz="4" w:space="0" w:color="auto"/>
              <w:right w:val="single" w:sz="4" w:space="0" w:color="auto"/>
            </w:tcBorders>
            <w:shd w:val="clear" w:color="auto" w:fill="auto"/>
            <w:noWrap/>
            <w:vAlign w:val="center"/>
            <w:hideMark/>
          </w:tcPr>
          <w:p w14:paraId="4ED3AB6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171</w:t>
            </w:r>
          </w:p>
        </w:tc>
        <w:tc>
          <w:tcPr>
            <w:tcW w:w="1247" w:type="dxa"/>
            <w:tcBorders>
              <w:top w:val="nil"/>
              <w:left w:val="nil"/>
              <w:bottom w:val="single" w:sz="4" w:space="0" w:color="auto"/>
              <w:right w:val="single" w:sz="4" w:space="0" w:color="auto"/>
            </w:tcBorders>
            <w:shd w:val="clear" w:color="auto" w:fill="auto"/>
            <w:noWrap/>
            <w:vAlign w:val="center"/>
            <w:hideMark/>
          </w:tcPr>
          <w:p w14:paraId="2963F8D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7B4F440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2,310</w:t>
            </w:r>
          </w:p>
        </w:tc>
        <w:tc>
          <w:tcPr>
            <w:tcW w:w="1247" w:type="dxa"/>
            <w:tcBorders>
              <w:top w:val="nil"/>
              <w:left w:val="nil"/>
              <w:bottom w:val="single" w:sz="4" w:space="0" w:color="auto"/>
              <w:right w:val="single" w:sz="4" w:space="0" w:color="auto"/>
            </w:tcBorders>
            <w:shd w:val="clear" w:color="auto" w:fill="auto"/>
            <w:noWrap/>
            <w:vAlign w:val="center"/>
            <w:hideMark/>
          </w:tcPr>
          <w:p w14:paraId="2AF273A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324C7C4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2,481</w:t>
            </w:r>
          </w:p>
        </w:tc>
      </w:tr>
      <w:tr w:rsidR="00B469AB" w:rsidRPr="00AB625A" w14:paraId="08545F23" w14:textId="77777777" w:rsidTr="00414F21">
        <w:trPr>
          <w:trHeight w:val="39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F0AC56E"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All other organisations (&lt;$1 m)</w:t>
            </w:r>
          </w:p>
        </w:tc>
        <w:tc>
          <w:tcPr>
            <w:tcW w:w="1247" w:type="dxa"/>
            <w:tcBorders>
              <w:top w:val="nil"/>
              <w:left w:val="nil"/>
              <w:bottom w:val="single" w:sz="4" w:space="0" w:color="auto"/>
              <w:right w:val="single" w:sz="4" w:space="0" w:color="auto"/>
            </w:tcBorders>
            <w:shd w:val="clear" w:color="auto" w:fill="auto"/>
            <w:noWrap/>
            <w:vAlign w:val="center"/>
            <w:hideMark/>
          </w:tcPr>
          <w:p w14:paraId="2B44D0F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3,019</w:t>
            </w:r>
          </w:p>
        </w:tc>
        <w:tc>
          <w:tcPr>
            <w:tcW w:w="1247" w:type="dxa"/>
            <w:tcBorders>
              <w:top w:val="nil"/>
              <w:left w:val="nil"/>
              <w:bottom w:val="single" w:sz="4" w:space="0" w:color="auto"/>
              <w:right w:val="single" w:sz="4" w:space="0" w:color="auto"/>
            </w:tcBorders>
            <w:shd w:val="clear" w:color="auto" w:fill="auto"/>
            <w:noWrap/>
            <w:vAlign w:val="center"/>
            <w:hideMark/>
          </w:tcPr>
          <w:p w14:paraId="0A129DC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577</w:t>
            </w:r>
          </w:p>
        </w:tc>
        <w:tc>
          <w:tcPr>
            <w:tcW w:w="1248" w:type="dxa"/>
            <w:tcBorders>
              <w:top w:val="nil"/>
              <w:left w:val="nil"/>
              <w:bottom w:val="single" w:sz="4" w:space="0" w:color="auto"/>
              <w:right w:val="single" w:sz="4" w:space="0" w:color="auto"/>
            </w:tcBorders>
            <w:shd w:val="clear" w:color="auto" w:fill="auto"/>
            <w:noWrap/>
            <w:vAlign w:val="center"/>
            <w:hideMark/>
          </w:tcPr>
          <w:p w14:paraId="073BBEA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16,164</w:t>
            </w:r>
          </w:p>
        </w:tc>
        <w:tc>
          <w:tcPr>
            <w:tcW w:w="1247" w:type="dxa"/>
            <w:tcBorders>
              <w:top w:val="nil"/>
              <w:left w:val="nil"/>
              <w:bottom w:val="single" w:sz="4" w:space="0" w:color="auto"/>
              <w:right w:val="single" w:sz="4" w:space="0" w:color="auto"/>
            </w:tcBorders>
            <w:shd w:val="clear" w:color="auto" w:fill="auto"/>
            <w:noWrap/>
            <w:vAlign w:val="center"/>
            <w:hideMark/>
          </w:tcPr>
          <w:p w14:paraId="1A0DBA9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123</w:t>
            </w:r>
          </w:p>
        </w:tc>
        <w:tc>
          <w:tcPr>
            <w:tcW w:w="1248" w:type="dxa"/>
            <w:tcBorders>
              <w:top w:val="nil"/>
              <w:left w:val="nil"/>
              <w:bottom w:val="single" w:sz="4" w:space="0" w:color="auto"/>
              <w:right w:val="single" w:sz="4" w:space="0" w:color="auto"/>
            </w:tcBorders>
            <w:shd w:val="clear" w:color="auto" w:fill="auto"/>
            <w:noWrap/>
            <w:vAlign w:val="center"/>
            <w:hideMark/>
          </w:tcPr>
          <w:p w14:paraId="1BBC66B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19,883</w:t>
            </w:r>
          </w:p>
        </w:tc>
        <w:tc>
          <w:tcPr>
            <w:tcW w:w="1247" w:type="dxa"/>
            <w:tcBorders>
              <w:top w:val="nil"/>
              <w:left w:val="nil"/>
              <w:bottom w:val="single" w:sz="4" w:space="0" w:color="auto"/>
              <w:right w:val="single" w:sz="4" w:space="0" w:color="auto"/>
            </w:tcBorders>
            <w:shd w:val="clear" w:color="auto" w:fill="auto"/>
            <w:noWrap/>
            <w:vAlign w:val="center"/>
            <w:hideMark/>
          </w:tcPr>
          <w:p w14:paraId="25BC1F0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2,976</w:t>
            </w:r>
          </w:p>
        </w:tc>
        <w:tc>
          <w:tcPr>
            <w:tcW w:w="1247" w:type="dxa"/>
            <w:tcBorders>
              <w:top w:val="nil"/>
              <w:left w:val="nil"/>
              <w:bottom w:val="single" w:sz="4" w:space="0" w:color="auto"/>
              <w:right w:val="single" w:sz="4" w:space="0" w:color="auto"/>
            </w:tcBorders>
            <w:shd w:val="clear" w:color="auto" w:fill="auto"/>
            <w:noWrap/>
            <w:vAlign w:val="center"/>
            <w:hideMark/>
          </w:tcPr>
          <w:p w14:paraId="3CFEB55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540</w:t>
            </w:r>
          </w:p>
        </w:tc>
        <w:tc>
          <w:tcPr>
            <w:tcW w:w="1248" w:type="dxa"/>
            <w:tcBorders>
              <w:top w:val="nil"/>
              <w:left w:val="nil"/>
              <w:bottom w:val="single" w:sz="4" w:space="0" w:color="auto"/>
              <w:right w:val="single" w:sz="4" w:space="0" w:color="auto"/>
            </w:tcBorders>
            <w:shd w:val="clear" w:color="auto" w:fill="auto"/>
            <w:noWrap/>
            <w:vAlign w:val="center"/>
            <w:hideMark/>
          </w:tcPr>
          <w:p w14:paraId="127ECE9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16,691</w:t>
            </w:r>
          </w:p>
        </w:tc>
        <w:tc>
          <w:tcPr>
            <w:tcW w:w="1247" w:type="dxa"/>
            <w:tcBorders>
              <w:top w:val="nil"/>
              <w:left w:val="nil"/>
              <w:bottom w:val="single" w:sz="4" w:space="0" w:color="auto"/>
              <w:right w:val="single" w:sz="4" w:space="0" w:color="auto"/>
            </w:tcBorders>
            <w:shd w:val="clear" w:color="auto" w:fill="auto"/>
            <w:noWrap/>
            <w:vAlign w:val="center"/>
            <w:hideMark/>
          </w:tcPr>
          <w:p w14:paraId="25C8AC2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1248" w:type="dxa"/>
            <w:tcBorders>
              <w:top w:val="nil"/>
              <w:left w:val="nil"/>
              <w:bottom w:val="single" w:sz="4" w:space="0" w:color="auto"/>
              <w:right w:val="single" w:sz="4" w:space="0" w:color="auto"/>
            </w:tcBorders>
            <w:shd w:val="clear" w:color="auto" w:fill="auto"/>
            <w:noWrap/>
            <w:vAlign w:val="center"/>
            <w:hideMark/>
          </w:tcPr>
          <w:p w14:paraId="1E82506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20,207</w:t>
            </w:r>
          </w:p>
        </w:tc>
      </w:tr>
      <w:tr w:rsidR="00B469AB" w:rsidRPr="00AB625A" w14:paraId="5583F709" w14:textId="77777777" w:rsidTr="00414F2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7D266A8" w14:textId="77777777" w:rsidR="00B469AB" w:rsidRPr="00B469AB" w:rsidRDefault="00B469AB" w:rsidP="003D68D1">
            <w:pPr>
              <w:spacing w:after="0" w:line="240" w:lineRule="auto"/>
              <w:rPr>
                <w:rFonts w:cs="Arial"/>
                <w:b/>
                <w:bCs/>
                <w:color w:val="000000"/>
                <w:sz w:val="16"/>
                <w:szCs w:val="16"/>
                <w:lang w:eastAsia="en-AU"/>
              </w:rPr>
            </w:pPr>
            <w:r w:rsidRPr="00B469AB">
              <w:rPr>
                <w:rFonts w:cs="Arial"/>
                <w:b/>
                <w:bCs/>
                <w:color w:val="000000"/>
                <w:sz w:val="16"/>
                <w:szCs w:val="16"/>
                <w:lang w:eastAsia="en-AU"/>
              </w:rPr>
              <w:t>Grand Total</w:t>
            </w:r>
          </w:p>
        </w:tc>
        <w:tc>
          <w:tcPr>
            <w:tcW w:w="1247" w:type="dxa"/>
            <w:tcBorders>
              <w:top w:val="nil"/>
              <w:left w:val="nil"/>
              <w:bottom w:val="single" w:sz="4" w:space="0" w:color="auto"/>
              <w:right w:val="single" w:sz="4" w:space="0" w:color="auto"/>
            </w:tcBorders>
            <w:shd w:val="clear" w:color="auto" w:fill="auto"/>
            <w:noWrap/>
            <w:vAlign w:val="center"/>
            <w:hideMark/>
          </w:tcPr>
          <w:p w14:paraId="4DB9039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19,467</w:t>
            </w:r>
          </w:p>
        </w:tc>
        <w:tc>
          <w:tcPr>
            <w:tcW w:w="1247" w:type="dxa"/>
            <w:tcBorders>
              <w:top w:val="nil"/>
              <w:left w:val="nil"/>
              <w:bottom w:val="single" w:sz="4" w:space="0" w:color="auto"/>
              <w:right w:val="single" w:sz="4" w:space="0" w:color="auto"/>
            </w:tcBorders>
            <w:shd w:val="clear" w:color="auto" w:fill="auto"/>
            <w:noWrap/>
            <w:vAlign w:val="center"/>
            <w:hideMark/>
          </w:tcPr>
          <w:p w14:paraId="4DCA7E8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1,363</w:t>
            </w:r>
          </w:p>
        </w:tc>
        <w:tc>
          <w:tcPr>
            <w:tcW w:w="1248" w:type="dxa"/>
            <w:tcBorders>
              <w:top w:val="nil"/>
              <w:left w:val="nil"/>
              <w:bottom w:val="single" w:sz="4" w:space="0" w:color="auto"/>
              <w:right w:val="single" w:sz="4" w:space="0" w:color="auto"/>
            </w:tcBorders>
            <w:shd w:val="clear" w:color="auto" w:fill="auto"/>
            <w:noWrap/>
            <w:vAlign w:val="center"/>
            <w:hideMark/>
          </w:tcPr>
          <w:p w14:paraId="6C66063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92,998</w:t>
            </w:r>
          </w:p>
        </w:tc>
        <w:tc>
          <w:tcPr>
            <w:tcW w:w="1247" w:type="dxa"/>
            <w:tcBorders>
              <w:top w:val="nil"/>
              <w:left w:val="nil"/>
              <w:bottom w:val="single" w:sz="4" w:space="0" w:color="auto"/>
              <w:right w:val="single" w:sz="4" w:space="0" w:color="auto"/>
            </w:tcBorders>
            <w:shd w:val="clear" w:color="auto" w:fill="auto"/>
            <w:noWrap/>
            <w:vAlign w:val="center"/>
            <w:hideMark/>
          </w:tcPr>
          <w:p w14:paraId="21097D1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1,801</w:t>
            </w:r>
          </w:p>
        </w:tc>
        <w:tc>
          <w:tcPr>
            <w:tcW w:w="1248" w:type="dxa"/>
            <w:tcBorders>
              <w:top w:val="nil"/>
              <w:left w:val="nil"/>
              <w:bottom w:val="single" w:sz="4" w:space="0" w:color="auto"/>
              <w:right w:val="single" w:sz="4" w:space="0" w:color="auto"/>
            </w:tcBorders>
            <w:shd w:val="clear" w:color="auto" w:fill="auto"/>
            <w:noWrap/>
            <w:vAlign w:val="center"/>
            <w:hideMark/>
          </w:tcPr>
          <w:p w14:paraId="0411BB99"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115,629</w:t>
            </w:r>
          </w:p>
        </w:tc>
        <w:tc>
          <w:tcPr>
            <w:tcW w:w="1247" w:type="dxa"/>
            <w:tcBorders>
              <w:top w:val="nil"/>
              <w:left w:val="nil"/>
              <w:bottom w:val="single" w:sz="4" w:space="0" w:color="auto"/>
              <w:right w:val="single" w:sz="4" w:space="0" w:color="auto"/>
            </w:tcBorders>
            <w:shd w:val="clear" w:color="auto" w:fill="auto"/>
            <w:noWrap/>
            <w:vAlign w:val="center"/>
            <w:hideMark/>
          </w:tcPr>
          <w:p w14:paraId="37568BF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18,491</w:t>
            </w:r>
          </w:p>
        </w:tc>
        <w:tc>
          <w:tcPr>
            <w:tcW w:w="1247" w:type="dxa"/>
            <w:tcBorders>
              <w:top w:val="nil"/>
              <w:left w:val="nil"/>
              <w:bottom w:val="single" w:sz="4" w:space="0" w:color="auto"/>
              <w:right w:val="single" w:sz="4" w:space="0" w:color="auto"/>
            </w:tcBorders>
            <w:shd w:val="clear" w:color="auto" w:fill="auto"/>
            <w:noWrap/>
            <w:vAlign w:val="center"/>
            <w:hideMark/>
          </w:tcPr>
          <w:p w14:paraId="0E43483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1,344</w:t>
            </w:r>
          </w:p>
        </w:tc>
        <w:tc>
          <w:tcPr>
            <w:tcW w:w="1248" w:type="dxa"/>
            <w:tcBorders>
              <w:top w:val="nil"/>
              <w:left w:val="nil"/>
              <w:bottom w:val="single" w:sz="4" w:space="0" w:color="auto"/>
              <w:right w:val="single" w:sz="4" w:space="0" w:color="auto"/>
            </w:tcBorders>
            <w:shd w:val="clear" w:color="auto" w:fill="auto"/>
            <w:noWrap/>
            <w:vAlign w:val="center"/>
            <w:hideMark/>
          </w:tcPr>
          <w:p w14:paraId="4636FBAA"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96,042</w:t>
            </w:r>
          </w:p>
        </w:tc>
        <w:tc>
          <w:tcPr>
            <w:tcW w:w="1247" w:type="dxa"/>
            <w:tcBorders>
              <w:top w:val="nil"/>
              <w:left w:val="nil"/>
              <w:bottom w:val="single" w:sz="4" w:space="0" w:color="auto"/>
              <w:right w:val="single" w:sz="4" w:space="0" w:color="auto"/>
            </w:tcBorders>
            <w:shd w:val="clear" w:color="auto" w:fill="auto"/>
            <w:noWrap/>
            <w:vAlign w:val="center"/>
            <w:hideMark/>
          </w:tcPr>
          <w:p w14:paraId="466188B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3,351</w:t>
            </w:r>
          </w:p>
        </w:tc>
        <w:tc>
          <w:tcPr>
            <w:tcW w:w="1248" w:type="dxa"/>
            <w:tcBorders>
              <w:top w:val="nil"/>
              <w:left w:val="nil"/>
              <w:bottom w:val="single" w:sz="4" w:space="0" w:color="auto"/>
              <w:right w:val="single" w:sz="4" w:space="0" w:color="auto"/>
            </w:tcBorders>
            <w:shd w:val="clear" w:color="auto" w:fill="auto"/>
            <w:noWrap/>
            <w:vAlign w:val="center"/>
            <w:hideMark/>
          </w:tcPr>
          <w:p w14:paraId="26C7AEA7"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119,228</w:t>
            </w:r>
          </w:p>
        </w:tc>
      </w:tr>
    </w:tbl>
    <w:p w14:paraId="5C17BA76" w14:textId="4317B2B1" w:rsidR="00974CBE" w:rsidRDefault="00974CBE" w:rsidP="00B469AB">
      <w:pPr>
        <w:pStyle w:val="Body"/>
      </w:pPr>
    </w:p>
    <w:p w14:paraId="262DB8CF" w14:textId="4727D855" w:rsidR="00B469AB" w:rsidRPr="00974CBE" w:rsidRDefault="00974CBE" w:rsidP="00974CBE">
      <w:pPr>
        <w:spacing w:after="0" w:line="240" w:lineRule="auto"/>
        <w:rPr>
          <w:rFonts w:eastAsia="Times"/>
        </w:rPr>
      </w:pPr>
      <w:r>
        <w:br w:type="page"/>
      </w:r>
    </w:p>
    <w:p w14:paraId="0E14F24A" w14:textId="1A457715" w:rsidR="000B27B9" w:rsidRPr="00494D61" w:rsidRDefault="000B27B9" w:rsidP="00081936">
      <w:pPr>
        <w:pStyle w:val="Heading3"/>
        <w:numPr>
          <w:ilvl w:val="2"/>
          <w:numId w:val="33"/>
        </w:numPr>
        <w:spacing w:before="240"/>
        <w:ind w:left="1134"/>
      </w:pPr>
      <w:bookmarkStart w:id="1067" w:name="_Toc144905675"/>
      <w:bookmarkStart w:id="1068" w:name="_Toc111713623"/>
      <w:bookmarkStart w:id="1069" w:name="_Toc111713624"/>
      <w:bookmarkStart w:id="1070" w:name="_Toc12780662"/>
      <w:bookmarkStart w:id="1071" w:name="_Toc14172303"/>
      <w:bookmarkStart w:id="1072" w:name="_Toc33703977"/>
      <w:bookmarkStart w:id="1073" w:name="_Toc55381165"/>
      <w:bookmarkStart w:id="1074" w:name="_Toc100263371"/>
      <w:bookmarkStart w:id="1075" w:name="_Toc156569695"/>
      <w:bookmarkEnd w:id="1067"/>
      <w:bookmarkEnd w:id="1068"/>
      <w:bookmarkEnd w:id="1069"/>
      <w:r w:rsidRPr="00494D61">
        <w:t>Non-</w:t>
      </w:r>
      <w:r w:rsidR="009522D1">
        <w:t>g</w:t>
      </w:r>
      <w:r w:rsidRPr="00494D61">
        <w:t xml:space="preserve">overnment </w:t>
      </w:r>
      <w:bookmarkEnd w:id="1070"/>
      <w:bookmarkEnd w:id="1071"/>
      <w:bookmarkEnd w:id="1072"/>
      <w:bookmarkEnd w:id="1073"/>
      <w:r w:rsidR="009522D1">
        <w:t>p</w:t>
      </w:r>
      <w:r w:rsidR="009522D1" w:rsidRPr="00494D61">
        <w:t xml:space="preserve">roviders </w:t>
      </w:r>
      <w:r w:rsidR="005D1FCB" w:rsidRPr="00494D61">
        <w:t>202</w:t>
      </w:r>
      <w:r w:rsidR="00A0370E">
        <w:t>2</w:t>
      </w:r>
      <w:r w:rsidR="00AB0330" w:rsidRPr="00494D61">
        <w:t>–</w:t>
      </w:r>
      <w:r w:rsidR="005D1FCB" w:rsidRPr="00494D61">
        <w:t>2</w:t>
      </w:r>
      <w:r w:rsidR="00A0370E">
        <w:t>3</w:t>
      </w:r>
      <w:r w:rsidR="005D1FCB" w:rsidRPr="00494D61">
        <w:t xml:space="preserve"> and </w:t>
      </w:r>
      <w:bookmarkEnd w:id="1074"/>
      <w:r w:rsidR="005D1FCB" w:rsidRPr="00494D61">
        <w:t>202</w:t>
      </w:r>
      <w:r w:rsidR="00A0370E">
        <w:t>3</w:t>
      </w:r>
      <w:r w:rsidR="00AB0330" w:rsidRPr="00494D61">
        <w:t>–</w:t>
      </w:r>
      <w:r w:rsidR="005D1FCB" w:rsidRPr="00494D61">
        <w:t>2</w:t>
      </w:r>
      <w:r w:rsidR="00A0370E">
        <w:t>4</w:t>
      </w:r>
      <w:bookmarkEnd w:id="1075"/>
    </w:p>
    <w:p w14:paraId="549FC49E" w14:textId="77777777" w:rsidR="000B27B9" w:rsidRPr="00494D61" w:rsidRDefault="000B27B9" w:rsidP="0064265C">
      <w:pPr>
        <w:pStyle w:val="Tablefigurenote9pt"/>
      </w:pPr>
      <w:r w:rsidRPr="00494D61">
        <w:t>Notes:</w:t>
      </w:r>
    </w:p>
    <w:p w14:paraId="05B4D763" w14:textId="77777777" w:rsidR="000B27B9" w:rsidRPr="00494D61" w:rsidRDefault="000B27B9" w:rsidP="007973C3">
      <w:pPr>
        <w:pStyle w:val="Tablenoteroman"/>
        <w:numPr>
          <w:ilvl w:val="0"/>
          <w:numId w:val="7"/>
        </w:numPr>
      </w:pPr>
      <w:r w:rsidRPr="00494D61">
        <w:t>This table shows the health funding to non-government organisations that receive &gt; $1 million from specific health outputs.</w:t>
      </w:r>
    </w:p>
    <w:p w14:paraId="05B79D67" w14:textId="77777777" w:rsidR="000B27B9" w:rsidRPr="00494D61" w:rsidRDefault="000B27B9" w:rsidP="007973C3">
      <w:pPr>
        <w:pStyle w:val="Tablenoteroman"/>
        <w:numPr>
          <w:ilvl w:val="0"/>
          <w:numId w:val="7"/>
        </w:numPr>
        <w:rPr>
          <w:lang w:eastAsia="en-AU"/>
        </w:rPr>
      </w:pPr>
      <w:r w:rsidRPr="00494D61">
        <w:rPr>
          <w:lang w:eastAsia="en-AU"/>
        </w:rPr>
        <w:t>Subtotals and totals may not add up due to rounding.</w:t>
      </w:r>
    </w:p>
    <w:p w14:paraId="55BD8D41" w14:textId="2980114E" w:rsidR="00B469AB" w:rsidRDefault="000B27B9" w:rsidP="00974CBE">
      <w:pPr>
        <w:pStyle w:val="Tablecaption"/>
      </w:pPr>
      <w:bookmarkStart w:id="1076" w:name="_Toc12780566"/>
      <w:bookmarkStart w:id="1077" w:name="_Toc14194822"/>
      <w:bookmarkStart w:id="1078" w:name="_Toc33704003"/>
      <w:bookmarkStart w:id="1079" w:name="_Toc109894133"/>
      <w:bookmarkStart w:id="1080" w:name="_Toc156568684"/>
      <w:r w:rsidRPr="00494D61">
        <w:t xml:space="preserve">Table </w:t>
      </w:r>
      <w:r>
        <w:fldChar w:fldCharType="begin"/>
      </w:r>
      <w:r>
        <w:instrText>STYLEREF 1 \s</w:instrText>
      </w:r>
      <w:r>
        <w:fldChar w:fldCharType="separate"/>
      </w:r>
      <w:r w:rsidR="00892F13">
        <w:rPr>
          <w:noProof/>
        </w:rPr>
        <w:t>2</w:t>
      </w:r>
      <w:r>
        <w:fldChar w:fldCharType="end"/>
      </w:r>
      <w:r w:rsidR="00742C12">
        <w:t>.</w:t>
      </w:r>
      <w:r>
        <w:fldChar w:fldCharType="begin"/>
      </w:r>
      <w:r>
        <w:instrText>SEQ Table \* ARABIC \s 1</w:instrText>
      </w:r>
      <w:r>
        <w:fldChar w:fldCharType="separate"/>
      </w:r>
      <w:r w:rsidR="00892F13">
        <w:rPr>
          <w:noProof/>
        </w:rPr>
        <w:t>7</w:t>
      </w:r>
      <w:r>
        <w:fldChar w:fldCharType="end"/>
      </w:r>
      <w:r w:rsidRPr="00494D61">
        <w:t xml:space="preserve">: Non-government providers </w:t>
      </w:r>
      <w:bookmarkEnd w:id="1076"/>
      <w:bookmarkEnd w:id="1077"/>
      <w:bookmarkEnd w:id="1078"/>
      <w:bookmarkEnd w:id="1079"/>
      <w:r w:rsidR="005D1FCB" w:rsidRPr="00494D61">
        <w:t>202</w:t>
      </w:r>
      <w:r w:rsidR="00120D92">
        <w:t>2</w:t>
      </w:r>
      <w:r w:rsidR="00AB0330" w:rsidRPr="00494D61">
        <w:t>–</w:t>
      </w:r>
      <w:r w:rsidR="005D1FCB" w:rsidRPr="00494D61">
        <w:t>2</w:t>
      </w:r>
      <w:r w:rsidR="00120D92">
        <w:t>3</w:t>
      </w:r>
      <w:r w:rsidR="005D1FCB" w:rsidRPr="00494D61">
        <w:t xml:space="preserve"> and 202</w:t>
      </w:r>
      <w:r w:rsidR="00120D92">
        <w:t>3</w:t>
      </w:r>
      <w:r w:rsidR="00AB0330" w:rsidRPr="00494D61">
        <w:t>–</w:t>
      </w:r>
      <w:r w:rsidR="005D1FCB" w:rsidRPr="00494D61">
        <w:t>2</w:t>
      </w:r>
      <w:r w:rsidR="00120D92">
        <w:t>4</w:t>
      </w:r>
      <w:r w:rsidR="00E110F6">
        <w:t xml:space="preserve"> – $’000s</w:t>
      </w:r>
      <w:bookmarkEnd w:id="1080"/>
    </w:p>
    <w:tbl>
      <w:tblPr>
        <w:tblW w:w="15252" w:type="dxa"/>
        <w:tblInd w:w="-289" w:type="dxa"/>
        <w:tblLayout w:type="fixed"/>
        <w:tblLook w:val="04A0" w:firstRow="1" w:lastRow="0" w:firstColumn="1" w:lastColumn="0" w:noHBand="0" w:noVBand="1"/>
      </w:tblPr>
      <w:tblGrid>
        <w:gridCol w:w="2040"/>
        <w:gridCol w:w="1079"/>
        <w:gridCol w:w="933"/>
        <w:gridCol w:w="933"/>
        <w:gridCol w:w="934"/>
        <w:gridCol w:w="933"/>
        <w:gridCol w:w="933"/>
        <w:gridCol w:w="934"/>
        <w:gridCol w:w="933"/>
        <w:gridCol w:w="933"/>
        <w:gridCol w:w="933"/>
        <w:gridCol w:w="934"/>
        <w:gridCol w:w="933"/>
        <w:gridCol w:w="933"/>
        <w:gridCol w:w="934"/>
      </w:tblGrid>
      <w:tr w:rsidR="008428AF" w:rsidRPr="00AB625A" w14:paraId="0F052E8B" w14:textId="77777777" w:rsidTr="00AD15B7">
        <w:trPr>
          <w:trHeight w:val="675"/>
          <w:tblHeader/>
        </w:trPr>
        <w:tc>
          <w:tcPr>
            <w:tcW w:w="2040" w:type="dxa"/>
            <w:tcBorders>
              <w:top w:val="single" w:sz="4" w:space="0" w:color="auto"/>
              <w:left w:val="single" w:sz="4" w:space="0" w:color="auto"/>
              <w:bottom w:val="single" w:sz="4" w:space="0" w:color="auto"/>
              <w:right w:val="single" w:sz="4" w:space="0" w:color="auto"/>
            </w:tcBorders>
            <w:shd w:val="clear" w:color="auto" w:fill="auto"/>
            <w:noWrap/>
            <w:hideMark/>
          </w:tcPr>
          <w:p w14:paraId="037FD0FA" w14:textId="77777777" w:rsidR="00B469AB" w:rsidRPr="00AB625A" w:rsidRDefault="00B469AB" w:rsidP="003D68D1">
            <w:pPr>
              <w:spacing w:after="0" w:line="240" w:lineRule="auto"/>
              <w:rPr>
                <w:rFonts w:cs="Arial"/>
                <w:b/>
                <w:bCs/>
                <w:color w:val="53565A"/>
                <w:sz w:val="16"/>
                <w:szCs w:val="16"/>
                <w:lang w:eastAsia="en-AU"/>
              </w:rPr>
            </w:pPr>
            <w:r w:rsidRPr="00AB625A">
              <w:rPr>
                <w:rFonts w:cs="Arial"/>
                <w:b/>
                <w:bCs/>
                <w:color w:val="53565A"/>
                <w:sz w:val="16"/>
                <w:szCs w:val="16"/>
                <w:lang w:eastAsia="en-AU"/>
              </w:rPr>
              <w:t>Health Service</w:t>
            </w:r>
          </w:p>
        </w:tc>
        <w:tc>
          <w:tcPr>
            <w:tcW w:w="1079" w:type="dxa"/>
            <w:tcBorders>
              <w:top w:val="single" w:sz="4" w:space="0" w:color="auto"/>
              <w:left w:val="nil"/>
              <w:bottom w:val="single" w:sz="4" w:space="0" w:color="auto"/>
              <w:right w:val="single" w:sz="4" w:space="0" w:color="auto"/>
            </w:tcBorders>
            <w:shd w:val="clear" w:color="auto" w:fill="auto"/>
            <w:hideMark/>
          </w:tcPr>
          <w:p w14:paraId="5980C17D" w14:textId="77777777" w:rsidR="00B469AB" w:rsidRPr="00AB625A" w:rsidRDefault="00B469AB"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2022–23</w:t>
            </w:r>
            <w:r w:rsidRPr="00AB625A">
              <w:rPr>
                <w:rFonts w:cs="Arial"/>
                <w:b/>
                <w:bCs/>
                <w:color w:val="53565A"/>
                <w:sz w:val="16"/>
                <w:szCs w:val="16"/>
                <w:lang w:eastAsia="en-AU"/>
              </w:rPr>
              <w:br/>
              <w:t>Acute health services</w:t>
            </w:r>
          </w:p>
        </w:tc>
        <w:tc>
          <w:tcPr>
            <w:tcW w:w="933" w:type="dxa"/>
            <w:tcBorders>
              <w:top w:val="single" w:sz="4" w:space="0" w:color="auto"/>
              <w:left w:val="nil"/>
              <w:bottom w:val="single" w:sz="4" w:space="0" w:color="auto"/>
              <w:right w:val="single" w:sz="4" w:space="0" w:color="auto"/>
            </w:tcBorders>
            <w:shd w:val="clear" w:color="auto" w:fill="auto"/>
            <w:hideMark/>
          </w:tcPr>
          <w:p w14:paraId="3B8BBADE" w14:textId="77777777" w:rsidR="00B469AB" w:rsidRPr="00AB625A" w:rsidRDefault="00B469AB"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2022–23</w:t>
            </w:r>
            <w:r w:rsidRPr="00AB625A">
              <w:rPr>
                <w:rFonts w:cs="Arial"/>
                <w:b/>
                <w:bCs/>
                <w:color w:val="53565A"/>
                <w:sz w:val="16"/>
                <w:szCs w:val="16"/>
                <w:lang w:eastAsia="en-AU"/>
              </w:rPr>
              <w:br/>
              <w:t>Ageing, aged and home care</w:t>
            </w:r>
          </w:p>
        </w:tc>
        <w:tc>
          <w:tcPr>
            <w:tcW w:w="933" w:type="dxa"/>
            <w:tcBorders>
              <w:top w:val="single" w:sz="4" w:space="0" w:color="auto"/>
              <w:left w:val="nil"/>
              <w:bottom w:val="single" w:sz="4" w:space="0" w:color="auto"/>
              <w:right w:val="single" w:sz="4" w:space="0" w:color="auto"/>
            </w:tcBorders>
            <w:shd w:val="clear" w:color="auto" w:fill="auto"/>
            <w:hideMark/>
          </w:tcPr>
          <w:p w14:paraId="7A8CA40C" w14:textId="77777777" w:rsidR="00B469AB" w:rsidRPr="00AB625A" w:rsidRDefault="00B469AB"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2022–23</w:t>
            </w:r>
            <w:r w:rsidRPr="00AB625A">
              <w:rPr>
                <w:rFonts w:cs="Arial"/>
                <w:b/>
                <w:bCs/>
                <w:color w:val="53565A"/>
                <w:sz w:val="16"/>
                <w:szCs w:val="16"/>
                <w:lang w:eastAsia="en-AU"/>
              </w:rPr>
              <w:br/>
              <w:t>Drugs services</w:t>
            </w:r>
          </w:p>
        </w:tc>
        <w:tc>
          <w:tcPr>
            <w:tcW w:w="934" w:type="dxa"/>
            <w:tcBorders>
              <w:top w:val="single" w:sz="4" w:space="0" w:color="auto"/>
              <w:left w:val="nil"/>
              <w:bottom w:val="single" w:sz="4" w:space="0" w:color="auto"/>
              <w:right w:val="single" w:sz="4" w:space="0" w:color="auto"/>
            </w:tcBorders>
            <w:shd w:val="clear" w:color="auto" w:fill="auto"/>
            <w:hideMark/>
          </w:tcPr>
          <w:p w14:paraId="007E528E" w14:textId="77777777" w:rsidR="00B469AB" w:rsidRPr="00AB625A" w:rsidRDefault="00B469AB"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2022–23</w:t>
            </w:r>
            <w:r w:rsidRPr="00AB625A">
              <w:rPr>
                <w:rFonts w:cs="Arial"/>
                <w:b/>
                <w:bCs/>
                <w:color w:val="53565A"/>
                <w:sz w:val="16"/>
                <w:szCs w:val="16"/>
                <w:lang w:eastAsia="en-AU"/>
              </w:rPr>
              <w:br/>
              <w:t>Mental health</w:t>
            </w:r>
          </w:p>
        </w:tc>
        <w:tc>
          <w:tcPr>
            <w:tcW w:w="933" w:type="dxa"/>
            <w:tcBorders>
              <w:top w:val="single" w:sz="4" w:space="0" w:color="auto"/>
              <w:left w:val="nil"/>
              <w:bottom w:val="single" w:sz="4" w:space="0" w:color="auto"/>
              <w:right w:val="single" w:sz="4" w:space="0" w:color="auto"/>
            </w:tcBorders>
            <w:shd w:val="clear" w:color="auto" w:fill="auto"/>
            <w:hideMark/>
          </w:tcPr>
          <w:p w14:paraId="0931BE2C" w14:textId="77777777" w:rsidR="00B469AB" w:rsidRPr="00AB625A" w:rsidRDefault="00B469AB"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2022–23</w:t>
            </w:r>
            <w:r w:rsidRPr="00AB625A">
              <w:rPr>
                <w:rFonts w:cs="Arial"/>
                <w:b/>
                <w:bCs/>
                <w:color w:val="53565A"/>
                <w:sz w:val="16"/>
                <w:szCs w:val="16"/>
                <w:lang w:eastAsia="en-AU"/>
              </w:rPr>
              <w:br/>
              <w:t>Primary and dental health</w:t>
            </w:r>
          </w:p>
        </w:tc>
        <w:tc>
          <w:tcPr>
            <w:tcW w:w="933" w:type="dxa"/>
            <w:tcBorders>
              <w:top w:val="single" w:sz="4" w:space="0" w:color="auto"/>
              <w:left w:val="nil"/>
              <w:bottom w:val="single" w:sz="4" w:space="0" w:color="auto"/>
              <w:right w:val="single" w:sz="4" w:space="0" w:color="auto"/>
            </w:tcBorders>
            <w:shd w:val="clear" w:color="auto" w:fill="auto"/>
            <w:hideMark/>
          </w:tcPr>
          <w:p w14:paraId="54595462" w14:textId="77777777" w:rsidR="00B469AB" w:rsidRPr="00AB625A" w:rsidRDefault="00B469AB"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2022–23</w:t>
            </w:r>
            <w:r w:rsidRPr="00AB625A">
              <w:rPr>
                <w:rFonts w:cs="Arial"/>
                <w:b/>
                <w:bCs/>
                <w:color w:val="53565A"/>
                <w:sz w:val="16"/>
                <w:szCs w:val="16"/>
                <w:lang w:eastAsia="en-AU"/>
              </w:rPr>
              <w:br/>
              <w:t>Public health</w:t>
            </w:r>
          </w:p>
        </w:tc>
        <w:tc>
          <w:tcPr>
            <w:tcW w:w="934" w:type="dxa"/>
            <w:tcBorders>
              <w:top w:val="single" w:sz="4" w:space="0" w:color="auto"/>
              <w:left w:val="nil"/>
              <w:bottom w:val="single" w:sz="4" w:space="0" w:color="auto"/>
              <w:right w:val="single" w:sz="4" w:space="0" w:color="auto"/>
            </w:tcBorders>
            <w:shd w:val="clear" w:color="auto" w:fill="auto"/>
            <w:hideMark/>
          </w:tcPr>
          <w:p w14:paraId="02071400" w14:textId="77777777" w:rsidR="00B469AB" w:rsidRPr="00AB625A" w:rsidRDefault="00B469AB"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2022–23</w:t>
            </w:r>
            <w:r w:rsidRPr="00AB625A">
              <w:rPr>
                <w:rFonts w:cs="Arial"/>
                <w:b/>
                <w:bCs/>
                <w:color w:val="53565A"/>
                <w:sz w:val="16"/>
                <w:szCs w:val="16"/>
                <w:lang w:eastAsia="en-AU"/>
              </w:rPr>
              <w:br/>
              <w:t>Total</w:t>
            </w:r>
          </w:p>
        </w:tc>
        <w:tc>
          <w:tcPr>
            <w:tcW w:w="933" w:type="dxa"/>
            <w:tcBorders>
              <w:top w:val="single" w:sz="4" w:space="0" w:color="auto"/>
              <w:left w:val="nil"/>
              <w:bottom w:val="single" w:sz="4" w:space="0" w:color="auto"/>
              <w:right w:val="single" w:sz="4" w:space="0" w:color="auto"/>
            </w:tcBorders>
            <w:shd w:val="clear" w:color="auto" w:fill="auto"/>
            <w:hideMark/>
          </w:tcPr>
          <w:p w14:paraId="6496FE71" w14:textId="77777777" w:rsidR="00B469AB" w:rsidRPr="00AB625A" w:rsidRDefault="00B469AB"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2023–24</w:t>
            </w:r>
            <w:r w:rsidRPr="00AB625A">
              <w:rPr>
                <w:rFonts w:cs="Arial"/>
                <w:b/>
                <w:bCs/>
                <w:color w:val="53565A"/>
                <w:sz w:val="16"/>
                <w:szCs w:val="16"/>
                <w:lang w:eastAsia="en-AU"/>
              </w:rPr>
              <w:br/>
              <w:t>Acute health services</w:t>
            </w:r>
          </w:p>
        </w:tc>
        <w:tc>
          <w:tcPr>
            <w:tcW w:w="933" w:type="dxa"/>
            <w:tcBorders>
              <w:top w:val="single" w:sz="4" w:space="0" w:color="auto"/>
              <w:left w:val="nil"/>
              <w:bottom w:val="single" w:sz="4" w:space="0" w:color="auto"/>
              <w:right w:val="single" w:sz="4" w:space="0" w:color="auto"/>
            </w:tcBorders>
            <w:shd w:val="clear" w:color="auto" w:fill="auto"/>
            <w:hideMark/>
          </w:tcPr>
          <w:p w14:paraId="0FAC28F8" w14:textId="77777777" w:rsidR="00B469AB" w:rsidRPr="00AB625A" w:rsidRDefault="00B469AB"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2023–24</w:t>
            </w:r>
            <w:r w:rsidRPr="00AB625A">
              <w:rPr>
                <w:rFonts w:cs="Arial"/>
                <w:b/>
                <w:bCs/>
                <w:color w:val="53565A"/>
                <w:sz w:val="16"/>
                <w:szCs w:val="16"/>
                <w:lang w:eastAsia="en-AU"/>
              </w:rPr>
              <w:br/>
              <w:t>Ageing, aged and home care</w:t>
            </w:r>
          </w:p>
        </w:tc>
        <w:tc>
          <w:tcPr>
            <w:tcW w:w="933" w:type="dxa"/>
            <w:tcBorders>
              <w:top w:val="single" w:sz="4" w:space="0" w:color="auto"/>
              <w:left w:val="nil"/>
              <w:bottom w:val="single" w:sz="4" w:space="0" w:color="auto"/>
              <w:right w:val="single" w:sz="4" w:space="0" w:color="auto"/>
            </w:tcBorders>
            <w:shd w:val="clear" w:color="auto" w:fill="auto"/>
            <w:hideMark/>
          </w:tcPr>
          <w:p w14:paraId="5AAC7C7F" w14:textId="77777777" w:rsidR="00B469AB" w:rsidRPr="00AB625A" w:rsidRDefault="00B469AB"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2023–24</w:t>
            </w:r>
            <w:r w:rsidRPr="00AB625A">
              <w:rPr>
                <w:rFonts w:cs="Arial"/>
                <w:b/>
                <w:bCs/>
                <w:color w:val="53565A"/>
                <w:sz w:val="16"/>
                <w:szCs w:val="16"/>
                <w:lang w:eastAsia="en-AU"/>
              </w:rPr>
              <w:br/>
              <w:t>Drugs services</w:t>
            </w:r>
          </w:p>
        </w:tc>
        <w:tc>
          <w:tcPr>
            <w:tcW w:w="934" w:type="dxa"/>
            <w:tcBorders>
              <w:top w:val="single" w:sz="4" w:space="0" w:color="auto"/>
              <w:left w:val="nil"/>
              <w:bottom w:val="single" w:sz="4" w:space="0" w:color="auto"/>
              <w:right w:val="single" w:sz="4" w:space="0" w:color="auto"/>
            </w:tcBorders>
            <w:shd w:val="clear" w:color="auto" w:fill="auto"/>
            <w:hideMark/>
          </w:tcPr>
          <w:p w14:paraId="2630FC24" w14:textId="77777777" w:rsidR="00B469AB" w:rsidRPr="00AB625A" w:rsidRDefault="00B469AB"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2023–24</w:t>
            </w:r>
            <w:r w:rsidRPr="00AB625A">
              <w:rPr>
                <w:rFonts w:cs="Arial"/>
                <w:b/>
                <w:bCs/>
                <w:color w:val="53565A"/>
                <w:sz w:val="16"/>
                <w:szCs w:val="16"/>
                <w:lang w:eastAsia="en-AU"/>
              </w:rPr>
              <w:br/>
              <w:t>Mental health</w:t>
            </w:r>
          </w:p>
        </w:tc>
        <w:tc>
          <w:tcPr>
            <w:tcW w:w="933" w:type="dxa"/>
            <w:tcBorders>
              <w:top w:val="single" w:sz="4" w:space="0" w:color="auto"/>
              <w:left w:val="nil"/>
              <w:bottom w:val="single" w:sz="4" w:space="0" w:color="auto"/>
              <w:right w:val="single" w:sz="4" w:space="0" w:color="auto"/>
            </w:tcBorders>
            <w:shd w:val="clear" w:color="auto" w:fill="auto"/>
            <w:hideMark/>
          </w:tcPr>
          <w:p w14:paraId="4045A90D" w14:textId="77777777" w:rsidR="00B469AB" w:rsidRPr="00AB625A" w:rsidRDefault="00B469AB"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2023–24</w:t>
            </w:r>
            <w:r w:rsidRPr="00AB625A">
              <w:rPr>
                <w:rFonts w:cs="Arial"/>
                <w:b/>
                <w:bCs/>
                <w:color w:val="53565A"/>
                <w:sz w:val="16"/>
                <w:szCs w:val="16"/>
                <w:lang w:eastAsia="en-AU"/>
              </w:rPr>
              <w:br/>
              <w:t>Primary and dental health</w:t>
            </w:r>
          </w:p>
        </w:tc>
        <w:tc>
          <w:tcPr>
            <w:tcW w:w="933" w:type="dxa"/>
            <w:tcBorders>
              <w:top w:val="single" w:sz="4" w:space="0" w:color="auto"/>
              <w:left w:val="nil"/>
              <w:bottom w:val="single" w:sz="4" w:space="0" w:color="auto"/>
              <w:right w:val="single" w:sz="4" w:space="0" w:color="auto"/>
            </w:tcBorders>
            <w:shd w:val="clear" w:color="auto" w:fill="auto"/>
            <w:hideMark/>
          </w:tcPr>
          <w:p w14:paraId="4B73257F" w14:textId="77777777" w:rsidR="00B469AB" w:rsidRPr="00AB625A" w:rsidRDefault="00B469AB"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2023–24</w:t>
            </w:r>
            <w:r w:rsidRPr="00AB625A">
              <w:rPr>
                <w:rFonts w:cs="Arial"/>
                <w:b/>
                <w:bCs/>
                <w:color w:val="53565A"/>
                <w:sz w:val="16"/>
                <w:szCs w:val="16"/>
                <w:lang w:eastAsia="en-AU"/>
              </w:rPr>
              <w:br/>
              <w:t>Public health</w:t>
            </w:r>
          </w:p>
        </w:tc>
        <w:tc>
          <w:tcPr>
            <w:tcW w:w="934" w:type="dxa"/>
            <w:tcBorders>
              <w:top w:val="single" w:sz="4" w:space="0" w:color="auto"/>
              <w:left w:val="nil"/>
              <w:bottom w:val="single" w:sz="4" w:space="0" w:color="auto"/>
              <w:right w:val="single" w:sz="4" w:space="0" w:color="auto"/>
            </w:tcBorders>
            <w:shd w:val="clear" w:color="auto" w:fill="auto"/>
            <w:hideMark/>
          </w:tcPr>
          <w:p w14:paraId="1B7267CF" w14:textId="77777777" w:rsidR="00B469AB" w:rsidRPr="00AB625A" w:rsidRDefault="00B469AB" w:rsidP="003D68D1">
            <w:pPr>
              <w:spacing w:after="0" w:line="240" w:lineRule="auto"/>
              <w:jc w:val="right"/>
              <w:rPr>
                <w:rFonts w:cs="Arial"/>
                <w:b/>
                <w:bCs/>
                <w:color w:val="53565A"/>
                <w:sz w:val="16"/>
                <w:szCs w:val="16"/>
                <w:lang w:eastAsia="en-AU"/>
              </w:rPr>
            </w:pPr>
            <w:r w:rsidRPr="00AB625A">
              <w:rPr>
                <w:rFonts w:cs="Arial"/>
                <w:b/>
                <w:bCs/>
                <w:color w:val="53565A"/>
                <w:sz w:val="16"/>
                <w:szCs w:val="16"/>
                <w:lang w:eastAsia="en-AU"/>
              </w:rPr>
              <w:t>2023–24</w:t>
            </w:r>
            <w:r w:rsidRPr="00AB625A">
              <w:rPr>
                <w:rFonts w:cs="Arial"/>
                <w:b/>
                <w:bCs/>
                <w:color w:val="53565A"/>
                <w:sz w:val="16"/>
                <w:szCs w:val="16"/>
                <w:lang w:eastAsia="en-AU"/>
              </w:rPr>
              <w:br/>
              <w:t>Total</w:t>
            </w:r>
          </w:p>
        </w:tc>
      </w:tr>
      <w:tr w:rsidR="008428AF" w:rsidRPr="00AB625A" w14:paraId="736FB0C2"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54D742C4"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Anglican Aged Care Services Group</w:t>
            </w:r>
          </w:p>
        </w:tc>
        <w:tc>
          <w:tcPr>
            <w:tcW w:w="1079" w:type="dxa"/>
            <w:tcBorders>
              <w:top w:val="nil"/>
              <w:left w:val="nil"/>
              <w:bottom w:val="single" w:sz="4" w:space="0" w:color="auto"/>
              <w:right w:val="single" w:sz="4" w:space="0" w:color="auto"/>
            </w:tcBorders>
            <w:shd w:val="clear" w:color="auto" w:fill="auto"/>
            <w:noWrap/>
            <w:vAlign w:val="center"/>
            <w:hideMark/>
          </w:tcPr>
          <w:p w14:paraId="612942D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6F6836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457</w:t>
            </w:r>
          </w:p>
        </w:tc>
        <w:tc>
          <w:tcPr>
            <w:tcW w:w="933" w:type="dxa"/>
            <w:tcBorders>
              <w:top w:val="nil"/>
              <w:left w:val="nil"/>
              <w:bottom w:val="single" w:sz="4" w:space="0" w:color="auto"/>
              <w:right w:val="single" w:sz="4" w:space="0" w:color="auto"/>
            </w:tcBorders>
            <w:shd w:val="clear" w:color="auto" w:fill="auto"/>
            <w:noWrap/>
            <w:vAlign w:val="center"/>
            <w:hideMark/>
          </w:tcPr>
          <w:p w14:paraId="3A1B067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9D2ED9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BF1EA8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679</w:t>
            </w:r>
          </w:p>
        </w:tc>
        <w:tc>
          <w:tcPr>
            <w:tcW w:w="933" w:type="dxa"/>
            <w:tcBorders>
              <w:top w:val="nil"/>
              <w:left w:val="nil"/>
              <w:bottom w:val="single" w:sz="4" w:space="0" w:color="auto"/>
              <w:right w:val="single" w:sz="4" w:space="0" w:color="auto"/>
            </w:tcBorders>
            <w:shd w:val="clear" w:color="auto" w:fill="auto"/>
            <w:noWrap/>
            <w:vAlign w:val="center"/>
            <w:hideMark/>
          </w:tcPr>
          <w:p w14:paraId="3ABF6F7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D2354FC"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1,136</w:t>
            </w:r>
          </w:p>
        </w:tc>
        <w:tc>
          <w:tcPr>
            <w:tcW w:w="933" w:type="dxa"/>
            <w:tcBorders>
              <w:top w:val="nil"/>
              <w:left w:val="nil"/>
              <w:bottom w:val="single" w:sz="4" w:space="0" w:color="auto"/>
              <w:right w:val="single" w:sz="4" w:space="0" w:color="auto"/>
            </w:tcBorders>
            <w:shd w:val="clear" w:color="auto" w:fill="auto"/>
            <w:noWrap/>
            <w:vAlign w:val="center"/>
            <w:hideMark/>
          </w:tcPr>
          <w:p w14:paraId="2F8028F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2AFF79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477</w:t>
            </w:r>
          </w:p>
        </w:tc>
        <w:tc>
          <w:tcPr>
            <w:tcW w:w="933" w:type="dxa"/>
            <w:tcBorders>
              <w:top w:val="nil"/>
              <w:left w:val="nil"/>
              <w:bottom w:val="single" w:sz="4" w:space="0" w:color="auto"/>
              <w:right w:val="single" w:sz="4" w:space="0" w:color="auto"/>
            </w:tcBorders>
            <w:shd w:val="clear" w:color="auto" w:fill="auto"/>
            <w:noWrap/>
            <w:vAlign w:val="center"/>
            <w:hideMark/>
          </w:tcPr>
          <w:p w14:paraId="13B9A19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377DF0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8B35DC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739</w:t>
            </w:r>
          </w:p>
        </w:tc>
        <w:tc>
          <w:tcPr>
            <w:tcW w:w="933" w:type="dxa"/>
            <w:tcBorders>
              <w:top w:val="nil"/>
              <w:left w:val="nil"/>
              <w:bottom w:val="single" w:sz="4" w:space="0" w:color="auto"/>
              <w:right w:val="single" w:sz="4" w:space="0" w:color="auto"/>
            </w:tcBorders>
            <w:shd w:val="clear" w:color="auto" w:fill="auto"/>
            <w:noWrap/>
            <w:vAlign w:val="center"/>
            <w:hideMark/>
          </w:tcPr>
          <w:p w14:paraId="5421F73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6158A8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1,216</w:t>
            </w:r>
          </w:p>
        </w:tc>
      </w:tr>
      <w:tr w:rsidR="008428AF" w:rsidRPr="00AB625A" w14:paraId="4587AB59"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1EDCF545"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Anglicare Victoria</w:t>
            </w:r>
          </w:p>
        </w:tc>
        <w:tc>
          <w:tcPr>
            <w:tcW w:w="1079" w:type="dxa"/>
            <w:tcBorders>
              <w:top w:val="nil"/>
              <w:left w:val="nil"/>
              <w:bottom w:val="single" w:sz="4" w:space="0" w:color="auto"/>
              <w:right w:val="single" w:sz="4" w:space="0" w:color="auto"/>
            </w:tcBorders>
            <w:shd w:val="clear" w:color="auto" w:fill="auto"/>
            <w:noWrap/>
            <w:vAlign w:val="center"/>
            <w:hideMark/>
          </w:tcPr>
          <w:p w14:paraId="1DBA160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6EC131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9A424B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1,218</w:t>
            </w:r>
          </w:p>
        </w:tc>
        <w:tc>
          <w:tcPr>
            <w:tcW w:w="934" w:type="dxa"/>
            <w:tcBorders>
              <w:top w:val="nil"/>
              <w:left w:val="nil"/>
              <w:bottom w:val="single" w:sz="4" w:space="0" w:color="auto"/>
              <w:right w:val="single" w:sz="4" w:space="0" w:color="auto"/>
            </w:tcBorders>
            <w:shd w:val="clear" w:color="auto" w:fill="auto"/>
            <w:noWrap/>
            <w:vAlign w:val="center"/>
            <w:hideMark/>
          </w:tcPr>
          <w:p w14:paraId="1920E9B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215</w:t>
            </w:r>
          </w:p>
        </w:tc>
        <w:tc>
          <w:tcPr>
            <w:tcW w:w="933" w:type="dxa"/>
            <w:tcBorders>
              <w:top w:val="nil"/>
              <w:left w:val="nil"/>
              <w:bottom w:val="single" w:sz="4" w:space="0" w:color="auto"/>
              <w:right w:val="single" w:sz="4" w:space="0" w:color="auto"/>
            </w:tcBorders>
            <w:shd w:val="clear" w:color="auto" w:fill="auto"/>
            <w:noWrap/>
            <w:vAlign w:val="center"/>
            <w:hideMark/>
          </w:tcPr>
          <w:p w14:paraId="1EB26FD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E794F9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EEF2E71"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1,433</w:t>
            </w:r>
          </w:p>
        </w:tc>
        <w:tc>
          <w:tcPr>
            <w:tcW w:w="933" w:type="dxa"/>
            <w:tcBorders>
              <w:top w:val="nil"/>
              <w:left w:val="nil"/>
              <w:bottom w:val="single" w:sz="4" w:space="0" w:color="auto"/>
              <w:right w:val="single" w:sz="4" w:space="0" w:color="auto"/>
            </w:tcBorders>
            <w:shd w:val="clear" w:color="auto" w:fill="auto"/>
            <w:noWrap/>
            <w:vAlign w:val="center"/>
            <w:hideMark/>
          </w:tcPr>
          <w:p w14:paraId="48D5960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4E9FA8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F3D521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1,258</w:t>
            </w:r>
          </w:p>
        </w:tc>
        <w:tc>
          <w:tcPr>
            <w:tcW w:w="934" w:type="dxa"/>
            <w:tcBorders>
              <w:top w:val="nil"/>
              <w:left w:val="nil"/>
              <w:bottom w:val="single" w:sz="4" w:space="0" w:color="auto"/>
              <w:right w:val="single" w:sz="4" w:space="0" w:color="auto"/>
            </w:tcBorders>
            <w:shd w:val="clear" w:color="auto" w:fill="auto"/>
            <w:noWrap/>
            <w:vAlign w:val="center"/>
            <w:hideMark/>
          </w:tcPr>
          <w:p w14:paraId="4E83A4B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222</w:t>
            </w:r>
          </w:p>
        </w:tc>
        <w:tc>
          <w:tcPr>
            <w:tcW w:w="933" w:type="dxa"/>
            <w:tcBorders>
              <w:top w:val="nil"/>
              <w:left w:val="nil"/>
              <w:bottom w:val="single" w:sz="4" w:space="0" w:color="auto"/>
              <w:right w:val="single" w:sz="4" w:space="0" w:color="auto"/>
            </w:tcBorders>
            <w:shd w:val="clear" w:color="auto" w:fill="auto"/>
            <w:noWrap/>
            <w:vAlign w:val="center"/>
            <w:hideMark/>
          </w:tcPr>
          <w:p w14:paraId="2B5297D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A98A02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C459C3C"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1,480</w:t>
            </w:r>
          </w:p>
        </w:tc>
      </w:tr>
      <w:tr w:rsidR="008428AF" w:rsidRPr="00AB625A" w14:paraId="112A28F4"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0C5516C"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Arbias Limited</w:t>
            </w:r>
          </w:p>
        </w:tc>
        <w:tc>
          <w:tcPr>
            <w:tcW w:w="1079" w:type="dxa"/>
            <w:tcBorders>
              <w:top w:val="nil"/>
              <w:left w:val="nil"/>
              <w:bottom w:val="single" w:sz="4" w:space="0" w:color="auto"/>
              <w:right w:val="single" w:sz="4" w:space="0" w:color="auto"/>
            </w:tcBorders>
            <w:shd w:val="clear" w:color="auto" w:fill="auto"/>
            <w:noWrap/>
            <w:vAlign w:val="center"/>
            <w:hideMark/>
          </w:tcPr>
          <w:p w14:paraId="2CD158C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6479B2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585</w:t>
            </w:r>
          </w:p>
        </w:tc>
        <w:tc>
          <w:tcPr>
            <w:tcW w:w="933" w:type="dxa"/>
            <w:tcBorders>
              <w:top w:val="nil"/>
              <w:left w:val="nil"/>
              <w:bottom w:val="single" w:sz="4" w:space="0" w:color="auto"/>
              <w:right w:val="single" w:sz="4" w:space="0" w:color="auto"/>
            </w:tcBorders>
            <w:shd w:val="clear" w:color="auto" w:fill="auto"/>
            <w:noWrap/>
            <w:vAlign w:val="center"/>
            <w:hideMark/>
          </w:tcPr>
          <w:p w14:paraId="3417990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8571EE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524</w:t>
            </w:r>
          </w:p>
        </w:tc>
        <w:tc>
          <w:tcPr>
            <w:tcW w:w="933" w:type="dxa"/>
            <w:tcBorders>
              <w:top w:val="nil"/>
              <w:left w:val="nil"/>
              <w:bottom w:val="single" w:sz="4" w:space="0" w:color="auto"/>
              <w:right w:val="single" w:sz="4" w:space="0" w:color="auto"/>
            </w:tcBorders>
            <w:shd w:val="clear" w:color="auto" w:fill="auto"/>
            <w:noWrap/>
            <w:vAlign w:val="center"/>
            <w:hideMark/>
          </w:tcPr>
          <w:p w14:paraId="1148561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F1B544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67BCEF3"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1,108</w:t>
            </w:r>
          </w:p>
        </w:tc>
        <w:tc>
          <w:tcPr>
            <w:tcW w:w="933" w:type="dxa"/>
            <w:tcBorders>
              <w:top w:val="nil"/>
              <w:left w:val="nil"/>
              <w:bottom w:val="single" w:sz="4" w:space="0" w:color="auto"/>
              <w:right w:val="single" w:sz="4" w:space="0" w:color="auto"/>
            </w:tcBorders>
            <w:shd w:val="clear" w:color="auto" w:fill="auto"/>
            <w:noWrap/>
            <w:vAlign w:val="center"/>
            <w:hideMark/>
          </w:tcPr>
          <w:p w14:paraId="06BF26D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E426CA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599</w:t>
            </w:r>
          </w:p>
        </w:tc>
        <w:tc>
          <w:tcPr>
            <w:tcW w:w="933" w:type="dxa"/>
            <w:tcBorders>
              <w:top w:val="nil"/>
              <w:left w:val="nil"/>
              <w:bottom w:val="single" w:sz="4" w:space="0" w:color="auto"/>
              <w:right w:val="single" w:sz="4" w:space="0" w:color="auto"/>
            </w:tcBorders>
            <w:shd w:val="clear" w:color="auto" w:fill="auto"/>
            <w:noWrap/>
            <w:vAlign w:val="center"/>
            <w:hideMark/>
          </w:tcPr>
          <w:p w14:paraId="054F65B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1FDDA8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541</w:t>
            </w:r>
          </w:p>
        </w:tc>
        <w:tc>
          <w:tcPr>
            <w:tcW w:w="933" w:type="dxa"/>
            <w:tcBorders>
              <w:top w:val="nil"/>
              <w:left w:val="nil"/>
              <w:bottom w:val="single" w:sz="4" w:space="0" w:color="auto"/>
              <w:right w:val="single" w:sz="4" w:space="0" w:color="auto"/>
            </w:tcBorders>
            <w:shd w:val="clear" w:color="auto" w:fill="auto"/>
            <w:noWrap/>
            <w:vAlign w:val="center"/>
            <w:hideMark/>
          </w:tcPr>
          <w:p w14:paraId="12B6082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C62703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778D25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1,139</w:t>
            </w:r>
          </w:p>
        </w:tc>
      </w:tr>
      <w:tr w:rsidR="008428AF" w:rsidRPr="00AB625A" w14:paraId="5D6CDE99"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1971C7D9"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Australian Centre for Grief And Bereavement Inc</w:t>
            </w:r>
          </w:p>
        </w:tc>
        <w:tc>
          <w:tcPr>
            <w:tcW w:w="1079" w:type="dxa"/>
            <w:tcBorders>
              <w:top w:val="nil"/>
              <w:left w:val="nil"/>
              <w:bottom w:val="single" w:sz="4" w:space="0" w:color="auto"/>
              <w:right w:val="single" w:sz="4" w:space="0" w:color="auto"/>
            </w:tcBorders>
            <w:shd w:val="clear" w:color="auto" w:fill="auto"/>
            <w:noWrap/>
            <w:vAlign w:val="center"/>
            <w:hideMark/>
          </w:tcPr>
          <w:p w14:paraId="3D0C93F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2,020</w:t>
            </w:r>
          </w:p>
        </w:tc>
        <w:tc>
          <w:tcPr>
            <w:tcW w:w="933" w:type="dxa"/>
            <w:tcBorders>
              <w:top w:val="nil"/>
              <w:left w:val="nil"/>
              <w:bottom w:val="single" w:sz="4" w:space="0" w:color="auto"/>
              <w:right w:val="single" w:sz="4" w:space="0" w:color="auto"/>
            </w:tcBorders>
            <w:shd w:val="clear" w:color="auto" w:fill="auto"/>
            <w:noWrap/>
            <w:vAlign w:val="center"/>
            <w:hideMark/>
          </w:tcPr>
          <w:p w14:paraId="269462A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599CCA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84C112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93B0F1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9BF8E5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4C5AD4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2,020</w:t>
            </w:r>
          </w:p>
        </w:tc>
        <w:tc>
          <w:tcPr>
            <w:tcW w:w="933" w:type="dxa"/>
            <w:tcBorders>
              <w:top w:val="nil"/>
              <w:left w:val="nil"/>
              <w:bottom w:val="single" w:sz="4" w:space="0" w:color="auto"/>
              <w:right w:val="single" w:sz="4" w:space="0" w:color="auto"/>
            </w:tcBorders>
            <w:shd w:val="clear" w:color="auto" w:fill="auto"/>
            <w:noWrap/>
            <w:vAlign w:val="center"/>
            <w:hideMark/>
          </w:tcPr>
          <w:p w14:paraId="1E9448D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2,068</w:t>
            </w:r>
          </w:p>
        </w:tc>
        <w:tc>
          <w:tcPr>
            <w:tcW w:w="933" w:type="dxa"/>
            <w:tcBorders>
              <w:top w:val="nil"/>
              <w:left w:val="nil"/>
              <w:bottom w:val="single" w:sz="4" w:space="0" w:color="auto"/>
              <w:right w:val="single" w:sz="4" w:space="0" w:color="auto"/>
            </w:tcBorders>
            <w:shd w:val="clear" w:color="auto" w:fill="auto"/>
            <w:noWrap/>
            <w:vAlign w:val="center"/>
            <w:hideMark/>
          </w:tcPr>
          <w:p w14:paraId="39BA483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A71ABC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5D8529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6E5BF3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6E4FEE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A1331D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2,068</w:t>
            </w:r>
          </w:p>
        </w:tc>
      </w:tr>
      <w:tr w:rsidR="008428AF" w:rsidRPr="00AB625A" w14:paraId="4130C45F"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34A48254"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Australian College of Optometry</w:t>
            </w:r>
          </w:p>
        </w:tc>
        <w:tc>
          <w:tcPr>
            <w:tcW w:w="1079" w:type="dxa"/>
            <w:tcBorders>
              <w:top w:val="nil"/>
              <w:left w:val="nil"/>
              <w:bottom w:val="single" w:sz="4" w:space="0" w:color="auto"/>
              <w:right w:val="single" w:sz="4" w:space="0" w:color="auto"/>
            </w:tcBorders>
            <w:shd w:val="clear" w:color="auto" w:fill="auto"/>
            <w:noWrap/>
            <w:vAlign w:val="center"/>
            <w:hideMark/>
          </w:tcPr>
          <w:p w14:paraId="262895D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E089A2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7,514</w:t>
            </w:r>
          </w:p>
        </w:tc>
        <w:tc>
          <w:tcPr>
            <w:tcW w:w="933" w:type="dxa"/>
            <w:tcBorders>
              <w:top w:val="nil"/>
              <w:left w:val="nil"/>
              <w:bottom w:val="single" w:sz="4" w:space="0" w:color="auto"/>
              <w:right w:val="single" w:sz="4" w:space="0" w:color="auto"/>
            </w:tcBorders>
            <w:shd w:val="clear" w:color="auto" w:fill="auto"/>
            <w:noWrap/>
            <w:vAlign w:val="center"/>
            <w:hideMark/>
          </w:tcPr>
          <w:p w14:paraId="2B0F274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F62CFE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CCE5CC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3C94CE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C9900C1"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7,514</w:t>
            </w:r>
          </w:p>
        </w:tc>
        <w:tc>
          <w:tcPr>
            <w:tcW w:w="933" w:type="dxa"/>
            <w:tcBorders>
              <w:top w:val="nil"/>
              <w:left w:val="nil"/>
              <w:bottom w:val="single" w:sz="4" w:space="0" w:color="auto"/>
              <w:right w:val="single" w:sz="4" w:space="0" w:color="auto"/>
            </w:tcBorders>
            <w:shd w:val="clear" w:color="auto" w:fill="auto"/>
            <w:noWrap/>
            <w:vAlign w:val="center"/>
            <w:hideMark/>
          </w:tcPr>
          <w:p w14:paraId="54BED21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78E9E5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7,761</w:t>
            </w:r>
          </w:p>
        </w:tc>
        <w:tc>
          <w:tcPr>
            <w:tcW w:w="933" w:type="dxa"/>
            <w:tcBorders>
              <w:top w:val="nil"/>
              <w:left w:val="nil"/>
              <w:bottom w:val="single" w:sz="4" w:space="0" w:color="auto"/>
              <w:right w:val="single" w:sz="4" w:space="0" w:color="auto"/>
            </w:tcBorders>
            <w:shd w:val="clear" w:color="auto" w:fill="auto"/>
            <w:noWrap/>
            <w:vAlign w:val="center"/>
            <w:hideMark/>
          </w:tcPr>
          <w:p w14:paraId="755E1FB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6F47A3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C0160D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BEC7E7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ABD09E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7,761</w:t>
            </w:r>
          </w:p>
        </w:tc>
      </w:tr>
      <w:tr w:rsidR="008428AF" w:rsidRPr="00AB625A" w14:paraId="5C34B3BB"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6EA3CDE"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Australian Community Support Organisation Inc</w:t>
            </w:r>
          </w:p>
        </w:tc>
        <w:tc>
          <w:tcPr>
            <w:tcW w:w="1079" w:type="dxa"/>
            <w:tcBorders>
              <w:top w:val="nil"/>
              <w:left w:val="nil"/>
              <w:bottom w:val="single" w:sz="4" w:space="0" w:color="auto"/>
              <w:right w:val="single" w:sz="4" w:space="0" w:color="auto"/>
            </w:tcBorders>
            <w:shd w:val="clear" w:color="auto" w:fill="auto"/>
            <w:noWrap/>
            <w:vAlign w:val="center"/>
            <w:hideMark/>
          </w:tcPr>
          <w:p w14:paraId="632DC7A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E50EB3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15C9AD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15,014</w:t>
            </w:r>
          </w:p>
        </w:tc>
        <w:tc>
          <w:tcPr>
            <w:tcW w:w="934" w:type="dxa"/>
            <w:tcBorders>
              <w:top w:val="nil"/>
              <w:left w:val="nil"/>
              <w:bottom w:val="single" w:sz="4" w:space="0" w:color="auto"/>
              <w:right w:val="single" w:sz="4" w:space="0" w:color="auto"/>
            </w:tcBorders>
            <w:shd w:val="clear" w:color="auto" w:fill="auto"/>
            <w:noWrap/>
            <w:vAlign w:val="center"/>
            <w:hideMark/>
          </w:tcPr>
          <w:p w14:paraId="48ADC9C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3,590</w:t>
            </w:r>
          </w:p>
        </w:tc>
        <w:tc>
          <w:tcPr>
            <w:tcW w:w="933" w:type="dxa"/>
            <w:tcBorders>
              <w:top w:val="nil"/>
              <w:left w:val="nil"/>
              <w:bottom w:val="single" w:sz="4" w:space="0" w:color="auto"/>
              <w:right w:val="single" w:sz="4" w:space="0" w:color="auto"/>
            </w:tcBorders>
            <w:shd w:val="clear" w:color="auto" w:fill="auto"/>
            <w:noWrap/>
            <w:vAlign w:val="center"/>
            <w:hideMark/>
          </w:tcPr>
          <w:p w14:paraId="4E21D72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3484F3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81476A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18,603</w:t>
            </w:r>
          </w:p>
        </w:tc>
        <w:tc>
          <w:tcPr>
            <w:tcW w:w="933" w:type="dxa"/>
            <w:tcBorders>
              <w:top w:val="nil"/>
              <w:left w:val="nil"/>
              <w:bottom w:val="single" w:sz="4" w:space="0" w:color="auto"/>
              <w:right w:val="single" w:sz="4" w:space="0" w:color="auto"/>
            </w:tcBorders>
            <w:shd w:val="clear" w:color="auto" w:fill="auto"/>
            <w:noWrap/>
            <w:vAlign w:val="center"/>
            <w:hideMark/>
          </w:tcPr>
          <w:p w14:paraId="1417E36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37C640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616BEF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15,508</w:t>
            </w:r>
          </w:p>
        </w:tc>
        <w:tc>
          <w:tcPr>
            <w:tcW w:w="934" w:type="dxa"/>
            <w:tcBorders>
              <w:top w:val="nil"/>
              <w:left w:val="nil"/>
              <w:bottom w:val="single" w:sz="4" w:space="0" w:color="auto"/>
              <w:right w:val="single" w:sz="4" w:space="0" w:color="auto"/>
            </w:tcBorders>
            <w:shd w:val="clear" w:color="auto" w:fill="auto"/>
            <w:noWrap/>
            <w:vAlign w:val="center"/>
            <w:hideMark/>
          </w:tcPr>
          <w:p w14:paraId="31A8FE8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3,708</w:t>
            </w:r>
          </w:p>
        </w:tc>
        <w:tc>
          <w:tcPr>
            <w:tcW w:w="933" w:type="dxa"/>
            <w:tcBorders>
              <w:top w:val="nil"/>
              <w:left w:val="nil"/>
              <w:bottom w:val="single" w:sz="4" w:space="0" w:color="auto"/>
              <w:right w:val="single" w:sz="4" w:space="0" w:color="auto"/>
            </w:tcBorders>
            <w:shd w:val="clear" w:color="auto" w:fill="auto"/>
            <w:noWrap/>
            <w:vAlign w:val="center"/>
            <w:hideMark/>
          </w:tcPr>
          <w:p w14:paraId="3B39FB2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A64ED2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CEA867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19,215</w:t>
            </w:r>
          </w:p>
        </w:tc>
      </w:tr>
      <w:tr w:rsidR="008428AF" w:rsidRPr="00AB625A" w14:paraId="654E0AAA"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6CDFF17C"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Australian Drug Foundation Inc</w:t>
            </w:r>
          </w:p>
        </w:tc>
        <w:tc>
          <w:tcPr>
            <w:tcW w:w="1079" w:type="dxa"/>
            <w:tcBorders>
              <w:top w:val="nil"/>
              <w:left w:val="nil"/>
              <w:bottom w:val="single" w:sz="4" w:space="0" w:color="auto"/>
              <w:right w:val="single" w:sz="4" w:space="0" w:color="auto"/>
            </w:tcBorders>
            <w:shd w:val="clear" w:color="auto" w:fill="auto"/>
            <w:noWrap/>
            <w:vAlign w:val="center"/>
            <w:hideMark/>
          </w:tcPr>
          <w:p w14:paraId="6640191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41012C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7AD1A5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1,612</w:t>
            </w:r>
          </w:p>
        </w:tc>
        <w:tc>
          <w:tcPr>
            <w:tcW w:w="934" w:type="dxa"/>
            <w:tcBorders>
              <w:top w:val="nil"/>
              <w:left w:val="nil"/>
              <w:bottom w:val="single" w:sz="4" w:space="0" w:color="auto"/>
              <w:right w:val="single" w:sz="4" w:space="0" w:color="auto"/>
            </w:tcBorders>
            <w:shd w:val="clear" w:color="auto" w:fill="auto"/>
            <w:noWrap/>
            <w:vAlign w:val="center"/>
            <w:hideMark/>
          </w:tcPr>
          <w:p w14:paraId="06D8180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B1DB22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D479F0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FAD108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1,612</w:t>
            </w:r>
          </w:p>
        </w:tc>
        <w:tc>
          <w:tcPr>
            <w:tcW w:w="933" w:type="dxa"/>
            <w:tcBorders>
              <w:top w:val="nil"/>
              <w:left w:val="nil"/>
              <w:bottom w:val="single" w:sz="4" w:space="0" w:color="auto"/>
              <w:right w:val="single" w:sz="4" w:space="0" w:color="auto"/>
            </w:tcBorders>
            <w:shd w:val="clear" w:color="auto" w:fill="auto"/>
            <w:noWrap/>
            <w:vAlign w:val="center"/>
            <w:hideMark/>
          </w:tcPr>
          <w:p w14:paraId="1D61143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050784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A2281B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1,355</w:t>
            </w:r>
          </w:p>
        </w:tc>
        <w:tc>
          <w:tcPr>
            <w:tcW w:w="934" w:type="dxa"/>
            <w:tcBorders>
              <w:top w:val="nil"/>
              <w:left w:val="nil"/>
              <w:bottom w:val="single" w:sz="4" w:space="0" w:color="auto"/>
              <w:right w:val="single" w:sz="4" w:space="0" w:color="auto"/>
            </w:tcBorders>
            <w:shd w:val="clear" w:color="auto" w:fill="auto"/>
            <w:noWrap/>
            <w:vAlign w:val="center"/>
            <w:hideMark/>
          </w:tcPr>
          <w:p w14:paraId="38D778D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D429EE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FD6C78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DB0738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1,355</w:t>
            </w:r>
          </w:p>
        </w:tc>
      </w:tr>
      <w:tr w:rsidR="008428AF" w:rsidRPr="00AB625A" w14:paraId="3E20AF14"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7DFC142A"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Australian Red Cross Blood Service</w:t>
            </w:r>
          </w:p>
        </w:tc>
        <w:tc>
          <w:tcPr>
            <w:tcW w:w="1079" w:type="dxa"/>
            <w:tcBorders>
              <w:top w:val="nil"/>
              <w:left w:val="nil"/>
              <w:bottom w:val="single" w:sz="4" w:space="0" w:color="auto"/>
              <w:right w:val="single" w:sz="4" w:space="0" w:color="auto"/>
            </w:tcBorders>
            <w:shd w:val="clear" w:color="auto" w:fill="auto"/>
            <w:noWrap/>
            <w:vAlign w:val="center"/>
            <w:hideMark/>
          </w:tcPr>
          <w:p w14:paraId="4A9E8B7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14,269</w:t>
            </w:r>
          </w:p>
        </w:tc>
        <w:tc>
          <w:tcPr>
            <w:tcW w:w="933" w:type="dxa"/>
            <w:tcBorders>
              <w:top w:val="nil"/>
              <w:left w:val="nil"/>
              <w:bottom w:val="single" w:sz="4" w:space="0" w:color="auto"/>
              <w:right w:val="single" w:sz="4" w:space="0" w:color="auto"/>
            </w:tcBorders>
            <w:shd w:val="clear" w:color="auto" w:fill="auto"/>
            <w:noWrap/>
            <w:vAlign w:val="center"/>
            <w:hideMark/>
          </w:tcPr>
          <w:p w14:paraId="3F5A1A8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EB9220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1F5C71F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88BF1F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BCE21D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DF41249"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14,269</w:t>
            </w:r>
          </w:p>
        </w:tc>
        <w:tc>
          <w:tcPr>
            <w:tcW w:w="933" w:type="dxa"/>
            <w:tcBorders>
              <w:top w:val="nil"/>
              <w:left w:val="nil"/>
              <w:bottom w:val="single" w:sz="4" w:space="0" w:color="auto"/>
              <w:right w:val="single" w:sz="4" w:space="0" w:color="auto"/>
            </w:tcBorders>
            <w:shd w:val="clear" w:color="auto" w:fill="auto"/>
            <w:noWrap/>
            <w:vAlign w:val="center"/>
            <w:hideMark/>
          </w:tcPr>
          <w:p w14:paraId="776E5FB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14,516</w:t>
            </w:r>
          </w:p>
        </w:tc>
        <w:tc>
          <w:tcPr>
            <w:tcW w:w="933" w:type="dxa"/>
            <w:tcBorders>
              <w:top w:val="nil"/>
              <w:left w:val="nil"/>
              <w:bottom w:val="single" w:sz="4" w:space="0" w:color="auto"/>
              <w:right w:val="single" w:sz="4" w:space="0" w:color="auto"/>
            </w:tcBorders>
            <w:shd w:val="clear" w:color="auto" w:fill="auto"/>
            <w:noWrap/>
            <w:vAlign w:val="center"/>
            <w:hideMark/>
          </w:tcPr>
          <w:p w14:paraId="605C0B6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62F94A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A661FF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AE4E5A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A4BF85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F83CB7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14,516</w:t>
            </w:r>
          </w:p>
        </w:tc>
      </w:tr>
      <w:tr w:rsidR="008428AF" w:rsidRPr="00AB625A" w14:paraId="54D52226"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6E963DE"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Australian Red Cross Society</w:t>
            </w:r>
          </w:p>
        </w:tc>
        <w:tc>
          <w:tcPr>
            <w:tcW w:w="1079" w:type="dxa"/>
            <w:tcBorders>
              <w:top w:val="nil"/>
              <w:left w:val="nil"/>
              <w:bottom w:val="single" w:sz="4" w:space="0" w:color="auto"/>
              <w:right w:val="single" w:sz="4" w:space="0" w:color="auto"/>
            </w:tcBorders>
            <w:shd w:val="clear" w:color="auto" w:fill="auto"/>
            <w:noWrap/>
            <w:vAlign w:val="center"/>
            <w:hideMark/>
          </w:tcPr>
          <w:p w14:paraId="42A8E7B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977</w:t>
            </w:r>
          </w:p>
        </w:tc>
        <w:tc>
          <w:tcPr>
            <w:tcW w:w="933" w:type="dxa"/>
            <w:tcBorders>
              <w:top w:val="nil"/>
              <w:left w:val="nil"/>
              <w:bottom w:val="single" w:sz="4" w:space="0" w:color="auto"/>
              <w:right w:val="single" w:sz="4" w:space="0" w:color="auto"/>
            </w:tcBorders>
            <w:shd w:val="clear" w:color="auto" w:fill="auto"/>
            <w:noWrap/>
            <w:vAlign w:val="center"/>
            <w:hideMark/>
          </w:tcPr>
          <w:p w14:paraId="64CDDD1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8A7F9D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6F27E32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8421E4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B90F5E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3361315"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977</w:t>
            </w:r>
          </w:p>
        </w:tc>
        <w:tc>
          <w:tcPr>
            <w:tcW w:w="933" w:type="dxa"/>
            <w:tcBorders>
              <w:top w:val="nil"/>
              <w:left w:val="nil"/>
              <w:bottom w:val="single" w:sz="4" w:space="0" w:color="auto"/>
              <w:right w:val="single" w:sz="4" w:space="0" w:color="auto"/>
            </w:tcBorders>
            <w:shd w:val="clear" w:color="auto" w:fill="auto"/>
            <w:noWrap/>
            <w:vAlign w:val="center"/>
            <w:hideMark/>
          </w:tcPr>
          <w:p w14:paraId="1C86CBA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1,000</w:t>
            </w:r>
          </w:p>
        </w:tc>
        <w:tc>
          <w:tcPr>
            <w:tcW w:w="933" w:type="dxa"/>
            <w:tcBorders>
              <w:top w:val="nil"/>
              <w:left w:val="nil"/>
              <w:bottom w:val="single" w:sz="4" w:space="0" w:color="auto"/>
              <w:right w:val="single" w:sz="4" w:space="0" w:color="auto"/>
            </w:tcBorders>
            <w:shd w:val="clear" w:color="auto" w:fill="auto"/>
            <w:noWrap/>
            <w:vAlign w:val="center"/>
            <w:hideMark/>
          </w:tcPr>
          <w:p w14:paraId="7A3F499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8F6043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10D536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746707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4544B7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0E0A2D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1,000</w:t>
            </w:r>
          </w:p>
        </w:tc>
      </w:tr>
      <w:tr w:rsidR="008428AF" w:rsidRPr="00AB625A" w14:paraId="5180D99F"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F8BDD2E"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Ballarat Hospice Care Inc</w:t>
            </w:r>
          </w:p>
        </w:tc>
        <w:tc>
          <w:tcPr>
            <w:tcW w:w="1079" w:type="dxa"/>
            <w:tcBorders>
              <w:top w:val="nil"/>
              <w:left w:val="nil"/>
              <w:bottom w:val="single" w:sz="4" w:space="0" w:color="auto"/>
              <w:right w:val="single" w:sz="4" w:space="0" w:color="auto"/>
            </w:tcBorders>
            <w:shd w:val="clear" w:color="auto" w:fill="auto"/>
            <w:noWrap/>
            <w:vAlign w:val="center"/>
            <w:hideMark/>
          </w:tcPr>
          <w:p w14:paraId="03B0EB3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3,111</w:t>
            </w:r>
          </w:p>
        </w:tc>
        <w:tc>
          <w:tcPr>
            <w:tcW w:w="933" w:type="dxa"/>
            <w:tcBorders>
              <w:top w:val="nil"/>
              <w:left w:val="nil"/>
              <w:bottom w:val="single" w:sz="4" w:space="0" w:color="auto"/>
              <w:right w:val="single" w:sz="4" w:space="0" w:color="auto"/>
            </w:tcBorders>
            <w:shd w:val="clear" w:color="auto" w:fill="auto"/>
            <w:noWrap/>
            <w:vAlign w:val="center"/>
            <w:hideMark/>
          </w:tcPr>
          <w:p w14:paraId="353CEEC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DA138E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2D111CB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487327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1A873A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6696E69"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3,111</w:t>
            </w:r>
          </w:p>
        </w:tc>
        <w:tc>
          <w:tcPr>
            <w:tcW w:w="933" w:type="dxa"/>
            <w:tcBorders>
              <w:top w:val="nil"/>
              <w:left w:val="nil"/>
              <w:bottom w:val="single" w:sz="4" w:space="0" w:color="auto"/>
              <w:right w:val="single" w:sz="4" w:space="0" w:color="auto"/>
            </w:tcBorders>
            <w:shd w:val="clear" w:color="auto" w:fill="auto"/>
            <w:noWrap/>
            <w:vAlign w:val="center"/>
            <w:hideMark/>
          </w:tcPr>
          <w:p w14:paraId="55BD9A7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3,029</w:t>
            </w:r>
          </w:p>
        </w:tc>
        <w:tc>
          <w:tcPr>
            <w:tcW w:w="933" w:type="dxa"/>
            <w:tcBorders>
              <w:top w:val="nil"/>
              <w:left w:val="nil"/>
              <w:bottom w:val="single" w:sz="4" w:space="0" w:color="auto"/>
              <w:right w:val="single" w:sz="4" w:space="0" w:color="auto"/>
            </w:tcBorders>
            <w:shd w:val="clear" w:color="auto" w:fill="auto"/>
            <w:noWrap/>
            <w:vAlign w:val="center"/>
            <w:hideMark/>
          </w:tcPr>
          <w:p w14:paraId="65DADB4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81A56A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57A4EA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02859A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7040E3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1A351AA"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3,029</w:t>
            </w:r>
          </w:p>
        </w:tc>
      </w:tr>
      <w:tr w:rsidR="008428AF" w:rsidRPr="00AB625A" w14:paraId="203CC9E1"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5729940F"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Banksia Palliative Care Service Inc</w:t>
            </w:r>
          </w:p>
        </w:tc>
        <w:tc>
          <w:tcPr>
            <w:tcW w:w="1079" w:type="dxa"/>
            <w:tcBorders>
              <w:top w:val="nil"/>
              <w:left w:val="nil"/>
              <w:bottom w:val="single" w:sz="4" w:space="0" w:color="auto"/>
              <w:right w:val="single" w:sz="4" w:space="0" w:color="auto"/>
            </w:tcBorders>
            <w:shd w:val="clear" w:color="auto" w:fill="auto"/>
            <w:noWrap/>
            <w:vAlign w:val="center"/>
            <w:hideMark/>
          </w:tcPr>
          <w:p w14:paraId="7121E17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5,274</w:t>
            </w:r>
          </w:p>
        </w:tc>
        <w:tc>
          <w:tcPr>
            <w:tcW w:w="933" w:type="dxa"/>
            <w:tcBorders>
              <w:top w:val="nil"/>
              <w:left w:val="nil"/>
              <w:bottom w:val="single" w:sz="4" w:space="0" w:color="auto"/>
              <w:right w:val="single" w:sz="4" w:space="0" w:color="auto"/>
            </w:tcBorders>
            <w:shd w:val="clear" w:color="auto" w:fill="auto"/>
            <w:noWrap/>
            <w:vAlign w:val="center"/>
            <w:hideMark/>
          </w:tcPr>
          <w:p w14:paraId="3BD42A5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568180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156DA92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AFEAE8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77B6DA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52B7BD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5,274</w:t>
            </w:r>
          </w:p>
        </w:tc>
        <w:tc>
          <w:tcPr>
            <w:tcW w:w="933" w:type="dxa"/>
            <w:tcBorders>
              <w:top w:val="nil"/>
              <w:left w:val="nil"/>
              <w:bottom w:val="single" w:sz="4" w:space="0" w:color="auto"/>
              <w:right w:val="single" w:sz="4" w:space="0" w:color="auto"/>
            </w:tcBorders>
            <w:shd w:val="clear" w:color="auto" w:fill="auto"/>
            <w:noWrap/>
            <w:vAlign w:val="center"/>
            <w:hideMark/>
          </w:tcPr>
          <w:p w14:paraId="103B83F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4,857</w:t>
            </w:r>
          </w:p>
        </w:tc>
        <w:tc>
          <w:tcPr>
            <w:tcW w:w="933" w:type="dxa"/>
            <w:tcBorders>
              <w:top w:val="nil"/>
              <w:left w:val="nil"/>
              <w:bottom w:val="single" w:sz="4" w:space="0" w:color="auto"/>
              <w:right w:val="single" w:sz="4" w:space="0" w:color="auto"/>
            </w:tcBorders>
            <w:shd w:val="clear" w:color="auto" w:fill="auto"/>
            <w:noWrap/>
            <w:vAlign w:val="center"/>
            <w:hideMark/>
          </w:tcPr>
          <w:p w14:paraId="564324F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8ED664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679902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09B0FC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7B89AA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01211A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4,857</w:t>
            </w:r>
          </w:p>
        </w:tc>
      </w:tr>
      <w:tr w:rsidR="008428AF" w:rsidRPr="00AB625A" w14:paraId="216B80DE" w14:textId="77777777" w:rsidTr="00AD15B7">
        <w:trPr>
          <w:trHeight w:val="585"/>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571980C6"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Bendigo And District Aboriginal Co-Operative Ltd</w:t>
            </w:r>
          </w:p>
        </w:tc>
        <w:tc>
          <w:tcPr>
            <w:tcW w:w="1079" w:type="dxa"/>
            <w:tcBorders>
              <w:top w:val="nil"/>
              <w:left w:val="nil"/>
              <w:bottom w:val="single" w:sz="4" w:space="0" w:color="auto"/>
              <w:right w:val="single" w:sz="4" w:space="0" w:color="auto"/>
            </w:tcBorders>
            <w:shd w:val="clear" w:color="auto" w:fill="auto"/>
            <w:noWrap/>
            <w:vAlign w:val="center"/>
            <w:hideMark/>
          </w:tcPr>
          <w:p w14:paraId="086E031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F78ACE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90</w:t>
            </w:r>
          </w:p>
        </w:tc>
        <w:tc>
          <w:tcPr>
            <w:tcW w:w="933" w:type="dxa"/>
            <w:tcBorders>
              <w:top w:val="nil"/>
              <w:left w:val="nil"/>
              <w:bottom w:val="single" w:sz="4" w:space="0" w:color="auto"/>
              <w:right w:val="single" w:sz="4" w:space="0" w:color="auto"/>
            </w:tcBorders>
            <w:shd w:val="clear" w:color="auto" w:fill="auto"/>
            <w:noWrap/>
            <w:vAlign w:val="center"/>
            <w:hideMark/>
          </w:tcPr>
          <w:p w14:paraId="538DA17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317</w:t>
            </w:r>
          </w:p>
        </w:tc>
        <w:tc>
          <w:tcPr>
            <w:tcW w:w="934" w:type="dxa"/>
            <w:tcBorders>
              <w:top w:val="nil"/>
              <w:left w:val="nil"/>
              <w:bottom w:val="single" w:sz="4" w:space="0" w:color="auto"/>
              <w:right w:val="single" w:sz="4" w:space="0" w:color="auto"/>
            </w:tcBorders>
            <w:shd w:val="clear" w:color="auto" w:fill="auto"/>
            <w:noWrap/>
            <w:vAlign w:val="center"/>
            <w:hideMark/>
          </w:tcPr>
          <w:p w14:paraId="7B78F93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73</w:t>
            </w:r>
          </w:p>
        </w:tc>
        <w:tc>
          <w:tcPr>
            <w:tcW w:w="933" w:type="dxa"/>
            <w:tcBorders>
              <w:top w:val="nil"/>
              <w:left w:val="nil"/>
              <w:bottom w:val="single" w:sz="4" w:space="0" w:color="auto"/>
              <w:right w:val="single" w:sz="4" w:space="0" w:color="auto"/>
            </w:tcBorders>
            <w:shd w:val="clear" w:color="auto" w:fill="auto"/>
            <w:noWrap/>
            <w:vAlign w:val="center"/>
            <w:hideMark/>
          </w:tcPr>
          <w:p w14:paraId="6AFDDE1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175</w:t>
            </w:r>
          </w:p>
        </w:tc>
        <w:tc>
          <w:tcPr>
            <w:tcW w:w="933" w:type="dxa"/>
            <w:tcBorders>
              <w:top w:val="nil"/>
              <w:left w:val="nil"/>
              <w:bottom w:val="single" w:sz="4" w:space="0" w:color="auto"/>
              <w:right w:val="single" w:sz="4" w:space="0" w:color="auto"/>
            </w:tcBorders>
            <w:shd w:val="clear" w:color="auto" w:fill="auto"/>
            <w:noWrap/>
            <w:vAlign w:val="center"/>
            <w:hideMark/>
          </w:tcPr>
          <w:p w14:paraId="283EF9A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2FBF33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655</w:t>
            </w:r>
          </w:p>
        </w:tc>
        <w:tc>
          <w:tcPr>
            <w:tcW w:w="933" w:type="dxa"/>
            <w:tcBorders>
              <w:top w:val="nil"/>
              <w:left w:val="nil"/>
              <w:bottom w:val="single" w:sz="4" w:space="0" w:color="auto"/>
              <w:right w:val="single" w:sz="4" w:space="0" w:color="auto"/>
            </w:tcBorders>
            <w:shd w:val="clear" w:color="auto" w:fill="auto"/>
            <w:noWrap/>
            <w:vAlign w:val="center"/>
            <w:hideMark/>
          </w:tcPr>
          <w:p w14:paraId="66ADD79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633F96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92</w:t>
            </w:r>
          </w:p>
        </w:tc>
        <w:tc>
          <w:tcPr>
            <w:tcW w:w="933" w:type="dxa"/>
            <w:tcBorders>
              <w:top w:val="nil"/>
              <w:left w:val="nil"/>
              <w:bottom w:val="single" w:sz="4" w:space="0" w:color="auto"/>
              <w:right w:val="single" w:sz="4" w:space="0" w:color="auto"/>
            </w:tcBorders>
            <w:shd w:val="clear" w:color="auto" w:fill="auto"/>
            <w:noWrap/>
            <w:vAlign w:val="center"/>
            <w:hideMark/>
          </w:tcPr>
          <w:p w14:paraId="02F36D1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328</w:t>
            </w:r>
          </w:p>
        </w:tc>
        <w:tc>
          <w:tcPr>
            <w:tcW w:w="934" w:type="dxa"/>
            <w:tcBorders>
              <w:top w:val="nil"/>
              <w:left w:val="nil"/>
              <w:bottom w:val="single" w:sz="4" w:space="0" w:color="auto"/>
              <w:right w:val="single" w:sz="4" w:space="0" w:color="auto"/>
            </w:tcBorders>
            <w:shd w:val="clear" w:color="auto" w:fill="auto"/>
            <w:noWrap/>
            <w:vAlign w:val="center"/>
            <w:hideMark/>
          </w:tcPr>
          <w:p w14:paraId="4FADA7B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76</w:t>
            </w:r>
          </w:p>
        </w:tc>
        <w:tc>
          <w:tcPr>
            <w:tcW w:w="933" w:type="dxa"/>
            <w:tcBorders>
              <w:top w:val="nil"/>
              <w:left w:val="nil"/>
              <w:bottom w:val="single" w:sz="4" w:space="0" w:color="auto"/>
              <w:right w:val="single" w:sz="4" w:space="0" w:color="auto"/>
            </w:tcBorders>
            <w:shd w:val="clear" w:color="auto" w:fill="auto"/>
            <w:noWrap/>
            <w:vAlign w:val="center"/>
            <w:hideMark/>
          </w:tcPr>
          <w:p w14:paraId="5407B11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564</w:t>
            </w:r>
          </w:p>
        </w:tc>
        <w:tc>
          <w:tcPr>
            <w:tcW w:w="933" w:type="dxa"/>
            <w:tcBorders>
              <w:top w:val="nil"/>
              <w:left w:val="nil"/>
              <w:bottom w:val="single" w:sz="4" w:space="0" w:color="auto"/>
              <w:right w:val="single" w:sz="4" w:space="0" w:color="auto"/>
            </w:tcBorders>
            <w:shd w:val="clear" w:color="auto" w:fill="auto"/>
            <w:noWrap/>
            <w:vAlign w:val="center"/>
            <w:hideMark/>
          </w:tcPr>
          <w:p w14:paraId="46224E4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D228C4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1,060</w:t>
            </w:r>
          </w:p>
        </w:tc>
      </w:tr>
      <w:tr w:rsidR="008428AF" w:rsidRPr="00AB625A" w14:paraId="58D4D603"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343B83AA"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Beyond Blue Limited</w:t>
            </w:r>
          </w:p>
        </w:tc>
        <w:tc>
          <w:tcPr>
            <w:tcW w:w="1079" w:type="dxa"/>
            <w:tcBorders>
              <w:top w:val="nil"/>
              <w:left w:val="nil"/>
              <w:bottom w:val="single" w:sz="4" w:space="0" w:color="auto"/>
              <w:right w:val="single" w:sz="4" w:space="0" w:color="auto"/>
            </w:tcBorders>
            <w:shd w:val="clear" w:color="auto" w:fill="auto"/>
            <w:noWrap/>
            <w:vAlign w:val="center"/>
            <w:hideMark/>
          </w:tcPr>
          <w:p w14:paraId="6A36E16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671312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F77D37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42F7CFA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2,284</w:t>
            </w:r>
          </w:p>
        </w:tc>
        <w:tc>
          <w:tcPr>
            <w:tcW w:w="933" w:type="dxa"/>
            <w:tcBorders>
              <w:top w:val="nil"/>
              <w:left w:val="nil"/>
              <w:bottom w:val="single" w:sz="4" w:space="0" w:color="auto"/>
              <w:right w:val="single" w:sz="4" w:space="0" w:color="auto"/>
            </w:tcBorders>
            <w:shd w:val="clear" w:color="auto" w:fill="auto"/>
            <w:noWrap/>
            <w:vAlign w:val="center"/>
            <w:hideMark/>
          </w:tcPr>
          <w:p w14:paraId="37E5EA3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A575B2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450EE3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2,284</w:t>
            </w:r>
          </w:p>
        </w:tc>
        <w:tc>
          <w:tcPr>
            <w:tcW w:w="933" w:type="dxa"/>
            <w:tcBorders>
              <w:top w:val="nil"/>
              <w:left w:val="nil"/>
              <w:bottom w:val="single" w:sz="4" w:space="0" w:color="auto"/>
              <w:right w:val="single" w:sz="4" w:space="0" w:color="auto"/>
            </w:tcBorders>
            <w:shd w:val="clear" w:color="auto" w:fill="auto"/>
            <w:noWrap/>
            <w:vAlign w:val="center"/>
            <w:hideMark/>
          </w:tcPr>
          <w:p w14:paraId="3FCE8D6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213FD8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3F17AE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204FAE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2,338</w:t>
            </w:r>
          </w:p>
        </w:tc>
        <w:tc>
          <w:tcPr>
            <w:tcW w:w="933" w:type="dxa"/>
            <w:tcBorders>
              <w:top w:val="nil"/>
              <w:left w:val="nil"/>
              <w:bottom w:val="single" w:sz="4" w:space="0" w:color="auto"/>
              <w:right w:val="single" w:sz="4" w:space="0" w:color="auto"/>
            </w:tcBorders>
            <w:shd w:val="clear" w:color="auto" w:fill="auto"/>
            <w:noWrap/>
            <w:vAlign w:val="center"/>
            <w:hideMark/>
          </w:tcPr>
          <w:p w14:paraId="741A944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AB8887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458417A"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2,338</w:t>
            </w:r>
          </w:p>
        </w:tc>
      </w:tr>
      <w:tr w:rsidR="008428AF" w:rsidRPr="00AB625A" w14:paraId="6A7D04CF"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7823121E"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Breastscreen Victoria Inc.</w:t>
            </w:r>
          </w:p>
        </w:tc>
        <w:tc>
          <w:tcPr>
            <w:tcW w:w="1079" w:type="dxa"/>
            <w:tcBorders>
              <w:top w:val="nil"/>
              <w:left w:val="nil"/>
              <w:bottom w:val="single" w:sz="4" w:space="0" w:color="auto"/>
              <w:right w:val="single" w:sz="4" w:space="0" w:color="auto"/>
            </w:tcBorders>
            <w:shd w:val="clear" w:color="auto" w:fill="auto"/>
            <w:noWrap/>
            <w:vAlign w:val="center"/>
            <w:hideMark/>
          </w:tcPr>
          <w:p w14:paraId="747B11B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0638D6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634358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4BF6741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8CFFCC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E2246F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54,504</w:t>
            </w:r>
          </w:p>
        </w:tc>
        <w:tc>
          <w:tcPr>
            <w:tcW w:w="934" w:type="dxa"/>
            <w:tcBorders>
              <w:top w:val="nil"/>
              <w:left w:val="nil"/>
              <w:bottom w:val="single" w:sz="4" w:space="0" w:color="auto"/>
              <w:right w:val="single" w:sz="4" w:space="0" w:color="auto"/>
            </w:tcBorders>
            <w:shd w:val="clear" w:color="auto" w:fill="auto"/>
            <w:noWrap/>
            <w:vAlign w:val="center"/>
            <w:hideMark/>
          </w:tcPr>
          <w:p w14:paraId="340A8E83"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54,504</w:t>
            </w:r>
          </w:p>
        </w:tc>
        <w:tc>
          <w:tcPr>
            <w:tcW w:w="933" w:type="dxa"/>
            <w:tcBorders>
              <w:top w:val="nil"/>
              <w:left w:val="nil"/>
              <w:bottom w:val="single" w:sz="4" w:space="0" w:color="auto"/>
              <w:right w:val="single" w:sz="4" w:space="0" w:color="auto"/>
            </w:tcBorders>
            <w:shd w:val="clear" w:color="auto" w:fill="auto"/>
            <w:noWrap/>
            <w:vAlign w:val="center"/>
            <w:hideMark/>
          </w:tcPr>
          <w:p w14:paraId="140A046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F57512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3D0794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FC8FF7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CFD694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0BD661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57,480</w:t>
            </w:r>
          </w:p>
        </w:tc>
        <w:tc>
          <w:tcPr>
            <w:tcW w:w="934" w:type="dxa"/>
            <w:tcBorders>
              <w:top w:val="nil"/>
              <w:left w:val="nil"/>
              <w:bottom w:val="single" w:sz="4" w:space="0" w:color="auto"/>
              <w:right w:val="single" w:sz="4" w:space="0" w:color="auto"/>
            </w:tcBorders>
            <w:shd w:val="clear" w:color="auto" w:fill="auto"/>
            <w:noWrap/>
            <w:vAlign w:val="center"/>
            <w:hideMark/>
          </w:tcPr>
          <w:p w14:paraId="5D03811C"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57,480</w:t>
            </w:r>
          </w:p>
        </w:tc>
      </w:tr>
      <w:tr w:rsidR="008428AF" w:rsidRPr="00AB625A" w14:paraId="0543C818"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592E59C8"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Cancer Council Victoria</w:t>
            </w:r>
          </w:p>
        </w:tc>
        <w:tc>
          <w:tcPr>
            <w:tcW w:w="1079" w:type="dxa"/>
            <w:tcBorders>
              <w:top w:val="nil"/>
              <w:left w:val="nil"/>
              <w:bottom w:val="single" w:sz="4" w:space="0" w:color="auto"/>
              <w:right w:val="single" w:sz="4" w:space="0" w:color="auto"/>
            </w:tcBorders>
            <w:shd w:val="clear" w:color="auto" w:fill="auto"/>
            <w:noWrap/>
            <w:vAlign w:val="center"/>
            <w:hideMark/>
          </w:tcPr>
          <w:p w14:paraId="62372CA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3,402</w:t>
            </w:r>
          </w:p>
        </w:tc>
        <w:tc>
          <w:tcPr>
            <w:tcW w:w="933" w:type="dxa"/>
            <w:tcBorders>
              <w:top w:val="nil"/>
              <w:left w:val="nil"/>
              <w:bottom w:val="single" w:sz="4" w:space="0" w:color="auto"/>
              <w:right w:val="single" w:sz="4" w:space="0" w:color="auto"/>
            </w:tcBorders>
            <w:shd w:val="clear" w:color="auto" w:fill="auto"/>
            <w:noWrap/>
            <w:vAlign w:val="center"/>
            <w:hideMark/>
          </w:tcPr>
          <w:p w14:paraId="79B95BE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706DD0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3D5AD73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0FF729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2DBA5E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8,805</w:t>
            </w:r>
          </w:p>
        </w:tc>
        <w:tc>
          <w:tcPr>
            <w:tcW w:w="934" w:type="dxa"/>
            <w:tcBorders>
              <w:top w:val="nil"/>
              <w:left w:val="nil"/>
              <w:bottom w:val="single" w:sz="4" w:space="0" w:color="auto"/>
              <w:right w:val="single" w:sz="4" w:space="0" w:color="auto"/>
            </w:tcBorders>
            <w:shd w:val="clear" w:color="auto" w:fill="auto"/>
            <w:noWrap/>
            <w:vAlign w:val="center"/>
            <w:hideMark/>
          </w:tcPr>
          <w:p w14:paraId="7F787EB5"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12,207</w:t>
            </w:r>
          </w:p>
        </w:tc>
        <w:tc>
          <w:tcPr>
            <w:tcW w:w="933" w:type="dxa"/>
            <w:tcBorders>
              <w:top w:val="nil"/>
              <w:left w:val="nil"/>
              <w:bottom w:val="single" w:sz="4" w:space="0" w:color="auto"/>
              <w:right w:val="single" w:sz="4" w:space="0" w:color="auto"/>
            </w:tcBorders>
            <w:shd w:val="clear" w:color="auto" w:fill="auto"/>
            <w:noWrap/>
            <w:vAlign w:val="center"/>
            <w:hideMark/>
          </w:tcPr>
          <w:p w14:paraId="4CA1E64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2,100</w:t>
            </w:r>
          </w:p>
        </w:tc>
        <w:tc>
          <w:tcPr>
            <w:tcW w:w="933" w:type="dxa"/>
            <w:tcBorders>
              <w:top w:val="nil"/>
              <w:left w:val="nil"/>
              <w:bottom w:val="single" w:sz="4" w:space="0" w:color="auto"/>
              <w:right w:val="single" w:sz="4" w:space="0" w:color="auto"/>
            </w:tcBorders>
            <w:shd w:val="clear" w:color="auto" w:fill="auto"/>
            <w:noWrap/>
            <w:vAlign w:val="center"/>
            <w:hideMark/>
          </w:tcPr>
          <w:p w14:paraId="7A0B393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B9F82A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164CC3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2FC0C2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A6A7B9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9,095</w:t>
            </w:r>
          </w:p>
        </w:tc>
        <w:tc>
          <w:tcPr>
            <w:tcW w:w="934" w:type="dxa"/>
            <w:tcBorders>
              <w:top w:val="nil"/>
              <w:left w:val="nil"/>
              <w:bottom w:val="single" w:sz="4" w:space="0" w:color="auto"/>
              <w:right w:val="single" w:sz="4" w:space="0" w:color="auto"/>
            </w:tcBorders>
            <w:shd w:val="clear" w:color="auto" w:fill="auto"/>
            <w:noWrap/>
            <w:vAlign w:val="center"/>
            <w:hideMark/>
          </w:tcPr>
          <w:p w14:paraId="2214711A"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11,195</w:t>
            </w:r>
          </w:p>
        </w:tc>
      </w:tr>
      <w:tr w:rsidR="008428AF" w:rsidRPr="00AB625A" w14:paraId="344CBD4F"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145FE570"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Caraniche Pty Ltd</w:t>
            </w:r>
          </w:p>
        </w:tc>
        <w:tc>
          <w:tcPr>
            <w:tcW w:w="1079" w:type="dxa"/>
            <w:tcBorders>
              <w:top w:val="nil"/>
              <w:left w:val="nil"/>
              <w:bottom w:val="single" w:sz="4" w:space="0" w:color="auto"/>
              <w:right w:val="single" w:sz="4" w:space="0" w:color="auto"/>
            </w:tcBorders>
            <w:shd w:val="clear" w:color="auto" w:fill="auto"/>
            <w:noWrap/>
            <w:vAlign w:val="center"/>
            <w:hideMark/>
          </w:tcPr>
          <w:p w14:paraId="3DF1AD5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B92B5A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65058A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2,095</w:t>
            </w:r>
          </w:p>
        </w:tc>
        <w:tc>
          <w:tcPr>
            <w:tcW w:w="934" w:type="dxa"/>
            <w:tcBorders>
              <w:top w:val="nil"/>
              <w:left w:val="nil"/>
              <w:bottom w:val="single" w:sz="4" w:space="0" w:color="auto"/>
              <w:right w:val="single" w:sz="4" w:space="0" w:color="auto"/>
            </w:tcBorders>
            <w:shd w:val="clear" w:color="auto" w:fill="auto"/>
            <w:noWrap/>
            <w:vAlign w:val="center"/>
            <w:hideMark/>
          </w:tcPr>
          <w:p w14:paraId="13650DE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6D3229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CE30C9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D66E1DB"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2,095</w:t>
            </w:r>
          </w:p>
        </w:tc>
        <w:tc>
          <w:tcPr>
            <w:tcW w:w="933" w:type="dxa"/>
            <w:tcBorders>
              <w:top w:val="nil"/>
              <w:left w:val="nil"/>
              <w:bottom w:val="single" w:sz="4" w:space="0" w:color="auto"/>
              <w:right w:val="single" w:sz="4" w:space="0" w:color="auto"/>
            </w:tcBorders>
            <w:shd w:val="clear" w:color="auto" w:fill="auto"/>
            <w:noWrap/>
            <w:vAlign w:val="center"/>
            <w:hideMark/>
          </w:tcPr>
          <w:p w14:paraId="6EF3891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FDE2A6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90E0B3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2,164</w:t>
            </w:r>
          </w:p>
        </w:tc>
        <w:tc>
          <w:tcPr>
            <w:tcW w:w="934" w:type="dxa"/>
            <w:tcBorders>
              <w:top w:val="nil"/>
              <w:left w:val="nil"/>
              <w:bottom w:val="single" w:sz="4" w:space="0" w:color="auto"/>
              <w:right w:val="single" w:sz="4" w:space="0" w:color="auto"/>
            </w:tcBorders>
            <w:shd w:val="clear" w:color="auto" w:fill="auto"/>
            <w:noWrap/>
            <w:vAlign w:val="center"/>
            <w:hideMark/>
          </w:tcPr>
          <w:p w14:paraId="0AD1D7C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F4F1AF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8C99E3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9C777D3"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2,164</w:t>
            </w:r>
          </w:p>
        </w:tc>
      </w:tr>
      <w:tr w:rsidR="008428AF" w:rsidRPr="00AB625A" w14:paraId="680BF2EC"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7F074980"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Darlingford Upper Goulburn Nursing Home Inc</w:t>
            </w:r>
          </w:p>
        </w:tc>
        <w:tc>
          <w:tcPr>
            <w:tcW w:w="1079" w:type="dxa"/>
            <w:tcBorders>
              <w:top w:val="nil"/>
              <w:left w:val="nil"/>
              <w:bottom w:val="single" w:sz="4" w:space="0" w:color="auto"/>
              <w:right w:val="single" w:sz="4" w:space="0" w:color="auto"/>
            </w:tcBorders>
            <w:shd w:val="clear" w:color="auto" w:fill="auto"/>
            <w:noWrap/>
            <w:vAlign w:val="center"/>
            <w:hideMark/>
          </w:tcPr>
          <w:p w14:paraId="559BB07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0CE379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1,250</w:t>
            </w:r>
          </w:p>
        </w:tc>
        <w:tc>
          <w:tcPr>
            <w:tcW w:w="933" w:type="dxa"/>
            <w:tcBorders>
              <w:top w:val="nil"/>
              <w:left w:val="nil"/>
              <w:bottom w:val="single" w:sz="4" w:space="0" w:color="auto"/>
              <w:right w:val="single" w:sz="4" w:space="0" w:color="auto"/>
            </w:tcBorders>
            <w:shd w:val="clear" w:color="auto" w:fill="auto"/>
            <w:noWrap/>
            <w:vAlign w:val="center"/>
            <w:hideMark/>
          </w:tcPr>
          <w:p w14:paraId="1238BFE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2626E56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D3B43C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5A445A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A118E2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1,250</w:t>
            </w:r>
          </w:p>
        </w:tc>
        <w:tc>
          <w:tcPr>
            <w:tcW w:w="933" w:type="dxa"/>
            <w:tcBorders>
              <w:top w:val="nil"/>
              <w:left w:val="nil"/>
              <w:bottom w:val="single" w:sz="4" w:space="0" w:color="auto"/>
              <w:right w:val="single" w:sz="4" w:space="0" w:color="auto"/>
            </w:tcBorders>
            <w:shd w:val="clear" w:color="auto" w:fill="auto"/>
            <w:noWrap/>
            <w:vAlign w:val="center"/>
            <w:hideMark/>
          </w:tcPr>
          <w:p w14:paraId="7E886B7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2900F5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1,356</w:t>
            </w:r>
          </w:p>
        </w:tc>
        <w:tc>
          <w:tcPr>
            <w:tcW w:w="933" w:type="dxa"/>
            <w:tcBorders>
              <w:top w:val="nil"/>
              <w:left w:val="nil"/>
              <w:bottom w:val="single" w:sz="4" w:space="0" w:color="auto"/>
              <w:right w:val="single" w:sz="4" w:space="0" w:color="auto"/>
            </w:tcBorders>
            <w:shd w:val="clear" w:color="auto" w:fill="auto"/>
            <w:noWrap/>
            <w:vAlign w:val="center"/>
            <w:hideMark/>
          </w:tcPr>
          <w:p w14:paraId="7BA89B1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E53E86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4077FE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EC180A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0715D1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1,356</w:t>
            </w:r>
          </w:p>
        </w:tc>
      </w:tr>
      <w:tr w:rsidR="008428AF" w:rsidRPr="00AB625A" w14:paraId="5B9414D3"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D7325D9"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Deakin University</w:t>
            </w:r>
          </w:p>
        </w:tc>
        <w:tc>
          <w:tcPr>
            <w:tcW w:w="1079" w:type="dxa"/>
            <w:tcBorders>
              <w:top w:val="nil"/>
              <w:left w:val="nil"/>
              <w:bottom w:val="single" w:sz="4" w:space="0" w:color="auto"/>
              <w:right w:val="single" w:sz="4" w:space="0" w:color="auto"/>
            </w:tcBorders>
            <w:shd w:val="clear" w:color="auto" w:fill="auto"/>
            <w:noWrap/>
            <w:vAlign w:val="center"/>
            <w:hideMark/>
          </w:tcPr>
          <w:p w14:paraId="357FAEB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1,364</w:t>
            </w:r>
          </w:p>
        </w:tc>
        <w:tc>
          <w:tcPr>
            <w:tcW w:w="933" w:type="dxa"/>
            <w:tcBorders>
              <w:top w:val="nil"/>
              <w:left w:val="nil"/>
              <w:bottom w:val="single" w:sz="4" w:space="0" w:color="auto"/>
              <w:right w:val="single" w:sz="4" w:space="0" w:color="auto"/>
            </w:tcBorders>
            <w:shd w:val="clear" w:color="auto" w:fill="auto"/>
            <w:noWrap/>
            <w:vAlign w:val="center"/>
            <w:hideMark/>
          </w:tcPr>
          <w:p w14:paraId="7E5E040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7CE970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4B84D0D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330</w:t>
            </w:r>
          </w:p>
        </w:tc>
        <w:tc>
          <w:tcPr>
            <w:tcW w:w="933" w:type="dxa"/>
            <w:tcBorders>
              <w:top w:val="nil"/>
              <w:left w:val="nil"/>
              <w:bottom w:val="single" w:sz="4" w:space="0" w:color="auto"/>
              <w:right w:val="single" w:sz="4" w:space="0" w:color="auto"/>
            </w:tcBorders>
            <w:shd w:val="clear" w:color="auto" w:fill="auto"/>
            <w:noWrap/>
            <w:vAlign w:val="center"/>
            <w:hideMark/>
          </w:tcPr>
          <w:p w14:paraId="414BC3B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29FD22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23</w:t>
            </w:r>
          </w:p>
        </w:tc>
        <w:tc>
          <w:tcPr>
            <w:tcW w:w="934" w:type="dxa"/>
            <w:tcBorders>
              <w:top w:val="nil"/>
              <w:left w:val="nil"/>
              <w:bottom w:val="single" w:sz="4" w:space="0" w:color="auto"/>
              <w:right w:val="single" w:sz="4" w:space="0" w:color="auto"/>
            </w:tcBorders>
            <w:shd w:val="clear" w:color="auto" w:fill="auto"/>
            <w:noWrap/>
            <w:vAlign w:val="center"/>
            <w:hideMark/>
          </w:tcPr>
          <w:p w14:paraId="184E862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1,717</w:t>
            </w:r>
          </w:p>
        </w:tc>
        <w:tc>
          <w:tcPr>
            <w:tcW w:w="933" w:type="dxa"/>
            <w:tcBorders>
              <w:top w:val="nil"/>
              <w:left w:val="nil"/>
              <w:bottom w:val="single" w:sz="4" w:space="0" w:color="auto"/>
              <w:right w:val="single" w:sz="4" w:space="0" w:color="auto"/>
            </w:tcBorders>
            <w:shd w:val="clear" w:color="auto" w:fill="auto"/>
            <w:noWrap/>
            <w:vAlign w:val="center"/>
            <w:hideMark/>
          </w:tcPr>
          <w:p w14:paraId="177E3BE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150</w:t>
            </w:r>
          </w:p>
        </w:tc>
        <w:tc>
          <w:tcPr>
            <w:tcW w:w="933" w:type="dxa"/>
            <w:tcBorders>
              <w:top w:val="nil"/>
              <w:left w:val="nil"/>
              <w:bottom w:val="single" w:sz="4" w:space="0" w:color="auto"/>
              <w:right w:val="single" w:sz="4" w:space="0" w:color="auto"/>
            </w:tcBorders>
            <w:shd w:val="clear" w:color="auto" w:fill="auto"/>
            <w:noWrap/>
            <w:vAlign w:val="center"/>
            <w:hideMark/>
          </w:tcPr>
          <w:p w14:paraId="60CDA2D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BEC6D8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8332EC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207</w:t>
            </w:r>
          </w:p>
        </w:tc>
        <w:tc>
          <w:tcPr>
            <w:tcW w:w="933" w:type="dxa"/>
            <w:tcBorders>
              <w:top w:val="nil"/>
              <w:left w:val="nil"/>
              <w:bottom w:val="single" w:sz="4" w:space="0" w:color="auto"/>
              <w:right w:val="single" w:sz="4" w:space="0" w:color="auto"/>
            </w:tcBorders>
            <w:shd w:val="clear" w:color="auto" w:fill="auto"/>
            <w:noWrap/>
            <w:vAlign w:val="center"/>
            <w:hideMark/>
          </w:tcPr>
          <w:p w14:paraId="6E95AA5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EB4614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23</w:t>
            </w:r>
          </w:p>
        </w:tc>
        <w:tc>
          <w:tcPr>
            <w:tcW w:w="934" w:type="dxa"/>
            <w:tcBorders>
              <w:top w:val="nil"/>
              <w:left w:val="nil"/>
              <w:bottom w:val="single" w:sz="4" w:space="0" w:color="auto"/>
              <w:right w:val="single" w:sz="4" w:space="0" w:color="auto"/>
            </w:tcBorders>
            <w:shd w:val="clear" w:color="auto" w:fill="auto"/>
            <w:noWrap/>
            <w:vAlign w:val="center"/>
            <w:hideMark/>
          </w:tcPr>
          <w:p w14:paraId="69040DD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380</w:t>
            </w:r>
          </w:p>
        </w:tc>
      </w:tr>
      <w:tr w:rsidR="008428AF" w:rsidRPr="00AB625A" w14:paraId="7715E08A"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5AEFB812"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Dementia Australia Limited</w:t>
            </w:r>
          </w:p>
        </w:tc>
        <w:tc>
          <w:tcPr>
            <w:tcW w:w="1079" w:type="dxa"/>
            <w:tcBorders>
              <w:top w:val="nil"/>
              <w:left w:val="nil"/>
              <w:bottom w:val="single" w:sz="4" w:space="0" w:color="auto"/>
              <w:right w:val="single" w:sz="4" w:space="0" w:color="auto"/>
            </w:tcBorders>
            <w:shd w:val="clear" w:color="auto" w:fill="auto"/>
            <w:noWrap/>
            <w:vAlign w:val="center"/>
            <w:hideMark/>
          </w:tcPr>
          <w:p w14:paraId="3975671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8002A4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3,820</w:t>
            </w:r>
          </w:p>
        </w:tc>
        <w:tc>
          <w:tcPr>
            <w:tcW w:w="933" w:type="dxa"/>
            <w:tcBorders>
              <w:top w:val="nil"/>
              <w:left w:val="nil"/>
              <w:bottom w:val="single" w:sz="4" w:space="0" w:color="auto"/>
              <w:right w:val="single" w:sz="4" w:space="0" w:color="auto"/>
            </w:tcBorders>
            <w:shd w:val="clear" w:color="auto" w:fill="auto"/>
            <w:noWrap/>
            <w:vAlign w:val="center"/>
            <w:hideMark/>
          </w:tcPr>
          <w:p w14:paraId="6961DE1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6A9240C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7CC922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E10877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B28AB47"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3,820</w:t>
            </w:r>
          </w:p>
        </w:tc>
        <w:tc>
          <w:tcPr>
            <w:tcW w:w="933" w:type="dxa"/>
            <w:tcBorders>
              <w:top w:val="nil"/>
              <w:left w:val="nil"/>
              <w:bottom w:val="single" w:sz="4" w:space="0" w:color="auto"/>
              <w:right w:val="single" w:sz="4" w:space="0" w:color="auto"/>
            </w:tcBorders>
            <w:shd w:val="clear" w:color="auto" w:fill="auto"/>
            <w:noWrap/>
            <w:vAlign w:val="center"/>
            <w:hideMark/>
          </w:tcPr>
          <w:p w14:paraId="123FA99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F5A0E2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3,946</w:t>
            </w:r>
          </w:p>
        </w:tc>
        <w:tc>
          <w:tcPr>
            <w:tcW w:w="933" w:type="dxa"/>
            <w:tcBorders>
              <w:top w:val="nil"/>
              <w:left w:val="nil"/>
              <w:bottom w:val="single" w:sz="4" w:space="0" w:color="auto"/>
              <w:right w:val="single" w:sz="4" w:space="0" w:color="auto"/>
            </w:tcBorders>
            <w:shd w:val="clear" w:color="auto" w:fill="auto"/>
            <w:noWrap/>
            <w:vAlign w:val="center"/>
            <w:hideMark/>
          </w:tcPr>
          <w:p w14:paraId="2CDDB12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FE20DD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E39E7C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E7E25C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87CCEC9"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3,946</w:t>
            </w:r>
          </w:p>
        </w:tc>
      </w:tr>
      <w:tr w:rsidR="008428AF" w:rsidRPr="00AB625A" w14:paraId="0B86659F"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1D540113"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Diabetes Australia - Victoria</w:t>
            </w:r>
          </w:p>
        </w:tc>
        <w:tc>
          <w:tcPr>
            <w:tcW w:w="1079" w:type="dxa"/>
            <w:tcBorders>
              <w:top w:val="nil"/>
              <w:left w:val="nil"/>
              <w:bottom w:val="single" w:sz="4" w:space="0" w:color="auto"/>
              <w:right w:val="single" w:sz="4" w:space="0" w:color="auto"/>
            </w:tcBorders>
            <w:shd w:val="clear" w:color="auto" w:fill="auto"/>
            <w:noWrap/>
            <w:vAlign w:val="center"/>
            <w:hideMark/>
          </w:tcPr>
          <w:p w14:paraId="3ABA01F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CE9D57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1B0132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5ADC550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1B5CEE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2,270</w:t>
            </w:r>
          </w:p>
        </w:tc>
        <w:tc>
          <w:tcPr>
            <w:tcW w:w="933" w:type="dxa"/>
            <w:tcBorders>
              <w:top w:val="nil"/>
              <w:left w:val="nil"/>
              <w:bottom w:val="single" w:sz="4" w:space="0" w:color="auto"/>
              <w:right w:val="single" w:sz="4" w:space="0" w:color="auto"/>
            </w:tcBorders>
            <w:shd w:val="clear" w:color="auto" w:fill="auto"/>
            <w:noWrap/>
            <w:vAlign w:val="center"/>
            <w:hideMark/>
          </w:tcPr>
          <w:p w14:paraId="46D0101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5,554</w:t>
            </w:r>
          </w:p>
        </w:tc>
        <w:tc>
          <w:tcPr>
            <w:tcW w:w="934" w:type="dxa"/>
            <w:tcBorders>
              <w:top w:val="nil"/>
              <w:left w:val="nil"/>
              <w:bottom w:val="single" w:sz="4" w:space="0" w:color="auto"/>
              <w:right w:val="single" w:sz="4" w:space="0" w:color="auto"/>
            </w:tcBorders>
            <w:shd w:val="clear" w:color="auto" w:fill="auto"/>
            <w:noWrap/>
            <w:vAlign w:val="center"/>
            <w:hideMark/>
          </w:tcPr>
          <w:p w14:paraId="37074DA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7,824</w:t>
            </w:r>
          </w:p>
        </w:tc>
        <w:tc>
          <w:tcPr>
            <w:tcW w:w="933" w:type="dxa"/>
            <w:tcBorders>
              <w:top w:val="nil"/>
              <w:left w:val="nil"/>
              <w:bottom w:val="single" w:sz="4" w:space="0" w:color="auto"/>
              <w:right w:val="single" w:sz="4" w:space="0" w:color="auto"/>
            </w:tcBorders>
            <w:shd w:val="clear" w:color="auto" w:fill="auto"/>
            <w:noWrap/>
            <w:vAlign w:val="center"/>
            <w:hideMark/>
          </w:tcPr>
          <w:p w14:paraId="2E3BCC9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723FE5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AE2234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06F5CE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B4C50D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2,324</w:t>
            </w:r>
          </w:p>
        </w:tc>
        <w:tc>
          <w:tcPr>
            <w:tcW w:w="933" w:type="dxa"/>
            <w:tcBorders>
              <w:top w:val="nil"/>
              <w:left w:val="nil"/>
              <w:bottom w:val="single" w:sz="4" w:space="0" w:color="auto"/>
              <w:right w:val="single" w:sz="4" w:space="0" w:color="auto"/>
            </w:tcBorders>
            <w:shd w:val="clear" w:color="auto" w:fill="auto"/>
            <w:noWrap/>
            <w:vAlign w:val="center"/>
            <w:hideMark/>
          </w:tcPr>
          <w:p w14:paraId="29C69ED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5,225</w:t>
            </w:r>
          </w:p>
        </w:tc>
        <w:tc>
          <w:tcPr>
            <w:tcW w:w="934" w:type="dxa"/>
            <w:tcBorders>
              <w:top w:val="nil"/>
              <w:left w:val="nil"/>
              <w:bottom w:val="single" w:sz="4" w:space="0" w:color="auto"/>
              <w:right w:val="single" w:sz="4" w:space="0" w:color="auto"/>
            </w:tcBorders>
            <w:shd w:val="clear" w:color="auto" w:fill="auto"/>
            <w:noWrap/>
            <w:vAlign w:val="center"/>
            <w:hideMark/>
          </w:tcPr>
          <w:p w14:paraId="43C8DB0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7,549</w:t>
            </w:r>
          </w:p>
        </w:tc>
      </w:tr>
      <w:tr w:rsidR="008428AF" w:rsidRPr="00AB625A" w14:paraId="4D1E6091"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3DF53757"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Eastern Melbourne Healthcare Network Ltd</w:t>
            </w:r>
          </w:p>
        </w:tc>
        <w:tc>
          <w:tcPr>
            <w:tcW w:w="1079" w:type="dxa"/>
            <w:tcBorders>
              <w:top w:val="nil"/>
              <w:left w:val="nil"/>
              <w:bottom w:val="single" w:sz="4" w:space="0" w:color="auto"/>
              <w:right w:val="single" w:sz="4" w:space="0" w:color="auto"/>
            </w:tcBorders>
            <w:shd w:val="clear" w:color="auto" w:fill="auto"/>
            <w:noWrap/>
            <w:vAlign w:val="center"/>
            <w:hideMark/>
          </w:tcPr>
          <w:p w14:paraId="0358CF6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3" w:type="dxa"/>
            <w:tcBorders>
              <w:top w:val="nil"/>
              <w:left w:val="nil"/>
              <w:bottom w:val="single" w:sz="4" w:space="0" w:color="auto"/>
              <w:right w:val="single" w:sz="4" w:space="0" w:color="auto"/>
            </w:tcBorders>
            <w:shd w:val="clear" w:color="auto" w:fill="auto"/>
            <w:noWrap/>
            <w:vAlign w:val="center"/>
            <w:hideMark/>
          </w:tcPr>
          <w:p w14:paraId="0118C71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E9A3A5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DBDAB1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058BA1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8,062</w:t>
            </w:r>
          </w:p>
        </w:tc>
        <w:tc>
          <w:tcPr>
            <w:tcW w:w="933" w:type="dxa"/>
            <w:tcBorders>
              <w:top w:val="nil"/>
              <w:left w:val="nil"/>
              <w:bottom w:val="single" w:sz="4" w:space="0" w:color="auto"/>
              <w:right w:val="single" w:sz="4" w:space="0" w:color="auto"/>
            </w:tcBorders>
            <w:shd w:val="clear" w:color="auto" w:fill="auto"/>
            <w:noWrap/>
            <w:vAlign w:val="center"/>
            <w:hideMark/>
          </w:tcPr>
          <w:p w14:paraId="06E8508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966707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8,062</w:t>
            </w:r>
          </w:p>
        </w:tc>
        <w:tc>
          <w:tcPr>
            <w:tcW w:w="933" w:type="dxa"/>
            <w:tcBorders>
              <w:top w:val="nil"/>
              <w:left w:val="nil"/>
              <w:bottom w:val="single" w:sz="4" w:space="0" w:color="auto"/>
              <w:right w:val="single" w:sz="4" w:space="0" w:color="auto"/>
            </w:tcBorders>
            <w:shd w:val="clear" w:color="auto" w:fill="auto"/>
            <w:noWrap/>
            <w:vAlign w:val="center"/>
            <w:hideMark/>
          </w:tcPr>
          <w:p w14:paraId="09F6214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267B80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00AA09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w:t>
            </w:r>
          </w:p>
        </w:tc>
        <w:tc>
          <w:tcPr>
            <w:tcW w:w="934" w:type="dxa"/>
            <w:tcBorders>
              <w:top w:val="nil"/>
              <w:left w:val="nil"/>
              <w:bottom w:val="single" w:sz="4" w:space="0" w:color="auto"/>
              <w:right w:val="single" w:sz="4" w:space="0" w:color="auto"/>
            </w:tcBorders>
            <w:shd w:val="clear" w:color="auto" w:fill="auto"/>
            <w:noWrap/>
            <w:vAlign w:val="center"/>
            <w:hideMark/>
          </w:tcPr>
          <w:p w14:paraId="52C0348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2ABC6D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4,285</w:t>
            </w:r>
          </w:p>
        </w:tc>
        <w:tc>
          <w:tcPr>
            <w:tcW w:w="933" w:type="dxa"/>
            <w:tcBorders>
              <w:top w:val="nil"/>
              <w:left w:val="nil"/>
              <w:bottom w:val="single" w:sz="4" w:space="0" w:color="auto"/>
              <w:right w:val="single" w:sz="4" w:space="0" w:color="auto"/>
            </w:tcBorders>
            <w:shd w:val="clear" w:color="auto" w:fill="auto"/>
            <w:noWrap/>
            <w:vAlign w:val="center"/>
            <w:hideMark/>
          </w:tcPr>
          <w:p w14:paraId="02F79E2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07B815B"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4,285</w:t>
            </w:r>
          </w:p>
        </w:tc>
      </w:tr>
      <w:tr w:rsidR="008428AF" w:rsidRPr="00AB625A" w14:paraId="6A20A298"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16B89CC"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Eastern Palliative Care Association Inc.</w:t>
            </w:r>
          </w:p>
        </w:tc>
        <w:tc>
          <w:tcPr>
            <w:tcW w:w="1079" w:type="dxa"/>
            <w:tcBorders>
              <w:top w:val="nil"/>
              <w:left w:val="nil"/>
              <w:bottom w:val="single" w:sz="4" w:space="0" w:color="auto"/>
              <w:right w:val="single" w:sz="4" w:space="0" w:color="auto"/>
            </w:tcBorders>
            <w:shd w:val="clear" w:color="auto" w:fill="auto"/>
            <w:noWrap/>
            <w:vAlign w:val="center"/>
            <w:hideMark/>
          </w:tcPr>
          <w:p w14:paraId="359218E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14,299</w:t>
            </w:r>
          </w:p>
        </w:tc>
        <w:tc>
          <w:tcPr>
            <w:tcW w:w="933" w:type="dxa"/>
            <w:tcBorders>
              <w:top w:val="nil"/>
              <w:left w:val="nil"/>
              <w:bottom w:val="single" w:sz="4" w:space="0" w:color="auto"/>
              <w:right w:val="single" w:sz="4" w:space="0" w:color="auto"/>
            </w:tcBorders>
            <w:shd w:val="clear" w:color="auto" w:fill="auto"/>
            <w:noWrap/>
            <w:vAlign w:val="center"/>
            <w:hideMark/>
          </w:tcPr>
          <w:p w14:paraId="40D1F57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1C29BC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1DE774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E91FCA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195D50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C194E65"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14,299</w:t>
            </w:r>
          </w:p>
        </w:tc>
        <w:tc>
          <w:tcPr>
            <w:tcW w:w="933" w:type="dxa"/>
            <w:tcBorders>
              <w:top w:val="nil"/>
              <w:left w:val="nil"/>
              <w:bottom w:val="single" w:sz="4" w:space="0" w:color="auto"/>
              <w:right w:val="single" w:sz="4" w:space="0" w:color="auto"/>
            </w:tcBorders>
            <w:shd w:val="clear" w:color="auto" w:fill="auto"/>
            <w:noWrap/>
            <w:vAlign w:val="center"/>
            <w:hideMark/>
          </w:tcPr>
          <w:p w14:paraId="21E15A0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13,988</w:t>
            </w:r>
          </w:p>
        </w:tc>
        <w:tc>
          <w:tcPr>
            <w:tcW w:w="933" w:type="dxa"/>
            <w:tcBorders>
              <w:top w:val="nil"/>
              <w:left w:val="nil"/>
              <w:bottom w:val="single" w:sz="4" w:space="0" w:color="auto"/>
              <w:right w:val="single" w:sz="4" w:space="0" w:color="auto"/>
            </w:tcBorders>
            <w:shd w:val="clear" w:color="auto" w:fill="auto"/>
            <w:noWrap/>
            <w:vAlign w:val="center"/>
            <w:hideMark/>
          </w:tcPr>
          <w:p w14:paraId="5D477BC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A63AAA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7C97899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C86180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F55C5E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895E937"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13,988</w:t>
            </w:r>
          </w:p>
        </w:tc>
      </w:tr>
      <w:tr w:rsidR="008428AF" w:rsidRPr="00AB625A" w14:paraId="4664312F"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10A833B"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Family Planning Victoria Inc</w:t>
            </w:r>
          </w:p>
        </w:tc>
        <w:tc>
          <w:tcPr>
            <w:tcW w:w="1079" w:type="dxa"/>
            <w:tcBorders>
              <w:top w:val="nil"/>
              <w:left w:val="nil"/>
              <w:bottom w:val="single" w:sz="4" w:space="0" w:color="auto"/>
              <w:right w:val="single" w:sz="4" w:space="0" w:color="auto"/>
            </w:tcBorders>
            <w:shd w:val="clear" w:color="auto" w:fill="auto"/>
            <w:noWrap/>
            <w:vAlign w:val="center"/>
            <w:hideMark/>
          </w:tcPr>
          <w:p w14:paraId="0B59120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31554B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4608C8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6FABE6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C6830B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3,797</w:t>
            </w:r>
          </w:p>
        </w:tc>
        <w:tc>
          <w:tcPr>
            <w:tcW w:w="933" w:type="dxa"/>
            <w:tcBorders>
              <w:top w:val="nil"/>
              <w:left w:val="nil"/>
              <w:bottom w:val="single" w:sz="4" w:space="0" w:color="auto"/>
              <w:right w:val="single" w:sz="4" w:space="0" w:color="auto"/>
            </w:tcBorders>
            <w:shd w:val="clear" w:color="auto" w:fill="auto"/>
            <w:noWrap/>
            <w:vAlign w:val="center"/>
            <w:hideMark/>
          </w:tcPr>
          <w:p w14:paraId="7421C38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891</w:t>
            </w:r>
          </w:p>
        </w:tc>
        <w:tc>
          <w:tcPr>
            <w:tcW w:w="934" w:type="dxa"/>
            <w:tcBorders>
              <w:top w:val="nil"/>
              <w:left w:val="nil"/>
              <w:bottom w:val="single" w:sz="4" w:space="0" w:color="auto"/>
              <w:right w:val="single" w:sz="4" w:space="0" w:color="auto"/>
            </w:tcBorders>
            <w:shd w:val="clear" w:color="auto" w:fill="auto"/>
            <w:noWrap/>
            <w:vAlign w:val="center"/>
            <w:hideMark/>
          </w:tcPr>
          <w:p w14:paraId="4E5622C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4,687</w:t>
            </w:r>
          </w:p>
        </w:tc>
        <w:tc>
          <w:tcPr>
            <w:tcW w:w="933" w:type="dxa"/>
            <w:tcBorders>
              <w:top w:val="nil"/>
              <w:left w:val="nil"/>
              <w:bottom w:val="single" w:sz="4" w:space="0" w:color="auto"/>
              <w:right w:val="single" w:sz="4" w:space="0" w:color="auto"/>
            </w:tcBorders>
            <w:shd w:val="clear" w:color="auto" w:fill="auto"/>
            <w:noWrap/>
            <w:vAlign w:val="center"/>
            <w:hideMark/>
          </w:tcPr>
          <w:p w14:paraId="5980E9F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19C48A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39BF0A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306D1E0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525ABB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3,887</w:t>
            </w:r>
          </w:p>
        </w:tc>
        <w:tc>
          <w:tcPr>
            <w:tcW w:w="933" w:type="dxa"/>
            <w:tcBorders>
              <w:top w:val="nil"/>
              <w:left w:val="nil"/>
              <w:bottom w:val="single" w:sz="4" w:space="0" w:color="auto"/>
              <w:right w:val="single" w:sz="4" w:space="0" w:color="auto"/>
            </w:tcBorders>
            <w:shd w:val="clear" w:color="auto" w:fill="auto"/>
            <w:noWrap/>
            <w:vAlign w:val="center"/>
            <w:hideMark/>
          </w:tcPr>
          <w:p w14:paraId="713955A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920</w:t>
            </w:r>
          </w:p>
        </w:tc>
        <w:tc>
          <w:tcPr>
            <w:tcW w:w="934" w:type="dxa"/>
            <w:tcBorders>
              <w:top w:val="nil"/>
              <w:left w:val="nil"/>
              <w:bottom w:val="single" w:sz="4" w:space="0" w:color="auto"/>
              <w:right w:val="single" w:sz="4" w:space="0" w:color="auto"/>
            </w:tcBorders>
            <w:shd w:val="clear" w:color="auto" w:fill="auto"/>
            <w:noWrap/>
            <w:vAlign w:val="center"/>
            <w:hideMark/>
          </w:tcPr>
          <w:p w14:paraId="3F98077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4,807</w:t>
            </w:r>
          </w:p>
        </w:tc>
      </w:tr>
      <w:tr w:rsidR="008428AF" w:rsidRPr="00AB625A" w14:paraId="10A2131D"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CBFABB3"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Gay And Lesbian Switchboard (Victoria) Inc.</w:t>
            </w:r>
          </w:p>
        </w:tc>
        <w:tc>
          <w:tcPr>
            <w:tcW w:w="1079" w:type="dxa"/>
            <w:tcBorders>
              <w:top w:val="nil"/>
              <w:left w:val="nil"/>
              <w:bottom w:val="single" w:sz="4" w:space="0" w:color="auto"/>
              <w:right w:val="single" w:sz="4" w:space="0" w:color="auto"/>
            </w:tcBorders>
            <w:shd w:val="clear" w:color="auto" w:fill="auto"/>
            <w:noWrap/>
            <w:vAlign w:val="center"/>
            <w:hideMark/>
          </w:tcPr>
          <w:p w14:paraId="302A9A6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D72AAA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30A845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583E13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1,349</w:t>
            </w:r>
          </w:p>
        </w:tc>
        <w:tc>
          <w:tcPr>
            <w:tcW w:w="933" w:type="dxa"/>
            <w:tcBorders>
              <w:top w:val="nil"/>
              <w:left w:val="nil"/>
              <w:bottom w:val="single" w:sz="4" w:space="0" w:color="auto"/>
              <w:right w:val="single" w:sz="4" w:space="0" w:color="auto"/>
            </w:tcBorders>
            <w:shd w:val="clear" w:color="auto" w:fill="auto"/>
            <w:noWrap/>
            <w:vAlign w:val="center"/>
            <w:hideMark/>
          </w:tcPr>
          <w:p w14:paraId="4F62B14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837A52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47</w:t>
            </w:r>
          </w:p>
        </w:tc>
        <w:tc>
          <w:tcPr>
            <w:tcW w:w="934" w:type="dxa"/>
            <w:tcBorders>
              <w:top w:val="nil"/>
              <w:left w:val="nil"/>
              <w:bottom w:val="single" w:sz="4" w:space="0" w:color="auto"/>
              <w:right w:val="single" w:sz="4" w:space="0" w:color="auto"/>
            </w:tcBorders>
            <w:shd w:val="clear" w:color="auto" w:fill="auto"/>
            <w:noWrap/>
            <w:vAlign w:val="center"/>
            <w:hideMark/>
          </w:tcPr>
          <w:p w14:paraId="29C83B3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1,396</w:t>
            </w:r>
          </w:p>
        </w:tc>
        <w:tc>
          <w:tcPr>
            <w:tcW w:w="933" w:type="dxa"/>
            <w:tcBorders>
              <w:top w:val="nil"/>
              <w:left w:val="nil"/>
              <w:bottom w:val="single" w:sz="4" w:space="0" w:color="auto"/>
              <w:right w:val="single" w:sz="4" w:space="0" w:color="auto"/>
            </w:tcBorders>
            <w:shd w:val="clear" w:color="auto" w:fill="auto"/>
            <w:noWrap/>
            <w:vAlign w:val="center"/>
            <w:hideMark/>
          </w:tcPr>
          <w:p w14:paraId="01936EB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00C1B6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B83467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3632E34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1,721</w:t>
            </w:r>
          </w:p>
        </w:tc>
        <w:tc>
          <w:tcPr>
            <w:tcW w:w="933" w:type="dxa"/>
            <w:tcBorders>
              <w:top w:val="nil"/>
              <w:left w:val="nil"/>
              <w:bottom w:val="single" w:sz="4" w:space="0" w:color="auto"/>
              <w:right w:val="single" w:sz="4" w:space="0" w:color="auto"/>
            </w:tcBorders>
            <w:shd w:val="clear" w:color="auto" w:fill="auto"/>
            <w:noWrap/>
            <w:vAlign w:val="center"/>
            <w:hideMark/>
          </w:tcPr>
          <w:p w14:paraId="594560F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5A51B6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48</w:t>
            </w:r>
          </w:p>
        </w:tc>
        <w:tc>
          <w:tcPr>
            <w:tcW w:w="934" w:type="dxa"/>
            <w:tcBorders>
              <w:top w:val="nil"/>
              <w:left w:val="nil"/>
              <w:bottom w:val="single" w:sz="4" w:space="0" w:color="auto"/>
              <w:right w:val="single" w:sz="4" w:space="0" w:color="auto"/>
            </w:tcBorders>
            <w:shd w:val="clear" w:color="auto" w:fill="auto"/>
            <w:noWrap/>
            <w:vAlign w:val="center"/>
            <w:hideMark/>
          </w:tcPr>
          <w:p w14:paraId="3A19F393"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1,769</w:t>
            </w:r>
          </w:p>
        </w:tc>
      </w:tr>
      <w:tr w:rsidR="008428AF" w:rsidRPr="00AB625A" w14:paraId="5544585F"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34C408AB"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Gegac</w:t>
            </w:r>
          </w:p>
        </w:tc>
        <w:tc>
          <w:tcPr>
            <w:tcW w:w="1079" w:type="dxa"/>
            <w:tcBorders>
              <w:top w:val="nil"/>
              <w:left w:val="nil"/>
              <w:bottom w:val="single" w:sz="4" w:space="0" w:color="auto"/>
              <w:right w:val="single" w:sz="4" w:space="0" w:color="auto"/>
            </w:tcBorders>
            <w:shd w:val="clear" w:color="auto" w:fill="auto"/>
            <w:noWrap/>
            <w:vAlign w:val="center"/>
            <w:hideMark/>
          </w:tcPr>
          <w:p w14:paraId="5F8D466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220</w:t>
            </w:r>
          </w:p>
        </w:tc>
        <w:tc>
          <w:tcPr>
            <w:tcW w:w="933" w:type="dxa"/>
            <w:tcBorders>
              <w:top w:val="nil"/>
              <w:left w:val="nil"/>
              <w:bottom w:val="single" w:sz="4" w:space="0" w:color="auto"/>
              <w:right w:val="single" w:sz="4" w:space="0" w:color="auto"/>
            </w:tcBorders>
            <w:shd w:val="clear" w:color="auto" w:fill="auto"/>
            <w:noWrap/>
            <w:vAlign w:val="center"/>
            <w:hideMark/>
          </w:tcPr>
          <w:p w14:paraId="49D21BA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181</w:t>
            </w:r>
          </w:p>
        </w:tc>
        <w:tc>
          <w:tcPr>
            <w:tcW w:w="933" w:type="dxa"/>
            <w:tcBorders>
              <w:top w:val="nil"/>
              <w:left w:val="nil"/>
              <w:bottom w:val="single" w:sz="4" w:space="0" w:color="auto"/>
              <w:right w:val="single" w:sz="4" w:space="0" w:color="auto"/>
            </w:tcBorders>
            <w:shd w:val="clear" w:color="auto" w:fill="auto"/>
            <w:noWrap/>
            <w:vAlign w:val="center"/>
            <w:hideMark/>
          </w:tcPr>
          <w:p w14:paraId="1C7ADD4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1,485</w:t>
            </w:r>
          </w:p>
        </w:tc>
        <w:tc>
          <w:tcPr>
            <w:tcW w:w="934" w:type="dxa"/>
            <w:tcBorders>
              <w:top w:val="nil"/>
              <w:left w:val="nil"/>
              <w:bottom w:val="single" w:sz="4" w:space="0" w:color="auto"/>
              <w:right w:val="single" w:sz="4" w:space="0" w:color="auto"/>
            </w:tcBorders>
            <w:shd w:val="clear" w:color="auto" w:fill="auto"/>
            <w:noWrap/>
            <w:vAlign w:val="center"/>
            <w:hideMark/>
          </w:tcPr>
          <w:p w14:paraId="30870AC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40</w:t>
            </w:r>
          </w:p>
        </w:tc>
        <w:tc>
          <w:tcPr>
            <w:tcW w:w="933" w:type="dxa"/>
            <w:tcBorders>
              <w:top w:val="nil"/>
              <w:left w:val="nil"/>
              <w:bottom w:val="single" w:sz="4" w:space="0" w:color="auto"/>
              <w:right w:val="single" w:sz="4" w:space="0" w:color="auto"/>
            </w:tcBorders>
            <w:shd w:val="clear" w:color="auto" w:fill="auto"/>
            <w:noWrap/>
            <w:vAlign w:val="center"/>
            <w:hideMark/>
          </w:tcPr>
          <w:p w14:paraId="47B5AAB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334</w:t>
            </w:r>
          </w:p>
        </w:tc>
        <w:tc>
          <w:tcPr>
            <w:tcW w:w="933" w:type="dxa"/>
            <w:tcBorders>
              <w:top w:val="nil"/>
              <w:left w:val="nil"/>
              <w:bottom w:val="single" w:sz="4" w:space="0" w:color="auto"/>
              <w:right w:val="single" w:sz="4" w:space="0" w:color="auto"/>
            </w:tcBorders>
            <w:shd w:val="clear" w:color="auto" w:fill="auto"/>
            <w:noWrap/>
            <w:vAlign w:val="center"/>
            <w:hideMark/>
          </w:tcPr>
          <w:p w14:paraId="1F64202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F33406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2,259</w:t>
            </w:r>
          </w:p>
        </w:tc>
        <w:tc>
          <w:tcPr>
            <w:tcW w:w="933" w:type="dxa"/>
            <w:tcBorders>
              <w:top w:val="nil"/>
              <w:left w:val="nil"/>
              <w:bottom w:val="single" w:sz="4" w:space="0" w:color="auto"/>
              <w:right w:val="single" w:sz="4" w:space="0" w:color="auto"/>
            </w:tcBorders>
            <w:shd w:val="clear" w:color="auto" w:fill="auto"/>
            <w:noWrap/>
            <w:vAlign w:val="center"/>
            <w:hideMark/>
          </w:tcPr>
          <w:p w14:paraId="4C3B8CE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225</w:t>
            </w:r>
          </w:p>
        </w:tc>
        <w:tc>
          <w:tcPr>
            <w:tcW w:w="933" w:type="dxa"/>
            <w:tcBorders>
              <w:top w:val="nil"/>
              <w:left w:val="nil"/>
              <w:bottom w:val="single" w:sz="4" w:space="0" w:color="auto"/>
              <w:right w:val="single" w:sz="4" w:space="0" w:color="auto"/>
            </w:tcBorders>
            <w:shd w:val="clear" w:color="auto" w:fill="auto"/>
            <w:noWrap/>
            <w:vAlign w:val="center"/>
            <w:hideMark/>
          </w:tcPr>
          <w:p w14:paraId="23989A8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186</w:t>
            </w:r>
          </w:p>
        </w:tc>
        <w:tc>
          <w:tcPr>
            <w:tcW w:w="933" w:type="dxa"/>
            <w:tcBorders>
              <w:top w:val="nil"/>
              <w:left w:val="nil"/>
              <w:bottom w:val="single" w:sz="4" w:space="0" w:color="auto"/>
              <w:right w:val="single" w:sz="4" w:space="0" w:color="auto"/>
            </w:tcBorders>
            <w:shd w:val="clear" w:color="auto" w:fill="auto"/>
            <w:noWrap/>
            <w:vAlign w:val="center"/>
            <w:hideMark/>
          </w:tcPr>
          <w:p w14:paraId="306D4AD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1,170</w:t>
            </w:r>
          </w:p>
        </w:tc>
        <w:tc>
          <w:tcPr>
            <w:tcW w:w="934" w:type="dxa"/>
            <w:tcBorders>
              <w:top w:val="nil"/>
              <w:left w:val="nil"/>
              <w:bottom w:val="single" w:sz="4" w:space="0" w:color="auto"/>
              <w:right w:val="single" w:sz="4" w:space="0" w:color="auto"/>
            </w:tcBorders>
            <w:shd w:val="clear" w:color="auto" w:fill="auto"/>
            <w:noWrap/>
            <w:vAlign w:val="center"/>
            <w:hideMark/>
          </w:tcPr>
          <w:p w14:paraId="6BDD087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41</w:t>
            </w:r>
          </w:p>
        </w:tc>
        <w:tc>
          <w:tcPr>
            <w:tcW w:w="933" w:type="dxa"/>
            <w:tcBorders>
              <w:top w:val="nil"/>
              <w:left w:val="nil"/>
              <w:bottom w:val="single" w:sz="4" w:space="0" w:color="auto"/>
              <w:right w:val="single" w:sz="4" w:space="0" w:color="auto"/>
            </w:tcBorders>
            <w:shd w:val="clear" w:color="auto" w:fill="auto"/>
            <w:noWrap/>
            <w:vAlign w:val="center"/>
            <w:hideMark/>
          </w:tcPr>
          <w:p w14:paraId="199AF92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418</w:t>
            </w:r>
          </w:p>
        </w:tc>
        <w:tc>
          <w:tcPr>
            <w:tcW w:w="933" w:type="dxa"/>
            <w:tcBorders>
              <w:top w:val="nil"/>
              <w:left w:val="nil"/>
              <w:bottom w:val="single" w:sz="4" w:space="0" w:color="auto"/>
              <w:right w:val="single" w:sz="4" w:space="0" w:color="auto"/>
            </w:tcBorders>
            <w:shd w:val="clear" w:color="auto" w:fill="auto"/>
            <w:noWrap/>
            <w:vAlign w:val="center"/>
            <w:hideMark/>
          </w:tcPr>
          <w:p w14:paraId="695515E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036E6E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2,039</w:t>
            </w:r>
          </w:p>
        </w:tc>
      </w:tr>
      <w:tr w:rsidR="008428AF" w:rsidRPr="00AB625A" w14:paraId="7F70F849"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39FF2069"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Gippsland Health Network Limited</w:t>
            </w:r>
          </w:p>
        </w:tc>
        <w:tc>
          <w:tcPr>
            <w:tcW w:w="1079" w:type="dxa"/>
            <w:tcBorders>
              <w:top w:val="nil"/>
              <w:left w:val="nil"/>
              <w:bottom w:val="single" w:sz="4" w:space="0" w:color="auto"/>
              <w:right w:val="single" w:sz="4" w:space="0" w:color="auto"/>
            </w:tcBorders>
            <w:shd w:val="clear" w:color="auto" w:fill="auto"/>
            <w:noWrap/>
            <w:vAlign w:val="center"/>
            <w:hideMark/>
          </w:tcPr>
          <w:p w14:paraId="0B8B339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646DA5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733BF3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73C231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91BB97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3,004</w:t>
            </w:r>
          </w:p>
        </w:tc>
        <w:tc>
          <w:tcPr>
            <w:tcW w:w="933" w:type="dxa"/>
            <w:tcBorders>
              <w:top w:val="nil"/>
              <w:left w:val="nil"/>
              <w:bottom w:val="single" w:sz="4" w:space="0" w:color="auto"/>
              <w:right w:val="single" w:sz="4" w:space="0" w:color="auto"/>
            </w:tcBorders>
            <w:shd w:val="clear" w:color="auto" w:fill="auto"/>
            <w:noWrap/>
            <w:vAlign w:val="center"/>
            <w:hideMark/>
          </w:tcPr>
          <w:p w14:paraId="57A80C2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4E8591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3,004</w:t>
            </w:r>
          </w:p>
        </w:tc>
        <w:tc>
          <w:tcPr>
            <w:tcW w:w="933" w:type="dxa"/>
            <w:tcBorders>
              <w:top w:val="nil"/>
              <w:left w:val="nil"/>
              <w:bottom w:val="single" w:sz="4" w:space="0" w:color="auto"/>
              <w:right w:val="single" w:sz="4" w:space="0" w:color="auto"/>
            </w:tcBorders>
            <w:shd w:val="clear" w:color="auto" w:fill="auto"/>
            <w:noWrap/>
            <w:vAlign w:val="center"/>
            <w:hideMark/>
          </w:tcPr>
          <w:p w14:paraId="40AF98E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B89E14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39481A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533F2FE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A1E506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2,159</w:t>
            </w:r>
          </w:p>
        </w:tc>
        <w:tc>
          <w:tcPr>
            <w:tcW w:w="933" w:type="dxa"/>
            <w:tcBorders>
              <w:top w:val="nil"/>
              <w:left w:val="nil"/>
              <w:bottom w:val="single" w:sz="4" w:space="0" w:color="auto"/>
              <w:right w:val="single" w:sz="4" w:space="0" w:color="auto"/>
            </w:tcBorders>
            <w:shd w:val="clear" w:color="auto" w:fill="auto"/>
            <w:noWrap/>
            <w:vAlign w:val="center"/>
            <w:hideMark/>
          </w:tcPr>
          <w:p w14:paraId="37FFF0F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0CCE4C3"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2,159</w:t>
            </w:r>
          </w:p>
        </w:tc>
      </w:tr>
      <w:tr w:rsidR="008428AF" w:rsidRPr="00AB625A" w14:paraId="510778F1"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BF1F4A5"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Gippsland Women'S Health Service Inc</w:t>
            </w:r>
          </w:p>
        </w:tc>
        <w:tc>
          <w:tcPr>
            <w:tcW w:w="1079" w:type="dxa"/>
            <w:tcBorders>
              <w:top w:val="nil"/>
              <w:left w:val="nil"/>
              <w:bottom w:val="single" w:sz="4" w:space="0" w:color="auto"/>
              <w:right w:val="single" w:sz="4" w:space="0" w:color="auto"/>
            </w:tcBorders>
            <w:shd w:val="clear" w:color="auto" w:fill="auto"/>
            <w:noWrap/>
            <w:vAlign w:val="center"/>
            <w:hideMark/>
          </w:tcPr>
          <w:p w14:paraId="7C43159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4A1004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F9562E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10075C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9B3848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639</w:t>
            </w:r>
          </w:p>
        </w:tc>
        <w:tc>
          <w:tcPr>
            <w:tcW w:w="933" w:type="dxa"/>
            <w:tcBorders>
              <w:top w:val="nil"/>
              <w:left w:val="nil"/>
              <w:bottom w:val="single" w:sz="4" w:space="0" w:color="auto"/>
              <w:right w:val="single" w:sz="4" w:space="0" w:color="auto"/>
            </w:tcBorders>
            <w:shd w:val="clear" w:color="auto" w:fill="auto"/>
            <w:noWrap/>
            <w:vAlign w:val="center"/>
            <w:hideMark/>
          </w:tcPr>
          <w:p w14:paraId="06EEEC3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686</w:t>
            </w:r>
          </w:p>
        </w:tc>
        <w:tc>
          <w:tcPr>
            <w:tcW w:w="934" w:type="dxa"/>
            <w:tcBorders>
              <w:top w:val="nil"/>
              <w:left w:val="nil"/>
              <w:bottom w:val="single" w:sz="4" w:space="0" w:color="auto"/>
              <w:right w:val="single" w:sz="4" w:space="0" w:color="auto"/>
            </w:tcBorders>
            <w:shd w:val="clear" w:color="auto" w:fill="auto"/>
            <w:noWrap/>
            <w:vAlign w:val="center"/>
            <w:hideMark/>
          </w:tcPr>
          <w:p w14:paraId="16E9631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1,325</w:t>
            </w:r>
          </w:p>
        </w:tc>
        <w:tc>
          <w:tcPr>
            <w:tcW w:w="933" w:type="dxa"/>
            <w:tcBorders>
              <w:top w:val="nil"/>
              <w:left w:val="nil"/>
              <w:bottom w:val="single" w:sz="4" w:space="0" w:color="auto"/>
              <w:right w:val="single" w:sz="4" w:space="0" w:color="auto"/>
            </w:tcBorders>
            <w:shd w:val="clear" w:color="auto" w:fill="auto"/>
            <w:noWrap/>
            <w:vAlign w:val="center"/>
            <w:hideMark/>
          </w:tcPr>
          <w:p w14:paraId="128AF9B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899C5B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E42726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162B44A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4F5FB8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654</w:t>
            </w:r>
          </w:p>
        </w:tc>
        <w:tc>
          <w:tcPr>
            <w:tcW w:w="933" w:type="dxa"/>
            <w:tcBorders>
              <w:top w:val="nil"/>
              <w:left w:val="nil"/>
              <w:bottom w:val="single" w:sz="4" w:space="0" w:color="auto"/>
              <w:right w:val="single" w:sz="4" w:space="0" w:color="auto"/>
            </w:tcBorders>
            <w:shd w:val="clear" w:color="auto" w:fill="auto"/>
            <w:noWrap/>
            <w:vAlign w:val="center"/>
            <w:hideMark/>
          </w:tcPr>
          <w:p w14:paraId="3BBF7F1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709</w:t>
            </w:r>
          </w:p>
        </w:tc>
        <w:tc>
          <w:tcPr>
            <w:tcW w:w="934" w:type="dxa"/>
            <w:tcBorders>
              <w:top w:val="nil"/>
              <w:left w:val="nil"/>
              <w:bottom w:val="single" w:sz="4" w:space="0" w:color="auto"/>
              <w:right w:val="single" w:sz="4" w:space="0" w:color="auto"/>
            </w:tcBorders>
            <w:shd w:val="clear" w:color="auto" w:fill="auto"/>
            <w:noWrap/>
            <w:vAlign w:val="center"/>
            <w:hideMark/>
          </w:tcPr>
          <w:p w14:paraId="3C7AE09B"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1,363</w:t>
            </w:r>
          </w:p>
        </w:tc>
      </w:tr>
      <w:tr w:rsidR="008428AF" w:rsidRPr="00AB625A" w14:paraId="604A9B37"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6B79F34"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Grow</w:t>
            </w:r>
          </w:p>
        </w:tc>
        <w:tc>
          <w:tcPr>
            <w:tcW w:w="1079" w:type="dxa"/>
            <w:tcBorders>
              <w:top w:val="nil"/>
              <w:left w:val="nil"/>
              <w:bottom w:val="single" w:sz="4" w:space="0" w:color="auto"/>
              <w:right w:val="single" w:sz="4" w:space="0" w:color="auto"/>
            </w:tcBorders>
            <w:shd w:val="clear" w:color="auto" w:fill="auto"/>
            <w:noWrap/>
            <w:vAlign w:val="center"/>
            <w:hideMark/>
          </w:tcPr>
          <w:p w14:paraId="6D6345B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4763D5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71B435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BF31E3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973</w:t>
            </w:r>
          </w:p>
        </w:tc>
        <w:tc>
          <w:tcPr>
            <w:tcW w:w="933" w:type="dxa"/>
            <w:tcBorders>
              <w:top w:val="nil"/>
              <w:left w:val="nil"/>
              <w:bottom w:val="single" w:sz="4" w:space="0" w:color="auto"/>
              <w:right w:val="single" w:sz="4" w:space="0" w:color="auto"/>
            </w:tcBorders>
            <w:shd w:val="clear" w:color="auto" w:fill="auto"/>
            <w:noWrap/>
            <w:vAlign w:val="center"/>
            <w:hideMark/>
          </w:tcPr>
          <w:p w14:paraId="08DA49D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94FA99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02A536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973</w:t>
            </w:r>
          </w:p>
        </w:tc>
        <w:tc>
          <w:tcPr>
            <w:tcW w:w="933" w:type="dxa"/>
            <w:tcBorders>
              <w:top w:val="nil"/>
              <w:left w:val="nil"/>
              <w:bottom w:val="single" w:sz="4" w:space="0" w:color="auto"/>
              <w:right w:val="single" w:sz="4" w:space="0" w:color="auto"/>
            </w:tcBorders>
            <w:shd w:val="clear" w:color="auto" w:fill="auto"/>
            <w:noWrap/>
            <w:vAlign w:val="center"/>
            <w:hideMark/>
          </w:tcPr>
          <w:p w14:paraId="32CDB9A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95840D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9BB632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54D77EB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1,006</w:t>
            </w:r>
          </w:p>
        </w:tc>
        <w:tc>
          <w:tcPr>
            <w:tcW w:w="933" w:type="dxa"/>
            <w:tcBorders>
              <w:top w:val="nil"/>
              <w:left w:val="nil"/>
              <w:bottom w:val="single" w:sz="4" w:space="0" w:color="auto"/>
              <w:right w:val="single" w:sz="4" w:space="0" w:color="auto"/>
            </w:tcBorders>
            <w:shd w:val="clear" w:color="auto" w:fill="auto"/>
            <w:noWrap/>
            <w:vAlign w:val="center"/>
            <w:hideMark/>
          </w:tcPr>
          <w:p w14:paraId="6A264C5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A4B6F1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AF2664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1,006</w:t>
            </w:r>
          </w:p>
        </w:tc>
      </w:tr>
      <w:tr w:rsidR="008428AF" w:rsidRPr="00AB625A" w14:paraId="2AEB37F2"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9317CA0"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Gunditjmara Aboriginal Co-Operative Limited</w:t>
            </w:r>
          </w:p>
        </w:tc>
        <w:tc>
          <w:tcPr>
            <w:tcW w:w="1079" w:type="dxa"/>
            <w:tcBorders>
              <w:top w:val="nil"/>
              <w:left w:val="nil"/>
              <w:bottom w:val="single" w:sz="4" w:space="0" w:color="auto"/>
              <w:right w:val="single" w:sz="4" w:space="0" w:color="auto"/>
            </w:tcBorders>
            <w:shd w:val="clear" w:color="auto" w:fill="auto"/>
            <w:noWrap/>
            <w:vAlign w:val="center"/>
            <w:hideMark/>
          </w:tcPr>
          <w:p w14:paraId="6A86D25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269</w:t>
            </w:r>
          </w:p>
        </w:tc>
        <w:tc>
          <w:tcPr>
            <w:tcW w:w="933" w:type="dxa"/>
            <w:tcBorders>
              <w:top w:val="nil"/>
              <w:left w:val="nil"/>
              <w:bottom w:val="single" w:sz="4" w:space="0" w:color="auto"/>
              <w:right w:val="single" w:sz="4" w:space="0" w:color="auto"/>
            </w:tcBorders>
            <w:shd w:val="clear" w:color="auto" w:fill="auto"/>
            <w:noWrap/>
            <w:vAlign w:val="center"/>
            <w:hideMark/>
          </w:tcPr>
          <w:p w14:paraId="513FAFF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126</w:t>
            </w:r>
          </w:p>
        </w:tc>
        <w:tc>
          <w:tcPr>
            <w:tcW w:w="933" w:type="dxa"/>
            <w:tcBorders>
              <w:top w:val="nil"/>
              <w:left w:val="nil"/>
              <w:bottom w:val="single" w:sz="4" w:space="0" w:color="auto"/>
              <w:right w:val="single" w:sz="4" w:space="0" w:color="auto"/>
            </w:tcBorders>
            <w:shd w:val="clear" w:color="auto" w:fill="auto"/>
            <w:noWrap/>
            <w:vAlign w:val="center"/>
            <w:hideMark/>
          </w:tcPr>
          <w:p w14:paraId="134D78B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452</w:t>
            </w:r>
          </w:p>
        </w:tc>
        <w:tc>
          <w:tcPr>
            <w:tcW w:w="934" w:type="dxa"/>
            <w:tcBorders>
              <w:top w:val="nil"/>
              <w:left w:val="nil"/>
              <w:bottom w:val="single" w:sz="4" w:space="0" w:color="auto"/>
              <w:right w:val="single" w:sz="4" w:space="0" w:color="auto"/>
            </w:tcBorders>
            <w:shd w:val="clear" w:color="auto" w:fill="auto"/>
            <w:noWrap/>
            <w:vAlign w:val="center"/>
            <w:hideMark/>
          </w:tcPr>
          <w:p w14:paraId="1E1C8E8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73</w:t>
            </w:r>
          </w:p>
        </w:tc>
        <w:tc>
          <w:tcPr>
            <w:tcW w:w="933" w:type="dxa"/>
            <w:tcBorders>
              <w:top w:val="nil"/>
              <w:left w:val="nil"/>
              <w:bottom w:val="single" w:sz="4" w:space="0" w:color="auto"/>
              <w:right w:val="single" w:sz="4" w:space="0" w:color="auto"/>
            </w:tcBorders>
            <w:shd w:val="clear" w:color="auto" w:fill="auto"/>
            <w:noWrap/>
            <w:vAlign w:val="center"/>
            <w:hideMark/>
          </w:tcPr>
          <w:p w14:paraId="48946B3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489</w:t>
            </w:r>
          </w:p>
        </w:tc>
        <w:tc>
          <w:tcPr>
            <w:tcW w:w="933" w:type="dxa"/>
            <w:tcBorders>
              <w:top w:val="nil"/>
              <w:left w:val="nil"/>
              <w:bottom w:val="single" w:sz="4" w:space="0" w:color="auto"/>
              <w:right w:val="single" w:sz="4" w:space="0" w:color="auto"/>
            </w:tcBorders>
            <w:shd w:val="clear" w:color="auto" w:fill="auto"/>
            <w:noWrap/>
            <w:vAlign w:val="center"/>
            <w:hideMark/>
          </w:tcPr>
          <w:p w14:paraId="00E11FB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789FB41"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1,409</w:t>
            </w:r>
          </w:p>
        </w:tc>
        <w:tc>
          <w:tcPr>
            <w:tcW w:w="933" w:type="dxa"/>
            <w:tcBorders>
              <w:top w:val="nil"/>
              <w:left w:val="nil"/>
              <w:bottom w:val="single" w:sz="4" w:space="0" w:color="auto"/>
              <w:right w:val="single" w:sz="4" w:space="0" w:color="auto"/>
            </w:tcBorders>
            <w:shd w:val="clear" w:color="auto" w:fill="auto"/>
            <w:noWrap/>
            <w:vAlign w:val="center"/>
            <w:hideMark/>
          </w:tcPr>
          <w:p w14:paraId="6378D5A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275</w:t>
            </w:r>
          </w:p>
        </w:tc>
        <w:tc>
          <w:tcPr>
            <w:tcW w:w="933" w:type="dxa"/>
            <w:tcBorders>
              <w:top w:val="nil"/>
              <w:left w:val="nil"/>
              <w:bottom w:val="single" w:sz="4" w:space="0" w:color="auto"/>
              <w:right w:val="single" w:sz="4" w:space="0" w:color="auto"/>
            </w:tcBorders>
            <w:shd w:val="clear" w:color="auto" w:fill="auto"/>
            <w:noWrap/>
            <w:vAlign w:val="center"/>
            <w:hideMark/>
          </w:tcPr>
          <w:p w14:paraId="2DA9B30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129</w:t>
            </w:r>
          </w:p>
        </w:tc>
        <w:tc>
          <w:tcPr>
            <w:tcW w:w="933" w:type="dxa"/>
            <w:tcBorders>
              <w:top w:val="nil"/>
              <w:left w:val="nil"/>
              <w:bottom w:val="single" w:sz="4" w:space="0" w:color="auto"/>
              <w:right w:val="single" w:sz="4" w:space="0" w:color="auto"/>
            </w:tcBorders>
            <w:shd w:val="clear" w:color="auto" w:fill="auto"/>
            <w:noWrap/>
            <w:vAlign w:val="center"/>
            <w:hideMark/>
          </w:tcPr>
          <w:p w14:paraId="6245C5F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467</w:t>
            </w:r>
          </w:p>
        </w:tc>
        <w:tc>
          <w:tcPr>
            <w:tcW w:w="934" w:type="dxa"/>
            <w:tcBorders>
              <w:top w:val="nil"/>
              <w:left w:val="nil"/>
              <w:bottom w:val="single" w:sz="4" w:space="0" w:color="auto"/>
              <w:right w:val="single" w:sz="4" w:space="0" w:color="auto"/>
            </w:tcBorders>
            <w:shd w:val="clear" w:color="auto" w:fill="auto"/>
            <w:noWrap/>
            <w:vAlign w:val="center"/>
            <w:hideMark/>
          </w:tcPr>
          <w:p w14:paraId="29C89E4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76</w:t>
            </w:r>
          </w:p>
        </w:tc>
        <w:tc>
          <w:tcPr>
            <w:tcW w:w="933" w:type="dxa"/>
            <w:tcBorders>
              <w:top w:val="nil"/>
              <w:left w:val="nil"/>
              <w:bottom w:val="single" w:sz="4" w:space="0" w:color="auto"/>
              <w:right w:val="single" w:sz="4" w:space="0" w:color="auto"/>
            </w:tcBorders>
            <w:shd w:val="clear" w:color="auto" w:fill="auto"/>
            <w:noWrap/>
            <w:vAlign w:val="center"/>
            <w:hideMark/>
          </w:tcPr>
          <w:p w14:paraId="106DB65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502</w:t>
            </w:r>
          </w:p>
        </w:tc>
        <w:tc>
          <w:tcPr>
            <w:tcW w:w="933" w:type="dxa"/>
            <w:tcBorders>
              <w:top w:val="nil"/>
              <w:left w:val="nil"/>
              <w:bottom w:val="single" w:sz="4" w:space="0" w:color="auto"/>
              <w:right w:val="single" w:sz="4" w:space="0" w:color="auto"/>
            </w:tcBorders>
            <w:shd w:val="clear" w:color="auto" w:fill="auto"/>
            <w:noWrap/>
            <w:vAlign w:val="center"/>
            <w:hideMark/>
          </w:tcPr>
          <w:p w14:paraId="5BF8A3D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CB3059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1,449</w:t>
            </w:r>
          </w:p>
        </w:tc>
      </w:tr>
      <w:tr w:rsidR="008428AF" w:rsidRPr="00AB625A" w14:paraId="7473C244"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1CCE0593"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Harm Reduction Victoria Inc</w:t>
            </w:r>
          </w:p>
        </w:tc>
        <w:tc>
          <w:tcPr>
            <w:tcW w:w="1079" w:type="dxa"/>
            <w:tcBorders>
              <w:top w:val="nil"/>
              <w:left w:val="nil"/>
              <w:bottom w:val="single" w:sz="4" w:space="0" w:color="auto"/>
              <w:right w:val="single" w:sz="4" w:space="0" w:color="auto"/>
            </w:tcBorders>
            <w:shd w:val="clear" w:color="auto" w:fill="auto"/>
            <w:noWrap/>
            <w:vAlign w:val="center"/>
            <w:hideMark/>
          </w:tcPr>
          <w:p w14:paraId="26B896E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281956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04D4B7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444</w:t>
            </w:r>
          </w:p>
        </w:tc>
        <w:tc>
          <w:tcPr>
            <w:tcW w:w="934" w:type="dxa"/>
            <w:tcBorders>
              <w:top w:val="nil"/>
              <w:left w:val="nil"/>
              <w:bottom w:val="single" w:sz="4" w:space="0" w:color="auto"/>
              <w:right w:val="single" w:sz="4" w:space="0" w:color="auto"/>
            </w:tcBorders>
            <w:shd w:val="clear" w:color="auto" w:fill="auto"/>
            <w:noWrap/>
            <w:vAlign w:val="center"/>
            <w:hideMark/>
          </w:tcPr>
          <w:p w14:paraId="0054CCC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041B3A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3951B8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757</w:t>
            </w:r>
          </w:p>
        </w:tc>
        <w:tc>
          <w:tcPr>
            <w:tcW w:w="934" w:type="dxa"/>
            <w:tcBorders>
              <w:top w:val="nil"/>
              <w:left w:val="nil"/>
              <w:bottom w:val="single" w:sz="4" w:space="0" w:color="auto"/>
              <w:right w:val="single" w:sz="4" w:space="0" w:color="auto"/>
            </w:tcBorders>
            <w:shd w:val="clear" w:color="auto" w:fill="auto"/>
            <w:noWrap/>
            <w:vAlign w:val="center"/>
            <w:hideMark/>
          </w:tcPr>
          <w:p w14:paraId="0A4EE65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1,200</w:t>
            </w:r>
          </w:p>
        </w:tc>
        <w:tc>
          <w:tcPr>
            <w:tcW w:w="933" w:type="dxa"/>
            <w:tcBorders>
              <w:top w:val="nil"/>
              <w:left w:val="nil"/>
              <w:bottom w:val="single" w:sz="4" w:space="0" w:color="auto"/>
              <w:right w:val="single" w:sz="4" w:space="0" w:color="auto"/>
            </w:tcBorders>
            <w:shd w:val="clear" w:color="auto" w:fill="auto"/>
            <w:noWrap/>
            <w:vAlign w:val="center"/>
            <w:hideMark/>
          </w:tcPr>
          <w:p w14:paraId="0FE648B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080F43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E25CA5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458</w:t>
            </w:r>
          </w:p>
        </w:tc>
        <w:tc>
          <w:tcPr>
            <w:tcW w:w="934" w:type="dxa"/>
            <w:tcBorders>
              <w:top w:val="nil"/>
              <w:left w:val="nil"/>
              <w:bottom w:val="single" w:sz="4" w:space="0" w:color="auto"/>
              <w:right w:val="single" w:sz="4" w:space="0" w:color="auto"/>
            </w:tcBorders>
            <w:shd w:val="clear" w:color="auto" w:fill="auto"/>
            <w:noWrap/>
            <w:vAlign w:val="center"/>
            <w:hideMark/>
          </w:tcPr>
          <w:p w14:paraId="4AD0DFD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A294D8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D90BE0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782</w:t>
            </w:r>
          </w:p>
        </w:tc>
        <w:tc>
          <w:tcPr>
            <w:tcW w:w="934" w:type="dxa"/>
            <w:tcBorders>
              <w:top w:val="nil"/>
              <w:left w:val="nil"/>
              <w:bottom w:val="single" w:sz="4" w:space="0" w:color="auto"/>
              <w:right w:val="single" w:sz="4" w:space="0" w:color="auto"/>
            </w:tcBorders>
            <w:shd w:val="clear" w:color="auto" w:fill="auto"/>
            <w:noWrap/>
            <w:vAlign w:val="center"/>
            <w:hideMark/>
          </w:tcPr>
          <w:p w14:paraId="24D758BB"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1,240</w:t>
            </w:r>
          </w:p>
        </w:tc>
      </w:tr>
      <w:tr w:rsidR="008428AF" w:rsidRPr="00AB625A" w14:paraId="34369518"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17F09DB9"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Hepatitis Victoria Inc</w:t>
            </w:r>
          </w:p>
        </w:tc>
        <w:tc>
          <w:tcPr>
            <w:tcW w:w="1079" w:type="dxa"/>
            <w:tcBorders>
              <w:top w:val="nil"/>
              <w:left w:val="nil"/>
              <w:bottom w:val="single" w:sz="4" w:space="0" w:color="auto"/>
              <w:right w:val="single" w:sz="4" w:space="0" w:color="auto"/>
            </w:tcBorders>
            <w:shd w:val="clear" w:color="auto" w:fill="auto"/>
            <w:noWrap/>
            <w:vAlign w:val="center"/>
            <w:hideMark/>
          </w:tcPr>
          <w:p w14:paraId="04DF6EC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AAA182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A6D185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64B6D5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6AF65A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1DA609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1,547</w:t>
            </w:r>
          </w:p>
        </w:tc>
        <w:tc>
          <w:tcPr>
            <w:tcW w:w="934" w:type="dxa"/>
            <w:tcBorders>
              <w:top w:val="nil"/>
              <w:left w:val="nil"/>
              <w:bottom w:val="single" w:sz="4" w:space="0" w:color="auto"/>
              <w:right w:val="single" w:sz="4" w:space="0" w:color="auto"/>
            </w:tcBorders>
            <w:shd w:val="clear" w:color="auto" w:fill="auto"/>
            <w:noWrap/>
            <w:vAlign w:val="center"/>
            <w:hideMark/>
          </w:tcPr>
          <w:p w14:paraId="11B9A821"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1,547</w:t>
            </w:r>
          </w:p>
        </w:tc>
        <w:tc>
          <w:tcPr>
            <w:tcW w:w="933" w:type="dxa"/>
            <w:tcBorders>
              <w:top w:val="nil"/>
              <w:left w:val="nil"/>
              <w:bottom w:val="single" w:sz="4" w:space="0" w:color="auto"/>
              <w:right w:val="single" w:sz="4" w:space="0" w:color="auto"/>
            </w:tcBorders>
            <w:shd w:val="clear" w:color="auto" w:fill="auto"/>
            <w:noWrap/>
            <w:vAlign w:val="center"/>
            <w:hideMark/>
          </w:tcPr>
          <w:p w14:paraId="1A73B0D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353DA1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2E2376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5B73B00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035A97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5B2B2F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1,598</w:t>
            </w:r>
          </w:p>
        </w:tc>
        <w:tc>
          <w:tcPr>
            <w:tcW w:w="934" w:type="dxa"/>
            <w:tcBorders>
              <w:top w:val="nil"/>
              <w:left w:val="nil"/>
              <w:bottom w:val="single" w:sz="4" w:space="0" w:color="auto"/>
              <w:right w:val="single" w:sz="4" w:space="0" w:color="auto"/>
            </w:tcBorders>
            <w:shd w:val="clear" w:color="auto" w:fill="auto"/>
            <w:noWrap/>
            <w:vAlign w:val="center"/>
            <w:hideMark/>
          </w:tcPr>
          <w:p w14:paraId="53886FD1"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1,598</w:t>
            </w:r>
          </w:p>
        </w:tc>
      </w:tr>
      <w:tr w:rsidR="008428AF" w:rsidRPr="00AB625A" w14:paraId="4A3EE260"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D029056"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Hudson Institute Of Medical Research</w:t>
            </w:r>
          </w:p>
        </w:tc>
        <w:tc>
          <w:tcPr>
            <w:tcW w:w="1079" w:type="dxa"/>
            <w:tcBorders>
              <w:top w:val="nil"/>
              <w:left w:val="nil"/>
              <w:bottom w:val="single" w:sz="4" w:space="0" w:color="auto"/>
              <w:right w:val="single" w:sz="4" w:space="0" w:color="auto"/>
            </w:tcBorders>
            <w:shd w:val="clear" w:color="auto" w:fill="auto"/>
            <w:noWrap/>
            <w:vAlign w:val="center"/>
            <w:hideMark/>
          </w:tcPr>
          <w:p w14:paraId="56680C2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0A831D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F8D5CA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D2922A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E23375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80FA46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B22F76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 </w:t>
            </w:r>
          </w:p>
        </w:tc>
        <w:tc>
          <w:tcPr>
            <w:tcW w:w="933" w:type="dxa"/>
            <w:tcBorders>
              <w:top w:val="nil"/>
              <w:left w:val="nil"/>
              <w:bottom w:val="single" w:sz="4" w:space="0" w:color="auto"/>
              <w:right w:val="single" w:sz="4" w:space="0" w:color="auto"/>
            </w:tcBorders>
            <w:shd w:val="clear" w:color="auto" w:fill="auto"/>
            <w:noWrap/>
            <w:vAlign w:val="center"/>
            <w:hideMark/>
          </w:tcPr>
          <w:p w14:paraId="677A318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5CA5B8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F2674A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11561B5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F64797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C94399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1,417</w:t>
            </w:r>
          </w:p>
        </w:tc>
        <w:tc>
          <w:tcPr>
            <w:tcW w:w="934" w:type="dxa"/>
            <w:tcBorders>
              <w:top w:val="nil"/>
              <w:left w:val="nil"/>
              <w:bottom w:val="single" w:sz="4" w:space="0" w:color="auto"/>
              <w:right w:val="single" w:sz="4" w:space="0" w:color="auto"/>
            </w:tcBorders>
            <w:shd w:val="clear" w:color="auto" w:fill="auto"/>
            <w:noWrap/>
            <w:vAlign w:val="center"/>
            <w:hideMark/>
          </w:tcPr>
          <w:p w14:paraId="1D726FFC"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1,417</w:t>
            </w:r>
          </w:p>
        </w:tc>
      </w:tr>
      <w:tr w:rsidR="008428AF" w:rsidRPr="00AB625A" w14:paraId="2DE9DEE2"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697F4FD2"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Integrated Clinical Oncology Network Pty Ltd</w:t>
            </w:r>
          </w:p>
        </w:tc>
        <w:tc>
          <w:tcPr>
            <w:tcW w:w="1079" w:type="dxa"/>
            <w:tcBorders>
              <w:top w:val="nil"/>
              <w:left w:val="nil"/>
              <w:bottom w:val="single" w:sz="4" w:space="0" w:color="auto"/>
              <w:right w:val="single" w:sz="4" w:space="0" w:color="auto"/>
            </w:tcBorders>
            <w:shd w:val="clear" w:color="auto" w:fill="auto"/>
            <w:noWrap/>
            <w:vAlign w:val="center"/>
            <w:hideMark/>
          </w:tcPr>
          <w:p w14:paraId="5426080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1,729</w:t>
            </w:r>
          </w:p>
        </w:tc>
        <w:tc>
          <w:tcPr>
            <w:tcW w:w="933" w:type="dxa"/>
            <w:tcBorders>
              <w:top w:val="nil"/>
              <w:left w:val="nil"/>
              <w:bottom w:val="single" w:sz="4" w:space="0" w:color="auto"/>
              <w:right w:val="single" w:sz="4" w:space="0" w:color="auto"/>
            </w:tcBorders>
            <w:shd w:val="clear" w:color="auto" w:fill="auto"/>
            <w:noWrap/>
            <w:vAlign w:val="center"/>
            <w:hideMark/>
          </w:tcPr>
          <w:p w14:paraId="520FAF9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ED1128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5C0552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E8F950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555220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E085E4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1,729</w:t>
            </w:r>
          </w:p>
        </w:tc>
        <w:tc>
          <w:tcPr>
            <w:tcW w:w="933" w:type="dxa"/>
            <w:tcBorders>
              <w:top w:val="nil"/>
              <w:left w:val="nil"/>
              <w:bottom w:val="single" w:sz="4" w:space="0" w:color="auto"/>
              <w:right w:val="single" w:sz="4" w:space="0" w:color="auto"/>
            </w:tcBorders>
            <w:shd w:val="clear" w:color="auto" w:fill="auto"/>
            <w:noWrap/>
            <w:vAlign w:val="center"/>
            <w:hideMark/>
          </w:tcPr>
          <w:p w14:paraId="2216D3C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0C6E2B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8F5530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067E789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CE47B1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453EDF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2DCDBD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0 </w:t>
            </w:r>
          </w:p>
        </w:tc>
      </w:tr>
      <w:tr w:rsidR="008428AF" w:rsidRPr="00AB625A" w14:paraId="70804BD3"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018448B"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Jesuit Social Services Limited</w:t>
            </w:r>
          </w:p>
        </w:tc>
        <w:tc>
          <w:tcPr>
            <w:tcW w:w="1079" w:type="dxa"/>
            <w:tcBorders>
              <w:top w:val="nil"/>
              <w:left w:val="nil"/>
              <w:bottom w:val="single" w:sz="4" w:space="0" w:color="auto"/>
              <w:right w:val="single" w:sz="4" w:space="0" w:color="auto"/>
            </w:tcBorders>
            <w:shd w:val="clear" w:color="auto" w:fill="auto"/>
            <w:noWrap/>
            <w:vAlign w:val="center"/>
            <w:hideMark/>
          </w:tcPr>
          <w:p w14:paraId="3E0A441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AE2032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BA0323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365</w:t>
            </w:r>
          </w:p>
        </w:tc>
        <w:tc>
          <w:tcPr>
            <w:tcW w:w="934" w:type="dxa"/>
            <w:tcBorders>
              <w:top w:val="nil"/>
              <w:left w:val="nil"/>
              <w:bottom w:val="single" w:sz="4" w:space="0" w:color="auto"/>
              <w:right w:val="single" w:sz="4" w:space="0" w:color="auto"/>
            </w:tcBorders>
            <w:shd w:val="clear" w:color="auto" w:fill="auto"/>
            <w:noWrap/>
            <w:vAlign w:val="center"/>
            <w:hideMark/>
          </w:tcPr>
          <w:p w14:paraId="0BB2EDD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1,523</w:t>
            </w:r>
          </w:p>
        </w:tc>
        <w:tc>
          <w:tcPr>
            <w:tcW w:w="933" w:type="dxa"/>
            <w:tcBorders>
              <w:top w:val="nil"/>
              <w:left w:val="nil"/>
              <w:bottom w:val="single" w:sz="4" w:space="0" w:color="auto"/>
              <w:right w:val="single" w:sz="4" w:space="0" w:color="auto"/>
            </w:tcBorders>
            <w:shd w:val="clear" w:color="auto" w:fill="auto"/>
            <w:noWrap/>
            <w:vAlign w:val="center"/>
            <w:hideMark/>
          </w:tcPr>
          <w:p w14:paraId="6A5A97E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083955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3046167"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1,888</w:t>
            </w:r>
          </w:p>
        </w:tc>
        <w:tc>
          <w:tcPr>
            <w:tcW w:w="933" w:type="dxa"/>
            <w:tcBorders>
              <w:top w:val="nil"/>
              <w:left w:val="nil"/>
              <w:bottom w:val="single" w:sz="4" w:space="0" w:color="auto"/>
              <w:right w:val="single" w:sz="4" w:space="0" w:color="auto"/>
            </w:tcBorders>
            <w:shd w:val="clear" w:color="auto" w:fill="auto"/>
            <w:noWrap/>
            <w:vAlign w:val="center"/>
            <w:hideMark/>
          </w:tcPr>
          <w:p w14:paraId="1A19748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D97224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A0BA89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377</w:t>
            </w:r>
          </w:p>
        </w:tc>
        <w:tc>
          <w:tcPr>
            <w:tcW w:w="934" w:type="dxa"/>
            <w:tcBorders>
              <w:top w:val="nil"/>
              <w:left w:val="nil"/>
              <w:bottom w:val="single" w:sz="4" w:space="0" w:color="auto"/>
              <w:right w:val="single" w:sz="4" w:space="0" w:color="auto"/>
            </w:tcBorders>
            <w:shd w:val="clear" w:color="auto" w:fill="auto"/>
            <w:noWrap/>
            <w:vAlign w:val="center"/>
            <w:hideMark/>
          </w:tcPr>
          <w:p w14:paraId="7C502AD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3,389</w:t>
            </w:r>
          </w:p>
        </w:tc>
        <w:tc>
          <w:tcPr>
            <w:tcW w:w="933" w:type="dxa"/>
            <w:tcBorders>
              <w:top w:val="nil"/>
              <w:left w:val="nil"/>
              <w:bottom w:val="single" w:sz="4" w:space="0" w:color="auto"/>
              <w:right w:val="single" w:sz="4" w:space="0" w:color="auto"/>
            </w:tcBorders>
            <w:shd w:val="clear" w:color="auto" w:fill="auto"/>
            <w:noWrap/>
            <w:vAlign w:val="center"/>
            <w:hideMark/>
          </w:tcPr>
          <w:p w14:paraId="2A88162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1C5C76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B809FD3"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3,766</w:t>
            </w:r>
          </w:p>
        </w:tc>
      </w:tr>
      <w:tr w:rsidR="008428AF" w:rsidRPr="00AB625A" w14:paraId="407E060F"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4E9C642"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La Trobe University</w:t>
            </w:r>
          </w:p>
        </w:tc>
        <w:tc>
          <w:tcPr>
            <w:tcW w:w="1079" w:type="dxa"/>
            <w:tcBorders>
              <w:top w:val="nil"/>
              <w:left w:val="nil"/>
              <w:bottom w:val="single" w:sz="4" w:space="0" w:color="auto"/>
              <w:right w:val="single" w:sz="4" w:space="0" w:color="auto"/>
            </w:tcBorders>
            <w:shd w:val="clear" w:color="auto" w:fill="auto"/>
            <w:noWrap/>
            <w:vAlign w:val="center"/>
            <w:hideMark/>
          </w:tcPr>
          <w:p w14:paraId="176774F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3,614</w:t>
            </w:r>
          </w:p>
        </w:tc>
        <w:tc>
          <w:tcPr>
            <w:tcW w:w="933" w:type="dxa"/>
            <w:tcBorders>
              <w:top w:val="nil"/>
              <w:left w:val="nil"/>
              <w:bottom w:val="single" w:sz="4" w:space="0" w:color="auto"/>
              <w:right w:val="single" w:sz="4" w:space="0" w:color="auto"/>
            </w:tcBorders>
            <w:shd w:val="clear" w:color="auto" w:fill="auto"/>
            <w:noWrap/>
            <w:vAlign w:val="center"/>
            <w:hideMark/>
          </w:tcPr>
          <w:p w14:paraId="76FF214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726</w:t>
            </w:r>
          </w:p>
        </w:tc>
        <w:tc>
          <w:tcPr>
            <w:tcW w:w="933" w:type="dxa"/>
            <w:tcBorders>
              <w:top w:val="nil"/>
              <w:left w:val="nil"/>
              <w:bottom w:val="single" w:sz="4" w:space="0" w:color="auto"/>
              <w:right w:val="single" w:sz="4" w:space="0" w:color="auto"/>
            </w:tcBorders>
            <w:shd w:val="clear" w:color="auto" w:fill="auto"/>
            <w:noWrap/>
            <w:vAlign w:val="center"/>
            <w:hideMark/>
          </w:tcPr>
          <w:p w14:paraId="34ABF90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47C8A5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2,966</w:t>
            </w:r>
          </w:p>
        </w:tc>
        <w:tc>
          <w:tcPr>
            <w:tcW w:w="933" w:type="dxa"/>
            <w:tcBorders>
              <w:top w:val="nil"/>
              <w:left w:val="nil"/>
              <w:bottom w:val="single" w:sz="4" w:space="0" w:color="auto"/>
              <w:right w:val="single" w:sz="4" w:space="0" w:color="auto"/>
            </w:tcBorders>
            <w:shd w:val="clear" w:color="auto" w:fill="auto"/>
            <w:noWrap/>
            <w:vAlign w:val="center"/>
            <w:hideMark/>
          </w:tcPr>
          <w:p w14:paraId="78D3B91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764</w:t>
            </w:r>
          </w:p>
        </w:tc>
        <w:tc>
          <w:tcPr>
            <w:tcW w:w="933" w:type="dxa"/>
            <w:tcBorders>
              <w:top w:val="nil"/>
              <w:left w:val="nil"/>
              <w:bottom w:val="single" w:sz="4" w:space="0" w:color="auto"/>
              <w:right w:val="single" w:sz="4" w:space="0" w:color="auto"/>
            </w:tcBorders>
            <w:shd w:val="clear" w:color="auto" w:fill="auto"/>
            <w:noWrap/>
            <w:vAlign w:val="center"/>
            <w:hideMark/>
          </w:tcPr>
          <w:p w14:paraId="6D709BD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409</w:t>
            </w:r>
          </w:p>
        </w:tc>
        <w:tc>
          <w:tcPr>
            <w:tcW w:w="934" w:type="dxa"/>
            <w:tcBorders>
              <w:top w:val="nil"/>
              <w:left w:val="nil"/>
              <w:bottom w:val="single" w:sz="4" w:space="0" w:color="auto"/>
              <w:right w:val="single" w:sz="4" w:space="0" w:color="auto"/>
            </w:tcBorders>
            <w:shd w:val="clear" w:color="auto" w:fill="auto"/>
            <w:noWrap/>
            <w:vAlign w:val="center"/>
            <w:hideMark/>
          </w:tcPr>
          <w:p w14:paraId="14187EE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8,480</w:t>
            </w:r>
          </w:p>
        </w:tc>
        <w:tc>
          <w:tcPr>
            <w:tcW w:w="933" w:type="dxa"/>
            <w:tcBorders>
              <w:top w:val="nil"/>
              <w:left w:val="nil"/>
              <w:bottom w:val="single" w:sz="4" w:space="0" w:color="auto"/>
              <w:right w:val="single" w:sz="4" w:space="0" w:color="auto"/>
            </w:tcBorders>
            <w:shd w:val="clear" w:color="auto" w:fill="auto"/>
            <w:noWrap/>
            <w:vAlign w:val="center"/>
            <w:hideMark/>
          </w:tcPr>
          <w:p w14:paraId="0AC8082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3,170</w:t>
            </w:r>
          </w:p>
        </w:tc>
        <w:tc>
          <w:tcPr>
            <w:tcW w:w="933" w:type="dxa"/>
            <w:tcBorders>
              <w:top w:val="nil"/>
              <w:left w:val="nil"/>
              <w:bottom w:val="single" w:sz="4" w:space="0" w:color="auto"/>
              <w:right w:val="single" w:sz="4" w:space="0" w:color="auto"/>
            </w:tcBorders>
            <w:shd w:val="clear" w:color="auto" w:fill="auto"/>
            <w:noWrap/>
            <w:vAlign w:val="center"/>
            <w:hideMark/>
          </w:tcPr>
          <w:p w14:paraId="36EDA38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1,354</w:t>
            </w:r>
          </w:p>
        </w:tc>
        <w:tc>
          <w:tcPr>
            <w:tcW w:w="933" w:type="dxa"/>
            <w:tcBorders>
              <w:top w:val="nil"/>
              <w:left w:val="nil"/>
              <w:bottom w:val="single" w:sz="4" w:space="0" w:color="auto"/>
              <w:right w:val="single" w:sz="4" w:space="0" w:color="auto"/>
            </w:tcBorders>
            <w:shd w:val="clear" w:color="auto" w:fill="auto"/>
            <w:noWrap/>
            <w:vAlign w:val="center"/>
            <w:hideMark/>
          </w:tcPr>
          <w:p w14:paraId="55A71FF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07827A9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3,056</w:t>
            </w:r>
          </w:p>
        </w:tc>
        <w:tc>
          <w:tcPr>
            <w:tcW w:w="933" w:type="dxa"/>
            <w:tcBorders>
              <w:top w:val="nil"/>
              <w:left w:val="nil"/>
              <w:bottom w:val="single" w:sz="4" w:space="0" w:color="auto"/>
              <w:right w:val="single" w:sz="4" w:space="0" w:color="auto"/>
            </w:tcBorders>
            <w:shd w:val="clear" w:color="auto" w:fill="auto"/>
            <w:noWrap/>
            <w:vAlign w:val="center"/>
            <w:hideMark/>
          </w:tcPr>
          <w:p w14:paraId="33A4976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811</w:t>
            </w:r>
          </w:p>
        </w:tc>
        <w:tc>
          <w:tcPr>
            <w:tcW w:w="933" w:type="dxa"/>
            <w:tcBorders>
              <w:top w:val="nil"/>
              <w:left w:val="nil"/>
              <w:bottom w:val="single" w:sz="4" w:space="0" w:color="auto"/>
              <w:right w:val="single" w:sz="4" w:space="0" w:color="auto"/>
            </w:tcBorders>
            <w:shd w:val="clear" w:color="auto" w:fill="auto"/>
            <w:noWrap/>
            <w:vAlign w:val="center"/>
            <w:hideMark/>
          </w:tcPr>
          <w:p w14:paraId="4C50B03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422</w:t>
            </w:r>
          </w:p>
        </w:tc>
        <w:tc>
          <w:tcPr>
            <w:tcW w:w="934" w:type="dxa"/>
            <w:tcBorders>
              <w:top w:val="nil"/>
              <w:left w:val="nil"/>
              <w:bottom w:val="single" w:sz="4" w:space="0" w:color="auto"/>
              <w:right w:val="single" w:sz="4" w:space="0" w:color="auto"/>
            </w:tcBorders>
            <w:shd w:val="clear" w:color="auto" w:fill="auto"/>
            <w:noWrap/>
            <w:vAlign w:val="center"/>
            <w:hideMark/>
          </w:tcPr>
          <w:p w14:paraId="4E8431F9"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8,812</w:t>
            </w:r>
          </w:p>
        </w:tc>
      </w:tr>
      <w:tr w:rsidR="008428AF" w:rsidRPr="00AB625A" w14:paraId="046EC4F2"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3DBB36CE"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Mcauley Community Services For Women</w:t>
            </w:r>
          </w:p>
        </w:tc>
        <w:tc>
          <w:tcPr>
            <w:tcW w:w="1079" w:type="dxa"/>
            <w:tcBorders>
              <w:top w:val="nil"/>
              <w:left w:val="nil"/>
              <w:bottom w:val="single" w:sz="4" w:space="0" w:color="auto"/>
              <w:right w:val="single" w:sz="4" w:space="0" w:color="auto"/>
            </w:tcBorders>
            <w:shd w:val="clear" w:color="auto" w:fill="auto"/>
            <w:noWrap/>
            <w:vAlign w:val="center"/>
            <w:hideMark/>
          </w:tcPr>
          <w:p w14:paraId="5232500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3" w:type="dxa"/>
            <w:tcBorders>
              <w:top w:val="nil"/>
              <w:left w:val="nil"/>
              <w:bottom w:val="single" w:sz="4" w:space="0" w:color="auto"/>
              <w:right w:val="single" w:sz="4" w:space="0" w:color="auto"/>
            </w:tcBorders>
            <w:shd w:val="clear" w:color="auto" w:fill="auto"/>
            <w:noWrap/>
            <w:vAlign w:val="center"/>
            <w:hideMark/>
          </w:tcPr>
          <w:p w14:paraId="6F34280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387</w:t>
            </w:r>
          </w:p>
        </w:tc>
        <w:tc>
          <w:tcPr>
            <w:tcW w:w="933" w:type="dxa"/>
            <w:tcBorders>
              <w:top w:val="nil"/>
              <w:left w:val="nil"/>
              <w:bottom w:val="single" w:sz="4" w:space="0" w:color="auto"/>
              <w:right w:val="single" w:sz="4" w:space="0" w:color="auto"/>
            </w:tcBorders>
            <w:shd w:val="clear" w:color="auto" w:fill="auto"/>
            <w:noWrap/>
            <w:vAlign w:val="center"/>
            <w:hideMark/>
          </w:tcPr>
          <w:p w14:paraId="3EF0837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BEF32E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1,013</w:t>
            </w:r>
          </w:p>
        </w:tc>
        <w:tc>
          <w:tcPr>
            <w:tcW w:w="933" w:type="dxa"/>
            <w:tcBorders>
              <w:top w:val="nil"/>
              <w:left w:val="nil"/>
              <w:bottom w:val="single" w:sz="4" w:space="0" w:color="auto"/>
              <w:right w:val="single" w:sz="4" w:space="0" w:color="auto"/>
            </w:tcBorders>
            <w:shd w:val="clear" w:color="auto" w:fill="auto"/>
            <w:noWrap/>
            <w:vAlign w:val="center"/>
            <w:hideMark/>
          </w:tcPr>
          <w:p w14:paraId="1281CD1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8A5FC7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2D44165"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1,400</w:t>
            </w:r>
          </w:p>
        </w:tc>
        <w:tc>
          <w:tcPr>
            <w:tcW w:w="933" w:type="dxa"/>
            <w:tcBorders>
              <w:top w:val="nil"/>
              <w:left w:val="nil"/>
              <w:bottom w:val="single" w:sz="4" w:space="0" w:color="auto"/>
              <w:right w:val="single" w:sz="4" w:space="0" w:color="auto"/>
            </w:tcBorders>
            <w:shd w:val="clear" w:color="auto" w:fill="auto"/>
            <w:noWrap/>
            <w:vAlign w:val="center"/>
            <w:hideMark/>
          </w:tcPr>
          <w:p w14:paraId="13DD8E7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5AE5B3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397</w:t>
            </w:r>
          </w:p>
        </w:tc>
        <w:tc>
          <w:tcPr>
            <w:tcW w:w="933" w:type="dxa"/>
            <w:tcBorders>
              <w:top w:val="nil"/>
              <w:left w:val="nil"/>
              <w:bottom w:val="single" w:sz="4" w:space="0" w:color="auto"/>
              <w:right w:val="single" w:sz="4" w:space="0" w:color="auto"/>
            </w:tcBorders>
            <w:shd w:val="clear" w:color="auto" w:fill="auto"/>
            <w:noWrap/>
            <w:vAlign w:val="center"/>
            <w:hideMark/>
          </w:tcPr>
          <w:p w14:paraId="7CEE48D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5C6D1D3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1,046</w:t>
            </w:r>
          </w:p>
        </w:tc>
        <w:tc>
          <w:tcPr>
            <w:tcW w:w="933" w:type="dxa"/>
            <w:tcBorders>
              <w:top w:val="nil"/>
              <w:left w:val="nil"/>
              <w:bottom w:val="single" w:sz="4" w:space="0" w:color="auto"/>
              <w:right w:val="single" w:sz="4" w:space="0" w:color="auto"/>
            </w:tcBorders>
            <w:shd w:val="clear" w:color="auto" w:fill="auto"/>
            <w:noWrap/>
            <w:vAlign w:val="center"/>
            <w:hideMark/>
          </w:tcPr>
          <w:p w14:paraId="6107DC1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59449C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4DE6FAB"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1,443</w:t>
            </w:r>
          </w:p>
        </w:tc>
      </w:tr>
      <w:tr w:rsidR="008428AF" w:rsidRPr="00AB625A" w14:paraId="2FE3ECBF"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88638E1"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Mecwa</w:t>
            </w:r>
          </w:p>
        </w:tc>
        <w:tc>
          <w:tcPr>
            <w:tcW w:w="1079" w:type="dxa"/>
            <w:tcBorders>
              <w:top w:val="nil"/>
              <w:left w:val="nil"/>
              <w:bottom w:val="single" w:sz="4" w:space="0" w:color="auto"/>
              <w:right w:val="single" w:sz="4" w:space="0" w:color="auto"/>
            </w:tcBorders>
            <w:shd w:val="clear" w:color="auto" w:fill="auto"/>
            <w:noWrap/>
            <w:vAlign w:val="center"/>
            <w:hideMark/>
          </w:tcPr>
          <w:p w14:paraId="4040D5B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253E6B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9,563</w:t>
            </w:r>
          </w:p>
        </w:tc>
        <w:tc>
          <w:tcPr>
            <w:tcW w:w="933" w:type="dxa"/>
            <w:tcBorders>
              <w:top w:val="nil"/>
              <w:left w:val="nil"/>
              <w:bottom w:val="single" w:sz="4" w:space="0" w:color="auto"/>
              <w:right w:val="single" w:sz="4" w:space="0" w:color="auto"/>
            </w:tcBorders>
            <w:shd w:val="clear" w:color="auto" w:fill="auto"/>
            <w:noWrap/>
            <w:vAlign w:val="center"/>
            <w:hideMark/>
          </w:tcPr>
          <w:p w14:paraId="37C6990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8EA65C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34E9BB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9B9A0D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15B2EC5"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9,563</w:t>
            </w:r>
          </w:p>
        </w:tc>
        <w:tc>
          <w:tcPr>
            <w:tcW w:w="933" w:type="dxa"/>
            <w:tcBorders>
              <w:top w:val="nil"/>
              <w:left w:val="nil"/>
              <w:bottom w:val="single" w:sz="4" w:space="0" w:color="auto"/>
              <w:right w:val="single" w:sz="4" w:space="0" w:color="auto"/>
            </w:tcBorders>
            <w:shd w:val="clear" w:color="auto" w:fill="auto"/>
            <w:noWrap/>
            <w:vAlign w:val="center"/>
            <w:hideMark/>
          </w:tcPr>
          <w:p w14:paraId="721E01E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43CAA1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9,791</w:t>
            </w:r>
          </w:p>
        </w:tc>
        <w:tc>
          <w:tcPr>
            <w:tcW w:w="933" w:type="dxa"/>
            <w:tcBorders>
              <w:top w:val="nil"/>
              <w:left w:val="nil"/>
              <w:bottom w:val="single" w:sz="4" w:space="0" w:color="auto"/>
              <w:right w:val="single" w:sz="4" w:space="0" w:color="auto"/>
            </w:tcBorders>
            <w:shd w:val="clear" w:color="auto" w:fill="auto"/>
            <w:noWrap/>
            <w:vAlign w:val="center"/>
            <w:hideMark/>
          </w:tcPr>
          <w:p w14:paraId="2655981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3CB931A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7B2B87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E5AD30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D5E25FB"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9,791</w:t>
            </w:r>
          </w:p>
        </w:tc>
      </w:tr>
      <w:tr w:rsidR="008428AF" w:rsidRPr="00AB625A" w14:paraId="58A15268"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55FE17B4"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Melbourne City Mission</w:t>
            </w:r>
          </w:p>
        </w:tc>
        <w:tc>
          <w:tcPr>
            <w:tcW w:w="1079" w:type="dxa"/>
            <w:tcBorders>
              <w:top w:val="nil"/>
              <w:left w:val="nil"/>
              <w:bottom w:val="single" w:sz="4" w:space="0" w:color="auto"/>
              <w:right w:val="single" w:sz="4" w:space="0" w:color="auto"/>
            </w:tcBorders>
            <w:shd w:val="clear" w:color="auto" w:fill="auto"/>
            <w:noWrap/>
            <w:vAlign w:val="center"/>
            <w:hideMark/>
          </w:tcPr>
          <w:p w14:paraId="0FE036B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8,188</w:t>
            </w:r>
          </w:p>
        </w:tc>
        <w:tc>
          <w:tcPr>
            <w:tcW w:w="933" w:type="dxa"/>
            <w:tcBorders>
              <w:top w:val="nil"/>
              <w:left w:val="nil"/>
              <w:bottom w:val="single" w:sz="4" w:space="0" w:color="auto"/>
              <w:right w:val="single" w:sz="4" w:space="0" w:color="auto"/>
            </w:tcBorders>
            <w:shd w:val="clear" w:color="auto" w:fill="auto"/>
            <w:noWrap/>
            <w:vAlign w:val="center"/>
            <w:hideMark/>
          </w:tcPr>
          <w:p w14:paraId="279F307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206</w:t>
            </w:r>
          </w:p>
        </w:tc>
        <w:tc>
          <w:tcPr>
            <w:tcW w:w="933" w:type="dxa"/>
            <w:tcBorders>
              <w:top w:val="nil"/>
              <w:left w:val="nil"/>
              <w:bottom w:val="single" w:sz="4" w:space="0" w:color="auto"/>
              <w:right w:val="single" w:sz="4" w:space="0" w:color="auto"/>
            </w:tcBorders>
            <w:shd w:val="clear" w:color="auto" w:fill="auto"/>
            <w:noWrap/>
            <w:vAlign w:val="center"/>
            <w:hideMark/>
          </w:tcPr>
          <w:p w14:paraId="211425D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CFCA1A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2D2DA9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E179E0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B174D7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8,395</w:t>
            </w:r>
          </w:p>
        </w:tc>
        <w:tc>
          <w:tcPr>
            <w:tcW w:w="933" w:type="dxa"/>
            <w:tcBorders>
              <w:top w:val="nil"/>
              <w:left w:val="nil"/>
              <w:bottom w:val="single" w:sz="4" w:space="0" w:color="auto"/>
              <w:right w:val="single" w:sz="4" w:space="0" w:color="auto"/>
            </w:tcBorders>
            <w:shd w:val="clear" w:color="auto" w:fill="auto"/>
            <w:noWrap/>
            <w:vAlign w:val="center"/>
            <w:hideMark/>
          </w:tcPr>
          <w:p w14:paraId="0803818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7,785</w:t>
            </w:r>
          </w:p>
        </w:tc>
        <w:tc>
          <w:tcPr>
            <w:tcW w:w="933" w:type="dxa"/>
            <w:tcBorders>
              <w:top w:val="nil"/>
              <w:left w:val="nil"/>
              <w:bottom w:val="single" w:sz="4" w:space="0" w:color="auto"/>
              <w:right w:val="single" w:sz="4" w:space="0" w:color="auto"/>
            </w:tcBorders>
            <w:shd w:val="clear" w:color="auto" w:fill="auto"/>
            <w:noWrap/>
            <w:vAlign w:val="center"/>
            <w:hideMark/>
          </w:tcPr>
          <w:p w14:paraId="098E0EB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211</w:t>
            </w:r>
          </w:p>
        </w:tc>
        <w:tc>
          <w:tcPr>
            <w:tcW w:w="933" w:type="dxa"/>
            <w:tcBorders>
              <w:top w:val="nil"/>
              <w:left w:val="nil"/>
              <w:bottom w:val="single" w:sz="4" w:space="0" w:color="auto"/>
              <w:right w:val="single" w:sz="4" w:space="0" w:color="auto"/>
            </w:tcBorders>
            <w:shd w:val="clear" w:color="auto" w:fill="auto"/>
            <w:noWrap/>
            <w:vAlign w:val="center"/>
            <w:hideMark/>
          </w:tcPr>
          <w:p w14:paraId="29D6313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192A8BB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03F57B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9156FC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66D429C"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7,996</w:t>
            </w:r>
          </w:p>
        </w:tc>
      </w:tr>
      <w:tr w:rsidR="008428AF" w:rsidRPr="00AB625A" w14:paraId="71CF8EE3"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3FE343D0"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Melbourne Primary Care Network Limited</w:t>
            </w:r>
          </w:p>
        </w:tc>
        <w:tc>
          <w:tcPr>
            <w:tcW w:w="1079" w:type="dxa"/>
            <w:tcBorders>
              <w:top w:val="nil"/>
              <w:left w:val="nil"/>
              <w:bottom w:val="single" w:sz="4" w:space="0" w:color="auto"/>
              <w:right w:val="single" w:sz="4" w:space="0" w:color="auto"/>
            </w:tcBorders>
            <w:shd w:val="clear" w:color="auto" w:fill="auto"/>
            <w:noWrap/>
            <w:vAlign w:val="center"/>
            <w:hideMark/>
          </w:tcPr>
          <w:p w14:paraId="0CAD48D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472</w:t>
            </w:r>
          </w:p>
        </w:tc>
        <w:tc>
          <w:tcPr>
            <w:tcW w:w="933" w:type="dxa"/>
            <w:tcBorders>
              <w:top w:val="nil"/>
              <w:left w:val="nil"/>
              <w:bottom w:val="single" w:sz="4" w:space="0" w:color="auto"/>
              <w:right w:val="single" w:sz="4" w:space="0" w:color="auto"/>
            </w:tcBorders>
            <w:shd w:val="clear" w:color="auto" w:fill="auto"/>
            <w:noWrap/>
            <w:vAlign w:val="center"/>
            <w:hideMark/>
          </w:tcPr>
          <w:p w14:paraId="6ED06ED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D392F4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5D7BCB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06E9C7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11,568</w:t>
            </w:r>
          </w:p>
        </w:tc>
        <w:tc>
          <w:tcPr>
            <w:tcW w:w="933" w:type="dxa"/>
            <w:tcBorders>
              <w:top w:val="nil"/>
              <w:left w:val="nil"/>
              <w:bottom w:val="single" w:sz="4" w:space="0" w:color="auto"/>
              <w:right w:val="single" w:sz="4" w:space="0" w:color="auto"/>
            </w:tcBorders>
            <w:shd w:val="clear" w:color="auto" w:fill="auto"/>
            <w:noWrap/>
            <w:vAlign w:val="center"/>
            <w:hideMark/>
          </w:tcPr>
          <w:p w14:paraId="0E75EDC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540</w:t>
            </w:r>
          </w:p>
        </w:tc>
        <w:tc>
          <w:tcPr>
            <w:tcW w:w="934" w:type="dxa"/>
            <w:tcBorders>
              <w:top w:val="nil"/>
              <w:left w:val="nil"/>
              <w:bottom w:val="single" w:sz="4" w:space="0" w:color="auto"/>
              <w:right w:val="single" w:sz="4" w:space="0" w:color="auto"/>
            </w:tcBorders>
            <w:shd w:val="clear" w:color="auto" w:fill="auto"/>
            <w:noWrap/>
            <w:vAlign w:val="center"/>
            <w:hideMark/>
          </w:tcPr>
          <w:p w14:paraId="5D2FD5F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12,580</w:t>
            </w:r>
          </w:p>
        </w:tc>
        <w:tc>
          <w:tcPr>
            <w:tcW w:w="933" w:type="dxa"/>
            <w:tcBorders>
              <w:top w:val="nil"/>
              <w:left w:val="nil"/>
              <w:bottom w:val="single" w:sz="4" w:space="0" w:color="auto"/>
              <w:right w:val="single" w:sz="4" w:space="0" w:color="auto"/>
            </w:tcBorders>
            <w:shd w:val="clear" w:color="auto" w:fill="auto"/>
            <w:noWrap/>
            <w:vAlign w:val="center"/>
            <w:hideMark/>
          </w:tcPr>
          <w:p w14:paraId="0F313DE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F217FF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33722E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2542378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85A1B5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6,886</w:t>
            </w:r>
          </w:p>
        </w:tc>
        <w:tc>
          <w:tcPr>
            <w:tcW w:w="933" w:type="dxa"/>
            <w:tcBorders>
              <w:top w:val="nil"/>
              <w:left w:val="nil"/>
              <w:bottom w:val="single" w:sz="4" w:space="0" w:color="auto"/>
              <w:right w:val="single" w:sz="4" w:space="0" w:color="auto"/>
            </w:tcBorders>
            <w:shd w:val="clear" w:color="auto" w:fill="auto"/>
            <w:noWrap/>
            <w:vAlign w:val="center"/>
            <w:hideMark/>
          </w:tcPr>
          <w:p w14:paraId="33D9151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570</w:t>
            </w:r>
          </w:p>
        </w:tc>
        <w:tc>
          <w:tcPr>
            <w:tcW w:w="934" w:type="dxa"/>
            <w:tcBorders>
              <w:top w:val="nil"/>
              <w:left w:val="nil"/>
              <w:bottom w:val="single" w:sz="4" w:space="0" w:color="auto"/>
              <w:right w:val="single" w:sz="4" w:space="0" w:color="auto"/>
            </w:tcBorders>
            <w:shd w:val="clear" w:color="auto" w:fill="auto"/>
            <w:noWrap/>
            <w:vAlign w:val="center"/>
            <w:hideMark/>
          </w:tcPr>
          <w:p w14:paraId="2A0A8CF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7,456</w:t>
            </w:r>
          </w:p>
        </w:tc>
      </w:tr>
      <w:tr w:rsidR="008428AF" w:rsidRPr="00AB625A" w14:paraId="76EEE195"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42A99785"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Mercy Palliative Care Ltd</w:t>
            </w:r>
          </w:p>
        </w:tc>
        <w:tc>
          <w:tcPr>
            <w:tcW w:w="1079" w:type="dxa"/>
            <w:tcBorders>
              <w:top w:val="nil"/>
              <w:left w:val="nil"/>
              <w:bottom w:val="single" w:sz="4" w:space="0" w:color="auto"/>
              <w:right w:val="single" w:sz="4" w:space="0" w:color="auto"/>
            </w:tcBorders>
            <w:shd w:val="clear" w:color="auto" w:fill="auto"/>
            <w:noWrap/>
            <w:vAlign w:val="center"/>
            <w:hideMark/>
          </w:tcPr>
          <w:p w14:paraId="7F26A94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10,317</w:t>
            </w:r>
          </w:p>
        </w:tc>
        <w:tc>
          <w:tcPr>
            <w:tcW w:w="933" w:type="dxa"/>
            <w:tcBorders>
              <w:top w:val="nil"/>
              <w:left w:val="nil"/>
              <w:bottom w:val="single" w:sz="4" w:space="0" w:color="auto"/>
              <w:right w:val="single" w:sz="4" w:space="0" w:color="auto"/>
            </w:tcBorders>
            <w:shd w:val="clear" w:color="auto" w:fill="auto"/>
            <w:noWrap/>
            <w:vAlign w:val="center"/>
            <w:hideMark/>
          </w:tcPr>
          <w:p w14:paraId="0939BC9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7051A5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9CF5C0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309969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1E3CF5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B9703D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10,317</w:t>
            </w:r>
          </w:p>
        </w:tc>
        <w:tc>
          <w:tcPr>
            <w:tcW w:w="933" w:type="dxa"/>
            <w:tcBorders>
              <w:top w:val="nil"/>
              <w:left w:val="nil"/>
              <w:bottom w:val="single" w:sz="4" w:space="0" w:color="auto"/>
              <w:right w:val="single" w:sz="4" w:space="0" w:color="auto"/>
            </w:tcBorders>
            <w:shd w:val="clear" w:color="auto" w:fill="auto"/>
            <w:noWrap/>
            <w:vAlign w:val="center"/>
            <w:hideMark/>
          </w:tcPr>
          <w:p w14:paraId="3B7A4B6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9,836</w:t>
            </w:r>
          </w:p>
        </w:tc>
        <w:tc>
          <w:tcPr>
            <w:tcW w:w="933" w:type="dxa"/>
            <w:tcBorders>
              <w:top w:val="nil"/>
              <w:left w:val="nil"/>
              <w:bottom w:val="single" w:sz="4" w:space="0" w:color="auto"/>
              <w:right w:val="single" w:sz="4" w:space="0" w:color="auto"/>
            </w:tcBorders>
            <w:shd w:val="clear" w:color="auto" w:fill="auto"/>
            <w:noWrap/>
            <w:vAlign w:val="center"/>
            <w:hideMark/>
          </w:tcPr>
          <w:p w14:paraId="5DAABC0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9FB3E3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368DB0B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4C26C3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1BEA29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96F893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9,836</w:t>
            </w:r>
          </w:p>
        </w:tc>
      </w:tr>
      <w:tr w:rsidR="008428AF" w:rsidRPr="00AB625A" w14:paraId="4B960F2F"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45510797"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Merri Outreach Support Service Inc</w:t>
            </w:r>
          </w:p>
        </w:tc>
        <w:tc>
          <w:tcPr>
            <w:tcW w:w="1079" w:type="dxa"/>
            <w:tcBorders>
              <w:top w:val="nil"/>
              <w:left w:val="nil"/>
              <w:bottom w:val="single" w:sz="4" w:space="0" w:color="auto"/>
              <w:right w:val="single" w:sz="4" w:space="0" w:color="auto"/>
            </w:tcBorders>
            <w:shd w:val="clear" w:color="auto" w:fill="auto"/>
            <w:noWrap/>
            <w:vAlign w:val="center"/>
            <w:hideMark/>
          </w:tcPr>
          <w:p w14:paraId="509D0C7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3F303B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1,624</w:t>
            </w:r>
          </w:p>
        </w:tc>
        <w:tc>
          <w:tcPr>
            <w:tcW w:w="933" w:type="dxa"/>
            <w:tcBorders>
              <w:top w:val="nil"/>
              <w:left w:val="nil"/>
              <w:bottom w:val="single" w:sz="4" w:space="0" w:color="auto"/>
              <w:right w:val="single" w:sz="4" w:space="0" w:color="auto"/>
            </w:tcBorders>
            <w:shd w:val="clear" w:color="auto" w:fill="auto"/>
            <w:noWrap/>
            <w:vAlign w:val="center"/>
            <w:hideMark/>
          </w:tcPr>
          <w:p w14:paraId="0CE1A9C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83B9A5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19C4A3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3D8785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28EC48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1,624</w:t>
            </w:r>
          </w:p>
        </w:tc>
        <w:tc>
          <w:tcPr>
            <w:tcW w:w="933" w:type="dxa"/>
            <w:tcBorders>
              <w:top w:val="nil"/>
              <w:left w:val="nil"/>
              <w:bottom w:val="single" w:sz="4" w:space="0" w:color="auto"/>
              <w:right w:val="single" w:sz="4" w:space="0" w:color="auto"/>
            </w:tcBorders>
            <w:shd w:val="clear" w:color="auto" w:fill="auto"/>
            <w:noWrap/>
            <w:vAlign w:val="center"/>
            <w:hideMark/>
          </w:tcPr>
          <w:p w14:paraId="2A165E1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724532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1,674</w:t>
            </w:r>
          </w:p>
        </w:tc>
        <w:tc>
          <w:tcPr>
            <w:tcW w:w="933" w:type="dxa"/>
            <w:tcBorders>
              <w:top w:val="nil"/>
              <w:left w:val="nil"/>
              <w:bottom w:val="single" w:sz="4" w:space="0" w:color="auto"/>
              <w:right w:val="single" w:sz="4" w:space="0" w:color="auto"/>
            </w:tcBorders>
            <w:shd w:val="clear" w:color="auto" w:fill="auto"/>
            <w:noWrap/>
            <w:vAlign w:val="center"/>
            <w:hideMark/>
          </w:tcPr>
          <w:p w14:paraId="0797AF6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612FE16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4E6D2A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62B5CC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892320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1,674</w:t>
            </w:r>
          </w:p>
        </w:tc>
      </w:tr>
      <w:tr w:rsidR="008428AF" w:rsidRPr="00AB625A" w14:paraId="61013B59"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56D15357"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Mind Australia</w:t>
            </w:r>
          </w:p>
        </w:tc>
        <w:tc>
          <w:tcPr>
            <w:tcW w:w="1079" w:type="dxa"/>
            <w:tcBorders>
              <w:top w:val="nil"/>
              <w:left w:val="nil"/>
              <w:bottom w:val="single" w:sz="4" w:space="0" w:color="auto"/>
              <w:right w:val="single" w:sz="4" w:space="0" w:color="auto"/>
            </w:tcBorders>
            <w:shd w:val="clear" w:color="auto" w:fill="auto"/>
            <w:noWrap/>
            <w:vAlign w:val="center"/>
            <w:hideMark/>
          </w:tcPr>
          <w:p w14:paraId="3777259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0E91A4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9A1A6C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988E94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6,201</w:t>
            </w:r>
          </w:p>
        </w:tc>
        <w:tc>
          <w:tcPr>
            <w:tcW w:w="933" w:type="dxa"/>
            <w:tcBorders>
              <w:top w:val="nil"/>
              <w:left w:val="nil"/>
              <w:bottom w:val="single" w:sz="4" w:space="0" w:color="auto"/>
              <w:right w:val="single" w:sz="4" w:space="0" w:color="auto"/>
            </w:tcBorders>
            <w:shd w:val="clear" w:color="auto" w:fill="auto"/>
            <w:noWrap/>
            <w:vAlign w:val="center"/>
            <w:hideMark/>
          </w:tcPr>
          <w:p w14:paraId="646B1F3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C995E9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2CDB57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6,201</w:t>
            </w:r>
          </w:p>
        </w:tc>
        <w:tc>
          <w:tcPr>
            <w:tcW w:w="933" w:type="dxa"/>
            <w:tcBorders>
              <w:top w:val="nil"/>
              <w:left w:val="nil"/>
              <w:bottom w:val="single" w:sz="4" w:space="0" w:color="auto"/>
              <w:right w:val="single" w:sz="4" w:space="0" w:color="auto"/>
            </w:tcBorders>
            <w:shd w:val="clear" w:color="auto" w:fill="auto"/>
            <w:noWrap/>
            <w:vAlign w:val="center"/>
            <w:hideMark/>
          </w:tcPr>
          <w:p w14:paraId="48B8944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C1DBBD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BBC029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06BC52D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7,000</w:t>
            </w:r>
          </w:p>
        </w:tc>
        <w:tc>
          <w:tcPr>
            <w:tcW w:w="933" w:type="dxa"/>
            <w:tcBorders>
              <w:top w:val="nil"/>
              <w:left w:val="nil"/>
              <w:bottom w:val="single" w:sz="4" w:space="0" w:color="auto"/>
              <w:right w:val="single" w:sz="4" w:space="0" w:color="auto"/>
            </w:tcBorders>
            <w:shd w:val="clear" w:color="auto" w:fill="auto"/>
            <w:noWrap/>
            <w:vAlign w:val="center"/>
            <w:hideMark/>
          </w:tcPr>
          <w:p w14:paraId="01C1EE5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7E19EA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5914497"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7,000</w:t>
            </w:r>
          </w:p>
        </w:tc>
      </w:tr>
      <w:tr w:rsidR="008428AF" w:rsidRPr="00AB625A" w14:paraId="581A6072"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74EA29F"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Moira Inc.</w:t>
            </w:r>
          </w:p>
        </w:tc>
        <w:tc>
          <w:tcPr>
            <w:tcW w:w="1079" w:type="dxa"/>
            <w:tcBorders>
              <w:top w:val="nil"/>
              <w:left w:val="nil"/>
              <w:bottom w:val="single" w:sz="4" w:space="0" w:color="auto"/>
              <w:right w:val="single" w:sz="4" w:space="0" w:color="auto"/>
            </w:tcBorders>
            <w:shd w:val="clear" w:color="auto" w:fill="auto"/>
            <w:noWrap/>
            <w:vAlign w:val="center"/>
            <w:hideMark/>
          </w:tcPr>
          <w:p w14:paraId="6EC166B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C8E096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1,175</w:t>
            </w:r>
          </w:p>
        </w:tc>
        <w:tc>
          <w:tcPr>
            <w:tcW w:w="933" w:type="dxa"/>
            <w:tcBorders>
              <w:top w:val="nil"/>
              <w:left w:val="nil"/>
              <w:bottom w:val="single" w:sz="4" w:space="0" w:color="auto"/>
              <w:right w:val="single" w:sz="4" w:space="0" w:color="auto"/>
            </w:tcBorders>
            <w:shd w:val="clear" w:color="auto" w:fill="auto"/>
            <w:noWrap/>
            <w:vAlign w:val="center"/>
            <w:hideMark/>
          </w:tcPr>
          <w:p w14:paraId="400B20D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5F8887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A98105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6B72AD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BF3B9D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1,175</w:t>
            </w:r>
          </w:p>
        </w:tc>
        <w:tc>
          <w:tcPr>
            <w:tcW w:w="933" w:type="dxa"/>
            <w:tcBorders>
              <w:top w:val="nil"/>
              <w:left w:val="nil"/>
              <w:bottom w:val="single" w:sz="4" w:space="0" w:color="auto"/>
              <w:right w:val="single" w:sz="4" w:space="0" w:color="auto"/>
            </w:tcBorders>
            <w:shd w:val="clear" w:color="auto" w:fill="auto"/>
            <w:noWrap/>
            <w:vAlign w:val="center"/>
            <w:hideMark/>
          </w:tcPr>
          <w:p w14:paraId="302D8CB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E7BAB2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1,203</w:t>
            </w:r>
          </w:p>
        </w:tc>
        <w:tc>
          <w:tcPr>
            <w:tcW w:w="933" w:type="dxa"/>
            <w:tcBorders>
              <w:top w:val="nil"/>
              <w:left w:val="nil"/>
              <w:bottom w:val="single" w:sz="4" w:space="0" w:color="auto"/>
              <w:right w:val="single" w:sz="4" w:space="0" w:color="auto"/>
            </w:tcBorders>
            <w:shd w:val="clear" w:color="auto" w:fill="auto"/>
            <w:noWrap/>
            <w:vAlign w:val="center"/>
            <w:hideMark/>
          </w:tcPr>
          <w:p w14:paraId="4963031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767A5B1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F05D4C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DC1AD1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A1A256B"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1,203</w:t>
            </w:r>
          </w:p>
        </w:tc>
      </w:tr>
      <w:tr w:rsidR="008428AF" w:rsidRPr="00AB625A" w14:paraId="575554C9"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6F2E8E2"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Monash University</w:t>
            </w:r>
          </w:p>
        </w:tc>
        <w:tc>
          <w:tcPr>
            <w:tcW w:w="1079" w:type="dxa"/>
            <w:tcBorders>
              <w:top w:val="nil"/>
              <w:left w:val="nil"/>
              <w:bottom w:val="single" w:sz="4" w:space="0" w:color="auto"/>
              <w:right w:val="single" w:sz="4" w:space="0" w:color="auto"/>
            </w:tcBorders>
            <w:shd w:val="clear" w:color="auto" w:fill="auto"/>
            <w:noWrap/>
            <w:vAlign w:val="center"/>
            <w:hideMark/>
          </w:tcPr>
          <w:p w14:paraId="2FDCD60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5,004</w:t>
            </w:r>
          </w:p>
        </w:tc>
        <w:tc>
          <w:tcPr>
            <w:tcW w:w="933" w:type="dxa"/>
            <w:tcBorders>
              <w:top w:val="nil"/>
              <w:left w:val="nil"/>
              <w:bottom w:val="single" w:sz="4" w:space="0" w:color="auto"/>
              <w:right w:val="single" w:sz="4" w:space="0" w:color="auto"/>
            </w:tcBorders>
            <w:shd w:val="clear" w:color="auto" w:fill="auto"/>
            <w:noWrap/>
            <w:vAlign w:val="center"/>
            <w:hideMark/>
          </w:tcPr>
          <w:p w14:paraId="460CBA8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15C353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97261F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424F24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86EAA5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450</w:t>
            </w:r>
          </w:p>
        </w:tc>
        <w:tc>
          <w:tcPr>
            <w:tcW w:w="934" w:type="dxa"/>
            <w:tcBorders>
              <w:top w:val="nil"/>
              <w:left w:val="nil"/>
              <w:bottom w:val="single" w:sz="4" w:space="0" w:color="auto"/>
              <w:right w:val="single" w:sz="4" w:space="0" w:color="auto"/>
            </w:tcBorders>
            <w:shd w:val="clear" w:color="auto" w:fill="auto"/>
            <w:noWrap/>
            <w:vAlign w:val="center"/>
            <w:hideMark/>
          </w:tcPr>
          <w:p w14:paraId="188A8A3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5,454</w:t>
            </w:r>
          </w:p>
        </w:tc>
        <w:tc>
          <w:tcPr>
            <w:tcW w:w="933" w:type="dxa"/>
            <w:tcBorders>
              <w:top w:val="nil"/>
              <w:left w:val="nil"/>
              <w:bottom w:val="single" w:sz="4" w:space="0" w:color="auto"/>
              <w:right w:val="single" w:sz="4" w:space="0" w:color="auto"/>
            </w:tcBorders>
            <w:shd w:val="clear" w:color="auto" w:fill="auto"/>
            <w:noWrap/>
            <w:vAlign w:val="center"/>
            <w:hideMark/>
          </w:tcPr>
          <w:p w14:paraId="15E4AD4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2,382</w:t>
            </w:r>
          </w:p>
        </w:tc>
        <w:tc>
          <w:tcPr>
            <w:tcW w:w="933" w:type="dxa"/>
            <w:tcBorders>
              <w:top w:val="nil"/>
              <w:left w:val="nil"/>
              <w:bottom w:val="single" w:sz="4" w:space="0" w:color="auto"/>
              <w:right w:val="single" w:sz="4" w:space="0" w:color="auto"/>
            </w:tcBorders>
            <w:shd w:val="clear" w:color="auto" w:fill="auto"/>
            <w:noWrap/>
            <w:vAlign w:val="center"/>
            <w:hideMark/>
          </w:tcPr>
          <w:p w14:paraId="00D7719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42D01D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2DADB05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B51CC5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C1A342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463</w:t>
            </w:r>
          </w:p>
        </w:tc>
        <w:tc>
          <w:tcPr>
            <w:tcW w:w="934" w:type="dxa"/>
            <w:tcBorders>
              <w:top w:val="nil"/>
              <w:left w:val="nil"/>
              <w:bottom w:val="single" w:sz="4" w:space="0" w:color="auto"/>
              <w:right w:val="single" w:sz="4" w:space="0" w:color="auto"/>
            </w:tcBorders>
            <w:shd w:val="clear" w:color="auto" w:fill="auto"/>
            <w:noWrap/>
            <w:vAlign w:val="center"/>
            <w:hideMark/>
          </w:tcPr>
          <w:p w14:paraId="644F755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2,846</w:t>
            </w:r>
          </w:p>
        </w:tc>
      </w:tr>
      <w:tr w:rsidR="008428AF" w:rsidRPr="00AB625A" w14:paraId="0928CB92"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7FA2761D"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Multicultural Centre For Women's Health Inc</w:t>
            </w:r>
          </w:p>
        </w:tc>
        <w:tc>
          <w:tcPr>
            <w:tcW w:w="1079" w:type="dxa"/>
            <w:tcBorders>
              <w:top w:val="nil"/>
              <w:left w:val="nil"/>
              <w:bottom w:val="single" w:sz="4" w:space="0" w:color="auto"/>
              <w:right w:val="single" w:sz="4" w:space="0" w:color="auto"/>
            </w:tcBorders>
            <w:shd w:val="clear" w:color="auto" w:fill="auto"/>
            <w:noWrap/>
            <w:vAlign w:val="center"/>
            <w:hideMark/>
          </w:tcPr>
          <w:p w14:paraId="169A213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1F9C77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66559A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92D0B1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00F971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762</w:t>
            </w:r>
          </w:p>
        </w:tc>
        <w:tc>
          <w:tcPr>
            <w:tcW w:w="933" w:type="dxa"/>
            <w:tcBorders>
              <w:top w:val="nil"/>
              <w:left w:val="nil"/>
              <w:bottom w:val="single" w:sz="4" w:space="0" w:color="auto"/>
              <w:right w:val="single" w:sz="4" w:space="0" w:color="auto"/>
            </w:tcBorders>
            <w:shd w:val="clear" w:color="auto" w:fill="auto"/>
            <w:noWrap/>
            <w:vAlign w:val="center"/>
            <w:hideMark/>
          </w:tcPr>
          <w:p w14:paraId="11246BD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588</w:t>
            </w:r>
          </w:p>
        </w:tc>
        <w:tc>
          <w:tcPr>
            <w:tcW w:w="934" w:type="dxa"/>
            <w:tcBorders>
              <w:top w:val="nil"/>
              <w:left w:val="nil"/>
              <w:bottom w:val="single" w:sz="4" w:space="0" w:color="auto"/>
              <w:right w:val="single" w:sz="4" w:space="0" w:color="auto"/>
            </w:tcBorders>
            <w:shd w:val="clear" w:color="auto" w:fill="auto"/>
            <w:noWrap/>
            <w:vAlign w:val="center"/>
            <w:hideMark/>
          </w:tcPr>
          <w:p w14:paraId="3D49846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1,350</w:t>
            </w:r>
          </w:p>
        </w:tc>
        <w:tc>
          <w:tcPr>
            <w:tcW w:w="933" w:type="dxa"/>
            <w:tcBorders>
              <w:top w:val="nil"/>
              <w:left w:val="nil"/>
              <w:bottom w:val="single" w:sz="4" w:space="0" w:color="auto"/>
              <w:right w:val="single" w:sz="4" w:space="0" w:color="auto"/>
            </w:tcBorders>
            <w:shd w:val="clear" w:color="auto" w:fill="auto"/>
            <w:noWrap/>
            <w:vAlign w:val="center"/>
            <w:hideMark/>
          </w:tcPr>
          <w:p w14:paraId="486820F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DC6094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1600A8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2C805C9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36D099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780</w:t>
            </w:r>
          </w:p>
        </w:tc>
        <w:tc>
          <w:tcPr>
            <w:tcW w:w="933" w:type="dxa"/>
            <w:tcBorders>
              <w:top w:val="nil"/>
              <w:left w:val="nil"/>
              <w:bottom w:val="single" w:sz="4" w:space="0" w:color="auto"/>
              <w:right w:val="single" w:sz="4" w:space="0" w:color="auto"/>
            </w:tcBorders>
            <w:shd w:val="clear" w:color="auto" w:fill="auto"/>
            <w:noWrap/>
            <w:vAlign w:val="center"/>
            <w:hideMark/>
          </w:tcPr>
          <w:p w14:paraId="1916901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607</w:t>
            </w:r>
          </w:p>
        </w:tc>
        <w:tc>
          <w:tcPr>
            <w:tcW w:w="934" w:type="dxa"/>
            <w:tcBorders>
              <w:top w:val="nil"/>
              <w:left w:val="nil"/>
              <w:bottom w:val="single" w:sz="4" w:space="0" w:color="auto"/>
              <w:right w:val="single" w:sz="4" w:space="0" w:color="auto"/>
            </w:tcBorders>
            <w:shd w:val="clear" w:color="auto" w:fill="auto"/>
            <w:noWrap/>
            <w:vAlign w:val="center"/>
            <w:hideMark/>
          </w:tcPr>
          <w:p w14:paraId="11A1D9A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1,387</w:t>
            </w:r>
          </w:p>
        </w:tc>
      </w:tr>
      <w:tr w:rsidR="008428AF" w:rsidRPr="00AB625A" w14:paraId="716B0D6A"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7D164DF7"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Murdoch Childrens Research Institute</w:t>
            </w:r>
          </w:p>
        </w:tc>
        <w:tc>
          <w:tcPr>
            <w:tcW w:w="1079" w:type="dxa"/>
            <w:tcBorders>
              <w:top w:val="nil"/>
              <w:left w:val="nil"/>
              <w:bottom w:val="single" w:sz="4" w:space="0" w:color="auto"/>
              <w:right w:val="single" w:sz="4" w:space="0" w:color="auto"/>
            </w:tcBorders>
            <w:shd w:val="clear" w:color="auto" w:fill="auto"/>
            <w:noWrap/>
            <w:vAlign w:val="center"/>
            <w:hideMark/>
          </w:tcPr>
          <w:p w14:paraId="5BBA0A3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584</w:t>
            </w:r>
          </w:p>
        </w:tc>
        <w:tc>
          <w:tcPr>
            <w:tcW w:w="933" w:type="dxa"/>
            <w:tcBorders>
              <w:top w:val="nil"/>
              <w:left w:val="nil"/>
              <w:bottom w:val="single" w:sz="4" w:space="0" w:color="auto"/>
              <w:right w:val="single" w:sz="4" w:space="0" w:color="auto"/>
            </w:tcBorders>
            <w:shd w:val="clear" w:color="auto" w:fill="auto"/>
            <w:noWrap/>
            <w:vAlign w:val="center"/>
            <w:hideMark/>
          </w:tcPr>
          <w:p w14:paraId="0B25F79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A98CE2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32A582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A84DF2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670E4B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482</w:t>
            </w:r>
          </w:p>
        </w:tc>
        <w:tc>
          <w:tcPr>
            <w:tcW w:w="934" w:type="dxa"/>
            <w:tcBorders>
              <w:top w:val="nil"/>
              <w:left w:val="nil"/>
              <w:bottom w:val="single" w:sz="4" w:space="0" w:color="auto"/>
              <w:right w:val="single" w:sz="4" w:space="0" w:color="auto"/>
            </w:tcBorders>
            <w:shd w:val="clear" w:color="auto" w:fill="auto"/>
            <w:noWrap/>
            <w:vAlign w:val="center"/>
            <w:hideMark/>
          </w:tcPr>
          <w:p w14:paraId="3402C6E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1,066</w:t>
            </w:r>
          </w:p>
        </w:tc>
        <w:tc>
          <w:tcPr>
            <w:tcW w:w="933" w:type="dxa"/>
            <w:tcBorders>
              <w:top w:val="nil"/>
              <w:left w:val="nil"/>
              <w:bottom w:val="single" w:sz="4" w:space="0" w:color="auto"/>
              <w:right w:val="single" w:sz="4" w:space="0" w:color="auto"/>
            </w:tcBorders>
            <w:shd w:val="clear" w:color="auto" w:fill="auto"/>
            <w:noWrap/>
            <w:vAlign w:val="center"/>
            <w:hideMark/>
          </w:tcPr>
          <w:p w14:paraId="69963D6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188</w:t>
            </w:r>
          </w:p>
        </w:tc>
        <w:tc>
          <w:tcPr>
            <w:tcW w:w="933" w:type="dxa"/>
            <w:tcBorders>
              <w:top w:val="nil"/>
              <w:left w:val="nil"/>
              <w:bottom w:val="single" w:sz="4" w:space="0" w:color="auto"/>
              <w:right w:val="single" w:sz="4" w:space="0" w:color="auto"/>
            </w:tcBorders>
            <w:shd w:val="clear" w:color="auto" w:fill="auto"/>
            <w:noWrap/>
            <w:vAlign w:val="center"/>
            <w:hideMark/>
          </w:tcPr>
          <w:p w14:paraId="43BE60F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99A1D8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4" w:type="dxa"/>
            <w:tcBorders>
              <w:top w:val="nil"/>
              <w:left w:val="nil"/>
              <w:bottom w:val="single" w:sz="4" w:space="0" w:color="auto"/>
              <w:right w:val="single" w:sz="4" w:space="0" w:color="auto"/>
            </w:tcBorders>
            <w:shd w:val="clear" w:color="auto" w:fill="auto"/>
            <w:noWrap/>
            <w:vAlign w:val="center"/>
            <w:hideMark/>
          </w:tcPr>
          <w:p w14:paraId="286B6FF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CB2A83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CEB8E1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4,631</w:t>
            </w:r>
          </w:p>
        </w:tc>
        <w:tc>
          <w:tcPr>
            <w:tcW w:w="934" w:type="dxa"/>
            <w:tcBorders>
              <w:top w:val="nil"/>
              <w:left w:val="nil"/>
              <w:bottom w:val="single" w:sz="4" w:space="0" w:color="auto"/>
              <w:right w:val="single" w:sz="4" w:space="0" w:color="auto"/>
            </w:tcBorders>
            <w:shd w:val="clear" w:color="auto" w:fill="auto"/>
            <w:noWrap/>
            <w:vAlign w:val="center"/>
            <w:hideMark/>
          </w:tcPr>
          <w:p w14:paraId="63B6A87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4,819</w:t>
            </w:r>
          </w:p>
        </w:tc>
      </w:tr>
      <w:tr w:rsidR="008428AF" w:rsidRPr="00AB625A" w14:paraId="3DF5D25A"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32EE9052"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National Ageing Research Institute Ltd</w:t>
            </w:r>
          </w:p>
        </w:tc>
        <w:tc>
          <w:tcPr>
            <w:tcW w:w="1079" w:type="dxa"/>
            <w:tcBorders>
              <w:top w:val="nil"/>
              <w:left w:val="nil"/>
              <w:bottom w:val="single" w:sz="4" w:space="0" w:color="auto"/>
              <w:right w:val="single" w:sz="4" w:space="0" w:color="auto"/>
            </w:tcBorders>
            <w:shd w:val="clear" w:color="auto" w:fill="auto"/>
            <w:noWrap/>
            <w:vAlign w:val="center"/>
            <w:hideMark/>
          </w:tcPr>
          <w:p w14:paraId="05237A8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394</w:t>
            </w:r>
          </w:p>
        </w:tc>
        <w:tc>
          <w:tcPr>
            <w:tcW w:w="933" w:type="dxa"/>
            <w:tcBorders>
              <w:top w:val="nil"/>
              <w:left w:val="nil"/>
              <w:bottom w:val="single" w:sz="4" w:space="0" w:color="auto"/>
              <w:right w:val="single" w:sz="4" w:space="0" w:color="auto"/>
            </w:tcBorders>
            <w:shd w:val="clear" w:color="auto" w:fill="auto"/>
            <w:noWrap/>
            <w:vAlign w:val="center"/>
            <w:hideMark/>
          </w:tcPr>
          <w:p w14:paraId="3D202D4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845</w:t>
            </w:r>
          </w:p>
        </w:tc>
        <w:tc>
          <w:tcPr>
            <w:tcW w:w="933" w:type="dxa"/>
            <w:tcBorders>
              <w:top w:val="nil"/>
              <w:left w:val="nil"/>
              <w:bottom w:val="single" w:sz="4" w:space="0" w:color="auto"/>
              <w:right w:val="single" w:sz="4" w:space="0" w:color="auto"/>
            </w:tcBorders>
            <w:shd w:val="clear" w:color="auto" w:fill="auto"/>
            <w:noWrap/>
            <w:vAlign w:val="center"/>
            <w:hideMark/>
          </w:tcPr>
          <w:p w14:paraId="1675413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B54186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438E21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546487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456312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1,239</w:t>
            </w:r>
          </w:p>
        </w:tc>
        <w:tc>
          <w:tcPr>
            <w:tcW w:w="933" w:type="dxa"/>
            <w:tcBorders>
              <w:top w:val="nil"/>
              <w:left w:val="nil"/>
              <w:bottom w:val="single" w:sz="4" w:space="0" w:color="auto"/>
              <w:right w:val="single" w:sz="4" w:space="0" w:color="auto"/>
            </w:tcBorders>
            <w:shd w:val="clear" w:color="auto" w:fill="auto"/>
            <w:noWrap/>
            <w:vAlign w:val="center"/>
            <w:hideMark/>
          </w:tcPr>
          <w:p w14:paraId="49A97D8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w:t>
            </w:r>
          </w:p>
        </w:tc>
        <w:tc>
          <w:tcPr>
            <w:tcW w:w="933" w:type="dxa"/>
            <w:tcBorders>
              <w:top w:val="nil"/>
              <w:left w:val="nil"/>
              <w:bottom w:val="single" w:sz="4" w:space="0" w:color="auto"/>
              <w:right w:val="single" w:sz="4" w:space="0" w:color="auto"/>
            </w:tcBorders>
            <w:shd w:val="clear" w:color="auto" w:fill="auto"/>
            <w:noWrap/>
            <w:vAlign w:val="center"/>
            <w:hideMark/>
          </w:tcPr>
          <w:p w14:paraId="0641EA1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856</w:t>
            </w:r>
          </w:p>
        </w:tc>
        <w:tc>
          <w:tcPr>
            <w:tcW w:w="933" w:type="dxa"/>
            <w:tcBorders>
              <w:top w:val="nil"/>
              <w:left w:val="nil"/>
              <w:bottom w:val="single" w:sz="4" w:space="0" w:color="auto"/>
              <w:right w:val="single" w:sz="4" w:space="0" w:color="auto"/>
            </w:tcBorders>
            <w:shd w:val="clear" w:color="auto" w:fill="auto"/>
            <w:noWrap/>
            <w:vAlign w:val="center"/>
            <w:hideMark/>
          </w:tcPr>
          <w:p w14:paraId="29BDDE0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3FB876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387A5D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5F0D30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156</w:t>
            </w:r>
          </w:p>
        </w:tc>
        <w:tc>
          <w:tcPr>
            <w:tcW w:w="934" w:type="dxa"/>
            <w:tcBorders>
              <w:top w:val="nil"/>
              <w:left w:val="nil"/>
              <w:bottom w:val="single" w:sz="4" w:space="0" w:color="auto"/>
              <w:right w:val="single" w:sz="4" w:space="0" w:color="auto"/>
            </w:tcBorders>
            <w:shd w:val="clear" w:color="auto" w:fill="auto"/>
            <w:noWrap/>
            <w:vAlign w:val="center"/>
            <w:hideMark/>
          </w:tcPr>
          <w:p w14:paraId="12DCDC2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1,027</w:t>
            </w:r>
          </w:p>
        </w:tc>
      </w:tr>
      <w:tr w:rsidR="008428AF" w:rsidRPr="00AB625A" w14:paraId="2FA64B27"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1A93A3E9"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Neami Limited</w:t>
            </w:r>
          </w:p>
        </w:tc>
        <w:tc>
          <w:tcPr>
            <w:tcW w:w="1079" w:type="dxa"/>
            <w:tcBorders>
              <w:top w:val="nil"/>
              <w:left w:val="nil"/>
              <w:bottom w:val="single" w:sz="4" w:space="0" w:color="auto"/>
              <w:right w:val="single" w:sz="4" w:space="0" w:color="auto"/>
            </w:tcBorders>
            <w:shd w:val="clear" w:color="auto" w:fill="auto"/>
            <w:noWrap/>
            <w:vAlign w:val="center"/>
            <w:hideMark/>
          </w:tcPr>
          <w:p w14:paraId="2D03D3A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6DA5A8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1CF7F6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057592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17,687</w:t>
            </w:r>
          </w:p>
        </w:tc>
        <w:tc>
          <w:tcPr>
            <w:tcW w:w="933" w:type="dxa"/>
            <w:tcBorders>
              <w:top w:val="nil"/>
              <w:left w:val="nil"/>
              <w:bottom w:val="single" w:sz="4" w:space="0" w:color="auto"/>
              <w:right w:val="single" w:sz="4" w:space="0" w:color="auto"/>
            </w:tcBorders>
            <w:shd w:val="clear" w:color="auto" w:fill="auto"/>
            <w:noWrap/>
            <w:vAlign w:val="center"/>
            <w:hideMark/>
          </w:tcPr>
          <w:p w14:paraId="0203F2A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C7FE39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14A7D7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17,687</w:t>
            </w:r>
          </w:p>
        </w:tc>
        <w:tc>
          <w:tcPr>
            <w:tcW w:w="933" w:type="dxa"/>
            <w:tcBorders>
              <w:top w:val="nil"/>
              <w:left w:val="nil"/>
              <w:bottom w:val="single" w:sz="4" w:space="0" w:color="auto"/>
              <w:right w:val="single" w:sz="4" w:space="0" w:color="auto"/>
            </w:tcBorders>
            <w:shd w:val="clear" w:color="auto" w:fill="auto"/>
            <w:noWrap/>
            <w:vAlign w:val="center"/>
            <w:hideMark/>
          </w:tcPr>
          <w:p w14:paraId="21BCCB0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2C4876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88A8B6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613245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23,224</w:t>
            </w:r>
          </w:p>
        </w:tc>
        <w:tc>
          <w:tcPr>
            <w:tcW w:w="933" w:type="dxa"/>
            <w:tcBorders>
              <w:top w:val="nil"/>
              <w:left w:val="nil"/>
              <w:bottom w:val="single" w:sz="4" w:space="0" w:color="auto"/>
              <w:right w:val="single" w:sz="4" w:space="0" w:color="auto"/>
            </w:tcBorders>
            <w:shd w:val="clear" w:color="auto" w:fill="auto"/>
            <w:noWrap/>
            <w:vAlign w:val="center"/>
            <w:hideMark/>
          </w:tcPr>
          <w:p w14:paraId="07661EB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3B4DE5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CC1BE1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23,224</w:t>
            </w:r>
          </w:p>
        </w:tc>
      </w:tr>
      <w:tr w:rsidR="008428AF" w:rsidRPr="00AB625A" w14:paraId="0BB4DF68"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199DE612"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Njernda Aboriginal Corporation</w:t>
            </w:r>
          </w:p>
        </w:tc>
        <w:tc>
          <w:tcPr>
            <w:tcW w:w="1079" w:type="dxa"/>
            <w:tcBorders>
              <w:top w:val="nil"/>
              <w:left w:val="nil"/>
              <w:bottom w:val="single" w:sz="4" w:space="0" w:color="auto"/>
              <w:right w:val="single" w:sz="4" w:space="0" w:color="auto"/>
            </w:tcBorders>
            <w:shd w:val="clear" w:color="auto" w:fill="auto"/>
            <w:noWrap/>
            <w:vAlign w:val="center"/>
            <w:hideMark/>
          </w:tcPr>
          <w:p w14:paraId="598FFE4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277</w:t>
            </w:r>
          </w:p>
        </w:tc>
        <w:tc>
          <w:tcPr>
            <w:tcW w:w="933" w:type="dxa"/>
            <w:tcBorders>
              <w:top w:val="nil"/>
              <w:left w:val="nil"/>
              <w:bottom w:val="single" w:sz="4" w:space="0" w:color="auto"/>
              <w:right w:val="single" w:sz="4" w:space="0" w:color="auto"/>
            </w:tcBorders>
            <w:shd w:val="clear" w:color="auto" w:fill="auto"/>
            <w:noWrap/>
            <w:vAlign w:val="center"/>
            <w:hideMark/>
          </w:tcPr>
          <w:p w14:paraId="041ADD6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182</w:t>
            </w:r>
          </w:p>
        </w:tc>
        <w:tc>
          <w:tcPr>
            <w:tcW w:w="933" w:type="dxa"/>
            <w:tcBorders>
              <w:top w:val="nil"/>
              <w:left w:val="nil"/>
              <w:bottom w:val="single" w:sz="4" w:space="0" w:color="auto"/>
              <w:right w:val="single" w:sz="4" w:space="0" w:color="auto"/>
            </w:tcBorders>
            <w:shd w:val="clear" w:color="auto" w:fill="auto"/>
            <w:noWrap/>
            <w:vAlign w:val="center"/>
            <w:hideMark/>
          </w:tcPr>
          <w:p w14:paraId="15ACC30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683</w:t>
            </w:r>
          </w:p>
        </w:tc>
        <w:tc>
          <w:tcPr>
            <w:tcW w:w="934" w:type="dxa"/>
            <w:tcBorders>
              <w:top w:val="nil"/>
              <w:left w:val="nil"/>
              <w:bottom w:val="single" w:sz="4" w:space="0" w:color="auto"/>
              <w:right w:val="single" w:sz="4" w:space="0" w:color="auto"/>
            </w:tcBorders>
            <w:shd w:val="clear" w:color="auto" w:fill="auto"/>
            <w:noWrap/>
            <w:vAlign w:val="center"/>
            <w:hideMark/>
          </w:tcPr>
          <w:p w14:paraId="1FC30B7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73</w:t>
            </w:r>
          </w:p>
        </w:tc>
        <w:tc>
          <w:tcPr>
            <w:tcW w:w="933" w:type="dxa"/>
            <w:tcBorders>
              <w:top w:val="nil"/>
              <w:left w:val="nil"/>
              <w:bottom w:val="single" w:sz="4" w:space="0" w:color="auto"/>
              <w:right w:val="single" w:sz="4" w:space="0" w:color="auto"/>
            </w:tcBorders>
            <w:shd w:val="clear" w:color="auto" w:fill="auto"/>
            <w:noWrap/>
            <w:vAlign w:val="center"/>
            <w:hideMark/>
          </w:tcPr>
          <w:p w14:paraId="189B638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175</w:t>
            </w:r>
          </w:p>
        </w:tc>
        <w:tc>
          <w:tcPr>
            <w:tcW w:w="933" w:type="dxa"/>
            <w:tcBorders>
              <w:top w:val="nil"/>
              <w:left w:val="nil"/>
              <w:bottom w:val="single" w:sz="4" w:space="0" w:color="auto"/>
              <w:right w:val="single" w:sz="4" w:space="0" w:color="auto"/>
            </w:tcBorders>
            <w:shd w:val="clear" w:color="auto" w:fill="auto"/>
            <w:noWrap/>
            <w:vAlign w:val="center"/>
            <w:hideMark/>
          </w:tcPr>
          <w:p w14:paraId="1C459AE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553F1CC"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1,391</w:t>
            </w:r>
          </w:p>
        </w:tc>
        <w:tc>
          <w:tcPr>
            <w:tcW w:w="933" w:type="dxa"/>
            <w:tcBorders>
              <w:top w:val="nil"/>
              <w:left w:val="nil"/>
              <w:bottom w:val="single" w:sz="4" w:space="0" w:color="auto"/>
              <w:right w:val="single" w:sz="4" w:space="0" w:color="auto"/>
            </w:tcBorders>
            <w:shd w:val="clear" w:color="auto" w:fill="auto"/>
            <w:noWrap/>
            <w:vAlign w:val="center"/>
            <w:hideMark/>
          </w:tcPr>
          <w:p w14:paraId="706FF83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284</w:t>
            </w:r>
          </w:p>
        </w:tc>
        <w:tc>
          <w:tcPr>
            <w:tcW w:w="933" w:type="dxa"/>
            <w:tcBorders>
              <w:top w:val="nil"/>
              <w:left w:val="nil"/>
              <w:bottom w:val="single" w:sz="4" w:space="0" w:color="auto"/>
              <w:right w:val="single" w:sz="4" w:space="0" w:color="auto"/>
            </w:tcBorders>
            <w:shd w:val="clear" w:color="auto" w:fill="auto"/>
            <w:noWrap/>
            <w:vAlign w:val="center"/>
            <w:hideMark/>
          </w:tcPr>
          <w:p w14:paraId="1291953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187</w:t>
            </w:r>
          </w:p>
        </w:tc>
        <w:tc>
          <w:tcPr>
            <w:tcW w:w="933" w:type="dxa"/>
            <w:tcBorders>
              <w:top w:val="nil"/>
              <w:left w:val="nil"/>
              <w:bottom w:val="single" w:sz="4" w:space="0" w:color="auto"/>
              <w:right w:val="single" w:sz="4" w:space="0" w:color="auto"/>
            </w:tcBorders>
            <w:shd w:val="clear" w:color="auto" w:fill="auto"/>
            <w:noWrap/>
            <w:vAlign w:val="center"/>
            <w:hideMark/>
          </w:tcPr>
          <w:p w14:paraId="761747C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706</w:t>
            </w:r>
          </w:p>
        </w:tc>
        <w:tc>
          <w:tcPr>
            <w:tcW w:w="934" w:type="dxa"/>
            <w:tcBorders>
              <w:top w:val="nil"/>
              <w:left w:val="nil"/>
              <w:bottom w:val="single" w:sz="4" w:space="0" w:color="auto"/>
              <w:right w:val="single" w:sz="4" w:space="0" w:color="auto"/>
            </w:tcBorders>
            <w:shd w:val="clear" w:color="auto" w:fill="auto"/>
            <w:noWrap/>
            <w:vAlign w:val="center"/>
            <w:hideMark/>
          </w:tcPr>
          <w:p w14:paraId="7628CE5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76</w:t>
            </w:r>
          </w:p>
        </w:tc>
        <w:tc>
          <w:tcPr>
            <w:tcW w:w="933" w:type="dxa"/>
            <w:tcBorders>
              <w:top w:val="nil"/>
              <w:left w:val="nil"/>
              <w:bottom w:val="single" w:sz="4" w:space="0" w:color="auto"/>
              <w:right w:val="single" w:sz="4" w:space="0" w:color="auto"/>
            </w:tcBorders>
            <w:shd w:val="clear" w:color="auto" w:fill="auto"/>
            <w:noWrap/>
            <w:vAlign w:val="center"/>
            <w:hideMark/>
          </w:tcPr>
          <w:p w14:paraId="167FE88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515</w:t>
            </w:r>
          </w:p>
        </w:tc>
        <w:tc>
          <w:tcPr>
            <w:tcW w:w="933" w:type="dxa"/>
            <w:tcBorders>
              <w:top w:val="nil"/>
              <w:left w:val="nil"/>
              <w:bottom w:val="single" w:sz="4" w:space="0" w:color="auto"/>
              <w:right w:val="single" w:sz="4" w:space="0" w:color="auto"/>
            </w:tcBorders>
            <w:shd w:val="clear" w:color="auto" w:fill="auto"/>
            <w:noWrap/>
            <w:vAlign w:val="center"/>
            <w:hideMark/>
          </w:tcPr>
          <w:p w14:paraId="440904B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906FA1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1,768</w:t>
            </w:r>
          </w:p>
        </w:tc>
      </w:tr>
      <w:tr w:rsidR="008428AF" w:rsidRPr="00AB625A" w14:paraId="30B99962"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34EB6236"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Nursing And Midwifery Health Program Victoria Ltd</w:t>
            </w:r>
          </w:p>
        </w:tc>
        <w:tc>
          <w:tcPr>
            <w:tcW w:w="1079" w:type="dxa"/>
            <w:tcBorders>
              <w:top w:val="nil"/>
              <w:left w:val="nil"/>
              <w:bottom w:val="single" w:sz="4" w:space="0" w:color="auto"/>
              <w:right w:val="single" w:sz="4" w:space="0" w:color="auto"/>
            </w:tcBorders>
            <w:shd w:val="clear" w:color="auto" w:fill="auto"/>
            <w:noWrap/>
            <w:vAlign w:val="center"/>
            <w:hideMark/>
          </w:tcPr>
          <w:p w14:paraId="45238BC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1,311</w:t>
            </w:r>
          </w:p>
        </w:tc>
        <w:tc>
          <w:tcPr>
            <w:tcW w:w="933" w:type="dxa"/>
            <w:tcBorders>
              <w:top w:val="nil"/>
              <w:left w:val="nil"/>
              <w:bottom w:val="single" w:sz="4" w:space="0" w:color="auto"/>
              <w:right w:val="single" w:sz="4" w:space="0" w:color="auto"/>
            </w:tcBorders>
            <w:shd w:val="clear" w:color="auto" w:fill="auto"/>
            <w:noWrap/>
            <w:vAlign w:val="center"/>
            <w:hideMark/>
          </w:tcPr>
          <w:p w14:paraId="7FB558A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B17144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F729DC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B1B79A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81651C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B4C514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1,311</w:t>
            </w:r>
          </w:p>
        </w:tc>
        <w:tc>
          <w:tcPr>
            <w:tcW w:w="933" w:type="dxa"/>
            <w:tcBorders>
              <w:top w:val="nil"/>
              <w:left w:val="nil"/>
              <w:bottom w:val="single" w:sz="4" w:space="0" w:color="auto"/>
              <w:right w:val="single" w:sz="4" w:space="0" w:color="auto"/>
            </w:tcBorders>
            <w:shd w:val="clear" w:color="auto" w:fill="auto"/>
            <w:noWrap/>
            <w:vAlign w:val="center"/>
            <w:hideMark/>
          </w:tcPr>
          <w:p w14:paraId="19D5FE2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1,343</w:t>
            </w:r>
          </w:p>
        </w:tc>
        <w:tc>
          <w:tcPr>
            <w:tcW w:w="933" w:type="dxa"/>
            <w:tcBorders>
              <w:top w:val="nil"/>
              <w:left w:val="nil"/>
              <w:bottom w:val="single" w:sz="4" w:space="0" w:color="auto"/>
              <w:right w:val="single" w:sz="4" w:space="0" w:color="auto"/>
            </w:tcBorders>
            <w:shd w:val="clear" w:color="auto" w:fill="auto"/>
            <w:noWrap/>
            <w:vAlign w:val="center"/>
            <w:hideMark/>
          </w:tcPr>
          <w:p w14:paraId="418432A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798F12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167A0D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F91F26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D0D504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2CCAA99"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1,343</w:t>
            </w:r>
          </w:p>
        </w:tc>
      </w:tr>
      <w:tr w:rsidR="008428AF" w:rsidRPr="00AB625A" w14:paraId="31D94E62"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5B3E0A5C"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Odyssey House, Victoria</w:t>
            </w:r>
          </w:p>
        </w:tc>
        <w:tc>
          <w:tcPr>
            <w:tcW w:w="1079" w:type="dxa"/>
            <w:tcBorders>
              <w:top w:val="nil"/>
              <w:left w:val="nil"/>
              <w:bottom w:val="single" w:sz="4" w:space="0" w:color="auto"/>
              <w:right w:val="single" w:sz="4" w:space="0" w:color="auto"/>
            </w:tcBorders>
            <w:shd w:val="clear" w:color="auto" w:fill="auto"/>
            <w:noWrap/>
            <w:vAlign w:val="center"/>
            <w:hideMark/>
          </w:tcPr>
          <w:p w14:paraId="7620496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FAC05E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56B258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20,469</w:t>
            </w:r>
          </w:p>
        </w:tc>
        <w:tc>
          <w:tcPr>
            <w:tcW w:w="934" w:type="dxa"/>
            <w:tcBorders>
              <w:top w:val="nil"/>
              <w:left w:val="nil"/>
              <w:bottom w:val="single" w:sz="4" w:space="0" w:color="auto"/>
              <w:right w:val="single" w:sz="4" w:space="0" w:color="auto"/>
            </w:tcBorders>
            <w:shd w:val="clear" w:color="auto" w:fill="auto"/>
            <w:noWrap/>
            <w:vAlign w:val="center"/>
            <w:hideMark/>
          </w:tcPr>
          <w:p w14:paraId="4A8C08E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93F7E9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3E7F81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5255BC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20,469</w:t>
            </w:r>
          </w:p>
        </w:tc>
        <w:tc>
          <w:tcPr>
            <w:tcW w:w="933" w:type="dxa"/>
            <w:tcBorders>
              <w:top w:val="nil"/>
              <w:left w:val="nil"/>
              <w:bottom w:val="single" w:sz="4" w:space="0" w:color="auto"/>
              <w:right w:val="single" w:sz="4" w:space="0" w:color="auto"/>
            </w:tcBorders>
            <w:shd w:val="clear" w:color="auto" w:fill="auto"/>
            <w:noWrap/>
            <w:vAlign w:val="center"/>
            <w:hideMark/>
          </w:tcPr>
          <w:p w14:paraId="453FB25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7A8CE6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20229D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21,142</w:t>
            </w:r>
          </w:p>
        </w:tc>
        <w:tc>
          <w:tcPr>
            <w:tcW w:w="934" w:type="dxa"/>
            <w:tcBorders>
              <w:top w:val="nil"/>
              <w:left w:val="nil"/>
              <w:bottom w:val="single" w:sz="4" w:space="0" w:color="auto"/>
              <w:right w:val="single" w:sz="4" w:space="0" w:color="auto"/>
            </w:tcBorders>
            <w:shd w:val="clear" w:color="auto" w:fill="auto"/>
            <w:noWrap/>
            <w:vAlign w:val="center"/>
            <w:hideMark/>
          </w:tcPr>
          <w:p w14:paraId="080D003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5CD29C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AC85FD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4112C3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21,142</w:t>
            </w:r>
          </w:p>
        </w:tc>
      </w:tr>
      <w:tr w:rsidR="008428AF" w:rsidRPr="00AB625A" w14:paraId="3C37C88B"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78A0E5BB"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On The Line Australia Limited</w:t>
            </w:r>
          </w:p>
        </w:tc>
        <w:tc>
          <w:tcPr>
            <w:tcW w:w="1079" w:type="dxa"/>
            <w:tcBorders>
              <w:top w:val="nil"/>
              <w:left w:val="nil"/>
              <w:bottom w:val="single" w:sz="4" w:space="0" w:color="auto"/>
              <w:right w:val="single" w:sz="4" w:space="0" w:color="auto"/>
            </w:tcBorders>
            <w:shd w:val="clear" w:color="auto" w:fill="auto"/>
            <w:noWrap/>
            <w:vAlign w:val="center"/>
            <w:hideMark/>
          </w:tcPr>
          <w:p w14:paraId="4F9A38D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A84288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B14F19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D84AFB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1,062</w:t>
            </w:r>
          </w:p>
        </w:tc>
        <w:tc>
          <w:tcPr>
            <w:tcW w:w="933" w:type="dxa"/>
            <w:tcBorders>
              <w:top w:val="nil"/>
              <w:left w:val="nil"/>
              <w:bottom w:val="single" w:sz="4" w:space="0" w:color="auto"/>
              <w:right w:val="single" w:sz="4" w:space="0" w:color="auto"/>
            </w:tcBorders>
            <w:shd w:val="clear" w:color="auto" w:fill="auto"/>
            <w:noWrap/>
            <w:vAlign w:val="center"/>
            <w:hideMark/>
          </w:tcPr>
          <w:p w14:paraId="0656613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ADD45D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5CE0DEB"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1,062</w:t>
            </w:r>
          </w:p>
        </w:tc>
        <w:tc>
          <w:tcPr>
            <w:tcW w:w="933" w:type="dxa"/>
            <w:tcBorders>
              <w:top w:val="nil"/>
              <w:left w:val="nil"/>
              <w:bottom w:val="single" w:sz="4" w:space="0" w:color="auto"/>
              <w:right w:val="single" w:sz="4" w:space="0" w:color="auto"/>
            </w:tcBorders>
            <w:shd w:val="clear" w:color="auto" w:fill="auto"/>
            <w:noWrap/>
            <w:vAlign w:val="center"/>
            <w:hideMark/>
          </w:tcPr>
          <w:p w14:paraId="5CF8DA0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1D0D00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2C8763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F6B797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1,088</w:t>
            </w:r>
          </w:p>
        </w:tc>
        <w:tc>
          <w:tcPr>
            <w:tcW w:w="933" w:type="dxa"/>
            <w:tcBorders>
              <w:top w:val="nil"/>
              <w:left w:val="nil"/>
              <w:bottom w:val="single" w:sz="4" w:space="0" w:color="auto"/>
              <w:right w:val="single" w:sz="4" w:space="0" w:color="auto"/>
            </w:tcBorders>
            <w:shd w:val="clear" w:color="auto" w:fill="auto"/>
            <w:noWrap/>
            <w:vAlign w:val="center"/>
            <w:hideMark/>
          </w:tcPr>
          <w:p w14:paraId="091EA1A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72BF66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C98C7D9"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1,088</w:t>
            </w:r>
          </w:p>
        </w:tc>
      </w:tr>
      <w:tr w:rsidR="008428AF" w:rsidRPr="00AB625A" w14:paraId="5A2EFB0D"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431547F3"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Palliative Care Victoria Inc</w:t>
            </w:r>
          </w:p>
        </w:tc>
        <w:tc>
          <w:tcPr>
            <w:tcW w:w="1079" w:type="dxa"/>
            <w:tcBorders>
              <w:top w:val="nil"/>
              <w:left w:val="nil"/>
              <w:bottom w:val="single" w:sz="4" w:space="0" w:color="auto"/>
              <w:right w:val="single" w:sz="4" w:space="0" w:color="auto"/>
            </w:tcBorders>
            <w:shd w:val="clear" w:color="auto" w:fill="auto"/>
            <w:noWrap/>
            <w:vAlign w:val="center"/>
            <w:hideMark/>
          </w:tcPr>
          <w:p w14:paraId="22760BB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4,198</w:t>
            </w:r>
          </w:p>
        </w:tc>
        <w:tc>
          <w:tcPr>
            <w:tcW w:w="933" w:type="dxa"/>
            <w:tcBorders>
              <w:top w:val="nil"/>
              <w:left w:val="nil"/>
              <w:bottom w:val="single" w:sz="4" w:space="0" w:color="auto"/>
              <w:right w:val="single" w:sz="4" w:space="0" w:color="auto"/>
            </w:tcBorders>
            <w:shd w:val="clear" w:color="auto" w:fill="auto"/>
            <w:noWrap/>
            <w:vAlign w:val="center"/>
            <w:hideMark/>
          </w:tcPr>
          <w:p w14:paraId="25AD696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8B0F45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79ADE1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B45DC9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22C38F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5931B3A"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4,198</w:t>
            </w:r>
          </w:p>
        </w:tc>
        <w:tc>
          <w:tcPr>
            <w:tcW w:w="933" w:type="dxa"/>
            <w:tcBorders>
              <w:top w:val="nil"/>
              <w:left w:val="nil"/>
              <w:bottom w:val="single" w:sz="4" w:space="0" w:color="auto"/>
              <w:right w:val="single" w:sz="4" w:space="0" w:color="auto"/>
            </w:tcBorders>
            <w:shd w:val="clear" w:color="auto" w:fill="auto"/>
            <w:noWrap/>
            <w:vAlign w:val="center"/>
            <w:hideMark/>
          </w:tcPr>
          <w:p w14:paraId="4788475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712</w:t>
            </w:r>
          </w:p>
        </w:tc>
        <w:tc>
          <w:tcPr>
            <w:tcW w:w="933" w:type="dxa"/>
            <w:tcBorders>
              <w:top w:val="nil"/>
              <w:left w:val="nil"/>
              <w:bottom w:val="single" w:sz="4" w:space="0" w:color="auto"/>
              <w:right w:val="single" w:sz="4" w:space="0" w:color="auto"/>
            </w:tcBorders>
            <w:shd w:val="clear" w:color="auto" w:fill="auto"/>
            <w:noWrap/>
            <w:vAlign w:val="center"/>
            <w:hideMark/>
          </w:tcPr>
          <w:p w14:paraId="5225316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7E494E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73252D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0A1D16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AEB7CE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723F9B3"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712</w:t>
            </w:r>
          </w:p>
        </w:tc>
      </w:tr>
      <w:tr w:rsidR="008428AF" w:rsidRPr="00AB625A" w14:paraId="6BED0B4B"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5762164F"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Penington Institute</w:t>
            </w:r>
          </w:p>
        </w:tc>
        <w:tc>
          <w:tcPr>
            <w:tcW w:w="1079" w:type="dxa"/>
            <w:tcBorders>
              <w:top w:val="nil"/>
              <w:left w:val="nil"/>
              <w:bottom w:val="single" w:sz="4" w:space="0" w:color="auto"/>
              <w:right w:val="single" w:sz="4" w:space="0" w:color="auto"/>
            </w:tcBorders>
            <w:shd w:val="clear" w:color="auto" w:fill="auto"/>
            <w:noWrap/>
            <w:vAlign w:val="center"/>
            <w:hideMark/>
          </w:tcPr>
          <w:p w14:paraId="68FEC6D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11E0BE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8BB7DC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1,014</w:t>
            </w:r>
          </w:p>
        </w:tc>
        <w:tc>
          <w:tcPr>
            <w:tcW w:w="934" w:type="dxa"/>
            <w:tcBorders>
              <w:top w:val="nil"/>
              <w:left w:val="nil"/>
              <w:bottom w:val="single" w:sz="4" w:space="0" w:color="auto"/>
              <w:right w:val="single" w:sz="4" w:space="0" w:color="auto"/>
            </w:tcBorders>
            <w:shd w:val="clear" w:color="auto" w:fill="auto"/>
            <w:noWrap/>
            <w:vAlign w:val="center"/>
            <w:hideMark/>
          </w:tcPr>
          <w:p w14:paraId="5BD5F5F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A4AE6E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689907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67765C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1,014</w:t>
            </w:r>
          </w:p>
        </w:tc>
        <w:tc>
          <w:tcPr>
            <w:tcW w:w="933" w:type="dxa"/>
            <w:tcBorders>
              <w:top w:val="nil"/>
              <w:left w:val="nil"/>
              <w:bottom w:val="single" w:sz="4" w:space="0" w:color="auto"/>
              <w:right w:val="single" w:sz="4" w:space="0" w:color="auto"/>
            </w:tcBorders>
            <w:shd w:val="clear" w:color="auto" w:fill="auto"/>
            <w:noWrap/>
            <w:vAlign w:val="center"/>
            <w:hideMark/>
          </w:tcPr>
          <w:p w14:paraId="6D87EFC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307CFB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DB8482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1,048</w:t>
            </w:r>
          </w:p>
        </w:tc>
        <w:tc>
          <w:tcPr>
            <w:tcW w:w="934" w:type="dxa"/>
            <w:tcBorders>
              <w:top w:val="nil"/>
              <w:left w:val="nil"/>
              <w:bottom w:val="single" w:sz="4" w:space="0" w:color="auto"/>
              <w:right w:val="single" w:sz="4" w:space="0" w:color="auto"/>
            </w:tcBorders>
            <w:shd w:val="clear" w:color="auto" w:fill="auto"/>
            <w:noWrap/>
            <w:vAlign w:val="center"/>
            <w:hideMark/>
          </w:tcPr>
          <w:p w14:paraId="11B5654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6FBFFF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C98253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3D77695"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1,048</w:t>
            </w:r>
          </w:p>
        </w:tc>
      </w:tr>
      <w:tr w:rsidR="008428AF" w:rsidRPr="00AB625A" w14:paraId="6E15CCBB"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7FD71BED"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Peninsula Home Hospice</w:t>
            </w:r>
          </w:p>
        </w:tc>
        <w:tc>
          <w:tcPr>
            <w:tcW w:w="1079" w:type="dxa"/>
            <w:tcBorders>
              <w:top w:val="nil"/>
              <w:left w:val="nil"/>
              <w:bottom w:val="single" w:sz="4" w:space="0" w:color="auto"/>
              <w:right w:val="single" w:sz="4" w:space="0" w:color="auto"/>
            </w:tcBorders>
            <w:shd w:val="clear" w:color="auto" w:fill="auto"/>
            <w:noWrap/>
            <w:vAlign w:val="center"/>
            <w:hideMark/>
          </w:tcPr>
          <w:p w14:paraId="7A5751A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5,269</w:t>
            </w:r>
          </w:p>
        </w:tc>
        <w:tc>
          <w:tcPr>
            <w:tcW w:w="933" w:type="dxa"/>
            <w:tcBorders>
              <w:top w:val="nil"/>
              <w:left w:val="nil"/>
              <w:bottom w:val="single" w:sz="4" w:space="0" w:color="auto"/>
              <w:right w:val="single" w:sz="4" w:space="0" w:color="auto"/>
            </w:tcBorders>
            <w:shd w:val="clear" w:color="auto" w:fill="auto"/>
            <w:noWrap/>
            <w:vAlign w:val="center"/>
            <w:hideMark/>
          </w:tcPr>
          <w:p w14:paraId="02E4459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A4D93A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D27696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C039A8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14C233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0EF6CE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5,269</w:t>
            </w:r>
          </w:p>
        </w:tc>
        <w:tc>
          <w:tcPr>
            <w:tcW w:w="933" w:type="dxa"/>
            <w:tcBorders>
              <w:top w:val="nil"/>
              <w:left w:val="nil"/>
              <w:bottom w:val="single" w:sz="4" w:space="0" w:color="auto"/>
              <w:right w:val="single" w:sz="4" w:space="0" w:color="auto"/>
            </w:tcBorders>
            <w:shd w:val="clear" w:color="auto" w:fill="auto"/>
            <w:noWrap/>
            <w:vAlign w:val="center"/>
            <w:hideMark/>
          </w:tcPr>
          <w:p w14:paraId="1C3128F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4,973</w:t>
            </w:r>
          </w:p>
        </w:tc>
        <w:tc>
          <w:tcPr>
            <w:tcW w:w="933" w:type="dxa"/>
            <w:tcBorders>
              <w:top w:val="nil"/>
              <w:left w:val="nil"/>
              <w:bottom w:val="single" w:sz="4" w:space="0" w:color="auto"/>
              <w:right w:val="single" w:sz="4" w:space="0" w:color="auto"/>
            </w:tcBorders>
            <w:shd w:val="clear" w:color="auto" w:fill="auto"/>
            <w:noWrap/>
            <w:vAlign w:val="center"/>
            <w:hideMark/>
          </w:tcPr>
          <w:p w14:paraId="24FE5AA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CE8DCA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C6716D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9E50EB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371D0E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067182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4,973</w:t>
            </w:r>
          </w:p>
        </w:tc>
      </w:tr>
      <w:tr w:rsidR="008428AF" w:rsidRPr="00AB625A" w14:paraId="326FBC6B"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555C0FDA"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People Living With Hiv/Aids Victoria Inc</w:t>
            </w:r>
          </w:p>
        </w:tc>
        <w:tc>
          <w:tcPr>
            <w:tcW w:w="1079" w:type="dxa"/>
            <w:tcBorders>
              <w:top w:val="nil"/>
              <w:left w:val="nil"/>
              <w:bottom w:val="single" w:sz="4" w:space="0" w:color="auto"/>
              <w:right w:val="single" w:sz="4" w:space="0" w:color="auto"/>
            </w:tcBorders>
            <w:shd w:val="clear" w:color="auto" w:fill="auto"/>
            <w:noWrap/>
            <w:vAlign w:val="center"/>
            <w:hideMark/>
          </w:tcPr>
          <w:p w14:paraId="47D90A0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C6223E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C0836B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2274C8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8AF357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4A354C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1,875</w:t>
            </w:r>
          </w:p>
        </w:tc>
        <w:tc>
          <w:tcPr>
            <w:tcW w:w="934" w:type="dxa"/>
            <w:tcBorders>
              <w:top w:val="nil"/>
              <w:left w:val="nil"/>
              <w:bottom w:val="single" w:sz="4" w:space="0" w:color="auto"/>
              <w:right w:val="single" w:sz="4" w:space="0" w:color="auto"/>
            </w:tcBorders>
            <w:shd w:val="clear" w:color="auto" w:fill="auto"/>
            <w:noWrap/>
            <w:vAlign w:val="center"/>
            <w:hideMark/>
          </w:tcPr>
          <w:p w14:paraId="68F80665"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1,875</w:t>
            </w:r>
          </w:p>
        </w:tc>
        <w:tc>
          <w:tcPr>
            <w:tcW w:w="933" w:type="dxa"/>
            <w:tcBorders>
              <w:top w:val="nil"/>
              <w:left w:val="nil"/>
              <w:bottom w:val="single" w:sz="4" w:space="0" w:color="auto"/>
              <w:right w:val="single" w:sz="4" w:space="0" w:color="auto"/>
            </w:tcBorders>
            <w:shd w:val="clear" w:color="auto" w:fill="auto"/>
            <w:noWrap/>
            <w:vAlign w:val="center"/>
            <w:hideMark/>
          </w:tcPr>
          <w:p w14:paraId="0E1A421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0650C7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F9C3B5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79CAFE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115E99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0AF458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1,937</w:t>
            </w:r>
          </w:p>
        </w:tc>
        <w:tc>
          <w:tcPr>
            <w:tcW w:w="934" w:type="dxa"/>
            <w:tcBorders>
              <w:top w:val="nil"/>
              <w:left w:val="nil"/>
              <w:bottom w:val="single" w:sz="4" w:space="0" w:color="auto"/>
              <w:right w:val="single" w:sz="4" w:space="0" w:color="auto"/>
            </w:tcBorders>
            <w:shd w:val="clear" w:color="auto" w:fill="auto"/>
            <w:noWrap/>
            <w:vAlign w:val="center"/>
            <w:hideMark/>
          </w:tcPr>
          <w:p w14:paraId="3F0B6007"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1,937</w:t>
            </w:r>
          </w:p>
        </w:tc>
      </w:tr>
      <w:tr w:rsidR="008428AF" w:rsidRPr="00AB625A" w14:paraId="2976F668" w14:textId="77777777" w:rsidTr="00AD15B7">
        <w:trPr>
          <w:trHeight w:val="585"/>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39C207A"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Psychiatric Disability Services Of Victoria (Vicserv) Inc</w:t>
            </w:r>
          </w:p>
        </w:tc>
        <w:tc>
          <w:tcPr>
            <w:tcW w:w="1079" w:type="dxa"/>
            <w:tcBorders>
              <w:top w:val="nil"/>
              <w:left w:val="nil"/>
              <w:bottom w:val="single" w:sz="4" w:space="0" w:color="auto"/>
              <w:right w:val="single" w:sz="4" w:space="0" w:color="auto"/>
            </w:tcBorders>
            <w:shd w:val="clear" w:color="auto" w:fill="auto"/>
            <w:noWrap/>
            <w:vAlign w:val="center"/>
            <w:hideMark/>
          </w:tcPr>
          <w:p w14:paraId="1796A65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979008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216CEA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001D32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1,842</w:t>
            </w:r>
          </w:p>
        </w:tc>
        <w:tc>
          <w:tcPr>
            <w:tcW w:w="933" w:type="dxa"/>
            <w:tcBorders>
              <w:top w:val="nil"/>
              <w:left w:val="nil"/>
              <w:bottom w:val="single" w:sz="4" w:space="0" w:color="auto"/>
              <w:right w:val="single" w:sz="4" w:space="0" w:color="auto"/>
            </w:tcBorders>
            <w:shd w:val="clear" w:color="auto" w:fill="auto"/>
            <w:noWrap/>
            <w:vAlign w:val="center"/>
            <w:hideMark/>
          </w:tcPr>
          <w:p w14:paraId="210F334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F2EF1A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6FA4D3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1,842</w:t>
            </w:r>
          </w:p>
        </w:tc>
        <w:tc>
          <w:tcPr>
            <w:tcW w:w="933" w:type="dxa"/>
            <w:tcBorders>
              <w:top w:val="nil"/>
              <w:left w:val="nil"/>
              <w:bottom w:val="single" w:sz="4" w:space="0" w:color="auto"/>
              <w:right w:val="single" w:sz="4" w:space="0" w:color="auto"/>
            </w:tcBorders>
            <w:shd w:val="clear" w:color="auto" w:fill="auto"/>
            <w:noWrap/>
            <w:vAlign w:val="center"/>
            <w:hideMark/>
          </w:tcPr>
          <w:p w14:paraId="6B7223B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4D19F7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8DF6CA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E58F78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1,515</w:t>
            </w:r>
          </w:p>
        </w:tc>
        <w:tc>
          <w:tcPr>
            <w:tcW w:w="933" w:type="dxa"/>
            <w:tcBorders>
              <w:top w:val="nil"/>
              <w:left w:val="nil"/>
              <w:bottom w:val="single" w:sz="4" w:space="0" w:color="auto"/>
              <w:right w:val="single" w:sz="4" w:space="0" w:color="auto"/>
            </w:tcBorders>
            <w:shd w:val="clear" w:color="auto" w:fill="auto"/>
            <w:noWrap/>
            <w:vAlign w:val="center"/>
            <w:hideMark/>
          </w:tcPr>
          <w:p w14:paraId="761C9EE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307F75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3A91AD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1,515</w:t>
            </w:r>
          </w:p>
        </w:tc>
      </w:tr>
      <w:tr w:rsidR="008428AF" w:rsidRPr="00AB625A" w14:paraId="6CC5A634"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53D7C0E2"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Ramahyuck District Aboriginal Corporation</w:t>
            </w:r>
          </w:p>
        </w:tc>
        <w:tc>
          <w:tcPr>
            <w:tcW w:w="1079" w:type="dxa"/>
            <w:tcBorders>
              <w:top w:val="nil"/>
              <w:left w:val="nil"/>
              <w:bottom w:val="single" w:sz="4" w:space="0" w:color="auto"/>
              <w:right w:val="single" w:sz="4" w:space="0" w:color="auto"/>
            </w:tcBorders>
            <w:shd w:val="clear" w:color="auto" w:fill="auto"/>
            <w:noWrap/>
            <w:vAlign w:val="center"/>
            <w:hideMark/>
          </w:tcPr>
          <w:p w14:paraId="170F746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276</w:t>
            </w:r>
          </w:p>
        </w:tc>
        <w:tc>
          <w:tcPr>
            <w:tcW w:w="933" w:type="dxa"/>
            <w:tcBorders>
              <w:top w:val="nil"/>
              <w:left w:val="nil"/>
              <w:bottom w:val="single" w:sz="4" w:space="0" w:color="auto"/>
              <w:right w:val="single" w:sz="4" w:space="0" w:color="auto"/>
            </w:tcBorders>
            <w:shd w:val="clear" w:color="auto" w:fill="auto"/>
            <w:noWrap/>
            <w:vAlign w:val="center"/>
            <w:hideMark/>
          </w:tcPr>
          <w:p w14:paraId="46F2104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60</w:t>
            </w:r>
          </w:p>
        </w:tc>
        <w:tc>
          <w:tcPr>
            <w:tcW w:w="933" w:type="dxa"/>
            <w:tcBorders>
              <w:top w:val="nil"/>
              <w:left w:val="nil"/>
              <w:bottom w:val="single" w:sz="4" w:space="0" w:color="auto"/>
              <w:right w:val="single" w:sz="4" w:space="0" w:color="auto"/>
            </w:tcBorders>
            <w:shd w:val="clear" w:color="auto" w:fill="auto"/>
            <w:noWrap/>
            <w:vAlign w:val="center"/>
            <w:hideMark/>
          </w:tcPr>
          <w:p w14:paraId="4F68353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525</w:t>
            </w:r>
          </w:p>
        </w:tc>
        <w:tc>
          <w:tcPr>
            <w:tcW w:w="934" w:type="dxa"/>
            <w:tcBorders>
              <w:top w:val="nil"/>
              <w:left w:val="nil"/>
              <w:bottom w:val="single" w:sz="4" w:space="0" w:color="auto"/>
              <w:right w:val="single" w:sz="4" w:space="0" w:color="auto"/>
            </w:tcBorders>
            <w:shd w:val="clear" w:color="auto" w:fill="auto"/>
            <w:noWrap/>
            <w:vAlign w:val="center"/>
            <w:hideMark/>
          </w:tcPr>
          <w:p w14:paraId="6BCF21C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174</w:t>
            </w:r>
          </w:p>
        </w:tc>
        <w:tc>
          <w:tcPr>
            <w:tcW w:w="933" w:type="dxa"/>
            <w:tcBorders>
              <w:top w:val="nil"/>
              <w:left w:val="nil"/>
              <w:bottom w:val="single" w:sz="4" w:space="0" w:color="auto"/>
              <w:right w:val="single" w:sz="4" w:space="0" w:color="auto"/>
            </w:tcBorders>
            <w:shd w:val="clear" w:color="auto" w:fill="auto"/>
            <w:noWrap/>
            <w:vAlign w:val="center"/>
            <w:hideMark/>
          </w:tcPr>
          <w:p w14:paraId="044FA71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175</w:t>
            </w:r>
          </w:p>
        </w:tc>
        <w:tc>
          <w:tcPr>
            <w:tcW w:w="933" w:type="dxa"/>
            <w:tcBorders>
              <w:top w:val="nil"/>
              <w:left w:val="nil"/>
              <w:bottom w:val="single" w:sz="4" w:space="0" w:color="auto"/>
              <w:right w:val="single" w:sz="4" w:space="0" w:color="auto"/>
            </w:tcBorders>
            <w:shd w:val="clear" w:color="auto" w:fill="auto"/>
            <w:noWrap/>
            <w:vAlign w:val="center"/>
            <w:hideMark/>
          </w:tcPr>
          <w:p w14:paraId="7ECAB28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12F478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1,209</w:t>
            </w:r>
          </w:p>
        </w:tc>
        <w:tc>
          <w:tcPr>
            <w:tcW w:w="933" w:type="dxa"/>
            <w:tcBorders>
              <w:top w:val="nil"/>
              <w:left w:val="nil"/>
              <w:bottom w:val="single" w:sz="4" w:space="0" w:color="auto"/>
              <w:right w:val="single" w:sz="4" w:space="0" w:color="auto"/>
            </w:tcBorders>
            <w:shd w:val="clear" w:color="auto" w:fill="auto"/>
            <w:noWrap/>
            <w:vAlign w:val="center"/>
            <w:hideMark/>
          </w:tcPr>
          <w:p w14:paraId="4DD7A3F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282</w:t>
            </w:r>
          </w:p>
        </w:tc>
        <w:tc>
          <w:tcPr>
            <w:tcW w:w="933" w:type="dxa"/>
            <w:tcBorders>
              <w:top w:val="nil"/>
              <w:left w:val="nil"/>
              <w:bottom w:val="single" w:sz="4" w:space="0" w:color="auto"/>
              <w:right w:val="single" w:sz="4" w:space="0" w:color="auto"/>
            </w:tcBorders>
            <w:shd w:val="clear" w:color="auto" w:fill="auto"/>
            <w:noWrap/>
            <w:vAlign w:val="center"/>
            <w:hideMark/>
          </w:tcPr>
          <w:p w14:paraId="64B91A3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61</w:t>
            </w:r>
          </w:p>
        </w:tc>
        <w:tc>
          <w:tcPr>
            <w:tcW w:w="933" w:type="dxa"/>
            <w:tcBorders>
              <w:top w:val="nil"/>
              <w:left w:val="nil"/>
              <w:bottom w:val="single" w:sz="4" w:space="0" w:color="auto"/>
              <w:right w:val="single" w:sz="4" w:space="0" w:color="auto"/>
            </w:tcBorders>
            <w:shd w:val="clear" w:color="auto" w:fill="auto"/>
            <w:noWrap/>
            <w:vAlign w:val="center"/>
            <w:hideMark/>
          </w:tcPr>
          <w:p w14:paraId="2C3046C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715</w:t>
            </w:r>
          </w:p>
        </w:tc>
        <w:tc>
          <w:tcPr>
            <w:tcW w:w="934" w:type="dxa"/>
            <w:tcBorders>
              <w:top w:val="nil"/>
              <w:left w:val="nil"/>
              <w:bottom w:val="single" w:sz="4" w:space="0" w:color="auto"/>
              <w:right w:val="single" w:sz="4" w:space="0" w:color="auto"/>
            </w:tcBorders>
            <w:shd w:val="clear" w:color="auto" w:fill="auto"/>
            <w:noWrap/>
            <w:vAlign w:val="center"/>
            <w:hideMark/>
          </w:tcPr>
          <w:p w14:paraId="531888C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180</w:t>
            </w:r>
          </w:p>
        </w:tc>
        <w:tc>
          <w:tcPr>
            <w:tcW w:w="933" w:type="dxa"/>
            <w:tcBorders>
              <w:top w:val="nil"/>
              <w:left w:val="nil"/>
              <w:bottom w:val="single" w:sz="4" w:space="0" w:color="auto"/>
              <w:right w:val="single" w:sz="4" w:space="0" w:color="auto"/>
            </w:tcBorders>
            <w:shd w:val="clear" w:color="auto" w:fill="auto"/>
            <w:noWrap/>
            <w:vAlign w:val="center"/>
            <w:hideMark/>
          </w:tcPr>
          <w:p w14:paraId="6F44FD0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333</w:t>
            </w:r>
          </w:p>
        </w:tc>
        <w:tc>
          <w:tcPr>
            <w:tcW w:w="933" w:type="dxa"/>
            <w:tcBorders>
              <w:top w:val="nil"/>
              <w:left w:val="nil"/>
              <w:bottom w:val="single" w:sz="4" w:space="0" w:color="auto"/>
              <w:right w:val="single" w:sz="4" w:space="0" w:color="auto"/>
            </w:tcBorders>
            <w:shd w:val="clear" w:color="auto" w:fill="auto"/>
            <w:noWrap/>
            <w:vAlign w:val="center"/>
            <w:hideMark/>
          </w:tcPr>
          <w:p w14:paraId="44AB1C1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36109E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1,571</w:t>
            </w:r>
          </w:p>
        </w:tc>
      </w:tr>
      <w:tr w:rsidR="008428AF" w:rsidRPr="00AB625A" w14:paraId="579E360A"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7585F739"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Red Cliffs And Community Aged Care Services Inc</w:t>
            </w:r>
          </w:p>
        </w:tc>
        <w:tc>
          <w:tcPr>
            <w:tcW w:w="1079" w:type="dxa"/>
            <w:tcBorders>
              <w:top w:val="nil"/>
              <w:left w:val="nil"/>
              <w:bottom w:val="single" w:sz="4" w:space="0" w:color="auto"/>
              <w:right w:val="single" w:sz="4" w:space="0" w:color="auto"/>
            </w:tcBorders>
            <w:shd w:val="clear" w:color="auto" w:fill="auto"/>
            <w:noWrap/>
            <w:vAlign w:val="center"/>
            <w:hideMark/>
          </w:tcPr>
          <w:p w14:paraId="2F6A39E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93CE21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1,105</w:t>
            </w:r>
          </w:p>
        </w:tc>
        <w:tc>
          <w:tcPr>
            <w:tcW w:w="933" w:type="dxa"/>
            <w:tcBorders>
              <w:top w:val="nil"/>
              <w:left w:val="nil"/>
              <w:bottom w:val="single" w:sz="4" w:space="0" w:color="auto"/>
              <w:right w:val="single" w:sz="4" w:space="0" w:color="auto"/>
            </w:tcBorders>
            <w:shd w:val="clear" w:color="auto" w:fill="auto"/>
            <w:noWrap/>
            <w:vAlign w:val="center"/>
            <w:hideMark/>
          </w:tcPr>
          <w:p w14:paraId="4FBA272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37DEA9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09DD61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22AD00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F7C5631"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1,105</w:t>
            </w:r>
          </w:p>
        </w:tc>
        <w:tc>
          <w:tcPr>
            <w:tcW w:w="933" w:type="dxa"/>
            <w:tcBorders>
              <w:top w:val="nil"/>
              <w:left w:val="nil"/>
              <w:bottom w:val="single" w:sz="4" w:space="0" w:color="auto"/>
              <w:right w:val="single" w:sz="4" w:space="0" w:color="auto"/>
            </w:tcBorders>
            <w:shd w:val="clear" w:color="auto" w:fill="auto"/>
            <w:noWrap/>
            <w:vAlign w:val="center"/>
            <w:hideMark/>
          </w:tcPr>
          <w:p w14:paraId="6003887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2962D9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1,212</w:t>
            </w:r>
          </w:p>
        </w:tc>
        <w:tc>
          <w:tcPr>
            <w:tcW w:w="933" w:type="dxa"/>
            <w:tcBorders>
              <w:top w:val="nil"/>
              <w:left w:val="nil"/>
              <w:bottom w:val="single" w:sz="4" w:space="0" w:color="auto"/>
              <w:right w:val="single" w:sz="4" w:space="0" w:color="auto"/>
            </w:tcBorders>
            <w:shd w:val="clear" w:color="auto" w:fill="auto"/>
            <w:noWrap/>
            <w:vAlign w:val="center"/>
            <w:hideMark/>
          </w:tcPr>
          <w:p w14:paraId="565FF23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9DB10B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41C9E2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8EB68E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A2424A1"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1,212</w:t>
            </w:r>
          </w:p>
        </w:tc>
      </w:tr>
      <w:tr w:rsidR="008428AF" w:rsidRPr="00AB625A" w14:paraId="3C9E54BE"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6B8BF9B8"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Royal District Nursing Service Limited</w:t>
            </w:r>
          </w:p>
        </w:tc>
        <w:tc>
          <w:tcPr>
            <w:tcW w:w="1079" w:type="dxa"/>
            <w:tcBorders>
              <w:top w:val="nil"/>
              <w:left w:val="nil"/>
              <w:bottom w:val="single" w:sz="4" w:space="0" w:color="auto"/>
              <w:right w:val="single" w:sz="4" w:space="0" w:color="auto"/>
            </w:tcBorders>
            <w:shd w:val="clear" w:color="auto" w:fill="auto"/>
            <w:noWrap/>
            <w:vAlign w:val="center"/>
            <w:hideMark/>
          </w:tcPr>
          <w:p w14:paraId="73F7EAB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8F5989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30,583</w:t>
            </w:r>
          </w:p>
        </w:tc>
        <w:tc>
          <w:tcPr>
            <w:tcW w:w="933" w:type="dxa"/>
            <w:tcBorders>
              <w:top w:val="nil"/>
              <w:left w:val="nil"/>
              <w:bottom w:val="single" w:sz="4" w:space="0" w:color="auto"/>
              <w:right w:val="single" w:sz="4" w:space="0" w:color="auto"/>
            </w:tcBorders>
            <w:shd w:val="clear" w:color="auto" w:fill="auto"/>
            <w:noWrap/>
            <w:vAlign w:val="center"/>
            <w:hideMark/>
          </w:tcPr>
          <w:p w14:paraId="50EBFF1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8A7246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F2D2D1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115</w:t>
            </w:r>
          </w:p>
        </w:tc>
        <w:tc>
          <w:tcPr>
            <w:tcW w:w="933" w:type="dxa"/>
            <w:tcBorders>
              <w:top w:val="nil"/>
              <w:left w:val="nil"/>
              <w:bottom w:val="single" w:sz="4" w:space="0" w:color="auto"/>
              <w:right w:val="single" w:sz="4" w:space="0" w:color="auto"/>
            </w:tcBorders>
            <w:shd w:val="clear" w:color="auto" w:fill="auto"/>
            <w:noWrap/>
            <w:vAlign w:val="center"/>
            <w:hideMark/>
          </w:tcPr>
          <w:p w14:paraId="532857E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796</w:t>
            </w:r>
          </w:p>
        </w:tc>
        <w:tc>
          <w:tcPr>
            <w:tcW w:w="934" w:type="dxa"/>
            <w:tcBorders>
              <w:top w:val="nil"/>
              <w:left w:val="nil"/>
              <w:bottom w:val="single" w:sz="4" w:space="0" w:color="auto"/>
              <w:right w:val="single" w:sz="4" w:space="0" w:color="auto"/>
            </w:tcBorders>
            <w:shd w:val="clear" w:color="auto" w:fill="auto"/>
            <w:noWrap/>
            <w:vAlign w:val="center"/>
            <w:hideMark/>
          </w:tcPr>
          <w:p w14:paraId="4DC0EC65"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31,495</w:t>
            </w:r>
          </w:p>
        </w:tc>
        <w:tc>
          <w:tcPr>
            <w:tcW w:w="933" w:type="dxa"/>
            <w:tcBorders>
              <w:top w:val="nil"/>
              <w:left w:val="nil"/>
              <w:bottom w:val="single" w:sz="4" w:space="0" w:color="auto"/>
              <w:right w:val="single" w:sz="4" w:space="0" w:color="auto"/>
            </w:tcBorders>
            <w:shd w:val="clear" w:color="auto" w:fill="auto"/>
            <w:noWrap/>
            <w:vAlign w:val="center"/>
            <w:hideMark/>
          </w:tcPr>
          <w:p w14:paraId="7D39B05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92FB92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31,967</w:t>
            </w:r>
          </w:p>
        </w:tc>
        <w:tc>
          <w:tcPr>
            <w:tcW w:w="933" w:type="dxa"/>
            <w:tcBorders>
              <w:top w:val="nil"/>
              <w:left w:val="nil"/>
              <w:bottom w:val="single" w:sz="4" w:space="0" w:color="auto"/>
              <w:right w:val="single" w:sz="4" w:space="0" w:color="auto"/>
            </w:tcBorders>
            <w:shd w:val="clear" w:color="auto" w:fill="auto"/>
            <w:noWrap/>
            <w:vAlign w:val="center"/>
            <w:hideMark/>
          </w:tcPr>
          <w:p w14:paraId="26DFC1A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114D00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67D646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118</w:t>
            </w:r>
          </w:p>
        </w:tc>
        <w:tc>
          <w:tcPr>
            <w:tcW w:w="933" w:type="dxa"/>
            <w:tcBorders>
              <w:top w:val="nil"/>
              <w:left w:val="nil"/>
              <w:bottom w:val="single" w:sz="4" w:space="0" w:color="auto"/>
              <w:right w:val="single" w:sz="4" w:space="0" w:color="auto"/>
            </w:tcBorders>
            <w:shd w:val="clear" w:color="auto" w:fill="auto"/>
            <w:noWrap/>
            <w:vAlign w:val="center"/>
            <w:hideMark/>
          </w:tcPr>
          <w:p w14:paraId="53817E6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823</w:t>
            </w:r>
          </w:p>
        </w:tc>
        <w:tc>
          <w:tcPr>
            <w:tcW w:w="934" w:type="dxa"/>
            <w:tcBorders>
              <w:top w:val="nil"/>
              <w:left w:val="nil"/>
              <w:bottom w:val="single" w:sz="4" w:space="0" w:color="auto"/>
              <w:right w:val="single" w:sz="4" w:space="0" w:color="auto"/>
            </w:tcBorders>
            <w:shd w:val="clear" w:color="auto" w:fill="auto"/>
            <w:noWrap/>
            <w:vAlign w:val="center"/>
            <w:hideMark/>
          </w:tcPr>
          <w:p w14:paraId="29DA73E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32,907</w:t>
            </w:r>
          </w:p>
        </w:tc>
      </w:tr>
      <w:tr w:rsidR="008428AF" w:rsidRPr="00AB625A" w14:paraId="2C6602F8"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125CA5A"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Rumbalara Aboriginal Co-Operative Limited</w:t>
            </w:r>
          </w:p>
        </w:tc>
        <w:tc>
          <w:tcPr>
            <w:tcW w:w="1079" w:type="dxa"/>
            <w:tcBorders>
              <w:top w:val="nil"/>
              <w:left w:val="nil"/>
              <w:bottom w:val="single" w:sz="4" w:space="0" w:color="auto"/>
              <w:right w:val="single" w:sz="4" w:space="0" w:color="auto"/>
            </w:tcBorders>
            <w:shd w:val="clear" w:color="auto" w:fill="auto"/>
            <w:noWrap/>
            <w:vAlign w:val="center"/>
            <w:hideMark/>
          </w:tcPr>
          <w:p w14:paraId="41D0A38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220</w:t>
            </w:r>
          </w:p>
        </w:tc>
        <w:tc>
          <w:tcPr>
            <w:tcW w:w="933" w:type="dxa"/>
            <w:tcBorders>
              <w:top w:val="nil"/>
              <w:left w:val="nil"/>
              <w:bottom w:val="single" w:sz="4" w:space="0" w:color="auto"/>
              <w:right w:val="single" w:sz="4" w:space="0" w:color="auto"/>
            </w:tcBorders>
            <w:shd w:val="clear" w:color="auto" w:fill="auto"/>
            <w:noWrap/>
            <w:vAlign w:val="center"/>
            <w:hideMark/>
          </w:tcPr>
          <w:p w14:paraId="7C1F55A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196</w:t>
            </w:r>
          </w:p>
        </w:tc>
        <w:tc>
          <w:tcPr>
            <w:tcW w:w="933" w:type="dxa"/>
            <w:tcBorders>
              <w:top w:val="nil"/>
              <w:left w:val="nil"/>
              <w:bottom w:val="single" w:sz="4" w:space="0" w:color="auto"/>
              <w:right w:val="single" w:sz="4" w:space="0" w:color="auto"/>
            </w:tcBorders>
            <w:shd w:val="clear" w:color="auto" w:fill="auto"/>
            <w:noWrap/>
            <w:vAlign w:val="center"/>
            <w:hideMark/>
          </w:tcPr>
          <w:p w14:paraId="5925C40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877</w:t>
            </w:r>
          </w:p>
        </w:tc>
        <w:tc>
          <w:tcPr>
            <w:tcW w:w="934" w:type="dxa"/>
            <w:tcBorders>
              <w:top w:val="nil"/>
              <w:left w:val="nil"/>
              <w:bottom w:val="single" w:sz="4" w:space="0" w:color="auto"/>
              <w:right w:val="single" w:sz="4" w:space="0" w:color="auto"/>
            </w:tcBorders>
            <w:shd w:val="clear" w:color="auto" w:fill="auto"/>
            <w:noWrap/>
            <w:vAlign w:val="center"/>
            <w:hideMark/>
          </w:tcPr>
          <w:p w14:paraId="18DF259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74</w:t>
            </w:r>
          </w:p>
        </w:tc>
        <w:tc>
          <w:tcPr>
            <w:tcW w:w="933" w:type="dxa"/>
            <w:tcBorders>
              <w:top w:val="nil"/>
              <w:left w:val="nil"/>
              <w:bottom w:val="single" w:sz="4" w:space="0" w:color="auto"/>
              <w:right w:val="single" w:sz="4" w:space="0" w:color="auto"/>
            </w:tcBorders>
            <w:shd w:val="clear" w:color="auto" w:fill="auto"/>
            <w:noWrap/>
            <w:vAlign w:val="center"/>
            <w:hideMark/>
          </w:tcPr>
          <w:p w14:paraId="43B1661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400</w:t>
            </w:r>
          </w:p>
        </w:tc>
        <w:tc>
          <w:tcPr>
            <w:tcW w:w="933" w:type="dxa"/>
            <w:tcBorders>
              <w:top w:val="nil"/>
              <w:left w:val="nil"/>
              <w:bottom w:val="single" w:sz="4" w:space="0" w:color="auto"/>
              <w:right w:val="single" w:sz="4" w:space="0" w:color="auto"/>
            </w:tcBorders>
            <w:shd w:val="clear" w:color="auto" w:fill="auto"/>
            <w:noWrap/>
            <w:vAlign w:val="center"/>
            <w:hideMark/>
          </w:tcPr>
          <w:p w14:paraId="07A6A3E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EEB8295"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1,767</w:t>
            </w:r>
          </w:p>
        </w:tc>
        <w:tc>
          <w:tcPr>
            <w:tcW w:w="933" w:type="dxa"/>
            <w:tcBorders>
              <w:top w:val="nil"/>
              <w:left w:val="nil"/>
              <w:bottom w:val="single" w:sz="4" w:space="0" w:color="auto"/>
              <w:right w:val="single" w:sz="4" w:space="0" w:color="auto"/>
            </w:tcBorders>
            <w:shd w:val="clear" w:color="auto" w:fill="auto"/>
            <w:noWrap/>
            <w:vAlign w:val="center"/>
            <w:hideMark/>
          </w:tcPr>
          <w:p w14:paraId="4BFD4C8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225</w:t>
            </w:r>
          </w:p>
        </w:tc>
        <w:tc>
          <w:tcPr>
            <w:tcW w:w="933" w:type="dxa"/>
            <w:tcBorders>
              <w:top w:val="nil"/>
              <w:left w:val="nil"/>
              <w:bottom w:val="single" w:sz="4" w:space="0" w:color="auto"/>
              <w:right w:val="single" w:sz="4" w:space="0" w:color="auto"/>
            </w:tcBorders>
            <w:shd w:val="clear" w:color="auto" w:fill="auto"/>
            <w:noWrap/>
            <w:vAlign w:val="center"/>
            <w:hideMark/>
          </w:tcPr>
          <w:p w14:paraId="4F6E561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201</w:t>
            </w:r>
          </w:p>
        </w:tc>
        <w:tc>
          <w:tcPr>
            <w:tcW w:w="933" w:type="dxa"/>
            <w:tcBorders>
              <w:top w:val="nil"/>
              <w:left w:val="nil"/>
              <w:bottom w:val="single" w:sz="4" w:space="0" w:color="auto"/>
              <w:right w:val="single" w:sz="4" w:space="0" w:color="auto"/>
            </w:tcBorders>
            <w:shd w:val="clear" w:color="auto" w:fill="auto"/>
            <w:noWrap/>
            <w:vAlign w:val="center"/>
            <w:hideMark/>
          </w:tcPr>
          <w:p w14:paraId="56E9E29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906</w:t>
            </w:r>
          </w:p>
        </w:tc>
        <w:tc>
          <w:tcPr>
            <w:tcW w:w="934" w:type="dxa"/>
            <w:tcBorders>
              <w:top w:val="nil"/>
              <w:left w:val="nil"/>
              <w:bottom w:val="single" w:sz="4" w:space="0" w:color="auto"/>
              <w:right w:val="single" w:sz="4" w:space="0" w:color="auto"/>
            </w:tcBorders>
            <w:shd w:val="clear" w:color="auto" w:fill="auto"/>
            <w:noWrap/>
            <w:vAlign w:val="center"/>
            <w:hideMark/>
          </w:tcPr>
          <w:p w14:paraId="65A7593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76</w:t>
            </w:r>
          </w:p>
        </w:tc>
        <w:tc>
          <w:tcPr>
            <w:tcW w:w="933" w:type="dxa"/>
            <w:tcBorders>
              <w:top w:val="nil"/>
              <w:left w:val="nil"/>
              <w:bottom w:val="single" w:sz="4" w:space="0" w:color="auto"/>
              <w:right w:val="single" w:sz="4" w:space="0" w:color="auto"/>
            </w:tcBorders>
            <w:shd w:val="clear" w:color="auto" w:fill="auto"/>
            <w:noWrap/>
            <w:vAlign w:val="center"/>
            <w:hideMark/>
          </w:tcPr>
          <w:p w14:paraId="60170F1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411</w:t>
            </w:r>
          </w:p>
        </w:tc>
        <w:tc>
          <w:tcPr>
            <w:tcW w:w="933" w:type="dxa"/>
            <w:tcBorders>
              <w:top w:val="nil"/>
              <w:left w:val="nil"/>
              <w:bottom w:val="single" w:sz="4" w:space="0" w:color="auto"/>
              <w:right w:val="single" w:sz="4" w:space="0" w:color="auto"/>
            </w:tcBorders>
            <w:shd w:val="clear" w:color="auto" w:fill="auto"/>
            <w:noWrap/>
            <w:vAlign w:val="center"/>
            <w:hideMark/>
          </w:tcPr>
          <w:p w14:paraId="6FABADD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838F6E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1,820</w:t>
            </w:r>
          </w:p>
        </w:tc>
      </w:tr>
      <w:tr w:rsidR="008428AF" w:rsidRPr="00AB625A" w14:paraId="5A12FE85"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608CBD42"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Rural Workforce Agency, Victoria Limited</w:t>
            </w:r>
          </w:p>
        </w:tc>
        <w:tc>
          <w:tcPr>
            <w:tcW w:w="1079" w:type="dxa"/>
            <w:tcBorders>
              <w:top w:val="nil"/>
              <w:left w:val="nil"/>
              <w:bottom w:val="single" w:sz="4" w:space="0" w:color="auto"/>
              <w:right w:val="single" w:sz="4" w:space="0" w:color="auto"/>
            </w:tcBorders>
            <w:shd w:val="clear" w:color="auto" w:fill="auto"/>
            <w:noWrap/>
            <w:vAlign w:val="center"/>
            <w:hideMark/>
          </w:tcPr>
          <w:p w14:paraId="12456CA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995</w:t>
            </w:r>
          </w:p>
        </w:tc>
        <w:tc>
          <w:tcPr>
            <w:tcW w:w="933" w:type="dxa"/>
            <w:tcBorders>
              <w:top w:val="nil"/>
              <w:left w:val="nil"/>
              <w:bottom w:val="single" w:sz="4" w:space="0" w:color="auto"/>
              <w:right w:val="single" w:sz="4" w:space="0" w:color="auto"/>
            </w:tcBorders>
            <w:shd w:val="clear" w:color="auto" w:fill="auto"/>
            <w:noWrap/>
            <w:vAlign w:val="center"/>
            <w:hideMark/>
          </w:tcPr>
          <w:p w14:paraId="0C66678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F9DD77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55EF57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6FCF51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154034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F0E4E93"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995</w:t>
            </w:r>
          </w:p>
        </w:tc>
        <w:tc>
          <w:tcPr>
            <w:tcW w:w="933" w:type="dxa"/>
            <w:tcBorders>
              <w:top w:val="nil"/>
              <w:left w:val="nil"/>
              <w:bottom w:val="single" w:sz="4" w:space="0" w:color="auto"/>
              <w:right w:val="single" w:sz="4" w:space="0" w:color="auto"/>
            </w:tcBorders>
            <w:shd w:val="clear" w:color="auto" w:fill="auto"/>
            <w:noWrap/>
            <w:vAlign w:val="center"/>
            <w:hideMark/>
          </w:tcPr>
          <w:p w14:paraId="72E9357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1,019</w:t>
            </w:r>
          </w:p>
        </w:tc>
        <w:tc>
          <w:tcPr>
            <w:tcW w:w="933" w:type="dxa"/>
            <w:tcBorders>
              <w:top w:val="nil"/>
              <w:left w:val="nil"/>
              <w:bottom w:val="single" w:sz="4" w:space="0" w:color="auto"/>
              <w:right w:val="single" w:sz="4" w:space="0" w:color="auto"/>
            </w:tcBorders>
            <w:shd w:val="clear" w:color="auto" w:fill="auto"/>
            <w:noWrap/>
            <w:vAlign w:val="center"/>
            <w:hideMark/>
          </w:tcPr>
          <w:p w14:paraId="77B41A4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361C55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8DBFAC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A2FDD1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94265F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34DC88A"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1,019</w:t>
            </w:r>
          </w:p>
        </w:tc>
      </w:tr>
      <w:tr w:rsidR="008428AF" w:rsidRPr="00AB625A" w14:paraId="7F87404B"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5BB0A7D"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Sacred Heart Mission Inc.</w:t>
            </w:r>
          </w:p>
        </w:tc>
        <w:tc>
          <w:tcPr>
            <w:tcW w:w="1079" w:type="dxa"/>
            <w:tcBorders>
              <w:top w:val="nil"/>
              <w:left w:val="nil"/>
              <w:bottom w:val="single" w:sz="4" w:space="0" w:color="auto"/>
              <w:right w:val="single" w:sz="4" w:space="0" w:color="auto"/>
            </w:tcBorders>
            <w:shd w:val="clear" w:color="auto" w:fill="auto"/>
            <w:noWrap/>
            <w:vAlign w:val="center"/>
            <w:hideMark/>
          </w:tcPr>
          <w:p w14:paraId="138E238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EF665E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582</w:t>
            </w:r>
          </w:p>
        </w:tc>
        <w:tc>
          <w:tcPr>
            <w:tcW w:w="933" w:type="dxa"/>
            <w:tcBorders>
              <w:top w:val="nil"/>
              <w:left w:val="nil"/>
              <w:bottom w:val="single" w:sz="4" w:space="0" w:color="auto"/>
              <w:right w:val="single" w:sz="4" w:space="0" w:color="auto"/>
            </w:tcBorders>
            <w:shd w:val="clear" w:color="auto" w:fill="auto"/>
            <w:noWrap/>
            <w:vAlign w:val="center"/>
            <w:hideMark/>
          </w:tcPr>
          <w:p w14:paraId="5DB164E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977EA8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1,513</w:t>
            </w:r>
          </w:p>
        </w:tc>
        <w:tc>
          <w:tcPr>
            <w:tcW w:w="933" w:type="dxa"/>
            <w:tcBorders>
              <w:top w:val="nil"/>
              <w:left w:val="nil"/>
              <w:bottom w:val="single" w:sz="4" w:space="0" w:color="auto"/>
              <w:right w:val="single" w:sz="4" w:space="0" w:color="auto"/>
            </w:tcBorders>
            <w:shd w:val="clear" w:color="auto" w:fill="auto"/>
            <w:noWrap/>
            <w:vAlign w:val="center"/>
            <w:hideMark/>
          </w:tcPr>
          <w:p w14:paraId="086CE7E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5095ED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38904D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2,095</w:t>
            </w:r>
          </w:p>
        </w:tc>
        <w:tc>
          <w:tcPr>
            <w:tcW w:w="933" w:type="dxa"/>
            <w:tcBorders>
              <w:top w:val="nil"/>
              <w:left w:val="nil"/>
              <w:bottom w:val="single" w:sz="4" w:space="0" w:color="auto"/>
              <w:right w:val="single" w:sz="4" w:space="0" w:color="auto"/>
            </w:tcBorders>
            <w:shd w:val="clear" w:color="auto" w:fill="auto"/>
            <w:noWrap/>
            <w:vAlign w:val="center"/>
            <w:hideMark/>
          </w:tcPr>
          <w:p w14:paraId="1A8CCEE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6E96ED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598</w:t>
            </w:r>
          </w:p>
        </w:tc>
        <w:tc>
          <w:tcPr>
            <w:tcW w:w="933" w:type="dxa"/>
            <w:tcBorders>
              <w:top w:val="nil"/>
              <w:left w:val="nil"/>
              <w:bottom w:val="single" w:sz="4" w:space="0" w:color="auto"/>
              <w:right w:val="single" w:sz="4" w:space="0" w:color="auto"/>
            </w:tcBorders>
            <w:shd w:val="clear" w:color="auto" w:fill="auto"/>
            <w:noWrap/>
            <w:vAlign w:val="center"/>
            <w:hideMark/>
          </w:tcPr>
          <w:p w14:paraId="644E3DE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8A9437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1,563</w:t>
            </w:r>
          </w:p>
        </w:tc>
        <w:tc>
          <w:tcPr>
            <w:tcW w:w="933" w:type="dxa"/>
            <w:tcBorders>
              <w:top w:val="nil"/>
              <w:left w:val="nil"/>
              <w:bottom w:val="single" w:sz="4" w:space="0" w:color="auto"/>
              <w:right w:val="single" w:sz="4" w:space="0" w:color="auto"/>
            </w:tcBorders>
            <w:shd w:val="clear" w:color="auto" w:fill="auto"/>
            <w:noWrap/>
            <w:vAlign w:val="center"/>
            <w:hideMark/>
          </w:tcPr>
          <w:p w14:paraId="008E452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D00055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4D8E2F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2,161</w:t>
            </w:r>
          </w:p>
        </w:tc>
      </w:tr>
      <w:tr w:rsidR="008428AF" w:rsidRPr="00AB625A" w14:paraId="724A20DC"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2BA6A0C"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South Eastern Melbourne Primary Health Network</w:t>
            </w:r>
          </w:p>
        </w:tc>
        <w:tc>
          <w:tcPr>
            <w:tcW w:w="1079" w:type="dxa"/>
            <w:tcBorders>
              <w:top w:val="nil"/>
              <w:left w:val="nil"/>
              <w:bottom w:val="single" w:sz="4" w:space="0" w:color="auto"/>
              <w:right w:val="single" w:sz="4" w:space="0" w:color="auto"/>
            </w:tcBorders>
            <w:shd w:val="clear" w:color="auto" w:fill="auto"/>
            <w:noWrap/>
            <w:vAlign w:val="center"/>
            <w:hideMark/>
          </w:tcPr>
          <w:p w14:paraId="4482F7F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F6ED17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967795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622</w:t>
            </w:r>
          </w:p>
        </w:tc>
        <w:tc>
          <w:tcPr>
            <w:tcW w:w="934" w:type="dxa"/>
            <w:tcBorders>
              <w:top w:val="nil"/>
              <w:left w:val="nil"/>
              <w:bottom w:val="single" w:sz="4" w:space="0" w:color="auto"/>
              <w:right w:val="single" w:sz="4" w:space="0" w:color="auto"/>
            </w:tcBorders>
            <w:shd w:val="clear" w:color="auto" w:fill="auto"/>
            <w:noWrap/>
            <w:vAlign w:val="center"/>
            <w:hideMark/>
          </w:tcPr>
          <w:p w14:paraId="61A6924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E47D82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5,084</w:t>
            </w:r>
          </w:p>
        </w:tc>
        <w:tc>
          <w:tcPr>
            <w:tcW w:w="933" w:type="dxa"/>
            <w:tcBorders>
              <w:top w:val="nil"/>
              <w:left w:val="nil"/>
              <w:bottom w:val="single" w:sz="4" w:space="0" w:color="auto"/>
              <w:right w:val="single" w:sz="4" w:space="0" w:color="auto"/>
            </w:tcBorders>
            <w:shd w:val="clear" w:color="auto" w:fill="auto"/>
            <w:noWrap/>
            <w:vAlign w:val="center"/>
            <w:hideMark/>
          </w:tcPr>
          <w:p w14:paraId="353B7EB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75</w:t>
            </w:r>
          </w:p>
        </w:tc>
        <w:tc>
          <w:tcPr>
            <w:tcW w:w="934" w:type="dxa"/>
            <w:tcBorders>
              <w:top w:val="nil"/>
              <w:left w:val="nil"/>
              <w:bottom w:val="single" w:sz="4" w:space="0" w:color="auto"/>
              <w:right w:val="single" w:sz="4" w:space="0" w:color="auto"/>
            </w:tcBorders>
            <w:shd w:val="clear" w:color="auto" w:fill="auto"/>
            <w:noWrap/>
            <w:vAlign w:val="center"/>
            <w:hideMark/>
          </w:tcPr>
          <w:p w14:paraId="4679480A"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5,782</w:t>
            </w:r>
          </w:p>
        </w:tc>
        <w:tc>
          <w:tcPr>
            <w:tcW w:w="933" w:type="dxa"/>
            <w:tcBorders>
              <w:top w:val="nil"/>
              <w:left w:val="nil"/>
              <w:bottom w:val="single" w:sz="4" w:space="0" w:color="auto"/>
              <w:right w:val="single" w:sz="4" w:space="0" w:color="auto"/>
            </w:tcBorders>
            <w:shd w:val="clear" w:color="auto" w:fill="auto"/>
            <w:noWrap/>
            <w:vAlign w:val="center"/>
            <w:hideMark/>
          </w:tcPr>
          <w:p w14:paraId="35CD706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55D6E1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C563AC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643</w:t>
            </w:r>
          </w:p>
        </w:tc>
        <w:tc>
          <w:tcPr>
            <w:tcW w:w="934" w:type="dxa"/>
            <w:tcBorders>
              <w:top w:val="nil"/>
              <w:left w:val="nil"/>
              <w:bottom w:val="single" w:sz="4" w:space="0" w:color="auto"/>
              <w:right w:val="single" w:sz="4" w:space="0" w:color="auto"/>
            </w:tcBorders>
            <w:shd w:val="clear" w:color="auto" w:fill="auto"/>
            <w:noWrap/>
            <w:vAlign w:val="center"/>
            <w:hideMark/>
          </w:tcPr>
          <w:p w14:paraId="631ADCB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892E15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3,644</w:t>
            </w:r>
          </w:p>
        </w:tc>
        <w:tc>
          <w:tcPr>
            <w:tcW w:w="933" w:type="dxa"/>
            <w:tcBorders>
              <w:top w:val="nil"/>
              <w:left w:val="nil"/>
              <w:bottom w:val="single" w:sz="4" w:space="0" w:color="auto"/>
              <w:right w:val="single" w:sz="4" w:space="0" w:color="auto"/>
            </w:tcBorders>
            <w:shd w:val="clear" w:color="auto" w:fill="auto"/>
            <w:noWrap/>
            <w:vAlign w:val="center"/>
            <w:hideMark/>
          </w:tcPr>
          <w:p w14:paraId="55DC175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75</w:t>
            </w:r>
          </w:p>
        </w:tc>
        <w:tc>
          <w:tcPr>
            <w:tcW w:w="934" w:type="dxa"/>
            <w:tcBorders>
              <w:top w:val="nil"/>
              <w:left w:val="nil"/>
              <w:bottom w:val="single" w:sz="4" w:space="0" w:color="auto"/>
              <w:right w:val="single" w:sz="4" w:space="0" w:color="auto"/>
            </w:tcBorders>
            <w:shd w:val="clear" w:color="auto" w:fill="auto"/>
            <w:noWrap/>
            <w:vAlign w:val="center"/>
            <w:hideMark/>
          </w:tcPr>
          <w:p w14:paraId="7778D9D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4,362</w:t>
            </w:r>
          </w:p>
        </w:tc>
      </w:tr>
      <w:tr w:rsidR="008428AF" w:rsidRPr="00AB625A" w14:paraId="516A3426"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0DB9F9F"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Spiritual Health Victoria Incorporated</w:t>
            </w:r>
          </w:p>
        </w:tc>
        <w:tc>
          <w:tcPr>
            <w:tcW w:w="1079" w:type="dxa"/>
            <w:tcBorders>
              <w:top w:val="nil"/>
              <w:left w:val="nil"/>
              <w:bottom w:val="single" w:sz="4" w:space="0" w:color="auto"/>
              <w:right w:val="single" w:sz="4" w:space="0" w:color="auto"/>
            </w:tcBorders>
            <w:shd w:val="clear" w:color="auto" w:fill="auto"/>
            <w:noWrap/>
            <w:vAlign w:val="center"/>
            <w:hideMark/>
          </w:tcPr>
          <w:p w14:paraId="2487487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1,354</w:t>
            </w:r>
          </w:p>
        </w:tc>
        <w:tc>
          <w:tcPr>
            <w:tcW w:w="933" w:type="dxa"/>
            <w:tcBorders>
              <w:top w:val="nil"/>
              <w:left w:val="nil"/>
              <w:bottom w:val="single" w:sz="4" w:space="0" w:color="auto"/>
              <w:right w:val="single" w:sz="4" w:space="0" w:color="auto"/>
            </w:tcBorders>
            <w:shd w:val="clear" w:color="auto" w:fill="auto"/>
            <w:noWrap/>
            <w:vAlign w:val="center"/>
            <w:hideMark/>
          </w:tcPr>
          <w:p w14:paraId="74F2DAE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3C5F26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BF0D1F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0B5248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0469F9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06624B3"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1,354</w:t>
            </w:r>
          </w:p>
        </w:tc>
        <w:tc>
          <w:tcPr>
            <w:tcW w:w="933" w:type="dxa"/>
            <w:tcBorders>
              <w:top w:val="nil"/>
              <w:left w:val="nil"/>
              <w:bottom w:val="single" w:sz="4" w:space="0" w:color="auto"/>
              <w:right w:val="single" w:sz="4" w:space="0" w:color="auto"/>
            </w:tcBorders>
            <w:shd w:val="clear" w:color="auto" w:fill="auto"/>
            <w:noWrap/>
            <w:vAlign w:val="center"/>
            <w:hideMark/>
          </w:tcPr>
          <w:p w14:paraId="799AB89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FA9A48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A1A613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10FF9A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CE88B5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3" w:type="dxa"/>
            <w:tcBorders>
              <w:top w:val="nil"/>
              <w:left w:val="nil"/>
              <w:bottom w:val="single" w:sz="4" w:space="0" w:color="auto"/>
              <w:right w:val="single" w:sz="4" w:space="0" w:color="auto"/>
            </w:tcBorders>
            <w:shd w:val="clear" w:color="auto" w:fill="auto"/>
            <w:noWrap/>
            <w:vAlign w:val="center"/>
            <w:hideMark/>
          </w:tcPr>
          <w:p w14:paraId="7036CAD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10FACF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0 </w:t>
            </w:r>
          </w:p>
        </w:tc>
      </w:tr>
      <w:tr w:rsidR="008428AF" w:rsidRPr="00AB625A" w14:paraId="4075F488"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725F8226"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Tandem Inc</w:t>
            </w:r>
          </w:p>
        </w:tc>
        <w:tc>
          <w:tcPr>
            <w:tcW w:w="1079" w:type="dxa"/>
            <w:tcBorders>
              <w:top w:val="nil"/>
              <w:left w:val="nil"/>
              <w:bottom w:val="single" w:sz="4" w:space="0" w:color="auto"/>
              <w:right w:val="single" w:sz="4" w:space="0" w:color="auto"/>
            </w:tcBorders>
            <w:shd w:val="clear" w:color="auto" w:fill="auto"/>
            <w:noWrap/>
            <w:vAlign w:val="center"/>
            <w:hideMark/>
          </w:tcPr>
          <w:p w14:paraId="5510EA2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4F2FDC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8FEBCE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FA2665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7,101</w:t>
            </w:r>
          </w:p>
        </w:tc>
        <w:tc>
          <w:tcPr>
            <w:tcW w:w="933" w:type="dxa"/>
            <w:tcBorders>
              <w:top w:val="nil"/>
              <w:left w:val="nil"/>
              <w:bottom w:val="single" w:sz="4" w:space="0" w:color="auto"/>
              <w:right w:val="single" w:sz="4" w:space="0" w:color="auto"/>
            </w:tcBorders>
            <w:shd w:val="clear" w:color="auto" w:fill="auto"/>
            <w:noWrap/>
            <w:vAlign w:val="center"/>
            <w:hideMark/>
          </w:tcPr>
          <w:p w14:paraId="743D629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1FBF0C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951E04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7,101</w:t>
            </w:r>
          </w:p>
        </w:tc>
        <w:tc>
          <w:tcPr>
            <w:tcW w:w="933" w:type="dxa"/>
            <w:tcBorders>
              <w:top w:val="nil"/>
              <w:left w:val="nil"/>
              <w:bottom w:val="single" w:sz="4" w:space="0" w:color="auto"/>
              <w:right w:val="single" w:sz="4" w:space="0" w:color="auto"/>
            </w:tcBorders>
            <w:shd w:val="clear" w:color="auto" w:fill="auto"/>
            <w:noWrap/>
            <w:vAlign w:val="center"/>
            <w:hideMark/>
          </w:tcPr>
          <w:p w14:paraId="0516151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B3381D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208422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1DEF5D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7,060</w:t>
            </w:r>
          </w:p>
        </w:tc>
        <w:tc>
          <w:tcPr>
            <w:tcW w:w="933" w:type="dxa"/>
            <w:tcBorders>
              <w:top w:val="nil"/>
              <w:left w:val="nil"/>
              <w:bottom w:val="single" w:sz="4" w:space="0" w:color="auto"/>
              <w:right w:val="single" w:sz="4" w:space="0" w:color="auto"/>
            </w:tcBorders>
            <w:shd w:val="clear" w:color="auto" w:fill="auto"/>
            <w:noWrap/>
            <w:vAlign w:val="center"/>
            <w:hideMark/>
          </w:tcPr>
          <w:p w14:paraId="7188FB0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3" w:type="dxa"/>
            <w:tcBorders>
              <w:top w:val="nil"/>
              <w:left w:val="nil"/>
              <w:bottom w:val="single" w:sz="4" w:space="0" w:color="auto"/>
              <w:right w:val="single" w:sz="4" w:space="0" w:color="auto"/>
            </w:tcBorders>
            <w:shd w:val="clear" w:color="auto" w:fill="auto"/>
            <w:noWrap/>
            <w:vAlign w:val="center"/>
            <w:hideMark/>
          </w:tcPr>
          <w:p w14:paraId="2F1282C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42EBF83"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7,060</w:t>
            </w:r>
          </w:p>
        </w:tc>
      </w:tr>
      <w:tr w:rsidR="008428AF" w:rsidRPr="00AB625A" w14:paraId="148ED6C7"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832EDA3"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Task Force Community Agency Inc</w:t>
            </w:r>
          </w:p>
        </w:tc>
        <w:tc>
          <w:tcPr>
            <w:tcW w:w="1079" w:type="dxa"/>
            <w:tcBorders>
              <w:top w:val="nil"/>
              <w:left w:val="nil"/>
              <w:bottom w:val="single" w:sz="4" w:space="0" w:color="auto"/>
              <w:right w:val="single" w:sz="4" w:space="0" w:color="auto"/>
            </w:tcBorders>
            <w:shd w:val="clear" w:color="auto" w:fill="auto"/>
            <w:noWrap/>
            <w:vAlign w:val="center"/>
            <w:hideMark/>
          </w:tcPr>
          <w:p w14:paraId="24D32CB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467C35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BBDF6C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3,576</w:t>
            </w:r>
          </w:p>
        </w:tc>
        <w:tc>
          <w:tcPr>
            <w:tcW w:w="934" w:type="dxa"/>
            <w:tcBorders>
              <w:top w:val="nil"/>
              <w:left w:val="nil"/>
              <w:bottom w:val="single" w:sz="4" w:space="0" w:color="auto"/>
              <w:right w:val="single" w:sz="4" w:space="0" w:color="auto"/>
            </w:tcBorders>
            <w:shd w:val="clear" w:color="auto" w:fill="auto"/>
            <w:noWrap/>
            <w:vAlign w:val="center"/>
            <w:hideMark/>
          </w:tcPr>
          <w:p w14:paraId="31B070F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8EB145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D79230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B429FC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3,576</w:t>
            </w:r>
          </w:p>
        </w:tc>
        <w:tc>
          <w:tcPr>
            <w:tcW w:w="933" w:type="dxa"/>
            <w:tcBorders>
              <w:top w:val="nil"/>
              <w:left w:val="nil"/>
              <w:bottom w:val="single" w:sz="4" w:space="0" w:color="auto"/>
              <w:right w:val="single" w:sz="4" w:space="0" w:color="auto"/>
            </w:tcBorders>
            <w:shd w:val="clear" w:color="auto" w:fill="auto"/>
            <w:noWrap/>
            <w:vAlign w:val="center"/>
            <w:hideMark/>
          </w:tcPr>
          <w:p w14:paraId="05F9AC3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65119B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05469D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3,693</w:t>
            </w:r>
          </w:p>
        </w:tc>
        <w:tc>
          <w:tcPr>
            <w:tcW w:w="934" w:type="dxa"/>
            <w:tcBorders>
              <w:top w:val="nil"/>
              <w:left w:val="nil"/>
              <w:bottom w:val="single" w:sz="4" w:space="0" w:color="auto"/>
              <w:right w:val="single" w:sz="4" w:space="0" w:color="auto"/>
            </w:tcBorders>
            <w:shd w:val="clear" w:color="auto" w:fill="auto"/>
            <w:noWrap/>
            <w:vAlign w:val="center"/>
            <w:hideMark/>
          </w:tcPr>
          <w:p w14:paraId="416DD15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D06090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3" w:type="dxa"/>
            <w:tcBorders>
              <w:top w:val="nil"/>
              <w:left w:val="nil"/>
              <w:bottom w:val="single" w:sz="4" w:space="0" w:color="auto"/>
              <w:right w:val="single" w:sz="4" w:space="0" w:color="auto"/>
            </w:tcBorders>
            <w:shd w:val="clear" w:color="auto" w:fill="auto"/>
            <w:noWrap/>
            <w:vAlign w:val="center"/>
            <w:hideMark/>
          </w:tcPr>
          <w:p w14:paraId="5B95E9E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13BF76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3,693</w:t>
            </w:r>
          </w:p>
        </w:tc>
      </w:tr>
      <w:tr w:rsidR="008428AF" w:rsidRPr="00AB625A" w14:paraId="62379097" w14:textId="77777777" w:rsidTr="00AD15B7">
        <w:trPr>
          <w:trHeight w:val="585"/>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46D25826"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The Australian Nutrition Foundation-Victorian Division Inc.</w:t>
            </w:r>
          </w:p>
        </w:tc>
        <w:tc>
          <w:tcPr>
            <w:tcW w:w="1079" w:type="dxa"/>
            <w:tcBorders>
              <w:top w:val="nil"/>
              <w:left w:val="nil"/>
              <w:bottom w:val="single" w:sz="4" w:space="0" w:color="auto"/>
              <w:right w:val="single" w:sz="4" w:space="0" w:color="auto"/>
            </w:tcBorders>
            <w:shd w:val="clear" w:color="auto" w:fill="auto"/>
            <w:noWrap/>
            <w:vAlign w:val="center"/>
            <w:hideMark/>
          </w:tcPr>
          <w:p w14:paraId="0E8C8B1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0BFB5C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5AEAD9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946B9E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95674E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4D0E07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1,293</w:t>
            </w:r>
          </w:p>
        </w:tc>
        <w:tc>
          <w:tcPr>
            <w:tcW w:w="934" w:type="dxa"/>
            <w:tcBorders>
              <w:top w:val="nil"/>
              <w:left w:val="nil"/>
              <w:bottom w:val="single" w:sz="4" w:space="0" w:color="auto"/>
              <w:right w:val="single" w:sz="4" w:space="0" w:color="auto"/>
            </w:tcBorders>
            <w:shd w:val="clear" w:color="auto" w:fill="auto"/>
            <w:noWrap/>
            <w:vAlign w:val="center"/>
            <w:hideMark/>
          </w:tcPr>
          <w:p w14:paraId="3C4142A7"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1,293</w:t>
            </w:r>
          </w:p>
        </w:tc>
        <w:tc>
          <w:tcPr>
            <w:tcW w:w="933" w:type="dxa"/>
            <w:tcBorders>
              <w:top w:val="nil"/>
              <w:left w:val="nil"/>
              <w:bottom w:val="single" w:sz="4" w:space="0" w:color="auto"/>
              <w:right w:val="single" w:sz="4" w:space="0" w:color="auto"/>
            </w:tcBorders>
            <w:shd w:val="clear" w:color="auto" w:fill="auto"/>
            <w:noWrap/>
            <w:vAlign w:val="center"/>
            <w:hideMark/>
          </w:tcPr>
          <w:p w14:paraId="2EA6C45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EC6A52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5BBA74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B0E541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FBDFB9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3" w:type="dxa"/>
            <w:tcBorders>
              <w:top w:val="nil"/>
              <w:left w:val="nil"/>
              <w:bottom w:val="single" w:sz="4" w:space="0" w:color="auto"/>
              <w:right w:val="single" w:sz="4" w:space="0" w:color="auto"/>
            </w:tcBorders>
            <w:shd w:val="clear" w:color="auto" w:fill="auto"/>
            <w:noWrap/>
            <w:vAlign w:val="center"/>
            <w:hideMark/>
          </w:tcPr>
          <w:p w14:paraId="666A5B1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1,336</w:t>
            </w:r>
          </w:p>
        </w:tc>
        <w:tc>
          <w:tcPr>
            <w:tcW w:w="934" w:type="dxa"/>
            <w:tcBorders>
              <w:top w:val="nil"/>
              <w:left w:val="nil"/>
              <w:bottom w:val="single" w:sz="4" w:space="0" w:color="auto"/>
              <w:right w:val="single" w:sz="4" w:space="0" w:color="auto"/>
            </w:tcBorders>
            <w:shd w:val="clear" w:color="auto" w:fill="auto"/>
            <w:noWrap/>
            <w:vAlign w:val="center"/>
            <w:hideMark/>
          </w:tcPr>
          <w:p w14:paraId="1936B12B"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1,336</w:t>
            </w:r>
          </w:p>
        </w:tc>
      </w:tr>
      <w:tr w:rsidR="008428AF" w:rsidRPr="00AB625A" w14:paraId="65C2D267"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8B2E61F"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The Goulburn Valley Hospice Care Service Inc</w:t>
            </w:r>
          </w:p>
        </w:tc>
        <w:tc>
          <w:tcPr>
            <w:tcW w:w="1079" w:type="dxa"/>
            <w:tcBorders>
              <w:top w:val="nil"/>
              <w:left w:val="nil"/>
              <w:bottom w:val="single" w:sz="4" w:space="0" w:color="auto"/>
              <w:right w:val="single" w:sz="4" w:space="0" w:color="auto"/>
            </w:tcBorders>
            <w:shd w:val="clear" w:color="auto" w:fill="auto"/>
            <w:noWrap/>
            <w:vAlign w:val="center"/>
            <w:hideMark/>
          </w:tcPr>
          <w:p w14:paraId="5232F10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2,051</w:t>
            </w:r>
          </w:p>
        </w:tc>
        <w:tc>
          <w:tcPr>
            <w:tcW w:w="933" w:type="dxa"/>
            <w:tcBorders>
              <w:top w:val="nil"/>
              <w:left w:val="nil"/>
              <w:bottom w:val="single" w:sz="4" w:space="0" w:color="auto"/>
              <w:right w:val="single" w:sz="4" w:space="0" w:color="auto"/>
            </w:tcBorders>
            <w:shd w:val="clear" w:color="auto" w:fill="auto"/>
            <w:noWrap/>
            <w:vAlign w:val="center"/>
            <w:hideMark/>
          </w:tcPr>
          <w:p w14:paraId="0754809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FD6EB4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30D511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0EBFB8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81E2C2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8910CD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2,051</w:t>
            </w:r>
          </w:p>
        </w:tc>
        <w:tc>
          <w:tcPr>
            <w:tcW w:w="933" w:type="dxa"/>
            <w:tcBorders>
              <w:top w:val="nil"/>
              <w:left w:val="nil"/>
              <w:bottom w:val="single" w:sz="4" w:space="0" w:color="auto"/>
              <w:right w:val="single" w:sz="4" w:space="0" w:color="auto"/>
            </w:tcBorders>
            <w:shd w:val="clear" w:color="auto" w:fill="auto"/>
            <w:noWrap/>
            <w:vAlign w:val="center"/>
            <w:hideMark/>
          </w:tcPr>
          <w:p w14:paraId="1FA770A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1,944</w:t>
            </w:r>
          </w:p>
        </w:tc>
        <w:tc>
          <w:tcPr>
            <w:tcW w:w="933" w:type="dxa"/>
            <w:tcBorders>
              <w:top w:val="nil"/>
              <w:left w:val="nil"/>
              <w:bottom w:val="single" w:sz="4" w:space="0" w:color="auto"/>
              <w:right w:val="single" w:sz="4" w:space="0" w:color="auto"/>
            </w:tcBorders>
            <w:shd w:val="clear" w:color="auto" w:fill="auto"/>
            <w:noWrap/>
            <w:vAlign w:val="center"/>
            <w:hideMark/>
          </w:tcPr>
          <w:p w14:paraId="759A500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BFCD25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D1E3DA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C2F242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3" w:type="dxa"/>
            <w:tcBorders>
              <w:top w:val="nil"/>
              <w:left w:val="nil"/>
              <w:bottom w:val="single" w:sz="4" w:space="0" w:color="auto"/>
              <w:right w:val="single" w:sz="4" w:space="0" w:color="auto"/>
            </w:tcBorders>
            <w:shd w:val="clear" w:color="auto" w:fill="auto"/>
            <w:noWrap/>
            <w:vAlign w:val="center"/>
            <w:hideMark/>
          </w:tcPr>
          <w:p w14:paraId="778ABDE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0A49A5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1,944</w:t>
            </w:r>
          </w:p>
        </w:tc>
      </w:tr>
      <w:tr w:rsidR="008428AF" w:rsidRPr="00AB625A" w14:paraId="0D53DE9B" w14:textId="77777777" w:rsidTr="00AD15B7">
        <w:trPr>
          <w:trHeight w:val="78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7E0E937A"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The Macfarlane Burnet Institute For Medical Research And Public Health Ltd</w:t>
            </w:r>
          </w:p>
        </w:tc>
        <w:tc>
          <w:tcPr>
            <w:tcW w:w="1079" w:type="dxa"/>
            <w:tcBorders>
              <w:top w:val="nil"/>
              <w:left w:val="nil"/>
              <w:bottom w:val="single" w:sz="4" w:space="0" w:color="auto"/>
              <w:right w:val="single" w:sz="4" w:space="0" w:color="auto"/>
            </w:tcBorders>
            <w:shd w:val="clear" w:color="auto" w:fill="auto"/>
            <w:noWrap/>
            <w:vAlign w:val="center"/>
            <w:hideMark/>
          </w:tcPr>
          <w:p w14:paraId="103CBC4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87</w:t>
            </w:r>
          </w:p>
        </w:tc>
        <w:tc>
          <w:tcPr>
            <w:tcW w:w="933" w:type="dxa"/>
            <w:tcBorders>
              <w:top w:val="nil"/>
              <w:left w:val="nil"/>
              <w:bottom w:val="single" w:sz="4" w:space="0" w:color="auto"/>
              <w:right w:val="single" w:sz="4" w:space="0" w:color="auto"/>
            </w:tcBorders>
            <w:shd w:val="clear" w:color="auto" w:fill="auto"/>
            <w:noWrap/>
            <w:vAlign w:val="center"/>
            <w:hideMark/>
          </w:tcPr>
          <w:p w14:paraId="050F237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0CF7C5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2E3059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A59DA0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40E218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205</w:t>
            </w:r>
          </w:p>
        </w:tc>
        <w:tc>
          <w:tcPr>
            <w:tcW w:w="934" w:type="dxa"/>
            <w:tcBorders>
              <w:top w:val="nil"/>
              <w:left w:val="nil"/>
              <w:bottom w:val="single" w:sz="4" w:space="0" w:color="auto"/>
              <w:right w:val="single" w:sz="4" w:space="0" w:color="auto"/>
            </w:tcBorders>
            <w:shd w:val="clear" w:color="auto" w:fill="auto"/>
            <w:noWrap/>
            <w:vAlign w:val="center"/>
            <w:hideMark/>
          </w:tcPr>
          <w:p w14:paraId="0D28E993"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291</w:t>
            </w:r>
          </w:p>
        </w:tc>
        <w:tc>
          <w:tcPr>
            <w:tcW w:w="933" w:type="dxa"/>
            <w:tcBorders>
              <w:top w:val="nil"/>
              <w:left w:val="nil"/>
              <w:bottom w:val="single" w:sz="4" w:space="0" w:color="auto"/>
              <w:right w:val="single" w:sz="4" w:space="0" w:color="auto"/>
            </w:tcBorders>
            <w:shd w:val="clear" w:color="auto" w:fill="auto"/>
            <w:noWrap/>
            <w:vAlign w:val="center"/>
            <w:hideMark/>
          </w:tcPr>
          <w:p w14:paraId="7595625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EEAE82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4D8980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44C19A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680295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DBE4E4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2,072</w:t>
            </w:r>
          </w:p>
        </w:tc>
        <w:tc>
          <w:tcPr>
            <w:tcW w:w="934" w:type="dxa"/>
            <w:tcBorders>
              <w:top w:val="nil"/>
              <w:left w:val="nil"/>
              <w:bottom w:val="single" w:sz="4" w:space="0" w:color="auto"/>
              <w:right w:val="single" w:sz="4" w:space="0" w:color="auto"/>
            </w:tcBorders>
            <w:shd w:val="clear" w:color="auto" w:fill="auto"/>
            <w:noWrap/>
            <w:vAlign w:val="center"/>
            <w:hideMark/>
          </w:tcPr>
          <w:p w14:paraId="08CF21E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2,072</w:t>
            </w:r>
          </w:p>
        </w:tc>
      </w:tr>
      <w:tr w:rsidR="008428AF" w:rsidRPr="00AB625A" w14:paraId="541B4730"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658F8B51"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The Salvation Army (Victoria) Property Trust</w:t>
            </w:r>
          </w:p>
        </w:tc>
        <w:tc>
          <w:tcPr>
            <w:tcW w:w="1079" w:type="dxa"/>
            <w:tcBorders>
              <w:top w:val="nil"/>
              <w:left w:val="nil"/>
              <w:bottom w:val="single" w:sz="4" w:space="0" w:color="auto"/>
              <w:right w:val="single" w:sz="4" w:space="0" w:color="auto"/>
            </w:tcBorders>
            <w:shd w:val="clear" w:color="auto" w:fill="auto"/>
            <w:noWrap/>
            <w:vAlign w:val="center"/>
            <w:hideMark/>
          </w:tcPr>
          <w:p w14:paraId="4EE0864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68D3D0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3,175</w:t>
            </w:r>
          </w:p>
        </w:tc>
        <w:tc>
          <w:tcPr>
            <w:tcW w:w="933" w:type="dxa"/>
            <w:tcBorders>
              <w:top w:val="nil"/>
              <w:left w:val="nil"/>
              <w:bottom w:val="single" w:sz="4" w:space="0" w:color="auto"/>
              <w:right w:val="single" w:sz="4" w:space="0" w:color="auto"/>
            </w:tcBorders>
            <w:shd w:val="clear" w:color="auto" w:fill="auto"/>
            <w:noWrap/>
            <w:vAlign w:val="center"/>
            <w:hideMark/>
          </w:tcPr>
          <w:p w14:paraId="436BBF9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11,419</w:t>
            </w:r>
          </w:p>
        </w:tc>
        <w:tc>
          <w:tcPr>
            <w:tcW w:w="934" w:type="dxa"/>
            <w:tcBorders>
              <w:top w:val="nil"/>
              <w:left w:val="nil"/>
              <w:bottom w:val="single" w:sz="4" w:space="0" w:color="auto"/>
              <w:right w:val="single" w:sz="4" w:space="0" w:color="auto"/>
            </w:tcBorders>
            <w:shd w:val="clear" w:color="auto" w:fill="auto"/>
            <w:noWrap/>
            <w:vAlign w:val="center"/>
            <w:hideMark/>
          </w:tcPr>
          <w:p w14:paraId="17A2C41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262</w:t>
            </w:r>
          </w:p>
        </w:tc>
        <w:tc>
          <w:tcPr>
            <w:tcW w:w="933" w:type="dxa"/>
            <w:tcBorders>
              <w:top w:val="nil"/>
              <w:left w:val="nil"/>
              <w:bottom w:val="single" w:sz="4" w:space="0" w:color="auto"/>
              <w:right w:val="single" w:sz="4" w:space="0" w:color="auto"/>
            </w:tcBorders>
            <w:shd w:val="clear" w:color="auto" w:fill="auto"/>
            <w:noWrap/>
            <w:vAlign w:val="center"/>
            <w:hideMark/>
          </w:tcPr>
          <w:p w14:paraId="5A49D9A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E2FF56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0E6FF95"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14,856</w:t>
            </w:r>
          </w:p>
        </w:tc>
        <w:tc>
          <w:tcPr>
            <w:tcW w:w="933" w:type="dxa"/>
            <w:tcBorders>
              <w:top w:val="nil"/>
              <w:left w:val="nil"/>
              <w:bottom w:val="single" w:sz="4" w:space="0" w:color="auto"/>
              <w:right w:val="single" w:sz="4" w:space="0" w:color="auto"/>
            </w:tcBorders>
            <w:shd w:val="clear" w:color="auto" w:fill="auto"/>
            <w:noWrap/>
            <w:vAlign w:val="center"/>
            <w:hideMark/>
          </w:tcPr>
          <w:p w14:paraId="68E7DEA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256944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3,267</w:t>
            </w:r>
          </w:p>
        </w:tc>
        <w:tc>
          <w:tcPr>
            <w:tcW w:w="933" w:type="dxa"/>
            <w:tcBorders>
              <w:top w:val="nil"/>
              <w:left w:val="nil"/>
              <w:bottom w:val="single" w:sz="4" w:space="0" w:color="auto"/>
              <w:right w:val="single" w:sz="4" w:space="0" w:color="auto"/>
            </w:tcBorders>
            <w:shd w:val="clear" w:color="auto" w:fill="auto"/>
            <w:noWrap/>
            <w:vAlign w:val="center"/>
            <w:hideMark/>
          </w:tcPr>
          <w:p w14:paraId="6E82295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11,795</w:t>
            </w:r>
          </w:p>
        </w:tc>
        <w:tc>
          <w:tcPr>
            <w:tcW w:w="934" w:type="dxa"/>
            <w:tcBorders>
              <w:top w:val="nil"/>
              <w:left w:val="nil"/>
              <w:bottom w:val="single" w:sz="4" w:space="0" w:color="auto"/>
              <w:right w:val="single" w:sz="4" w:space="0" w:color="auto"/>
            </w:tcBorders>
            <w:shd w:val="clear" w:color="auto" w:fill="auto"/>
            <w:noWrap/>
            <w:vAlign w:val="center"/>
            <w:hideMark/>
          </w:tcPr>
          <w:p w14:paraId="1278395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268</w:t>
            </w:r>
          </w:p>
        </w:tc>
        <w:tc>
          <w:tcPr>
            <w:tcW w:w="933" w:type="dxa"/>
            <w:tcBorders>
              <w:top w:val="nil"/>
              <w:left w:val="nil"/>
              <w:bottom w:val="single" w:sz="4" w:space="0" w:color="auto"/>
              <w:right w:val="single" w:sz="4" w:space="0" w:color="auto"/>
            </w:tcBorders>
            <w:shd w:val="clear" w:color="auto" w:fill="auto"/>
            <w:noWrap/>
            <w:vAlign w:val="center"/>
            <w:hideMark/>
          </w:tcPr>
          <w:p w14:paraId="293C462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85CED1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0003C6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15,329</w:t>
            </w:r>
          </w:p>
        </w:tc>
      </w:tr>
      <w:tr w:rsidR="008428AF" w:rsidRPr="00AB625A" w14:paraId="16EFD555"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3586E6C3"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The University Of Melbourne</w:t>
            </w:r>
          </w:p>
        </w:tc>
        <w:tc>
          <w:tcPr>
            <w:tcW w:w="1079" w:type="dxa"/>
            <w:tcBorders>
              <w:top w:val="nil"/>
              <w:left w:val="nil"/>
              <w:bottom w:val="single" w:sz="4" w:space="0" w:color="auto"/>
              <w:right w:val="single" w:sz="4" w:space="0" w:color="auto"/>
            </w:tcBorders>
            <w:shd w:val="clear" w:color="auto" w:fill="auto"/>
            <w:noWrap/>
            <w:vAlign w:val="center"/>
            <w:hideMark/>
          </w:tcPr>
          <w:p w14:paraId="134F970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3,423</w:t>
            </w:r>
          </w:p>
        </w:tc>
        <w:tc>
          <w:tcPr>
            <w:tcW w:w="933" w:type="dxa"/>
            <w:tcBorders>
              <w:top w:val="nil"/>
              <w:left w:val="nil"/>
              <w:bottom w:val="single" w:sz="4" w:space="0" w:color="auto"/>
              <w:right w:val="single" w:sz="4" w:space="0" w:color="auto"/>
            </w:tcBorders>
            <w:shd w:val="clear" w:color="auto" w:fill="auto"/>
            <w:noWrap/>
            <w:vAlign w:val="center"/>
            <w:hideMark/>
          </w:tcPr>
          <w:p w14:paraId="6F61359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F50CF9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A38E4D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4,522</w:t>
            </w:r>
          </w:p>
        </w:tc>
        <w:tc>
          <w:tcPr>
            <w:tcW w:w="933" w:type="dxa"/>
            <w:tcBorders>
              <w:top w:val="nil"/>
              <w:left w:val="nil"/>
              <w:bottom w:val="single" w:sz="4" w:space="0" w:color="auto"/>
              <w:right w:val="single" w:sz="4" w:space="0" w:color="auto"/>
            </w:tcBorders>
            <w:shd w:val="clear" w:color="auto" w:fill="auto"/>
            <w:noWrap/>
            <w:vAlign w:val="center"/>
            <w:hideMark/>
          </w:tcPr>
          <w:p w14:paraId="53AFF83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273</w:t>
            </w:r>
          </w:p>
        </w:tc>
        <w:tc>
          <w:tcPr>
            <w:tcW w:w="933" w:type="dxa"/>
            <w:tcBorders>
              <w:top w:val="nil"/>
              <w:left w:val="nil"/>
              <w:bottom w:val="single" w:sz="4" w:space="0" w:color="auto"/>
              <w:right w:val="single" w:sz="4" w:space="0" w:color="auto"/>
            </w:tcBorders>
            <w:shd w:val="clear" w:color="auto" w:fill="auto"/>
            <w:noWrap/>
            <w:vAlign w:val="center"/>
            <w:hideMark/>
          </w:tcPr>
          <w:p w14:paraId="20D2A70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9,013</w:t>
            </w:r>
          </w:p>
        </w:tc>
        <w:tc>
          <w:tcPr>
            <w:tcW w:w="934" w:type="dxa"/>
            <w:tcBorders>
              <w:top w:val="nil"/>
              <w:left w:val="nil"/>
              <w:bottom w:val="single" w:sz="4" w:space="0" w:color="auto"/>
              <w:right w:val="single" w:sz="4" w:space="0" w:color="auto"/>
            </w:tcBorders>
            <w:shd w:val="clear" w:color="auto" w:fill="auto"/>
            <w:noWrap/>
            <w:vAlign w:val="center"/>
            <w:hideMark/>
          </w:tcPr>
          <w:p w14:paraId="4C5EAF3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17,232</w:t>
            </w:r>
          </w:p>
        </w:tc>
        <w:tc>
          <w:tcPr>
            <w:tcW w:w="933" w:type="dxa"/>
            <w:tcBorders>
              <w:top w:val="nil"/>
              <w:left w:val="nil"/>
              <w:bottom w:val="single" w:sz="4" w:space="0" w:color="auto"/>
              <w:right w:val="single" w:sz="4" w:space="0" w:color="auto"/>
            </w:tcBorders>
            <w:shd w:val="clear" w:color="auto" w:fill="auto"/>
            <w:noWrap/>
            <w:vAlign w:val="center"/>
            <w:hideMark/>
          </w:tcPr>
          <w:p w14:paraId="67743AC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2,317</w:t>
            </w:r>
          </w:p>
        </w:tc>
        <w:tc>
          <w:tcPr>
            <w:tcW w:w="933" w:type="dxa"/>
            <w:tcBorders>
              <w:top w:val="nil"/>
              <w:left w:val="nil"/>
              <w:bottom w:val="single" w:sz="4" w:space="0" w:color="auto"/>
              <w:right w:val="single" w:sz="4" w:space="0" w:color="auto"/>
            </w:tcBorders>
            <w:shd w:val="clear" w:color="auto" w:fill="auto"/>
            <w:noWrap/>
            <w:vAlign w:val="center"/>
            <w:hideMark/>
          </w:tcPr>
          <w:p w14:paraId="7100AD4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205533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15642B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5,061</w:t>
            </w:r>
          </w:p>
        </w:tc>
        <w:tc>
          <w:tcPr>
            <w:tcW w:w="933" w:type="dxa"/>
            <w:tcBorders>
              <w:top w:val="nil"/>
              <w:left w:val="nil"/>
              <w:bottom w:val="single" w:sz="4" w:space="0" w:color="auto"/>
              <w:right w:val="single" w:sz="4" w:space="0" w:color="auto"/>
            </w:tcBorders>
            <w:shd w:val="clear" w:color="auto" w:fill="auto"/>
            <w:noWrap/>
            <w:vAlign w:val="center"/>
            <w:hideMark/>
          </w:tcPr>
          <w:p w14:paraId="454A493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280</w:t>
            </w:r>
          </w:p>
        </w:tc>
        <w:tc>
          <w:tcPr>
            <w:tcW w:w="933" w:type="dxa"/>
            <w:tcBorders>
              <w:top w:val="nil"/>
              <w:left w:val="nil"/>
              <w:bottom w:val="single" w:sz="4" w:space="0" w:color="auto"/>
              <w:right w:val="single" w:sz="4" w:space="0" w:color="auto"/>
            </w:tcBorders>
            <w:shd w:val="clear" w:color="auto" w:fill="auto"/>
            <w:noWrap/>
            <w:vAlign w:val="center"/>
            <w:hideMark/>
          </w:tcPr>
          <w:p w14:paraId="4DE86C1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10,656</w:t>
            </w:r>
          </w:p>
        </w:tc>
        <w:tc>
          <w:tcPr>
            <w:tcW w:w="934" w:type="dxa"/>
            <w:tcBorders>
              <w:top w:val="nil"/>
              <w:left w:val="nil"/>
              <w:bottom w:val="single" w:sz="4" w:space="0" w:color="auto"/>
              <w:right w:val="single" w:sz="4" w:space="0" w:color="auto"/>
            </w:tcBorders>
            <w:shd w:val="clear" w:color="auto" w:fill="auto"/>
            <w:noWrap/>
            <w:vAlign w:val="center"/>
            <w:hideMark/>
          </w:tcPr>
          <w:p w14:paraId="6886D03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18,313</w:t>
            </w:r>
          </w:p>
        </w:tc>
      </w:tr>
      <w:tr w:rsidR="008428AF" w:rsidRPr="00AB625A" w14:paraId="33DD4DF9"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9D7EC8F"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The Victorian Foundation For Survivors Of Torture Inc</w:t>
            </w:r>
          </w:p>
        </w:tc>
        <w:tc>
          <w:tcPr>
            <w:tcW w:w="1079" w:type="dxa"/>
            <w:tcBorders>
              <w:top w:val="nil"/>
              <w:left w:val="nil"/>
              <w:bottom w:val="single" w:sz="4" w:space="0" w:color="auto"/>
              <w:right w:val="single" w:sz="4" w:space="0" w:color="auto"/>
            </w:tcBorders>
            <w:shd w:val="clear" w:color="auto" w:fill="auto"/>
            <w:noWrap/>
            <w:vAlign w:val="center"/>
            <w:hideMark/>
          </w:tcPr>
          <w:p w14:paraId="3B9AD2C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D9542A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22A23F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5B339F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2,072</w:t>
            </w:r>
          </w:p>
        </w:tc>
        <w:tc>
          <w:tcPr>
            <w:tcW w:w="933" w:type="dxa"/>
            <w:tcBorders>
              <w:top w:val="nil"/>
              <w:left w:val="nil"/>
              <w:bottom w:val="single" w:sz="4" w:space="0" w:color="auto"/>
              <w:right w:val="single" w:sz="4" w:space="0" w:color="auto"/>
            </w:tcBorders>
            <w:shd w:val="clear" w:color="auto" w:fill="auto"/>
            <w:noWrap/>
            <w:vAlign w:val="center"/>
            <w:hideMark/>
          </w:tcPr>
          <w:p w14:paraId="07C2794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2,253</w:t>
            </w:r>
          </w:p>
        </w:tc>
        <w:tc>
          <w:tcPr>
            <w:tcW w:w="933" w:type="dxa"/>
            <w:tcBorders>
              <w:top w:val="nil"/>
              <w:left w:val="nil"/>
              <w:bottom w:val="single" w:sz="4" w:space="0" w:color="auto"/>
              <w:right w:val="single" w:sz="4" w:space="0" w:color="auto"/>
            </w:tcBorders>
            <w:shd w:val="clear" w:color="auto" w:fill="auto"/>
            <w:noWrap/>
            <w:vAlign w:val="center"/>
            <w:hideMark/>
          </w:tcPr>
          <w:p w14:paraId="4AB3E23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1F9A1F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4,325</w:t>
            </w:r>
          </w:p>
        </w:tc>
        <w:tc>
          <w:tcPr>
            <w:tcW w:w="933" w:type="dxa"/>
            <w:tcBorders>
              <w:top w:val="nil"/>
              <w:left w:val="nil"/>
              <w:bottom w:val="single" w:sz="4" w:space="0" w:color="auto"/>
              <w:right w:val="single" w:sz="4" w:space="0" w:color="auto"/>
            </w:tcBorders>
            <w:shd w:val="clear" w:color="auto" w:fill="auto"/>
            <w:noWrap/>
            <w:vAlign w:val="center"/>
            <w:hideMark/>
          </w:tcPr>
          <w:p w14:paraId="10C70F4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FA186D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2BE7F2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120087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2,133</w:t>
            </w:r>
          </w:p>
        </w:tc>
        <w:tc>
          <w:tcPr>
            <w:tcW w:w="933" w:type="dxa"/>
            <w:tcBorders>
              <w:top w:val="nil"/>
              <w:left w:val="nil"/>
              <w:bottom w:val="single" w:sz="4" w:space="0" w:color="auto"/>
              <w:right w:val="single" w:sz="4" w:space="0" w:color="auto"/>
            </w:tcBorders>
            <w:shd w:val="clear" w:color="auto" w:fill="auto"/>
            <w:noWrap/>
            <w:vAlign w:val="center"/>
            <w:hideMark/>
          </w:tcPr>
          <w:p w14:paraId="54F1207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2,307</w:t>
            </w:r>
          </w:p>
        </w:tc>
        <w:tc>
          <w:tcPr>
            <w:tcW w:w="933" w:type="dxa"/>
            <w:tcBorders>
              <w:top w:val="nil"/>
              <w:left w:val="nil"/>
              <w:bottom w:val="single" w:sz="4" w:space="0" w:color="auto"/>
              <w:right w:val="single" w:sz="4" w:space="0" w:color="auto"/>
            </w:tcBorders>
            <w:shd w:val="clear" w:color="auto" w:fill="auto"/>
            <w:noWrap/>
            <w:vAlign w:val="center"/>
            <w:hideMark/>
          </w:tcPr>
          <w:p w14:paraId="41770BE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F11AB17"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4,440</w:t>
            </w:r>
          </w:p>
        </w:tc>
      </w:tr>
      <w:tr w:rsidR="008428AF" w:rsidRPr="00AB625A" w14:paraId="4E411B7B"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4C052146"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The Victorian Healthcare Association Limited</w:t>
            </w:r>
          </w:p>
        </w:tc>
        <w:tc>
          <w:tcPr>
            <w:tcW w:w="1079" w:type="dxa"/>
            <w:tcBorders>
              <w:top w:val="nil"/>
              <w:left w:val="nil"/>
              <w:bottom w:val="single" w:sz="4" w:space="0" w:color="auto"/>
              <w:right w:val="single" w:sz="4" w:space="0" w:color="auto"/>
            </w:tcBorders>
            <w:shd w:val="clear" w:color="auto" w:fill="auto"/>
            <w:noWrap/>
            <w:vAlign w:val="center"/>
            <w:hideMark/>
          </w:tcPr>
          <w:p w14:paraId="7BDA4FC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133348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471D6C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E48BC8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775432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950</w:t>
            </w:r>
          </w:p>
        </w:tc>
        <w:tc>
          <w:tcPr>
            <w:tcW w:w="933" w:type="dxa"/>
            <w:tcBorders>
              <w:top w:val="nil"/>
              <w:left w:val="nil"/>
              <w:bottom w:val="single" w:sz="4" w:space="0" w:color="auto"/>
              <w:right w:val="single" w:sz="4" w:space="0" w:color="auto"/>
            </w:tcBorders>
            <w:shd w:val="clear" w:color="auto" w:fill="auto"/>
            <w:noWrap/>
            <w:vAlign w:val="center"/>
            <w:hideMark/>
          </w:tcPr>
          <w:p w14:paraId="389ED31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014E69B"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950</w:t>
            </w:r>
          </w:p>
        </w:tc>
        <w:tc>
          <w:tcPr>
            <w:tcW w:w="933" w:type="dxa"/>
            <w:tcBorders>
              <w:top w:val="nil"/>
              <w:left w:val="nil"/>
              <w:bottom w:val="single" w:sz="4" w:space="0" w:color="auto"/>
              <w:right w:val="single" w:sz="4" w:space="0" w:color="auto"/>
            </w:tcBorders>
            <w:shd w:val="clear" w:color="auto" w:fill="auto"/>
            <w:noWrap/>
            <w:vAlign w:val="center"/>
            <w:hideMark/>
          </w:tcPr>
          <w:p w14:paraId="7CDFAC8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BEBEB8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4B6699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4FD826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285</w:t>
            </w:r>
          </w:p>
        </w:tc>
        <w:tc>
          <w:tcPr>
            <w:tcW w:w="933" w:type="dxa"/>
            <w:tcBorders>
              <w:top w:val="nil"/>
              <w:left w:val="nil"/>
              <w:bottom w:val="single" w:sz="4" w:space="0" w:color="auto"/>
              <w:right w:val="single" w:sz="4" w:space="0" w:color="auto"/>
            </w:tcBorders>
            <w:shd w:val="clear" w:color="auto" w:fill="auto"/>
            <w:noWrap/>
            <w:vAlign w:val="center"/>
            <w:hideMark/>
          </w:tcPr>
          <w:p w14:paraId="7C8053E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1,126</w:t>
            </w:r>
          </w:p>
        </w:tc>
        <w:tc>
          <w:tcPr>
            <w:tcW w:w="933" w:type="dxa"/>
            <w:tcBorders>
              <w:top w:val="nil"/>
              <w:left w:val="nil"/>
              <w:bottom w:val="single" w:sz="4" w:space="0" w:color="auto"/>
              <w:right w:val="single" w:sz="4" w:space="0" w:color="auto"/>
            </w:tcBorders>
            <w:shd w:val="clear" w:color="auto" w:fill="auto"/>
            <w:noWrap/>
            <w:vAlign w:val="center"/>
            <w:hideMark/>
          </w:tcPr>
          <w:p w14:paraId="621F9E6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20BEAF1"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1,411</w:t>
            </w:r>
          </w:p>
        </w:tc>
      </w:tr>
      <w:tr w:rsidR="008428AF" w:rsidRPr="00AB625A" w14:paraId="79805FCB"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32C8284F"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Uniting Agewell Victoria</w:t>
            </w:r>
          </w:p>
        </w:tc>
        <w:tc>
          <w:tcPr>
            <w:tcW w:w="1079" w:type="dxa"/>
            <w:tcBorders>
              <w:top w:val="nil"/>
              <w:left w:val="nil"/>
              <w:bottom w:val="single" w:sz="4" w:space="0" w:color="auto"/>
              <w:right w:val="single" w:sz="4" w:space="0" w:color="auto"/>
            </w:tcBorders>
            <w:shd w:val="clear" w:color="auto" w:fill="auto"/>
            <w:noWrap/>
            <w:vAlign w:val="center"/>
            <w:hideMark/>
          </w:tcPr>
          <w:p w14:paraId="43BF246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6E39A9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1,305</w:t>
            </w:r>
          </w:p>
        </w:tc>
        <w:tc>
          <w:tcPr>
            <w:tcW w:w="933" w:type="dxa"/>
            <w:tcBorders>
              <w:top w:val="nil"/>
              <w:left w:val="nil"/>
              <w:bottom w:val="single" w:sz="4" w:space="0" w:color="auto"/>
              <w:right w:val="single" w:sz="4" w:space="0" w:color="auto"/>
            </w:tcBorders>
            <w:shd w:val="clear" w:color="auto" w:fill="auto"/>
            <w:noWrap/>
            <w:vAlign w:val="center"/>
            <w:hideMark/>
          </w:tcPr>
          <w:p w14:paraId="34AE8EA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7A2DFC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E6EAF1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74056E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A53C42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1,305</w:t>
            </w:r>
          </w:p>
        </w:tc>
        <w:tc>
          <w:tcPr>
            <w:tcW w:w="933" w:type="dxa"/>
            <w:tcBorders>
              <w:top w:val="nil"/>
              <w:left w:val="nil"/>
              <w:bottom w:val="single" w:sz="4" w:space="0" w:color="auto"/>
              <w:right w:val="single" w:sz="4" w:space="0" w:color="auto"/>
            </w:tcBorders>
            <w:shd w:val="clear" w:color="auto" w:fill="auto"/>
            <w:noWrap/>
            <w:vAlign w:val="center"/>
            <w:hideMark/>
          </w:tcPr>
          <w:p w14:paraId="6A99B26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55E4B9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1,335</w:t>
            </w:r>
          </w:p>
        </w:tc>
        <w:tc>
          <w:tcPr>
            <w:tcW w:w="933" w:type="dxa"/>
            <w:tcBorders>
              <w:top w:val="nil"/>
              <w:left w:val="nil"/>
              <w:bottom w:val="single" w:sz="4" w:space="0" w:color="auto"/>
              <w:right w:val="single" w:sz="4" w:space="0" w:color="auto"/>
            </w:tcBorders>
            <w:shd w:val="clear" w:color="auto" w:fill="auto"/>
            <w:noWrap/>
            <w:vAlign w:val="center"/>
            <w:hideMark/>
          </w:tcPr>
          <w:p w14:paraId="2D87042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FB7F2C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EE9EAF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EE755A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BCCC3CC"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1,335</w:t>
            </w:r>
          </w:p>
        </w:tc>
      </w:tr>
      <w:tr w:rsidR="008428AF" w:rsidRPr="00AB625A" w14:paraId="6EA9566B"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4CE7E429"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Very Special Kids</w:t>
            </w:r>
          </w:p>
        </w:tc>
        <w:tc>
          <w:tcPr>
            <w:tcW w:w="1079" w:type="dxa"/>
            <w:tcBorders>
              <w:top w:val="nil"/>
              <w:left w:val="nil"/>
              <w:bottom w:val="single" w:sz="4" w:space="0" w:color="auto"/>
              <w:right w:val="single" w:sz="4" w:space="0" w:color="auto"/>
            </w:tcBorders>
            <w:shd w:val="clear" w:color="auto" w:fill="auto"/>
            <w:noWrap/>
            <w:vAlign w:val="center"/>
            <w:hideMark/>
          </w:tcPr>
          <w:p w14:paraId="7728C4A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2,330</w:t>
            </w:r>
          </w:p>
        </w:tc>
        <w:tc>
          <w:tcPr>
            <w:tcW w:w="933" w:type="dxa"/>
            <w:tcBorders>
              <w:top w:val="nil"/>
              <w:left w:val="nil"/>
              <w:bottom w:val="single" w:sz="4" w:space="0" w:color="auto"/>
              <w:right w:val="single" w:sz="4" w:space="0" w:color="auto"/>
            </w:tcBorders>
            <w:shd w:val="clear" w:color="auto" w:fill="auto"/>
            <w:noWrap/>
            <w:vAlign w:val="center"/>
            <w:hideMark/>
          </w:tcPr>
          <w:p w14:paraId="720CE04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3050B3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38B12F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963888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A79E4C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14BA86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2,330</w:t>
            </w:r>
          </w:p>
        </w:tc>
        <w:tc>
          <w:tcPr>
            <w:tcW w:w="933" w:type="dxa"/>
            <w:tcBorders>
              <w:top w:val="nil"/>
              <w:left w:val="nil"/>
              <w:bottom w:val="single" w:sz="4" w:space="0" w:color="auto"/>
              <w:right w:val="single" w:sz="4" w:space="0" w:color="auto"/>
            </w:tcBorders>
            <w:shd w:val="clear" w:color="auto" w:fill="auto"/>
            <w:noWrap/>
            <w:vAlign w:val="center"/>
            <w:hideMark/>
          </w:tcPr>
          <w:p w14:paraId="2E882AA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2,344</w:t>
            </w:r>
          </w:p>
        </w:tc>
        <w:tc>
          <w:tcPr>
            <w:tcW w:w="933" w:type="dxa"/>
            <w:tcBorders>
              <w:top w:val="nil"/>
              <w:left w:val="nil"/>
              <w:bottom w:val="single" w:sz="4" w:space="0" w:color="auto"/>
              <w:right w:val="single" w:sz="4" w:space="0" w:color="auto"/>
            </w:tcBorders>
            <w:shd w:val="clear" w:color="auto" w:fill="auto"/>
            <w:noWrap/>
            <w:vAlign w:val="center"/>
            <w:hideMark/>
          </w:tcPr>
          <w:p w14:paraId="38D9C54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5710E0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D33097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9FEF08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45F0E4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DB4082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2,344</w:t>
            </w:r>
          </w:p>
        </w:tc>
      </w:tr>
      <w:tr w:rsidR="008428AF" w:rsidRPr="00AB625A" w14:paraId="7996ED8C"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7165450C"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Victoria Legal Aid</w:t>
            </w:r>
          </w:p>
        </w:tc>
        <w:tc>
          <w:tcPr>
            <w:tcW w:w="1079" w:type="dxa"/>
            <w:tcBorders>
              <w:top w:val="nil"/>
              <w:left w:val="nil"/>
              <w:bottom w:val="single" w:sz="4" w:space="0" w:color="auto"/>
              <w:right w:val="single" w:sz="4" w:space="0" w:color="auto"/>
            </w:tcBorders>
            <w:shd w:val="clear" w:color="auto" w:fill="auto"/>
            <w:noWrap/>
            <w:vAlign w:val="center"/>
            <w:hideMark/>
          </w:tcPr>
          <w:p w14:paraId="5516D91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89236D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C4DE15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2CBAD2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3,460</w:t>
            </w:r>
          </w:p>
        </w:tc>
        <w:tc>
          <w:tcPr>
            <w:tcW w:w="933" w:type="dxa"/>
            <w:tcBorders>
              <w:top w:val="nil"/>
              <w:left w:val="nil"/>
              <w:bottom w:val="single" w:sz="4" w:space="0" w:color="auto"/>
              <w:right w:val="single" w:sz="4" w:space="0" w:color="auto"/>
            </w:tcBorders>
            <w:shd w:val="clear" w:color="auto" w:fill="auto"/>
            <w:noWrap/>
            <w:vAlign w:val="center"/>
            <w:hideMark/>
          </w:tcPr>
          <w:p w14:paraId="3ABDF75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4C5FC4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A6CE4F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3,460</w:t>
            </w:r>
          </w:p>
        </w:tc>
        <w:tc>
          <w:tcPr>
            <w:tcW w:w="933" w:type="dxa"/>
            <w:tcBorders>
              <w:top w:val="nil"/>
              <w:left w:val="nil"/>
              <w:bottom w:val="single" w:sz="4" w:space="0" w:color="auto"/>
              <w:right w:val="single" w:sz="4" w:space="0" w:color="auto"/>
            </w:tcBorders>
            <w:shd w:val="clear" w:color="auto" w:fill="auto"/>
            <w:noWrap/>
            <w:vAlign w:val="center"/>
            <w:hideMark/>
          </w:tcPr>
          <w:p w14:paraId="1E9802F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8B76D0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FDEFD4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8A6CB0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3,558</w:t>
            </w:r>
          </w:p>
        </w:tc>
        <w:tc>
          <w:tcPr>
            <w:tcW w:w="933" w:type="dxa"/>
            <w:tcBorders>
              <w:top w:val="nil"/>
              <w:left w:val="nil"/>
              <w:bottom w:val="single" w:sz="4" w:space="0" w:color="auto"/>
              <w:right w:val="single" w:sz="4" w:space="0" w:color="auto"/>
            </w:tcBorders>
            <w:shd w:val="clear" w:color="auto" w:fill="auto"/>
            <w:noWrap/>
            <w:vAlign w:val="center"/>
            <w:hideMark/>
          </w:tcPr>
          <w:p w14:paraId="61C6D32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39E9D2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700179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3,558</w:t>
            </w:r>
          </w:p>
        </w:tc>
      </w:tr>
      <w:tr w:rsidR="008428AF" w:rsidRPr="00AB625A" w14:paraId="066E29A5" w14:textId="77777777" w:rsidTr="00AD15B7">
        <w:trPr>
          <w:trHeight w:val="585"/>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E241C4E"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Victorian Aboriginal Community Controlled Health Organisation Inc</w:t>
            </w:r>
          </w:p>
        </w:tc>
        <w:tc>
          <w:tcPr>
            <w:tcW w:w="1079" w:type="dxa"/>
            <w:tcBorders>
              <w:top w:val="nil"/>
              <w:left w:val="nil"/>
              <w:bottom w:val="single" w:sz="4" w:space="0" w:color="auto"/>
              <w:right w:val="single" w:sz="4" w:space="0" w:color="auto"/>
            </w:tcBorders>
            <w:shd w:val="clear" w:color="auto" w:fill="auto"/>
            <w:noWrap/>
            <w:vAlign w:val="center"/>
            <w:hideMark/>
          </w:tcPr>
          <w:p w14:paraId="3A5EAD5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2,820</w:t>
            </w:r>
          </w:p>
        </w:tc>
        <w:tc>
          <w:tcPr>
            <w:tcW w:w="933" w:type="dxa"/>
            <w:tcBorders>
              <w:top w:val="nil"/>
              <w:left w:val="nil"/>
              <w:bottom w:val="single" w:sz="4" w:space="0" w:color="auto"/>
              <w:right w:val="single" w:sz="4" w:space="0" w:color="auto"/>
            </w:tcBorders>
            <w:shd w:val="clear" w:color="auto" w:fill="auto"/>
            <w:noWrap/>
            <w:vAlign w:val="center"/>
            <w:hideMark/>
          </w:tcPr>
          <w:p w14:paraId="5D2C7D4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328</w:t>
            </w:r>
          </w:p>
        </w:tc>
        <w:tc>
          <w:tcPr>
            <w:tcW w:w="933" w:type="dxa"/>
            <w:tcBorders>
              <w:top w:val="nil"/>
              <w:left w:val="nil"/>
              <w:bottom w:val="single" w:sz="4" w:space="0" w:color="auto"/>
              <w:right w:val="single" w:sz="4" w:space="0" w:color="auto"/>
            </w:tcBorders>
            <w:shd w:val="clear" w:color="auto" w:fill="auto"/>
            <w:noWrap/>
            <w:vAlign w:val="center"/>
            <w:hideMark/>
          </w:tcPr>
          <w:p w14:paraId="0ECF001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507</w:t>
            </w:r>
          </w:p>
        </w:tc>
        <w:tc>
          <w:tcPr>
            <w:tcW w:w="934" w:type="dxa"/>
            <w:tcBorders>
              <w:top w:val="nil"/>
              <w:left w:val="nil"/>
              <w:bottom w:val="single" w:sz="4" w:space="0" w:color="auto"/>
              <w:right w:val="single" w:sz="4" w:space="0" w:color="auto"/>
            </w:tcBorders>
            <w:shd w:val="clear" w:color="auto" w:fill="auto"/>
            <w:noWrap/>
            <w:vAlign w:val="center"/>
            <w:hideMark/>
          </w:tcPr>
          <w:p w14:paraId="3643FA8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2,519</w:t>
            </w:r>
          </w:p>
        </w:tc>
        <w:tc>
          <w:tcPr>
            <w:tcW w:w="933" w:type="dxa"/>
            <w:tcBorders>
              <w:top w:val="nil"/>
              <w:left w:val="nil"/>
              <w:bottom w:val="single" w:sz="4" w:space="0" w:color="auto"/>
              <w:right w:val="single" w:sz="4" w:space="0" w:color="auto"/>
            </w:tcBorders>
            <w:shd w:val="clear" w:color="auto" w:fill="auto"/>
            <w:noWrap/>
            <w:vAlign w:val="center"/>
            <w:hideMark/>
          </w:tcPr>
          <w:p w14:paraId="68EFDEE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637</w:t>
            </w:r>
          </w:p>
        </w:tc>
        <w:tc>
          <w:tcPr>
            <w:tcW w:w="933" w:type="dxa"/>
            <w:tcBorders>
              <w:top w:val="nil"/>
              <w:left w:val="nil"/>
              <w:bottom w:val="single" w:sz="4" w:space="0" w:color="auto"/>
              <w:right w:val="single" w:sz="4" w:space="0" w:color="auto"/>
            </w:tcBorders>
            <w:shd w:val="clear" w:color="auto" w:fill="auto"/>
            <w:noWrap/>
            <w:vAlign w:val="center"/>
            <w:hideMark/>
          </w:tcPr>
          <w:p w14:paraId="5546D1B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1,882</w:t>
            </w:r>
          </w:p>
        </w:tc>
        <w:tc>
          <w:tcPr>
            <w:tcW w:w="934" w:type="dxa"/>
            <w:tcBorders>
              <w:top w:val="nil"/>
              <w:left w:val="nil"/>
              <w:bottom w:val="single" w:sz="4" w:space="0" w:color="auto"/>
              <w:right w:val="single" w:sz="4" w:space="0" w:color="auto"/>
            </w:tcBorders>
            <w:shd w:val="clear" w:color="auto" w:fill="auto"/>
            <w:noWrap/>
            <w:vAlign w:val="center"/>
            <w:hideMark/>
          </w:tcPr>
          <w:p w14:paraId="18E7D06B"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8,693</w:t>
            </w:r>
          </w:p>
        </w:tc>
        <w:tc>
          <w:tcPr>
            <w:tcW w:w="933" w:type="dxa"/>
            <w:tcBorders>
              <w:top w:val="nil"/>
              <w:left w:val="nil"/>
              <w:bottom w:val="single" w:sz="4" w:space="0" w:color="auto"/>
              <w:right w:val="single" w:sz="4" w:space="0" w:color="auto"/>
            </w:tcBorders>
            <w:shd w:val="clear" w:color="auto" w:fill="auto"/>
            <w:noWrap/>
            <w:vAlign w:val="center"/>
            <w:hideMark/>
          </w:tcPr>
          <w:p w14:paraId="10334D2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1,236</w:t>
            </w:r>
          </w:p>
        </w:tc>
        <w:tc>
          <w:tcPr>
            <w:tcW w:w="933" w:type="dxa"/>
            <w:tcBorders>
              <w:top w:val="nil"/>
              <w:left w:val="nil"/>
              <w:bottom w:val="single" w:sz="4" w:space="0" w:color="auto"/>
              <w:right w:val="single" w:sz="4" w:space="0" w:color="auto"/>
            </w:tcBorders>
            <w:shd w:val="clear" w:color="auto" w:fill="auto"/>
            <w:noWrap/>
            <w:vAlign w:val="center"/>
            <w:hideMark/>
          </w:tcPr>
          <w:p w14:paraId="1B24629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337</w:t>
            </w:r>
          </w:p>
        </w:tc>
        <w:tc>
          <w:tcPr>
            <w:tcW w:w="933" w:type="dxa"/>
            <w:tcBorders>
              <w:top w:val="nil"/>
              <w:left w:val="nil"/>
              <w:bottom w:val="single" w:sz="4" w:space="0" w:color="auto"/>
              <w:right w:val="single" w:sz="4" w:space="0" w:color="auto"/>
            </w:tcBorders>
            <w:shd w:val="clear" w:color="auto" w:fill="auto"/>
            <w:noWrap/>
            <w:vAlign w:val="center"/>
            <w:hideMark/>
          </w:tcPr>
          <w:p w14:paraId="5DE6C08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524</w:t>
            </w:r>
          </w:p>
        </w:tc>
        <w:tc>
          <w:tcPr>
            <w:tcW w:w="934" w:type="dxa"/>
            <w:tcBorders>
              <w:top w:val="nil"/>
              <w:left w:val="nil"/>
              <w:bottom w:val="single" w:sz="4" w:space="0" w:color="auto"/>
              <w:right w:val="single" w:sz="4" w:space="0" w:color="auto"/>
            </w:tcBorders>
            <w:shd w:val="clear" w:color="auto" w:fill="auto"/>
            <w:noWrap/>
            <w:vAlign w:val="center"/>
            <w:hideMark/>
          </w:tcPr>
          <w:p w14:paraId="7875B39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2,602</w:t>
            </w:r>
          </w:p>
        </w:tc>
        <w:tc>
          <w:tcPr>
            <w:tcW w:w="933" w:type="dxa"/>
            <w:tcBorders>
              <w:top w:val="nil"/>
              <w:left w:val="nil"/>
              <w:bottom w:val="single" w:sz="4" w:space="0" w:color="auto"/>
              <w:right w:val="single" w:sz="4" w:space="0" w:color="auto"/>
            </w:tcBorders>
            <w:shd w:val="clear" w:color="auto" w:fill="auto"/>
            <w:noWrap/>
            <w:vAlign w:val="center"/>
            <w:hideMark/>
          </w:tcPr>
          <w:p w14:paraId="5676B36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2,106</w:t>
            </w:r>
          </w:p>
        </w:tc>
        <w:tc>
          <w:tcPr>
            <w:tcW w:w="933" w:type="dxa"/>
            <w:tcBorders>
              <w:top w:val="nil"/>
              <w:left w:val="nil"/>
              <w:bottom w:val="single" w:sz="4" w:space="0" w:color="auto"/>
              <w:right w:val="single" w:sz="4" w:space="0" w:color="auto"/>
            </w:tcBorders>
            <w:shd w:val="clear" w:color="auto" w:fill="auto"/>
            <w:noWrap/>
            <w:vAlign w:val="center"/>
            <w:hideMark/>
          </w:tcPr>
          <w:p w14:paraId="22CDDF8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2,047</w:t>
            </w:r>
          </w:p>
        </w:tc>
        <w:tc>
          <w:tcPr>
            <w:tcW w:w="934" w:type="dxa"/>
            <w:tcBorders>
              <w:top w:val="nil"/>
              <w:left w:val="nil"/>
              <w:bottom w:val="single" w:sz="4" w:space="0" w:color="auto"/>
              <w:right w:val="single" w:sz="4" w:space="0" w:color="auto"/>
            </w:tcBorders>
            <w:shd w:val="clear" w:color="auto" w:fill="auto"/>
            <w:noWrap/>
            <w:vAlign w:val="center"/>
            <w:hideMark/>
          </w:tcPr>
          <w:p w14:paraId="4F04CE6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8,852</w:t>
            </w:r>
          </w:p>
        </w:tc>
      </w:tr>
      <w:tr w:rsidR="008428AF" w:rsidRPr="00AB625A" w14:paraId="0ADEB48E" w14:textId="77777777" w:rsidTr="00AD15B7">
        <w:trPr>
          <w:trHeight w:val="585"/>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4B406094"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Victorian Aboriginal Health Service Co-Operative Limited</w:t>
            </w:r>
          </w:p>
        </w:tc>
        <w:tc>
          <w:tcPr>
            <w:tcW w:w="1079" w:type="dxa"/>
            <w:tcBorders>
              <w:top w:val="nil"/>
              <w:left w:val="nil"/>
              <w:bottom w:val="single" w:sz="4" w:space="0" w:color="auto"/>
              <w:right w:val="single" w:sz="4" w:space="0" w:color="auto"/>
            </w:tcBorders>
            <w:shd w:val="clear" w:color="auto" w:fill="auto"/>
            <w:noWrap/>
            <w:vAlign w:val="center"/>
            <w:hideMark/>
          </w:tcPr>
          <w:p w14:paraId="7FC5EC1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1,112</w:t>
            </w:r>
          </w:p>
        </w:tc>
        <w:tc>
          <w:tcPr>
            <w:tcW w:w="933" w:type="dxa"/>
            <w:tcBorders>
              <w:top w:val="nil"/>
              <w:left w:val="nil"/>
              <w:bottom w:val="single" w:sz="4" w:space="0" w:color="auto"/>
              <w:right w:val="single" w:sz="4" w:space="0" w:color="auto"/>
            </w:tcBorders>
            <w:shd w:val="clear" w:color="auto" w:fill="auto"/>
            <w:noWrap/>
            <w:vAlign w:val="center"/>
            <w:hideMark/>
          </w:tcPr>
          <w:p w14:paraId="66FF6F3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200</w:t>
            </w:r>
          </w:p>
        </w:tc>
        <w:tc>
          <w:tcPr>
            <w:tcW w:w="933" w:type="dxa"/>
            <w:tcBorders>
              <w:top w:val="nil"/>
              <w:left w:val="nil"/>
              <w:bottom w:val="single" w:sz="4" w:space="0" w:color="auto"/>
              <w:right w:val="single" w:sz="4" w:space="0" w:color="auto"/>
            </w:tcBorders>
            <w:shd w:val="clear" w:color="auto" w:fill="auto"/>
            <w:noWrap/>
            <w:vAlign w:val="center"/>
            <w:hideMark/>
          </w:tcPr>
          <w:p w14:paraId="705AA62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723</w:t>
            </w:r>
          </w:p>
        </w:tc>
        <w:tc>
          <w:tcPr>
            <w:tcW w:w="934" w:type="dxa"/>
            <w:tcBorders>
              <w:top w:val="nil"/>
              <w:left w:val="nil"/>
              <w:bottom w:val="single" w:sz="4" w:space="0" w:color="auto"/>
              <w:right w:val="single" w:sz="4" w:space="0" w:color="auto"/>
            </w:tcBorders>
            <w:shd w:val="clear" w:color="auto" w:fill="auto"/>
            <w:noWrap/>
            <w:vAlign w:val="center"/>
            <w:hideMark/>
          </w:tcPr>
          <w:p w14:paraId="60A5658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2,330</w:t>
            </w:r>
          </w:p>
        </w:tc>
        <w:tc>
          <w:tcPr>
            <w:tcW w:w="933" w:type="dxa"/>
            <w:tcBorders>
              <w:top w:val="nil"/>
              <w:left w:val="nil"/>
              <w:bottom w:val="single" w:sz="4" w:space="0" w:color="auto"/>
              <w:right w:val="single" w:sz="4" w:space="0" w:color="auto"/>
            </w:tcBorders>
            <w:shd w:val="clear" w:color="auto" w:fill="auto"/>
            <w:noWrap/>
            <w:vAlign w:val="center"/>
            <w:hideMark/>
          </w:tcPr>
          <w:p w14:paraId="44350F5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626</w:t>
            </w:r>
          </w:p>
        </w:tc>
        <w:tc>
          <w:tcPr>
            <w:tcW w:w="933" w:type="dxa"/>
            <w:tcBorders>
              <w:top w:val="nil"/>
              <w:left w:val="nil"/>
              <w:bottom w:val="single" w:sz="4" w:space="0" w:color="auto"/>
              <w:right w:val="single" w:sz="4" w:space="0" w:color="auto"/>
            </w:tcBorders>
            <w:shd w:val="clear" w:color="auto" w:fill="auto"/>
            <w:noWrap/>
            <w:vAlign w:val="center"/>
            <w:hideMark/>
          </w:tcPr>
          <w:p w14:paraId="4299420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205</w:t>
            </w:r>
          </w:p>
        </w:tc>
        <w:tc>
          <w:tcPr>
            <w:tcW w:w="934" w:type="dxa"/>
            <w:tcBorders>
              <w:top w:val="nil"/>
              <w:left w:val="nil"/>
              <w:bottom w:val="single" w:sz="4" w:space="0" w:color="auto"/>
              <w:right w:val="single" w:sz="4" w:space="0" w:color="auto"/>
            </w:tcBorders>
            <w:shd w:val="clear" w:color="auto" w:fill="auto"/>
            <w:noWrap/>
            <w:vAlign w:val="center"/>
            <w:hideMark/>
          </w:tcPr>
          <w:p w14:paraId="0C87222C"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5,196</w:t>
            </w:r>
          </w:p>
        </w:tc>
        <w:tc>
          <w:tcPr>
            <w:tcW w:w="933" w:type="dxa"/>
            <w:tcBorders>
              <w:top w:val="nil"/>
              <w:left w:val="nil"/>
              <w:bottom w:val="single" w:sz="4" w:space="0" w:color="auto"/>
              <w:right w:val="single" w:sz="4" w:space="0" w:color="auto"/>
            </w:tcBorders>
            <w:shd w:val="clear" w:color="auto" w:fill="auto"/>
            <w:noWrap/>
            <w:vAlign w:val="center"/>
            <w:hideMark/>
          </w:tcPr>
          <w:p w14:paraId="3736AFB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282</w:t>
            </w:r>
          </w:p>
        </w:tc>
        <w:tc>
          <w:tcPr>
            <w:tcW w:w="933" w:type="dxa"/>
            <w:tcBorders>
              <w:top w:val="nil"/>
              <w:left w:val="nil"/>
              <w:bottom w:val="single" w:sz="4" w:space="0" w:color="auto"/>
              <w:right w:val="single" w:sz="4" w:space="0" w:color="auto"/>
            </w:tcBorders>
            <w:shd w:val="clear" w:color="auto" w:fill="auto"/>
            <w:noWrap/>
            <w:vAlign w:val="center"/>
            <w:hideMark/>
          </w:tcPr>
          <w:p w14:paraId="48003FD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206</w:t>
            </w:r>
          </w:p>
        </w:tc>
        <w:tc>
          <w:tcPr>
            <w:tcW w:w="933" w:type="dxa"/>
            <w:tcBorders>
              <w:top w:val="nil"/>
              <w:left w:val="nil"/>
              <w:bottom w:val="single" w:sz="4" w:space="0" w:color="auto"/>
              <w:right w:val="single" w:sz="4" w:space="0" w:color="auto"/>
            </w:tcBorders>
            <w:shd w:val="clear" w:color="auto" w:fill="auto"/>
            <w:noWrap/>
            <w:vAlign w:val="center"/>
            <w:hideMark/>
          </w:tcPr>
          <w:p w14:paraId="4C9D3F8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747</w:t>
            </w:r>
          </w:p>
        </w:tc>
        <w:tc>
          <w:tcPr>
            <w:tcW w:w="934" w:type="dxa"/>
            <w:tcBorders>
              <w:top w:val="nil"/>
              <w:left w:val="nil"/>
              <w:bottom w:val="single" w:sz="4" w:space="0" w:color="auto"/>
              <w:right w:val="single" w:sz="4" w:space="0" w:color="auto"/>
            </w:tcBorders>
            <w:shd w:val="clear" w:color="auto" w:fill="auto"/>
            <w:noWrap/>
            <w:vAlign w:val="center"/>
            <w:hideMark/>
          </w:tcPr>
          <w:p w14:paraId="479B92A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2,406</w:t>
            </w:r>
          </w:p>
        </w:tc>
        <w:tc>
          <w:tcPr>
            <w:tcW w:w="933" w:type="dxa"/>
            <w:tcBorders>
              <w:top w:val="nil"/>
              <w:left w:val="nil"/>
              <w:bottom w:val="single" w:sz="4" w:space="0" w:color="auto"/>
              <w:right w:val="single" w:sz="4" w:space="0" w:color="auto"/>
            </w:tcBorders>
            <w:shd w:val="clear" w:color="auto" w:fill="auto"/>
            <w:noWrap/>
            <w:vAlign w:val="center"/>
            <w:hideMark/>
          </w:tcPr>
          <w:p w14:paraId="36571F9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644</w:t>
            </w:r>
          </w:p>
        </w:tc>
        <w:tc>
          <w:tcPr>
            <w:tcW w:w="933" w:type="dxa"/>
            <w:tcBorders>
              <w:top w:val="nil"/>
              <w:left w:val="nil"/>
              <w:bottom w:val="single" w:sz="4" w:space="0" w:color="auto"/>
              <w:right w:val="single" w:sz="4" w:space="0" w:color="auto"/>
            </w:tcBorders>
            <w:shd w:val="clear" w:color="auto" w:fill="auto"/>
            <w:noWrap/>
            <w:vAlign w:val="center"/>
            <w:hideMark/>
          </w:tcPr>
          <w:p w14:paraId="4763996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212</w:t>
            </w:r>
          </w:p>
        </w:tc>
        <w:tc>
          <w:tcPr>
            <w:tcW w:w="934" w:type="dxa"/>
            <w:tcBorders>
              <w:top w:val="nil"/>
              <w:left w:val="nil"/>
              <w:bottom w:val="single" w:sz="4" w:space="0" w:color="auto"/>
              <w:right w:val="single" w:sz="4" w:space="0" w:color="auto"/>
            </w:tcBorders>
            <w:shd w:val="clear" w:color="auto" w:fill="auto"/>
            <w:noWrap/>
            <w:vAlign w:val="center"/>
            <w:hideMark/>
          </w:tcPr>
          <w:p w14:paraId="5301E5E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4,498</w:t>
            </w:r>
          </w:p>
        </w:tc>
      </w:tr>
      <w:tr w:rsidR="008428AF" w:rsidRPr="00AB625A" w14:paraId="01B4827D"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1CC15DF1"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Victorian Aids Council Inc</w:t>
            </w:r>
          </w:p>
        </w:tc>
        <w:tc>
          <w:tcPr>
            <w:tcW w:w="1079" w:type="dxa"/>
            <w:tcBorders>
              <w:top w:val="nil"/>
              <w:left w:val="nil"/>
              <w:bottom w:val="single" w:sz="4" w:space="0" w:color="auto"/>
              <w:right w:val="single" w:sz="4" w:space="0" w:color="auto"/>
            </w:tcBorders>
            <w:shd w:val="clear" w:color="auto" w:fill="auto"/>
            <w:noWrap/>
            <w:vAlign w:val="center"/>
            <w:hideMark/>
          </w:tcPr>
          <w:p w14:paraId="413D9C6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3A6CC1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0EFE3D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499</w:t>
            </w:r>
          </w:p>
        </w:tc>
        <w:tc>
          <w:tcPr>
            <w:tcW w:w="934" w:type="dxa"/>
            <w:tcBorders>
              <w:top w:val="nil"/>
              <w:left w:val="nil"/>
              <w:bottom w:val="single" w:sz="4" w:space="0" w:color="auto"/>
              <w:right w:val="single" w:sz="4" w:space="0" w:color="auto"/>
            </w:tcBorders>
            <w:shd w:val="clear" w:color="auto" w:fill="auto"/>
            <w:noWrap/>
            <w:vAlign w:val="center"/>
            <w:hideMark/>
          </w:tcPr>
          <w:p w14:paraId="6E05BC4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122</w:t>
            </w:r>
          </w:p>
        </w:tc>
        <w:tc>
          <w:tcPr>
            <w:tcW w:w="933" w:type="dxa"/>
            <w:tcBorders>
              <w:top w:val="nil"/>
              <w:left w:val="nil"/>
              <w:bottom w:val="single" w:sz="4" w:space="0" w:color="auto"/>
              <w:right w:val="single" w:sz="4" w:space="0" w:color="auto"/>
            </w:tcBorders>
            <w:shd w:val="clear" w:color="auto" w:fill="auto"/>
            <w:noWrap/>
            <w:vAlign w:val="center"/>
            <w:hideMark/>
          </w:tcPr>
          <w:p w14:paraId="6D15AB1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351786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6,663</w:t>
            </w:r>
          </w:p>
        </w:tc>
        <w:tc>
          <w:tcPr>
            <w:tcW w:w="934" w:type="dxa"/>
            <w:tcBorders>
              <w:top w:val="nil"/>
              <w:left w:val="nil"/>
              <w:bottom w:val="single" w:sz="4" w:space="0" w:color="auto"/>
              <w:right w:val="single" w:sz="4" w:space="0" w:color="auto"/>
            </w:tcBorders>
            <w:shd w:val="clear" w:color="auto" w:fill="auto"/>
            <w:noWrap/>
            <w:vAlign w:val="center"/>
            <w:hideMark/>
          </w:tcPr>
          <w:p w14:paraId="17841827"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7,284</w:t>
            </w:r>
          </w:p>
        </w:tc>
        <w:tc>
          <w:tcPr>
            <w:tcW w:w="933" w:type="dxa"/>
            <w:tcBorders>
              <w:top w:val="nil"/>
              <w:left w:val="nil"/>
              <w:bottom w:val="single" w:sz="4" w:space="0" w:color="auto"/>
              <w:right w:val="single" w:sz="4" w:space="0" w:color="auto"/>
            </w:tcBorders>
            <w:shd w:val="clear" w:color="auto" w:fill="auto"/>
            <w:noWrap/>
            <w:vAlign w:val="center"/>
            <w:hideMark/>
          </w:tcPr>
          <w:p w14:paraId="419F4DD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779D10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754BB8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515</w:t>
            </w:r>
          </w:p>
        </w:tc>
        <w:tc>
          <w:tcPr>
            <w:tcW w:w="934" w:type="dxa"/>
            <w:tcBorders>
              <w:top w:val="nil"/>
              <w:left w:val="nil"/>
              <w:bottom w:val="single" w:sz="4" w:space="0" w:color="auto"/>
              <w:right w:val="single" w:sz="4" w:space="0" w:color="auto"/>
            </w:tcBorders>
            <w:shd w:val="clear" w:color="auto" w:fill="auto"/>
            <w:noWrap/>
            <w:vAlign w:val="center"/>
            <w:hideMark/>
          </w:tcPr>
          <w:p w14:paraId="48AC116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125</w:t>
            </w:r>
          </w:p>
        </w:tc>
        <w:tc>
          <w:tcPr>
            <w:tcW w:w="933" w:type="dxa"/>
            <w:tcBorders>
              <w:top w:val="nil"/>
              <w:left w:val="nil"/>
              <w:bottom w:val="single" w:sz="4" w:space="0" w:color="auto"/>
              <w:right w:val="single" w:sz="4" w:space="0" w:color="auto"/>
            </w:tcBorders>
            <w:shd w:val="clear" w:color="auto" w:fill="auto"/>
            <w:noWrap/>
            <w:vAlign w:val="center"/>
            <w:hideMark/>
          </w:tcPr>
          <w:p w14:paraId="0C24559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8F44C0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6,882</w:t>
            </w:r>
          </w:p>
        </w:tc>
        <w:tc>
          <w:tcPr>
            <w:tcW w:w="934" w:type="dxa"/>
            <w:tcBorders>
              <w:top w:val="nil"/>
              <w:left w:val="nil"/>
              <w:bottom w:val="single" w:sz="4" w:space="0" w:color="auto"/>
              <w:right w:val="single" w:sz="4" w:space="0" w:color="auto"/>
            </w:tcBorders>
            <w:shd w:val="clear" w:color="auto" w:fill="auto"/>
            <w:noWrap/>
            <w:vAlign w:val="center"/>
            <w:hideMark/>
          </w:tcPr>
          <w:p w14:paraId="7F15C85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7,522</w:t>
            </w:r>
          </w:p>
        </w:tc>
      </w:tr>
      <w:tr w:rsidR="008428AF" w:rsidRPr="00AB625A" w14:paraId="00DA057E" w14:textId="77777777" w:rsidTr="00AD15B7">
        <w:trPr>
          <w:trHeight w:val="585"/>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4FE9BB4"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Victorian Assisted Reproductive Treatment Authority</w:t>
            </w:r>
          </w:p>
        </w:tc>
        <w:tc>
          <w:tcPr>
            <w:tcW w:w="1079" w:type="dxa"/>
            <w:tcBorders>
              <w:top w:val="nil"/>
              <w:left w:val="nil"/>
              <w:bottom w:val="single" w:sz="4" w:space="0" w:color="auto"/>
              <w:right w:val="single" w:sz="4" w:space="0" w:color="auto"/>
            </w:tcBorders>
            <w:shd w:val="clear" w:color="auto" w:fill="auto"/>
            <w:noWrap/>
            <w:vAlign w:val="center"/>
            <w:hideMark/>
          </w:tcPr>
          <w:p w14:paraId="36A7F4E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46B085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92BD8A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2228F5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2E1404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66C284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1,745</w:t>
            </w:r>
          </w:p>
        </w:tc>
        <w:tc>
          <w:tcPr>
            <w:tcW w:w="934" w:type="dxa"/>
            <w:tcBorders>
              <w:top w:val="nil"/>
              <w:left w:val="nil"/>
              <w:bottom w:val="single" w:sz="4" w:space="0" w:color="auto"/>
              <w:right w:val="single" w:sz="4" w:space="0" w:color="auto"/>
            </w:tcBorders>
            <w:shd w:val="clear" w:color="auto" w:fill="auto"/>
            <w:noWrap/>
            <w:vAlign w:val="center"/>
            <w:hideMark/>
          </w:tcPr>
          <w:p w14:paraId="6E51297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1,745</w:t>
            </w:r>
          </w:p>
        </w:tc>
        <w:tc>
          <w:tcPr>
            <w:tcW w:w="933" w:type="dxa"/>
            <w:tcBorders>
              <w:top w:val="nil"/>
              <w:left w:val="nil"/>
              <w:bottom w:val="single" w:sz="4" w:space="0" w:color="auto"/>
              <w:right w:val="single" w:sz="4" w:space="0" w:color="auto"/>
            </w:tcBorders>
            <w:shd w:val="clear" w:color="auto" w:fill="auto"/>
            <w:noWrap/>
            <w:vAlign w:val="center"/>
            <w:hideMark/>
          </w:tcPr>
          <w:p w14:paraId="3AB1A57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C26504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4E3740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4E763D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BEE48E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F70CF2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1,802</w:t>
            </w:r>
          </w:p>
        </w:tc>
        <w:tc>
          <w:tcPr>
            <w:tcW w:w="934" w:type="dxa"/>
            <w:tcBorders>
              <w:top w:val="nil"/>
              <w:left w:val="nil"/>
              <w:bottom w:val="single" w:sz="4" w:space="0" w:color="auto"/>
              <w:right w:val="single" w:sz="4" w:space="0" w:color="auto"/>
            </w:tcBorders>
            <w:shd w:val="clear" w:color="auto" w:fill="auto"/>
            <w:noWrap/>
            <w:vAlign w:val="center"/>
            <w:hideMark/>
          </w:tcPr>
          <w:p w14:paraId="75C77B81"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1,802</w:t>
            </w:r>
          </w:p>
        </w:tc>
      </w:tr>
      <w:tr w:rsidR="008428AF" w:rsidRPr="00AB625A" w14:paraId="11D561A8"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47116F8A"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Victorian Clinical Genetics Services Limited</w:t>
            </w:r>
          </w:p>
        </w:tc>
        <w:tc>
          <w:tcPr>
            <w:tcW w:w="1079" w:type="dxa"/>
            <w:tcBorders>
              <w:top w:val="nil"/>
              <w:left w:val="nil"/>
              <w:bottom w:val="single" w:sz="4" w:space="0" w:color="auto"/>
              <w:right w:val="single" w:sz="4" w:space="0" w:color="auto"/>
            </w:tcBorders>
            <w:shd w:val="clear" w:color="auto" w:fill="auto"/>
            <w:noWrap/>
            <w:vAlign w:val="center"/>
            <w:hideMark/>
          </w:tcPr>
          <w:p w14:paraId="02F0E6E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5,289</w:t>
            </w:r>
          </w:p>
        </w:tc>
        <w:tc>
          <w:tcPr>
            <w:tcW w:w="933" w:type="dxa"/>
            <w:tcBorders>
              <w:top w:val="nil"/>
              <w:left w:val="nil"/>
              <w:bottom w:val="single" w:sz="4" w:space="0" w:color="auto"/>
              <w:right w:val="single" w:sz="4" w:space="0" w:color="auto"/>
            </w:tcBorders>
            <w:shd w:val="clear" w:color="auto" w:fill="auto"/>
            <w:noWrap/>
            <w:vAlign w:val="center"/>
            <w:hideMark/>
          </w:tcPr>
          <w:p w14:paraId="6ED66B0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2D4E03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BAA3AF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CA56DF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178CB8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3,486</w:t>
            </w:r>
          </w:p>
        </w:tc>
        <w:tc>
          <w:tcPr>
            <w:tcW w:w="934" w:type="dxa"/>
            <w:tcBorders>
              <w:top w:val="nil"/>
              <w:left w:val="nil"/>
              <w:bottom w:val="single" w:sz="4" w:space="0" w:color="auto"/>
              <w:right w:val="single" w:sz="4" w:space="0" w:color="auto"/>
            </w:tcBorders>
            <w:shd w:val="clear" w:color="auto" w:fill="auto"/>
            <w:noWrap/>
            <w:vAlign w:val="center"/>
            <w:hideMark/>
          </w:tcPr>
          <w:p w14:paraId="02253E0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8,775</w:t>
            </w:r>
          </w:p>
        </w:tc>
        <w:tc>
          <w:tcPr>
            <w:tcW w:w="933" w:type="dxa"/>
            <w:tcBorders>
              <w:top w:val="nil"/>
              <w:left w:val="nil"/>
              <w:bottom w:val="single" w:sz="4" w:space="0" w:color="auto"/>
              <w:right w:val="single" w:sz="4" w:space="0" w:color="auto"/>
            </w:tcBorders>
            <w:shd w:val="clear" w:color="auto" w:fill="auto"/>
            <w:noWrap/>
            <w:vAlign w:val="center"/>
            <w:hideMark/>
          </w:tcPr>
          <w:p w14:paraId="69CA7F8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5,414</w:t>
            </w:r>
          </w:p>
        </w:tc>
        <w:tc>
          <w:tcPr>
            <w:tcW w:w="933" w:type="dxa"/>
            <w:tcBorders>
              <w:top w:val="nil"/>
              <w:left w:val="nil"/>
              <w:bottom w:val="single" w:sz="4" w:space="0" w:color="auto"/>
              <w:right w:val="single" w:sz="4" w:space="0" w:color="auto"/>
            </w:tcBorders>
            <w:shd w:val="clear" w:color="auto" w:fill="auto"/>
            <w:noWrap/>
            <w:vAlign w:val="center"/>
            <w:hideMark/>
          </w:tcPr>
          <w:p w14:paraId="188AE26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31BF55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29FCA6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723681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45D226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2,991</w:t>
            </w:r>
          </w:p>
        </w:tc>
        <w:tc>
          <w:tcPr>
            <w:tcW w:w="934" w:type="dxa"/>
            <w:tcBorders>
              <w:top w:val="nil"/>
              <w:left w:val="nil"/>
              <w:bottom w:val="single" w:sz="4" w:space="0" w:color="auto"/>
              <w:right w:val="single" w:sz="4" w:space="0" w:color="auto"/>
            </w:tcBorders>
            <w:shd w:val="clear" w:color="auto" w:fill="auto"/>
            <w:noWrap/>
            <w:vAlign w:val="center"/>
            <w:hideMark/>
          </w:tcPr>
          <w:p w14:paraId="73FED24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8,406</w:t>
            </w:r>
          </w:p>
        </w:tc>
      </w:tr>
      <w:tr w:rsidR="008428AF" w:rsidRPr="00AB625A" w14:paraId="43590E5F"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421033B0"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Victorian Cytology Service Limited</w:t>
            </w:r>
          </w:p>
        </w:tc>
        <w:tc>
          <w:tcPr>
            <w:tcW w:w="1079" w:type="dxa"/>
            <w:tcBorders>
              <w:top w:val="nil"/>
              <w:left w:val="nil"/>
              <w:bottom w:val="single" w:sz="4" w:space="0" w:color="auto"/>
              <w:right w:val="single" w:sz="4" w:space="0" w:color="auto"/>
            </w:tcBorders>
            <w:shd w:val="clear" w:color="auto" w:fill="auto"/>
            <w:noWrap/>
            <w:vAlign w:val="center"/>
            <w:hideMark/>
          </w:tcPr>
          <w:p w14:paraId="029BAF9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9AD219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1EE1B2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694D00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5FE931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25E73D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4,501</w:t>
            </w:r>
          </w:p>
        </w:tc>
        <w:tc>
          <w:tcPr>
            <w:tcW w:w="934" w:type="dxa"/>
            <w:tcBorders>
              <w:top w:val="nil"/>
              <w:left w:val="nil"/>
              <w:bottom w:val="single" w:sz="4" w:space="0" w:color="auto"/>
              <w:right w:val="single" w:sz="4" w:space="0" w:color="auto"/>
            </w:tcBorders>
            <w:shd w:val="clear" w:color="auto" w:fill="auto"/>
            <w:noWrap/>
            <w:vAlign w:val="center"/>
            <w:hideMark/>
          </w:tcPr>
          <w:p w14:paraId="6C8EAA5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4,501</w:t>
            </w:r>
          </w:p>
        </w:tc>
        <w:tc>
          <w:tcPr>
            <w:tcW w:w="933" w:type="dxa"/>
            <w:tcBorders>
              <w:top w:val="nil"/>
              <w:left w:val="nil"/>
              <w:bottom w:val="single" w:sz="4" w:space="0" w:color="auto"/>
              <w:right w:val="single" w:sz="4" w:space="0" w:color="auto"/>
            </w:tcBorders>
            <w:shd w:val="clear" w:color="auto" w:fill="auto"/>
            <w:noWrap/>
            <w:vAlign w:val="center"/>
            <w:hideMark/>
          </w:tcPr>
          <w:p w14:paraId="38299E0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FA044E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27FAA3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6B182C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2F1F53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759F7C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4,649</w:t>
            </w:r>
          </w:p>
        </w:tc>
        <w:tc>
          <w:tcPr>
            <w:tcW w:w="934" w:type="dxa"/>
            <w:tcBorders>
              <w:top w:val="nil"/>
              <w:left w:val="nil"/>
              <w:bottom w:val="single" w:sz="4" w:space="0" w:color="auto"/>
              <w:right w:val="single" w:sz="4" w:space="0" w:color="auto"/>
            </w:tcBorders>
            <w:shd w:val="clear" w:color="auto" w:fill="auto"/>
            <w:noWrap/>
            <w:vAlign w:val="center"/>
            <w:hideMark/>
          </w:tcPr>
          <w:p w14:paraId="31848117"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4,649</w:t>
            </w:r>
          </w:p>
        </w:tc>
      </w:tr>
      <w:tr w:rsidR="008428AF" w:rsidRPr="00AB625A" w14:paraId="52FE6172"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4A892322"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Victorian Health Promotion Foundation</w:t>
            </w:r>
          </w:p>
        </w:tc>
        <w:tc>
          <w:tcPr>
            <w:tcW w:w="1079" w:type="dxa"/>
            <w:tcBorders>
              <w:top w:val="nil"/>
              <w:left w:val="nil"/>
              <w:bottom w:val="single" w:sz="4" w:space="0" w:color="auto"/>
              <w:right w:val="single" w:sz="4" w:space="0" w:color="auto"/>
            </w:tcBorders>
            <w:shd w:val="clear" w:color="auto" w:fill="auto"/>
            <w:noWrap/>
            <w:vAlign w:val="center"/>
            <w:hideMark/>
          </w:tcPr>
          <w:p w14:paraId="0A15BA4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E97F0F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604E06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4223FD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0F8D6B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55193E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43,329</w:t>
            </w:r>
          </w:p>
        </w:tc>
        <w:tc>
          <w:tcPr>
            <w:tcW w:w="934" w:type="dxa"/>
            <w:tcBorders>
              <w:top w:val="nil"/>
              <w:left w:val="nil"/>
              <w:bottom w:val="single" w:sz="4" w:space="0" w:color="auto"/>
              <w:right w:val="single" w:sz="4" w:space="0" w:color="auto"/>
            </w:tcBorders>
            <w:shd w:val="clear" w:color="auto" w:fill="auto"/>
            <w:noWrap/>
            <w:vAlign w:val="center"/>
            <w:hideMark/>
          </w:tcPr>
          <w:p w14:paraId="55A4D173"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43,329</w:t>
            </w:r>
          </w:p>
        </w:tc>
        <w:tc>
          <w:tcPr>
            <w:tcW w:w="933" w:type="dxa"/>
            <w:tcBorders>
              <w:top w:val="nil"/>
              <w:left w:val="nil"/>
              <w:bottom w:val="single" w:sz="4" w:space="0" w:color="auto"/>
              <w:right w:val="single" w:sz="4" w:space="0" w:color="auto"/>
            </w:tcBorders>
            <w:shd w:val="clear" w:color="auto" w:fill="auto"/>
            <w:noWrap/>
            <w:vAlign w:val="center"/>
            <w:hideMark/>
          </w:tcPr>
          <w:p w14:paraId="2F04076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89D30C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165B9E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69AC5A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A9DDB4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4F3234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44,630</w:t>
            </w:r>
          </w:p>
        </w:tc>
        <w:tc>
          <w:tcPr>
            <w:tcW w:w="934" w:type="dxa"/>
            <w:tcBorders>
              <w:top w:val="nil"/>
              <w:left w:val="nil"/>
              <w:bottom w:val="single" w:sz="4" w:space="0" w:color="auto"/>
              <w:right w:val="single" w:sz="4" w:space="0" w:color="auto"/>
            </w:tcBorders>
            <w:shd w:val="clear" w:color="auto" w:fill="auto"/>
            <w:noWrap/>
            <w:vAlign w:val="center"/>
            <w:hideMark/>
          </w:tcPr>
          <w:p w14:paraId="0E9DB39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44,630</w:t>
            </w:r>
          </w:p>
        </w:tc>
      </w:tr>
      <w:tr w:rsidR="008428AF" w:rsidRPr="00AB625A" w14:paraId="7902859E"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3ED2CDB"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Victorian Mental Illness Awareness Council Inc</w:t>
            </w:r>
          </w:p>
        </w:tc>
        <w:tc>
          <w:tcPr>
            <w:tcW w:w="1079" w:type="dxa"/>
            <w:tcBorders>
              <w:top w:val="nil"/>
              <w:left w:val="nil"/>
              <w:bottom w:val="single" w:sz="4" w:space="0" w:color="auto"/>
              <w:right w:val="single" w:sz="4" w:space="0" w:color="auto"/>
            </w:tcBorders>
            <w:shd w:val="clear" w:color="auto" w:fill="auto"/>
            <w:noWrap/>
            <w:vAlign w:val="center"/>
            <w:hideMark/>
          </w:tcPr>
          <w:p w14:paraId="3CDE8A4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06A980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457627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76A51B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2,836</w:t>
            </w:r>
          </w:p>
        </w:tc>
        <w:tc>
          <w:tcPr>
            <w:tcW w:w="933" w:type="dxa"/>
            <w:tcBorders>
              <w:top w:val="nil"/>
              <w:left w:val="nil"/>
              <w:bottom w:val="single" w:sz="4" w:space="0" w:color="auto"/>
              <w:right w:val="single" w:sz="4" w:space="0" w:color="auto"/>
            </w:tcBorders>
            <w:shd w:val="clear" w:color="auto" w:fill="auto"/>
            <w:noWrap/>
            <w:vAlign w:val="center"/>
            <w:hideMark/>
          </w:tcPr>
          <w:p w14:paraId="04CDC07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45C2BD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F0A452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2,836</w:t>
            </w:r>
          </w:p>
        </w:tc>
        <w:tc>
          <w:tcPr>
            <w:tcW w:w="933" w:type="dxa"/>
            <w:tcBorders>
              <w:top w:val="nil"/>
              <w:left w:val="nil"/>
              <w:bottom w:val="single" w:sz="4" w:space="0" w:color="auto"/>
              <w:right w:val="single" w:sz="4" w:space="0" w:color="auto"/>
            </w:tcBorders>
            <w:shd w:val="clear" w:color="auto" w:fill="auto"/>
            <w:noWrap/>
            <w:vAlign w:val="center"/>
            <w:hideMark/>
          </w:tcPr>
          <w:p w14:paraId="080A9FB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A9CEC3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11EEC8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A65864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2,658</w:t>
            </w:r>
          </w:p>
        </w:tc>
        <w:tc>
          <w:tcPr>
            <w:tcW w:w="933" w:type="dxa"/>
            <w:tcBorders>
              <w:top w:val="nil"/>
              <w:left w:val="nil"/>
              <w:bottom w:val="single" w:sz="4" w:space="0" w:color="auto"/>
              <w:right w:val="single" w:sz="4" w:space="0" w:color="auto"/>
            </w:tcBorders>
            <w:shd w:val="clear" w:color="auto" w:fill="auto"/>
            <w:noWrap/>
            <w:vAlign w:val="center"/>
            <w:hideMark/>
          </w:tcPr>
          <w:p w14:paraId="53DD66A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FB8D19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04E5AEA"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2,658</w:t>
            </w:r>
          </w:p>
        </w:tc>
      </w:tr>
      <w:tr w:rsidR="008428AF" w:rsidRPr="00AB625A" w14:paraId="130DEF68"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70CCEA98"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Vincentcare Victoria</w:t>
            </w:r>
          </w:p>
        </w:tc>
        <w:tc>
          <w:tcPr>
            <w:tcW w:w="1079" w:type="dxa"/>
            <w:tcBorders>
              <w:top w:val="nil"/>
              <w:left w:val="nil"/>
              <w:bottom w:val="single" w:sz="4" w:space="0" w:color="auto"/>
              <w:right w:val="single" w:sz="4" w:space="0" w:color="auto"/>
            </w:tcBorders>
            <w:shd w:val="clear" w:color="auto" w:fill="auto"/>
            <w:noWrap/>
            <w:vAlign w:val="center"/>
            <w:hideMark/>
          </w:tcPr>
          <w:p w14:paraId="0050AE2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235B50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1,196</w:t>
            </w:r>
          </w:p>
        </w:tc>
        <w:tc>
          <w:tcPr>
            <w:tcW w:w="933" w:type="dxa"/>
            <w:tcBorders>
              <w:top w:val="nil"/>
              <w:left w:val="nil"/>
              <w:bottom w:val="single" w:sz="4" w:space="0" w:color="auto"/>
              <w:right w:val="single" w:sz="4" w:space="0" w:color="auto"/>
            </w:tcBorders>
            <w:shd w:val="clear" w:color="auto" w:fill="auto"/>
            <w:noWrap/>
            <w:vAlign w:val="center"/>
            <w:hideMark/>
          </w:tcPr>
          <w:p w14:paraId="516FBE5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6E5F92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F9530E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982DE6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C9BA57B"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1,196</w:t>
            </w:r>
          </w:p>
        </w:tc>
        <w:tc>
          <w:tcPr>
            <w:tcW w:w="933" w:type="dxa"/>
            <w:tcBorders>
              <w:top w:val="nil"/>
              <w:left w:val="nil"/>
              <w:bottom w:val="single" w:sz="4" w:space="0" w:color="auto"/>
              <w:right w:val="single" w:sz="4" w:space="0" w:color="auto"/>
            </w:tcBorders>
            <w:shd w:val="clear" w:color="auto" w:fill="auto"/>
            <w:noWrap/>
            <w:vAlign w:val="center"/>
            <w:hideMark/>
          </w:tcPr>
          <w:p w14:paraId="0A284E2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74A17C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1,227</w:t>
            </w:r>
          </w:p>
        </w:tc>
        <w:tc>
          <w:tcPr>
            <w:tcW w:w="933" w:type="dxa"/>
            <w:tcBorders>
              <w:top w:val="nil"/>
              <w:left w:val="nil"/>
              <w:bottom w:val="single" w:sz="4" w:space="0" w:color="auto"/>
              <w:right w:val="single" w:sz="4" w:space="0" w:color="auto"/>
            </w:tcBorders>
            <w:shd w:val="clear" w:color="auto" w:fill="auto"/>
            <w:noWrap/>
            <w:vAlign w:val="center"/>
            <w:hideMark/>
          </w:tcPr>
          <w:p w14:paraId="007F650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25332F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CD7899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3C588D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C1F2CF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1,227</w:t>
            </w:r>
          </w:p>
        </w:tc>
      </w:tr>
      <w:tr w:rsidR="008428AF" w:rsidRPr="00AB625A" w14:paraId="6525E16B"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18A6282C"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Wathaurong Aboriginal Co-Operative Limited</w:t>
            </w:r>
          </w:p>
        </w:tc>
        <w:tc>
          <w:tcPr>
            <w:tcW w:w="1079" w:type="dxa"/>
            <w:tcBorders>
              <w:top w:val="nil"/>
              <w:left w:val="nil"/>
              <w:bottom w:val="single" w:sz="4" w:space="0" w:color="auto"/>
              <w:right w:val="single" w:sz="4" w:space="0" w:color="auto"/>
            </w:tcBorders>
            <w:shd w:val="clear" w:color="auto" w:fill="auto"/>
            <w:noWrap/>
            <w:vAlign w:val="center"/>
            <w:hideMark/>
          </w:tcPr>
          <w:p w14:paraId="395FED1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270</w:t>
            </w:r>
          </w:p>
        </w:tc>
        <w:tc>
          <w:tcPr>
            <w:tcW w:w="933" w:type="dxa"/>
            <w:tcBorders>
              <w:top w:val="nil"/>
              <w:left w:val="nil"/>
              <w:bottom w:val="single" w:sz="4" w:space="0" w:color="auto"/>
              <w:right w:val="single" w:sz="4" w:space="0" w:color="auto"/>
            </w:tcBorders>
            <w:shd w:val="clear" w:color="auto" w:fill="auto"/>
            <w:noWrap/>
            <w:vAlign w:val="center"/>
            <w:hideMark/>
          </w:tcPr>
          <w:p w14:paraId="30173B5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45</w:t>
            </w:r>
          </w:p>
        </w:tc>
        <w:tc>
          <w:tcPr>
            <w:tcW w:w="933" w:type="dxa"/>
            <w:tcBorders>
              <w:top w:val="nil"/>
              <w:left w:val="nil"/>
              <w:bottom w:val="single" w:sz="4" w:space="0" w:color="auto"/>
              <w:right w:val="single" w:sz="4" w:space="0" w:color="auto"/>
            </w:tcBorders>
            <w:shd w:val="clear" w:color="auto" w:fill="auto"/>
            <w:noWrap/>
            <w:vAlign w:val="center"/>
            <w:hideMark/>
          </w:tcPr>
          <w:p w14:paraId="064B292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317</w:t>
            </w:r>
          </w:p>
        </w:tc>
        <w:tc>
          <w:tcPr>
            <w:tcW w:w="934" w:type="dxa"/>
            <w:tcBorders>
              <w:top w:val="nil"/>
              <w:left w:val="nil"/>
              <w:bottom w:val="single" w:sz="4" w:space="0" w:color="auto"/>
              <w:right w:val="single" w:sz="4" w:space="0" w:color="auto"/>
            </w:tcBorders>
            <w:shd w:val="clear" w:color="auto" w:fill="auto"/>
            <w:noWrap/>
            <w:vAlign w:val="center"/>
            <w:hideMark/>
          </w:tcPr>
          <w:p w14:paraId="0C75B24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237</w:t>
            </w:r>
          </w:p>
        </w:tc>
        <w:tc>
          <w:tcPr>
            <w:tcW w:w="933" w:type="dxa"/>
            <w:tcBorders>
              <w:top w:val="nil"/>
              <w:left w:val="nil"/>
              <w:bottom w:val="single" w:sz="4" w:space="0" w:color="auto"/>
              <w:right w:val="single" w:sz="4" w:space="0" w:color="auto"/>
            </w:tcBorders>
            <w:shd w:val="clear" w:color="auto" w:fill="auto"/>
            <w:noWrap/>
            <w:vAlign w:val="center"/>
            <w:hideMark/>
          </w:tcPr>
          <w:p w14:paraId="1A44243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175</w:t>
            </w:r>
          </w:p>
        </w:tc>
        <w:tc>
          <w:tcPr>
            <w:tcW w:w="933" w:type="dxa"/>
            <w:tcBorders>
              <w:top w:val="nil"/>
              <w:left w:val="nil"/>
              <w:bottom w:val="single" w:sz="4" w:space="0" w:color="auto"/>
              <w:right w:val="single" w:sz="4" w:space="0" w:color="auto"/>
            </w:tcBorders>
            <w:shd w:val="clear" w:color="auto" w:fill="auto"/>
            <w:noWrap/>
            <w:vAlign w:val="center"/>
            <w:hideMark/>
          </w:tcPr>
          <w:p w14:paraId="432EC34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4054397"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1,044</w:t>
            </w:r>
          </w:p>
        </w:tc>
        <w:tc>
          <w:tcPr>
            <w:tcW w:w="933" w:type="dxa"/>
            <w:tcBorders>
              <w:top w:val="nil"/>
              <w:left w:val="nil"/>
              <w:bottom w:val="single" w:sz="4" w:space="0" w:color="auto"/>
              <w:right w:val="single" w:sz="4" w:space="0" w:color="auto"/>
            </w:tcBorders>
            <w:shd w:val="clear" w:color="auto" w:fill="auto"/>
            <w:noWrap/>
            <w:vAlign w:val="center"/>
            <w:hideMark/>
          </w:tcPr>
          <w:p w14:paraId="08FEF3C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276</w:t>
            </w:r>
          </w:p>
        </w:tc>
        <w:tc>
          <w:tcPr>
            <w:tcW w:w="933" w:type="dxa"/>
            <w:tcBorders>
              <w:top w:val="nil"/>
              <w:left w:val="nil"/>
              <w:bottom w:val="single" w:sz="4" w:space="0" w:color="auto"/>
              <w:right w:val="single" w:sz="4" w:space="0" w:color="auto"/>
            </w:tcBorders>
            <w:shd w:val="clear" w:color="auto" w:fill="auto"/>
            <w:noWrap/>
            <w:vAlign w:val="center"/>
            <w:hideMark/>
          </w:tcPr>
          <w:p w14:paraId="37DB50A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46</w:t>
            </w:r>
          </w:p>
        </w:tc>
        <w:tc>
          <w:tcPr>
            <w:tcW w:w="933" w:type="dxa"/>
            <w:tcBorders>
              <w:top w:val="nil"/>
              <w:left w:val="nil"/>
              <w:bottom w:val="single" w:sz="4" w:space="0" w:color="auto"/>
              <w:right w:val="single" w:sz="4" w:space="0" w:color="auto"/>
            </w:tcBorders>
            <w:shd w:val="clear" w:color="auto" w:fill="auto"/>
            <w:noWrap/>
            <w:vAlign w:val="center"/>
            <w:hideMark/>
          </w:tcPr>
          <w:p w14:paraId="73B18F9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328</w:t>
            </w:r>
          </w:p>
        </w:tc>
        <w:tc>
          <w:tcPr>
            <w:tcW w:w="934" w:type="dxa"/>
            <w:tcBorders>
              <w:top w:val="nil"/>
              <w:left w:val="nil"/>
              <w:bottom w:val="single" w:sz="4" w:space="0" w:color="auto"/>
              <w:right w:val="single" w:sz="4" w:space="0" w:color="auto"/>
            </w:tcBorders>
            <w:shd w:val="clear" w:color="auto" w:fill="auto"/>
            <w:noWrap/>
            <w:vAlign w:val="center"/>
            <w:hideMark/>
          </w:tcPr>
          <w:p w14:paraId="7DDFC41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245</w:t>
            </w:r>
          </w:p>
        </w:tc>
        <w:tc>
          <w:tcPr>
            <w:tcW w:w="933" w:type="dxa"/>
            <w:tcBorders>
              <w:top w:val="nil"/>
              <w:left w:val="nil"/>
              <w:bottom w:val="single" w:sz="4" w:space="0" w:color="auto"/>
              <w:right w:val="single" w:sz="4" w:space="0" w:color="auto"/>
            </w:tcBorders>
            <w:shd w:val="clear" w:color="auto" w:fill="auto"/>
            <w:noWrap/>
            <w:vAlign w:val="center"/>
            <w:hideMark/>
          </w:tcPr>
          <w:p w14:paraId="0C73886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288</w:t>
            </w:r>
          </w:p>
        </w:tc>
        <w:tc>
          <w:tcPr>
            <w:tcW w:w="933" w:type="dxa"/>
            <w:tcBorders>
              <w:top w:val="nil"/>
              <w:left w:val="nil"/>
              <w:bottom w:val="single" w:sz="4" w:space="0" w:color="auto"/>
              <w:right w:val="single" w:sz="4" w:space="0" w:color="auto"/>
            </w:tcBorders>
            <w:shd w:val="clear" w:color="auto" w:fill="auto"/>
            <w:noWrap/>
            <w:vAlign w:val="center"/>
            <w:hideMark/>
          </w:tcPr>
          <w:p w14:paraId="474447E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187787C"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1,183</w:t>
            </w:r>
          </w:p>
        </w:tc>
      </w:tr>
      <w:tr w:rsidR="008428AF" w:rsidRPr="00AB625A" w14:paraId="754782F7"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7945C4CC"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Wellways Australia Limited</w:t>
            </w:r>
          </w:p>
        </w:tc>
        <w:tc>
          <w:tcPr>
            <w:tcW w:w="1079" w:type="dxa"/>
            <w:tcBorders>
              <w:top w:val="nil"/>
              <w:left w:val="nil"/>
              <w:bottom w:val="single" w:sz="4" w:space="0" w:color="auto"/>
              <w:right w:val="single" w:sz="4" w:space="0" w:color="auto"/>
            </w:tcBorders>
            <w:shd w:val="clear" w:color="auto" w:fill="auto"/>
            <w:noWrap/>
            <w:vAlign w:val="center"/>
            <w:hideMark/>
          </w:tcPr>
          <w:p w14:paraId="049BBAC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55910B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84</w:t>
            </w:r>
          </w:p>
        </w:tc>
        <w:tc>
          <w:tcPr>
            <w:tcW w:w="933" w:type="dxa"/>
            <w:tcBorders>
              <w:top w:val="nil"/>
              <w:left w:val="nil"/>
              <w:bottom w:val="single" w:sz="4" w:space="0" w:color="auto"/>
              <w:right w:val="single" w:sz="4" w:space="0" w:color="auto"/>
            </w:tcBorders>
            <w:shd w:val="clear" w:color="auto" w:fill="auto"/>
            <w:noWrap/>
            <w:vAlign w:val="center"/>
            <w:hideMark/>
          </w:tcPr>
          <w:p w14:paraId="24E37E6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674C5D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20,528</w:t>
            </w:r>
          </w:p>
        </w:tc>
        <w:tc>
          <w:tcPr>
            <w:tcW w:w="933" w:type="dxa"/>
            <w:tcBorders>
              <w:top w:val="nil"/>
              <w:left w:val="nil"/>
              <w:bottom w:val="single" w:sz="4" w:space="0" w:color="auto"/>
              <w:right w:val="single" w:sz="4" w:space="0" w:color="auto"/>
            </w:tcBorders>
            <w:shd w:val="clear" w:color="auto" w:fill="auto"/>
            <w:noWrap/>
            <w:vAlign w:val="center"/>
            <w:hideMark/>
          </w:tcPr>
          <w:p w14:paraId="08D6276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AB1E4D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5A5112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20,612</w:t>
            </w:r>
          </w:p>
        </w:tc>
        <w:tc>
          <w:tcPr>
            <w:tcW w:w="933" w:type="dxa"/>
            <w:tcBorders>
              <w:top w:val="nil"/>
              <w:left w:val="nil"/>
              <w:bottom w:val="single" w:sz="4" w:space="0" w:color="auto"/>
              <w:right w:val="single" w:sz="4" w:space="0" w:color="auto"/>
            </w:tcBorders>
            <w:shd w:val="clear" w:color="auto" w:fill="auto"/>
            <w:noWrap/>
            <w:vAlign w:val="center"/>
            <w:hideMark/>
          </w:tcPr>
          <w:p w14:paraId="1890DBF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8536CC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86</w:t>
            </w:r>
          </w:p>
        </w:tc>
        <w:tc>
          <w:tcPr>
            <w:tcW w:w="933" w:type="dxa"/>
            <w:tcBorders>
              <w:top w:val="nil"/>
              <w:left w:val="nil"/>
              <w:bottom w:val="single" w:sz="4" w:space="0" w:color="auto"/>
              <w:right w:val="single" w:sz="4" w:space="0" w:color="auto"/>
            </w:tcBorders>
            <w:shd w:val="clear" w:color="auto" w:fill="auto"/>
            <w:noWrap/>
            <w:vAlign w:val="center"/>
            <w:hideMark/>
          </w:tcPr>
          <w:p w14:paraId="03818E5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C3DD32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22,337</w:t>
            </w:r>
          </w:p>
        </w:tc>
        <w:tc>
          <w:tcPr>
            <w:tcW w:w="933" w:type="dxa"/>
            <w:tcBorders>
              <w:top w:val="nil"/>
              <w:left w:val="nil"/>
              <w:bottom w:val="single" w:sz="4" w:space="0" w:color="auto"/>
              <w:right w:val="single" w:sz="4" w:space="0" w:color="auto"/>
            </w:tcBorders>
            <w:shd w:val="clear" w:color="auto" w:fill="auto"/>
            <w:noWrap/>
            <w:vAlign w:val="center"/>
            <w:hideMark/>
          </w:tcPr>
          <w:p w14:paraId="0ADB5B1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C41360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CC178E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22,423</w:t>
            </w:r>
          </w:p>
        </w:tc>
      </w:tr>
      <w:tr w:rsidR="008428AF" w:rsidRPr="00AB625A" w14:paraId="0847ED25"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53782A27"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Wesley Mission Victoria</w:t>
            </w:r>
          </w:p>
        </w:tc>
        <w:tc>
          <w:tcPr>
            <w:tcW w:w="1079" w:type="dxa"/>
            <w:tcBorders>
              <w:top w:val="nil"/>
              <w:left w:val="nil"/>
              <w:bottom w:val="single" w:sz="4" w:space="0" w:color="auto"/>
              <w:right w:val="single" w:sz="4" w:space="0" w:color="auto"/>
            </w:tcBorders>
            <w:shd w:val="clear" w:color="auto" w:fill="auto"/>
            <w:noWrap/>
            <w:vAlign w:val="center"/>
            <w:hideMark/>
          </w:tcPr>
          <w:p w14:paraId="43F5EDB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CAD4D4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4,611</w:t>
            </w:r>
          </w:p>
        </w:tc>
        <w:tc>
          <w:tcPr>
            <w:tcW w:w="933" w:type="dxa"/>
            <w:tcBorders>
              <w:top w:val="nil"/>
              <w:left w:val="nil"/>
              <w:bottom w:val="single" w:sz="4" w:space="0" w:color="auto"/>
              <w:right w:val="single" w:sz="4" w:space="0" w:color="auto"/>
            </w:tcBorders>
            <w:shd w:val="clear" w:color="auto" w:fill="auto"/>
            <w:noWrap/>
            <w:vAlign w:val="center"/>
            <w:hideMark/>
          </w:tcPr>
          <w:p w14:paraId="2F79DDA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20,027</w:t>
            </w:r>
          </w:p>
        </w:tc>
        <w:tc>
          <w:tcPr>
            <w:tcW w:w="934" w:type="dxa"/>
            <w:tcBorders>
              <w:top w:val="nil"/>
              <w:left w:val="nil"/>
              <w:bottom w:val="single" w:sz="4" w:space="0" w:color="auto"/>
              <w:right w:val="single" w:sz="4" w:space="0" w:color="auto"/>
            </w:tcBorders>
            <w:shd w:val="clear" w:color="auto" w:fill="auto"/>
            <w:noWrap/>
            <w:vAlign w:val="center"/>
            <w:hideMark/>
          </w:tcPr>
          <w:p w14:paraId="71383E9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2,223</w:t>
            </w:r>
          </w:p>
        </w:tc>
        <w:tc>
          <w:tcPr>
            <w:tcW w:w="933" w:type="dxa"/>
            <w:tcBorders>
              <w:top w:val="nil"/>
              <w:left w:val="nil"/>
              <w:bottom w:val="single" w:sz="4" w:space="0" w:color="auto"/>
              <w:right w:val="single" w:sz="4" w:space="0" w:color="auto"/>
            </w:tcBorders>
            <w:shd w:val="clear" w:color="auto" w:fill="auto"/>
            <w:noWrap/>
            <w:vAlign w:val="center"/>
            <w:hideMark/>
          </w:tcPr>
          <w:p w14:paraId="15C6A75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10E5EC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F574F57"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26,861</w:t>
            </w:r>
          </w:p>
        </w:tc>
        <w:tc>
          <w:tcPr>
            <w:tcW w:w="933" w:type="dxa"/>
            <w:tcBorders>
              <w:top w:val="nil"/>
              <w:left w:val="nil"/>
              <w:bottom w:val="single" w:sz="4" w:space="0" w:color="auto"/>
              <w:right w:val="single" w:sz="4" w:space="0" w:color="auto"/>
            </w:tcBorders>
            <w:shd w:val="clear" w:color="auto" w:fill="auto"/>
            <w:noWrap/>
            <w:vAlign w:val="center"/>
            <w:hideMark/>
          </w:tcPr>
          <w:p w14:paraId="738B7BE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91DDE5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5,347</w:t>
            </w:r>
          </w:p>
        </w:tc>
        <w:tc>
          <w:tcPr>
            <w:tcW w:w="933" w:type="dxa"/>
            <w:tcBorders>
              <w:top w:val="nil"/>
              <w:left w:val="nil"/>
              <w:bottom w:val="single" w:sz="4" w:space="0" w:color="auto"/>
              <w:right w:val="single" w:sz="4" w:space="0" w:color="auto"/>
            </w:tcBorders>
            <w:shd w:val="clear" w:color="auto" w:fill="auto"/>
            <w:noWrap/>
            <w:vAlign w:val="center"/>
            <w:hideMark/>
          </w:tcPr>
          <w:p w14:paraId="19E8A54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20,686</w:t>
            </w:r>
          </w:p>
        </w:tc>
        <w:tc>
          <w:tcPr>
            <w:tcW w:w="934" w:type="dxa"/>
            <w:tcBorders>
              <w:top w:val="nil"/>
              <w:left w:val="nil"/>
              <w:bottom w:val="single" w:sz="4" w:space="0" w:color="auto"/>
              <w:right w:val="single" w:sz="4" w:space="0" w:color="auto"/>
            </w:tcBorders>
            <w:shd w:val="clear" w:color="auto" w:fill="auto"/>
            <w:noWrap/>
            <w:vAlign w:val="center"/>
            <w:hideMark/>
          </w:tcPr>
          <w:p w14:paraId="0D19423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2,883</w:t>
            </w:r>
          </w:p>
        </w:tc>
        <w:tc>
          <w:tcPr>
            <w:tcW w:w="933" w:type="dxa"/>
            <w:tcBorders>
              <w:top w:val="nil"/>
              <w:left w:val="nil"/>
              <w:bottom w:val="single" w:sz="4" w:space="0" w:color="auto"/>
              <w:right w:val="single" w:sz="4" w:space="0" w:color="auto"/>
            </w:tcBorders>
            <w:shd w:val="clear" w:color="auto" w:fill="auto"/>
            <w:noWrap/>
            <w:vAlign w:val="center"/>
            <w:hideMark/>
          </w:tcPr>
          <w:p w14:paraId="1D0D7B3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93CBAE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9DB2C87"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28,916</w:t>
            </w:r>
          </w:p>
        </w:tc>
      </w:tr>
      <w:tr w:rsidR="008428AF" w:rsidRPr="00AB625A" w14:paraId="2B4C865F"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4A615D76"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Western Region Alcohol And Drug Centre Inc</w:t>
            </w:r>
          </w:p>
        </w:tc>
        <w:tc>
          <w:tcPr>
            <w:tcW w:w="1079" w:type="dxa"/>
            <w:tcBorders>
              <w:top w:val="nil"/>
              <w:left w:val="nil"/>
              <w:bottom w:val="single" w:sz="4" w:space="0" w:color="auto"/>
              <w:right w:val="single" w:sz="4" w:space="0" w:color="auto"/>
            </w:tcBorders>
            <w:shd w:val="clear" w:color="auto" w:fill="auto"/>
            <w:noWrap/>
            <w:vAlign w:val="center"/>
            <w:hideMark/>
          </w:tcPr>
          <w:p w14:paraId="144B5A7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9DAAF4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583BA3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2,463</w:t>
            </w:r>
          </w:p>
        </w:tc>
        <w:tc>
          <w:tcPr>
            <w:tcW w:w="934" w:type="dxa"/>
            <w:tcBorders>
              <w:top w:val="nil"/>
              <w:left w:val="nil"/>
              <w:bottom w:val="single" w:sz="4" w:space="0" w:color="auto"/>
              <w:right w:val="single" w:sz="4" w:space="0" w:color="auto"/>
            </w:tcBorders>
            <w:shd w:val="clear" w:color="auto" w:fill="auto"/>
            <w:noWrap/>
            <w:vAlign w:val="center"/>
            <w:hideMark/>
          </w:tcPr>
          <w:p w14:paraId="698AE3D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05444A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BDA19A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915E4F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2,463</w:t>
            </w:r>
          </w:p>
        </w:tc>
        <w:tc>
          <w:tcPr>
            <w:tcW w:w="933" w:type="dxa"/>
            <w:tcBorders>
              <w:top w:val="nil"/>
              <w:left w:val="nil"/>
              <w:bottom w:val="single" w:sz="4" w:space="0" w:color="auto"/>
              <w:right w:val="single" w:sz="4" w:space="0" w:color="auto"/>
            </w:tcBorders>
            <w:shd w:val="clear" w:color="auto" w:fill="auto"/>
            <w:noWrap/>
            <w:vAlign w:val="center"/>
            <w:hideMark/>
          </w:tcPr>
          <w:p w14:paraId="67FEC44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3BBE59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A6425A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2,544</w:t>
            </w:r>
          </w:p>
        </w:tc>
        <w:tc>
          <w:tcPr>
            <w:tcW w:w="934" w:type="dxa"/>
            <w:tcBorders>
              <w:top w:val="nil"/>
              <w:left w:val="nil"/>
              <w:bottom w:val="single" w:sz="4" w:space="0" w:color="auto"/>
              <w:right w:val="single" w:sz="4" w:space="0" w:color="auto"/>
            </w:tcBorders>
            <w:shd w:val="clear" w:color="auto" w:fill="auto"/>
            <w:noWrap/>
            <w:vAlign w:val="center"/>
            <w:hideMark/>
          </w:tcPr>
          <w:p w14:paraId="7F064AC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F702BA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D46B04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BE4959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2,544</w:t>
            </w:r>
          </w:p>
        </w:tc>
      </w:tr>
      <w:tr w:rsidR="008428AF" w:rsidRPr="00AB625A" w14:paraId="1666060C"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31CBB84A"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Western Victoria Primary Health Network Limited</w:t>
            </w:r>
          </w:p>
        </w:tc>
        <w:tc>
          <w:tcPr>
            <w:tcW w:w="1079" w:type="dxa"/>
            <w:tcBorders>
              <w:top w:val="nil"/>
              <w:left w:val="nil"/>
              <w:bottom w:val="single" w:sz="4" w:space="0" w:color="auto"/>
              <w:right w:val="single" w:sz="4" w:space="0" w:color="auto"/>
            </w:tcBorders>
            <w:shd w:val="clear" w:color="auto" w:fill="auto"/>
            <w:noWrap/>
            <w:vAlign w:val="center"/>
            <w:hideMark/>
          </w:tcPr>
          <w:p w14:paraId="6F69B73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5A5912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BBDF0B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721</w:t>
            </w:r>
          </w:p>
        </w:tc>
        <w:tc>
          <w:tcPr>
            <w:tcW w:w="934" w:type="dxa"/>
            <w:tcBorders>
              <w:top w:val="nil"/>
              <w:left w:val="nil"/>
              <w:bottom w:val="single" w:sz="4" w:space="0" w:color="auto"/>
              <w:right w:val="single" w:sz="4" w:space="0" w:color="auto"/>
            </w:tcBorders>
            <w:shd w:val="clear" w:color="auto" w:fill="auto"/>
            <w:noWrap/>
            <w:vAlign w:val="center"/>
            <w:hideMark/>
          </w:tcPr>
          <w:p w14:paraId="40C85FC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20EC08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3,437</w:t>
            </w:r>
          </w:p>
        </w:tc>
        <w:tc>
          <w:tcPr>
            <w:tcW w:w="933" w:type="dxa"/>
            <w:tcBorders>
              <w:top w:val="nil"/>
              <w:left w:val="nil"/>
              <w:bottom w:val="single" w:sz="4" w:space="0" w:color="auto"/>
              <w:right w:val="single" w:sz="4" w:space="0" w:color="auto"/>
            </w:tcBorders>
            <w:shd w:val="clear" w:color="auto" w:fill="auto"/>
            <w:noWrap/>
            <w:vAlign w:val="center"/>
            <w:hideMark/>
          </w:tcPr>
          <w:p w14:paraId="6AFD3BE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FF021F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4,159</w:t>
            </w:r>
          </w:p>
        </w:tc>
        <w:tc>
          <w:tcPr>
            <w:tcW w:w="933" w:type="dxa"/>
            <w:tcBorders>
              <w:top w:val="nil"/>
              <w:left w:val="nil"/>
              <w:bottom w:val="single" w:sz="4" w:space="0" w:color="auto"/>
              <w:right w:val="single" w:sz="4" w:space="0" w:color="auto"/>
            </w:tcBorders>
            <w:shd w:val="clear" w:color="auto" w:fill="auto"/>
            <w:noWrap/>
            <w:vAlign w:val="center"/>
            <w:hideMark/>
          </w:tcPr>
          <w:p w14:paraId="0A534C0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8999AB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7D0377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745</w:t>
            </w:r>
          </w:p>
        </w:tc>
        <w:tc>
          <w:tcPr>
            <w:tcW w:w="934" w:type="dxa"/>
            <w:tcBorders>
              <w:top w:val="nil"/>
              <w:left w:val="nil"/>
              <w:bottom w:val="single" w:sz="4" w:space="0" w:color="auto"/>
              <w:right w:val="single" w:sz="4" w:space="0" w:color="auto"/>
            </w:tcBorders>
            <w:shd w:val="clear" w:color="auto" w:fill="auto"/>
            <w:noWrap/>
            <w:vAlign w:val="center"/>
            <w:hideMark/>
          </w:tcPr>
          <w:p w14:paraId="09ECAEC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7FA5E3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1,764</w:t>
            </w:r>
          </w:p>
        </w:tc>
        <w:tc>
          <w:tcPr>
            <w:tcW w:w="933" w:type="dxa"/>
            <w:tcBorders>
              <w:top w:val="nil"/>
              <w:left w:val="nil"/>
              <w:bottom w:val="single" w:sz="4" w:space="0" w:color="auto"/>
              <w:right w:val="single" w:sz="4" w:space="0" w:color="auto"/>
            </w:tcBorders>
            <w:shd w:val="clear" w:color="auto" w:fill="auto"/>
            <w:noWrap/>
            <w:vAlign w:val="center"/>
            <w:hideMark/>
          </w:tcPr>
          <w:p w14:paraId="3AFD2DD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DD52E8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2,509</w:t>
            </w:r>
          </w:p>
        </w:tc>
      </w:tr>
      <w:tr w:rsidR="008428AF" w:rsidRPr="00AB625A" w14:paraId="16C1AD70"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6302C583"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Windana Drug &amp; Alcohol Recovery Inc.</w:t>
            </w:r>
          </w:p>
        </w:tc>
        <w:tc>
          <w:tcPr>
            <w:tcW w:w="1079" w:type="dxa"/>
            <w:tcBorders>
              <w:top w:val="nil"/>
              <w:left w:val="nil"/>
              <w:bottom w:val="single" w:sz="4" w:space="0" w:color="auto"/>
              <w:right w:val="single" w:sz="4" w:space="0" w:color="auto"/>
            </w:tcBorders>
            <w:shd w:val="clear" w:color="auto" w:fill="auto"/>
            <w:noWrap/>
            <w:vAlign w:val="center"/>
            <w:hideMark/>
          </w:tcPr>
          <w:p w14:paraId="7C60138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3" w:type="dxa"/>
            <w:tcBorders>
              <w:top w:val="nil"/>
              <w:left w:val="nil"/>
              <w:bottom w:val="single" w:sz="4" w:space="0" w:color="auto"/>
              <w:right w:val="single" w:sz="4" w:space="0" w:color="auto"/>
            </w:tcBorders>
            <w:shd w:val="clear" w:color="auto" w:fill="auto"/>
            <w:noWrap/>
            <w:vAlign w:val="center"/>
            <w:hideMark/>
          </w:tcPr>
          <w:p w14:paraId="0CDABD5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E9ED0E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13,559</w:t>
            </w:r>
          </w:p>
        </w:tc>
        <w:tc>
          <w:tcPr>
            <w:tcW w:w="934" w:type="dxa"/>
            <w:tcBorders>
              <w:top w:val="nil"/>
              <w:left w:val="nil"/>
              <w:bottom w:val="single" w:sz="4" w:space="0" w:color="auto"/>
              <w:right w:val="single" w:sz="4" w:space="0" w:color="auto"/>
            </w:tcBorders>
            <w:shd w:val="clear" w:color="auto" w:fill="auto"/>
            <w:noWrap/>
            <w:vAlign w:val="center"/>
            <w:hideMark/>
          </w:tcPr>
          <w:p w14:paraId="6DC20CE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8750C7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D6B633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BCAA4E7"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13,559</w:t>
            </w:r>
          </w:p>
        </w:tc>
        <w:tc>
          <w:tcPr>
            <w:tcW w:w="933" w:type="dxa"/>
            <w:tcBorders>
              <w:top w:val="nil"/>
              <w:left w:val="nil"/>
              <w:bottom w:val="single" w:sz="4" w:space="0" w:color="auto"/>
              <w:right w:val="single" w:sz="4" w:space="0" w:color="auto"/>
            </w:tcBorders>
            <w:shd w:val="clear" w:color="auto" w:fill="auto"/>
            <w:noWrap/>
            <w:vAlign w:val="center"/>
            <w:hideMark/>
          </w:tcPr>
          <w:p w14:paraId="1824FCE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E07BCC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9E11BD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14,005</w:t>
            </w:r>
          </w:p>
        </w:tc>
        <w:tc>
          <w:tcPr>
            <w:tcW w:w="934" w:type="dxa"/>
            <w:tcBorders>
              <w:top w:val="nil"/>
              <w:left w:val="nil"/>
              <w:bottom w:val="single" w:sz="4" w:space="0" w:color="auto"/>
              <w:right w:val="single" w:sz="4" w:space="0" w:color="auto"/>
            </w:tcBorders>
            <w:shd w:val="clear" w:color="auto" w:fill="auto"/>
            <w:noWrap/>
            <w:vAlign w:val="center"/>
            <w:hideMark/>
          </w:tcPr>
          <w:p w14:paraId="7BF5FE3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727630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D0E903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2BF0F7B"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14,005</w:t>
            </w:r>
          </w:p>
        </w:tc>
      </w:tr>
      <w:tr w:rsidR="008428AF" w:rsidRPr="00AB625A" w14:paraId="0AAD3E07"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1F276DAB"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Wintringham</w:t>
            </w:r>
          </w:p>
        </w:tc>
        <w:tc>
          <w:tcPr>
            <w:tcW w:w="1079" w:type="dxa"/>
            <w:tcBorders>
              <w:top w:val="nil"/>
              <w:left w:val="nil"/>
              <w:bottom w:val="single" w:sz="4" w:space="0" w:color="auto"/>
              <w:right w:val="single" w:sz="4" w:space="0" w:color="auto"/>
            </w:tcBorders>
            <w:shd w:val="clear" w:color="auto" w:fill="auto"/>
            <w:noWrap/>
            <w:vAlign w:val="center"/>
            <w:hideMark/>
          </w:tcPr>
          <w:p w14:paraId="46A6F3A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3" w:type="dxa"/>
            <w:tcBorders>
              <w:top w:val="nil"/>
              <w:left w:val="nil"/>
              <w:bottom w:val="single" w:sz="4" w:space="0" w:color="auto"/>
              <w:right w:val="single" w:sz="4" w:space="0" w:color="auto"/>
            </w:tcBorders>
            <w:shd w:val="clear" w:color="auto" w:fill="auto"/>
            <w:noWrap/>
            <w:vAlign w:val="center"/>
            <w:hideMark/>
          </w:tcPr>
          <w:p w14:paraId="0DDDAF1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1,050</w:t>
            </w:r>
          </w:p>
        </w:tc>
        <w:tc>
          <w:tcPr>
            <w:tcW w:w="933" w:type="dxa"/>
            <w:tcBorders>
              <w:top w:val="nil"/>
              <w:left w:val="nil"/>
              <w:bottom w:val="single" w:sz="4" w:space="0" w:color="auto"/>
              <w:right w:val="single" w:sz="4" w:space="0" w:color="auto"/>
            </w:tcBorders>
            <w:shd w:val="clear" w:color="auto" w:fill="auto"/>
            <w:noWrap/>
            <w:vAlign w:val="center"/>
            <w:hideMark/>
          </w:tcPr>
          <w:p w14:paraId="0C9327B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467D5A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E7C1B4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A2FEBD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B7801B5"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1,050</w:t>
            </w:r>
          </w:p>
        </w:tc>
        <w:tc>
          <w:tcPr>
            <w:tcW w:w="933" w:type="dxa"/>
            <w:tcBorders>
              <w:top w:val="nil"/>
              <w:left w:val="nil"/>
              <w:bottom w:val="single" w:sz="4" w:space="0" w:color="auto"/>
              <w:right w:val="single" w:sz="4" w:space="0" w:color="auto"/>
            </w:tcBorders>
            <w:shd w:val="clear" w:color="auto" w:fill="auto"/>
            <w:noWrap/>
            <w:vAlign w:val="center"/>
            <w:hideMark/>
          </w:tcPr>
          <w:p w14:paraId="05E64BB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EF409A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1,081</w:t>
            </w:r>
          </w:p>
        </w:tc>
        <w:tc>
          <w:tcPr>
            <w:tcW w:w="933" w:type="dxa"/>
            <w:tcBorders>
              <w:top w:val="nil"/>
              <w:left w:val="nil"/>
              <w:bottom w:val="single" w:sz="4" w:space="0" w:color="auto"/>
              <w:right w:val="single" w:sz="4" w:space="0" w:color="auto"/>
            </w:tcBorders>
            <w:shd w:val="clear" w:color="auto" w:fill="auto"/>
            <w:noWrap/>
            <w:vAlign w:val="center"/>
            <w:hideMark/>
          </w:tcPr>
          <w:p w14:paraId="2322C81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8623F2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C1E2C4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C95DA4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BE426B1"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1,081</w:t>
            </w:r>
          </w:p>
        </w:tc>
      </w:tr>
      <w:tr w:rsidR="008428AF" w:rsidRPr="00AB625A" w14:paraId="54C4FF73" w14:textId="77777777" w:rsidTr="00AD15B7">
        <w:trPr>
          <w:trHeight w:val="585"/>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33315156"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Women'S Health And Wellbeing Barwon South West Inc</w:t>
            </w:r>
          </w:p>
        </w:tc>
        <w:tc>
          <w:tcPr>
            <w:tcW w:w="1079" w:type="dxa"/>
            <w:tcBorders>
              <w:top w:val="nil"/>
              <w:left w:val="nil"/>
              <w:bottom w:val="single" w:sz="4" w:space="0" w:color="auto"/>
              <w:right w:val="single" w:sz="4" w:space="0" w:color="auto"/>
            </w:tcBorders>
            <w:shd w:val="clear" w:color="auto" w:fill="auto"/>
            <w:noWrap/>
            <w:vAlign w:val="center"/>
            <w:hideMark/>
          </w:tcPr>
          <w:p w14:paraId="060A0BF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3" w:type="dxa"/>
            <w:tcBorders>
              <w:top w:val="nil"/>
              <w:left w:val="nil"/>
              <w:bottom w:val="single" w:sz="4" w:space="0" w:color="auto"/>
              <w:right w:val="single" w:sz="4" w:space="0" w:color="auto"/>
            </w:tcBorders>
            <w:shd w:val="clear" w:color="auto" w:fill="auto"/>
            <w:noWrap/>
            <w:vAlign w:val="center"/>
            <w:hideMark/>
          </w:tcPr>
          <w:p w14:paraId="4A79AD4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8F9D05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2B9847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21CEA8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750</w:t>
            </w:r>
          </w:p>
        </w:tc>
        <w:tc>
          <w:tcPr>
            <w:tcW w:w="933" w:type="dxa"/>
            <w:tcBorders>
              <w:top w:val="nil"/>
              <w:left w:val="nil"/>
              <w:bottom w:val="single" w:sz="4" w:space="0" w:color="auto"/>
              <w:right w:val="single" w:sz="4" w:space="0" w:color="auto"/>
            </w:tcBorders>
            <w:shd w:val="clear" w:color="auto" w:fill="auto"/>
            <w:noWrap/>
            <w:vAlign w:val="center"/>
            <w:hideMark/>
          </w:tcPr>
          <w:p w14:paraId="2A5D460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686</w:t>
            </w:r>
          </w:p>
        </w:tc>
        <w:tc>
          <w:tcPr>
            <w:tcW w:w="934" w:type="dxa"/>
            <w:tcBorders>
              <w:top w:val="nil"/>
              <w:left w:val="nil"/>
              <w:bottom w:val="single" w:sz="4" w:space="0" w:color="auto"/>
              <w:right w:val="single" w:sz="4" w:space="0" w:color="auto"/>
            </w:tcBorders>
            <w:shd w:val="clear" w:color="auto" w:fill="auto"/>
            <w:noWrap/>
            <w:vAlign w:val="center"/>
            <w:hideMark/>
          </w:tcPr>
          <w:p w14:paraId="57557635"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1,436</w:t>
            </w:r>
          </w:p>
        </w:tc>
        <w:tc>
          <w:tcPr>
            <w:tcW w:w="933" w:type="dxa"/>
            <w:tcBorders>
              <w:top w:val="nil"/>
              <w:left w:val="nil"/>
              <w:bottom w:val="single" w:sz="4" w:space="0" w:color="auto"/>
              <w:right w:val="single" w:sz="4" w:space="0" w:color="auto"/>
            </w:tcBorders>
            <w:shd w:val="clear" w:color="auto" w:fill="auto"/>
            <w:noWrap/>
            <w:vAlign w:val="center"/>
            <w:hideMark/>
          </w:tcPr>
          <w:p w14:paraId="04A4A80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BCF913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5023E4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21AE63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CFF3C2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768</w:t>
            </w:r>
          </w:p>
        </w:tc>
        <w:tc>
          <w:tcPr>
            <w:tcW w:w="933" w:type="dxa"/>
            <w:tcBorders>
              <w:top w:val="nil"/>
              <w:left w:val="nil"/>
              <w:bottom w:val="single" w:sz="4" w:space="0" w:color="auto"/>
              <w:right w:val="single" w:sz="4" w:space="0" w:color="auto"/>
            </w:tcBorders>
            <w:shd w:val="clear" w:color="auto" w:fill="auto"/>
            <w:noWrap/>
            <w:vAlign w:val="center"/>
            <w:hideMark/>
          </w:tcPr>
          <w:p w14:paraId="26B2778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709</w:t>
            </w:r>
          </w:p>
        </w:tc>
        <w:tc>
          <w:tcPr>
            <w:tcW w:w="934" w:type="dxa"/>
            <w:tcBorders>
              <w:top w:val="nil"/>
              <w:left w:val="nil"/>
              <w:bottom w:val="single" w:sz="4" w:space="0" w:color="auto"/>
              <w:right w:val="single" w:sz="4" w:space="0" w:color="auto"/>
            </w:tcBorders>
            <w:shd w:val="clear" w:color="auto" w:fill="auto"/>
            <w:noWrap/>
            <w:vAlign w:val="center"/>
            <w:hideMark/>
          </w:tcPr>
          <w:p w14:paraId="27A0896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1,476</w:t>
            </w:r>
          </w:p>
        </w:tc>
      </w:tr>
      <w:tr w:rsidR="008428AF" w:rsidRPr="00AB625A" w14:paraId="47C3BAF2"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488CB5A" w14:textId="3FB8746E"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Women'</w:t>
            </w:r>
            <w:r>
              <w:rPr>
                <w:rFonts w:cs="Arial"/>
                <w:color w:val="000000"/>
                <w:sz w:val="16"/>
                <w:szCs w:val="16"/>
                <w:lang w:eastAsia="en-AU"/>
              </w:rPr>
              <w:t>s</w:t>
            </w:r>
            <w:r w:rsidRPr="00B469AB">
              <w:rPr>
                <w:rFonts w:cs="Arial"/>
                <w:color w:val="000000"/>
                <w:sz w:val="16"/>
                <w:szCs w:val="16"/>
                <w:lang w:eastAsia="en-AU"/>
              </w:rPr>
              <w:t xml:space="preserve"> Health East Inc</w:t>
            </w:r>
          </w:p>
        </w:tc>
        <w:tc>
          <w:tcPr>
            <w:tcW w:w="1079" w:type="dxa"/>
            <w:tcBorders>
              <w:top w:val="nil"/>
              <w:left w:val="nil"/>
              <w:bottom w:val="single" w:sz="4" w:space="0" w:color="auto"/>
              <w:right w:val="single" w:sz="4" w:space="0" w:color="auto"/>
            </w:tcBorders>
            <w:shd w:val="clear" w:color="auto" w:fill="auto"/>
            <w:noWrap/>
            <w:vAlign w:val="center"/>
            <w:hideMark/>
          </w:tcPr>
          <w:p w14:paraId="2EEDF6B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3" w:type="dxa"/>
            <w:tcBorders>
              <w:top w:val="nil"/>
              <w:left w:val="nil"/>
              <w:bottom w:val="single" w:sz="4" w:space="0" w:color="auto"/>
              <w:right w:val="single" w:sz="4" w:space="0" w:color="auto"/>
            </w:tcBorders>
            <w:shd w:val="clear" w:color="auto" w:fill="auto"/>
            <w:noWrap/>
            <w:vAlign w:val="center"/>
            <w:hideMark/>
          </w:tcPr>
          <w:p w14:paraId="7A1F8F9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7D4996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20CEC1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4C9FDA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769</w:t>
            </w:r>
          </w:p>
        </w:tc>
        <w:tc>
          <w:tcPr>
            <w:tcW w:w="933" w:type="dxa"/>
            <w:tcBorders>
              <w:top w:val="nil"/>
              <w:left w:val="nil"/>
              <w:bottom w:val="single" w:sz="4" w:space="0" w:color="auto"/>
              <w:right w:val="single" w:sz="4" w:space="0" w:color="auto"/>
            </w:tcBorders>
            <w:shd w:val="clear" w:color="auto" w:fill="auto"/>
            <w:noWrap/>
            <w:vAlign w:val="center"/>
            <w:hideMark/>
          </w:tcPr>
          <w:p w14:paraId="3413EA1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588</w:t>
            </w:r>
          </w:p>
        </w:tc>
        <w:tc>
          <w:tcPr>
            <w:tcW w:w="934" w:type="dxa"/>
            <w:tcBorders>
              <w:top w:val="nil"/>
              <w:left w:val="nil"/>
              <w:bottom w:val="single" w:sz="4" w:space="0" w:color="auto"/>
              <w:right w:val="single" w:sz="4" w:space="0" w:color="auto"/>
            </w:tcBorders>
            <w:shd w:val="clear" w:color="auto" w:fill="auto"/>
            <w:noWrap/>
            <w:vAlign w:val="center"/>
            <w:hideMark/>
          </w:tcPr>
          <w:p w14:paraId="7B07938B"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1,357</w:t>
            </w:r>
          </w:p>
        </w:tc>
        <w:tc>
          <w:tcPr>
            <w:tcW w:w="933" w:type="dxa"/>
            <w:tcBorders>
              <w:top w:val="nil"/>
              <w:left w:val="nil"/>
              <w:bottom w:val="single" w:sz="4" w:space="0" w:color="auto"/>
              <w:right w:val="single" w:sz="4" w:space="0" w:color="auto"/>
            </w:tcBorders>
            <w:shd w:val="clear" w:color="auto" w:fill="auto"/>
            <w:noWrap/>
            <w:vAlign w:val="center"/>
            <w:hideMark/>
          </w:tcPr>
          <w:p w14:paraId="6CB447F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B3A7E9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E16496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80BE91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BFAC39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787</w:t>
            </w:r>
          </w:p>
        </w:tc>
        <w:tc>
          <w:tcPr>
            <w:tcW w:w="933" w:type="dxa"/>
            <w:tcBorders>
              <w:top w:val="nil"/>
              <w:left w:val="nil"/>
              <w:bottom w:val="single" w:sz="4" w:space="0" w:color="auto"/>
              <w:right w:val="single" w:sz="4" w:space="0" w:color="auto"/>
            </w:tcBorders>
            <w:shd w:val="clear" w:color="auto" w:fill="auto"/>
            <w:noWrap/>
            <w:vAlign w:val="center"/>
            <w:hideMark/>
          </w:tcPr>
          <w:p w14:paraId="4E2E71B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607</w:t>
            </w:r>
          </w:p>
        </w:tc>
        <w:tc>
          <w:tcPr>
            <w:tcW w:w="934" w:type="dxa"/>
            <w:tcBorders>
              <w:top w:val="nil"/>
              <w:left w:val="nil"/>
              <w:bottom w:val="single" w:sz="4" w:space="0" w:color="auto"/>
              <w:right w:val="single" w:sz="4" w:space="0" w:color="auto"/>
            </w:tcBorders>
            <w:shd w:val="clear" w:color="auto" w:fill="auto"/>
            <w:noWrap/>
            <w:vAlign w:val="center"/>
            <w:hideMark/>
          </w:tcPr>
          <w:p w14:paraId="66CC541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1,394</w:t>
            </w:r>
          </w:p>
        </w:tc>
      </w:tr>
      <w:tr w:rsidR="008428AF" w:rsidRPr="00AB625A" w14:paraId="049A75B5"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3AE7AAA9" w14:textId="4C0CB4F2"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Women'</w:t>
            </w:r>
            <w:r>
              <w:rPr>
                <w:rFonts w:cs="Arial"/>
                <w:color w:val="000000"/>
                <w:sz w:val="16"/>
                <w:szCs w:val="16"/>
                <w:lang w:eastAsia="en-AU"/>
              </w:rPr>
              <w:t>s</w:t>
            </w:r>
            <w:r w:rsidRPr="00B469AB">
              <w:rPr>
                <w:rFonts w:cs="Arial"/>
                <w:color w:val="000000"/>
                <w:sz w:val="16"/>
                <w:szCs w:val="16"/>
                <w:lang w:eastAsia="en-AU"/>
              </w:rPr>
              <w:t xml:space="preserve"> Health Goulburn North-East Inc</w:t>
            </w:r>
          </w:p>
        </w:tc>
        <w:tc>
          <w:tcPr>
            <w:tcW w:w="1079" w:type="dxa"/>
            <w:tcBorders>
              <w:top w:val="nil"/>
              <w:left w:val="nil"/>
              <w:bottom w:val="single" w:sz="4" w:space="0" w:color="auto"/>
              <w:right w:val="single" w:sz="4" w:space="0" w:color="auto"/>
            </w:tcBorders>
            <w:shd w:val="clear" w:color="auto" w:fill="auto"/>
            <w:noWrap/>
            <w:vAlign w:val="center"/>
            <w:hideMark/>
          </w:tcPr>
          <w:p w14:paraId="648AD99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3" w:type="dxa"/>
            <w:tcBorders>
              <w:top w:val="nil"/>
              <w:left w:val="nil"/>
              <w:bottom w:val="single" w:sz="4" w:space="0" w:color="auto"/>
              <w:right w:val="single" w:sz="4" w:space="0" w:color="auto"/>
            </w:tcBorders>
            <w:shd w:val="clear" w:color="auto" w:fill="auto"/>
            <w:noWrap/>
            <w:vAlign w:val="center"/>
            <w:hideMark/>
          </w:tcPr>
          <w:p w14:paraId="3DC9E7D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5D0249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D183D2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5EFA10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664</w:t>
            </w:r>
          </w:p>
        </w:tc>
        <w:tc>
          <w:tcPr>
            <w:tcW w:w="933" w:type="dxa"/>
            <w:tcBorders>
              <w:top w:val="nil"/>
              <w:left w:val="nil"/>
              <w:bottom w:val="single" w:sz="4" w:space="0" w:color="auto"/>
              <w:right w:val="single" w:sz="4" w:space="0" w:color="auto"/>
            </w:tcBorders>
            <w:shd w:val="clear" w:color="auto" w:fill="auto"/>
            <w:noWrap/>
            <w:vAlign w:val="center"/>
            <w:hideMark/>
          </w:tcPr>
          <w:p w14:paraId="1501F79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686</w:t>
            </w:r>
          </w:p>
        </w:tc>
        <w:tc>
          <w:tcPr>
            <w:tcW w:w="934" w:type="dxa"/>
            <w:tcBorders>
              <w:top w:val="nil"/>
              <w:left w:val="nil"/>
              <w:bottom w:val="single" w:sz="4" w:space="0" w:color="auto"/>
              <w:right w:val="single" w:sz="4" w:space="0" w:color="auto"/>
            </w:tcBorders>
            <w:shd w:val="clear" w:color="auto" w:fill="auto"/>
            <w:noWrap/>
            <w:vAlign w:val="center"/>
            <w:hideMark/>
          </w:tcPr>
          <w:p w14:paraId="0784387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1,350</w:t>
            </w:r>
          </w:p>
        </w:tc>
        <w:tc>
          <w:tcPr>
            <w:tcW w:w="933" w:type="dxa"/>
            <w:tcBorders>
              <w:top w:val="nil"/>
              <w:left w:val="nil"/>
              <w:bottom w:val="single" w:sz="4" w:space="0" w:color="auto"/>
              <w:right w:val="single" w:sz="4" w:space="0" w:color="auto"/>
            </w:tcBorders>
            <w:shd w:val="clear" w:color="auto" w:fill="auto"/>
            <w:noWrap/>
            <w:vAlign w:val="center"/>
            <w:hideMark/>
          </w:tcPr>
          <w:p w14:paraId="76771A8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2426D9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972EFB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963A36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E80E21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680</w:t>
            </w:r>
          </w:p>
        </w:tc>
        <w:tc>
          <w:tcPr>
            <w:tcW w:w="933" w:type="dxa"/>
            <w:tcBorders>
              <w:top w:val="nil"/>
              <w:left w:val="nil"/>
              <w:bottom w:val="single" w:sz="4" w:space="0" w:color="auto"/>
              <w:right w:val="single" w:sz="4" w:space="0" w:color="auto"/>
            </w:tcBorders>
            <w:shd w:val="clear" w:color="auto" w:fill="auto"/>
            <w:noWrap/>
            <w:vAlign w:val="center"/>
            <w:hideMark/>
          </w:tcPr>
          <w:p w14:paraId="616F4CB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709</w:t>
            </w:r>
          </w:p>
        </w:tc>
        <w:tc>
          <w:tcPr>
            <w:tcW w:w="934" w:type="dxa"/>
            <w:tcBorders>
              <w:top w:val="nil"/>
              <w:left w:val="nil"/>
              <w:bottom w:val="single" w:sz="4" w:space="0" w:color="auto"/>
              <w:right w:val="single" w:sz="4" w:space="0" w:color="auto"/>
            </w:tcBorders>
            <w:shd w:val="clear" w:color="auto" w:fill="auto"/>
            <w:noWrap/>
            <w:vAlign w:val="center"/>
            <w:hideMark/>
          </w:tcPr>
          <w:p w14:paraId="05E02FE7"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1,388</w:t>
            </w:r>
          </w:p>
        </w:tc>
      </w:tr>
      <w:tr w:rsidR="008428AF" w:rsidRPr="00AB625A" w14:paraId="4EC1E9B3"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34A24A7D" w14:textId="71F93523"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Women'</w:t>
            </w:r>
            <w:r>
              <w:rPr>
                <w:rFonts w:cs="Arial"/>
                <w:color w:val="000000"/>
                <w:sz w:val="16"/>
                <w:szCs w:val="16"/>
                <w:lang w:eastAsia="en-AU"/>
              </w:rPr>
              <w:t>s</w:t>
            </w:r>
            <w:r w:rsidRPr="00B469AB">
              <w:rPr>
                <w:rFonts w:cs="Arial"/>
                <w:color w:val="000000"/>
                <w:sz w:val="16"/>
                <w:szCs w:val="16"/>
                <w:lang w:eastAsia="en-AU"/>
              </w:rPr>
              <w:t xml:space="preserve"> Health Grampians Inc</w:t>
            </w:r>
          </w:p>
        </w:tc>
        <w:tc>
          <w:tcPr>
            <w:tcW w:w="1079" w:type="dxa"/>
            <w:tcBorders>
              <w:top w:val="nil"/>
              <w:left w:val="nil"/>
              <w:bottom w:val="single" w:sz="4" w:space="0" w:color="auto"/>
              <w:right w:val="single" w:sz="4" w:space="0" w:color="auto"/>
            </w:tcBorders>
            <w:shd w:val="clear" w:color="auto" w:fill="auto"/>
            <w:noWrap/>
            <w:vAlign w:val="center"/>
            <w:hideMark/>
          </w:tcPr>
          <w:p w14:paraId="51107DE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3" w:type="dxa"/>
            <w:tcBorders>
              <w:top w:val="nil"/>
              <w:left w:val="nil"/>
              <w:bottom w:val="single" w:sz="4" w:space="0" w:color="auto"/>
              <w:right w:val="single" w:sz="4" w:space="0" w:color="auto"/>
            </w:tcBorders>
            <w:shd w:val="clear" w:color="auto" w:fill="auto"/>
            <w:noWrap/>
            <w:vAlign w:val="center"/>
            <w:hideMark/>
          </w:tcPr>
          <w:p w14:paraId="00BB786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3073E6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7F171E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4AB554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755</w:t>
            </w:r>
          </w:p>
        </w:tc>
        <w:tc>
          <w:tcPr>
            <w:tcW w:w="933" w:type="dxa"/>
            <w:tcBorders>
              <w:top w:val="nil"/>
              <w:left w:val="nil"/>
              <w:bottom w:val="single" w:sz="4" w:space="0" w:color="auto"/>
              <w:right w:val="single" w:sz="4" w:space="0" w:color="auto"/>
            </w:tcBorders>
            <w:shd w:val="clear" w:color="auto" w:fill="auto"/>
            <w:noWrap/>
            <w:vAlign w:val="center"/>
            <w:hideMark/>
          </w:tcPr>
          <w:p w14:paraId="7BF3DA0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686</w:t>
            </w:r>
          </w:p>
        </w:tc>
        <w:tc>
          <w:tcPr>
            <w:tcW w:w="934" w:type="dxa"/>
            <w:tcBorders>
              <w:top w:val="nil"/>
              <w:left w:val="nil"/>
              <w:bottom w:val="single" w:sz="4" w:space="0" w:color="auto"/>
              <w:right w:val="single" w:sz="4" w:space="0" w:color="auto"/>
            </w:tcBorders>
            <w:shd w:val="clear" w:color="auto" w:fill="auto"/>
            <w:noWrap/>
            <w:vAlign w:val="center"/>
            <w:hideMark/>
          </w:tcPr>
          <w:p w14:paraId="5500898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1,441</w:t>
            </w:r>
          </w:p>
        </w:tc>
        <w:tc>
          <w:tcPr>
            <w:tcW w:w="933" w:type="dxa"/>
            <w:tcBorders>
              <w:top w:val="nil"/>
              <w:left w:val="nil"/>
              <w:bottom w:val="single" w:sz="4" w:space="0" w:color="auto"/>
              <w:right w:val="single" w:sz="4" w:space="0" w:color="auto"/>
            </w:tcBorders>
            <w:shd w:val="clear" w:color="auto" w:fill="auto"/>
            <w:noWrap/>
            <w:vAlign w:val="center"/>
            <w:hideMark/>
          </w:tcPr>
          <w:p w14:paraId="10A8B61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35D829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567C19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87A4C1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6C5FBD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773</w:t>
            </w:r>
          </w:p>
        </w:tc>
        <w:tc>
          <w:tcPr>
            <w:tcW w:w="933" w:type="dxa"/>
            <w:tcBorders>
              <w:top w:val="nil"/>
              <w:left w:val="nil"/>
              <w:bottom w:val="single" w:sz="4" w:space="0" w:color="auto"/>
              <w:right w:val="single" w:sz="4" w:space="0" w:color="auto"/>
            </w:tcBorders>
            <w:shd w:val="clear" w:color="auto" w:fill="auto"/>
            <w:noWrap/>
            <w:vAlign w:val="center"/>
            <w:hideMark/>
          </w:tcPr>
          <w:p w14:paraId="145AB5F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709</w:t>
            </w:r>
          </w:p>
        </w:tc>
        <w:tc>
          <w:tcPr>
            <w:tcW w:w="934" w:type="dxa"/>
            <w:tcBorders>
              <w:top w:val="nil"/>
              <w:left w:val="nil"/>
              <w:bottom w:val="single" w:sz="4" w:space="0" w:color="auto"/>
              <w:right w:val="single" w:sz="4" w:space="0" w:color="auto"/>
            </w:tcBorders>
            <w:shd w:val="clear" w:color="auto" w:fill="auto"/>
            <w:noWrap/>
            <w:vAlign w:val="center"/>
            <w:hideMark/>
          </w:tcPr>
          <w:p w14:paraId="7703257B"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1,482</w:t>
            </w:r>
          </w:p>
        </w:tc>
      </w:tr>
      <w:tr w:rsidR="008428AF" w:rsidRPr="00AB625A" w14:paraId="6819CE90"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02F6859" w14:textId="5FD305DB"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Women'</w:t>
            </w:r>
            <w:r>
              <w:rPr>
                <w:rFonts w:cs="Arial"/>
                <w:color w:val="000000"/>
                <w:sz w:val="16"/>
                <w:szCs w:val="16"/>
                <w:lang w:eastAsia="en-AU"/>
              </w:rPr>
              <w:t>s</w:t>
            </w:r>
            <w:r w:rsidRPr="00B469AB">
              <w:rPr>
                <w:rFonts w:cs="Arial"/>
                <w:color w:val="000000"/>
                <w:sz w:val="16"/>
                <w:szCs w:val="16"/>
                <w:lang w:eastAsia="en-AU"/>
              </w:rPr>
              <w:t xml:space="preserve"> Health In The North Inc</w:t>
            </w:r>
          </w:p>
        </w:tc>
        <w:tc>
          <w:tcPr>
            <w:tcW w:w="1079" w:type="dxa"/>
            <w:tcBorders>
              <w:top w:val="nil"/>
              <w:left w:val="nil"/>
              <w:bottom w:val="single" w:sz="4" w:space="0" w:color="auto"/>
              <w:right w:val="single" w:sz="4" w:space="0" w:color="auto"/>
            </w:tcBorders>
            <w:shd w:val="clear" w:color="auto" w:fill="auto"/>
            <w:noWrap/>
            <w:vAlign w:val="center"/>
            <w:hideMark/>
          </w:tcPr>
          <w:p w14:paraId="35C2DC8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3" w:type="dxa"/>
            <w:tcBorders>
              <w:top w:val="nil"/>
              <w:left w:val="nil"/>
              <w:bottom w:val="single" w:sz="4" w:space="0" w:color="auto"/>
              <w:right w:val="single" w:sz="4" w:space="0" w:color="auto"/>
            </w:tcBorders>
            <w:shd w:val="clear" w:color="auto" w:fill="auto"/>
            <w:noWrap/>
            <w:vAlign w:val="center"/>
            <w:hideMark/>
          </w:tcPr>
          <w:p w14:paraId="0F92D16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E77502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24AC0D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8D39A7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887</w:t>
            </w:r>
          </w:p>
        </w:tc>
        <w:tc>
          <w:tcPr>
            <w:tcW w:w="933" w:type="dxa"/>
            <w:tcBorders>
              <w:top w:val="nil"/>
              <w:left w:val="nil"/>
              <w:bottom w:val="single" w:sz="4" w:space="0" w:color="auto"/>
              <w:right w:val="single" w:sz="4" w:space="0" w:color="auto"/>
            </w:tcBorders>
            <w:shd w:val="clear" w:color="auto" w:fill="auto"/>
            <w:noWrap/>
            <w:vAlign w:val="center"/>
            <w:hideMark/>
          </w:tcPr>
          <w:p w14:paraId="48D9BC3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588</w:t>
            </w:r>
          </w:p>
        </w:tc>
        <w:tc>
          <w:tcPr>
            <w:tcW w:w="934" w:type="dxa"/>
            <w:tcBorders>
              <w:top w:val="nil"/>
              <w:left w:val="nil"/>
              <w:bottom w:val="single" w:sz="4" w:space="0" w:color="auto"/>
              <w:right w:val="single" w:sz="4" w:space="0" w:color="auto"/>
            </w:tcBorders>
            <w:shd w:val="clear" w:color="auto" w:fill="auto"/>
            <w:noWrap/>
            <w:vAlign w:val="center"/>
            <w:hideMark/>
          </w:tcPr>
          <w:p w14:paraId="64159265"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1,475</w:t>
            </w:r>
          </w:p>
        </w:tc>
        <w:tc>
          <w:tcPr>
            <w:tcW w:w="933" w:type="dxa"/>
            <w:tcBorders>
              <w:top w:val="nil"/>
              <w:left w:val="nil"/>
              <w:bottom w:val="single" w:sz="4" w:space="0" w:color="auto"/>
              <w:right w:val="single" w:sz="4" w:space="0" w:color="auto"/>
            </w:tcBorders>
            <w:shd w:val="clear" w:color="auto" w:fill="auto"/>
            <w:noWrap/>
            <w:vAlign w:val="center"/>
            <w:hideMark/>
          </w:tcPr>
          <w:p w14:paraId="2A9E0A6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C02DA5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47F97F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DF5E6C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DA41AE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908</w:t>
            </w:r>
          </w:p>
        </w:tc>
        <w:tc>
          <w:tcPr>
            <w:tcW w:w="933" w:type="dxa"/>
            <w:tcBorders>
              <w:top w:val="nil"/>
              <w:left w:val="nil"/>
              <w:bottom w:val="single" w:sz="4" w:space="0" w:color="auto"/>
              <w:right w:val="single" w:sz="4" w:space="0" w:color="auto"/>
            </w:tcBorders>
            <w:shd w:val="clear" w:color="auto" w:fill="auto"/>
            <w:noWrap/>
            <w:vAlign w:val="center"/>
            <w:hideMark/>
          </w:tcPr>
          <w:p w14:paraId="0BA9780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607</w:t>
            </w:r>
          </w:p>
        </w:tc>
        <w:tc>
          <w:tcPr>
            <w:tcW w:w="934" w:type="dxa"/>
            <w:tcBorders>
              <w:top w:val="nil"/>
              <w:left w:val="nil"/>
              <w:bottom w:val="single" w:sz="4" w:space="0" w:color="auto"/>
              <w:right w:val="single" w:sz="4" w:space="0" w:color="auto"/>
            </w:tcBorders>
            <w:shd w:val="clear" w:color="auto" w:fill="auto"/>
            <w:noWrap/>
            <w:vAlign w:val="center"/>
            <w:hideMark/>
          </w:tcPr>
          <w:p w14:paraId="7F6F338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1,515</w:t>
            </w:r>
          </w:p>
        </w:tc>
      </w:tr>
      <w:tr w:rsidR="008428AF" w:rsidRPr="00AB625A" w14:paraId="7DF9A8F9"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41164D71" w14:textId="71C515F6"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Women'</w:t>
            </w:r>
            <w:r>
              <w:rPr>
                <w:rFonts w:cs="Arial"/>
                <w:color w:val="000000"/>
                <w:sz w:val="16"/>
                <w:szCs w:val="16"/>
                <w:lang w:eastAsia="en-AU"/>
              </w:rPr>
              <w:t>s</w:t>
            </w:r>
            <w:r w:rsidRPr="00B469AB">
              <w:rPr>
                <w:rFonts w:cs="Arial"/>
                <w:color w:val="000000"/>
                <w:sz w:val="16"/>
                <w:szCs w:val="16"/>
                <w:lang w:eastAsia="en-AU"/>
              </w:rPr>
              <w:t xml:space="preserve"> Health In The South East Inc</w:t>
            </w:r>
          </w:p>
        </w:tc>
        <w:tc>
          <w:tcPr>
            <w:tcW w:w="1079" w:type="dxa"/>
            <w:tcBorders>
              <w:top w:val="nil"/>
              <w:left w:val="nil"/>
              <w:bottom w:val="single" w:sz="4" w:space="0" w:color="auto"/>
              <w:right w:val="single" w:sz="4" w:space="0" w:color="auto"/>
            </w:tcBorders>
            <w:shd w:val="clear" w:color="auto" w:fill="auto"/>
            <w:noWrap/>
            <w:vAlign w:val="center"/>
            <w:hideMark/>
          </w:tcPr>
          <w:p w14:paraId="0FA5CDC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3" w:type="dxa"/>
            <w:tcBorders>
              <w:top w:val="nil"/>
              <w:left w:val="nil"/>
              <w:bottom w:val="single" w:sz="4" w:space="0" w:color="auto"/>
              <w:right w:val="single" w:sz="4" w:space="0" w:color="auto"/>
            </w:tcBorders>
            <w:shd w:val="clear" w:color="auto" w:fill="auto"/>
            <w:noWrap/>
            <w:vAlign w:val="center"/>
            <w:hideMark/>
          </w:tcPr>
          <w:p w14:paraId="66D524E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9F6E18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F35F54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410198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780</w:t>
            </w:r>
          </w:p>
        </w:tc>
        <w:tc>
          <w:tcPr>
            <w:tcW w:w="933" w:type="dxa"/>
            <w:tcBorders>
              <w:top w:val="nil"/>
              <w:left w:val="nil"/>
              <w:bottom w:val="single" w:sz="4" w:space="0" w:color="auto"/>
              <w:right w:val="single" w:sz="4" w:space="0" w:color="auto"/>
            </w:tcBorders>
            <w:shd w:val="clear" w:color="auto" w:fill="auto"/>
            <w:noWrap/>
            <w:vAlign w:val="center"/>
            <w:hideMark/>
          </w:tcPr>
          <w:p w14:paraId="38AF733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588</w:t>
            </w:r>
          </w:p>
        </w:tc>
        <w:tc>
          <w:tcPr>
            <w:tcW w:w="934" w:type="dxa"/>
            <w:tcBorders>
              <w:top w:val="nil"/>
              <w:left w:val="nil"/>
              <w:bottom w:val="single" w:sz="4" w:space="0" w:color="auto"/>
              <w:right w:val="single" w:sz="4" w:space="0" w:color="auto"/>
            </w:tcBorders>
            <w:shd w:val="clear" w:color="auto" w:fill="auto"/>
            <w:noWrap/>
            <w:vAlign w:val="center"/>
            <w:hideMark/>
          </w:tcPr>
          <w:p w14:paraId="3DE3901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1,368</w:t>
            </w:r>
          </w:p>
        </w:tc>
        <w:tc>
          <w:tcPr>
            <w:tcW w:w="933" w:type="dxa"/>
            <w:tcBorders>
              <w:top w:val="nil"/>
              <w:left w:val="nil"/>
              <w:bottom w:val="single" w:sz="4" w:space="0" w:color="auto"/>
              <w:right w:val="single" w:sz="4" w:space="0" w:color="auto"/>
            </w:tcBorders>
            <w:shd w:val="clear" w:color="auto" w:fill="auto"/>
            <w:noWrap/>
            <w:vAlign w:val="center"/>
            <w:hideMark/>
          </w:tcPr>
          <w:p w14:paraId="5E1AD7E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6D8CEA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67D609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12EF855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9DAC6C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799</w:t>
            </w:r>
          </w:p>
        </w:tc>
        <w:tc>
          <w:tcPr>
            <w:tcW w:w="933" w:type="dxa"/>
            <w:tcBorders>
              <w:top w:val="nil"/>
              <w:left w:val="nil"/>
              <w:bottom w:val="single" w:sz="4" w:space="0" w:color="auto"/>
              <w:right w:val="single" w:sz="4" w:space="0" w:color="auto"/>
            </w:tcBorders>
            <w:shd w:val="clear" w:color="auto" w:fill="auto"/>
            <w:noWrap/>
            <w:vAlign w:val="center"/>
            <w:hideMark/>
          </w:tcPr>
          <w:p w14:paraId="2907886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607</w:t>
            </w:r>
          </w:p>
        </w:tc>
        <w:tc>
          <w:tcPr>
            <w:tcW w:w="934" w:type="dxa"/>
            <w:tcBorders>
              <w:top w:val="nil"/>
              <w:left w:val="nil"/>
              <w:bottom w:val="single" w:sz="4" w:space="0" w:color="auto"/>
              <w:right w:val="single" w:sz="4" w:space="0" w:color="auto"/>
            </w:tcBorders>
            <w:shd w:val="clear" w:color="auto" w:fill="auto"/>
            <w:noWrap/>
            <w:vAlign w:val="center"/>
            <w:hideMark/>
          </w:tcPr>
          <w:p w14:paraId="2109547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1,406</w:t>
            </w:r>
          </w:p>
        </w:tc>
      </w:tr>
      <w:tr w:rsidR="008428AF" w:rsidRPr="00AB625A" w14:paraId="4804845E"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6DD4598E"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Women'S Health Loddon Mallee Inc.</w:t>
            </w:r>
          </w:p>
        </w:tc>
        <w:tc>
          <w:tcPr>
            <w:tcW w:w="1079" w:type="dxa"/>
            <w:tcBorders>
              <w:top w:val="nil"/>
              <w:left w:val="nil"/>
              <w:bottom w:val="single" w:sz="4" w:space="0" w:color="auto"/>
              <w:right w:val="single" w:sz="4" w:space="0" w:color="auto"/>
            </w:tcBorders>
            <w:shd w:val="clear" w:color="auto" w:fill="auto"/>
            <w:noWrap/>
            <w:vAlign w:val="center"/>
            <w:hideMark/>
          </w:tcPr>
          <w:p w14:paraId="067C9B9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3" w:type="dxa"/>
            <w:tcBorders>
              <w:top w:val="nil"/>
              <w:left w:val="nil"/>
              <w:bottom w:val="single" w:sz="4" w:space="0" w:color="auto"/>
              <w:right w:val="single" w:sz="4" w:space="0" w:color="auto"/>
            </w:tcBorders>
            <w:shd w:val="clear" w:color="auto" w:fill="auto"/>
            <w:noWrap/>
            <w:vAlign w:val="center"/>
            <w:hideMark/>
          </w:tcPr>
          <w:p w14:paraId="7569C53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5BF0B1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D19825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6AA2FB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925</w:t>
            </w:r>
          </w:p>
        </w:tc>
        <w:tc>
          <w:tcPr>
            <w:tcW w:w="933" w:type="dxa"/>
            <w:tcBorders>
              <w:top w:val="nil"/>
              <w:left w:val="nil"/>
              <w:bottom w:val="single" w:sz="4" w:space="0" w:color="auto"/>
              <w:right w:val="single" w:sz="4" w:space="0" w:color="auto"/>
            </w:tcBorders>
            <w:shd w:val="clear" w:color="auto" w:fill="auto"/>
            <w:noWrap/>
            <w:vAlign w:val="center"/>
            <w:hideMark/>
          </w:tcPr>
          <w:p w14:paraId="19F5D08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686</w:t>
            </w:r>
          </w:p>
        </w:tc>
        <w:tc>
          <w:tcPr>
            <w:tcW w:w="934" w:type="dxa"/>
            <w:tcBorders>
              <w:top w:val="nil"/>
              <w:left w:val="nil"/>
              <w:bottom w:val="single" w:sz="4" w:space="0" w:color="auto"/>
              <w:right w:val="single" w:sz="4" w:space="0" w:color="auto"/>
            </w:tcBorders>
            <w:shd w:val="clear" w:color="auto" w:fill="auto"/>
            <w:noWrap/>
            <w:vAlign w:val="center"/>
            <w:hideMark/>
          </w:tcPr>
          <w:p w14:paraId="064DC2B5"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1,611</w:t>
            </w:r>
          </w:p>
        </w:tc>
        <w:tc>
          <w:tcPr>
            <w:tcW w:w="933" w:type="dxa"/>
            <w:tcBorders>
              <w:top w:val="nil"/>
              <w:left w:val="nil"/>
              <w:bottom w:val="single" w:sz="4" w:space="0" w:color="auto"/>
              <w:right w:val="single" w:sz="4" w:space="0" w:color="auto"/>
            </w:tcBorders>
            <w:shd w:val="clear" w:color="auto" w:fill="auto"/>
            <w:noWrap/>
            <w:vAlign w:val="center"/>
            <w:hideMark/>
          </w:tcPr>
          <w:p w14:paraId="7033504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B9C7CC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D6CB4C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E608E0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934E0C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947</w:t>
            </w:r>
          </w:p>
        </w:tc>
        <w:tc>
          <w:tcPr>
            <w:tcW w:w="933" w:type="dxa"/>
            <w:tcBorders>
              <w:top w:val="nil"/>
              <w:left w:val="nil"/>
              <w:bottom w:val="single" w:sz="4" w:space="0" w:color="auto"/>
              <w:right w:val="single" w:sz="4" w:space="0" w:color="auto"/>
            </w:tcBorders>
            <w:shd w:val="clear" w:color="auto" w:fill="auto"/>
            <w:noWrap/>
            <w:vAlign w:val="center"/>
            <w:hideMark/>
          </w:tcPr>
          <w:p w14:paraId="6C9F39E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709</w:t>
            </w:r>
          </w:p>
        </w:tc>
        <w:tc>
          <w:tcPr>
            <w:tcW w:w="934" w:type="dxa"/>
            <w:tcBorders>
              <w:top w:val="nil"/>
              <w:left w:val="nil"/>
              <w:bottom w:val="single" w:sz="4" w:space="0" w:color="auto"/>
              <w:right w:val="single" w:sz="4" w:space="0" w:color="auto"/>
            </w:tcBorders>
            <w:shd w:val="clear" w:color="auto" w:fill="auto"/>
            <w:noWrap/>
            <w:vAlign w:val="center"/>
            <w:hideMark/>
          </w:tcPr>
          <w:p w14:paraId="337C70EA"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1,656</w:t>
            </w:r>
          </w:p>
        </w:tc>
      </w:tr>
      <w:tr w:rsidR="008428AF" w:rsidRPr="00AB625A" w14:paraId="629F2B8A"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7056EF4D"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Women'S Health Victoria Inc</w:t>
            </w:r>
          </w:p>
        </w:tc>
        <w:tc>
          <w:tcPr>
            <w:tcW w:w="1079" w:type="dxa"/>
            <w:tcBorders>
              <w:top w:val="nil"/>
              <w:left w:val="nil"/>
              <w:bottom w:val="single" w:sz="4" w:space="0" w:color="auto"/>
              <w:right w:val="single" w:sz="4" w:space="0" w:color="auto"/>
            </w:tcBorders>
            <w:shd w:val="clear" w:color="auto" w:fill="auto"/>
            <w:noWrap/>
            <w:vAlign w:val="center"/>
            <w:hideMark/>
          </w:tcPr>
          <w:p w14:paraId="52273F0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734</w:t>
            </w:r>
          </w:p>
        </w:tc>
        <w:tc>
          <w:tcPr>
            <w:tcW w:w="933" w:type="dxa"/>
            <w:tcBorders>
              <w:top w:val="nil"/>
              <w:left w:val="nil"/>
              <w:bottom w:val="single" w:sz="4" w:space="0" w:color="auto"/>
              <w:right w:val="single" w:sz="4" w:space="0" w:color="auto"/>
            </w:tcBorders>
            <w:shd w:val="clear" w:color="auto" w:fill="auto"/>
            <w:noWrap/>
            <w:vAlign w:val="center"/>
            <w:hideMark/>
          </w:tcPr>
          <w:p w14:paraId="46AACD1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18A860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5A44ADD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7CE994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1,607</w:t>
            </w:r>
          </w:p>
        </w:tc>
        <w:tc>
          <w:tcPr>
            <w:tcW w:w="933" w:type="dxa"/>
            <w:tcBorders>
              <w:top w:val="nil"/>
              <w:left w:val="nil"/>
              <w:bottom w:val="single" w:sz="4" w:space="0" w:color="auto"/>
              <w:right w:val="single" w:sz="4" w:space="0" w:color="auto"/>
            </w:tcBorders>
            <w:shd w:val="clear" w:color="auto" w:fill="auto"/>
            <w:noWrap/>
            <w:vAlign w:val="center"/>
            <w:hideMark/>
          </w:tcPr>
          <w:p w14:paraId="6BDC0AA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1,264</w:t>
            </w:r>
          </w:p>
        </w:tc>
        <w:tc>
          <w:tcPr>
            <w:tcW w:w="934" w:type="dxa"/>
            <w:tcBorders>
              <w:top w:val="nil"/>
              <w:left w:val="nil"/>
              <w:bottom w:val="single" w:sz="4" w:space="0" w:color="auto"/>
              <w:right w:val="single" w:sz="4" w:space="0" w:color="auto"/>
            </w:tcBorders>
            <w:shd w:val="clear" w:color="auto" w:fill="auto"/>
            <w:noWrap/>
            <w:vAlign w:val="center"/>
            <w:hideMark/>
          </w:tcPr>
          <w:p w14:paraId="7391367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3,606</w:t>
            </w:r>
          </w:p>
        </w:tc>
        <w:tc>
          <w:tcPr>
            <w:tcW w:w="933" w:type="dxa"/>
            <w:tcBorders>
              <w:top w:val="nil"/>
              <w:left w:val="nil"/>
              <w:bottom w:val="single" w:sz="4" w:space="0" w:color="auto"/>
              <w:right w:val="single" w:sz="4" w:space="0" w:color="auto"/>
            </w:tcBorders>
            <w:shd w:val="clear" w:color="auto" w:fill="auto"/>
            <w:noWrap/>
            <w:vAlign w:val="center"/>
            <w:hideMark/>
          </w:tcPr>
          <w:p w14:paraId="24E2EA2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752</w:t>
            </w:r>
          </w:p>
        </w:tc>
        <w:tc>
          <w:tcPr>
            <w:tcW w:w="933" w:type="dxa"/>
            <w:tcBorders>
              <w:top w:val="nil"/>
              <w:left w:val="nil"/>
              <w:bottom w:val="single" w:sz="4" w:space="0" w:color="auto"/>
              <w:right w:val="single" w:sz="4" w:space="0" w:color="auto"/>
            </w:tcBorders>
            <w:shd w:val="clear" w:color="auto" w:fill="auto"/>
            <w:noWrap/>
            <w:vAlign w:val="center"/>
            <w:hideMark/>
          </w:tcPr>
          <w:p w14:paraId="303E27F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5B913A3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6D72AB3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31E498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1,649</w:t>
            </w:r>
          </w:p>
        </w:tc>
        <w:tc>
          <w:tcPr>
            <w:tcW w:w="933" w:type="dxa"/>
            <w:tcBorders>
              <w:top w:val="nil"/>
              <w:left w:val="nil"/>
              <w:bottom w:val="single" w:sz="4" w:space="0" w:color="auto"/>
              <w:right w:val="single" w:sz="4" w:space="0" w:color="auto"/>
            </w:tcBorders>
            <w:shd w:val="clear" w:color="auto" w:fill="auto"/>
            <w:noWrap/>
            <w:vAlign w:val="center"/>
            <w:hideMark/>
          </w:tcPr>
          <w:p w14:paraId="1BF7618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1,305</w:t>
            </w:r>
          </w:p>
        </w:tc>
        <w:tc>
          <w:tcPr>
            <w:tcW w:w="934" w:type="dxa"/>
            <w:tcBorders>
              <w:top w:val="nil"/>
              <w:left w:val="nil"/>
              <w:bottom w:val="single" w:sz="4" w:space="0" w:color="auto"/>
              <w:right w:val="single" w:sz="4" w:space="0" w:color="auto"/>
            </w:tcBorders>
            <w:shd w:val="clear" w:color="auto" w:fill="auto"/>
            <w:noWrap/>
            <w:vAlign w:val="center"/>
            <w:hideMark/>
          </w:tcPr>
          <w:p w14:paraId="7C65A60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3,707</w:t>
            </w:r>
          </w:p>
        </w:tc>
      </w:tr>
      <w:tr w:rsidR="008428AF" w:rsidRPr="00AB625A" w14:paraId="073F145D"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F56349D"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Women'S Health West Inc</w:t>
            </w:r>
          </w:p>
        </w:tc>
        <w:tc>
          <w:tcPr>
            <w:tcW w:w="1079" w:type="dxa"/>
            <w:tcBorders>
              <w:top w:val="nil"/>
              <w:left w:val="nil"/>
              <w:bottom w:val="single" w:sz="4" w:space="0" w:color="auto"/>
              <w:right w:val="single" w:sz="4" w:space="0" w:color="auto"/>
            </w:tcBorders>
            <w:shd w:val="clear" w:color="auto" w:fill="auto"/>
            <w:noWrap/>
            <w:vAlign w:val="center"/>
            <w:hideMark/>
          </w:tcPr>
          <w:p w14:paraId="792D189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3" w:type="dxa"/>
            <w:tcBorders>
              <w:top w:val="nil"/>
              <w:left w:val="nil"/>
              <w:bottom w:val="single" w:sz="4" w:space="0" w:color="auto"/>
              <w:right w:val="single" w:sz="4" w:space="0" w:color="auto"/>
            </w:tcBorders>
            <w:shd w:val="clear" w:color="auto" w:fill="auto"/>
            <w:noWrap/>
            <w:vAlign w:val="center"/>
            <w:hideMark/>
          </w:tcPr>
          <w:p w14:paraId="5215437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115</w:t>
            </w:r>
          </w:p>
        </w:tc>
        <w:tc>
          <w:tcPr>
            <w:tcW w:w="933" w:type="dxa"/>
            <w:tcBorders>
              <w:top w:val="nil"/>
              <w:left w:val="nil"/>
              <w:bottom w:val="single" w:sz="4" w:space="0" w:color="auto"/>
              <w:right w:val="single" w:sz="4" w:space="0" w:color="auto"/>
            </w:tcBorders>
            <w:shd w:val="clear" w:color="auto" w:fill="auto"/>
            <w:noWrap/>
            <w:vAlign w:val="center"/>
            <w:hideMark/>
          </w:tcPr>
          <w:p w14:paraId="14CA8B7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9544C0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1F4E06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1,269</w:t>
            </w:r>
          </w:p>
        </w:tc>
        <w:tc>
          <w:tcPr>
            <w:tcW w:w="933" w:type="dxa"/>
            <w:tcBorders>
              <w:top w:val="nil"/>
              <w:left w:val="nil"/>
              <w:bottom w:val="single" w:sz="4" w:space="0" w:color="auto"/>
              <w:right w:val="single" w:sz="4" w:space="0" w:color="auto"/>
            </w:tcBorders>
            <w:shd w:val="clear" w:color="auto" w:fill="auto"/>
            <w:noWrap/>
            <w:vAlign w:val="center"/>
            <w:hideMark/>
          </w:tcPr>
          <w:p w14:paraId="5A5112E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588</w:t>
            </w:r>
          </w:p>
        </w:tc>
        <w:tc>
          <w:tcPr>
            <w:tcW w:w="934" w:type="dxa"/>
            <w:tcBorders>
              <w:top w:val="nil"/>
              <w:left w:val="nil"/>
              <w:bottom w:val="single" w:sz="4" w:space="0" w:color="auto"/>
              <w:right w:val="single" w:sz="4" w:space="0" w:color="auto"/>
            </w:tcBorders>
            <w:shd w:val="clear" w:color="auto" w:fill="auto"/>
            <w:noWrap/>
            <w:vAlign w:val="center"/>
            <w:hideMark/>
          </w:tcPr>
          <w:p w14:paraId="734DFE3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1,972</w:t>
            </w:r>
          </w:p>
        </w:tc>
        <w:tc>
          <w:tcPr>
            <w:tcW w:w="933" w:type="dxa"/>
            <w:tcBorders>
              <w:top w:val="nil"/>
              <w:left w:val="nil"/>
              <w:bottom w:val="single" w:sz="4" w:space="0" w:color="auto"/>
              <w:right w:val="single" w:sz="4" w:space="0" w:color="auto"/>
            </w:tcBorders>
            <w:shd w:val="clear" w:color="auto" w:fill="auto"/>
            <w:noWrap/>
            <w:vAlign w:val="center"/>
            <w:hideMark/>
          </w:tcPr>
          <w:p w14:paraId="121E012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41E531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118</w:t>
            </w:r>
          </w:p>
        </w:tc>
        <w:tc>
          <w:tcPr>
            <w:tcW w:w="933" w:type="dxa"/>
            <w:tcBorders>
              <w:top w:val="nil"/>
              <w:left w:val="nil"/>
              <w:bottom w:val="single" w:sz="4" w:space="0" w:color="auto"/>
              <w:right w:val="single" w:sz="4" w:space="0" w:color="auto"/>
            </w:tcBorders>
            <w:shd w:val="clear" w:color="auto" w:fill="auto"/>
            <w:noWrap/>
            <w:vAlign w:val="center"/>
            <w:hideMark/>
          </w:tcPr>
          <w:p w14:paraId="3A6655C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02F469A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5865A1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1,300</w:t>
            </w:r>
          </w:p>
        </w:tc>
        <w:tc>
          <w:tcPr>
            <w:tcW w:w="933" w:type="dxa"/>
            <w:tcBorders>
              <w:top w:val="nil"/>
              <w:left w:val="nil"/>
              <w:bottom w:val="single" w:sz="4" w:space="0" w:color="auto"/>
              <w:right w:val="single" w:sz="4" w:space="0" w:color="auto"/>
            </w:tcBorders>
            <w:shd w:val="clear" w:color="auto" w:fill="auto"/>
            <w:noWrap/>
            <w:vAlign w:val="center"/>
            <w:hideMark/>
          </w:tcPr>
          <w:p w14:paraId="3E3B6BE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607</w:t>
            </w:r>
          </w:p>
        </w:tc>
        <w:tc>
          <w:tcPr>
            <w:tcW w:w="934" w:type="dxa"/>
            <w:tcBorders>
              <w:top w:val="nil"/>
              <w:left w:val="nil"/>
              <w:bottom w:val="single" w:sz="4" w:space="0" w:color="auto"/>
              <w:right w:val="single" w:sz="4" w:space="0" w:color="auto"/>
            </w:tcBorders>
            <w:shd w:val="clear" w:color="auto" w:fill="auto"/>
            <w:noWrap/>
            <w:vAlign w:val="center"/>
            <w:hideMark/>
          </w:tcPr>
          <w:p w14:paraId="08A6EF8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2,025</w:t>
            </w:r>
          </w:p>
        </w:tc>
      </w:tr>
      <w:tr w:rsidR="008428AF" w:rsidRPr="00AB625A" w14:paraId="344F7E93"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19FCE7DD"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Youth Projects Limited</w:t>
            </w:r>
          </w:p>
        </w:tc>
        <w:tc>
          <w:tcPr>
            <w:tcW w:w="1079" w:type="dxa"/>
            <w:tcBorders>
              <w:top w:val="nil"/>
              <w:left w:val="nil"/>
              <w:bottom w:val="single" w:sz="4" w:space="0" w:color="auto"/>
              <w:right w:val="single" w:sz="4" w:space="0" w:color="auto"/>
            </w:tcBorders>
            <w:shd w:val="clear" w:color="auto" w:fill="auto"/>
            <w:noWrap/>
            <w:vAlign w:val="center"/>
            <w:hideMark/>
          </w:tcPr>
          <w:p w14:paraId="1657C5F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3" w:type="dxa"/>
            <w:tcBorders>
              <w:top w:val="nil"/>
              <w:left w:val="nil"/>
              <w:bottom w:val="single" w:sz="4" w:space="0" w:color="auto"/>
              <w:right w:val="single" w:sz="4" w:space="0" w:color="auto"/>
            </w:tcBorders>
            <w:shd w:val="clear" w:color="auto" w:fill="auto"/>
            <w:noWrap/>
            <w:vAlign w:val="center"/>
            <w:hideMark/>
          </w:tcPr>
          <w:p w14:paraId="4052E69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4765998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1,615</w:t>
            </w:r>
          </w:p>
        </w:tc>
        <w:tc>
          <w:tcPr>
            <w:tcW w:w="934" w:type="dxa"/>
            <w:tcBorders>
              <w:top w:val="nil"/>
              <w:left w:val="nil"/>
              <w:bottom w:val="single" w:sz="4" w:space="0" w:color="auto"/>
              <w:right w:val="single" w:sz="4" w:space="0" w:color="auto"/>
            </w:tcBorders>
            <w:shd w:val="clear" w:color="auto" w:fill="auto"/>
            <w:noWrap/>
            <w:vAlign w:val="center"/>
            <w:hideMark/>
          </w:tcPr>
          <w:p w14:paraId="1FBFCC5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1C0F594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3" w:type="dxa"/>
            <w:tcBorders>
              <w:top w:val="nil"/>
              <w:left w:val="nil"/>
              <w:bottom w:val="single" w:sz="4" w:space="0" w:color="auto"/>
              <w:right w:val="single" w:sz="4" w:space="0" w:color="auto"/>
            </w:tcBorders>
            <w:shd w:val="clear" w:color="auto" w:fill="auto"/>
            <w:noWrap/>
            <w:vAlign w:val="center"/>
            <w:hideMark/>
          </w:tcPr>
          <w:p w14:paraId="13E10F0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3C0A3A4A"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1,615</w:t>
            </w:r>
          </w:p>
        </w:tc>
        <w:tc>
          <w:tcPr>
            <w:tcW w:w="933" w:type="dxa"/>
            <w:tcBorders>
              <w:top w:val="nil"/>
              <w:left w:val="nil"/>
              <w:bottom w:val="single" w:sz="4" w:space="0" w:color="auto"/>
              <w:right w:val="single" w:sz="4" w:space="0" w:color="auto"/>
            </w:tcBorders>
            <w:shd w:val="clear" w:color="auto" w:fill="auto"/>
            <w:noWrap/>
            <w:vAlign w:val="center"/>
            <w:hideMark/>
          </w:tcPr>
          <w:p w14:paraId="6F6AEBF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73EA6C3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0345868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1,668</w:t>
            </w:r>
          </w:p>
        </w:tc>
        <w:tc>
          <w:tcPr>
            <w:tcW w:w="934" w:type="dxa"/>
            <w:tcBorders>
              <w:top w:val="nil"/>
              <w:left w:val="nil"/>
              <w:bottom w:val="single" w:sz="4" w:space="0" w:color="auto"/>
              <w:right w:val="single" w:sz="4" w:space="0" w:color="auto"/>
            </w:tcBorders>
            <w:shd w:val="clear" w:color="auto" w:fill="auto"/>
            <w:noWrap/>
            <w:vAlign w:val="center"/>
            <w:hideMark/>
          </w:tcPr>
          <w:p w14:paraId="1D46536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DF9EA3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79B040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40F5E49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1,668</w:t>
            </w:r>
          </w:p>
        </w:tc>
      </w:tr>
      <w:tr w:rsidR="008428AF" w:rsidRPr="00AB625A" w14:paraId="5B3A1AE0"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68B7A1B2"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Ysas Pty Ltd</w:t>
            </w:r>
          </w:p>
        </w:tc>
        <w:tc>
          <w:tcPr>
            <w:tcW w:w="1079" w:type="dxa"/>
            <w:tcBorders>
              <w:top w:val="nil"/>
              <w:left w:val="nil"/>
              <w:bottom w:val="single" w:sz="4" w:space="0" w:color="auto"/>
              <w:right w:val="single" w:sz="4" w:space="0" w:color="auto"/>
            </w:tcBorders>
            <w:shd w:val="clear" w:color="auto" w:fill="auto"/>
            <w:noWrap/>
            <w:vAlign w:val="center"/>
            <w:hideMark/>
          </w:tcPr>
          <w:p w14:paraId="67C310C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3" w:type="dxa"/>
            <w:tcBorders>
              <w:top w:val="nil"/>
              <w:left w:val="nil"/>
              <w:bottom w:val="single" w:sz="4" w:space="0" w:color="auto"/>
              <w:right w:val="single" w:sz="4" w:space="0" w:color="auto"/>
            </w:tcBorders>
            <w:shd w:val="clear" w:color="auto" w:fill="auto"/>
            <w:noWrap/>
            <w:vAlign w:val="center"/>
            <w:hideMark/>
          </w:tcPr>
          <w:p w14:paraId="416706A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876C0C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19,282</w:t>
            </w:r>
          </w:p>
        </w:tc>
        <w:tc>
          <w:tcPr>
            <w:tcW w:w="934" w:type="dxa"/>
            <w:tcBorders>
              <w:top w:val="nil"/>
              <w:left w:val="nil"/>
              <w:bottom w:val="single" w:sz="4" w:space="0" w:color="auto"/>
              <w:right w:val="single" w:sz="4" w:space="0" w:color="auto"/>
            </w:tcBorders>
            <w:shd w:val="clear" w:color="auto" w:fill="auto"/>
            <w:noWrap/>
            <w:vAlign w:val="center"/>
            <w:hideMark/>
          </w:tcPr>
          <w:p w14:paraId="6ECF890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2AC7FA5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933" w:type="dxa"/>
            <w:tcBorders>
              <w:top w:val="nil"/>
              <w:left w:val="nil"/>
              <w:bottom w:val="single" w:sz="4" w:space="0" w:color="auto"/>
              <w:right w:val="single" w:sz="4" w:space="0" w:color="auto"/>
            </w:tcBorders>
            <w:shd w:val="clear" w:color="auto" w:fill="auto"/>
            <w:noWrap/>
            <w:vAlign w:val="center"/>
            <w:hideMark/>
          </w:tcPr>
          <w:p w14:paraId="54DB31D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8150B2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19,282</w:t>
            </w:r>
          </w:p>
        </w:tc>
        <w:tc>
          <w:tcPr>
            <w:tcW w:w="933" w:type="dxa"/>
            <w:tcBorders>
              <w:top w:val="nil"/>
              <w:left w:val="nil"/>
              <w:bottom w:val="single" w:sz="4" w:space="0" w:color="auto"/>
              <w:right w:val="single" w:sz="4" w:space="0" w:color="auto"/>
            </w:tcBorders>
            <w:shd w:val="clear" w:color="auto" w:fill="auto"/>
            <w:noWrap/>
            <w:vAlign w:val="center"/>
            <w:hideMark/>
          </w:tcPr>
          <w:p w14:paraId="5A5AD56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9B8B2D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6DB1E2A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23,776</w:t>
            </w:r>
          </w:p>
        </w:tc>
        <w:tc>
          <w:tcPr>
            <w:tcW w:w="934" w:type="dxa"/>
            <w:tcBorders>
              <w:top w:val="nil"/>
              <w:left w:val="nil"/>
              <w:bottom w:val="single" w:sz="4" w:space="0" w:color="auto"/>
              <w:right w:val="single" w:sz="4" w:space="0" w:color="auto"/>
            </w:tcBorders>
            <w:shd w:val="clear" w:color="auto" w:fill="auto"/>
            <w:noWrap/>
            <w:vAlign w:val="center"/>
            <w:hideMark/>
          </w:tcPr>
          <w:p w14:paraId="5C5221B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147</w:t>
            </w:r>
          </w:p>
        </w:tc>
        <w:tc>
          <w:tcPr>
            <w:tcW w:w="933" w:type="dxa"/>
            <w:tcBorders>
              <w:top w:val="nil"/>
              <w:left w:val="nil"/>
              <w:bottom w:val="single" w:sz="4" w:space="0" w:color="auto"/>
              <w:right w:val="single" w:sz="4" w:space="0" w:color="auto"/>
            </w:tcBorders>
            <w:shd w:val="clear" w:color="auto" w:fill="auto"/>
            <w:noWrap/>
            <w:vAlign w:val="center"/>
            <w:hideMark/>
          </w:tcPr>
          <w:p w14:paraId="55E4A16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3" w:type="dxa"/>
            <w:tcBorders>
              <w:top w:val="nil"/>
              <w:left w:val="nil"/>
              <w:bottom w:val="single" w:sz="4" w:space="0" w:color="auto"/>
              <w:right w:val="single" w:sz="4" w:space="0" w:color="auto"/>
            </w:tcBorders>
            <w:shd w:val="clear" w:color="auto" w:fill="auto"/>
            <w:noWrap/>
            <w:vAlign w:val="center"/>
            <w:hideMark/>
          </w:tcPr>
          <w:p w14:paraId="3F11D00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296678E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23,923</w:t>
            </w:r>
          </w:p>
        </w:tc>
      </w:tr>
      <w:tr w:rsidR="008428AF" w:rsidRPr="00AB625A" w14:paraId="2C0DCB49" w14:textId="77777777" w:rsidTr="00AD15B7">
        <w:trPr>
          <w:trHeight w:val="3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5F25EA1A"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All other organisations (&lt;$1 m)</w:t>
            </w:r>
          </w:p>
        </w:tc>
        <w:tc>
          <w:tcPr>
            <w:tcW w:w="1079" w:type="dxa"/>
            <w:tcBorders>
              <w:top w:val="nil"/>
              <w:left w:val="nil"/>
              <w:bottom w:val="single" w:sz="4" w:space="0" w:color="auto"/>
              <w:right w:val="single" w:sz="4" w:space="0" w:color="auto"/>
            </w:tcBorders>
            <w:shd w:val="clear" w:color="auto" w:fill="auto"/>
            <w:noWrap/>
            <w:vAlign w:val="center"/>
            <w:hideMark/>
          </w:tcPr>
          <w:p w14:paraId="4C92C26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9,932</w:t>
            </w:r>
          </w:p>
        </w:tc>
        <w:tc>
          <w:tcPr>
            <w:tcW w:w="933" w:type="dxa"/>
            <w:tcBorders>
              <w:top w:val="nil"/>
              <w:left w:val="nil"/>
              <w:bottom w:val="single" w:sz="4" w:space="0" w:color="auto"/>
              <w:right w:val="single" w:sz="4" w:space="0" w:color="auto"/>
            </w:tcBorders>
            <w:shd w:val="clear" w:color="auto" w:fill="auto"/>
            <w:noWrap/>
            <w:vAlign w:val="center"/>
            <w:hideMark/>
          </w:tcPr>
          <w:p w14:paraId="3538FD4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21,892</w:t>
            </w:r>
          </w:p>
        </w:tc>
        <w:tc>
          <w:tcPr>
            <w:tcW w:w="933" w:type="dxa"/>
            <w:tcBorders>
              <w:top w:val="nil"/>
              <w:left w:val="nil"/>
              <w:bottom w:val="single" w:sz="4" w:space="0" w:color="auto"/>
              <w:right w:val="single" w:sz="4" w:space="0" w:color="auto"/>
            </w:tcBorders>
            <w:shd w:val="clear" w:color="auto" w:fill="auto"/>
            <w:noWrap/>
            <w:vAlign w:val="center"/>
            <w:hideMark/>
          </w:tcPr>
          <w:p w14:paraId="6658688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5,055</w:t>
            </w:r>
          </w:p>
        </w:tc>
        <w:tc>
          <w:tcPr>
            <w:tcW w:w="934" w:type="dxa"/>
            <w:tcBorders>
              <w:top w:val="nil"/>
              <w:left w:val="nil"/>
              <w:bottom w:val="single" w:sz="4" w:space="0" w:color="auto"/>
              <w:right w:val="single" w:sz="4" w:space="0" w:color="auto"/>
            </w:tcBorders>
            <w:shd w:val="clear" w:color="auto" w:fill="auto"/>
            <w:noWrap/>
            <w:vAlign w:val="center"/>
            <w:hideMark/>
          </w:tcPr>
          <w:p w14:paraId="68AFBD1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7,296</w:t>
            </w:r>
          </w:p>
        </w:tc>
        <w:tc>
          <w:tcPr>
            <w:tcW w:w="933" w:type="dxa"/>
            <w:tcBorders>
              <w:top w:val="nil"/>
              <w:left w:val="nil"/>
              <w:bottom w:val="single" w:sz="4" w:space="0" w:color="auto"/>
              <w:right w:val="single" w:sz="4" w:space="0" w:color="auto"/>
            </w:tcBorders>
            <w:shd w:val="clear" w:color="auto" w:fill="auto"/>
            <w:noWrap/>
            <w:vAlign w:val="center"/>
            <w:hideMark/>
          </w:tcPr>
          <w:p w14:paraId="38F518D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1,853</w:t>
            </w:r>
          </w:p>
        </w:tc>
        <w:tc>
          <w:tcPr>
            <w:tcW w:w="933" w:type="dxa"/>
            <w:tcBorders>
              <w:top w:val="nil"/>
              <w:left w:val="nil"/>
              <w:bottom w:val="single" w:sz="4" w:space="0" w:color="auto"/>
              <w:right w:val="single" w:sz="4" w:space="0" w:color="auto"/>
            </w:tcBorders>
            <w:shd w:val="clear" w:color="auto" w:fill="auto"/>
            <w:noWrap/>
            <w:vAlign w:val="center"/>
            <w:hideMark/>
          </w:tcPr>
          <w:p w14:paraId="2DC66D2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743</w:t>
            </w:r>
          </w:p>
        </w:tc>
        <w:tc>
          <w:tcPr>
            <w:tcW w:w="934" w:type="dxa"/>
            <w:tcBorders>
              <w:top w:val="nil"/>
              <w:left w:val="nil"/>
              <w:bottom w:val="single" w:sz="4" w:space="0" w:color="auto"/>
              <w:right w:val="single" w:sz="4" w:space="0" w:color="auto"/>
            </w:tcBorders>
            <w:shd w:val="clear" w:color="auto" w:fill="auto"/>
            <w:noWrap/>
            <w:vAlign w:val="center"/>
            <w:hideMark/>
          </w:tcPr>
          <w:p w14:paraId="30577AB1"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46,770</w:t>
            </w:r>
          </w:p>
        </w:tc>
        <w:tc>
          <w:tcPr>
            <w:tcW w:w="933" w:type="dxa"/>
            <w:tcBorders>
              <w:top w:val="nil"/>
              <w:left w:val="nil"/>
              <w:bottom w:val="single" w:sz="4" w:space="0" w:color="auto"/>
              <w:right w:val="single" w:sz="4" w:space="0" w:color="auto"/>
            </w:tcBorders>
            <w:shd w:val="clear" w:color="auto" w:fill="auto"/>
            <w:noWrap/>
            <w:vAlign w:val="center"/>
            <w:hideMark/>
          </w:tcPr>
          <w:p w14:paraId="270AB13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9,224</w:t>
            </w:r>
          </w:p>
        </w:tc>
        <w:tc>
          <w:tcPr>
            <w:tcW w:w="933" w:type="dxa"/>
            <w:tcBorders>
              <w:top w:val="nil"/>
              <w:left w:val="nil"/>
              <w:bottom w:val="single" w:sz="4" w:space="0" w:color="auto"/>
              <w:right w:val="single" w:sz="4" w:space="0" w:color="auto"/>
            </w:tcBorders>
            <w:shd w:val="clear" w:color="auto" w:fill="auto"/>
            <w:noWrap/>
            <w:vAlign w:val="center"/>
            <w:hideMark/>
          </w:tcPr>
          <w:p w14:paraId="603E624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22,613</w:t>
            </w:r>
          </w:p>
        </w:tc>
        <w:tc>
          <w:tcPr>
            <w:tcW w:w="933" w:type="dxa"/>
            <w:tcBorders>
              <w:top w:val="nil"/>
              <w:left w:val="nil"/>
              <w:bottom w:val="single" w:sz="4" w:space="0" w:color="auto"/>
              <w:right w:val="single" w:sz="4" w:space="0" w:color="auto"/>
            </w:tcBorders>
            <w:shd w:val="clear" w:color="auto" w:fill="auto"/>
            <w:noWrap/>
            <w:vAlign w:val="center"/>
            <w:hideMark/>
          </w:tcPr>
          <w:p w14:paraId="544E087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5,394</w:t>
            </w:r>
          </w:p>
        </w:tc>
        <w:tc>
          <w:tcPr>
            <w:tcW w:w="934" w:type="dxa"/>
            <w:tcBorders>
              <w:top w:val="nil"/>
              <w:left w:val="nil"/>
              <w:bottom w:val="single" w:sz="4" w:space="0" w:color="auto"/>
              <w:right w:val="single" w:sz="4" w:space="0" w:color="auto"/>
            </w:tcBorders>
            <w:shd w:val="clear" w:color="auto" w:fill="auto"/>
            <w:noWrap/>
            <w:vAlign w:val="center"/>
            <w:hideMark/>
          </w:tcPr>
          <w:p w14:paraId="50A713D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8,251</w:t>
            </w:r>
          </w:p>
        </w:tc>
        <w:tc>
          <w:tcPr>
            <w:tcW w:w="933" w:type="dxa"/>
            <w:tcBorders>
              <w:top w:val="nil"/>
              <w:left w:val="nil"/>
              <w:bottom w:val="single" w:sz="4" w:space="0" w:color="auto"/>
              <w:right w:val="single" w:sz="4" w:space="0" w:color="auto"/>
            </w:tcBorders>
            <w:shd w:val="clear" w:color="auto" w:fill="auto"/>
            <w:noWrap/>
            <w:vAlign w:val="center"/>
            <w:hideMark/>
          </w:tcPr>
          <w:p w14:paraId="34B221A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3,806</w:t>
            </w:r>
          </w:p>
        </w:tc>
        <w:tc>
          <w:tcPr>
            <w:tcW w:w="933" w:type="dxa"/>
            <w:tcBorders>
              <w:top w:val="nil"/>
              <w:left w:val="nil"/>
              <w:bottom w:val="single" w:sz="4" w:space="0" w:color="auto"/>
              <w:right w:val="single" w:sz="4" w:space="0" w:color="auto"/>
            </w:tcBorders>
            <w:shd w:val="clear" w:color="auto" w:fill="auto"/>
            <w:noWrap/>
            <w:vAlign w:val="center"/>
            <w:hideMark/>
          </w:tcPr>
          <w:p w14:paraId="30C22D7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2,057</w:t>
            </w:r>
          </w:p>
        </w:tc>
        <w:tc>
          <w:tcPr>
            <w:tcW w:w="934" w:type="dxa"/>
            <w:tcBorders>
              <w:top w:val="nil"/>
              <w:left w:val="nil"/>
              <w:bottom w:val="single" w:sz="4" w:space="0" w:color="auto"/>
              <w:right w:val="single" w:sz="4" w:space="0" w:color="auto"/>
            </w:tcBorders>
            <w:shd w:val="clear" w:color="auto" w:fill="auto"/>
            <w:noWrap/>
            <w:vAlign w:val="center"/>
            <w:hideMark/>
          </w:tcPr>
          <w:p w14:paraId="2456ABE9"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51,343</w:t>
            </w:r>
          </w:p>
        </w:tc>
      </w:tr>
      <w:tr w:rsidR="008428AF" w:rsidRPr="00AB625A" w14:paraId="3318DF0A" w14:textId="77777777" w:rsidTr="00AD15B7">
        <w:trPr>
          <w:trHeight w:val="30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283C677E" w14:textId="77777777" w:rsidR="00B469AB" w:rsidRPr="00B469AB" w:rsidRDefault="00B469AB" w:rsidP="003D68D1">
            <w:pPr>
              <w:spacing w:after="0" w:line="240" w:lineRule="auto"/>
              <w:rPr>
                <w:rFonts w:cs="Arial"/>
                <w:b/>
                <w:bCs/>
                <w:color w:val="000000"/>
                <w:sz w:val="16"/>
                <w:szCs w:val="16"/>
                <w:lang w:eastAsia="en-AU"/>
              </w:rPr>
            </w:pPr>
            <w:r w:rsidRPr="00B469AB">
              <w:rPr>
                <w:rFonts w:cs="Arial"/>
                <w:b/>
                <w:bCs/>
                <w:color w:val="000000"/>
                <w:sz w:val="16"/>
                <w:szCs w:val="16"/>
                <w:lang w:eastAsia="en-AU"/>
              </w:rPr>
              <w:t>Grand Total</w:t>
            </w:r>
          </w:p>
        </w:tc>
        <w:tc>
          <w:tcPr>
            <w:tcW w:w="1079" w:type="dxa"/>
            <w:tcBorders>
              <w:top w:val="nil"/>
              <w:left w:val="nil"/>
              <w:bottom w:val="single" w:sz="4" w:space="0" w:color="auto"/>
              <w:right w:val="single" w:sz="4" w:space="0" w:color="auto"/>
            </w:tcBorders>
            <w:shd w:val="clear" w:color="auto" w:fill="auto"/>
            <w:noWrap/>
            <w:vAlign w:val="center"/>
            <w:hideMark/>
          </w:tcPr>
          <w:p w14:paraId="305B1A8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117,454</w:t>
            </w:r>
          </w:p>
        </w:tc>
        <w:tc>
          <w:tcPr>
            <w:tcW w:w="933" w:type="dxa"/>
            <w:tcBorders>
              <w:top w:val="nil"/>
              <w:left w:val="nil"/>
              <w:bottom w:val="single" w:sz="4" w:space="0" w:color="auto"/>
              <w:right w:val="single" w:sz="4" w:space="0" w:color="auto"/>
            </w:tcBorders>
            <w:shd w:val="clear" w:color="auto" w:fill="auto"/>
            <w:noWrap/>
            <w:vAlign w:val="center"/>
            <w:hideMark/>
          </w:tcPr>
          <w:p w14:paraId="32165B8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95,258</w:t>
            </w:r>
          </w:p>
        </w:tc>
        <w:tc>
          <w:tcPr>
            <w:tcW w:w="933" w:type="dxa"/>
            <w:tcBorders>
              <w:top w:val="nil"/>
              <w:left w:val="nil"/>
              <w:bottom w:val="single" w:sz="4" w:space="0" w:color="auto"/>
              <w:right w:val="single" w:sz="4" w:space="0" w:color="auto"/>
            </w:tcBorders>
            <w:shd w:val="clear" w:color="auto" w:fill="auto"/>
            <w:noWrap/>
            <w:vAlign w:val="center"/>
            <w:hideMark/>
          </w:tcPr>
          <w:p w14:paraId="1EC22EC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126,956</w:t>
            </w:r>
          </w:p>
        </w:tc>
        <w:tc>
          <w:tcPr>
            <w:tcW w:w="934" w:type="dxa"/>
            <w:tcBorders>
              <w:top w:val="nil"/>
              <w:left w:val="nil"/>
              <w:bottom w:val="single" w:sz="4" w:space="0" w:color="auto"/>
              <w:right w:val="single" w:sz="4" w:space="0" w:color="auto"/>
            </w:tcBorders>
            <w:shd w:val="clear" w:color="auto" w:fill="auto"/>
            <w:noWrap/>
            <w:vAlign w:val="center"/>
            <w:hideMark/>
          </w:tcPr>
          <w:p w14:paraId="1A88340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99,088</w:t>
            </w:r>
          </w:p>
        </w:tc>
        <w:tc>
          <w:tcPr>
            <w:tcW w:w="933" w:type="dxa"/>
            <w:tcBorders>
              <w:top w:val="nil"/>
              <w:left w:val="nil"/>
              <w:bottom w:val="single" w:sz="4" w:space="0" w:color="auto"/>
              <w:right w:val="single" w:sz="4" w:space="0" w:color="auto"/>
            </w:tcBorders>
            <w:shd w:val="clear" w:color="auto" w:fill="auto"/>
            <w:noWrap/>
            <w:vAlign w:val="center"/>
            <w:hideMark/>
          </w:tcPr>
          <w:p w14:paraId="76408D7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57,103</w:t>
            </w:r>
          </w:p>
        </w:tc>
        <w:tc>
          <w:tcPr>
            <w:tcW w:w="933" w:type="dxa"/>
            <w:tcBorders>
              <w:top w:val="nil"/>
              <w:left w:val="nil"/>
              <w:bottom w:val="single" w:sz="4" w:space="0" w:color="auto"/>
              <w:right w:val="single" w:sz="4" w:space="0" w:color="auto"/>
            </w:tcBorders>
            <w:shd w:val="clear" w:color="auto" w:fill="auto"/>
            <w:noWrap/>
            <w:vAlign w:val="center"/>
            <w:hideMark/>
          </w:tcPr>
          <w:p w14:paraId="257FEC6B"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157,454</w:t>
            </w:r>
          </w:p>
        </w:tc>
        <w:tc>
          <w:tcPr>
            <w:tcW w:w="934" w:type="dxa"/>
            <w:tcBorders>
              <w:top w:val="nil"/>
              <w:left w:val="nil"/>
              <w:bottom w:val="single" w:sz="4" w:space="0" w:color="auto"/>
              <w:right w:val="single" w:sz="4" w:space="0" w:color="auto"/>
            </w:tcBorders>
            <w:shd w:val="clear" w:color="auto" w:fill="auto"/>
            <w:noWrap/>
            <w:vAlign w:val="center"/>
            <w:hideMark/>
          </w:tcPr>
          <w:p w14:paraId="379D84C9"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653,313</w:t>
            </w:r>
          </w:p>
        </w:tc>
        <w:tc>
          <w:tcPr>
            <w:tcW w:w="933" w:type="dxa"/>
            <w:tcBorders>
              <w:top w:val="nil"/>
              <w:left w:val="nil"/>
              <w:bottom w:val="single" w:sz="4" w:space="0" w:color="auto"/>
              <w:right w:val="single" w:sz="4" w:space="0" w:color="auto"/>
            </w:tcBorders>
            <w:shd w:val="clear" w:color="auto" w:fill="auto"/>
            <w:noWrap/>
            <w:vAlign w:val="center"/>
            <w:hideMark/>
          </w:tcPr>
          <w:p w14:paraId="30FBEA89"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98,211</w:t>
            </w:r>
          </w:p>
        </w:tc>
        <w:tc>
          <w:tcPr>
            <w:tcW w:w="933" w:type="dxa"/>
            <w:tcBorders>
              <w:top w:val="nil"/>
              <w:left w:val="nil"/>
              <w:bottom w:val="single" w:sz="4" w:space="0" w:color="auto"/>
              <w:right w:val="single" w:sz="4" w:space="0" w:color="auto"/>
            </w:tcBorders>
            <w:shd w:val="clear" w:color="auto" w:fill="auto"/>
            <w:noWrap/>
            <w:vAlign w:val="center"/>
            <w:hideMark/>
          </w:tcPr>
          <w:p w14:paraId="4B61699A"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99,921</w:t>
            </w:r>
          </w:p>
        </w:tc>
        <w:tc>
          <w:tcPr>
            <w:tcW w:w="933" w:type="dxa"/>
            <w:tcBorders>
              <w:top w:val="nil"/>
              <w:left w:val="nil"/>
              <w:bottom w:val="single" w:sz="4" w:space="0" w:color="auto"/>
              <w:right w:val="single" w:sz="4" w:space="0" w:color="auto"/>
            </w:tcBorders>
            <w:shd w:val="clear" w:color="auto" w:fill="auto"/>
            <w:noWrap/>
            <w:vAlign w:val="center"/>
            <w:hideMark/>
          </w:tcPr>
          <w:p w14:paraId="731D1EF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134,665</w:t>
            </w:r>
          </w:p>
        </w:tc>
        <w:tc>
          <w:tcPr>
            <w:tcW w:w="934" w:type="dxa"/>
            <w:tcBorders>
              <w:top w:val="nil"/>
              <w:left w:val="nil"/>
              <w:bottom w:val="single" w:sz="4" w:space="0" w:color="auto"/>
              <w:right w:val="single" w:sz="4" w:space="0" w:color="auto"/>
            </w:tcBorders>
            <w:shd w:val="clear" w:color="auto" w:fill="auto"/>
            <w:noWrap/>
            <w:vAlign w:val="center"/>
            <w:hideMark/>
          </w:tcPr>
          <w:p w14:paraId="3F3B059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112,164</w:t>
            </w:r>
          </w:p>
        </w:tc>
        <w:tc>
          <w:tcPr>
            <w:tcW w:w="933" w:type="dxa"/>
            <w:tcBorders>
              <w:top w:val="nil"/>
              <w:left w:val="nil"/>
              <w:bottom w:val="single" w:sz="4" w:space="0" w:color="auto"/>
              <w:right w:val="single" w:sz="4" w:space="0" w:color="auto"/>
            </w:tcBorders>
            <w:shd w:val="clear" w:color="auto" w:fill="auto"/>
            <w:noWrap/>
            <w:vAlign w:val="center"/>
            <w:hideMark/>
          </w:tcPr>
          <w:p w14:paraId="56531DF1"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49,960</w:t>
            </w:r>
          </w:p>
        </w:tc>
        <w:tc>
          <w:tcPr>
            <w:tcW w:w="933" w:type="dxa"/>
            <w:tcBorders>
              <w:top w:val="nil"/>
              <w:left w:val="nil"/>
              <w:bottom w:val="single" w:sz="4" w:space="0" w:color="auto"/>
              <w:right w:val="single" w:sz="4" w:space="0" w:color="auto"/>
            </w:tcBorders>
            <w:shd w:val="clear" w:color="auto" w:fill="auto"/>
            <w:noWrap/>
            <w:vAlign w:val="center"/>
            <w:hideMark/>
          </w:tcPr>
          <w:p w14:paraId="4DB0927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172,884</w:t>
            </w:r>
          </w:p>
        </w:tc>
        <w:tc>
          <w:tcPr>
            <w:tcW w:w="934" w:type="dxa"/>
            <w:tcBorders>
              <w:top w:val="nil"/>
              <w:left w:val="nil"/>
              <w:bottom w:val="single" w:sz="4" w:space="0" w:color="auto"/>
              <w:right w:val="single" w:sz="4" w:space="0" w:color="auto"/>
            </w:tcBorders>
            <w:shd w:val="clear" w:color="auto" w:fill="auto"/>
            <w:noWrap/>
            <w:vAlign w:val="center"/>
            <w:hideMark/>
          </w:tcPr>
          <w:p w14:paraId="09EF0ED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667,806</w:t>
            </w:r>
          </w:p>
        </w:tc>
      </w:tr>
    </w:tbl>
    <w:p w14:paraId="459AE1EE" w14:textId="49A64C0B" w:rsidR="00B469AB" w:rsidRDefault="00B469AB" w:rsidP="00B469AB">
      <w:pPr>
        <w:pStyle w:val="Body"/>
      </w:pPr>
    </w:p>
    <w:p w14:paraId="0BC00CC7" w14:textId="77777777" w:rsidR="00B469AB" w:rsidRPr="00B469AB" w:rsidRDefault="00B469AB" w:rsidP="00B469AB">
      <w:pPr>
        <w:pStyle w:val="Body"/>
      </w:pPr>
    </w:p>
    <w:p w14:paraId="2F0E589F" w14:textId="5914B76E" w:rsidR="000B27B9" w:rsidRPr="00340815" w:rsidRDefault="000B27B9" w:rsidP="00081936">
      <w:pPr>
        <w:pStyle w:val="Heading3"/>
        <w:numPr>
          <w:ilvl w:val="2"/>
          <w:numId w:val="33"/>
        </w:numPr>
        <w:spacing w:before="240"/>
        <w:ind w:left="1134"/>
      </w:pPr>
      <w:bookmarkStart w:id="1081" w:name="_Toc144905677"/>
      <w:bookmarkStart w:id="1082" w:name="_Toc12780663"/>
      <w:bookmarkStart w:id="1083" w:name="_Toc14172304"/>
      <w:bookmarkStart w:id="1084" w:name="_Toc33703978"/>
      <w:bookmarkStart w:id="1085" w:name="_Toc55381166"/>
      <w:bookmarkStart w:id="1086" w:name="_Toc100263372"/>
      <w:bookmarkStart w:id="1087" w:name="_Toc156569696"/>
      <w:bookmarkEnd w:id="1081"/>
      <w:r>
        <w:t xml:space="preserve">Other </w:t>
      </w:r>
      <w:r w:rsidR="00331D5D">
        <w:t>F</w:t>
      </w:r>
      <w:r>
        <w:t xml:space="preserve">unded </w:t>
      </w:r>
      <w:r w:rsidR="00331D5D" w:rsidRPr="00340815">
        <w:t>O</w:t>
      </w:r>
      <w:r w:rsidRPr="00340815">
        <w:t xml:space="preserve">rganisations </w:t>
      </w:r>
      <w:bookmarkEnd w:id="1082"/>
      <w:bookmarkEnd w:id="1083"/>
      <w:bookmarkEnd w:id="1084"/>
      <w:bookmarkEnd w:id="1085"/>
      <w:r w:rsidR="005D1FCB" w:rsidRPr="00340815">
        <w:t>202</w:t>
      </w:r>
      <w:r w:rsidR="001D5EAA">
        <w:t>2</w:t>
      </w:r>
      <w:r w:rsidR="00AB0330" w:rsidRPr="00340815">
        <w:t>–</w:t>
      </w:r>
      <w:r w:rsidR="005D1FCB" w:rsidRPr="00340815">
        <w:t>2</w:t>
      </w:r>
      <w:r w:rsidR="001D5EAA">
        <w:t>3</w:t>
      </w:r>
      <w:r w:rsidR="005D1FCB" w:rsidRPr="00340815">
        <w:t xml:space="preserve"> and </w:t>
      </w:r>
      <w:bookmarkEnd w:id="1086"/>
      <w:r w:rsidR="005D1FCB" w:rsidRPr="00340815">
        <w:t>202</w:t>
      </w:r>
      <w:r w:rsidR="001D5EAA">
        <w:t>3</w:t>
      </w:r>
      <w:r w:rsidR="00AB0330" w:rsidRPr="00340815">
        <w:t>–</w:t>
      </w:r>
      <w:r w:rsidR="005D1FCB" w:rsidRPr="00340815">
        <w:t>2</w:t>
      </w:r>
      <w:r w:rsidR="001D5EAA">
        <w:t>4</w:t>
      </w:r>
      <w:bookmarkEnd w:id="1087"/>
    </w:p>
    <w:p w14:paraId="135D91A1" w14:textId="7E68EEBE" w:rsidR="000B27B9" w:rsidRDefault="000B27B9" w:rsidP="000E08EF">
      <w:pPr>
        <w:pStyle w:val="Tablecaption"/>
      </w:pPr>
      <w:bookmarkStart w:id="1088" w:name="_Toc12780567"/>
      <w:bookmarkStart w:id="1089" w:name="_Toc14194823"/>
      <w:bookmarkStart w:id="1090" w:name="_Toc33704004"/>
      <w:bookmarkStart w:id="1091" w:name="_Toc109894134"/>
      <w:bookmarkStart w:id="1092" w:name="_Toc156568685"/>
      <w:r w:rsidRPr="00340815">
        <w:t xml:space="preserve">Table </w:t>
      </w:r>
      <w:r>
        <w:fldChar w:fldCharType="begin"/>
      </w:r>
      <w:r>
        <w:instrText>STYLEREF 1 \s</w:instrText>
      </w:r>
      <w:r>
        <w:fldChar w:fldCharType="separate"/>
      </w:r>
      <w:r w:rsidR="00892F13">
        <w:rPr>
          <w:noProof/>
        </w:rPr>
        <w:t>2</w:t>
      </w:r>
      <w:r>
        <w:fldChar w:fldCharType="end"/>
      </w:r>
      <w:r w:rsidR="00742C12">
        <w:t>.</w:t>
      </w:r>
      <w:r>
        <w:fldChar w:fldCharType="begin"/>
      </w:r>
      <w:r>
        <w:instrText>SEQ Table \* ARABIC \s 1</w:instrText>
      </w:r>
      <w:r>
        <w:fldChar w:fldCharType="separate"/>
      </w:r>
      <w:r w:rsidR="00892F13">
        <w:rPr>
          <w:noProof/>
        </w:rPr>
        <w:t>8</w:t>
      </w:r>
      <w:r>
        <w:fldChar w:fldCharType="end"/>
      </w:r>
      <w:r w:rsidRPr="00340815">
        <w:t xml:space="preserve">: Other funded organisations expenditure budgets </w:t>
      </w:r>
      <w:bookmarkEnd w:id="1088"/>
      <w:bookmarkEnd w:id="1089"/>
      <w:bookmarkEnd w:id="1090"/>
      <w:bookmarkEnd w:id="1091"/>
      <w:r w:rsidR="005D1FCB" w:rsidRPr="00340815">
        <w:t>202</w:t>
      </w:r>
      <w:r w:rsidR="001D5EAA">
        <w:t>2</w:t>
      </w:r>
      <w:r w:rsidR="00AB0330" w:rsidRPr="00340815">
        <w:t>–</w:t>
      </w:r>
      <w:r w:rsidR="005D1FCB" w:rsidRPr="00340815">
        <w:t>2</w:t>
      </w:r>
      <w:r w:rsidR="001D5EAA">
        <w:t>3</w:t>
      </w:r>
      <w:r w:rsidR="005D1FCB" w:rsidRPr="00340815">
        <w:t xml:space="preserve"> and 202</w:t>
      </w:r>
      <w:r w:rsidR="001D5EAA">
        <w:t>3</w:t>
      </w:r>
      <w:r w:rsidR="00AB0330" w:rsidRPr="00340815">
        <w:t>–</w:t>
      </w:r>
      <w:r w:rsidR="005D1FCB" w:rsidRPr="00340815">
        <w:t>2</w:t>
      </w:r>
      <w:r w:rsidR="001D5EAA">
        <w:t>4</w:t>
      </w:r>
      <w:r w:rsidR="00E110F6">
        <w:t xml:space="preserve"> – $’000s</w:t>
      </w:r>
      <w:bookmarkEnd w:id="1092"/>
    </w:p>
    <w:tbl>
      <w:tblPr>
        <w:tblW w:w="15451" w:type="dxa"/>
        <w:tblInd w:w="-147" w:type="dxa"/>
        <w:tblLayout w:type="fixed"/>
        <w:tblLook w:val="04A0" w:firstRow="1" w:lastRow="0" w:firstColumn="1" w:lastColumn="0" w:noHBand="0" w:noVBand="1"/>
      </w:tblPr>
      <w:tblGrid>
        <w:gridCol w:w="1843"/>
        <w:gridCol w:w="832"/>
        <w:gridCol w:w="833"/>
        <w:gridCol w:w="833"/>
        <w:gridCol w:w="833"/>
        <w:gridCol w:w="833"/>
        <w:gridCol w:w="832"/>
        <w:gridCol w:w="833"/>
        <w:gridCol w:w="975"/>
        <w:gridCol w:w="833"/>
        <w:gridCol w:w="833"/>
        <w:gridCol w:w="832"/>
        <w:gridCol w:w="833"/>
        <w:gridCol w:w="833"/>
        <w:gridCol w:w="833"/>
        <w:gridCol w:w="833"/>
        <w:gridCol w:w="974"/>
      </w:tblGrid>
      <w:tr w:rsidR="004A20FD" w:rsidRPr="00A47C7D" w14:paraId="4A8DE4B0" w14:textId="77777777" w:rsidTr="004A20FD">
        <w:trPr>
          <w:trHeight w:val="11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902DF5" w14:textId="77777777" w:rsidR="00B469AB" w:rsidRPr="00414F21" w:rsidRDefault="00B469AB" w:rsidP="003D68D1">
            <w:pPr>
              <w:spacing w:after="0" w:line="240" w:lineRule="auto"/>
              <w:rPr>
                <w:rFonts w:cs="Arial"/>
                <w:b/>
                <w:bCs/>
                <w:color w:val="53565A"/>
                <w:sz w:val="16"/>
                <w:szCs w:val="16"/>
                <w:lang w:eastAsia="en-AU"/>
              </w:rPr>
            </w:pPr>
            <w:r w:rsidRPr="00414F21">
              <w:rPr>
                <w:rFonts w:cs="Arial"/>
                <w:b/>
                <w:bCs/>
                <w:color w:val="53565A"/>
                <w:sz w:val="16"/>
                <w:szCs w:val="16"/>
                <w:lang w:eastAsia="en-AU"/>
              </w:rPr>
              <w:t>Health service</w:t>
            </w:r>
          </w:p>
        </w:tc>
        <w:tc>
          <w:tcPr>
            <w:tcW w:w="832" w:type="dxa"/>
            <w:tcBorders>
              <w:top w:val="single" w:sz="4" w:space="0" w:color="auto"/>
              <w:left w:val="nil"/>
              <w:bottom w:val="single" w:sz="4" w:space="0" w:color="auto"/>
              <w:right w:val="single" w:sz="4" w:space="0" w:color="auto"/>
            </w:tcBorders>
            <w:shd w:val="clear" w:color="auto" w:fill="auto"/>
            <w:hideMark/>
          </w:tcPr>
          <w:p w14:paraId="393FF95B" w14:textId="77777777" w:rsidR="00B469AB" w:rsidRPr="00414F21" w:rsidRDefault="00B469AB" w:rsidP="00414F21">
            <w:pPr>
              <w:spacing w:after="0" w:line="240" w:lineRule="auto"/>
              <w:jc w:val="right"/>
              <w:rPr>
                <w:rFonts w:cs="Arial"/>
                <w:b/>
                <w:bCs/>
                <w:color w:val="53565A"/>
                <w:sz w:val="16"/>
                <w:szCs w:val="16"/>
                <w:lang w:eastAsia="en-AU"/>
              </w:rPr>
            </w:pPr>
            <w:r w:rsidRPr="00414F21">
              <w:rPr>
                <w:rFonts w:cs="Arial"/>
                <w:b/>
                <w:bCs/>
                <w:color w:val="53565A"/>
                <w:sz w:val="16"/>
                <w:szCs w:val="16"/>
                <w:lang w:eastAsia="en-AU"/>
              </w:rPr>
              <w:t>2022–23</w:t>
            </w:r>
            <w:r w:rsidRPr="00414F21">
              <w:rPr>
                <w:rFonts w:cs="Arial"/>
                <w:b/>
                <w:bCs/>
                <w:color w:val="53565A"/>
                <w:sz w:val="16"/>
                <w:szCs w:val="16"/>
                <w:lang w:eastAsia="en-AU"/>
              </w:rPr>
              <w:br/>
              <w:t>Acute health services</w:t>
            </w:r>
          </w:p>
        </w:tc>
        <w:tc>
          <w:tcPr>
            <w:tcW w:w="833" w:type="dxa"/>
            <w:tcBorders>
              <w:top w:val="single" w:sz="4" w:space="0" w:color="auto"/>
              <w:left w:val="nil"/>
              <w:bottom w:val="single" w:sz="4" w:space="0" w:color="auto"/>
              <w:right w:val="single" w:sz="4" w:space="0" w:color="auto"/>
            </w:tcBorders>
            <w:shd w:val="clear" w:color="auto" w:fill="auto"/>
            <w:hideMark/>
          </w:tcPr>
          <w:p w14:paraId="664DE5D5" w14:textId="77777777" w:rsidR="00B469AB" w:rsidRPr="00414F21" w:rsidRDefault="00B469AB" w:rsidP="00414F21">
            <w:pPr>
              <w:spacing w:after="0" w:line="240" w:lineRule="auto"/>
              <w:jc w:val="right"/>
              <w:rPr>
                <w:rFonts w:cs="Arial"/>
                <w:b/>
                <w:bCs/>
                <w:color w:val="53565A"/>
                <w:sz w:val="16"/>
                <w:szCs w:val="16"/>
                <w:lang w:eastAsia="en-AU"/>
              </w:rPr>
            </w:pPr>
            <w:r w:rsidRPr="00414F21">
              <w:rPr>
                <w:rFonts w:cs="Arial"/>
                <w:b/>
                <w:bCs/>
                <w:color w:val="53565A"/>
                <w:sz w:val="16"/>
                <w:szCs w:val="16"/>
                <w:lang w:eastAsia="en-AU"/>
              </w:rPr>
              <w:t>2022–23</w:t>
            </w:r>
            <w:r w:rsidRPr="00414F21">
              <w:rPr>
                <w:rFonts w:cs="Arial"/>
                <w:b/>
                <w:bCs/>
                <w:color w:val="53565A"/>
                <w:sz w:val="16"/>
                <w:szCs w:val="16"/>
                <w:lang w:eastAsia="en-AU"/>
              </w:rPr>
              <w:br/>
              <w:t>Ageing, aged and home care</w:t>
            </w:r>
          </w:p>
        </w:tc>
        <w:tc>
          <w:tcPr>
            <w:tcW w:w="833" w:type="dxa"/>
            <w:tcBorders>
              <w:top w:val="single" w:sz="4" w:space="0" w:color="auto"/>
              <w:left w:val="nil"/>
              <w:bottom w:val="single" w:sz="4" w:space="0" w:color="auto"/>
              <w:right w:val="single" w:sz="4" w:space="0" w:color="auto"/>
            </w:tcBorders>
            <w:shd w:val="clear" w:color="auto" w:fill="auto"/>
            <w:hideMark/>
          </w:tcPr>
          <w:p w14:paraId="55770B0C" w14:textId="77777777" w:rsidR="00B469AB" w:rsidRPr="00414F21" w:rsidRDefault="00B469AB" w:rsidP="00414F21">
            <w:pPr>
              <w:spacing w:after="0" w:line="240" w:lineRule="auto"/>
              <w:jc w:val="right"/>
              <w:rPr>
                <w:rFonts w:cs="Arial"/>
                <w:b/>
                <w:bCs/>
                <w:color w:val="53565A"/>
                <w:sz w:val="16"/>
                <w:szCs w:val="16"/>
                <w:lang w:eastAsia="en-AU"/>
              </w:rPr>
            </w:pPr>
            <w:r w:rsidRPr="00414F21">
              <w:rPr>
                <w:rFonts w:cs="Arial"/>
                <w:b/>
                <w:bCs/>
                <w:color w:val="53565A"/>
                <w:sz w:val="16"/>
                <w:szCs w:val="16"/>
                <w:lang w:eastAsia="en-AU"/>
              </w:rPr>
              <w:t xml:space="preserve">2022-23 </w:t>
            </w:r>
            <w:r w:rsidRPr="00414F21">
              <w:rPr>
                <w:rFonts w:cs="Arial"/>
                <w:b/>
                <w:bCs/>
                <w:color w:val="53565A"/>
                <w:sz w:val="16"/>
                <w:szCs w:val="16"/>
                <w:lang w:eastAsia="en-AU"/>
              </w:rPr>
              <w:br/>
              <w:t>Ambulance services</w:t>
            </w:r>
          </w:p>
        </w:tc>
        <w:tc>
          <w:tcPr>
            <w:tcW w:w="833" w:type="dxa"/>
            <w:tcBorders>
              <w:top w:val="single" w:sz="4" w:space="0" w:color="auto"/>
              <w:left w:val="nil"/>
              <w:bottom w:val="single" w:sz="4" w:space="0" w:color="auto"/>
              <w:right w:val="single" w:sz="4" w:space="0" w:color="auto"/>
            </w:tcBorders>
            <w:shd w:val="clear" w:color="auto" w:fill="auto"/>
            <w:hideMark/>
          </w:tcPr>
          <w:p w14:paraId="52EFB010" w14:textId="77777777" w:rsidR="00B469AB" w:rsidRPr="00414F21" w:rsidRDefault="00B469AB" w:rsidP="00414F21">
            <w:pPr>
              <w:spacing w:after="0" w:line="240" w:lineRule="auto"/>
              <w:jc w:val="right"/>
              <w:rPr>
                <w:rFonts w:cs="Arial"/>
                <w:b/>
                <w:bCs/>
                <w:color w:val="53565A"/>
                <w:sz w:val="16"/>
                <w:szCs w:val="16"/>
                <w:lang w:eastAsia="en-AU"/>
              </w:rPr>
            </w:pPr>
            <w:r w:rsidRPr="00414F21">
              <w:rPr>
                <w:rFonts w:cs="Arial"/>
                <w:b/>
                <w:bCs/>
                <w:color w:val="53565A"/>
                <w:sz w:val="16"/>
                <w:szCs w:val="16"/>
                <w:lang w:eastAsia="en-AU"/>
              </w:rPr>
              <w:t>2022–23</w:t>
            </w:r>
            <w:r w:rsidRPr="00414F21">
              <w:rPr>
                <w:rFonts w:cs="Arial"/>
                <w:b/>
                <w:bCs/>
                <w:color w:val="53565A"/>
                <w:sz w:val="16"/>
                <w:szCs w:val="16"/>
                <w:lang w:eastAsia="en-AU"/>
              </w:rPr>
              <w:br/>
              <w:t>Drugs services</w:t>
            </w:r>
          </w:p>
        </w:tc>
        <w:tc>
          <w:tcPr>
            <w:tcW w:w="833" w:type="dxa"/>
            <w:tcBorders>
              <w:top w:val="single" w:sz="4" w:space="0" w:color="auto"/>
              <w:left w:val="nil"/>
              <w:bottom w:val="single" w:sz="4" w:space="0" w:color="auto"/>
              <w:right w:val="single" w:sz="4" w:space="0" w:color="auto"/>
            </w:tcBorders>
            <w:shd w:val="clear" w:color="auto" w:fill="auto"/>
            <w:hideMark/>
          </w:tcPr>
          <w:p w14:paraId="50423472" w14:textId="77777777" w:rsidR="00B469AB" w:rsidRPr="00414F21" w:rsidRDefault="00B469AB" w:rsidP="00414F21">
            <w:pPr>
              <w:spacing w:after="0" w:line="240" w:lineRule="auto"/>
              <w:jc w:val="right"/>
              <w:rPr>
                <w:rFonts w:cs="Arial"/>
                <w:b/>
                <w:bCs/>
                <w:color w:val="53565A"/>
                <w:sz w:val="16"/>
                <w:szCs w:val="16"/>
                <w:lang w:eastAsia="en-AU"/>
              </w:rPr>
            </w:pPr>
            <w:r w:rsidRPr="00414F21">
              <w:rPr>
                <w:rFonts w:cs="Arial"/>
                <w:b/>
                <w:bCs/>
                <w:color w:val="53565A"/>
                <w:sz w:val="16"/>
                <w:szCs w:val="16"/>
                <w:lang w:eastAsia="en-AU"/>
              </w:rPr>
              <w:t>2022–23</w:t>
            </w:r>
            <w:r w:rsidRPr="00414F21">
              <w:rPr>
                <w:rFonts w:cs="Arial"/>
                <w:b/>
                <w:bCs/>
                <w:color w:val="53565A"/>
                <w:sz w:val="16"/>
                <w:szCs w:val="16"/>
                <w:lang w:eastAsia="en-AU"/>
              </w:rPr>
              <w:br/>
              <w:t>Mental health</w:t>
            </w:r>
          </w:p>
        </w:tc>
        <w:tc>
          <w:tcPr>
            <w:tcW w:w="832" w:type="dxa"/>
            <w:tcBorders>
              <w:top w:val="single" w:sz="4" w:space="0" w:color="auto"/>
              <w:left w:val="nil"/>
              <w:bottom w:val="single" w:sz="4" w:space="0" w:color="auto"/>
              <w:right w:val="single" w:sz="4" w:space="0" w:color="auto"/>
            </w:tcBorders>
            <w:shd w:val="clear" w:color="auto" w:fill="auto"/>
            <w:hideMark/>
          </w:tcPr>
          <w:p w14:paraId="16E2E311" w14:textId="77777777" w:rsidR="00B469AB" w:rsidRPr="00414F21" w:rsidRDefault="00B469AB" w:rsidP="00414F21">
            <w:pPr>
              <w:spacing w:after="0" w:line="240" w:lineRule="auto"/>
              <w:jc w:val="right"/>
              <w:rPr>
                <w:rFonts w:cs="Arial"/>
                <w:b/>
                <w:bCs/>
                <w:color w:val="53565A"/>
                <w:sz w:val="16"/>
                <w:szCs w:val="16"/>
                <w:lang w:eastAsia="en-AU"/>
              </w:rPr>
            </w:pPr>
            <w:r w:rsidRPr="00414F21">
              <w:rPr>
                <w:rFonts w:cs="Arial"/>
                <w:b/>
                <w:bCs/>
                <w:color w:val="53565A"/>
                <w:sz w:val="16"/>
                <w:szCs w:val="16"/>
                <w:lang w:eastAsia="en-AU"/>
              </w:rPr>
              <w:t>2022–23</w:t>
            </w:r>
            <w:r w:rsidRPr="00414F21">
              <w:rPr>
                <w:rFonts w:cs="Arial"/>
                <w:b/>
                <w:bCs/>
                <w:color w:val="53565A"/>
                <w:sz w:val="16"/>
                <w:szCs w:val="16"/>
                <w:lang w:eastAsia="en-AU"/>
              </w:rPr>
              <w:br/>
              <w:t>Primary and dental health</w:t>
            </w:r>
          </w:p>
        </w:tc>
        <w:tc>
          <w:tcPr>
            <w:tcW w:w="833" w:type="dxa"/>
            <w:tcBorders>
              <w:top w:val="single" w:sz="4" w:space="0" w:color="auto"/>
              <w:left w:val="nil"/>
              <w:bottom w:val="single" w:sz="4" w:space="0" w:color="auto"/>
              <w:right w:val="single" w:sz="4" w:space="0" w:color="auto"/>
            </w:tcBorders>
            <w:shd w:val="clear" w:color="auto" w:fill="auto"/>
            <w:hideMark/>
          </w:tcPr>
          <w:p w14:paraId="192DBB00" w14:textId="77777777" w:rsidR="00B469AB" w:rsidRPr="00414F21" w:rsidRDefault="00B469AB" w:rsidP="00414F21">
            <w:pPr>
              <w:spacing w:after="0" w:line="240" w:lineRule="auto"/>
              <w:jc w:val="right"/>
              <w:rPr>
                <w:rFonts w:cs="Arial"/>
                <w:b/>
                <w:bCs/>
                <w:color w:val="53565A"/>
                <w:sz w:val="16"/>
                <w:szCs w:val="16"/>
                <w:lang w:eastAsia="en-AU"/>
              </w:rPr>
            </w:pPr>
            <w:r w:rsidRPr="00414F21">
              <w:rPr>
                <w:rFonts w:cs="Arial"/>
                <w:b/>
                <w:bCs/>
                <w:color w:val="53565A"/>
                <w:sz w:val="16"/>
                <w:szCs w:val="16"/>
                <w:lang w:eastAsia="en-AU"/>
              </w:rPr>
              <w:t>2022–23</w:t>
            </w:r>
            <w:r w:rsidRPr="00414F21">
              <w:rPr>
                <w:rFonts w:cs="Arial"/>
                <w:b/>
                <w:bCs/>
                <w:color w:val="53565A"/>
                <w:sz w:val="16"/>
                <w:szCs w:val="16"/>
                <w:lang w:eastAsia="en-AU"/>
              </w:rPr>
              <w:br/>
              <w:t>Public health</w:t>
            </w:r>
          </w:p>
        </w:tc>
        <w:tc>
          <w:tcPr>
            <w:tcW w:w="975" w:type="dxa"/>
            <w:tcBorders>
              <w:top w:val="single" w:sz="4" w:space="0" w:color="auto"/>
              <w:left w:val="nil"/>
              <w:bottom w:val="single" w:sz="4" w:space="0" w:color="auto"/>
              <w:right w:val="single" w:sz="4" w:space="0" w:color="auto"/>
            </w:tcBorders>
            <w:shd w:val="clear" w:color="auto" w:fill="auto"/>
            <w:hideMark/>
          </w:tcPr>
          <w:p w14:paraId="0A6BAED8" w14:textId="77777777" w:rsidR="00B469AB" w:rsidRPr="00414F21" w:rsidRDefault="00B469AB" w:rsidP="00414F21">
            <w:pPr>
              <w:spacing w:after="0" w:line="240" w:lineRule="auto"/>
              <w:jc w:val="right"/>
              <w:rPr>
                <w:rFonts w:cs="Arial"/>
                <w:b/>
                <w:bCs/>
                <w:color w:val="53565A"/>
                <w:sz w:val="16"/>
                <w:szCs w:val="16"/>
                <w:lang w:eastAsia="en-AU"/>
              </w:rPr>
            </w:pPr>
            <w:r w:rsidRPr="00414F21">
              <w:rPr>
                <w:rFonts w:cs="Arial"/>
                <w:b/>
                <w:bCs/>
                <w:color w:val="53565A"/>
                <w:sz w:val="16"/>
                <w:szCs w:val="16"/>
                <w:lang w:eastAsia="en-AU"/>
              </w:rPr>
              <w:t>2022–23</w:t>
            </w:r>
            <w:r w:rsidRPr="00414F21">
              <w:rPr>
                <w:rFonts w:cs="Arial"/>
                <w:b/>
                <w:bCs/>
                <w:color w:val="53565A"/>
                <w:sz w:val="16"/>
                <w:szCs w:val="16"/>
                <w:lang w:eastAsia="en-AU"/>
              </w:rPr>
              <w:br/>
              <w:t>Total</w:t>
            </w:r>
          </w:p>
        </w:tc>
        <w:tc>
          <w:tcPr>
            <w:tcW w:w="833" w:type="dxa"/>
            <w:tcBorders>
              <w:top w:val="single" w:sz="4" w:space="0" w:color="auto"/>
              <w:left w:val="nil"/>
              <w:bottom w:val="single" w:sz="4" w:space="0" w:color="auto"/>
              <w:right w:val="single" w:sz="4" w:space="0" w:color="auto"/>
            </w:tcBorders>
            <w:shd w:val="clear" w:color="auto" w:fill="auto"/>
            <w:hideMark/>
          </w:tcPr>
          <w:p w14:paraId="601F3EA7" w14:textId="77777777" w:rsidR="00B469AB" w:rsidRPr="00414F21" w:rsidRDefault="00B469AB" w:rsidP="00414F21">
            <w:pPr>
              <w:spacing w:after="0" w:line="240" w:lineRule="auto"/>
              <w:jc w:val="right"/>
              <w:rPr>
                <w:rFonts w:cs="Arial"/>
                <w:b/>
                <w:bCs/>
                <w:color w:val="53565A"/>
                <w:sz w:val="16"/>
                <w:szCs w:val="16"/>
                <w:lang w:eastAsia="en-AU"/>
              </w:rPr>
            </w:pPr>
            <w:r w:rsidRPr="00414F21">
              <w:rPr>
                <w:rFonts w:cs="Arial"/>
                <w:b/>
                <w:bCs/>
                <w:color w:val="53565A"/>
                <w:sz w:val="16"/>
                <w:szCs w:val="16"/>
                <w:lang w:eastAsia="en-AU"/>
              </w:rPr>
              <w:t>2023–24</w:t>
            </w:r>
            <w:r w:rsidRPr="00414F21">
              <w:rPr>
                <w:rFonts w:cs="Arial"/>
                <w:b/>
                <w:bCs/>
                <w:color w:val="53565A"/>
                <w:sz w:val="16"/>
                <w:szCs w:val="16"/>
                <w:lang w:eastAsia="en-AU"/>
              </w:rPr>
              <w:br/>
              <w:t>Acute health services</w:t>
            </w:r>
          </w:p>
        </w:tc>
        <w:tc>
          <w:tcPr>
            <w:tcW w:w="833" w:type="dxa"/>
            <w:tcBorders>
              <w:top w:val="single" w:sz="4" w:space="0" w:color="auto"/>
              <w:left w:val="nil"/>
              <w:bottom w:val="single" w:sz="4" w:space="0" w:color="auto"/>
              <w:right w:val="single" w:sz="4" w:space="0" w:color="auto"/>
            </w:tcBorders>
            <w:shd w:val="clear" w:color="auto" w:fill="auto"/>
            <w:hideMark/>
          </w:tcPr>
          <w:p w14:paraId="29B370A0" w14:textId="77777777" w:rsidR="00B469AB" w:rsidRPr="00414F21" w:rsidRDefault="00B469AB" w:rsidP="00414F21">
            <w:pPr>
              <w:spacing w:after="0" w:line="240" w:lineRule="auto"/>
              <w:jc w:val="right"/>
              <w:rPr>
                <w:rFonts w:cs="Arial"/>
                <w:b/>
                <w:bCs/>
                <w:color w:val="53565A"/>
                <w:sz w:val="16"/>
                <w:szCs w:val="16"/>
                <w:lang w:eastAsia="en-AU"/>
              </w:rPr>
            </w:pPr>
            <w:r w:rsidRPr="00414F21">
              <w:rPr>
                <w:rFonts w:cs="Arial"/>
                <w:b/>
                <w:bCs/>
                <w:color w:val="53565A"/>
                <w:sz w:val="16"/>
                <w:szCs w:val="16"/>
                <w:lang w:eastAsia="en-AU"/>
              </w:rPr>
              <w:t>2023–24</w:t>
            </w:r>
            <w:r w:rsidRPr="00414F21">
              <w:rPr>
                <w:rFonts w:cs="Arial"/>
                <w:b/>
                <w:bCs/>
                <w:color w:val="53565A"/>
                <w:sz w:val="16"/>
                <w:szCs w:val="16"/>
                <w:lang w:eastAsia="en-AU"/>
              </w:rPr>
              <w:br/>
              <w:t>Ageing, aged and home care</w:t>
            </w:r>
          </w:p>
        </w:tc>
        <w:tc>
          <w:tcPr>
            <w:tcW w:w="832" w:type="dxa"/>
            <w:tcBorders>
              <w:top w:val="single" w:sz="4" w:space="0" w:color="auto"/>
              <w:left w:val="nil"/>
              <w:bottom w:val="single" w:sz="4" w:space="0" w:color="auto"/>
              <w:right w:val="single" w:sz="4" w:space="0" w:color="auto"/>
            </w:tcBorders>
            <w:shd w:val="clear" w:color="auto" w:fill="auto"/>
            <w:hideMark/>
          </w:tcPr>
          <w:p w14:paraId="63F46970" w14:textId="77777777" w:rsidR="00B469AB" w:rsidRPr="00414F21" w:rsidRDefault="00B469AB" w:rsidP="00414F21">
            <w:pPr>
              <w:spacing w:after="0" w:line="240" w:lineRule="auto"/>
              <w:jc w:val="right"/>
              <w:rPr>
                <w:rFonts w:cs="Arial"/>
                <w:b/>
                <w:bCs/>
                <w:color w:val="53565A"/>
                <w:sz w:val="16"/>
                <w:szCs w:val="16"/>
                <w:lang w:eastAsia="en-AU"/>
              </w:rPr>
            </w:pPr>
            <w:r w:rsidRPr="00414F21">
              <w:rPr>
                <w:rFonts w:cs="Arial"/>
                <w:b/>
                <w:bCs/>
                <w:color w:val="53565A"/>
                <w:sz w:val="16"/>
                <w:szCs w:val="16"/>
                <w:lang w:eastAsia="en-AU"/>
              </w:rPr>
              <w:t>2023-24</w:t>
            </w:r>
            <w:r w:rsidRPr="00414F21">
              <w:rPr>
                <w:rFonts w:cs="Arial"/>
                <w:b/>
                <w:bCs/>
                <w:color w:val="53565A"/>
                <w:sz w:val="16"/>
                <w:szCs w:val="16"/>
                <w:lang w:eastAsia="en-AU"/>
              </w:rPr>
              <w:br/>
              <w:t>Ambulance services</w:t>
            </w:r>
          </w:p>
        </w:tc>
        <w:tc>
          <w:tcPr>
            <w:tcW w:w="833" w:type="dxa"/>
            <w:tcBorders>
              <w:top w:val="single" w:sz="4" w:space="0" w:color="auto"/>
              <w:left w:val="nil"/>
              <w:bottom w:val="single" w:sz="4" w:space="0" w:color="auto"/>
              <w:right w:val="single" w:sz="4" w:space="0" w:color="auto"/>
            </w:tcBorders>
            <w:shd w:val="clear" w:color="auto" w:fill="auto"/>
            <w:hideMark/>
          </w:tcPr>
          <w:p w14:paraId="327DDA2F" w14:textId="77777777" w:rsidR="00B469AB" w:rsidRPr="00414F21" w:rsidRDefault="00B469AB" w:rsidP="00414F21">
            <w:pPr>
              <w:spacing w:after="0" w:line="240" w:lineRule="auto"/>
              <w:jc w:val="right"/>
              <w:rPr>
                <w:rFonts w:cs="Arial"/>
                <w:b/>
                <w:bCs/>
                <w:color w:val="53565A"/>
                <w:sz w:val="16"/>
                <w:szCs w:val="16"/>
                <w:lang w:eastAsia="en-AU"/>
              </w:rPr>
            </w:pPr>
            <w:r w:rsidRPr="00414F21">
              <w:rPr>
                <w:rFonts w:cs="Arial"/>
                <w:b/>
                <w:bCs/>
                <w:color w:val="53565A"/>
                <w:sz w:val="16"/>
                <w:szCs w:val="16"/>
                <w:lang w:eastAsia="en-AU"/>
              </w:rPr>
              <w:t>2023–24</w:t>
            </w:r>
            <w:r w:rsidRPr="00414F21">
              <w:rPr>
                <w:rFonts w:cs="Arial"/>
                <w:b/>
                <w:bCs/>
                <w:color w:val="53565A"/>
                <w:sz w:val="16"/>
                <w:szCs w:val="16"/>
                <w:lang w:eastAsia="en-AU"/>
              </w:rPr>
              <w:br/>
              <w:t>Drugs services</w:t>
            </w:r>
          </w:p>
        </w:tc>
        <w:tc>
          <w:tcPr>
            <w:tcW w:w="833" w:type="dxa"/>
            <w:tcBorders>
              <w:top w:val="single" w:sz="4" w:space="0" w:color="auto"/>
              <w:left w:val="nil"/>
              <w:bottom w:val="single" w:sz="4" w:space="0" w:color="auto"/>
              <w:right w:val="single" w:sz="4" w:space="0" w:color="auto"/>
            </w:tcBorders>
            <w:shd w:val="clear" w:color="auto" w:fill="auto"/>
            <w:hideMark/>
          </w:tcPr>
          <w:p w14:paraId="21281784" w14:textId="77777777" w:rsidR="00B469AB" w:rsidRPr="00414F21" w:rsidRDefault="00B469AB" w:rsidP="00414F21">
            <w:pPr>
              <w:spacing w:after="0" w:line="240" w:lineRule="auto"/>
              <w:jc w:val="right"/>
              <w:rPr>
                <w:rFonts w:cs="Arial"/>
                <w:b/>
                <w:bCs/>
                <w:color w:val="53565A"/>
                <w:sz w:val="16"/>
                <w:szCs w:val="16"/>
                <w:lang w:eastAsia="en-AU"/>
              </w:rPr>
            </w:pPr>
            <w:r w:rsidRPr="00414F21">
              <w:rPr>
                <w:rFonts w:cs="Arial"/>
                <w:b/>
                <w:bCs/>
                <w:color w:val="53565A"/>
                <w:sz w:val="16"/>
                <w:szCs w:val="16"/>
                <w:lang w:eastAsia="en-AU"/>
              </w:rPr>
              <w:t>2023–24</w:t>
            </w:r>
            <w:r w:rsidRPr="00414F21">
              <w:rPr>
                <w:rFonts w:cs="Arial"/>
                <w:b/>
                <w:bCs/>
                <w:color w:val="53565A"/>
                <w:sz w:val="16"/>
                <w:szCs w:val="16"/>
                <w:lang w:eastAsia="en-AU"/>
              </w:rPr>
              <w:br/>
              <w:t>Mental health</w:t>
            </w:r>
          </w:p>
        </w:tc>
        <w:tc>
          <w:tcPr>
            <w:tcW w:w="833" w:type="dxa"/>
            <w:tcBorders>
              <w:top w:val="single" w:sz="4" w:space="0" w:color="auto"/>
              <w:left w:val="nil"/>
              <w:bottom w:val="single" w:sz="4" w:space="0" w:color="auto"/>
              <w:right w:val="single" w:sz="4" w:space="0" w:color="auto"/>
            </w:tcBorders>
            <w:shd w:val="clear" w:color="auto" w:fill="auto"/>
            <w:hideMark/>
          </w:tcPr>
          <w:p w14:paraId="1A1ADFA6" w14:textId="77777777" w:rsidR="00B469AB" w:rsidRPr="00414F21" w:rsidRDefault="00B469AB" w:rsidP="00414F21">
            <w:pPr>
              <w:spacing w:after="0" w:line="240" w:lineRule="auto"/>
              <w:jc w:val="right"/>
              <w:rPr>
                <w:rFonts w:cs="Arial"/>
                <w:b/>
                <w:bCs/>
                <w:color w:val="53565A"/>
                <w:sz w:val="16"/>
                <w:szCs w:val="16"/>
                <w:lang w:eastAsia="en-AU"/>
              </w:rPr>
            </w:pPr>
            <w:r w:rsidRPr="00414F21">
              <w:rPr>
                <w:rFonts w:cs="Arial"/>
                <w:b/>
                <w:bCs/>
                <w:color w:val="53565A"/>
                <w:sz w:val="16"/>
                <w:szCs w:val="16"/>
                <w:lang w:eastAsia="en-AU"/>
              </w:rPr>
              <w:t>2023–24</w:t>
            </w:r>
            <w:r w:rsidRPr="00414F21">
              <w:rPr>
                <w:rFonts w:cs="Arial"/>
                <w:b/>
                <w:bCs/>
                <w:color w:val="53565A"/>
                <w:sz w:val="16"/>
                <w:szCs w:val="16"/>
                <w:lang w:eastAsia="en-AU"/>
              </w:rPr>
              <w:br/>
              <w:t>Primary and dental health</w:t>
            </w:r>
          </w:p>
        </w:tc>
        <w:tc>
          <w:tcPr>
            <w:tcW w:w="833" w:type="dxa"/>
            <w:tcBorders>
              <w:top w:val="single" w:sz="4" w:space="0" w:color="auto"/>
              <w:left w:val="nil"/>
              <w:bottom w:val="single" w:sz="4" w:space="0" w:color="auto"/>
              <w:right w:val="single" w:sz="4" w:space="0" w:color="auto"/>
            </w:tcBorders>
            <w:shd w:val="clear" w:color="auto" w:fill="auto"/>
            <w:hideMark/>
          </w:tcPr>
          <w:p w14:paraId="14029BBB" w14:textId="77777777" w:rsidR="00B469AB" w:rsidRPr="00414F21" w:rsidRDefault="00B469AB" w:rsidP="00414F21">
            <w:pPr>
              <w:spacing w:after="0" w:line="240" w:lineRule="auto"/>
              <w:jc w:val="right"/>
              <w:rPr>
                <w:rFonts w:cs="Arial"/>
                <w:b/>
                <w:bCs/>
                <w:color w:val="53565A"/>
                <w:sz w:val="16"/>
                <w:szCs w:val="16"/>
                <w:lang w:eastAsia="en-AU"/>
              </w:rPr>
            </w:pPr>
            <w:r w:rsidRPr="00414F21">
              <w:rPr>
                <w:rFonts w:cs="Arial"/>
                <w:b/>
                <w:bCs/>
                <w:color w:val="53565A"/>
                <w:sz w:val="16"/>
                <w:szCs w:val="16"/>
                <w:lang w:eastAsia="en-AU"/>
              </w:rPr>
              <w:t>2023–24</w:t>
            </w:r>
            <w:r w:rsidRPr="00414F21">
              <w:rPr>
                <w:rFonts w:cs="Arial"/>
                <w:b/>
                <w:bCs/>
                <w:color w:val="53565A"/>
                <w:sz w:val="16"/>
                <w:szCs w:val="16"/>
                <w:lang w:eastAsia="en-AU"/>
              </w:rPr>
              <w:br/>
              <w:t>Public health</w:t>
            </w:r>
          </w:p>
        </w:tc>
        <w:tc>
          <w:tcPr>
            <w:tcW w:w="974" w:type="dxa"/>
            <w:tcBorders>
              <w:top w:val="single" w:sz="4" w:space="0" w:color="auto"/>
              <w:left w:val="nil"/>
              <w:bottom w:val="single" w:sz="4" w:space="0" w:color="auto"/>
              <w:right w:val="single" w:sz="4" w:space="0" w:color="auto"/>
            </w:tcBorders>
            <w:shd w:val="clear" w:color="auto" w:fill="auto"/>
            <w:hideMark/>
          </w:tcPr>
          <w:p w14:paraId="431CFFCB" w14:textId="77777777" w:rsidR="00B469AB" w:rsidRPr="00414F21" w:rsidRDefault="00B469AB" w:rsidP="00414F21">
            <w:pPr>
              <w:spacing w:after="0" w:line="240" w:lineRule="auto"/>
              <w:jc w:val="right"/>
              <w:rPr>
                <w:rFonts w:cs="Arial"/>
                <w:b/>
                <w:bCs/>
                <w:color w:val="53565A"/>
                <w:sz w:val="16"/>
                <w:szCs w:val="16"/>
                <w:lang w:eastAsia="en-AU"/>
              </w:rPr>
            </w:pPr>
            <w:r w:rsidRPr="00414F21">
              <w:rPr>
                <w:rFonts w:cs="Arial"/>
                <w:b/>
                <w:bCs/>
                <w:color w:val="53565A"/>
                <w:sz w:val="16"/>
                <w:szCs w:val="16"/>
                <w:lang w:eastAsia="en-AU"/>
              </w:rPr>
              <w:t>2023–24</w:t>
            </w:r>
            <w:r w:rsidRPr="00414F21">
              <w:rPr>
                <w:rFonts w:cs="Arial"/>
                <w:b/>
                <w:bCs/>
                <w:color w:val="53565A"/>
                <w:sz w:val="16"/>
                <w:szCs w:val="16"/>
                <w:lang w:eastAsia="en-AU"/>
              </w:rPr>
              <w:br/>
              <w:t>Total</w:t>
            </w:r>
          </w:p>
        </w:tc>
      </w:tr>
      <w:tr w:rsidR="008428AF" w:rsidRPr="00B469AB" w14:paraId="08181169" w14:textId="77777777" w:rsidTr="004A20FD">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08B1AE4"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Ambulance Victoria</w:t>
            </w:r>
          </w:p>
        </w:tc>
        <w:tc>
          <w:tcPr>
            <w:tcW w:w="832" w:type="dxa"/>
            <w:tcBorders>
              <w:top w:val="nil"/>
              <w:left w:val="nil"/>
              <w:bottom w:val="single" w:sz="4" w:space="0" w:color="auto"/>
              <w:right w:val="single" w:sz="4" w:space="0" w:color="auto"/>
            </w:tcBorders>
            <w:shd w:val="clear" w:color="auto" w:fill="auto"/>
            <w:noWrap/>
            <w:vAlign w:val="center"/>
            <w:hideMark/>
          </w:tcPr>
          <w:p w14:paraId="3393665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18,423</w:t>
            </w:r>
          </w:p>
        </w:tc>
        <w:tc>
          <w:tcPr>
            <w:tcW w:w="833" w:type="dxa"/>
            <w:tcBorders>
              <w:top w:val="nil"/>
              <w:left w:val="nil"/>
              <w:bottom w:val="single" w:sz="4" w:space="0" w:color="auto"/>
              <w:right w:val="single" w:sz="4" w:space="0" w:color="auto"/>
            </w:tcBorders>
            <w:shd w:val="clear" w:color="auto" w:fill="auto"/>
            <w:noWrap/>
            <w:vAlign w:val="center"/>
            <w:hideMark/>
          </w:tcPr>
          <w:p w14:paraId="38C9ABF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BD7CBF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893,343</w:t>
            </w:r>
          </w:p>
        </w:tc>
        <w:tc>
          <w:tcPr>
            <w:tcW w:w="833" w:type="dxa"/>
            <w:tcBorders>
              <w:top w:val="nil"/>
              <w:left w:val="nil"/>
              <w:bottom w:val="single" w:sz="4" w:space="0" w:color="auto"/>
              <w:right w:val="single" w:sz="4" w:space="0" w:color="auto"/>
            </w:tcBorders>
            <w:shd w:val="clear" w:color="auto" w:fill="auto"/>
            <w:noWrap/>
            <w:vAlign w:val="center"/>
            <w:hideMark/>
          </w:tcPr>
          <w:p w14:paraId="10B8D8B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E5F96D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542B6BB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0CFED4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63CE6D3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911,766</w:t>
            </w:r>
          </w:p>
        </w:tc>
        <w:tc>
          <w:tcPr>
            <w:tcW w:w="833" w:type="dxa"/>
            <w:tcBorders>
              <w:top w:val="nil"/>
              <w:left w:val="nil"/>
              <w:bottom w:val="single" w:sz="4" w:space="0" w:color="auto"/>
              <w:right w:val="single" w:sz="4" w:space="0" w:color="auto"/>
            </w:tcBorders>
            <w:shd w:val="clear" w:color="auto" w:fill="auto"/>
            <w:noWrap/>
            <w:vAlign w:val="center"/>
            <w:hideMark/>
          </w:tcPr>
          <w:p w14:paraId="013FFE0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20,029</w:t>
            </w:r>
          </w:p>
        </w:tc>
        <w:tc>
          <w:tcPr>
            <w:tcW w:w="833" w:type="dxa"/>
            <w:tcBorders>
              <w:top w:val="nil"/>
              <w:left w:val="nil"/>
              <w:bottom w:val="single" w:sz="4" w:space="0" w:color="auto"/>
              <w:right w:val="single" w:sz="4" w:space="0" w:color="auto"/>
            </w:tcBorders>
            <w:shd w:val="clear" w:color="auto" w:fill="auto"/>
            <w:noWrap/>
            <w:vAlign w:val="center"/>
            <w:hideMark/>
          </w:tcPr>
          <w:p w14:paraId="0F01AE8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4E917CA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956,777</w:t>
            </w:r>
          </w:p>
        </w:tc>
        <w:tc>
          <w:tcPr>
            <w:tcW w:w="833" w:type="dxa"/>
            <w:tcBorders>
              <w:top w:val="nil"/>
              <w:left w:val="nil"/>
              <w:bottom w:val="single" w:sz="4" w:space="0" w:color="auto"/>
              <w:right w:val="single" w:sz="4" w:space="0" w:color="auto"/>
            </w:tcBorders>
            <w:shd w:val="clear" w:color="auto" w:fill="auto"/>
            <w:noWrap/>
            <w:vAlign w:val="center"/>
            <w:hideMark/>
          </w:tcPr>
          <w:p w14:paraId="3E67476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B2B15D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EF156E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BA0DE6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1580C52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976,806</w:t>
            </w:r>
          </w:p>
        </w:tc>
      </w:tr>
      <w:tr w:rsidR="008428AF" w:rsidRPr="00B469AB" w14:paraId="5E38CE5E" w14:textId="77777777" w:rsidTr="004A20FD">
        <w:trPr>
          <w:trHeight w:val="39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E608B04"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Baker Idi Heart &amp; Diabetes Institute Holdings Limited</w:t>
            </w:r>
          </w:p>
        </w:tc>
        <w:tc>
          <w:tcPr>
            <w:tcW w:w="832" w:type="dxa"/>
            <w:tcBorders>
              <w:top w:val="nil"/>
              <w:left w:val="nil"/>
              <w:bottom w:val="single" w:sz="4" w:space="0" w:color="auto"/>
              <w:right w:val="single" w:sz="4" w:space="0" w:color="auto"/>
            </w:tcBorders>
            <w:shd w:val="clear" w:color="auto" w:fill="auto"/>
            <w:noWrap/>
            <w:vAlign w:val="center"/>
            <w:hideMark/>
          </w:tcPr>
          <w:p w14:paraId="78C1CFD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 0</w:t>
            </w:r>
          </w:p>
        </w:tc>
        <w:tc>
          <w:tcPr>
            <w:tcW w:w="833" w:type="dxa"/>
            <w:tcBorders>
              <w:top w:val="nil"/>
              <w:left w:val="nil"/>
              <w:bottom w:val="single" w:sz="4" w:space="0" w:color="auto"/>
              <w:right w:val="single" w:sz="4" w:space="0" w:color="auto"/>
            </w:tcBorders>
            <w:shd w:val="clear" w:color="auto" w:fill="auto"/>
            <w:noWrap/>
            <w:vAlign w:val="center"/>
            <w:hideMark/>
          </w:tcPr>
          <w:p w14:paraId="3E4EB46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C6BE33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1F8318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991212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3FB07FA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886</w:t>
            </w:r>
          </w:p>
        </w:tc>
        <w:tc>
          <w:tcPr>
            <w:tcW w:w="833" w:type="dxa"/>
            <w:tcBorders>
              <w:top w:val="nil"/>
              <w:left w:val="nil"/>
              <w:bottom w:val="single" w:sz="4" w:space="0" w:color="auto"/>
              <w:right w:val="single" w:sz="4" w:space="0" w:color="auto"/>
            </w:tcBorders>
            <w:shd w:val="clear" w:color="auto" w:fill="auto"/>
            <w:noWrap/>
            <w:vAlign w:val="center"/>
            <w:hideMark/>
          </w:tcPr>
          <w:p w14:paraId="711CF40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7ECB1871"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886</w:t>
            </w:r>
          </w:p>
        </w:tc>
        <w:tc>
          <w:tcPr>
            <w:tcW w:w="833" w:type="dxa"/>
            <w:tcBorders>
              <w:top w:val="nil"/>
              <w:left w:val="nil"/>
              <w:bottom w:val="single" w:sz="4" w:space="0" w:color="auto"/>
              <w:right w:val="single" w:sz="4" w:space="0" w:color="auto"/>
            </w:tcBorders>
            <w:shd w:val="clear" w:color="auto" w:fill="auto"/>
            <w:noWrap/>
            <w:vAlign w:val="center"/>
            <w:hideMark/>
          </w:tcPr>
          <w:p w14:paraId="5075AE2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DA6AE7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0E7FC9B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76A846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C66B7E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7BAA6AF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907</w:t>
            </w:r>
          </w:p>
        </w:tc>
        <w:tc>
          <w:tcPr>
            <w:tcW w:w="833" w:type="dxa"/>
            <w:tcBorders>
              <w:top w:val="nil"/>
              <w:left w:val="nil"/>
              <w:bottom w:val="single" w:sz="4" w:space="0" w:color="auto"/>
              <w:right w:val="single" w:sz="4" w:space="0" w:color="auto"/>
            </w:tcBorders>
            <w:shd w:val="clear" w:color="auto" w:fill="auto"/>
            <w:noWrap/>
            <w:vAlign w:val="center"/>
            <w:hideMark/>
          </w:tcPr>
          <w:p w14:paraId="53D57EB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1,393</w:t>
            </w:r>
          </w:p>
        </w:tc>
        <w:tc>
          <w:tcPr>
            <w:tcW w:w="974" w:type="dxa"/>
            <w:tcBorders>
              <w:top w:val="nil"/>
              <w:left w:val="nil"/>
              <w:bottom w:val="single" w:sz="4" w:space="0" w:color="auto"/>
              <w:right w:val="single" w:sz="4" w:space="0" w:color="auto"/>
            </w:tcBorders>
            <w:shd w:val="clear" w:color="auto" w:fill="auto"/>
            <w:noWrap/>
            <w:vAlign w:val="center"/>
            <w:hideMark/>
          </w:tcPr>
          <w:p w14:paraId="406AD9F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2,300</w:t>
            </w:r>
          </w:p>
        </w:tc>
      </w:tr>
      <w:tr w:rsidR="008428AF" w:rsidRPr="00B469AB" w14:paraId="16B9585A" w14:textId="77777777" w:rsidTr="004A20FD">
        <w:trPr>
          <w:trHeight w:val="39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451CCBB"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Childrens Health Partnership Pty Ltd</w:t>
            </w:r>
          </w:p>
        </w:tc>
        <w:tc>
          <w:tcPr>
            <w:tcW w:w="832" w:type="dxa"/>
            <w:tcBorders>
              <w:top w:val="nil"/>
              <w:left w:val="nil"/>
              <w:bottom w:val="single" w:sz="4" w:space="0" w:color="auto"/>
              <w:right w:val="single" w:sz="4" w:space="0" w:color="auto"/>
            </w:tcBorders>
            <w:shd w:val="clear" w:color="auto" w:fill="auto"/>
            <w:noWrap/>
            <w:vAlign w:val="center"/>
            <w:hideMark/>
          </w:tcPr>
          <w:p w14:paraId="112800F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148,525</w:t>
            </w:r>
          </w:p>
        </w:tc>
        <w:tc>
          <w:tcPr>
            <w:tcW w:w="833" w:type="dxa"/>
            <w:tcBorders>
              <w:top w:val="nil"/>
              <w:left w:val="nil"/>
              <w:bottom w:val="single" w:sz="4" w:space="0" w:color="auto"/>
              <w:right w:val="single" w:sz="4" w:space="0" w:color="auto"/>
            </w:tcBorders>
            <w:shd w:val="clear" w:color="auto" w:fill="auto"/>
            <w:noWrap/>
            <w:vAlign w:val="center"/>
            <w:hideMark/>
          </w:tcPr>
          <w:p w14:paraId="46B903A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2CEF3C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86B747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D5F91C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06697BD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7C1495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6D266A3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148,525</w:t>
            </w:r>
          </w:p>
        </w:tc>
        <w:tc>
          <w:tcPr>
            <w:tcW w:w="833" w:type="dxa"/>
            <w:tcBorders>
              <w:top w:val="nil"/>
              <w:left w:val="nil"/>
              <w:bottom w:val="single" w:sz="4" w:space="0" w:color="auto"/>
              <w:right w:val="single" w:sz="4" w:space="0" w:color="auto"/>
            </w:tcBorders>
            <w:shd w:val="clear" w:color="auto" w:fill="auto"/>
            <w:noWrap/>
            <w:vAlign w:val="center"/>
            <w:hideMark/>
          </w:tcPr>
          <w:p w14:paraId="75C585E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101,069</w:t>
            </w:r>
          </w:p>
        </w:tc>
        <w:tc>
          <w:tcPr>
            <w:tcW w:w="833" w:type="dxa"/>
            <w:tcBorders>
              <w:top w:val="nil"/>
              <w:left w:val="nil"/>
              <w:bottom w:val="single" w:sz="4" w:space="0" w:color="auto"/>
              <w:right w:val="single" w:sz="4" w:space="0" w:color="auto"/>
            </w:tcBorders>
            <w:shd w:val="clear" w:color="auto" w:fill="auto"/>
            <w:noWrap/>
            <w:vAlign w:val="center"/>
            <w:hideMark/>
          </w:tcPr>
          <w:p w14:paraId="35AE417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791135C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449408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93D531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0A936E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6AB1EF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4DCEEF2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101,069</w:t>
            </w:r>
          </w:p>
        </w:tc>
      </w:tr>
      <w:tr w:rsidR="008428AF" w:rsidRPr="00B469AB" w14:paraId="393E6C61" w14:textId="77777777" w:rsidTr="004A20FD">
        <w:trPr>
          <w:trHeight w:val="39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F7F3C7A"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Dental Health Services Victoria</w:t>
            </w:r>
          </w:p>
        </w:tc>
        <w:tc>
          <w:tcPr>
            <w:tcW w:w="832" w:type="dxa"/>
            <w:tcBorders>
              <w:top w:val="nil"/>
              <w:left w:val="nil"/>
              <w:bottom w:val="single" w:sz="4" w:space="0" w:color="auto"/>
              <w:right w:val="single" w:sz="4" w:space="0" w:color="auto"/>
            </w:tcBorders>
            <w:shd w:val="clear" w:color="auto" w:fill="auto"/>
            <w:noWrap/>
            <w:vAlign w:val="center"/>
            <w:hideMark/>
          </w:tcPr>
          <w:p w14:paraId="2F3FEE9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81</w:t>
            </w:r>
          </w:p>
        </w:tc>
        <w:tc>
          <w:tcPr>
            <w:tcW w:w="833" w:type="dxa"/>
            <w:tcBorders>
              <w:top w:val="nil"/>
              <w:left w:val="nil"/>
              <w:bottom w:val="single" w:sz="4" w:space="0" w:color="auto"/>
              <w:right w:val="single" w:sz="4" w:space="0" w:color="auto"/>
            </w:tcBorders>
            <w:shd w:val="clear" w:color="auto" w:fill="auto"/>
            <w:noWrap/>
            <w:vAlign w:val="center"/>
            <w:hideMark/>
          </w:tcPr>
          <w:p w14:paraId="42B1ABC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5184B6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011CB9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5BD496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09B51E6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172,698</w:t>
            </w:r>
          </w:p>
        </w:tc>
        <w:tc>
          <w:tcPr>
            <w:tcW w:w="833" w:type="dxa"/>
            <w:tcBorders>
              <w:top w:val="nil"/>
              <w:left w:val="nil"/>
              <w:bottom w:val="single" w:sz="4" w:space="0" w:color="auto"/>
              <w:right w:val="single" w:sz="4" w:space="0" w:color="auto"/>
            </w:tcBorders>
            <w:shd w:val="clear" w:color="auto" w:fill="auto"/>
            <w:noWrap/>
            <w:vAlign w:val="center"/>
            <w:hideMark/>
          </w:tcPr>
          <w:p w14:paraId="045C28D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279</w:t>
            </w:r>
          </w:p>
        </w:tc>
        <w:tc>
          <w:tcPr>
            <w:tcW w:w="975" w:type="dxa"/>
            <w:tcBorders>
              <w:top w:val="nil"/>
              <w:left w:val="nil"/>
              <w:bottom w:val="single" w:sz="4" w:space="0" w:color="auto"/>
              <w:right w:val="single" w:sz="4" w:space="0" w:color="auto"/>
            </w:tcBorders>
            <w:shd w:val="clear" w:color="auto" w:fill="auto"/>
            <w:noWrap/>
            <w:vAlign w:val="center"/>
            <w:hideMark/>
          </w:tcPr>
          <w:p w14:paraId="5E9693C5"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173,059</w:t>
            </w:r>
          </w:p>
        </w:tc>
        <w:tc>
          <w:tcPr>
            <w:tcW w:w="833" w:type="dxa"/>
            <w:tcBorders>
              <w:top w:val="nil"/>
              <w:left w:val="nil"/>
              <w:bottom w:val="single" w:sz="4" w:space="0" w:color="auto"/>
              <w:right w:val="single" w:sz="4" w:space="0" w:color="auto"/>
            </w:tcBorders>
            <w:shd w:val="clear" w:color="auto" w:fill="auto"/>
            <w:noWrap/>
            <w:vAlign w:val="center"/>
            <w:hideMark/>
          </w:tcPr>
          <w:p w14:paraId="51AFCF1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83</w:t>
            </w:r>
          </w:p>
        </w:tc>
        <w:tc>
          <w:tcPr>
            <w:tcW w:w="833" w:type="dxa"/>
            <w:tcBorders>
              <w:top w:val="nil"/>
              <w:left w:val="nil"/>
              <w:bottom w:val="single" w:sz="4" w:space="0" w:color="auto"/>
              <w:right w:val="single" w:sz="4" w:space="0" w:color="auto"/>
            </w:tcBorders>
            <w:shd w:val="clear" w:color="auto" w:fill="auto"/>
            <w:noWrap/>
            <w:vAlign w:val="center"/>
            <w:hideMark/>
          </w:tcPr>
          <w:p w14:paraId="60A8C67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45D217D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7E9B32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B8AB86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3D1546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172,977</w:t>
            </w:r>
          </w:p>
        </w:tc>
        <w:tc>
          <w:tcPr>
            <w:tcW w:w="833" w:type="dxa"/>
            <w:tcBorders>
              <w:top w:val="nil"/>
              <w:left w:val="nil"/>
              <w:bottom w:val="single" w:sz="4" w:space="0" w:color="auto"/>
              <w:right w:val="single" w:sz="4" w:space="0" w:color="auto"/>
            </w:tcBorders>
            <w:shd w:val="clear" w:color="auto" w:fill="auto"/>
            <w:noWrap/>
            <w:vAlign w:val="center"/>
            <w:hideMark/>
          </w:tcPr>
          <w:p w14:paraId="30A0FA5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288</w:t>
            </w:r>
          </w:p>
        </w:tc>
        <w:tc>
          <w:tcPr>
            <w:tcW w:w="974" w:type="dxa"/>
            <w:tcBorders>
              <w:top w:val="nil"/>
              <w:left w:val="nil"/>
              <w:bottom w:val="single" w:sz="4" w:space="0" w:color="auto"/>
              <w:right w:val="single" w:sz="4" w:space="0" w:color="auto"/>
            </w:tcBorders>
            <w:shd w:val="clear" w:color="auto" w:fill="auto"/>
            <w:noWrap/>
            <w:vAlign w:val="center"/>
            <w:hideMark/>
          </w:tcPr>
          <w:p w14:paraId="2AAFE705"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173,348</w:t>
            </w:r>
          </w:p>
        </w:tc>
      </w:tr>
      <w:tr w:rsidR="008428AF" w:rsidRPr="00B469AB" w14:paraId="2E637C47" w14:textId="77777777" w:rsidTr="004A20FD">
        <w:trPr>
          <w:trHeight w:val="39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AD09C9B"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Department Of Health And Ageing</w:t>
            </w:r>
          </w:p>
        </w:tc>
        <w:tc>
          <w:tcPr>
            <w:tcW w:w="832" w:type="dxa"/>
            <w:tcBorders>
              <w:top w:val="nil"/>
              <w:left w:val="nil"/>
              <w:bottom w:val="single" w:sz="4" w:space="0" w:color="auto"/>
              <w:right w:val="single" w:sz="4" w:space="0" w:color="auto"/>
            </w:tcBorders>
            <w:shd w:val="clear" w:color="auto" w:fill="auto"/>
            <w:noWrap/>
            <w:vAlign w:val="center"/>
            <w:hideMark/>
          </w:tcPr>
          <w:p w14:paraId="2014B83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1,307</w:t>
            </w:r>
          </w:p>
        </w:tc>
        <w:tc>
          <w:tcPr>
            <w:tcW w:w="833" w:type="dxa"/>
            <w:tcBorders>
              <w:top w:val="nil"/>
              <w:left w:val="nil"/>
              <w:bottom w:val="single" w:sz="4" w:space="0" w:color="auto"/>
              <w:right w:val="single" w:sz="4" w:space="0" w:color="auto"/>
            </w:tcBorders>
            <w:shd w:val="clear" w:color="auto" w:fill="auto"/>
            <w:noWrap/>
            <w:vAlign w:val="center"/>
            <w:hideMark/>
          </w:tcPr>
          <w:p w14:paraId="55EB912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92DA04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766B76D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3BB4A9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132A0C2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F21FB7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65B87A9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1,307</w:t>
            </w:r>
          </w:p>
        </w:tc>
        <w:tc>
          <w:tcPr>
            <w:tcW w:w="833" w:type="dxa"/>
            <w:tcBorders>
              <w:top w:val="nil"/>
              <w:left w:val="nil"/>
              <w:bottom w:val="single" w:sz="4" w:space="0" w:color="auto"/>
              <w:right w:val="single" w:sz="4" w:space="0" w:color="auto"/>
            </w:tcBorders>
            <w:shd w:val="clear" w:color="auto" w:fill="auto"/>
            <w:noWrap/>
            <w:vAlign w:val="center"/>
            <w:hideMark/>
          </w:tcPr>
          <w:p w14:paraId="7142D5F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1,338</w:t>
            </w:r>
          </w:p>
        </w:tc>
        <w:tc>
          <w:tcPr>
            <w:tcW w:w="833" w:type="dxa"/>
            <w:tcBorders>
              <w:top w:val="nil"/>
              <w:left w:val="nil"/>
              <w:bottom w:val="single" w:sz="4" w:space="0" w:color="auto"/>
              <w:right w:val="single" w:sz="4" w:space="0" w:color="auto"/>
            </w:tcBorders>
            <w:shd w:val="clear" w:color="auto" w:fill="auto"/>
            <w:noWrap/>
            <w:vAlign w:val="center"/>
            <w:hideMark/>
          </w:tcPr>
          <w:p w14:paraId="2C16E43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053D94C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6807F3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A9E19C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E50DB1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EF1C05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2B6DCD23"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1,338</w:t>
            </w:r>
          </w:p>
        </w:tc>
      </w:tr>
      <w:tr w:rsidR="008428AF" w:rsidRPr="00B469AB" w14:paraId="3857D479" w14:textId="77777777" w:rsidTr="004A20FD">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9A36AFD"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Epilepsy Foundation</w:t>
            </w:r>
          </w:p>
        </w:tc>
        <w:tc>
          <w:tcPr>
            <w:tcW w:w="832" w:type="dxa"/>
            <w:tcBorders>
              <w:top w:val="nil"/>
              <w:left w:val="nil"/>
              <w:bottom w:val="single" w:sz="4" w:space="0" w:color="auto"/>
              <w:right w:val="single" w:sz="4" w:space="0" w:color="auto"/>
            </w:tcBorders>
            <w:shd w:val="clear" w:color="auto" w:fill="auto"/>
            <w:noWrap/>
            <w:vAlign w:val="center"/>
            <w:hideMark/>
          </w:tcPr>
          <w:p w14:paraId="4D4C326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1,432</w:t>
            </w:r>
          </w:p>
        </w:tc>
        <w:tc>
          <w:tcPr>
            <w:tcW w:w="833" w:type="dxa"/>
            <w:tcBorders>
              <w:top w:val="nil"/>
              <w:left w:val="nil"/>
              <w:bottom w:val="single" w:sz="4" w:space="0" w:color="auto"/>
              <w:right w:val="single" w:sz="4" w:space="0" w:color="auto"/>
            </w:tcBorders>
            <w:shd w:val="clear" w:color="auto" w:fill="auto"/>
            <w:noWrap/>
            <w:vAlign w:val="center"/>
            <w:hideMark/>
          </w:tcPr>
          <w:p w14:paraId="7F3709C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7D7F58D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97FC41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593533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0FEB63A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45AEA3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3ED90791"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1,432</w:t>
            </w:r>
          </w:p>
        </w:tc>
        <w:tc>
          <w:tcPr>
            <w:tcW w:w="833" w:type="dxa"/>
            <w:tcBorders>
              <w:top w:val="nil"/>
              <w:left w:val="nil"/>
              <w:bottom w:val="single" w:sz="4" w:space="0" w:color="auto"/>
              <w:right w:val="single" w:sz="4" w:space="0" w:color="auto"/>
            </w:tcBorders>
            <w:shd w:val="clear" w:color="auto" w:fill="auto"/>
            <w:noWrap/>
            <w:vAlign w:val="center"/>
            <w:hideMark/>
          </w:tcPr>
          <w:p w14:paraId="2704249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4FD53D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6585E01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BF246F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78995A8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E33D7D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5EC66C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29302DC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0 </w:t>
            </w:r>
          </w:p>
        </w:tc>
      </w:tr>
      <w:tr w:rsidR="008428AF" w:rsidRPr="00B469AB" w14:paraId="50962658" w14:textId="77777777" w:rsidTr="004A20FD">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C7F08DD"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Epworth Foundation</w:t>
            </w:r>
          </w:p>
        </w:tc>
        <w:tc>
          <w:tcPr>
            <w:tcW w:w="832" w:type="dxa"/>
            <w:tcBorders>
              <w:top w:val="nil"/>
              <w:left w:val="nil"/>
              <w:bottom w:val="single" w:sz="4" w:space="0" w:color="auto"/>
              <w:right w:val="single" w:sz="4" w:space="0" w:color="auto"/>
            </w:tcBorders>
            <w:shd w:val="clear" w:color="auto" w:fill="auto"/>
            <w:noWrap/>
            <w:vAlign w:val="center"/>
            <w:hideMark/>
          </w:tcPr>
          <w:p w14:paraId="5083D72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1,479</w:t>
            </w:r>
          </w:p>
        </w:tc>
        <w:tc>
          <w:tcPr>
            <w:tcW w:w="833" w:type="dxa"/>
            <w:tcBorders>
              <w:top w:val="nil"/>
              <w:left w:val="nil"/>
              <w:bottom w:val="single" w:sz="4" w:space="0" w:color="auto"/>
              <w:right w:val="single" w:sz="4" w:space="0" w:color="auto"/>
            </w:tcBorders>
            <w:shd w:val="clear" w:color="auto" w:fill="auto"/>
            <w:noWrap/>
            <w:vAlign w:val="center"/>
            <w:hideMark/>
          </w:tcPr>
          <w:p w14:paraId="6CE10CD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0B5831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E7403F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3C9146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3420FFC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7100290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2E3338A1"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1,479</w:t>
            </w:r>
          </w:p>
        </w:tc>
        <w:tc>
          <w:tcPr>
            <w:tcW w:w="833" w:type="dxa"/>
            <w:tcBorders>
              <w:top w:val="nil"/>
              <w:left w:val="nil"/>
              <w:bottom w:val="single" w:sz="4" w:space="0" w:color="auto"/>
              <w:right w:val="single" w:sz="4" w:space="0" w:color="auto"/>
            </w:tcBorders>
            <w:shd w:val="clear" w:color="auto" w:fill="auto"/>
            <w:noWrap/>
            <w:vAlign w:val="center"/>
            <w:hideMark/>
          </w:tcPr>
          <w:p w14:paraId="7E1043C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1058B4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5CBCF60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837AFE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B641BB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7A8728E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E39B47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76CDCF49"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 0</w:t>
            </w:r>
          </w:p>
        </w:tc>
      </w:tr>
      <w:tr w:rsidR="008428AF" w:rsidRPr="00B469AB" w14:paraId="36091778" w14:textId="77777777" w:rsidTr="004A20FD">
        <w:trPr>
          <w:trHeight w:val="39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B49DD81"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Exemplar Health Partnership</w:t>
            </w:r>
          </w:p>
        </w:tc>
        <w:tc>
          <w:tcPr>
            <w:tcW w:w="832" w:type="dxa"/>
            <w:tcBorders>
              <w:top w:val="nil"/>
              <w:left w:val="nil"/>
              <w:bottom w:val="single" w:sz="4" w:space="0" w:color="auto"/>
              <w:right w:val="single" w:sz="4" w:space="0" w:color="auto"/>
            </w:tcBorders>
            <w:shd w:val="clear" w:color="auto" w:fill="auto"/>
            <w:noWrap/>
            <w:vAlign w:val="center"/>
            <w:hideMark/>
          </w:tcPr>
          <w:p w14:paraId="4BC3680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78,442</w:t>
            </w:r>
          </w:p>
        </w:tc>
        <w:tc>
          <w:tcPr>
            <w:tcW w:w="833" w:type="dxa"/>
            <w:tcBorders>
              <w:top w:val="nil"/>
              <w:left w:val="nil"/>
              <w:bottom w:val="single" w:sz="4" w:space="0" w:color="auto"/>
              <w:right w:val="single" w:sz="4" w:space="0" w:color="auto"/>
            </w:tcBorders>
            <w:shd w:val="clear" w:color="auto" w:fill="auto"/>
            <w:noWrap/>
            <w:vAlign w:val="center"/>
            <w:hideMark/>
          </w:tcPr>
          <w:p w14:paraId="227B411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D7CFA0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E91B7B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742A09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0218372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7608624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3AB01857"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78,442</w:t>
            </w:r>
          </w:p>
        </w:tc>
        <w:tc>
          <w:tcPr>
            <w:tcW w:w="833" w:type="dxa"/>
            <w:tcBorders>
              <w:top w:val="nil"/>
              <w:left w:val="nil"/>
              <w:bottom w:val="single" w:sz="4" w:space="0" w:color="auto"/>
              <w:right w:val="single" w:sz="4" w:space="0" w:color="auto"/>
            </w:tcBorders>
            <w:shd w:val="clear" w:color="auto" w:fill="auto"/>
            <w:noWrap/>
            <w:vAlign w:val="center"/>
            <w:hideMark/>
          </w:tcPr>
          <w:p w14:paraId="10A28F7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61,037</w:t>
            </w:r>
          </w:p>
        </w:tc>
        <w:tc>
          <w:tcPr>
            <w:tcW w:w="833" w:type="dxa"/>
            <w:tcBorders>
              <w:top w:val="nil"/>
              <w:left w:val="nil"/>
              <w:bottom w:val="single" w:sz="4" w:space="0" w:color="auto"/>
              <w:right w:val="single" w:sz="4" w:space="0" w:color="auto"/>
            </w:tcBorders>
            <w:shd w:val="clear" w:color="auto" w:fill="auto"/>
            <w:noWrap/>
            <w:vAlign w:val="center"/>
            <w:hideMark/>
          </w:tcPr>
          <w:p w14:paraId="47664AC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3A4F94E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A0F346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45979B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79FC48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742BDA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7673080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61,037</w:t>
            </w:r>
          </w:p>
        </w:tc>
      </w:tr>
      <w:tr w:rsidR="008428AF" w:rsidRPr="00B469AB" w14:paraId="04394BC9" w14:textId="77777777" w:rsidTr="004A20FD">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5D61F5A"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Healthshare Victoria</w:t>
            </w:r>
          </w:p>
        </w:tc>
        <w:tc>
          <w:tcPr>
            <w:tcW w:w="832" w:type="dxa"/>
            <w:tcBorders>
              <w:top w:val="nil"/>
              <w:left w:val="nil"/>
              <w:bottom w:val="single" w:sz="4" w:space="0" w:color="auto"/>
              <w:right w:val="single" w:sz="4" w:space="0" w:color="auto"/>
            </w:tcBorders>
            <w:shd w:val="clear" w:color="auto" w:fill="auto"/>
            <w:noWrap/>
            <w:vAlign w:val="center"/>
            <w:hideMark/>
          </w:tcPr>
          <w:p w14:paraId="527D817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51,007</w:t>
            </w:r>
          </w:p>
        </w:tc>
        <w:tc>
          <w:tcPr>
            <w:tcW w:w="833" w:type="dxa"/>
            <w:tcBorders>
              <w:top w:val="nil"/>
              <w:left w:val="nil"/>
              <w:bottom w:val="single" w:sz="4" w:space="0" w:color="auto"/>
              <w:right w:val="single" w:sz="4" w:space="0" w:color="auto"/>
            </w:tcBorders>
            <w:shd w:val="clear" w:color="auto" w:fill="auto"/>
            <w:noWrap/>
            <w:vAlign w:val="center"/>
            <w:hideMark/>
          </w:tcPr>
          <w:p w14:paraId="33DD37F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8B8778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7CEB23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7F96B91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5447CFD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1FE651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777A183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51,007</w:t>
            </w:r>
          </w:p>
        </w:tc>
        <w:tc>
          <w:tcPr>
            <w:tcW w:w="833" w:type="dxa"/>
            <w:tcBorders>
              <w:top w:val="nil"/>
              <w:left w:val="nil"/>
              <w:bottom w:val="single" w:sz="4" w:space="0" w:color="auto"/>
              <w:right w:val="single" w:sz="4" w:space="0" w:color="auto"/>
            </w:tcBorders>
            <w:shd w:val="clear" w:color="auto" w:fill="auto"/>
            <w:noWrap/>
            <w:vAlign w:val="center"/>
            <w:hideMark/>
          </w:tcPr>
          <w:p w14:paraId="21FF306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52,216</w:t>
            </w:r>
          </w:p>
        </w:tc>
        <w:tc>
          <w:tcPr>
            <w:tcW w:w="833" w:type="dxa"/>
            <w:tcBorders>
              <w:top w:val="nil"/>
              <w:left w:val="nil"/>
              <w:bottom w:val="single" w:sz="4" w:space="0" w:color="auto"/>
              <w:right w:val="single" w:sz="4" w:space="0" w:color="auto"/>
            </w:tcBorders>
            <w:shd w:val="clear" w:color="auto" w:fill="auto"/>
            <w:noWrap/>
            <w:vAlign w:val="center"/>
            <w:hideMark/>
          </w:tcPr>
          <w:p w14:paraId="55EF903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627D6B4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08A151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C58861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7B1E40E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2ABF97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2A8D27B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52,216</w:t>
            </w:r>
          </w:p>
        </w:tc>
      </w:tr>
      <w:tr w:rsidR="008428AF" w:rsidRPr="00B469AB" w14:paraId="59D24C70" w14:textId="77777777" w:rsidTr="004A20FD">
        <w:trPr>
          <w:trHeight w:val="39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51D0941"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Karingal St Laurence Limited</w:t>
            </w:r>
          </w:p>
        </w:tc>
        <w:tc>
          <w:tcPr>
            <w:tcW w:w="832" w:type="dxa"/>
            <w:tcBorders>
              <w:top w:val="nil"/>
              <w:left w:val="nil"/>
              <w:bottom w:val="single" w:sz="4" w:space="0" w:color="auto"/>
              <w:right w:val="single" w:sz="4" w:space="0" w:color="auto"/>
            </w:tcBorders>
            <w:shd w:val="clear" w:color="auto" w:fill="auto"/>
            <w:noWrap/>
            <w:vAlign w:val="center"/>
            <w:hideMark/>
          </w:tcPr>
          <w:p w14:paraId="65F8D50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6118C9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1,279</w:t>
            </w:r>
          </w:p>
        </w:tc>
        <w:tc>
          <w:tcPr>
            <w:tcW w:w="833" w:type="dxa"/>
            <w:tcBorders>
              <w:top w:val="nil"/>
              <w:left w:val="nil"/>
              <w:bottom w:val="single" w:sz="4" w:space="0" w:color="auto"/>
              <w:right w:val="single" w:sz="4" w:space="0" w:color="auto"/>
            </w:tcBorders>
            <w:shd w:val="clear" w:color="auto" w:fill="auto"/>
            <w:noWrap/>
            <w:vAlign w:val="center"/>
            <w:hideMark/>
          </w:tcPr>
          <w:p w14:paraId="3A4C54C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D5D25C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97FABE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253</w:t>
            </w:r>
          </w:p>
        </w:tc>
        <w:tc>
          <w:tcPr>
            <w:tcW w:w="832" w:type="dxa"/>
            <w:tcBorders>
              <w:top w:val="nil"/>
              <w:left w:val="nil"/>
              <w:bottom w:val="single" w:sz="4" w:space="0" w:color="auto"/>
              <w:right w:val="single" w:sz="4" w:space="0" w:color="auto"/>
            </w:tcBorders>
            <w:shd w:val="clear" w:color="auto" w:fill="auto"/>
            <w:noWrap/>
            <w:vAlign w:val="center"/>
            <w:hideMark/>
          </w:tcPr>
          <w:p w14:paraId="51F15CA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37C804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4A522F89"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1,532</w:t>
            </w:r>
          </w:p>
        </w:tc>
        <w:tc>
          <w:tcPr>
            <w:tcW w:w="833" w:type="dxa"/>
            <w:tcBorders>
              <w:top w:val="nil"/>
              <w:left w:val="nil"/>
              <w:bottom w:val="single" w:sz="4" w:space="0" w:color="auto"/>
              <w:right w:val="single" w:sz="4" w:space="0" w:color="auto"/>
            </w:tcBorders>
            <w:shd w:val="clear" w:color="auto" w:fill="auto"/>
            <w:noWrap/>
            <w:vAlign w:val="center"/>
            <w:hideMark/>
          </w:tcPr>
          <w:p w14:paraId="4DF66B6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182C64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1,316</w:t>
            </w:r>
          </w:p>
        </w:tc>
        <w:tc>
          <w:tcPr>
            <w:tcW w:w="832" w:type="dxa"/>
            <w:tcBorders>
              <w:top w:val="nil"/>
              <w:left w:val="nil"/>
              <w:bottom w:val="single" w:sz="4" w:space="0" w:color="auto"/>
              <w:right w:val="single" w:sz="4" w:space="0" w:color="auto"/>
            </w:tcBorders>
            <w:shd w:val="clear" w:color="auto" w:fill="auto"/>
            <w:noWrap/>
            <w:vAlign w:val="center"/>
            <w:hideMark/>
          </w:tcPr>
          <w:p w14:paraId="10FC66C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E00D9B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1ACD72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261</w:t>
            </w:r>
          </w:p>
        </w:tc>
        <w:tc>
          <w:tcPr>
            <w:tcW w:w="833" w:type="dxa"/>
            <w:tcBorders>
              <w:top w:val="nil"/>
              <w:left w:val="nil"/>
              <w:bottom w:val="single" w:sz="4" w:space="0" w:color="auto"/>
              <w:right w:val="single" w:sz="4" w:space="0" w:color="auto"/>
            </w:tcBorders>
            <w:shd w:val="clear" w:color="auto" w:fill="auto"/>
            <w:noWrap/>
            <w:vAlign w:val="center"/>
            <w:hideMark/>
          </w:tcPr>
          <w:p w14:paraId="1EC7900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8EDE6C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09BAAED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1,577</w:t>
            </w:r>
          </w:p>
        </w:tc>
      </w:tr>
      <w:tr w:rsidR="008428AF" w:rsidRPr="00B469AB" w14:paraId="3529914E" w14:textId="77777777" w:rsidTr="004A20FD">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3CB58D3"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Lyndoch Living Inc</w:t>
            </w:r>
          </w:p>
        </w:tc>
        <w:tc>
          <w:tcPr>
            <w:tcW w:w="832" w:type="dxa"/>
            <w:tcBorders>
              <w:top w:val="nil"/>
              <w:left w:val="nil"/>
              <w:bottom w:val="single" w:sz="4" w:space="0" w:color="auto"/>
              <w:right w:val="single" w:sz="4" w:space="0" w:color="auto"/>
            </w:tcBorders>
            <w:shd w:val="clear" w:color="auto" w:fill="auto"/>
            <w:noWrap/>
            <w:vAlign w:val="center"/>
            <w:hideMark/>
          </w:tcPr>
          <w:p w14:paraId="5B1B855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2,187</w:t>
            </w:r>
          </w:p>
        </w:tc>
        <w:tc>
          <w:tcPr>
            <w:tcW w:w="833" w:type="dxa"/>
            <w:tcBorders>
              <w:top w:val="nil"/>
              <w:left w:val="nil"/>
              <w:bottom w:val="single" w:sz="4" w:space="0" w:color="auto"/>
              <w:right w:val="single" w:sz="4" w:space="0" w:color="auto"/>
            </w:tcBorders>
            <w:shd w:val="clear" w:color="auto" w:fill="auto"/>
            <w:noWrap/>
            <w:vAlign w:val="center"/>
            <w:hideMark/>
          </w:tcPr>
          <w:p w14:paraId="49D67F9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3,164</w:t>
            </w:r>
          </w:p>
        </w:tc>
        <w:tc>
          <w:tcPr>
            <w:tcW w:w="833" w:type="dxa"/>
            <w:tcBorders>
              <w:top w:val="nil"/>
              <w:left w:val="nil"/>
              <w:bottom w:val="single" w:sz="4" w:space="0" w:color="auto"/>
              <w:right w:val="single" w:sz="4" w:space="0" w:color="auto"/>
            </w:tcBorders>
            <w:shd w:val="clear" w:color="auto" w:fill="auto"/>
            <w:noWrap/>
            <w:vAlign w:val="center"/>
            <w:hideMark/>
          </w:tcPr>
          <w:p w14:paraId="44E8C34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098605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0B4085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398</w:t>
            </w:r>
          </w:p>
        </w:tc>
        <w:tc>
          <w:tcPr>
            <w:tcW w:w="832" w:type="dxa"/>
            <w:tcBorders>
              <w:top w:val="nil"/>
              <w:left w:val="nil"/>
              <w:bottom w:val="single" w:sz="4" w:space="0" w:color="auto"/>
              <w:right w:val="single" w:sz="4" w:space="0" w:color="auto"/>
            </w:tcBorders>
            <w:shd w:val="clear" w:color="auto" w:fill="auto"/>
            <w:noWrap/>
            <w:vAlign w:val="center"/>
            <w:hideMark/>
          </w:tcPr>
          <w:p w14:paraId="75B1210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74C526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3601D285"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5,750</w:t>
            </w:r>
          </w:p>
        </w:tc>
        <w:tc>
          <w:tcPr>
            <w:tcW w:w="833" w:type="dxa"/>
            <w:tcBorders>
              <w:top w:val="nil"/>
              <w:left w:val="nil"/>
              <w:bottom w:val="single" w:sz="4" w:space="0" w:color="auto"/>
              <w:right w:val="single" w:sz="4" w:space="0" w:color="auto"/>
            </w:tcBorders>
            <w:shd w:val="clear" w:color="auto" w:fill="auto"/>
            <w:noWrap/>
            <w:vAlign w:val="center"/>
            <w:hideMark/>
          </w:tcPr>
          <w:p w14:paraId="7EF60C6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2,239</w:t>
            </w:r>
          </w:p>
        </w:tc>
        <w:tc>
          <w:tcPr>
            <w:tcW w:w="833" w:type="dxa"/>
            <w:tcBorders>
              <w:top w:val="nil"/>
              <w:left w:val="nil"/>
              <w:bottom w:val="single" w:sz="4" w:space="0" w:color="auto"/>
              <w:right w:val="single" w:sz="4" w:space="0" w:color="auto"/>
            </w:tcBorders>
            <w:shd w:val="clear" w:color="auto" w:fill="auto"/>
            <w:noWrap/>
            <w:vAlign w:val="center"/>
            <w:hideMark/>
          </w:tcPr>
          <w:p w14:paraId="4046042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3,603</w:t>
            </w:r>
          </w:p>
        </w:tc>
        <w:tc>
          <w:tcPr>
            <w:tcW w:w="832" w:type="dxa"/>
            <w:tcBorders>
              <w:top w:val="nil"/>
              <w:left w:val="nil"/>
              <w:bottom w:val="single" w:sz="4" w:space="0" w:color="auto"/>
              <w:right w:val="single" w:sz="4" w:space="0" w:color="auto"/>
            </w:tcBorders>
            <w:shd w:val="clear" w:color="auto" w:fill="auto"/>
            <w:noWrap/>
            <w:vAlign w:val="center"/>
            <w:hideMark/>
          </w:tcPr>
          <w:p w14:paraId="591A7CC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83196A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16CDBD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407</w:t>
            </w:r>
          </w:p>
        </w:tc>
        <w:tc>
          <w:tcPr>
            <w:tcW w:w="833" w:type="dxa"/>
            <w:tcBorders>
              <w:top w:val="nil"/>
              <w:left w:val="nil"/>
              <w:bottom w:val="single" w:sz="4" w:space="0" w:color="auto"/>
              <w:right w:val="single" w:sz="4" w:space="0" w:color="auto"/>
            </w:tcBorders>
            <w:shd w:val="clear" w:color="auto" w:fill="auto"/>
            <w:noWrap/>
            <w:vAlign w:val="center"/>
            <w:hideMark/>
          </w:tcPr>
          <w:p w14:paraId="583A547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0C659A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64694283"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6,250</w:t>
            </w:r>
          </w:p>
        </w:tc>
      </w:tr>
      <w:tr w:rsidR="008428AF" w:rsidRPr="00B469AB" w14:paraId="21E7AD69" w14:textId="77777777" w:rsidTr="004A20FD">
        <w:trPr>
          <w:trHeight w:val="39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6B81E87"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Mallee District Aboriginal Services Limited</w:t>
            </w:r>
          </w:p>
        </w:tc>
        <w:tc>
          <w:tcPr>
            <w:tcW w:w="832" w:type="dxa"/>
            <w:tcBorders>
              <w:top w:val="nil"/>
              <w:left w:val="nil"/>
              <w:bottom w:val="single" w:sz="4" w:space="0" w:color="auto"/>
              <w:right w:val="single" w:sz="4" w:space="0" w:color="auto"/>
            </w:tcBorders>
            <w:shd w:val="clear" w:color="auto" w:fill="auto"/>
            <w:noWrap/>
            <w:vAlign w:val="center"/>
            <w:hideMark/>
          </w:tcPr>
          <w:p w14:paraId="3077D59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496</w:t>
            </w:r>
          </w:p>
        </w:tc>
        <w:tc>
          <w:tcPr>
            <w:tcW w:w="833" w:type="dxa"/>
            <w:tcBorders>
              <w:top w:val="nil"/>
              <w:left w:val="nil"/>
              <w:bottom w:val="single" w:sz="4" w:space="0" w:color="auto"/>
              <w:right w:val="single" w:sz="4" w:space="0" w:color="auto"/>
            </w:tcBorders>
            <w:shd w:val="clear" w:color="auto" w:fill="auto"/>
            <w:noWrap/>
            <w:vAlign w:val="center"/>
            <w:hideMark/>
          </w:tcPr>
          <w:p w14:paraId="0049022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50</w:t>
            </w:r>
          </w:p>
        </w:tc>
        <w:tc>
          <w:tcPr>
            <w:tcW w:w="833" w:type="dxa"/>
            <w:tcBorders>
              <w:top w:val="nil"/>
              <w:left w:val="nil"/>
              <w:bottom w:val="single" w:sz="4" w:space="0" w:color="auto"/>
              <w:right w:val="single" w:sz="4" w:space="0" w:color="auto"/>
            </w:tcBorders>
            <w:shd w:val="clear" w:color="auto" w:fill="auto"/>
            <w:noWrap/>
            <w:vAlign w:val="center"/>
            <w:hideMark/>
          </w:tcPr>
          <w:p w14:paraId="0BE564C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7A57AD0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1,457</w:t>
            </w:r>
          </w:p>
        </w:tc>
        <w:tc>
          <w:tcPr>
            <w:tcW w:w="833" w:type="dxa"/>
            <w:tcBorders>
              <w:top w:val="nil"/>
              <w:left w:val="nil"/>
              <w:bottom w:val="single" w:sz="4" w:space="0" w:color="auto"/>
              <w:right w:val="single" w:sz="4" w:space="0" w:color="auto"/>
            </w:tcBorders>
            <w:shd w:val="clear" w:color="auto" w:fill="auto"/>
            <w:noWrap/>
            <w:vAlign w:val="center"/>
            <w:hideMark/>
          </w:tcPr>
          <w:p w14:paraId="109627D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362</w:t>
            </w:r>
          </w:p>
        </w:tc>
        <w:tc>
          <w:tcPr>
            <w:tcW w:w="832" w:type="dxa"/>
            <w:tcBorders>
              <w:top w:val="nil"/>
              <w:left w:val="nil"/>
              <w:bottom w:val="single" w:sz="4" w:space="0" w:color="auto"/>
              <w:right w:val="single" w:sz="4" w:space="0" w:color="auto"/>
            </w:tcBorders>
            <w:shd w:val="clear" w:color="auto" w:fill="auto"/>
            <w:noWrap/>
            <w:vAlign w:val="center"/>
            <w:hideMark/>
          </w:tcPr>
          <w:p w14:paraId="6B82940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704</w:t>
            </w:r>
          </w:p>
        </w:tc>
        <w:tc>
          <w:tcPr>
            <w:tcW w:w="833" w:type="dxa"/>
            <w:tcBorders>
              <w:top w:val="nil"/>
              <w:left w:val="nil"/>
              <w:bottom w:val="single" w:sz="4" w:space="0" w:color="auto"/>
              <w:right w:val="single" w:sz="4" w:space="0" w:color="auto"/>
            </w:tcBorders>
            <w:shd w:val="clear" w:color="auto" w:fill="auto"/>
            <w:noWrap/>
            <w:vAlign w:val="center"/>
            <w:hideMark/>
          </w:tcPr>
          <w:p w14:paraId="0B76C51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6673BB53"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3,069</w:t>
            </w:r>
          </w:p>
        </w:tc>
        <w:tc>
          <w:tcPr>
            <w:tcW w:w="833" w:type="dxa"/>
            <w:tcBorders>
              <w:top w:val="nil"/>
              <w:left w:val="nil"/>
              <w:bottom w:val="single" w:sz="4" w:space="0" w:color="auto"/>
              <w:right w:val="single" w:sz="4" w:space="0" w:color="auto"/>
            </w:tcBorders>
            <w:shd w:val="clear" w:color="auto" w:fill="auto"/>
            <w:noWrap/>
            <w:vAlign w:val="center"/>
            <w:hideMark/>
          </w:tcPr>
          <w:p w14:paraId="00E6534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508</w:t>
            </w:r>
          </w:p>
        </w:tc>
        <w:tc>
          <w:tcPr>
            <w:tcW w:w="833" w:type="dxa"/>
            <w:tcBorders>
              <w:top w:val="nil"/>
              <w:left w:val="nil"/>
              <w:bottom w:val="single" w:sz="4" w:space="0" w:color="auto"/>
              <w:right w:val="single" w:sz="4" w:space="0" w:color="auto"/>
            </w:tcBorders>
            <w:shd w:val="clear" w:color="auto" w:fill="auto"/>
            <w:noWrap/>
            <w:vAlign w:val="center"/>
            <w:hideMark/>
          </w:tcPr>
          <w:p w14:paraId="1F162C8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52</w:t>
            </w:r>
          </w:p>
        </w:tc>
        <w:tc>
          <w:tcPr>
            <w:tcW w:w="832" w:type="dxa"/>
            <w:tcBorders>
              <w:top w:val="nil"/>
              <w:left w:val="nil"/>
              <w:bottom w:val="single" w:sz="4" w:space="0" w:color="auto"/>
              <w:right w:val="single" w:sz="4" w:space="0" w:color="auto"/>
            </w:tcBorders>
            <w:shd w:val="clear" w:color="auto" w:fill="auto"/>
            <w:noWrap/>
            <w:vAlign w:val="center"/>
            <w:hideMark/>
          </w:tcPr>
          <w:p w14:paraId="30B801E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E2ECB3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1,505</w:t>
            </w:r>
          </w:p>
        </w:tc>
        <w:tc>
          <w:tcPr>
            <w:tcW w:w="833" w:type="dxa"/>
            <w:tcBorders>
              <w:top w:val="nil"/>
              <w:left w:val="nil"/>
              <w:bottom w:val="single" w:sz="4" w:space="0" w:color="auto"/>
              <w:right w:val="single" w:sz="4" w:space="0" w:color="auto"/>
            </w:tcBorders>
            <w:shd w:val="clear" w:color="auto" w:fill="auto"/>
            <w:noWrap/>
            <w:vAlign w:val="center"/>
            <w:hideMark/>
          </w:tcPr>
          <w:p w14:paraId="04378EB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374</w:t>
            </w:r>
          </w:p>
        </w:tc>
        <w:tc>
          <w:tcPr>
            <w:tcW w:w="833" w:type="dxa"/>
            <w:tcBorders>
              <w:top w:val="nil"/>
              <w:left w:val="nil"/>
              <w:bottom w:val="single" w:sz="4" w:space="0" w:color="auto"/>
              <w:right w:val="single" w:sz="4" w:space="0" w:color="auto"/>
            </w:tcBorders>
            <w:shd w:val="clear" w:color="auto" w:fill="auto"/>
            <w:noWrap/>
            <w:vAlign w:val="center"/>
            <w:hideMark/>
          </w:tcPr>
          <w:p w14:paraId="626B7A8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988</w:t>
            </w:r>
          </w:p>
        </w:tc>
        <w:tc>
          <w:tcPr>
            <w:tcW w:w="833" w:type="dxa"/>
            <w:tcBorders>
              <w:top w:val="nil"/>
              <w:left w:val="nil"/>
              <w:bottom w:val="single" w:sz="4" w:space="0" w:color="auto"/>
              <w:right w:val="single" w:sz="4" w:space="0" w:color="auto"/>
            </w:tcBorders>
            <w:shd w:val="clear" w:color="auto" w:fill="auto"/>
            <w:noWrap/>
            <w:vAlign w:val="center"/>
            <w:hideMark/>
          </w:tcPr>
          <w:p w14:paraId="5048866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109</w:t>
            </w:r>
          </w:p>
        </w:tc>
        <w:tc>
          <w:tcPr>
            <w:tcW w:w="974" w:type="dxa"/>
            <w:tcBorders>
              <w:top w:val="nil"/>
              <w:left w:val="nil"/>
              <w:bottom w:val="single" w:sz="4" w:space="0" w:color="auto"/>
              <w:right w:val="single" w:sz="4" w:space="0" w:color="auto"/>
            </w:tcBorders>
            <w:shd w:val="clear" w:color="auto" w:fill="auto"/>
            <w:noWrap/>
            <w:vAlign w:val="center"/>
            <w:hideMark/>
          </w:tcPr>
          <w:p w14:paraId="0958775C"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3,536</w:t>
            </w:r>
          </w:p>
        </w:tc>
      </w:tr>
      <w:tr w:rsidR="008428AF" w:rsidRPr="00B469AB" w14:paraId="25401033" w14:textId="77777777" w:rsidTr="004A20FD">
        <w:trPr>
          <w:trHeight w:val="39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FF45655"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Murray Primary Health Network</w:t>
            </w:r>
          </w:p>
        </w:tc>
        <w:tc>
          <w:tcPr>
            <w:tcW w:w="832" w:type="dxa"/>
            <w:tcBorders>
              <w:top w:val="nil"/>
              <w:left w:val="nil"/>
              <w:bottom w:val="single" w:sz="4" w:space="0" w:color="auto"/>
              <w:right w:val="single" w:sz="4" w:space="0" w:color="auto"/>
            </w:tcBorders>
            <w:shd w:val="clear" w:color="auto" w:fill="auto"/>
            <w:noWrap/>
            <w:vAlign w:val="center"/>
            <w:hideMark/>
          </w:tcPr>
          <w:p w14:paraId="6BA0D5C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435A6B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94933C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855860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403C81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601FAC0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5,715</w:t>
            </w:r>
          </w:p>
        </w:tc>
        <w:tc>
          <w:tcPr>
            <w:tcW w:w="833" w:type="dxa"/>
            <w:tcBorders>
              <w:top w:val="nil"/>
              <w:left w:val="nil"/>
              <w:bottom w:val="single" w:sz="4" w:space="0" w:color="auto"/>
              <w:right w:val="single" w:sz="4" w:space="0" w:color="auto"/>
            </w:tcBorders>
            <w:shd w:val="clear" w:color="auto" w:fill="auto"/>
            <w:noWrap/>
            <w:vAlign w:val="center"/>
            <w:hideMark/>
          </w:tcPr>
          <w:p w14:paraId="3A17D06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994</w:t>
            </w:r>
          </w:p>
        </w:tc>
        <w:tc>
          <w:tcPr>
            <w:tcW w:w="975" w:type="dxa"/>
            <w:tcBorders>
              <w:top w:val="nil"/>
              <w:left w:val="nil"/>
              <w:bottom w:val="single" w:sz="4" w:space="0" w:color="auto"/>
              <w:right w:val="single" w:sz="4" w:space="0" w:color="auto"/>
            </w:tcBorders>
            <w:shd w:val="clear" w:color="auto" w:fill="auto"/>
            <w:noWrap/>
            <w:vAlign w:val="center"/>
            <w:hideMark/>
          </w:tcPr>
          <w:p w14:paraId="3EA1DD6C"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6,709</w:t>
            </w:r>
          </w:p>
        </w:tc>
        <w:tc>
          <w:tcPr>
            <w:tcW w:w="833" w:type="dxa"/>
            <w:tcBorders>
              <w:top w:val="nil"/>
              <w:left w:val="nil"/>
              <w:bottom w:val="single" w:sz="4" w:space="0" w:color="auto"/>
              <w:right w:val="single" w:sz="4" w:space="0" w:color="auto"/>
            </w:tcBorders>
            <w:shd w:val="clear" w:color="auto" w:fill="auto"/>
            <w:noWrap/>
            <w:vAlign w:val="center"/>
            <w:hideMark/>
          </w:tcPr>
          <w:p w14:paraId="62B85D5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5E0A12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2594106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C45AC6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7F3268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61B189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4,095</w:t>
            </w:r>
          </w:p>
        </w:tc>
        <w:tc>
          <w:tcPr>
            <w:tcW w:w="833" w:type="dxa"/>
            <w:tcBorders>
              <w:top w:val="nil"/>
              <w:left w:val="nil"/>
              <w:bottom w:val="single" w:sz="4" w:space="0" w:color="auto"/>
              <w:right w:val="single" w:sz="4" w:space="0" w:color="auto"/>
            </w:tcBorders>
            <w:shd w:val="clear" w:color="auto" w:fill="auto"/>
            <w:noWrap/>
            <w:vAlign w:val="center"/>
            <w:hideMark/>
          </w:tcPr>
          <w:p w14:paraId="788A134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641</w:t>
            </w:r>
          </w:p>
        </w:tc>
        <w:tc>
          <w:tcPr>
            <w:tcW w:w="974" w:type="dxa"/>
            <w:tcBorders>
              <w:top w:val="nil"/>
              <w:left w:val="nil"/>
              <w:bottom w:val="single" w:sz="4" w:space="0" w:color="auto"/>
              <w:right w:val="single" w:sz="4" w:space="0" w:color="auto"/>
            </w:tcBorders>
            <w:shd w:val="clear" w:color="auto" w:fill="auto"/>
            <w:noWrap/>
            <w:vAlign w:val="center"/>
            <w:hideMark/>
          </w:tcPr>
          <w:p w14:paraId="6412186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4,735</w:t>
            </w:r>
          </w:p>
        </w:tc>
      </w:tr>
      <w:tr w:rsidR="008428AF" w:rsidRPr="00B469AB" w14:paraId="69F8B786" w14:textId="77777777" w:rsidTr="004A20FD">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5BA3F02"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National Blood Authority</w:t>
            </w:r>
          </w:p>
        </w:tc>
        <w:tc>
          <w:tcPr>
            <w:tcW w:w="832" w:type="dxa"/>
            <w:tcBorders>
              <w:top w:val="nil"/>
              <w:left w:val="nil"/>
              <w:bottom w:val="single" w:sz="4" w:space="0" w:color="auto"/>
              <w:right w:val="single" w:sz="4" w:space="0" w:color="auto"/>
            </w:tcBorders>
            <w:shd w:val="clear" w:color="auto" w:fill="auto"/>
            <w:noWrap/>
            <w:vAlign w:val="center"/>
            <w:hideMark/>
          </w:tcPr>
          <w:p w14:paraId="750FF85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167,773</w:t>
            </w:r>
          </w:p>
        </w:tc>
        <w:tc>
          <w:tcPr>
            <w:tcW w:w="833" w:type="dxa"/>
            <w:tcBorders>
              <w:top w:val="nil"/>
              <w:left w:val="nil"/>
              <w:bottom w:val="single" w:sz="4" w:space="0" w:color="auto"/>
              <w:right w:val="single" w:sz="4" w:space="0" w:color="auto"/>
            </w:tcBorders>
            <w:shd w:val="clear" w:color="auto" w:fill="auto"/>
            <w:noWrap/>
            <w:vAlign w:val="center"/>
            <w:hideMark/>
          </w:tcPr>
          <w:p w14:paraId="00B6AF1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7B67F9D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EE9A4C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46401B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4BA3DBD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835D70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7487983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167,773</w:t>
            </w:r>
          </w:p>
        </w:tc>
        <w:tc>
          <w:tcPr>
            <w:tcW w:w="833" w:type="dxa"/>
            <w:tcBorders>
              <w:top w:val="nil"/>
              <w:left w:val="nil"/>
              <w:bottom w:val="single" w:sz="4" w:space="0" w:color="auto"/>
              <w:right w:val="single" w:sz="4" w:space="0" w:color="auto"/>
            </w:tcBorders>
            <w:shd w:val="clear" w:color="auto" w:fill="auto"/>
            <w:noWrap/>
            <w:vAlign w:val="center"/>
            <w:hideMark/>
          </w:tcPr>
          <w:p w14:paraId="10E739F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145,697</w:t>
            </w:r>
          </w:p>
        </w:tc>
        <w:tc>
          <w:tcPr>
            <w:tcW w:w="833" w:type="dxa"/>
            <w:tcBorders>
              <w:top w:val="nil"/>
              <w:left w:val="nil"/>
              <w:bottom w:val="single" w:sz="4" w:space="0" w:color="auto"/>
              <w:right w:val="single" w:sz="4" w:space="0" w:color="auto"/>
            </w:tcBorders>
            <w:shd w:val="clear" w:color="auto" w:fill="auto"/>
            <w:noWrap/>
            <w:vAlign w:val="center"/>
            <w:hideMark/>
          </w:tcPr>
          <w:p w14:paraId="11A6A2C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40C05A8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E5EC96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5609F9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6D7991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7819898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06BF0A3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145,697</w:t>
            </w:r>
          </w:p>
        </w:tc>
      </w:tr>
      <w:tr w:rsidR="008428AF" w:rsidRPr="00B469AB" w14:paraId="50A15F89" w14:textId="77777777" w:rsidTr="004A20FD">
        <w:trPr>
          <w:trHeight w:val="39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5A58911"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Ngwala Willumbong Aboriginal Corporation</w:t>
            </w:r>
          </w:p>
        </w:tc>
        <w:tc>
          <w:tcPr>
            <w:tcW w:w="832" w:type="dxa"/>
            <w:tcBorders>
              <w:top w:val="nil"/>
              <w:left w:val="nil"/>
              <w:bottom w:val="single" w:sz="4" w:space="0" w:color="auto"/>
              <w:right w:val="single" w:sz="4" w:space="0" w:color="auto"/>
            </w:tcBorders>
            <w:shd w:val="clear" w:color="auto" w:fill="auto"/>
            <w:noWrap/>
            <w:vAlign w:val="center"/>
            <w:hideMark/>
          </w:tcPr>
          <w:p w14:paraId="3A880E8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0A2BB4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117</w:t>
            </w:r>
          </w:p>
        </w:tc>
        <w:tc>
          <w:tcPr>
            <w:tcW w:w="833" w:type="dxa"/>
            <w:tcBorders>
              <w:top w:val="nil"/>
              <w:left w:val="nil"/>
              <w:bottom w:val="single" w:sz="4" w:space="0" w:color="auto"/>
              <w:right w:val="single" w:sz="4" w:space="0" w:color="auto"/>
            </w:tcBorders>
            <w:shd w:val="clear" w:color="auto" w:fill="auto"/>
            <w:noWrap/>
            <w:vAlign w:val="center"/>
            <w:hideMark/>
          </w:tcPr>
          <w:p w14:paraId="4DF7189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B7625A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1,424</w:t>
            </w:r>
          </w:p>
        </w:tc>
        <w:tc>
          <w:tcPr>
            <w:tcW w:w="833" w:type="dxa"/>
            <w:tcBorders>
              <w:top w:val="nil"/>
              <w:left w:val="nil"/>
              <w:bottom w:val="single" w:sz="4" w:space="0" w:color="auto"/>
              <w:right w:val="single" w:sz="4" w:space="0" w:color="auto"/>
            </w:tcBorders>
            <w:shd w:val="clear" w:color="auto" w:fill="auto"/>
            <w:noWrap/>
            <w:vAlign w:val="center"/>
            <w:hideMark/>
          </w:tcPr>
          <w:p w14:paraId="1E8E58B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55EF674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94</w:t>
            </w:r>
          </w:p>
        </w:tc>
        <w:tc>
          <w:tcPr>
            <w:tcW w:w="833" w:type="dxa"/>
            <w:tcBorders>
              <w:top w:val="nil"/>
              <w:left w:val="nil"/>
              <w:bottom w:val="single" w:sz="4" w:space="0" w:color="auto"/>
              <w:right w:val="single" w:sz="4" w:space="0" w:color="auto"/>
            </w:tcBorders>
            <w:shd w:val="clear" w:color="auto" w:fill="auto"/>
            <w:noWrap/>
            <w:vAlign w:val="center"/>
            <w:hideMark/>
          </w:tcPr>
          <w:p w14:paraId="5C5940F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671D41F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1,634</w:t>
            </w:r>
          </w:p>
        </w:tc>
        <w:tc>
          <w:tcPr>
            <w:tcW w:w="833" w:type="dxa"/>
            <w:tcBorders>
              <w:top w:val="nil"/>
              <w:left w:val="nil"/>
              <w:bottom w:val="single" w:sz="4" w:space="0" w:color="auto"/>
              <w:right w:val="single" w:sz="4" w:space="0" w:color="auto"/>
            </w:tcBorders>
            <w:shd w:val="clear" w:color="auto" w:fill="auto"/>
            <w:noWrap/>
            <w:vAlign w:val="center"/>
            <w:hideMark/>
          </w:tcPr>
          <w:p w14:paraId="687816C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20E30F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120</w:t>
            </w:r>
          </w:p>
        </w:tc>
        <w:tc>
          <w:tcPr>
            <w:tcW w:w="832" w:type="dxa"/>
            <w:tcBorders>
              <w:top w:val="nil"/>
              <w:left w:val="nil"/>
              <w:bottom w:val="single" w:sz="4" w:space="0" w:color="auto"/>
              <w:right w:val="single" w:sz="4" w:space="0" w:color="auto"/>
            </w:tcBorders>
            <w:shd w:val="clear" w:color="auto" w:fill="auto"/>
            <w:noWrap/>
            <w:vAlign w:val="center"/>
            <w:hideMark/>
          </w:tcPr>
          <w:p w14:paraId="55799D2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58E625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1,471</w:t>
            </w:r>
          </w:p>
        </w:tc>
        <w:tc>
          <w:tcPr>
            <w:tcW w:w="833" w:type="dxa"/>
            <w:tcBorders>
              <w:top w:val="nil"/>
              <w:left w:val="nil"/>
              <w:bottom w:val="single" w:sz="4" w:space="0" w:color="auto"/>
              <w:right w:val="single" w:sz="4" w:space="0" w:color="auto"/>
            </w:tcBorders>
            <w:shd w:val="clear" w:color="auto" w:fill="auto"/>
            <w:noWrap/>
            <w:vAlign w:val="center"/>
            <w:hideMark/>
          </w:tcPr>
          <w:p w14:paraId="3260866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C1086C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97</w:t>
            </w:r>
          </w:p>
        </w:tc>
        <w:tc>
          <w:tcPr>
            <w:tcW w:w="833" w:type="dxa"/>
            <w:tcBorders>
              <w:top w:val="nil"/>
              <w:left w:val="nil"/>
              <w:bottom w:val="single" w:sz="4" w:space="0" w:color="auto"/>
              <w:right w:val="single" w:sz="4" w:space="0" w:color="auto"/>
            </w:tcBorders>
            <w:shd w:val="clear" w:color="auto" w:fill="auto"/>
            <w:noWrap/>
            <w:vAlign w:val="center"/>
            <w:hideMark/>
          </w:tcPr>
          <w:p w14:paraId="610FD2C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37158BC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1,687</w:t>
            </w:r>
          </w:p>
        </w:tc>
      </w:tr>
      <w:tr w:rsidR="008428AF" w:rsidRPr="00B469AB" w14:paraId="394FC138" w14:textId="77777777" w:rsidTr="004A20FD">
        <w:trPr>
          <w:trHeight w:val="39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9DAF4B8"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Northern Territory Department Of Health</w:t>
            </w:r>
          </w:p>
        </w:tc>
        <w:tc>
          <w:tcPr>
            <w:tcW w:w="832" w:type="dxa"/>
            <w:tcBorders>
              <w:top w:val="nil"/>
              <w:left w:val="nil"/>
              <w:bottom w:val="single" w:sz="4" w:space="0" w:color="auto"/>
              <w:right w:val="single" w:sz="4" w:space="0" w:color="auto"/>
            </w:tcBorders>
            <w:shd w:val="clear" w:color="auto" w:fill="auto"/>
            <w:noWrap/>
            <w:vAlign w:val="center"/>
            <w:hideMark/>
          </w:tcPr>
          <w:p w14:paraId="3FEB0A8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7,447</w:t>
            </w:r>
          </w:p>
        </w:tc>
        <w:tc>
          <w:tcPr>
            <w:tcW w:w="833" w:type="dxa"/>
            <w:tcBorders>
              <w:top w:val="nil"/>
              <w:left w:val="nil"/>
              <w:bottom w:val="single" w:sz="4" w:space="0" w:color="auto"/>
              <w:right w:val="single" w:sz="4" w:space="0" w:color="auto"/>
            </w:tcBorders>
            <w:shd w:val="clear" w:color="auto" w:fill="auto"/>
            <w:noWrap/>
            <w:vAlign w:val="center"/>
            <w:hideMark/>
          </w:tcPr>
          <w:p w14:paraId="370025D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BB8EE3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098966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8CE5A5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3F6B7CB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99B4CA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75D9291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7,447</w:t>
            </w:r>
          </w:p>
        </w:tc>
        <w:tc>
          <w:tcPr>
            <w:tcW w:w="833" w:type="dxa"/>
            <w:tcBorders>
              <w:top w:val="nil"/>
              <w:left w:val="nil"/>
              <w:bottom w:val="single" w:sz="4" w:space="0" w:color="auto"/>
              <w:right w:val="single" w:sz="4" w:space="0" w:color="auto"/>
            </w:tcBorders>
            <w:shd w:val="clear" w:color="auto" w:fill="auto"/>
            <w:noWrap/>
            <w:vAlign w:val="center"/>
            <w:hideMark/>
          </w:tcPr>
          <w:p w14:paraId="27094F1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B2AE33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275B9CF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0A2278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7D2E71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0F84C0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7089725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63F496F3"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0 </w:t>
            </w:r>
          </w:p>
        </w:tc>
      </w:tr>
      <w:tr w:rsidR="008428AF" w:rsidRPr="00B469AB" w14:paraId="701AA4AB" w14:textId="77777777" w:rsidTr="004A20FD">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3B44C1F"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Orygen Research Centre</w:t>
            </w:r>
          </w:p>
        </w:tc>
        <w:tc>
          <w:tcPr>
            <w:tcW w:w="832" w:type="dxa"/>
            <w:tcBorders>
              <w:top w:val="nil"/>
              <w:left w:val="nil"/>
              <w:bottom w:val="single" w:sz="4" w:space="0" w:color="auto"/>
              <w:right w:val="single" w:sz="4" w:space="0" w:color="auto"/>
            </w:tcBorders>
            <w:shd w:val="clear" w:color="auto" w:fill="auto"/>
            <w:noWrap/>
            <w:vAlign w:val="center"/>
            <w:hideMark/>
          </w:tcPr>
          <w:p w14:paraId="76D925B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1,064</w:t>
            </w:r>
          </w:p>
        </w:tc>
        <w:tc>
          <w:tcPr>
            <w:tcW w:w="833" w:type="dxa"/>
            <w:tcBorders>
              <w:top w:val="nil"/>
              <w:left w:val="nil"/>
              <w:bottom w:val="single" w:sz="4" w:space="0" w:color="auto"/>
              <w:right w:val="single" w:sz="4" w:space="0" w:color="auto"/>
            </w:tcBorders>
            <w:shd w:val="clear" w:color="auto" w:fill="auto"/>
            <w:noWrap/>
            <w:vAlign w:val="center"/>
            <w:hideMark/>
          </w:tcPr>
          <w:p w14:paraId="0389B3C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4C1C2C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8598FE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EF25B5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10,372</w:t>
            </w:r>
          </w:p>
        </w:tc>
        <w:tc>
          <w:tcPr>
            <w:tcW w:w="832" w:type="dxa"/>
            <w:tcBorders>
              <w:top w:val="nil"/>
              <w:left w:val="nil"/>
              <w:bottom w:val="single" w:sz="4" w:space="0" w:color="auto"/>
              <w:right w:val="single" w:sz="4" w:space="0" w:color="auto"/>
            </w:tcBorders>
            <w:shd w:val="clear" w:color="auto" w:fill="auto"/>
            <w:noWrap/>
            <w:vAlign w:val="center"/>
            <w:hideMark/>
          </w:tcPr>
          <w:p w14:paraId="02A640C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F1063B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72CE579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11,436</w:t>
            </w:r>
          </w:p>
        </w:tc>
        <w:tc>
          <w:tcPr>
            <w:tcW w:w="833" w:type="dxa"/>
            <w:tcBorders>
              <w:top w:val="nil"/>
              <w:left w:val="nil"/>
              <w:bottom w:val="single" w:sz="4" w:space="0" w:color="auto"/>
              <w:right w:val="single" w:sz="4" w:space="0" w:color="auto"/>
            </w:tcBorders>
            <w:shd w:val="clear" w:color="auto" w:fill="auto"/>
            <w:noWrap/>
            <w:vAlign w:val="center"/>
            <w:hideMark/>
          </w:tcPr>
          <w:p w14:paraId="71044E1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D33E42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5AC571E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3AEB54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06D5E4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10,774</w:t>
            </w:r>
          </w:p>
        </w:tc>
        <w:tc>
          <w:tcPr>
            <w:tcW w:w="833" w:type="dxa"/>
            <w:tcBorders>
              <w:top w:val="nil"/>
              <w:left w:val="nil"/>
              <w:bottom w:val="single" w:sz="4" w:space="0" w:color="auto"/>
              <w:right w:val="single" w:sz="4" w:space="0" w:color="auto"/>
            </w:tcBorders>
            <w:shd w:val="clear" w:color="auto" w:fill="auto"/>
            <w:noWrap/>
            <w:vAlign w:val="center"/>
            <w:hideMark/>
          </w:tcPr>
          <w:p w14:paraId="3EC5A7F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FC8E1E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18903A5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10,774</w:t>
            </w:r>
          </w:p>
        </w:tc>
      </w:tr>
      <w:tr w:rsidR="008428AF" w:rsidRPr="00B469AB" w14:paraId="0DF94ECD" w14:textId="77777777" w:rsidTr="004A20FD">
        <w:trPr>
          <w:trHeight w:val="39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92C3380"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Plenary Health Casey Pty Ltd (Non Gst)</w:t>
            </w:r>
          </w:p>
        </w:tc>
        <w:tc>
          <w:tcPr>
            <w:tcW w:w="832" w:type="dxa"/>
            <w:tcBorders>
              <w:top w:val="nil"/>
              <w:left w:val="nil"/>
              <w:bottom w:val="single" w:sz="4" w:space="0" w:color="auto"/>
              <w:right w:val="single" w:sz="4" w:space="0" w:color="auto"/>
            </w:tcBorders>
            <w:shd w:val="clear" w:color="auto" w:fill="auto"/>
            <w:noWrap/>
            <w:vAlign w:val="center"/>
            <w:hideMark/>
          </w:tcPr>
          <w:p w14:paraId="3FC0873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15,079</w:t>
            </w:r>
          </w:p>
        </w:tc>
        <w:tc>
          <w:tcPr>
            <w:tcW w:w="833" w:type="dxa"/>
            <w:tcBorders>
              <w:top w:val="nil"/>
              <w:left w:val="nil"/>
              <w:bottom w:val="single" w:sz="4" w:space="0" w:color="auto"/>
              <w:right w:val="single" w:sz="4" w:space="0" w:color="auto"/>
            </w:tcBorders>
            <w:shd w:val="clear" w:color="auto" w:fill="auto"/>
            <w:noWrap/>
            <w:vAlign w:val="center"/>
            <w:hideMark/>
          </w:tcPr>
          <w:p w14:paraId="58115C3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D0CA6F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96F2A6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8BA79E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44E252A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989A71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70DAD4D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15,079</w:t>
            </w:r>
          </w:p>
        </w:tc>
        <w:tc>
          <w:tcPr>
            <w:tcW w:w="833" w:type="dxa"/>
            <w:tcBorders>
              <w:top w:val="nil"/>
              <w:left w:val="nil"/>
              <w:bottom w:val="single" w:sz="4" w:space="0" w:color="auto"/>
              <w:right w:val="single" w:sz="4" w:space="0" w:color="auto"/>
            </w:tcBorders>
            <w:shd w:val="clear" w:color="auto" w:fill="auto"/>
            <w:noWrap/>
            <w:vAlign w:val="center"/>
            <w:hideMark/>
          </w:tcPr>
          <w:p w14:paraId="16245FF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15,456</w:t>
            </w:r>
          </w:p>
        </w:tc>
        <w:tc>
          <w:tcPr>
            <w:tcW w:w="833" w:type="dxa"/>
            <w:tcBorders>
              <w:top w:val="nil"/>
              <w:left w:val="nil"/>
              <w:bottom w:val="single" w:sz="4" w:space="0" w:color="auto"/>
              <w:right w:val="single" w:sz="4" w:space="0" w:color="auto"/>
            </w:tcBorders>
            <w:shd w:val="clear" w:color="auto" w:fill="auto"/>
            <w:noWrap/>
            <w:vAlign w:val="center"/>
            <w:hideMark/>
          </w:tcPr>
          <w:p w14:paraId="0C82B6E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0DAEFDB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D48AB8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7EA180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AA90CF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263A86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343FC87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15,456</w:t>
            </w:r>
          </w:p>
        </w:tc>
      </w:tr>
      <w:tr w:rsidR="008428AF" w:rsidRPr="00B469AB" w14:paraId="1E2630FA" w14:textId="77777777" w:rsidTr="004A20FD">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050C758"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Plenary Health Ccc Pty Ltd</w:t>
            </w:r>
          </w:p>
        </w:tc>
        <w:tc>
          <w:tcPr>
            <w:tcW w:w="832" w:type="dxa"/>
            <w:tcBorders>
              <w:top w:val="nil"/>
              <w:left w:val="nil"/>
              <w:bottom w:val="single" w:sz="4" w:space="0" w:color="auto"/>
              <w:right w:val="single" w:sz="4" w:space="0" w:color="auto"/>
            </w:tcBorders>
            <w:shd w:val="clear" w:color="auto" w:fill="auto"/>
            <w:noWrap/>
            <w:vAlign w:val="center"/>
            <w:hideMark/>
          </w:tcPr>
          <w:p w14:paraId="25FC4FA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97,039</w:t>
            </w:r>
          </w:p>
        </w:tc>
        <w:tc>
          <w:tcPr>
            <w:tcW w:w="833" w:type="dxa"/>
            <w:tcBorders>
              <w:top w:val="nil"/>
              <w:left w:val="nil"/>
              <w:bottom w:val="single" w:sz="4" w:space="0" w:color="auto"/>
              <w:right w:val="single" w:sz="4" w:space="0" w:color="auto"/>
            </w:tcBorders>
            <w:shd w:val="clear" w:color="auto" w:fill="auto"/>
            <w:noWrap/>
            <w:vAlign w:val="center"/>
            <w:hideMark/>
          </w:tcPr>
          <w:p w14:paraId="5B8803C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C066BF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D67FDA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97AC83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0660744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D58758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05A23B7A"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97,039</w:t>
            </w:r>
          </w:p>
        </w:tc>
        <w:tc>
          <w:tcPr>
            <w:tcW w:w="833" w:type="dxa"/>
            <w:tcBorders>
              <w:top w:val="nil"/>
              <w:left w:val="nil"/>
              <w:bottom w:val="single" w:sz="4" w:space="0" w:color="auto"/>
              <w:right w:val="single" w:sz="4" w:space="0" w:color="auto"/>
            </w:tcBorders>
            <w:shd w:val="clear" w:color="auto" w:fill="auto"/>
            <w:noWrap/>
            <w:vAlign w:val="center"/>
            <w:hideMark/>
          </w:tcPr>
          <w:p w14:paraId="3BD072F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59,698</w:t>
            </w:r>
          </w:p>
        </w:tc>
        <w:tc>
          <w:tcPr>
            <w:tcW w:w="833" w:type="dxa"/>
            <w:tcBorders>
              <w:top w:val="nil"/>
              <w:left w:val="nil"/>
              <w:bottom w:val="single" w:sz="4" w:space="0" w:color="auto"/>
              <w:right w:val="single" w:sz="4" w:space="0" w:color="auto"/>
            </w:tcBorders>
            <w:shd w:val="clear" w:color="auto" w:fill="auto"/>
            <w:noWrap/>
            <w:vAlign w:val="center"/>
            <w:hideMark/>
          </w:tcPr>
          <w:p w14:paraId="46D737A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4980192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250D7A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26F467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1EF20A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DC5070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1AAA9BC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59,698</w:t>
            </w:r>
          </w:p>
        </w:tc>
      </w:tr>
      <w:tr w:rsidR="008428AF" w:rsidRPr="00B469AB" w14:paraId="495E52B0" w14:textId="77777777" w:rsidTr="004A20FD">
        <w:trPr>
          <w:trHeight w:val="39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A31B5F2"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Plenary Health Chep Pty Ltd (Non Gst)</w:t>
            </w:r>
          </w:p>
        </w:tc>
        <w:tc>
          <w:tcPr>
            <w:tcW w:w="832" w:type="dxa"/>
            <w:tcBorders>
              <w:top w:val="nil"/>
              <w:left w:val="nil"/>
              <w:bottom w:val="single" w:sz="4" w:space="0" w:color="auto"/>
              <w:right w:val="single" w:sz="4" w:space="0" w:color="auto"/>
            </w:tcBorders>
            <w:shd w:val="clear" w:color="auto" w:fill="auto"/>
            <w:noWrap/>
            <w:vAlign w:val="center"/>
            <w:hideMark/>
          </w:tcPr>
          <w:p w14:paraId="201DD79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5,804</w:t>
            </w:r>
          </w:p>
        </w:tc>
        <w:tc>
          <w:tcPr>
            <w:tcW w:w="833" w:type="dxa"/>
            <w:tcBorders>
              <w:top w:val="nil"/>
              <w:left w:val="nil"/>
              <w:bottom w:val="single" w:sz="4" w:space="0" w:color="auto"/>
              <w:right w:val="single" w:sz="4" w:space="0" w:color="auto"/>
            </w:tcBorders>
            <w:shd w:val="clear" w:color="auto" w:fill="auto"/>
            <w:noWrap/>
            <w:vAlign w:val="center"/>
            <w:hideMark/>
          </w:tcPr>
          <w:p w14:paraId="33E3703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75439E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53E49E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1A60DD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4A6DD2A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72378A4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57C0299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5,804</w:t>
            </w:r>
          </w:p>
        </w:tc>
        <w:tc>
          <w:tcPr>
            <w:tcW w:w="833" w:type="dxa"/>
            <w:tcBorders>
              <w:top w:val="nil"/>
              <w:left w:val="nil"/>
              <w:bottom w:val="single" w:sz="4" w:space="0" w:color="auto"/>
              <w:right w:val="single" w:sz="4" w:space="0" w:color="auto"/>
            </w:tcBorders>
            <w:shd w:val="clear" w:color="auto" w:fill="auto"/>
            <w:noWrap/>
            <w:vAlign w:val="center"/>
            <w:hideMark/>
          </w:tcPr>
          <w:p w14:paraId="0209873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5,707</w:t>
            </w:r>
          </w:p>
        </w:tc>
        <w:tc>
          <w:tcPr>
            <w:tcW w:w="833" w:type="dxa"/>
            <w:tcBorders>
              <w:top w:val="nil"/>
              <w:left w:val="nil"/>
              <w:bottom w:val="single" w:sz="4" w:space="0" w:color="auto"/>
              <w:right w:val="single" w:sz="4" w:space="0" w:color="auto"/>
            </w:tcBorders>
            <w:shd w:val="clear" w:color="auto" w:fill="auto"/>
            <w:noWrap/>
            <w:vAlign w:val="center"/>
            <w:hideMark/>
          </w:tcPr>
          <w:p w14:paraId="4295034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69AB7A6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7283E0C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8538CA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847086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8194FC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2E1727CB"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5,707</w:t>
            </w:r>
          </w:p>
        </w:tc>
      </w:tr>
      <w:tr w:rsidR="008428AF" w:rsidRPr="00B469AB" w14:paraId="05472D3E" w14:textId="77777777" w:rsidTr="004A20FD">
        <w:trPr>
          <w:trHeight w:val="39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2970FC4"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Postgraduate Medical Council Of Victoria</w:t>
            </w:r>
          </w:p>
        </w:tc>
        <w:tc>
          <w:tcPr>
            <w:tcW w:w="832" w:type="dxa"/>
            <w:tcBorders>
              <w:top w:val="nil"/>
              <w:left w:val="nil"/>
              <w:bottom w:val="single" w:sz="4" w:space="0" w:color="auto"/>
              <w:right w:val="single" w:sz="4" w:space="0" w:color="auto"/>
            </w:tcBorders>
            <w:shd w:val="clear" w:color="auto" w:fill="auto"/>
            <w:noWrap/>
            <w:vAlign w:val="center"/>
            <w:hideMark/>
          </w:tcPr>
          <w:p w14:paraId="3844A64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3,187</w:t>
            </w:r>
          </w:p>
        </w:tc>
        <w:tc>
          <w:tcPr>
            <w:tcW w:w="833" w:type="dxa"/>
            <w:tcBorders>
              <w:top w:val="nil"/>
              <w:left w:val="nil"/>
              <w:bottom w:val="single" w:sz="4" w:space="0" w:color="auto"/>
              <w:right w:val="single" w:sz="4" w:space="0" w:color="auto"/>
            </w:tcBorders>
            <w:shd w:val="clear" w:color="auto" w:fill="auto"/>
            <w:noWrap/>
            <w:vAlign w:val="center"/>
            <w:hideMark/>
          </w:tcPr>
          <w:p w14:paraId="3CAB9DA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ECAE6E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90A103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21C694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56FF2F6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6C9F96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5D72AC3A"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3,187</w:t>
            </w:r>
          </w:p>
        </w:tc>
        <w:tc>
          <w:tcPr>
            <w:tcW w:w="833" w:type="dxa"/>
            <w:tcBorders>
              <w:top w:val="nil"/>
              <w:left w:val="nil"/>
              <w:bottom w:val="single" w:sz="4" w:space="0" w:color="auto"/>
              <w:right w:val="single" w:sz="4" w:space="0" w:color="auto"/>
            </w:tcBorders>
            <w:shd w:val="clear" w:color="auto" w:fill="auto"/>
            <w:noWrap/>
            <w:vAlign w:val="center"/>
            <w:hideMark/>
          </w:tcPr>
          <w:p w14:paraId="134620E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1,610</w:t>
            </w:r>
          </w:p>
        </w:tc>
        <w:tc>
          <w:tcPr>
            <w:tcW w:w="833" w:type="dxa"/>
            <w:tcBorders>
              <w:top w:val="nil"/>
              <w:left w:val="nil"/>
              <w:bottom w:val="single" w:sz="4" w:space="0" w:color="auto"/>
              <w:right w:val="single" w:sz="4" w:space="0" w:color="auto"/>
            </w:tcBorders>
            <w:shd w:val="clear" w:color="auto" w:fill="auto"/>
            <w:noWrap/>
            <w:vAlign w:val="center"/>
            <w:hideMark/>
          </w:tcPr>
          <w:p w14:paraId="04695D7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593286E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26D1C8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EEB9EF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03E274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B74919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12028223"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1,610</w:t>
            </w:r>
          </w:p>
        </w:tc>
      </w:tr>
      <w:tr w:rsidR="008428AF" w:rsidRPr="00B469AB" w14:paraId="356C74AD" w14:textId="77777777" w:rsidTr="004A20FD">
        <w:trPr>
          <w:trHeight w:val="39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69F63AA"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Rw Health Partnerships Pty Ltd</w:t>
            </w:r>
          </w:p>
        </w:tc>
        <w:tc>
          <w:tcPr>
            <w:tcW w:w="832" w:type="dxa"/>
            <w:tcBorders>
              <w:top w:val="nil"/>
              <w:left w:val="nil"/>
              <w:bottom w:val="single" w:sz="4" w:space="0" w:color="auto"/>
              <w:right w:val="single" w:sz="4" w:space="0" w:color="auto"/>
            </w:tcBorders>
            <w:shd w:val="clear" w:color="auto" w:fill="auto"/>
            <w:noWrap/>
            <w:vAlign w:val="center"/>
            <w:hideMark/>
          </w:tcPr>
          <w:p w14:paraId="7BBF36D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34,239</w:t>
            </w:r>
          </w:p>
        </w:tc>
        <w:tc>
          <w:tcPr>
            <w:tcW w:w="833" w:type="dxa"/>
            <w:tcBorders>
              <w:top w:val="nil"/>
              <w:left w:val="nil"/>
              <w:bottom w:val="single" w:sz="4" w:space="0" w:color="auto"/>
              <w:right w:val="single" w:sz="4" w:space="0" w:color="auto"/>
            </w:tcBorders>
            <w:shd w:val="clear" w:color="auto" w:fill="auto"/>
            <w:noWrap/>
            <w:vAlign w:val="center"/>
            <w:hideMark/>
          </w:tcPr>
          <w:p w14:paraId="71A6C36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5A2E10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749F42D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CD55ED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40A46BC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7EC8371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61F6603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34,239</w:t>
            </w:r>
          </w:p>
        </w:tc>
        <w:tc>
          <w:tcPr>
            <w:tcW w:w="833" w:type="dxa"/>
            <w:tcBorders>
              <w:top w:val="nil"/>
              <w:left w:val="nil"/>
              <w:bottom w:val="single" w:sz="4" w:space="0" w:color="auto"/>
              <w:right w:val="single" w:sz="4" w:space="0" w:color="auto"/>
            </w:tcBorders>
            <w:shd w:val="clear" w:color="auto" w:fill="auto"/>
            <w:noWrap/>
            <w:vAlign w:val="center"/>
            <w:hideMark/>
          </w:tcPr>
          <w:p w14:paraId="43D62FB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34,536</w:t>
            </w:r>
          </w:p>
        </w:tc>
        <w:tc>
          <w:tcPr>
            <w:tcW w:w="833" w:type="dxa"/>
            <w:tcBorders>
              <w:top w:val="nil"/>
              <w:left w:val="nil"/>
              <w:bottom w:val="single" w:sz="4" w:space="0" w:color="auto"/>
              <w:right w:val="single" w:sz="4" w:space="0" w:color="auto"/>
            </w:tcBorders>
            <w:shd w:val="clear" w:color="auto" w:fill="auto"/>
            <w:noWrap/>
            <w:vAlign w:val="center"/>
            <w:hideMark/>
          </w:tcPr>
          <w:p w14:paraId="0AF1647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69A8BD3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96ED9F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7CACB86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92B92A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7A4CEF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38A53845"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34,536</w:t>
            </w:r>
          </w:p>
        </w:tc>
      </w:tr>
      <w:tr w:rsidR="008428AF" w:rsidRPr="00B469AB" w14:paraId="40143E5B" w14:textId="77777777" w:rsidTr="004A20FD">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CC4E0E0"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Satellite Foundation</w:t>
            </w:r>
          </w:p>
        </w:tc>
        <w:tc>
          <w:tcPr>
            <w:tcW w:w="832" w:type="dxa"/>
            <w:tcBorders>
              <w:top w:val="nil"/>
              <w:left w:val="nil"/>
              <w:bottom w:val="single" w:sz="4" w:space="0" w:color="auto"/>
              <w:right w:val="single" w:sz="4" w:space="0" w:color="auto"/>
            </w:tcBorders>
            <w:shd w:val="clear" w:color="auto" w:fill="auto"/>
            <w:noWrap/>
            <w:vAlign w:val="center"/>
            <w:hideMark/>
          </w:tcPr>
          <w:p w14:paraId="47F3A48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8FC916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C62467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136830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34E3D3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2,203</w:t>
            </w:r>
          </w:p>
        </w:tc>
        <w:tc>
          <w:tcPr>
            <w:tcW w:w="832" w:type="dxa"/>
            <w:tcBorders>
              <w:top w:val="nil"/>
              <w:left w:val="nil"/>
              <w:bottom w:val="single" w:sz="4" w:space="0" w:color="auto"/>
              <w:right w:val="single" w:sz="4" w:space="0" w:color="auto"/>
            </w:tcBorders>
            <w:shd w:val="clear" w:color="auto" w:fill="auto"/>
            <w:noWrap/>
            <w:vAlign w:val="center"/>
            <w:hideMark/>
          </w:tcPr>
          <w:p w14:paraId="2B8E9F3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97E40E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1B8D4599"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2,203</w:t>
            </w:r>
          </w:p>
        </w:tc>
        <w:tc>
          <w:tcPr>
            <w:tcW w:w="833" w:type="dxa"/>
            <w:tcBorders>
              <w:top w:val="nil"/>
              <w:left w:val="nil"/>
              <w:bottom w:val="single" w:sz="4" w:space="0" w:color="auto"/>
              <w:right w:val="single" w:sz="4" w:space="0" w:color="auto"/>
            </w:tcBorders>
            <w:shd w:val="clear" w:color="auto" w:fill="auto"/>
            <w:noWrap/>
            <w:vAlign w:val="center"/>
            <w:hideMark/>
          </w:tcPr>
          <w:p w14:paraId="15B3CA5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D66113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3FAF723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8BDEF9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99D498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3,988</w:t>
            </w:r>
          </w:p>
        </w:tc>
        <w:tc>
          <w:tcPr>
            <w:tcW w:w="833" w:type="dxa"/>
            <w:tcBorders>
              <w:top w:val="nil"/>
              <w:left w:val="nil"/>
              <w:bottom w:val="single" w:sz="4" w:space="0" w:color="auto"/>
              <w:right w:val="single" w:sz="4" w:space="0" w:color="auto"/>
            </w:tcBorders>
            <w:shd w:val="clear" w:color="auto" w:fill="auto"/>
            <w:noWrap/>
            <w:vAlign w:val="center"/>
            <w:hideMark/>
          </w:tcPr>
          <w:p w14:paraId="62197E9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719CDC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03F744BA"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3,988</w:t>
            </w:r>
          </w:p>
        </w:tc>
      </w:tr>
      <w:tr w:rsidR="008428AF" w:rsidRPr="00B469AB" w14:paraId="6D3D3455" w14:textId="77777777" w:rsidTr="004A20FD">
        <w:trPr>
          <w:trHeight w:val="39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3A8F808"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South East Palliative Care Ltd</w:t>
            </w:r>
          </w:p>
        </w:tc>
        <w:tc>
          <w:tcPr>
            <w:tcW w:w="832" w:type="dxa"/>
            <w:tcBorders>
              <w:top w:val="nil"/>
              <w:left w:val="nil"/>
              <w:bottom w:val="single" w:sz="4" w:space="0" w:color="auto"/>
              <w:right w:val="single" w:sz="4" w:space="0" w:color="auto"/>
            </w:tcBorders>
            <w:shd w:val="clear" w:color="auto" w:fill="auto"/>
            <w:noWrap/>
            <w:vAlign w:val="center"/>
            <w:hideMark/>
          </w:tcPr>
          <w:p w14:paraId="644035F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6,958</w:t>
            </w:r>
          </w:p>
        </w:tc>
        <w:tc>
          <w:tcPr>
            <w:tcW w:w="833" w:type="dxa"/>
            <w:tcBorders>
              <w:top w:val="nil"/>
              <w:left w:val="nil"/>
              <w:bottom w:val="single" w:sz="4" w:space="0" w:color="auto"/>
              <w:right w:val="single" w:sz="4" w:space="0" w:color="auto"/>
            </w:tcBorders>
            <w:shd w:val="clear" w:color="auto" w:fill="auto"/>
            <w:noWrap/>
            <w:vAlign w:val="center"/>
            <w:hideMark/>
          </w:tcPr>
          <w:p w14:paraId="0E63A75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0168CB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C2039F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B5CA68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4C6C5A4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73D1726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451F7E63"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6,958</w:t>
            </w:r>
          </w:p>
        </w:tc>
        <w:tc>
          <w:tcPr>
            <w:tcW w:w="833" w:type="dxa"/>
            <w:tcBorders>
              <w:top w:val="nil"/>
              <w:left w:val="nil"/>
              <w:bottom w:val="single" w:sz="4" w:space="0" w:color="auto"/>
              <w:right w:val="single" w:sz="4" w:space="0" w:color="auto"/>
            </w:tcBorders>
            <w:shd w:val="clear" w:color="auto" w:fill="auto"/>
            <w:noWrap/>
            <w:vAlign w:val="center"/>
            <w:hideMark/>
          </w:tcPr>
          <w:p w14:paraId="64407E3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6,637</w:t>
            </w:r>
          </w:p>
        </w:tc>
        <w:tc>
          <w:tcPr>
            <w:tcW w:w="833" w:type="dxa"/>
            <w:tcBorders>
              <w:top w:val="nil"/>
              <w:left w:val="nil"/>
              <w:bottom w:val="single" w:sz="4" w:space="0" w:color="auto"/>
              <w:right w:val="single" w:sz="4" w:space="0" w:color="auto"/>
            </w:tcBorders>
            <w:shd w:val="clear" w:color="auto" w:fill="auto"/>
            <w:noWrap/>
            <w:vAlign w:val="center"/>
            <w:hideMark/>
          </w:tcPr>
          <w:p w14:paraId="1936230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4CEA755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9A58F5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F78973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04D923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AEFFAA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337010B1"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6,637</w:t>
            </w:r>
          </w:p>
        </w:tc>
      </w:tr>
      <w:tr w:rsidR="008428AF" w:rsidRPr="00B469AB" w14:paraId="4DC0C981" w14:textId="77777777" w:rsidTr="004A20FD">
        <w:trPr>
          <w:trHeight w:val="39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00D9F82"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St Vincents Institute Of Medical Research</w:t>
            </w:r>
          </w:p>
        </w:tc>
        <w:tc>
          <w:tcPr>
            <w:tcW w:w="832" w:type="dxa"/>
            <w:tcBorders>
              <w:top w:val="nil"/>
              <w:left w:val="nil"/>
              <w:bottom w:val="single" w:sz="4" w:space="0" w:color="auto"/>
              <w:right w:val="single" w:sz="4" w:space="0" w:color="auto"/>
            </w:tcBorders>
            <w:shd w:val="clear" w:color="auto" w:fill="auto"/>
            <w:noWrap/>
            <w:vAlign w:val="center"/>
            <w:hideMark/>
          </w:tcPr>
          <w:p w14:paraId="05AD172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388</w:t>
            </w:r>
          </w:p>
        </w:tc>
        <w:tc>
          <w:tcPr>
            <w:tcW w:w="833" w:type="dxa"/>
            <w:tcBorders>
              <w:top w:val="nil"/>
              <w:left w:val="nil"/>
              <w:bottom w:val="single" w:sz="4" w:space="0" w:color="auto"/>
              <w:right w:val="single" w:sz="4" w:space="0" w:color="auto"/>
            </w:tcBorders>
            <w:shd w:val="clear" w:color="auto" w:fill="auto"/>
            <w:noWrap/>
            <w:vAlign w:val="center"/>
            <w:hideMark/>
          </w:tcPr>
          <w:p w14:paraId="5C5E976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3E3088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7CB398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A69B32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040A95D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524300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78544AB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388</w:t>
            </w:r>
          </w:p>
        </w:tc>
        <w:tc>
          <w:tcPr>
            <w:tcW w:w="833" w:type="dxa"/>
            <w:tcBorders>
              <w:top w:val="nil"/>
              <w:left w:val="nil"/>
              <w:bottom w:val="single" w:sz="4" w:space="0" w:color="auto"/>
              <w:right w:val="single" w:sz="4" w:space="0" w:color="auto"/>
            </w:tcBorders>
            <w:shd w:val="clear" w:color="auto" w:fill="auto"/>
            <w:noWrap/>
            <w:vAlign w:val="center"/>
            <w:hideMark/>
          </w:tcPr>
          <w:p w14:paraId="54C3798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238</w:t>
            </w:r>
          </w:p>
        </w:tc>
        <w:tc>
          <w:tcPr>
            <w:tcW w:w="833" w:type="dxa"/>
            <w:tcBorders>
              <w:top w:val="nil"/>
              <w:left w:val="nil"/>
              <w:bottom w:val="single" w:sz="4" w:space="0" w:color="auto"/>
              <w:right w:val="single" w:sz="4" w:space="0" w:color="auto"/>
            </w:tcBorders>
            <w:shd w:val="clear" w:color="auto" w:fill="auto"/>
            <w:noWrap/>
            <w:vAlign w:val="center"/>
            <w:hideMark/>
          </w:tcPr>
          <w:p w14:paraId="6A1A975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192D009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E7D1AE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07D7BD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7904A6D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282829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829</w:t>
            </w:r>
          </w:p>
        </w:tc>
        <w:tc>
          <w:tcPr>
            <w:tcW w:w="974" w:type="dxa"/>
            <w:tcBorders>
              <w:top w:val="nil"/>
              <w:left w:val="nil"/>
              <w:bottom w:val="single" w:sz="4" w:space="0" w:color="auto"/>
              <w:right w:val="single" w:sz="4" w:space="0" w:color="auto"/>
            </w:tcBorders>
            <w:shd w:val="clear" w:color="auto" w:fill="auto"/>
            <w:noWrap/>
            <w:vAlign w:val="center"/>
            <w:hideMark/>
          </w:tcPr>
          <w:p w14:paraId="23D8C315"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1,067</w:t>
            </w:r>
          </w:p>
        </w:tc>
      </w:tr>
      <w:tr w:rsidR="008428AF" w:rsidRPr="00B469AB" w14:paraId="30B133F6" w14:textId="77777777" w:rsidTr="004A20FD">
        <w:trPr>
          <w:trHeight w:val="58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7FF41A3"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Stephanie Alexander Kitchen Garden Foundation</w:t>
            </w:r>
          </w:p>
        </w:tc>
        <w:tc>
          <w:tcPr>
            <w:tcW w:w="832" w:type="dxa"/>
            <w:tcBorders>
              <w:top w:val="nil"/>
              <w:left w:val="nil"/>
              <w:bottom w:val="single" w:sz="4" w:space="0" w:color="auto"/>
              <w:right w:val="single" w:sz="4" w:space="0" w:color="auto"/>
            </w:tcBorders>
            <w:shd w:val="clear" w:color="auto" w:fill="auto"/>
            <w:noWrap/>
            <w:vAlign w:val="center"/>
            <w:hideMark/>
          </w:tcPr>
          <w:p w14:paraId="1685FA0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CD4F8D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15C23D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6D76B4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13B9F3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7758FD0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BEF671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2,467</w:t>
            </w:r>
          </w:p>
        </w:tc>
        <w:tc>
          <w:tcPr>
            <w:tcW w:w="975" w:type="dxa"/>
            <w:tcBorders>
              <w:top w:val="nil"/>
              <w:left w:val="nil"/>
              <w:bottom w:val="single" w:sz="4" w:space="0" w:color="auto"/>
              <w:right w:val="single" w:sz="4" w:space="0" w:color="auto"/>
            </w:tcBorders>
            <w:shd w:val="clear" w:color="auto" w:fill="auto"/>
            <w:noWrap/>
            <w:vAlign w:val="center"/>
            <w:hideMark/>
          </w:tcPr>
          <w:p w14:paraId="1A52685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2,467</w:t>
            </w:r>
          </w:p>
        </w:tc>
        <w:tc>
          <w:tcPr>
            <w:tcW w:w="833" w:type="dxa"/>
            <w:tcBorders>
              <w:top w:val="nil"/>
              <w:left w:val="nil"/>
              <w:bottom w:val="single" w:sz="4" w:space="0" w:color="auto"/>
              <w:right w:val="single" w:sz="4" w:space="0" w:color="auto"/>
            </w:tcBorders>
            <w:shd w:val="clear" w:color="auto" w:fill="auto"/>
            <w:noWrap/>
            <w:vAlign w:val="center"/>
            <w:hideMark/>
          </w:tcPr>
          <w:p w14:paraId="667AD2E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0F9282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41864A4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7DBF45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C3954B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E73E9A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FD7076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2,467</w:t>
            </w:r>
          </w:p>
        </w:tc>
        <w:tc>
          <w:tcPr>
            <w:tcW w:w="974" w:type="dxa"/>
            <w:tcBorders>
              <w:top w:val="nil"/>
              <w:left w:val="nil"/>
              <w:bottom w:val="single" w:sz="4" w:space="0" w:color="auto"/>
              <w:right w:val="single" w:sz="4" w:space="0" w:color="auto"/>
            </w:tcBorders>
            <w:shd w:val="clear" w:color="auto" w:fill="auto"/>
            <w:noWrap/>
            <w:vAlign w:val="center"/>
            <w:hideMark/>
          </w:tcPr>
          <w:p w14:paraId="6743D78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2,467</w:t>
            </w:r>
          </w:p>
        </w:tc>
      </w:tr>
      <w:tr w:rsidR="008428AF" w:rsidRPr="00B469AB" w14:paraId="036B869F" w14:textId="77777777" w:rsidTr="004A20FD">
        <w:trPr>
          <w:trHeight w:val="58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92321E3"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The Florey Institute Of Neuroscience And Mental Health</w:t>
            </w:r>
          </w:p>
        </w:tc>
        <w:tc>
          <w:tcPr>
            <w:tcW w:w="832" w:type="dxa"/>
            <w:tcBorders>
              <w:top w:val="nil"/>
              <w:left w:val="nil"/>
              <w:bottom w:val="single" w:sz="4" w:space="0" w:color="auto"/>
              <w:right w:val="single" w:sz="4" w:space="0" w:color="auto"/>
            </w:tcBorders>
            <w:shd w:val="clear" w:color="auto" w:fill="auto"/>
            <w:noWrap/>
            <w:vAlign w:val="center"/>
            <w:hideMark/>
          </w:tcPr>
          <w:p w14:paraId="73D7B9C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297</w:t>
            </w:r>
          </w:p>
        </w:tc>
        <w:tc>
          <w:tcPr>
            <w:tcW w:w="833" w:type="dxa"/>
            <w:tcBorders>
              <w:top w:val="nil"/>
              <w:left w:val="nil"/>
              <w:bottom w:val="single" w:sz="4" w:space="0" w:color="auto"/>
              <w:right w:val="single" w:sz="4" w:space="0" w:color="auto"/>
            </w:tcBorders>
            <w:shd w:val="clear" w:color="auto" w:fill="auto"/>
            <w:noWrap/>
            <w:vAlign w:val="center"/>
            <w:hideMark/>
          </w:tcPr>
          <w:p w14:paraId="36002AD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F776E1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3C6495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8F9175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1,667</w:t>
            </w:r>
          </w:p>
        </w:tc>
        <w:tc>
          <w:tcPr>
            <w:tcW w:w="832" w:type="dxa"/>
            <w:tcBorders>
              <w:top w:val="nil"/>
              <w:left w:val="nil"/>
              <w:bottom w:val="single" w:sz="4" w:space="0" w:color="auto"/>
              <w:right w:val="single" w:sz="4" w:space="0" w:color="auto"/>
            </w:tcBorders>
            <w:shd w:val="clear" w:color="auto" w:fill="auto"/>
            <w:noWrap/>
            <w:vAlign w:val="center"/>
            <w:hideMark/>
          </w:tcPr>
          <w:p w14:paraId="1700C13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302253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54598F15"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1,964</w:t>
            </w:r>
          </w:p>
        </w:tc>
        <w:tc>
          <w:tcPr>
            <w:tcW w:w="833" w:type="dxa"/>
            <w:tcBorders>
              <w:top w:val="nil"/>
              <w:left w:val="nil"/>
              <w:bottom w:val="single" w:sz="4" w:space="0" w:color="auto"/>
              <w:right w:val="single" w:sz="4" w:space="0" w:color="auto"/>
            </w:tcBorders>
            <w:shd w:val="clear" w:color="auto" w:fill="auto"/>
            <w:noWrap/>
            <w:vAlign w:val="center"/>
            <w:hideMark/>
          </w:tcPr>
          <w:p w14:paraId="0AD3010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BDA5E2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635BC3E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2767F4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6FDC04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1,706</w:t>
            </w:r>
          </w:p>
        </w:tc>
        <w:tc>
          <w:tcPr>
            <w:tcW w:w="833" w:type="dxa"/>
            <w:tcBorders>
              <w:top w:val="nil"/>
              <w:left w:val="nil"/>
              <w:bottom w:val="single" w:sz="4" w:space="0" w:color="auto"/>
              <w:right w:val="single" w:sz="4" w:space="0" w:color="auto"/>
            </w:tcBorders>
            <w:shd w:val="clear" w:color="auto" w:fill="auto"/>
            <w:noWrap/>
            <w:vAlign w:val="center"/>
            <w:hideMark/>
          </w:tcPr>
          <w:p w14:paraId="6FC541F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7D7FD3E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1,921</w:t>
            </w:r>
          </w:p>
        </w:tc>
        <w:tc>
          <w:tcPr>
            <w:tcW w:w="974" w:type="dxa"/>
            <w:tcBorders>
              <w:top w:val="nil"/>
              <w:left w:val="nil"/>
              <w:bottom w:val="single" w:sz="4" w:space="0" w:color="auto"/>
              <w:right w:val="single" w:sz="4" w:space="0" w:color="auto"/>
            </w:tcBorders>
            <w:shd w:val="clear" w:color="auto" w:fill="auto"/>
            <w:noWrap/>
            <w:vAlign w:val="center"/>
            <w:hideMark/>
          </w:tcPr>
          <w:p w14:paraId="2BF2246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3,627</w:t>
            </w:r>
          </w:p>
        </w:tc>
      </w:tr>
      <w:tr w:rsidR="008428AF" w:rsidRPr="00B469AB" w14:paraId="0FB8803A" w14:textId="77777777" w:rsidTr="004A20FD">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F183743"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The Nsw Ministry Of Health</w:t>
            </w:r>
          </w:p>
        </w:tc>
        <w:tc>
          <w:tcPr>
            <w:tcW w:w="832" w:type="dxa"/>
            <w:tcBorders>
              <w:top w:val="nil"/>
              <w:left w:val="nil"/>
              <w:bottom w:val="single" w:sz="4" w:space="0" w:color="auto"/>
              <w:right w:val="single" w:sz="4" w:space="0" w:color="auto"/>
            </w:tcBorders>
            <w:shd w:val="clear" w:color="auto" w:fill="auto"/>
            <w:noWrap/>
            <w:vAlign w:val="center"/>
            <w:hideMark/>
          </w:tcPr>
          <w:p w14:paraId="6F0CD35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17,520</w:t>
            </w:r>
          </w:p>
        </w:tc>
        <w:tc>
          <w:tcPr>
            <w:tcW w:w="833" w:type="dxa"/>
            <w:tcBorders>
              <w:top w:val="nil"/>
              <w:left w:val="nil"/>
              <w:bottom w:val="single" w:sz="4" w:space="0" w:color="auto"/>
              <w:right w:val="single" w:sz="4" w:space="0" w:color="auto"/>
            </w:tcBorders>
            <w:shd w:val="clear" w:color="auto" w:fill="auto"/>
            <w:noWrap/>
            <w:vAlign w:val="center"/>
            <w:hideMark/>
          </w:tcPr>
          <w:p w14:paraId="5A148DD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191634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19A077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D1D18F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50530F5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D819B5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1030F455"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17,520</w:t>
            </w:r>
          </w:p>
        </w:tc>
        <w:tc>
          <w:tcPr>
            <w:tcW w:w="833" w:type="dxa"/>
            <w:tcBorders>
              <w:top w:val="nil"/>
              <w:left w:val="nil"/>
              <w:bottom w:val="single" w:sz="4" w:space="0" w:color="auto"/>
              <w:right w:val="single" w:sz="4" w:space="0" w:color="auto"/>
            </w:tcBorders>
            <w:shd w:val="clear" w:color="auto" w:fill="auto"/>
            <w:noWrap/>
            <w:vAlign w:val="center"/>
            <w:hideMark/>
          </w:tcPr>
          <w:p w14:paraId="411A1C4C"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1BC6B0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54628FB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430EED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448B71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4A5555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5C7858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125987B9"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0 </w:t>
            </w:r>
          </w:p>
        </w:tc>
      </w:tr>
      <w:tr w:rsidR="008428AF" w:rsidRPr="00B469AB" w14:paraId="48B4440D" w14:textId="77777777" w:rsidTr="004A20FD">
        <w:trPr>
          <w:trHeight w:val="39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41BF781"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The Queen Elizabeth Centre</w:t>
            </w:r>
          </w:p>
        </w:tc>
        <w:tc>
          <w:tcPr>
            <w:tcW w:w="832" w:type="dxa"/>
            <w:tcBorders>
              <w:top w:val="nil"/>
              <w:left w:val="nil"/>
              <w:bottom w:val="single" w:sz="4" w:space="0" w:color="auto"/>
              <w:right w:val="single" w:sz="4" w:space="0" w:color="auto"/>
            </w:tcBorders>
            <w:shd w:val="clear" w:color="auto" w:fill="auto"/>
            <w:noWrap/>
            <w:vAlign w:val="center"/>
            <w:hideMark/>
          </w:tcPr>
          <w:p w14:paraId="2FF2DFD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777</w:t>
            </w:r>
          </w:p>
        </w:tc>
        <w:tc>
          <w:tcPr>
            <w:tcW w:w="833" w:type="dxa"/>
            <w:tcBorders>
              <w:top w:val="nil"/>
              <w:left w:val="nil"/>
              <w:bottom w:val="single" w:sz="4" w:space="0" w:color="auto"/>
              <w:right w:val="single" w:sz="4" w:space="0" w:color="auto"/>
            </w:tcBorders>
            <w:shd w:val="clear" w:color="auto" w:fill="auto"/>
            <w:noWrap/>
            <w:vAlign w:val="center"/>
            <w:hideMark/>
          </w:tcPr>
          <w:p w14:paraId="1381012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71555A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883115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73D79F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143</w:t>
            </w:r>
          </w:p>
        </w:tc>
        <w:tc>
          <w:tcPr>
            <w:tcW w:w="832" w:type="dxa"/>
            <w:tcBorders>
              <w:top w:val="nil"/>
              <w:left w:val="nil"/>
              <w:bottom w:val="single" w:sz="4" w:space="0" w:color="auto"/>
              <w:right w:val="single" w:sz="4" w:space="0" w:color="auto"/>
            </w:tcBorders>
            <w:shd w:val="clear" w:color="auto" w:fill="auto"/>
            <w:noWrap/>
            <w:vAlign w:val="center"/>
            <w:hideMark/>
          </w:tcPr>
          <w:p w14:paraId="5C7C00F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4,129</w:t>
            </w:r>
          </w:p>
        </w:tc>
        <w:tc>
          <w:tcPr>
            <w:tcW w:w="833" w:type="dxa"/>
            <w:tcBorders>
              <w:top w:val="nil"/>
              <w:left w:val="nil"/>
              <w:bottom w:val="single" w:sz="4" w:space="0" w:color="auto"/>
              <w:right w:val="single" w:sz="4" w:space="0" w:color="auto"/>
            </w:tcBorders>
            <w:shd w:val="clear" w:color="auto" w:fill="auto"/>
            <w:noWrap/>
            <w:vAlign w:val="center"/>
            <w:hideMark/>
          </w:tcPr>
          <w:p w14:paraId="1C3F067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38E6BB53"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5,049</w:t>
            </w:r>
          </w:p>
        </w:tc>
        <w:tc>
          <w:tcPr>
            <w:tcW w:w="833" w:type="dxa"/>
            <w:tcBorders>
              <w:top w:val="nil"/>
              <w:left w:val="nil"/>
              <w:bottom w:val="single" w:sz="4" w:space="0" w:color="auto"/>
              <w:right w:val="single" w:sz="4" w:space="0" w:color="auto"/>
            </w:tcBorders>
            <w:shd w:val="clear" w:color="auto" w:fill="auto"/>
            <w:noWrap/>
            <w:vAlign w:val="center"/>
            <w:hideMark/>
          </w:tcPr>
          <w:p w14:paraId="06AD215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783</w:t>
            </w:r>
          </w:p>
        </w:tc>
        <w:tc>
          <w:tcPr>
            <w:tcW w:w="833" w:type="dxa"/>
            <w:tcBorders>
              <w:top w:val="nil"/>
              <w:left w:val="nil"/>
              <w:bottom w:val="single" w:sz="4" w:space="0" w:color="auto"/>
              <w:right w:val="single" w:sz="4" w:space="0" w:color="auto"/>
            </w:tcBorders>
            <w:shd w:val="clear" w:color="auto" w:fill="auto"/>
            <w:noWrap/>
            <w:vAlign w:val="center"/>
            <w:hideMark/>
          </w:tcPr>
          <w:p w14:paraId="3AE3E2D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53811CD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B3CC87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5E42F7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146</w:t>
            </w:r>
          </w:p>
        </w:tc>
        <w:tc>
          <w:tcPr>
            <w:tcW w:w="833" w:type="dxa"/>
            <w:tcBorders>
              <w:top w:val="nil"/>
              <w:left w:val="nil"/>
              <w:bottom w:val="single" w:sz="4" w:space="0" w:color="auto"/>
              <w:right w:val="single" w:sz="4" w:space="0" w:color="auto"/>
            </w:tcBorders>
            <w:shd w:val="clear" w:color="auto" w:fill="auto"/>
            <w:noWrap/>
            <w:vAlign w:val="center"/>
            <w:hideMark/>
          </w:tcPr>
          <w:p w14:paraId="1DFDA9B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4,265</w:t>
            </w:r>
          </w:p>
        </w:tc>
        <w:tc>
          <w:tcPr>
            <w:tcW w:w="833" w:type="dxa"/>
            <w:tcBorders>
              <w:top w:val="nil"/>
              <w:left w:val="nil"/>
              <w:bottom w:val="single" w:sz="4" w:space="0" w:color="auto"/>
              <w:right w:val="single" w:sz="4" w:space="0" w:color="auto"/>
            </w:tcBorders>
            <w:shd w:val="clear" w:color="auto" w:fill="auto"/>
            <w:noWrap/>
            <w:vAlign w:val="center"/>
            <w:hideMark/>
          </w:tcPr>
          <w:p w14:paraId="2764C83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6062C88A"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5,193</w:t>
            </w:r>
          </w:p>
        </w:tc>
      </w:tr>
      <w:tr w:rsidR="008428AF" w:rsidRPr="00B469AB" w14:paraId="421B380D" w14:textId="77777777" w:rsidTr="004A20FD">
        <w:trPr>
          <w:trHeight w:val="58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6A39278"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The Walter &amp; Eliza Hall Institute Of Medical Research</w:t>
            </w:r>
          </w:p>
        </w:tc>
        <w:tc>
          <w:tcPr>
            <w:tcW w:w="832" w:type="dxa"/>
            <w:tcBorders>
              <w:top w:val="nil"/>
              <w:left w:val="nil"/>
              <w:bottom w:val="single" w:sz="4" w:space="0" w:color="auto"/>
              <w:right w:val="single" w:sz="4" w:space="0" w:color="auto"/>
            </w:tcBorders>
            <w:shd w:val="clear" w:color="auto" w:fill="auto"/>
            <w:noWrap/>
            <w:vAlign w:val="center"/>
            <w:hideMark/>
          </w:tcPr>
          <w:p w14:paraId="0C36E71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1,074</w:t>
            </w:r>
          </w:p>
        </w:tc>
        <w:tc>
          <w:tcPr>
            <w:tcW w:w="833" w:type="dxa"/>
            <w:tcBorders>
              <w:top w:val="nil"/>
              <w:left w:val="nil"/>
              <w:bottom w:val="single" w:sz="4" w:space="0" w:color="auto"/>
              <w:right w:val="single" w:sz="4" w:space="0" w:color="auto"/>
            </w:tcBorders>
            <w:shd w:val="clear" w:color="auto" w:fill="auto"/>
            <w:noWrap/>
            <w:vAlign w:val="center"/>
            <w:hideMark/>
          </w:tcPr>
          <w:p w14:paraId="314BA9C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EBE1EE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EB3457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E7C30F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5D6EFB3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5A899D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3022A8AB"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1,074</w:t>
            </w:r>
          </w:p>
        </w:tc>
        <w:tc>
          <w:tcPr>
            <w:tcW w:w="833" w:type="dxa"/>
            <w:tcBorders>
              <w:top w:val="nil"/>
              <w:left w:val="nil"/>
              <w:bottom w:val="single" w:sz="4" w:space="0" w:color="auto"/>
              <w:right w:val="single" w:sz="4" w:space="0" w:color="auto"/>
            </w:tcBorders>
            <w:shd w:val="clear" w:color="auto" w:fill="auto"/>
            <w:noWrap/>
            <w:vAlign w:val="center"/>
            <w:hideMark/>
          </w:tcPr>
          <w:p w14:paraId="3CAD809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424</w:t>
            </w:r>
          </w:p>
        </w:tc>
        <w:tc>
          <w:tcPr>
            <w:tcW w:w="833" w:type="dxa"/>
            <w:tcBorders>
              <w:top w:val="nil"/>
              <w:left w:val="nil"/>
              <w:bottom w:val="single" w:sz="4" w:space="0" w:color="auto"/>
              <w:right w:val="single" w:sz="4" w:space="0" w:color="auto"/>
            </w:tcBorders>
            <w:shd w:val="clear" w:color="auto" w:fill="auto"/>
            <w:noWrap/>
            <w:vAlign w:val="center"/>
            <w:hideMark/>
          </w:tcPr>
          <w:p w14:paraId="672BCE5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1698C2F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7D7D51C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BB63DE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971398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77B7F65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4,423</w:t>
            </w:r>
          </w:p>
        </w:tc>
        <w:tc>
          <w:tcPr>
            <w:tcW w:w="974" w:type="dxa"/>
            <w:tcBorders>
              <w:top w:val="nil"/>
              <w:left w:val="nil"/>
              <w:bottom w:val="single" w:sz="4" w:space="0" w:color="auto"/>
              <w:right w:val="single" w:sz="4" w:space="0" w:color="auto"/>
            </w:tcBorders>
            <w:shd w:val="clear" w:color="auto" w:fill="auto"/>
            <w:noWrap/>
            <w:vAlign w:val="center"/>
            <w:hideMark/>
          </w:tcPr>
          <w:p w14:paraId="677301DC"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4,847</w:t>
            </w:r>
          </w:p>
        </w:tc>
      </w:tr>
      <w:tr w:rsidR="008428AF" w:rsidRPr="00B469AB" w14:paraId="0A3AFDD2" w14:textId="77777777" w:rsidTr="004A20FD">
        <w:trPr>
          <w:trHeight w:val="39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942307A"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Tweddle Child &amp; Family Health Service</w:t>
            </w:r>
          </w:p>
        </w:tc>
        <w:tc>
          <w:tcPr>
            <w:tcW w:w="832" w:type="dxa"/>
            <w:tcBorders>
              <w:top w:val="nil"/>
              <w:left w:val="nil"/>
              <w:bottom w:val="single" w:sz="4" w:space="0" w:color="auto"/>
              <w:right w:val="single" w:sz="4" w:space="0" w:color="auto"/>
            </w:tcBorders>
            <w:shd w:val="clear" w:color="auto" w:fill="auto"/>
            <w:noWrap/>
            <w:vAlign w:val="center"/>
            <w:hideMark/>
          </w:tcPr>
          <w:p w14:paraId="6B4A856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317</w:t>
            </w:r>
          </w:p>
        </w:tc>
        <w:tc>
          <w:tcPr>
            <w:tcW w:w="833" w:type="dxa"/>
            <w:tcBorders>
              <w:top w:val="nil"/>
              <w:left w:val="nil"/>
              <w:bottom w:val="single" w:sz="4" w:space="0" w:color="auto"/>
              <w:right w:val="single" w:sz="4" w:space="0" w:color="auto"/>
            </w:tcBorders>
            <w:shd w:val="clear" w:color="auto" w:fill="auto"/>
            <w:noWrap/>
            <w:vAlign w:val="center"/>
            <w:hideMark/>
          </w:tcPr>
          <w:p w14:paraId="24ED568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401E42A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3EFDBE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3D51C7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146</w:t>
            </w:r>
          </w:p>
        </w:tc>
        <w:tc>
          <w:tcPr>
            <w:tcW w:w="832" w:type="dxa"/>
            <w:tcBorders>
              <w:top w:val="nil"/>
              <w:left w:val="nil"/>
              <w:bottom w:val="single" w:sz="4" w:space="0" w:color="auto"/>
              <w:right w:val="single" w:sz="4" w:space="0" w:color="auto"/>
            </w:tcBorders>
            <w:shd w:val="clear" w:color="auto" w:fill="auto"/>
            <w:noWrap/>
            <w:vAlign w:val="center"/>
            <w:hideMark/>
          </w:tcPr>
          <w:p w14:paraId="21B0F2D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3,830</w:t>
            </w:r>
          </w:p>
        </w:tc>
        <w:tc>
          <w:tcPr>
            <w:tcW w:w="833" w:type="dxa"/>
            <w:tcBorders>
              <w:top w:val="nil"/>
              <w:left w:val="nil"/>
              <w:bottom w:val="single" w:sz="4" w:space="0" w:color="auto"/>
              <w:right w:val="single" w:sz="4" w:space="0" w:color="auto"/>
            </w:tcBorders>
            <w:shd w:val="clear" w:color="auto" w:fill="auto"/>
            <w:noWrap/>
            <w:vAlign w:val="center"/>
            <w:hideMark/>
          </w:tcPr>
          <w:p w14:paraId="1C6203F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773FFCD7"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4,294</w:t>
            </w:r>
          </w:p>
        </w:tc>
        <w:tc>
          <w:tcPr>
            <w:tcW w:w="833" w:type="dxa"/>
            <w:tcBorders>
              <w:top w:val="nil"/>
              <w:left w:val="nil"/>
              <w:bottom w:val="single" w:sz="4" w:space="0" w:color="auto"/>
              <w:right w:val="single" w:sz="4" w:space="0" w:color="auto"/>
            </w:tcBorders>
            <w:shd w:val="clear" w:color="auto" w:fill="auto"/>
            <w:noWrap/>
            <w:vAlign w:val="center"/>
            <w:hideMark/>
          </w:tcPr>
          <w:p w14:paraId="6CD3AE9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355</w:t>
            </w:r>
          </w:p>
        </w:tc>
        <w:tc>
          <w:tcPr>
            <w:tcW w:w="833" w:type="dxa"/>
            <w:tcBorders>
              <w:top w:val="nil"/>
              <w:left w:val="nil"/>
              <w:bottom w:val="single" w:sz="4" w:space="0" w:color="auto"/>
              <w:right w:val="single" w:sz="4" w:space="0" w:color="auto"/>
            </w:tcBorders>
            <w:shd w:val="clear" w:color="auto" w:fill="auto"/>
            <w:noWrap/>
            <w:vAlign w:val="center"/>
            <w:hideMark/>
          </w:tcPr>
          <w:p w14:paraId="0FDD41F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3637ED8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AA1381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5F21D4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150</w:t>
            </w:r>
          </w:p>
        </w:tc>
        <w:tc>
          <w:tcPr>
            <w:tcW w:w="833" w:type="dxa"/>
            <w:tcBorders>
              <w:top w:val="nil"/>
              <w:left w:val="nil"/>
              <w:bottom w:val="single" w:sz="4" w:space="0" w:color="auto"/>
              <w:right w:val="single" w:sz="4" w:space="0" w:color="auto"/>
            </w:tcBorders>
            <w:shd w:val="clear" w:color="auto" w:fill="auto"/>
            <w:noWrap/>
            <w:vAlign w:val="center"/>
            <w:hideMark/>
          </w:tcPr>
          <w:p w14:paraId="245A12D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3,956</w:t>
            </w:r>
          </w:p>
        </w:tc>
        <w:tc>
          <w:tcPr>
            <w:tcW w:w="833" w:type="dxa"/>
            <w:tcBorders>
              <w:top w:val="nil"/>
              <w:left w:val="nil"/>
              <w:bottom w:val="single" w:sz="4" w:space="0" w:color="auto"/>
              <w:right w:val="single" w:sz="4" w:space="0" w:color="auto"/>
            </w:tcBorders>
            <w:shd w:val="clear" w:color="auto" w:fill="auto"/>
            <w:noWrap/>
            <w:vAlign w:val="center"/>
            <w:hideMark/>
          </w:tcPr>
          <w:p w14:paraId="2E91D17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2B1CC84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4,461</w:t>
            </w:r>
          </w:p>
        </w:tc>
      </w:tr>
      <w:tr w:rsidR="008428AF" w:rsidRPr="00B469AB" w14:paraId="436C3825" w14:textId="77777777" w:rsidTr="004A20FD">
        <w:trPr>
          <w:trHeight w:val="39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428081B"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Victorian Comprehensive Cancer Centre Ltd</w:t>
            </w:r>
          </w:p>
        </w:tc>
        <w:tc>
          <w:tcPr>
            <w:tcW w:w="832" w:type="dxa"/>
            <w:tcBorders>
              <w:top w:val="nil"/>
              <w:left w:val="nil"/>
              <w:bottom w:val="single" w:sz="4" w:space="0" w:color="auto"/>
              <w:right w:val="single" w:sz="4" w:space="0" w:color="auto"/>
            </w:tcBorders>
            <w:shd w:val="clear" w:color="auto" w:fill="auto"/>
            <w:noWrap/>
            <w:vAlign w:val="center"/>
            <w:hideMark/>
          </w:tcPr>
          <w:p w14:paraId="5ECBAAB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9,843</w:t>
            </w:r>
          </w:p>
        </w:tc>
        <w:tc>
          <w:tcPr>
            <w:tcW w:w="833" w:type="dxa"/>
            <w:tcBorders>
              <w:top w:val="nil"/>
              <w:left w:val="nil"/>
              <w:bottom w:val="single" w:sz="4" w:space="0" w:color="auto"/>
              <w:right w:val="single" w:sz="4" w:space="0" w:color="auto"/>
            </w:tcBorders>
            <w:shd w:val="clear" w:color="auto" w:fill="auto"/>
            <w:noWrap/>
            <w:vAlign w:val="center"/>
            <w:hideMark/>
          </w:tcPr>
          <w:p w14:paraId="4661A73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B59D12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FB9F15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B6CF34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6DBD754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1849357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4B957FEE"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9,843</w:t>
            </w:r>
          </w:p>
        </w:tc>
        <w:tc>
          <w:tcPr>
            <w:tcW w:w="833" w:type="dxa"/>
            <w:tcBorders>
              <w:top w:val="nil"/>
              <w:left w:val="nil"/>
              <w:bottom w:val="single" w:sz="4" w:space="0" w:color="auto"/>
              <w:right w:val="single" w:sz="4" w:space="0" w:color="auto"/>
            </w:tcBorders>
            <w:shd w:val="clear" w:color="auto" w:fill="auto"/>
            <w:noWrap/>
            <w:vAlign w:val="center"/>
            <w:hideMark/>
          </w:tcPr>
          <w:p w14:paraId="4159BBE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10,017</w:t>
            </w:r>
          </w:p>
        </w:tc>
        <w:tc>
          <w:tcPr>
            <w:tcW w:w="833" w:type="dxa"/>
            <w:tcBorders>
              <w:top w:val="nil"/>
              <w:left w:val="nil"/>
              <w:bottom w:val="single" w:sz="4" w:space="0" w:color="auto"/>
              <w:right w:val="single" w:sz="4" w:space="0" w:color="auto"/>
            </w:tcBorders>
            <w:shd w:val="clear" w:color="auto" w:fill="auto"/>
            <w:noWrap/>
            <w:vAlign w:val="center"/>
            <w:hideMark/>
          </w:tcPr>
          <w:p w14:paraId="2A8A8315"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1ED3814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312CFD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73BD3A0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D68429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3CE595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7E454B71"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10,017</w:t>
            </w:r>
          </w:p>
        </w:tc>
      </w:tr>
      <w:tr w:rsidR="008428AF" w:rsidRPr="00B469AB" w14:paraId="7DE3DC72" w14:textId="77777777" w:rsidTr="004A20FD">
        <w:trPr>
          <w:trHeight w:val="39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9B2B44A"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Victorian Institute Of Forensic Mental Health</w:t>
            </w:r>
          </w:p>
        </w:tc>
        <w:tc>
          <w:tcPr>
            <w:tcW w:w="832" w:type="dxa"/>
            <w:tcBorders>
              <w:top w:val="nil"/>
              <w:left w:val="nil"/>
              <w:bottom w:val="single" w:sz="4" w:space="0" w:color="auto"/>
              <w:right w:val="single" w:sz="4" w:space="0" w:color="auto"/>
            </w:tcBorders>
            <w:shd w:val="clear" w:color="auto" w:fill="auto"/>
            <w:noWrap/>
            <w:vAlign w:val="center"/>
            <w:hideMark/>
          </w:tcPr>
          <w:p w14:paraId="47BB5459"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184</w:t>
            </w:r>
          </w:p>
        </w:tc>
        <w:tc>
          <w:tcPr>
            <w:tcW w:w="833" w:type="dxa"/>
            <w:tcBorders>
              <w:top w:val="nil"/>
              <w:left w:val="nil"/>
              <w:bottom w:val="single" w:sz="4" w:space="0" w:color="auto"/>
              <w:right w:val="single" w:sz="4" w:space="0" w:color="auto"/>
            </w:tcBorders>
            <w:shd w:val="clear" w:color="auto" w:fill="auto"/>
            <w:noWrap/>
            <w:vAlign w:val="center"/>
            <w:hideMark/>
          </w:tcPr>
          <w:p w14:paraId="789FAF86"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11D95A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703DA3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39D6B3E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83,893</w:t>
            </w:r>
          </w:p>
        </w:tc>
        <w:tc>
          <w:tcPr>
            <w:tcW w:w="832" w:type="dxa"/>
            <w:tcBorders>
              <w:top w:val="nil"/>
              <w:left w:val="nil"/>
              <w:bottom w:val="single" w:sz="4" w:space="0" w:color="auto"/>
              <w:right w:val="single" w:sz="4" w:space="0" w:color="auto"/>
            </w:tcBorders>
            <w:shd w:val="clear" w:color="auto" w:fill="auto"/>
            <w:noWrap/>
            <w:vAlign w:val="center"/>
            <w:hideMark/>
          </w:tcPr>
          <w:p w14:paraId="7CBFF1B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AA9DD8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5" w:type="dxa"/>
            <w:tcBorders>
              <w:top w:val="nil"/>
              <w:left w:val="nil"/>
              <w:bottom w:val="single" w:sz="4" w:space="0" w:color="auto"/>
              <w:right w:val="single" w:sz="4" w:space="0" w:color="auto"/>
            </w:tcBorders>
            <w:shd w:val="clear" w:color="auto" w:fill="auto"/>
            <w:noWrap/>
            <w:vAlign w:val="center"/>
            <w:hideMark/>
          </w:tcPr>
          <w:p w14:paraId="11A4D6F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84,077</w:t>
            </w:r>
          </w:p>
        </w:tc>
        <w:tc>
          <w:tcPr>
            <w:tcW w:w="833" w:type="dxa"/>
            <w:tcBorders>
              <w:top w:val="nil"/>
              <w:left w:val="nil"/>
              <w:bottom w:val="single" w:sz="4" w:space="0" w:color="auto"/>
              <w:right w:val="single" w:sz="4" w:space="0" w:color="auto"/>
            </w:tcBorders>
            <w:shd w:val="clear" w:color="auto" w:fill="auto"/>
            <w:noWrap/>
            <w:vAlign w:val="center"/>
            <w:hideMark/>
          </w:tcPr>
          <w:p w14:paraId="7BD7A7C8"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948</w:t>
            </w:r>
          </w:p>
        </w:tc>
        <w:tc>
          <w:tcPr>
            <w:tcW w:w="833" w:type="dxa"/>
            <w:tcBorders>
              <w:top w:val="nil"/>
              <w:left w:val="nil"/>
              <w:bottom w:val="single" w:sz="4" w:space="0" w:color="auto"/>
              <w:right w:val="single" w:sz="4" w:space="0" w:color="auto"/>
            </w:tcBorders>
            <w:shd w:val="clear" w:color="auto" w:fill="auto"/>
            <w:noWrap/>
            <w:vAlign w:val="center"/>
            <w:hideMark/>
          </w:tcPr>
          <w:p w14:paraId="1B4C8CA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2" w:type="dxa"/>
            <w:tcBorders>
              <w:top w:val="nil"/>
              <w:left w:val="nil"/>
              <w:bottom w:val="single" w:sz="4" w:space="0" w:color="auto"/>
              <w:right w:val="single" w:sz="4" w:space="0" w:color="auto"/>
            </w:tcBorders>
            <w:shd w:val="clear" w:color="auto" w:fill="auto"/>
            <w:noWrap/>
            <w:vAlign w:val="center"/>
            <w:hideMark/>
          </w:tcPr>
          <w:p w14:paraId="62BBE8C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5DDD465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CE199E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87,212</w:t>
            </w:r>
          </w:p>
        </w:tc>
        <w:tc>
          <w:tcPr>
            <w:tcW w:w="833" w:type="dxa"/>
            <w:tcBorders>
              <w:top w:val="nil"/>
              <w:left w:val="nil"/>
              <w:bottom w:val="single" w:sz="4" w:space="0" w:color="auto"/>
              <w:right w:val="single" w:sz="4" w:space="0" w:color="auto"/>
            </w:tcBorders>
            <w:shd w:val="clear" w:color="auto" w:fill="auto"/>
            <w:noWrap/>
            <w:vAlign w:val="center"/>
            <w:hideMark/>
          </w:tcPr>
          <w:p w14:paraId="45DB1D1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01F90A0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974" w:type="dxa"/>
            <w:tcBorders>
              <w:top w:val="nil"/>
              <w:left w:val="nil"/>
              <w:bottom w:val="single" w:sz="4" w:space="0" w:color="auto"/>
              <w:right w:val="single" w:sz="4" w:space="0" w:color="auto"/>
            </w:tcBorders>
            <w:shd w:val="clear" w:color="auto" w:fill="auto"/>
            <w:noWrap/>
            <w:vAlign w:val="center"/>
            <w:hideMark/>
          </w:tcPr>
          <w:p w14:paraId="4A035BC1"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88,160</w:t>
            </w:r>
          </w:p>
        </w:tc>
      </w:tr>
      <w:tr w:rsidR="008428AF" w:rsidRPr="00B469AB" w14:paraId="1161C658" w14:textId="77777777" w:rsidTr="004A20FD">
        <w:trPr>
          <w:trHeight w:val="39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98CF062" w14:textId="77777777" w:rsidR="00B469AB" w:rsidRPr="00B469AB" w:rsidRDefault="00B469AB" w:rsidP="003D68D1">
            <w:pPr>
              <w:spacing w:after="0" w:line="240" w:lineRule="auto"/>
              <w:rPr>
                <w:rFonts w:cs="Arial"/>
                <w:color w:val="000000"/>
                <w:sz w:val="16"/>
                <w:szCs w:val="16"/>
                <w:lang w:eastAsia="en-AU"/>
              </w:rPr>
            </w:pPr>
            <w:r w:rsidRPr="00B469AB">
              <w:rPr>
                <w:rFonts w:cs="Arial"/>
                <w:color w:val="000000"/>
                <w:sz w:val="16"/>
                <w:szCs w:val="16"/>
                <w:lang w:eastAsia="en-AU"/>
              </w:rPr>
              <w:t>All other organisations (&lt;$1 m)</w:t>
            </w:r>
          </w:p>
        </w:tc>
        <w:tc>
          <w:tcPr>
            <w:tcW w:w="832" w:type="dxa"/>
            <w:tcBorders>
              <w:top w:val="nil"/>
              <w:left w:val="nil"/>
              <w:bottom w:val="single" w:sz="4" w:space="0" w:color="auto"/>
              <w:right w:val="single" w:sz="4" w:space="0" w:color="auto"/>
            </w:tcBorders>
            <w:shd w:val="clear" w:color="auto" w:fill="auto"/>
            <w:noWrap/>
            <w:vAlign w:val="center"/>
            <w:hideMark/>
          </w:tcPr>
          <w:p w14:paraId="1EEEB9E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3,801</w:t>
            </w:r>
          </w:p>
        </w:tc>
        <w:tc>
          <w:tcPr>
            <w:tcW w:w="833" w:type="dxa"/>
            <w:tcBorders>
              <w:top w:val="nil"/>
              <w:left w:val="nil"/>
              <w:bottom w:val="single" w:sz="4" w:space="0" w:color="auto"/>
              <w:right w:val="single" w:sz="4" w:space="0" w:color="auto"/>
            </w:tcBorders>
            <w:shd w:val="clear" w:color="auto" w:fill="auto"/>
            <w:noWrap/>
            <w:vAlign w:val="center"/>
            <w:hideMark/>
          </w:tcPr>
          <w:p w14:paraId="475E34F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645</w:t>
            </w:r>
          </w:p>
        </w:tc>
        <w:tc>
          <w:tcPr>
            <w:tcW w:w="833" w:type="dxa"/>
            <w:tcBorders>
              <w:top w:val="nil"/>
              <w:left w:val="nil"/>
              <w:bottom w:val="single" w:sz="4" w:space="0" w:color="auto"/>
              <w:right w:val="single" w:sz="4" w:space="0" w:color="auto"/>
            </w:tcBorders>
            <w:shd w:val="clear" w:color="auto" w:fill="auto"/>
            <w:noWrap/>
            <w:vAlign w:val="center"/>
            <w:hideMark/>
          </w:tcPr>
          <w:p w14:paraId="04220EF2"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29A40407"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885</w:t>
            </w:r>
          </w:p>
        </w:tc>
        <w:tc>
          <w:tcPr>
            <w:tcW w:w="833" w:type="dxa"/>
            <w:tcBorders>
              <w:top w:val="nil"/>
              <w:left w:val="nil"/>
              <w:bottom w:val="single" w:sz="4" w:space="0" w:color="auto"/>
              <w:right w:val="single" w:sz="4" w:space="0" w:color="auto"/>
            </w:tcBorders>
            <w:shd w:val="clear" w:color="auto" w:fill="auto"/>
            <w:noWrap/>
            <w:vAlign w:val="center"/>
            <w:hideMark/>
          </w:tcPr>
          <w:p w14:paraId="143B372B"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1,935</w:t>
            </w:r>
          </w:p>
        </w:tc>
        <w:tc>
          <w:tcPr>
            <w:tcW w:w="832" w:type="dxa"/>
            <w:tcBorders>
              <w:top w:val="nil"/>
              <w:left w:val="nil"/>
              <w:bottom w:val="single" w:sz="4" w:space="0" w:color="auto"/>
              <w:right w:val="single" w:sz="4" w:space="0" w:color="auto"/>
            </w:tcBorders>
            <w:shd w:val="clear" w:color="auto" w:fill="auto"/>
            <w:noWrap/>
            <w:vAlign w:val="center"/>
            <w:hideMark/>
          </w:tcPr>
          <w:p w14:paraId="3EC0300F"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835</w:t>
            </w:r>
          </w:p>
        </w:tc>
        <w:tc>
          <w:tcPr>
            <w:tcW w:w="833" w:type="dxa"/>
            <w:tcBorders>
              <w:top w:val="nil"/>
              <w:left w:val="nil"/>
              <w:bottom w:val="single" w:sz="4" w:space="0" w:color="auto"/>
              <w:right w:val="single" w:sz="4" w:space="0" w:color="auto"/>
            </w:tcBorders>
            <w:shd w:val="clear" w:color="auto" w:fill="auto"/>
            <w:noWrap/>
            <w:vAlign w:val="center"/>
            <w:hideMark/>
          </w:tcPr>
          <w:p w14:paraId="6E007534"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325</w:t>
            </w:r>
          </w:p>
        </w:tc>
        <w:tc>
          <w:tcPr>
            <w:tcW w:w="975" w:type="dxa"/>
            <w:tcBorders>
              <w:top w:val="nil"/>
              <w:left w:val="nil"/>
              <w:bottom w:val="single" w:sz="4" w:space="0" w:color="auto"/>
              <w:right w:val="single" w:sz="4" w:space="0" w:color="auto"/>
            </w:tcBorders>
            <w:shd w:val="clear" w:color="auto" w:fill="auto"/>
            <w:noWrap/>
            <w:vAlign w:val="center"/>
            <w:hideMark/>
          </w:tcPr>
          <w:p w14:paraId="229D5037"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8,426</w:t>
            </w:r>
          </w:p>
        </w:tc>
        <w:tc>
          <w:tcPr>
            <w:tcW w:w="833" w:type="dxa"/>
            <w:tcBorders>
              <w:top w:val="nil"/>
              <w:left w:val="nil"/>
              <w:bottom w:val="single" w:sz="4" w:space="0" w:color="auto"/>
              <w:right w:val="single" w:sz="4" w:space="0" w:color="auto"/>
            </w:tcBorders>
            <w:shd w:val="clear" w:color="auto" w:fill="auto"/>
            <w:noWrap/>
            <w:vAlign w:val="center"/>
            <w:hideMark/>
          </w:tcPr>
          <w:p w14:paraId="081B1F6E"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909</w:t>
            </w:r>
          </w:p>
        </w:tc>
        <w:tc>
          <w:tcPr>
            <w:tcW w:w="833" w:type="dxa"/>
            <w:tcBorders>
              <w:top w:val="nil"/>
              <w:left w:val="nil"/>
              <w:bottom w:val="single" w:sz="4" w:space="0" w:color="auto"/>
              <w:right w:val="single" w:sz="4" w:space="0" w:color="auto"/>
            </w:tcBorders>
            <w:shd w:val="clear" w:color="auto" w:fill="auto"/>
            <w:noWrap/>
            <w:vAlign w:val="center"/>
            <w:hideMark/>
          </w:tcPr>
          <w:p w14:paraId="1391837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661</w:t>
            </w:r>
          </w:p>
        </w:tc>
        <w:tc>
          <w:tcPr>
            <w:tcW w:w="832" w:type="dxa"/>
            <w:tcBorders>
              <w:top w:val="nil"/>
              <w:left w:val="nil"/>
              <w:bottom w:val="single" w:sz="4" w:space="0" w:color="auto"/>
              <w:right w:val="single" w:sz="4" w:space="0" w:color="auto"/>
            </w:tcBorders>
            <w:shd w:val="clear" w:color="auto" w:fill="auto"/>
            <w:noWrap/>
            <w:vAlign w:val="center"/>
            <w:hideMark/>
          </w:tcPr>
          <w:p w14:paraId="506C8700"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0 </w:t>
            </w:r>
          </w:p>
        </w:tc>
        <w:tc>
          <w:tcPr>
            <w:tcW w:w="833" w:type="dxa"/>
            <w:tcBorders>
              <w:top w:val="nil"/>
              <w:left w:val="nil"/>
              <w:bottom w:val="single" w:sz="4" w:space="0" w:color="auto"/>
              <w:right w:val="single" w:sz="4" w:space="0" w:color="auto"/>
            </w:tcBorders>
            <w:shd w:val="clear" w:color="auto" w:fill="auto"/>
            <w:noWrap/>
            <w:vAlign w:val="center"/>
            <w:hideMark/>
          </w:tcPr>
          <w:p w14:paraId="6E83FBFD"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914</w:t>
            </w:r>
          </w:p>
        </w:tc>
        <w:tc>
          <w:tcPr>
            <w:tcW w:w="833" w:type="dxa"/>
            <w:tcBorders>
              <w:top w:val="nil"/>
              <w:left w:val="nil"/>
              <w:bottom w:val="single" w:sz="4" w:space="0" w:color="auto"/>
              <w:right w:val="single" w:sz="4" w:space="0" w:color="auto"/>
            </w:tcBorders>
            <w:shd w:val="clear" w:color="auto" w:fill="auto"/>
            <w:noWrap/>
            <w:vAlign w:val="center"/>
            <w:hideMark/>
          </w:tcPr>
          <w:p w14:paraId="586715D1"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1,306</w:t>
            </w:r>
          </w:p>
        </w:tc>
        <w:tc>
          <w:tcPr>
            <w:tcW w:w="833" w:type="dxa"/>
            <w:tcBorders>
              <w:top w:val="nil"/>
              <w:left w:val="nil"/>
              <w:bottom w:val="single" w:sz="4" w:space="0" w:color="auto"/>
              <w:right w:val="single" w:sz="4" w:space="0" w:color="auto"/>
            </w:tcBorders>
            <w:shd w:val="clear" w:color="auto" w:fill="auto"/>
            <w:noWrap/>
            <w:vAlign w:val="center"/>
            <w:hideMark/>
          </w:tcPr>
          <w:p w14:paraId="05BCC4FA"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691</w:t>
            </w:r>
          </w:p>
        </w:tc>
        <w:tc>
          <w:tcPr>
            <w:tcW w:w="833" w:type="dxa"/>
            <w:tcBorders>
              <w:top w:val="nil"/>
              <w:left w:val="nil"/>
              <w:bottom w:val="single" w:sz="4" w:space="0" w:color="auto"/>
              <w:right w:val="single" w:sz="4" w:space="0" w:color="auto"/>
            </w:tcBorders>
            <w:shd w:val="clear" w:color="auto" w:fill="auto"/>
            <w:noWrap/>
            <w:vAlign w:val="center"/>
            <w:hideMark/>
          </w:tcPr>
          <w:p w14:paraId="35DD5A53" w14:textId="77777777" w:rsidR="00B469AB" w:rsidRPr="00B469AB" w:rsidRDefault="00B469AB" w:rsidP="003D68D1">
            <w:pPr>
              <w:spacing w:after="0" w:line="240" w:lineRule="auto"/>
              <w:jc w:val="right"/>
              <w:rPr>
                <w:rFonts w:cs="Arial"/>
                <w:color w:val="000000"/>
                <w:sz w:val="16"/>
                <w:szCs w:val="16"/>
                <w:lang w:eastAsia="en-AU"/>
              </w:rPr>
            </w:pPr>
            <w:r w:rsidRPr="00B469AB">
              <w:rPr>
                <w:rFonts w:cs="Arial"/>
                <w:color w:val="000000"/>
                <w:sz w:val="16"/>
                <w:szCs w:val="16"/>
                <w:lang w:eastAsia="en-AU"/>
              </w:rPr>
              <w:t>333</w:t>
            </w:r>
          </w:p>
        </w:tc>
        <w:tc>
          <w:tcPr>
            <w:tcW w:w="974" w:type="dxa"/>
            <w:tcBorders>
              <w:top w:val="nil"/>
              <w:left w:val="nil"/>
              <w:bottom w:val="single" w:sz="4" w:space="0" w:color="auto"/>
              <w:right w:val="single" w:sz="4" w:space="0" w:color="auto"/>
            </w:tcBorders>
            <w:shd w:val="clear" w:color="auto" w:fill="auto"/>
            <w:noWrap/>
            <w:vAlign w:val="center"/>
            <w:hideMark/>
          </w:tcPr>
          <w:p w14:paraId="07DF022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4,816</w:t>
            </w:r>
          </w:p>
        </w:tc>
      </w:tr>
      <w:tr w:rsidR="008428AF" w:rsidRPr="00B469AB" w14:paraId="6E2CA3EE" w14:textId="77777777" w:rsidTr="004A20FD">
        <w:trPr>
          <w:trHeight w:val="39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F02D856" w14:textId="77777777" w:rsidR="00B469AB" w:rsidRPr="00B469AB" w:rsidRDefault="00B469AB" w:rsidP="003D68D1">
            <w:pPr>
              <w:spacing w:after="0" w:line="240" w:lineRule="auto"/>
              <w:rPr>
                <w:rFonts w:cs="Arial"/>
                <w:b/>
                <w:bCs/>
                <w:color w:val="000000"/>
                <w:sz w:val="16"/>
                <w:szCs w:val="16"/>
                <w:lang w:eastAsia="en-AU"/>
              </w:rPr>
            </w:pPr>
            <w:r w:rsidRPr="00B469AB">
              <w:rPr>
                <w:rFonts w:cs="Arial"/>
                <w:b/>
                <w:bCs/>
                <w:color w:val="000000"/>
                <w:sz w:val="16"/>
                <w:szCs w:val="16"/>
                <w:lang w:eastAsia="en-AU"/>
              </w:rPr>
              <w:t>Grand Total</w:t>
            </w:r>
          </w:p>
        </w:tc>
        <w:tc>
          <w:tcPr>
            <w:tcW w:w="832" w:type="dxa"/>
            <w:tcBorders>
              <w:top w:val="nil"/>
              <w:left w:val="nil"/>
              <w:bottom w:val="single" w:sz="4" w:space="0" w:color="auto"/>
              <w:right w:val="single" w:sz="4" w:space="0" w:color="auto"/>
            </w:tcBorders>
            <w:shd w:val="clear" w:color="auto" w:fill="auto"/>
            <w:noWrap/>
            <w:vAlign w:val="center"/>
            <w:hideMark/>
          </w:tcPr>
          <w:p w14:paraId="5B324830"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676,172</w:t>
            </w:r>
          </w:p>
        </w:tc>
        <w:tc>
          <w:tcPr>
            <w:tcW w:w="833" w:type="dxa"/>
            <w:tcBorders>
              <w:top w:val="nil"/>
              <w:left w:val="nil"/>
              <w:bottom w:val="single" w:sz="4" w:space="0" w:color="auto"/>
              <w:right w:val="single" w:sz="4" w:space="0" w:color="auto"/>
            </w:tcBorders>
            <w:shd w:val="clear" w:color="auto" w:fill="auto"/>
            <w:noWrap/>
            <w:vAlign w:val="center"/>
            <w:hideMark/>
          </w:tcPr>
          <w:p w14:paraId="33083779"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5,257</w:t>
            </w:r>
          </w:p>
        </w:tc>
        <w:tc>
          <w:tcPr>
            <w:tcW w:w="833" w:type="dxa"/>
            <w:tcBorders>
              <w:top w:val="nil"/>
              <w:left w:val="nil"/>
              <w:bottom w:val="single" w:sz="4" w:space="0" w:color="auto"/>
              <w:right w:val="single" w:sz="4" w:space="0" w:color="auto"/>
            </w:tcBorders>
            <w:shd w:val="clear" w:color="auto" w:fill="auto"/>
            <w:noWrap/>
            <w:vAlign w:val="center"/>
            <w:hideMark/>
          </w:tcPr>
          <w:p w14:paraId="5D44F539"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893,343</w:t>
            </w:r>
          </w:p>
        </w:tc>
        <w:tc>
          <w:tcPr>
            <w:tcW w:w="833" w:type="dxa"/>
            <w:tcBorders>
              <w:top w:val="nil"/>
              <w:left w:val="nil"/>
              <w:bottom w:val="single" w:sz="4" w:space="0" w:color="auto"/>
              <w:right w:val="single" w:sz="4" w:space="0" w:color="auto"/>
            </w:tcBorders>
            <w:shd w:val="clear" w:color="auto" w:fill="auto"/>
            <w:noWrap/>
            <w:vAlign w:val="center"/>
            <w:hideMark/>
          </w:tcPr>
          <w:p w14:paraId="3980647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3,766</w:t>
            </w:r>
          </w:p>
        </w:tc>
        <w:tc>
          <w:tcPr>
            <w:tcW w:w="833" w:type="dxa"/>
            <w:tcBorders>
              <w:top w:val="nil"/>
              <w:left w:val="nil"/>
              <w:bottom w:val="single" w:sz="4" w:space="0" w:color="auto"/>
              <w:right w:val="single" w:sz="4" w:space="0" w:color="auto"/>
            </w:tcBorders>
            <w:shd w:val="clear" w:color="auto" w:fill="auto"/>
            <w:noWrap/>
            <w:vAlign w:val="center"/>
            <w:hideMark/>
          </w:tcPr>
          <w:p w14:paraId="0D9C3F58"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101,372</w:t>
            </w:r>
          </w:p>
        </w:tc>
        <w:tc>
          <w:tcPr>
            <w:tcW w:w="832" w:type="dxa"/>
            <w:tcBorders>
              <w:top w:val="nil"/>
              <w:left w:val="nil"/>
              <w:bottom w:val="single" w:sz="4" w:space="0" w:color="auto"/>
              <w:right w:val="single" w:sz="4" w:space="0" w:color="auto"/>
            </w:tcBorders>
            <w:shd w:val="clear" w:color="auto" w:fill="auto"/>
            <w:noWrap/>
            <w:vAlign w:val="center"/>
            <w:hideMark/>
          </w:tcPr>
          <w:p w14:paraId="3E36D95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188,890</w:t>
            </w:r>
          </w:p>
        </w:tc>
        <w:tc>
          <w:tcPr>
            <w:tcW w:w="833" w:type="dxa"/>
            <w:tcBorders>
              <w:top w:val="nil"/>
              <w:left w:val="nil"/>
              <w:bottom w:val="single" w:sz="4" w:space="0" w:color="auto"/>
              <w:right w:val="single" w:sz="4" w:space="0" w:color="auto"/>
            </w:tcBorders>
            <w:shd w:val="clear" w:color="auto" w:fill="auto"/>
            <w:noWrap/>
            <w:vAlign w:val="center"/>
            <w:hideMark/>
          </w:tcPr>
          <w:p w14:paraId="593C347F"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4,064</w:t>
            </w:r>
          </w:p>
        </w:tc>
        <w:tc>
          <w:tcPr>
            <w:tcW w:w="975" w:type="dxa"/>
            <w:tcBorders>
              <w:top w:val="nil"/>
              <w:left w:val="nil"/>
              <w:bottom w:val="single" w:sz="4" w:space="0" w:color="auto"/>
              <w:right w:val="single" w:sz="4" w:space="0" w:color="auto"/>
            </w:tcBorders>
            <w:shd w:val="clear" w:color="auto" w:fill="auto"/>
            <w:noWrap/>
            <w:vAlign w:val="center"/>
            <w:hideMark/>
          </w:tcPr>
          <w:p w14:paraId="75B6C2D3"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1,872,863</w:t>
            </w:r>
          </w:p>
        </w:tc>
        <w:tc>
          <w:tcPr>
            <w:tcW w:w="833" w:type="dxa"/>
            <w:tcBorders>
              <w:top w:val="nil"/>
              <w:left w:val="nil"/>
              <w:bottom w:val="single" w:sz="4" w:space="0" w:color="auto"/>
              <w:right w:val="single" w:sz="4" w:space="0" w:color="auto"/>
            </w:tcBorders>
            <w:shd w:val="clear" w:color="auto" w:fill="auto"/>
            <w:noWrap/>
            <w:vAlign w:val="center"/>
            <w:hideMark/>
          </w:tcPr>
          <w:p w14:paraId="7F5D1EEC"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521,534</w:t>
            </w:r>
          </w:p>
        </w:tc>
        <w:tc>
          <w:tcPr>
            <w:tcW w:w="833" w:type="dxa"/>
            <w:tcBorders>
              <w:top w:val="nil"/>
              <w:left w:val="nil"/>
              <w:bottom w:val="single" w:sz="4" w:space="0" w:color="auto"/>
              <w:right w:val="single" w:sz="4" w:space="0" w:color="auto"/>
            </w:tcBorders>
            <w:shd w:val="clear" w:color="auto" w:fill="auto"/>
            <w:noWrap/>
            <w:vAlign w:val="center"/>
            <w:hideMark/>
          </w:tcPr>
          <w:p w14:paraId="327830C2"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5,752</w:t>
            </w:r>
          </w:p>
        </w:tc>
        <w:tc>
          <w:tcPr>
            <w:tcW w:w="832" w:type="dxa"/>
            <w:tcBorders>
              <w:top w:val="nil"/>
              <w:left w:val="nil"/>
              <w:bottom w:val="single" w:sz="4" w:space="0" w:color="auto"/>
              <w:right w:val="single" w:sz="4" w:space="0" w:color="auto"/>
            </w:tcBorders>
            <w:shd w:val="clear" w:color="auto" w:fill="auto"/>
            <w:noWrap/>
            <w:vAlign w:val="center"/>
            <w:hideMark/>
          </w:tcPr>
          <w:p w14:paraId="47F3410B"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956,777</w:t>
            </w:r>
          </w:p>
        </w:tc>
        <w:tc>
          <w:tcPr>
            <w:tcW w:w="833" w:type="dxa"/>
            <w:tcBorders>
              <w:top w:val="nil"/>
              <w:left w:val="nil"/>
              <w:bottom w:val="single" w:sz="4" w:space="0" w:color="auto"/>
              <w:right w:val="single" w:sz="4" w:space="0" w:color="auto"/>
            </w:tcBorders>
            <w:shd w:val="clear" w:color="auto" w:fill="auto"/>
            <w:noWrap/>
            <w:vAlign w:val="center"/>
            <w:hideMark/>
          </w:tcPr>
          <w:p w14:paraId="5A13102C"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3,890</w:t>
            </w:r>
          </w:p>
        </w:tc>
        <w:tc>
          <w:tcPr>
            <w:tcW w:w="833" w:type="dxa"/>
            <w:tcBorders>
              <w:top w:val="nil"/>
              <w:left w:val="nil"/>
              <w:bottom w:val="single" w:sz="4" w:space="0" w:color="auto"/>
              <w:right w:val="single" w:sz="4" w:space="0" w:color="auto"/>
            </w:tcBorders>
            <w:shd w:val="clear" w:color="auto" w:fill="auto"/>
            <w:noWrap/>
            <w:vAlign w:val="center"/>
            <w:hideMark/>
          </w:tcPr>
          <w:p w14:paraId="28604546"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106,325</w:t>
            </w:r>
          </w:p>
        </w:tc>
        <w:tc>
          <w:tcPr>
            <w:tcW w:w="833" w:type="dxa"/>
            <w:tcBorders>
              <w:top w:val="nil"/>
              <w:left w:val="nil"/>
              <w:bottom w:val="single" w:sz="4" w:space="0" w:color="auto"/>
              <w:right w:val="single" w:sz="4" w:space="0" w:color="auto"/>
            </w:tcBorders>
            <w:shd w:val="clear" w:color="auto" w:fill="auto"/>
            <w:noWrap/>
            <w:vAlign w:val="center"/>
            <w:hideMark/>
          </w:tcPr>
          <w:p w14:paraId="104E4761"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187,975</w:t>
            </w:r>
          </w:p>
        </w:tc>
        <w:tc>
          <w:tcPr>
            <w:tcW w:w="833" w:type="dxa"/>
            <w:tcBorders>
              <w:top w:val="nil"/>
              <w:left w:val="nil"/>
              <w:bottom w:val="single" w:sz="4" w:space="0" w:color="auto"/>
              <w:right w:val="single" w:sz="4" w:space="0" w:color="auto"/>
            </w:tcBorders>
            <w:shd w:val="clear" w:color="auto" w:fill="auto"/>
            <w:noWrap/>
            <w:vAlign w:val="center"/>
            <w:hideMark/>
          </w:tcPr>
          <w:p w14:paraId="26150984"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12,404</w:t>
            </w:r>
          </w:p>
        </w:tc>
        <w:tc>
          <w:tcPr>
            <w:tcW w:w="974" w:type="dxa"/>
            <w:tcBorders>
              <w:top w:val="nil"/>
              <w:left w:val="nil"/>
              <w:bottom w:val="single" w:sz="4" w:space="0" w:color="auto"/>
              <w:right w:val="single" w:sz="4" w:space="0" w:color="auto"/>
            </w:tcBorders>
            <w:shd w:val="clear" w:color="auto" w:fill="auto"/>
            <w:noWrap/>
            <w:vAlign w:val="center"/>
            <w:hideMark/>
          </w:tcPr>
          <w:p w14:paraId="101AC60D" w14:textId="77777777" w:rsidR="00B469AB" w:rsidRPr="00B469AB" w:rsidRDefault="00B469AB" w:rsidP="003D68D1">
            <w:pPr>
              <w:spacing w:after="0" w:line="240" w:lineRule="auto"/>
              <w:jc w:val="right"/>
              <w:rPr>
                <w:rFonts w:cs="Arial"/>
                <w:b/>
                <w:bCs/>
                <w:color w:val="000000"/>
                <w:sz w:val="16"/>
                <w:szCs w:val="16"/>
                <w:lang w:eastAsia="en-AU"/>
              </w:rPr>
            </w:pPr>
            <w:r w:rsidRPr="00B469AB">
              <w:rPr>
                <w:rFonts w:cs="Arial"/>
                <w:b/>
                <w:bCs/>
                <w:color w:val="000000"/>
                <w:sz w:val="16"/>
                <w:szCs w:val="16"/>
                <w:lang w:eastAsia="en-AU"/>
              </w:rPr>
              <w:t>1,794,657</w:t>
            </w:r>
          </w:p>
        </w:tc>
      </w:tr>
    </w:tbl>
    <w:p w14:paraId="07ACFB84" w14:textId="6B3EA94F" w:rsidR="00974CBE" w:rsidRDefault="00974CBE" w:rsidP="00B469AB">
      <w:pPr>
        <w:pStyle w:val="Body"/>
      </w:pPr>
    </w:p>
    <w:p w14:paraId="274A5F81" w14:textId="54EF2D76" w:rsidR="00BF2219" w:rsidRPr="00974CBE" w:rsidRDefault="00974CBE" w:rsidP="00974CBE">
      <w:pPr>
        <w:spacing w:after="0" w:line="240" w:lineRule="auto"/>
        <w:rPr>
          <w:rFonts w:eastAsia="Times"/>
        </w:rPr>
      </w:pPr>
      <w:r>
        <w:br w:type="page"/>
      </w:r>
    </w:p>
    <w:p w14:paraId="491AB815" w14:textId="3EED3ED6" w:rsidR="000B27B9" w:rsidRDefault="000B27B9" w:rsidP="00081936">
      <w:pPr>
        <w:pStyle w:val="Heading3"/>
        <w:numPr>
          <w:ilvl w:val="2"/>
          <w:numId w:val="33"/>
        </w:numPr>
        <w:ind w:left="1134"/>
      </w:pPr>
      <w:bookmarkStart w:id="1093" w:name="_Toc12780664"/>
      <w:bookmarkStart w:id="1094" w:name="_Toc14172305"/>
      <w:bookmarkStart w:id="1095" w:name="_Toc33703979"/>
      <w:bookmarkStart w:id="1096" w:name="_Toc55381167"/>
      <w:bookmarkStart w:id="1097" w:name="_Toc100263373"/>
      <w:bookmarkStart w:id="1098" w:name="_Toc156569697"/>
      <w:r>
        <w:t xml:space="preserve">Health </w:t>
      </w:r>
      <w:bookmarkEnd w:id="1093"/>
      <w:bookmarkEnd w:id="1094"/>
      <w:bookmarkEnd w:id="1095"/>
      <w:bookmarkEnd w:id="1096"/>
      <w:r w:rsidR="00D60B7E">
        <w:t>o</w:t>
      </w:r>
      <w:r w:rsidR="00D60B7E" w:rsidRPr="00B6080E">
        <w:t xml:space="preserve">perations </w:t>
      </w:r>
      <w:r w:rsidR="005D1FCB" w:rsidRPr="00B6080E">
        <w:t>202</w:t>
      </w:r>
      <w:r w:rsidR="001D5EAA">
        <w:t>2</w:t>
      </w:r>
      <w:r w:rsidR="00AB0330" w:rsidRPr="00B6080E">
        <w:t>–</w:t>
      </w:r>
      <w:r w:rsidR="005D1FCB" w:rsidRPr="00B6080E">
        <w:t>2</w:t>
      </w:r>
      <w:r w:rsidR="001D5EAA">
        <w:t>3</w:t>
      </w:r>
      <w:r w:rsidR="005D1FCB" w:rsidRPr="00B6080E">
        <w:t xml:space="preserve"> and </w:t>
      </w:r>
      <w:bookmarkEnd w:id="1097"/>
      <w:r w:rsidR="005D1FCB" w:rsidRPr="00B6080E">
        <w:t>202</w:t>
      </w:r>
      <w:r w:rsidR="001D5EAA">
        <w:t>3</w:t>
      </w:r>
      <w:r w:rsidR="00AB0330" w:rsidRPr="00B6080E">
        <w:t>–</w:t>
      </w:r>
      <w:r w:rsidR="005D1FCB" w:rsidRPr="00B6080E">
        <w:t>2</w:t>
      </w:r>
      <w:r w:rsidR="001D5EAA">
        <w:t>4</w:t>
      </w:r>
      <w:bookmarkEnd w:id="1098"/>
    </w:p>
    <w:p w14:paraId="2114E4BC" w14:textId="77777777" w:rsidR="000B27B9" w:rsidRPr="00B6080E" w:rsidRDefault="000B27B9" w:rsidP="0064265C">
      <w:pPr>
        <w:pStyle w:val="Tablefigurenote9pt"/>
      </w:pPr>
      <w:r w:rsidRPr="00B6080E">
        <w:t>Notes:</w:t>
      </w:r>
    </w:p>
    <w:p w14:paraId="0B7C88BE" w14:textId="77777777" w:rsidR="000B27B9" w:rsidRPr="00B6080E" w:rsidRDefault="000B27B9" w:rsidP="007973C3">
      <w:pPr>
        <w:pStyle w:val="Tablenoteroman"/>
        <w:numPr>
          <w:ilvl w:val="0"/>
          <w:numId w:val="8"/>
        </w:numPr>
      </w:pPr>
      <w:r w:rsidRPr="00B6080E">
        <w:rPr>
          <w:lang w:eastAsia="en-AU"/>
        </w:rPr>
        <w:t>Acute and subacute category includes ambulance services.</w:t>
      </w:r>
    </w:p>
    <w:p w14:paraId="4396A4D5" w14:textId="77777777" w:rsidR="000B27B9" w:rsidRPr="00B6080E" w:rsidRDefault="000B27B9" w:rsidP="007973C3">
      <w:pPr>
        <w:pStyle w:val="Tablenoteroman"/>
        <w:numPr>
          <w:ilvl w:val="0"/>
          <w:numId w:val="8"/>
        </w:numPr>
        <w:rPr>
          <w:lang w:eastAsia="en-AU"/>
        </w:rPr>
      </w:pPr>
      <w:r w:rsidRPr="00B6080E">
        <w:rPr>
          <w:lang w:eastAsia="en-AU"/>
        </w:rPr>
        <w:t>Subtotals and totals may not add up due to rounding.</w:t>
      </w:r>
    </w:p>
    <w:p w14:paraId="4833B934" w14:textId="3858582F" w:rsidR="00BF2219" w:rsidRDefault="000B27B9" w:rsidP="00974CBE">
      <w:pPr>
        <w:pStyle w:val="Tablecaption"/>
      </w:pPr>
      <w:bookmarkStart w:id="1099" w:name="_Toc12780568"/>
      <w:bookmarkStart w:id="1100" w:name="_Toc14194824"/>
      <w:bookmarkStart w:id="1101" w:name="_Toc33704005"/>
      <w:bookmarkStart w:id="1102" w:name="_Toc109894135"/>
      <w:bookmarkStart w:id="1103" w:name="_Toc156568686"/>
      <w:r w:rsidRPr="00B6080E">
        <w:t xml:space="preserve">Table </w:t>
      </w:r>
      <w:r>
        <w:fldChar w:fldCharType="begin"/>
      </w:r>
      <w:r>
        <w:instrText>STYLEREF 1 \s</w:instrText>
      </w:r>
      <w:r>
        <w:fldChar w:fldCharType="separate"/>
      </w:r>
      <w:r w:rsidR="00892F13">
        <w:rPr>
          <w:noProof/>
        </w:rPr>
        <w:t>2</w:t>
      </w:r>
      <w:r>
        <w:fldChar w:fldCharType="end"/>
      </w:r>
      <w:r w:rsidR="00742C12">
        <w:t>.</w:t>
      </w:r>
      <w:r>
        <w:fldChar w:fldCharType="begin"/>
      </w:r>
      <w:r>
        <w:instrText>SEQ Table \* ARABIC \s 1</w:instrText>
      </w:r>
      <w:r>
        <w:fldChar w:fldCharType="separate"/>
      </w:r>
      <w:r w:rsidR="00892F13">
        <w:rPr>
          <w:noProof/>
        </w:rPr>
        <w:t>9</w:t>
      </w:r>
      <w:r>
        <w:fldChar w:fldCharType="end"/>
      </w:r>
      <w:r w:rsidRPr="00B6080E">
        <w:t xml:space="preserve">: Health operations expenditure budgets </w:t>
      </w:r>
      <w:bookmarkEnd w:id="1099"/>
      <w:bookmarkEnd w:id="1100"/>
      <w:bookmarkEnd w:id="1101"/>
      <w:bookmarkEnd w:id="1102"/>
      <w:r w:rsidR="005D1FCB" w:rsidRPr="00B6080E">
        <w:t>202</w:t>
      </w:r>
      <w:r w:rsidR="007E1C33">
        <w:t>2</w:t>
      </w:r>
      <w:r w:rsidR="00AB0330" w:rsidRPr="00B6080E">
        <w:t>–</w:t>
      </w:r>
      <w:r w:rsidR="005D1FCB" w:rsidRPr="00B6080E">
        <w:t>2</w:t>
      </w:r>
      <w:r w:rsidR="007E1C33">
        <w:t>3</w:t>
      </w:r>
      <w:r w:rsidR="005D1FCB" w:rsidRPr="00B6080E">
        <w:t xml:space="preserve"> and 202</w:t>
      </w:r>
      <w:r w:rsidR="007E1C33">
        <w:t>3</w:t>
      </w:r>
      <w:r w:rsidR="00AB0330" w:rsidRPr="00B6080E">
        <w:t>–</w:t>
      </w:r>
      <w:r w:rsidR="005D1FCB" w:rsidRPr="00B6080E">
        <w:t>2</w:t>
      </w:r>
      <w:r w:rsidR="007E1C33">
        <w:t>4</w:t>
      </w:r>
      <w:r w:rsidR="00E110F6">
        <w:t xml:space="preserve"> – $’000s</w:t>
      </w:r>
      <w:bookmarkEnd w:id="1103"/>
    </w:p>
    <w:tbl>
      <w:tblPr>
        <w:tblW w:w="15222" w:type="dxa"/>
        <w:tblInd w:w="-289" w:type="dxa"/>
        <w:tblLayout w:type="fixed"/>
        <w:tblLook w:val="04A0" w:firstRow="1" w:lastRow="0" w:firstColumn="1" w:lastColumn="0" w:noHBand="0" w:noVBand="1"/>
      </w:tblPr>
      <w:tblGrid>
        <w:gridCol w:w="993"/>
        <w:gridCol w:w="993"/>
        <w:gridCol w:w="850"/>
        <w:gridCol w:w="851"/>
        <w:gridCol w:w="850"/>
        <w:gridCol w:w="851"/>
        <w:gridCol w:w="850"/>
        <w:gridCol w:w="851"/>
        <w:gridCol w:w="934"/>
        <w:gridCol w:w="934"/>
        <w:gridCol w:w="825"/>
        <w:gridCol w:w="908"/>
        <w:gridCol w:w="905"/>
        <w:gridCol w:w="918"/>
        <w:gridCol w:w="870"/>
        <w:gridCol w:w="851"/>
        <w:gridCol w:w="988"/>
      </w:tblGrid>
      <w:tr w:rsidR="00003D7E" w:rsidRPr="00A47C7D" w14:paraId="65407E8C" w14:textId="77777777" w:rsidTr="00285665">
        <w:trPr>
          <w:trHeight w:val="900"/>
          <w:tblHead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38E13EA" w14:textId="4B16B7AD" w:rsidR="00BF2219" w:rsidRPr="00BF2219" w:rsidRDefault="00BF2219" w:rsidP="003D68D1">
            <w:pPr>
              <w:spacing w:after="0" w:line="240" w:lineRule="auto"/>
              <w:rPr>
                <w:rFonts w:cs="Arial"/>
                <w:b/>
                <w:bCs/>
                <w:color w:val="53565A"/>
                <w:sz w:val="16"/>
                <w:szCs w:val="16"/>
                <w:lang w:eastAsia="en-AU"/>
              </w:rPr>
            </w:pPr>
            <w:r w:rsidRPr="00BF2219">
              <w:rPr>
                <w:rFonts w:cs="Arial"/>
                <w:b/>
                <w:bCs/>
                <w:color w:val="53565A"/>
                <w:sz w:val="16"/>
                <w:szCs w:val="16"/>
                <w:lang w:eastAsia="en-AU"/>
              </w:rPr>
              <w:t>Provider type</w:t>
            </w:r>
          </w:p>
        </w:tc>
        <w:tc>
          <w:tcPr>
            <w:tcW w:w="993" w:type="dxa"/>
            <w:tcBorders>
              <w:top w:val="single" w:sz="4" w:space="0" w:color="auto"/>
              <w:left w:val="nil"/>
              <w:bottom w:val="single" w:sz="4" w:space="0" w:color="auto"/>
              <w:right w:val="single" w:sz="4" w:space="0" w:color="auto"/>
            </w:tcBorders>
            <w:shd w:val="clear" w:color="auto" w:fill="auto"/>
            <w:hideMark/>
          </w:tcPr>
          <w:p w14:paraId="5C9EDBA9" w14:textId="77777777" w:rsidR="00BF2219" w:rsidRPr="00BF2219" w:rsidRDefault="00BF2219" w:rsidP="003D68D1">
            <w:pPr>
              <w:spacing w:after="0" w:line="240" w:lineRule="auto"/>
              <w:jc w:val="right"/>
              <w:rPr>
                <w:rFonts w:cs="Arial"/>
                <w:b/>
                <w:bCs/>
                <w:color w:val="53565A"/>
                <w:sz w:val="16"/>
                <w:szCs w:val="16"/>
                <w:lang w:eastAsia="en-AU"/>
              </w:rPr>
            </w:pPr>
            <w:r w:rsidRPr="00BF2219">
              <w:rPr>
                <w:rFonts w:cs="Arial"/>
                <w:b/>
                <w:bCs/>
                <w:color w:val="53565A"/>
                <w:sz w:val="16"/>
                <w:szCs w:val="16"/>
                <w:lang w:eastAsia="en-AU"/>
              </w:rPr>
              <w:t>2022–23</w:t>
            </w:r>
            <w:r w:rsidRPr="00BF2219">
              <w:rPr>
                <w:rFonts w:cs="Arial"/>
                <w:b/>
                <w:bCs/>
                <w:color w:val="53565A"/>
                <w:sz w:val="16"/>
                <w:szCs w:val="16"/>
                <w:lang w:eastAsia="en-AU"/>
              </w:rPr>
              <w:br/>
              <w:t>Acute health services</w:t>
            </w:r>
          </w:p>
        </w:tc>
        <w:tc>
          <w:tcPr>
            <w:tcW w:w="850" w:type="dxa"/>
            <w:tcBorders>
              <w:top w:val="single" w:sz="4" w:space="0" w:color="auto"/>
              <w:left w:val="nil"/>
              <w:bottom w:val="single" w:sz="4" w:space="0" w:color="auto"/>
              <w:right w:val="single" w:sz="4" w:space="0" w:color="auto"/>
            </w:tcBorders>
            <w:shd w:val="clear" w:color="auto" w:fill="auto"/>
            <w:hideMark/>
          </w:tcPr>
          <w:p w14:paraId="555DD290" w14:textId="77777777" w:rsidR="00BF2219" w:rsidRPr="00BF2219" w:rsidRDefault="00BF2219" w:rsidP="003D68D1">
            <w:pPr>
              <w:spacing w:after="0" w:line="240" w:lineRule="auto"/>
              <w:jc w:val="right"/>
              <w:rPr>
                <w:rFonts w:cs="Arial"/>
                <w:b/>
                <w:bCs/>
                <w:color w:val="53565A"/>
                <w:sz w:val="16"/>
                <w:szCs w:val="16"/>
                <w:lang w:eastAsia="en-AU"/>
              </w:rPr>
            </w:pPr>
            <w:r w:rsidRPr="00BF2219">
              <w:rPr>
                <w:rFonts w:cs="Arial"/>
                <w:b/>
                <w:bCs/>
                <w:color w:val="53565A"/>
                <w:sz w:val="16"/>
                <w:szCs w:val="16"/>
                <w:lang w:eastAsia="en-AU"/>
              </w:rPr>
              <w:t>2022–23</w:t>
            </w:r>
            <w:r w:rsidRPr="00BF2219">
              <w:rPr>
                <w:rFonts w:cs="Arial"/>
                <w:b/>
                <w:bCs/>
                <w:color w:val="53565A"/>
                <w:sz w:val="16"/>
                <w:szCs w:val="16"/>
                <w:lang w:eastAsia="en-AU"/>
              </w:rPr>
              <w:br/>
              <w:t>Ageing, aged and home care</w:t>
            </w:r>
          </w:p>
        </w:tc>
        <w:tc>
          <w:tcPr>
            <w:tcW w:w="851" w:type="dxa"/>
            <w:tcBorders>
              <w:top w:val="single" w:sz="4" w:space="0" w:color="auto"/>
              <w:left w:val="nil"/>
              <w:bottom w:val="single" w:sz="4" w:space="0" w:color="auto"/>
              <w:right w:val="single" w:sz="4" w:space="0" w:color="auto"/>
            </w:tcBorders>
            <w:shd w:val="clear" w:color="auto" w:fill="auto"/>
            <w:hideMark/>
          </w:tcPr>
          <w:p w14:paraId="0B63B4EF" w14:textId="77777777" w:rsidR="00BF2219" w:rsidRPr="00BF2219" w:rsidRDefault="00BF2219" w:rsidP="003D68D1">
            <w:pPr>
              <w:spacing w:after="0" w:line="240" w:lineRule="auto"/>
              <w:jc w:val="right"/>
              <w:rPr>
                <w:rFonts w:cs="Arial"/>
                <w:b/>
                <w:bCs/>
                <w:color w:val="53565A"/>
                <w:sz w:val="16"/>
                <w:szCs w:val="16"/>
                <w:lang w:eastAsia="en-AU"/>
              </w:rPr>
            </w:pPr>
            <w:r w:rsidRPr="00BF2219">
              <w:rPr>
                <w:rFonts w:cs="Arial"/>
                <w:b/>
                <w:bCs/>
                <w:color w:val="53565A"/>
                <w:sz w:val="16"/>
                <w:szCs w:val="16"/>
                <w:lang w:eastAsia="en-AU"/>
              </w:rPr>
              <w:t xml:space="preserve">2022-23 </w:t>
            </w:r>
            <w:r w:rsidRPr="00BF2219">
              <w:rPr>
                <w:rFonts w:cs="Arial"/>
                <w:b/>
                <w:bCs/>
                <w:color w:val="53565A"/>
                <w:sz w:val="16"/>
                <w:szCs w:val="16"/>
                <w:lang w:eastAsia="en-AU"/>
              </w:rPr>
              <w:br/>
              <w:t>Ambulance services</w:t>
            </w:r>
          </w:p>
        </w:tc>
        <w:tc>
          <w:tcPr>
            <w:tcW w:w="850" w:type="dxa"/>
            <w:tcBorders>
              <w:top w:val="single" w:sz="4" w:space="0" w:color="auto"/>
              <w:left w:val="nil"/>
              <w:bottom w:val="single" w:sz="4" w:space="0" w:color="auto"/>
              <w:right w:val="single" w:sz="4" w:space="0" w:color="auto"/>
            </w:tcBorders>
            <w:shd w:val="clear" w:color="auto" w:fill="auto"/>
            <w:hideMark/>
          </w:tcPr>
          <w:p w14:paraId="0B20E768" w14:textId="77777777" w:rsidR="00BF2219" w:rsidRPr="00BF2219" w:rsidRDefault="00BF2219" w:rsidP="003D68D1">
            <w:pPr>
              <w:spacing w:after="0" w:line="240" w:lineRule="auto"/>
              <w:jc w:val="right"/>
              <w:rPr>
                <w:rFonts w:cs="Arial"/>
                <w:b/>
                <w:bCs/>
                <w:color w:val="53565A"/>
                <w:sz w:val="16"/>
                <w:szCs w:val="16"/>
                <w:lang w:eastAsia="en-AU"/>
              </w:rPr>
            </w:pPr>
            <w:r w:rsidRPr="00BF2219">
              <w:rPr>
                <w:rFonts w:cs="Arial"/>
                <w:b/>
                <w:bCs/>
                <w:color w:val="53565A"/>
                <w:sz w:val="16"/>
                <w:szCs w:val="16"/>
                <w:lang w:eastAsia="en-AU"/>
              </w:rPr>
              <w:t>2022–23</w:t>
            </w:r>
            <w:r w:rsidRPr="00BF2219">
              <w:rPr>
                <w:rFonts w:cs="Arial"/>
                <w:b/>
                <w:bCs/>
                <w:color w:val="53565A"/>
                <w:sz w:val="16"/>
                <w:szCs w:val="16"/>
                <w:lang w:eastAsia="en-AU"/>
              </w:rPr>
              <w:br/>
              <w:t>Drugs services</w:t>
            </w:r>
          </w:p>
        </w:tc>
        <w:tc>
          <w:tcPr>
            <w:tcW w:w="851" w:type="dxa"/>
            <w:tcBorders>
              <w:top w:val="single" w:sz="4" w:space="0" w:color="auto"/>
              <w:left w:val="nil"/>
              <w:bottom w:val="single" w:sz="4" w:space="0" w:color="auto"/>
              <w:right w:val="single" w:sz="4" w:space="0" w:color="auto"/>
            </w:tcBorders>
            <w:shd w:val="clear" w:color="auto" w:fill="auto"/>
            <w:hideMark/>
          </w:tcPr>
          <w:p w14:paraId="085A2533" w14:textId="77777777" w:rsidR="00BF2219" w:rsidRPr="00BF2219" w:rsidRDefault="00BF2219" w:rsidP="003D68D1">
            <w:pPr>
              <w:spacing w:after="0" w:line="240" w:lineRule="auto"/>
              <w:jc w:val="right"/>
              <w:rPr>
                <w:rFonts w:cs="Arial"/>
                <w:b/>
                <w:bCs/>
                <w:color w:val="53565A"/>
                <w:sz w:val="16"/>
                <w:szCs w:val="16"/>
                <w:lang w:eastAsia="en-AU"/>
              </w:rPr>
            </w:pPr>
            <w:r w:rsidRPr="00BF2219">
              <w:rPr>
                <w:rFonts w:cs="Arial"/>
                <w:b/>
                <w:bCs/>
                <w:color w:val="53565A"/>
                <w:sz w:val="16"/>
                <w:szCs w:val="16"/>
                <w:lang w:eastAsia="en-AU"/>
              </w:rPr>
              <w:t>2022–23</w:t>
            </w:r>
            <w:r w:rsidRPr="00BF2219">
              <w:rPr>
                <w:rFonts w:cs="Arial"/>
                <w:b/>
                <w:bCs/>
                <w:color w:val="53565A"/>
                <w:sz w:val="16"/>
                <w:szCs w:val="16"/>
                <w:lang w:eastAsia="en-AU"/>
              </w:rPr>
              <w:br/>
              <w:t>Mental health</w:t>
            </w:r>
          </w:p>
        </w:tc>
        <w:tc>
          <w:tcPr>
            <w:tcW w:w="850" w:type="dxa"/>
            <w:tcBorders>
              <w:top w:val="single" w:sz="4" w:space="0" w:color="auto"/>
              <w:left w:val="nil"/>
              <w:bottom w:val="single" w:sz="4" w:space="0" w:color="auto"/>
              <w:right w:val="single" w:sz="4" w:space="0" w:color="auto"/>
            </w:tcBorders>
            <w:shd w:val="clear" w:color="auto" w:fill="auto"/>
            <w:hideMark/>
          </w:tcPr>
          <w:p w14:paraId="0551D3A6" w14:textId="77777777" w:rsidR="00BF2219" w:rsidRPr="00BF2219" w:rsidRDefault="00BF2219" w:rsidP="003D68D1">
            <w:pPr>
              <w:spacing w:after="0" w:line="240" w:lineRule="auto"/>
              <w:jc w:val="right"/>
              <w:rPr>
                <w:rFonts w:cs="Arial"/>
                <w:b/>
                <w:bCs/>
                <w:color w:val="53565A"/>
                <w:sz w:val="16"/>
                <w:szCs w:val="16"/>
                <w:lang w:eastAsia="en-AU"/>
              </w:rPr>
            </w:pPr>
            <w:r w:rsidRPr="00BF2219">
              <w:rPr>
                <w:rFonts w:cs="Arial"/>
                <w:b/>
                <w:bCs/>
                <w:color w:val="53565A"/>
                <w:sz w:val="16"/>
                <w:szCs w:val="16"/>
                <w:lang w:eastAsia="en-AU"/>
              </w:rPr>
              <w:t>2022–23</w:t>
            </w:r>
            <w:r w:rsidRPr="00BF2219">
              <w:rPr>
                <w:rFonts w:cs="Arial"/>
                <w:b/>
                <w:bCs/>
                <w:color w:val="53565A"/>
                <w:sz w:val="16"/>
                <w:szCs w:val="16"/>
                <w:lang w:eastAsia="en-AU"/>
              </w:rPr>
              <w:br/>
              <w:t>Primary and dental health</w:t>
            </w:r>
          </w:p>
        </w:tc>
        <w:tc>
          <w:tcPr>
            <w:tcW w:w="851" w:type="dxa"/>
            <w:tcBorders>
              <w:top w:val="single" w:sz="4" w:space="0" w:color="auto"/>
              <w:left w:val="nil"/>
              <w:bottom w:val="single" w:sz="4" w:space="0" w:color="auto"/>
              <w:right w:val="single" w:sz="4" w:space="0" w:color="auto"/>
            </w:tcBorders>
            <w:shd w:val="clear" w:color="auto" w:fill="auto"/>
            <w:hideMark/>
          </w:tcPr>
          <w:p w14:paraId="2F312AAC" w14:textId="77777777" w:rsidR="00BF2219" w:rsidRPr="00BF2219" w:rsidRDefault="00BF2219" w:rsidP="003D68D1">
            <w:pPr>
              <w:spacing w:after="0" w:line="240" w:lineRule="auto"/>
              <w:jc w:val="right"/>
              <w:rPr>
                <w:rFonts w:cs="Arial"/>
                <w:b/>
                <w:bCs/>
                <w:color w:val="53565A"/>
                <w:sz w:val="16"/>
                <w:szCs w:val="16"/>
                <w:lang w:eastAsia="en-AU"/>
              </w:rPr>
            </w:pPr>
            <w:r w:rsidRPr="00BF2219">
              <w:rPr>
                <w:rFonts w:cs="Arial"/>
                <w:b/>
                <w:bCs/>
                <w:color w:val="53565A"/>
                <w:sz w:val="16"/>
                <w:szCs w:val="16"/>
                <w:lang w:eastAsia="en-AU"/>
              </w:rPr>
              <w:t>2022–23</w:t>
            </w:r>
            <w:r w:rsidRPr="00BF2219">
              <w:rPr>
                <w:rFonts w:cs="Arial"/>
                <w:b/>
                <w:bCs/>
                <w:color w:val="53565A"/>
                <w:sz w:val="16"/>
                <w:szCs w:val="16"/>
                <w:lang w:eastAsia="en-AU"/>
              </w:rPr>
              <w:br/>
              <w:t>Public health</w:t>
            </w:r>
          </w:p>
        </w:tc>
        <w:tc>
          <w:tcPr>
            <w:tcW w:w="934" w:type="dxa"/>
            <w:tcBorders>
              <w:top w:val="single" w:sz="4" w:space="0" w:color="auto"/>
              <w:left w:val="nil"/>
              <w:bottom w:val="single" w:sz="4" w:space="0" w:color="auto"/>
              <w:right w:val="single" w:sz="4" w:space="0" w:color="auto"/>
            </w:tcBorders>
            <w:shd w:val="clear" w:color="auto" w:fill="auto"/>
            <w:hideMark/>
          </w:tcPr>
          <w:p w14:paraId="0C3ED823" w14:textId="77777777" w:rsidR="00BF2219" w:rsidRPr="00BF2219" w:rsidRDefault="00BF2219" w:rsidP="003D68D1">
            <w:pPr>
              <w:spacing w:after="0" w:line="240" w:lineRule="auto"/>
              <w:jc w:val="right"/>
              <w:rPr>
                <w:rFonts w:cs="Arial"/>
                <w:b/>
                <w:bCs/>
                <w:color w:val="53565A"/>
                <w:sz w:val="16"/>
                <w:szCs w:val="16"/>
                <w:lang w:eastAsia="en-AU"/>
              </w:rPr>
            </w:pPr>
            <w:r w:rsidRPr="00BF2219">
              <w:rPr>
                <w:rFonts w:cs="Arial"/>
                <w:b/>
                <w:bCs/>
                <w:color w:val="53565A"/>
                <w:sz w:val="16"/>
                <w:szCs w:val="16"/>
                <w:lang w:eastAsia="en-AU"/>
              </w:rPr>
              <w:t>2022–23</w:t>
            </w:r>
            <w:r w:rsidRPr="00BF2219">
              <w:rPr>
                <w:rFonts w:cs="Arial"/>
                <w:b/>
                <w:bCs/>
                <w:color w:val="53565A"/>
                <w:sz w:val="16"/>
                <w:szCs w:val="16"/>
                <w:lang w:eastAsia="en-AU"/>
              </w:rPr>
              <w:br/>
              <w:t>Total</w:t>
            </w:r>
          </w:p>
        </w:tc>
        <w:tc>
          <w:tcPr>
            <w:tcW w:w="934" w:type="dxa"/>
            <w:tcBorders>
              <w:top w:val="single" w:sz="4" w:space="0" w:color="auto"/>
              <w:left w:val="nil"/>
              <w:bottom w:val="single" w:sz="4" w:space="0" w:color="auto"/>
              <w:right w:val="single" w:sz="4" w:space="0" w:color="auto"/>
            </w:tcBorders>
            <w:shd w:val="clear" w:color="auto" w:fill="auto"/>
            <w:hideMark/>
          </w:tcPr>
          <w:p w14:paraId="61F66D69" w14:textId="77777777" w:rsidR="00BF2219" w:rsidRPr="00BF2219" w:rsidRDefault="00BF2219" w:rsidP="003D68D1">
            <w:pPr>
              <w:spacing w:after="0" w:line="240" w:lineRule="auto"/>
              <w:jc w:val="right"/>
              <w:rPr>
                <w:rFonts w:cs="Arial"/>
                <w:b/>
                <w:bCs/>
                <w:color w:val="53565A"/>
                <w:sz w:val="16"/>
                <w:szCs w:val="16"/>
                <w:lang w:eastAsia="en-AU"/>
              </w:rPr>
            </w:pPr>
            <w:r w:rsidRPr="00BF2219">
              <w:rPr>
                <w:rFonts w:cs="Arial"/>
                <w:b/>
                <w:bCs/>
                <w:color w:val="53565A"/>
                <w:sz w:val="16"/>
                <w:szCs w:val="16"/>
                <w:lang w:eastAsia="en-AU"/>
              </w:rPr>
              <w:t>2023–24</w:t>
            </w:r>
            <w:r w:rsidRPr="00BF2219">
              <w:rPr>
                <w:rFonts w:cs="Arial"/>
                <w:b/>
                <w:bCs/>
                <w:color w:val="53565A"/>
                <w:sz w:val="16"/>
                <w:szCs w:val="16"/>
                <w:lang w:eastAsia="en-AU"/>
              </w:rPr>
              <w:br/>
              <w:t>Acute health services</w:t>
            </w:r>
          </w:p>
        </w:tc>
        <w:tc>
          <w:tcPr>
            <w:tcW w:w="825" w:type="dxa"/>
            <w:tcBorders>
              <w:top w:val="single" w:sz="4" w:space="0" w:color="auto"/>
              <w:left w:val="nil"/>
              <w:bottom w:val="single" w:sz="4" w:space="0" w:color="auto"/>
              <w:right w:val="single" w:sz="4" w:space="0" w:color="auto"/>
            </w:tcBorders>
            <w:shd w:val="clear" w:color="auto" w:fill="auto"/>
            <w:hideMark/>
          </w:tcPr>
          <w:p w14:paraId="45D045E9" w14:textId="77777777" w:rsidR="00BF2219" w:rsidRPr="00BF2219" w:rsidRDefault="00BF2219" w:rsidP="003D68D1">
            <w:pPr>
              <w:spacing w:after="0" w:line="240" w:lineRule="auto"/>
              <w:jc w:val="right"/>
              <w:rPr>
                <w:rFonts w:cs="Arial"/>
                <w:b/>
                <w:bCs/>
                <w:color w:val="53565A"/>
                <w:sz w:val="16"/>
                <w:szCs w:val="16"/>
                <w:lang w:eastAsia="en-AU"/>
              </w:rPr>
            </w:pPr>
            <w:r w:rsidRPr="00BF2219">
              <w:rPr>
                <w:rFonts w:cs="Arial"/>
                <w:b/>
                <w:bCs/>
                <w:color w:val="53565A"/>
                <w:sz w:val="16"/>
                <w:szCs w:val="16"/>
                <w:lang w:eastAsia="en-AU"/>
              </w:rPr>
              <w:t>2023–24</w:t>
            </w:r>
            <w:r w:rsidRPr="00BF2219">
              <w:rPr>
                <w:rFonts w:cs="Arial"/>
                <w:b/>
                <w:bCs/>
                <w:color w:val="53565A"/>
                <w:sz w:val="16"/>
                <w:szCs w:val="16"/>
                <w:lang w:eastAsia="en-AU"/>
              </w:rPr>
              <w:br/>
              <w:t>Ageing, aged and home care</w:t>
            </w:r>
          </w:p>
        </w:tc>
        <w:tc>
          <w:tcPr>
            <w:tcW w:w="908" w:type="dxa"/>
            <w:tcBorders>
              <w:top w:val="single" w:sz="4" w:space="0" w:color="auto"/>
              <w:left w:val="nil"/>
              <w:bottom w:val="single" w:sz="4" w:space="0" w:color="auto"/>
              <w:right w:val="single" w:sz="4" w:space="0" w:color="auto"/>
            </w:tcBorders>
            <w:shd w:val="clear" w:color="auto" w:fill="auto"/>
            <w:hideMark/>
          </w:tcPr>
          <w:p w14:paraId="6216E3A5" w14:textId="77777777" w:rsidR="00BF2219" w:rsidRPr="00BF2219" w:rsidRDefault="00BF2219" w:rsidP="003D68D1">
            <w:pPr>
              <w:spacing w:after="0" w:line="240" w:lineRule="auto"/>
              <w:jc w:val="right"/>
              <w:rPr>
                <w:rFonts w:cs="Arial"/>
                <w:b/>
                <w:bCs/>
                <w:color w:val="53565A"/>
                <w:sz w:val="16"/>
                <w:szCs w:val="16"/>
                <w:lang w:eastAsia="en-AU"/>
              </w:rPr>
            </w:pPr>
            <w:r w:rsidRPr="00BF2219">
              <w:rPr>
                <w:rFonts w:cs="Arial"/>
                <w:b/>
                <w:bCs/>
                <w:color w:val="53565A"/>
                <w:sz w:val="16"/>
                <w:szCs w:val="16"/>
                <w:lang w:eastAsia="en-AU"/>
              </w:rPr>
              <w:t>2023-24</w:t>
            </w:r>
            <w:r w:rsidRPr="00BF2219">
              <w:rPr>
                <w:rFonts w:cs="Arial"/>
                <w:b/>
                <w:bCs/>
                <w:color w:val="53565A"/>
                <w:sz w:val="16"/>
                <w:szCs w:val="16"/>
                <w:lang w:eastAsia="en-AU"/>
              </w:rPr>
              <w:br/>
              <w:t>Ambulance services</w:t>
            </w:r>
          </w:p>
        </w:tc>
        <w:tc>
          <w:tcPr>
            <w:tcW w:w="905" w:type="dxa"/>
            <w:tcBorders>
              <w:top w:val="single" w:sz="4" w:space="0" w:color="auto"/>
              <w:left w:val="nil"/>
              <w:bottom w:val="single" w:sz="4" w:space="0" w:color="auto"/>
              <w:right w:val="single" w:sz="4" w:space="0" w:color="auto"/>
            </w:tcBorders>
            <w:shd w:val="clear" w:color="auto" w:fill="auto"/>
            <w:hideMark/>
          </w:tcPr>
          <w:p w14:paraId="23280F47" w14:textId="77777777" w:rsidR="00BF2219" w:rsidRPr="00BF2219" w:rsidRDefault="00BF2219" w:rsidP="003D68D1">
            <w:pPr>
              <w:spacing w:after="0" w:line="240" w:lineRule="auto"/>
              <w:jc w:val="right"/>
              <w:rPr>
                <w:rFonts w:cs="Arial"/>
                <w:b/>
                <w:bCs/>
                <w:color w:val="53565A"/>
                <w:sz w:val="16"/>
                <w:szCs w:val="16"/>
                <w:lang w:eastAsia="en-AU"/>
              </w:rPr>
            </w:pPr>
            <w:r w:rsidRPr="00BF2219">
              <w:rPr>
                <w:rFonts w:cs="Arial"/>
                <w:b/>
                <w:bCs/>
                <w:color w:val="53565A"/>
                <w:sz w:val="16"/>
                <w:szCs w:val="16"/>
                <w:lang w:eastAsia="en-AU"/>
              </w:rPr>
              <w:t>2023–24</w:t>
            </w:r>
            <w:r w:rsidRPr="00BF2219">
              <w:rPr>
                <w:rFonts w:cs="Arial"/>
                <w:b/>
                <w:bCs/>
                <w:color w:val="53565A"/>
                <w:sz w:val="16"/>
                <w:szCs w:val="16"/>
                <w:lang w:eastAsia="en-AU"/>
              </w:rPr>
              <w:br/>
              <w:t>Drugs services</w:t>
            </w:r>
          </w:p>
        </w:tc>
        <w:tc>
          <w:tcPr>
            <w:tcW w:w="918" w:type="dxa"/>
            <w:tcBorders>
              <w:top w:val="single" w:sz="4" w:space="0" w:color="auto"/>
              <w:left w:val="nil"/>
              <w:bottom w:val="single" w:sz="4" w:space="0" w:color="auto"/>
              <w:right w:val="single" w:sz="4" w:space="0" w:color="auto"/>
            </w:tcBorders>
            <w:shd w:val="clear" w:color="auto" w:fill="auto"/>
            <w:hideMark/>
          </w:tcPr>
          <w:p w14:paraId="52DEE491" w14:textId="77777777" w:rsidR="00BF2219" w:rsidRPr="00BF2219" w:rsidRDefault="00BF2219" w:rsidP="003D68D1">
            <w:pPr>
              <w:spacing w:after="0" w:line="240" w:lineRule="auto"/>
              <w:jc w:val="right"/>
              <w:rPr>
                <w:rFonts w:cs="Arial"/>
                <w:b/>
                <w:bCs/>
                <w:color w:val="53565A"/>
                <w:sz w:val="16"/>
                <w:szCs w:val="16"/>
                <w:lang w:eastAsia="en-AU"/>
              </w:rPr>
            </w:pPr>
            <w:r w:rsidRPr="00BF2219">
              <w:rPr>
                <w:rFonts w:cs="Arial"/>
                <w:b/>
                <w:bCs/>
                <w:color w:val="53565A"/>
                <w:sz w:val="16"/>
                <w:szCs w:val="16"/>
                <w:lang w:eastAsia="en-AU"/>
              </w:rPr>
              <w:t>2023–24</w:t>
            </w:r>
            <w:r w:rsidRPr="00BF2219">
              <w:rPr>
                <w:rFonts w:cs="Arial"/>
                <w:b/>
                <w:bCs/>
                <w:color w:val="53565A"/>
                <w:sz w:val="16"/>
                <w:szCs w:val="16"/>
                <w:lang w:eastAsia="en-AU"/>
              </w:rPr>
              <w:br/>
              <w:t>Mental health</w:t>
            </w:r>
          </w:p>
        </w:tc>
        <w:tc>
          <w:tcPr>
            <w:tcW w:w="870" w:type="dxa"/>
            <w:tcBorders>
              <w:top w:val="single" w:sz="4" w:space="0" w:color="auto"/>
              <w:left w:val="nil"/>
              <w:bottom w:val="single" w:sz="4" w:space="0" w:color="auto"/>
              <w:right w:val="single" w:sz="4" w:space="0" w:color="auto"/>
            </w:tcBorders>
            <w:shd w:val="clear" w:color="auto" w:fill="auto"/>
            <w:hideMark/>
          </w:tcPr>
          <w:p w14:paraId="4BF37D58" w14:textId="77777777" w:rsidR="00BF2219" w:rsidRPr="00BF2219" w:rsidRDefault="00BF2219" w:rsidP="003D68D1">
            <w:pPr>
              <w:spacing w:after="0" w:line="240" w:lineRule="auto"/>
              <w:jc w:val="right"/>
              <w:rPr>
                <w:rFonts w:cs="Arial"/>
                <w:b/>
                <w:bCs/>
                <w:color w:val="53565A"/>
                <w:sz w:val="16"/>
                <w:szCs w:val="16"/>
                <w:lang w:eastAsia="en-AU"/>
              </w:rPr>
            </w:pPr>
            <w:r w:rsidRPr="00BF2219">
              <w:rPr>
                <w:rFonts w:cs="Arial"/>
                <w:b/>
                <w:bCs/>
                <w:color w:val="53565A"/>
                <w:sz w:val="16"/>
                <w:szCs w:val="16"/>
                <w:lang w:eastAsia="en-AU"/>
              </w:rPr>
              <w:t>2023–24</w:t>
            </w:r>
            <w:r w:rsidRPr="00BF2219">
              <w:rPr>
                <w:rFonts w:cs="Arial"/>
                <w:b/>
                <w:bCs/>
                <w:color w:val="53565A"/>
                <w:sz w:val="16"/>
                <w:szCs w:val="16"/>
                <w:lang w:eastAsia="en-AU"/>
              </w:rPr>
              <w:br/>
              <w:t>Primary and dental health</w:t>
            </w:r>
          </w:p>
        </w:tc>
        <w:tc>
          <w:tcPr>
            <w:tcW w:w="851" w:type="dxa"/>
            <w:tcBorders>
              <w:top w:val="single" w:sz="4" w:space="0" w:color="auto"/>
              <w:left w:val="nil"/>
              <w:bottom w:val="single" w:sz="4" w:space="0" w:color="auto"/>
              <w:right w:val="single" w:sz="4" w:space="0" w:color="auto"/>
            </w:tcBorders>
            <w:shd w:val="clear" w:color="auto" w:fill="auto"/>
            <w:hideMark/>
          </w:tcPr>
          <w:p w14:paraId="571C7DAC" w14:textId="77777777" w:rsidR="00BF2219" w:rsidRPr="00BF2219" w:rsidRDefault="00BF2219" w:rsidP="003D68D1">
            <w:pPr>
              <w:spacing w:after="0" w:line="240" w:lineRule="auto"/>
              <w:jc w:val="right"/>
              <w:rPr>
                <w:rFonts w:cs="Arial"/>
                <w:b/>
                <w:bCs/>
                <w:color w:val="53565A"/>
                <w:sz w:val="16"/>
                <w:szCs w:val="16"/>
                <w:lang w:eastAsia="en-AU"/>
              </w:rPr>
            </w:pPr>
            <w:r w:rsidRPr="00BF2219">
              <w:rPr>
                <w:rFonts w:cs="Arial"/>
                <w:b/>
                <w:bCs/>
                <w:color w:val="53565A"/>
                <w:sz w:val="16"/>
                <w:szCs w:val="16"/>
                <w:lang w:eastAsia="en-AU"/>
              </w:rPr>
              <w:t>2023–24</w:t>
            </w:r>
            <w:r w:rsidRPr="00BF2219">
              <w:rPr>
                <w:rFonts w:cs="Arial"/>
                <w:b/>
                <w:bCs/>
                <w:color w:val="53565A"/>
                <w:sz w:val="16"/>
                <w:szCs w:val="16"/>
                <w:lang w:eastAsia="en-AU"/>
              </w:rPr>
              <w:br/>
              <w:t>Public health</w:t>
            </w:r>
          </w:p>
        </w:tc>
        <w:tc>
          <w:tcPr>
            <w:tcW w:w="988" w:type="dxa"/>
            <w:tcBorders>
              <w:top w:val="single" w:sz="4" w:space="0" w:color="auto"/>
              <w:left w:val="nil"/>
              <w:bottom w:val="single" w:sz="4" w:space="0" w:color="auto"/>
              <w:right w:val="single" w:sz="4" w:space="0" w:color="auto"/>
            </w:tcBorders>
            <w:shd w:val="clear" w:color="auto" w:fill="auto"/>
            <w:hideMark/>
          </w:tcPr>
          <w:p w14:paraId="7B0E0E1E" w14:textId="77777777" w:rsidR="00BF2219" w:rsidRPr="00BF2219" w:rsidRDefault="00BF2219" w:rsidP="003D68D1">
            <w:pPr>
              <w:spacing w:after="0" w:line="240" w:lineRule="auto"/>
              <w:jc w:val="right"/>
              <w:rPr>
                <w:rFonts w:cs="Arial"/>
                <w:b/>
                <w:bCs/>
                <w:color w:val="53565A"/>
                <w:sz w:val="16"/>
                <w:szCs w:val="16"/>
                <w:lang w:eastAsia="en-AU"/>
              </w:rPr>
            </w:pPr>
            <w:r w:rsidRPr="00BF2219">
              <w:rPr>
                <w:rFonts w:cs="Arial"/>
                <w:b/>
                <w:bCs/>
                <w:color w:val="53565A"/>
                <w:sz w:val="16"/>
                <w:szCs w:val="16"/>
                <w:lang w:eastAsia="en-AU"/>
              </w:rPr>
              <w:t>2023–24</w:t>
            </w:r>
            <w:r w:rsidRPr="00BF2219">
              <w:rPr>
                <w:rFonts w:cs="Arial"/>
                <w:b/>
                <w:bCs/>
                <w:color w:val="53565A"/>
                <w:sz w:val="16"/>
                <w:szCs w:val="16"/>
                <w:lang w:eastAsia="en-AU"/>
              </w:rPr>
              <w:br/>
              <w:t>Total</w:t>
            </w:r>
          </w:p>
        </w:tc>
      </w:tr>
      <w:tr w:rsidR="00003D7E" w:rsidRPr="00A47C7D" w14:paraId="23B76DB8" w14:textId="77777777" w:rsidTr="0028566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439F31" w14:textId="77777777" w:rsidR="00BF2219" w:rsidRPr="00BF2219" w:rsidRDefault="00BF2219" w:rsidP="003D68D1">
            <w:pPr>
              <w:spacing w:after="0" w:line="240" w:lineRule="auto"/>
              <w:rPr>
                <w:rFonts w:cs="Arial"/>
                <w:color w:val="000000"/>
                <w:sz w:val="14"/>
                <w:szCs w:val="14"/>
                <w:lang w:eastAsia="en-AU"/>
              </w:rPr>
            </w:pPr>
            <w:r w:rsidRPr="00BF2219">
              <w:rPr>
                <w:rFonts w:cs="Arial"/>
                <w:color w:val="000000"/>
                <w:sz w:val="14"/>
                <w:szCs w:val="14"/>
                <w:lang w:eastAsia="en-AU"/>
              </w:rPr>
              <w:t>Health Service</w:t>
            </w:r>
          </w:p>
        </w:tc>
        <w:tc>
          <w:tcPr>
            <w:tcW w:w="993" w:type="dxa"/>
            <w:tcBorders>
              <w:top w:val="nil"/>
              <w:left w:val="nil"/>
              <w:bottom w:val="single" w:sz="4" w:space="0" w:color="auto"/>
              <w:right w:val="single" w:sz="4" w:space="0" w:color="auto"/>
            </w:tcBorders>
            <w:shd w:val="clear" w:color="auto" w:fill="auto"/>
            <w:noWrap/>
            <w:vAlign w:val="center"/>
            <w:hideMark/>
          </w:tcPr>
          <w:p w14:paraId="1B3F0EF1"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13,451,318</w:t>
            </w:r>
          </w:p>
        </w:tc>
        <w:tc>
          <w:tcPr>
            <w:tcW w:w="850" w:type="dxa"/>
            <w:tcBorders>
              <w:top w:val="nil"/>
              <w:left w:val="nil"/>
              <w:bottom w:val="single" w:sz="4" w:space="0" w:color="auto"/>
              <w:right w:val="single" w:sz="4" w:space="0" w:color="auto"/>
            </w:tcBorders>
            <w:shd w:val="clear" w:color="auto" w:fill="auto"/>
            <w:noWrap/>
            <w:vAlign w:val="center"/>
            <w:hideMark/>
          </w:tcPr>
          <w:p w14:paraId="5D2CFC01"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134,783</w:t>
            </w:r>
          </w:p>
        </w:tc>
        <w:tc>
          <w:tcPr>
            <w:tcW w:w="851" w:type="dxa"/>
            <w:tcBorders>
              <w:top w:val="nil"/>
              <w:left w:val="nil"/>
              <w:bottom w:val="single" w:sz="4" w:space="0" w:color="auto"/>
              <w:right w:val="single" w:sz="4" w:space="0" w:color="auto"/>
            </w:tcBorders>
            <w:shd w:val="clear" w:color="auto" w:fill="auto"/>
            <w:noWrap/>
            <w:vAlign w:val="center"/>
            <w:hideMark/>
          </w:tcPr>
          <w:p w14:paraId="21CCA501"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 0</w:t>
            </w:r>
          </w:p>
        </w:tc>
        <w:tc>
          <w:tcPr>
            <w:tcW w:w="850" w:type="dxa"/>
            <w:tcBorders>
              <w:top w:val="nil"/>
              <w:left w:val="nil"/>
              <w:bottom w:val="single" w:sz="4" w:space="0" w:color="auto"/>
              <w:right w:val="single" w:sz="4" w:space="0" w:color="auto"/>
            </w:tcBorders>
            <w:shd w:val="clear" w:color="auto" w:fill="auto"/>
            <w:noWrap/>
            <w:vAlign w:val="center"/>
            <w:hideMark/>
          </w:tcPr>
          <w:p w14:paraId="42E2EDC1"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60,027</w:t>
            </w:r>
          </w:p>
        </w:tc>
        <w:tc>
          <w:tcPr>
            <w:tcW w:w="851" w:type="dxa"/>
            <w:tcBorders>
              <w:top w:val="nil"/>
              <w:left w:val="nil"/>
              <w:bottom w:val="single" w:sz="4" w:space="0" w:color="auto"/>
              <w:right w:val="single" w:sz="4" w:space="0" w:color="auto"/>
            </w:tcBorders>
            <w:shd w:val="clear" w:color="auto" w:fill="auto"/>
            <w:noWrap/>
            <w:vAlign w:val="center"/>
            <w:hideMark/>
          </w:tcPr>
          <w:p w14:paraId="16C7EF84"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1,766,047</w:t>
            </w:r>
          </w:p>
        </w:tc>
        <w:tc>
          <w:tcPr>
            <w:tcW w:w="850" w:type="dxa"/>
            <w:tcBorders>
              <w:top w:val="nil"/>
              <w:left w:val="nil"/>
              <w:bottom w:val="single" w:sz="4" w:space="0" w:color="auto"/>
              <w:right w:val="single" w:sz="4" w:space="0" w:color="auto"/>
            </w:tcBorders>
            <w:shd w:val="clear" w:color="auto" w:fill="auto"/>
            <w:noWrap/>
            <w:vAlign w:val="center"/>
            <w:hideMark/>
          </w:tcPr>
          <w:p w14:paraId="0F3C4BBC"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85,207</w:t>
            </w:r>
          </w:p>
        </w:tc>
        <w:tc>
          <w:tcPr>
            <w:tcW w:w="851" w:type="dxa"/>
            <w:tcBorders>
              <w:top w:val="nil"/>
              <w:left w:val="nil"/>
              <w:bottom w:val="single" w:sz="4" w:space="0" w:color="auto"/>
              <w:right w:val="single" w:sz="4" w:space="0" w:color="auto"/>
            </w:tcBorders>
            <w:shd w:val="clear" w:color="auto" w:fill="auto"/>
            <w:noWrap/>
            <w:vAlign w:val="center"/>
            <w:hideMark/>
          </w:tcPr>
          <w:p w14:paraId="1732284B"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44,502</w:t>
            </w:r>
          </w:p>
        </w:tc>
        <w:tc>
          <w:tcPr>
            <w:tcW w:w="934" w:type="dxa"/>
            <w:tcBorders>
              <w:top w:val="nil"/>
              <w:left w:val="nil"/>
              <w:bottom w:val="single" w:sz="4" w:space="0" w:color="auto"/>
              <w:right w:val="single" w:sz="4" w:space="0" w:color="auto"/>
            </w:tcBorders>
            <w:shd w:val="clear" w:color="auto" w:fill="auto"/>
            <w:noWrap/>
            <w:vAlign w:val="center"/>
            <w:hideMark/>
          </w:tcPr>
          <w:p w14:paraId="7A40732D"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15,541,885</w:t>
            </w:r>
          </w:p>
        </w:tc>
        <w:tc>
          <w:tcPr>
            <w:tcW w:w="934" w:type="dxa"/>
            <w:tcBorders>
              <w:top w:val="nil"/>
              <w:left w:val="nil"/>
              <w:bottom w:val="single" w:sz="4" w:space="0" w:color="auto"/>
              <w:right w:val="single" w:sz="4" w:space="0" w:color="auto"/>
            </w:tcBorders>
            <w:shd w:val="clear" w:color="auto" w:fill="auto"/>
            <w:noWrap/>
            <w:vAlign w:val="center"/>
            <w:hideMark/>
          </w:tcPr>
          <w:p w14:paraId="158F6C74"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13,778,424</w:t>
            </w:r>
          </w:p>
        </w:tc>
        <w:tc>
          <w:tcPr>
            <w:tcW w:w="825" w:type="dxa"/>
            <w:tcBorders>
              <w:top w:val="nil"/>
              <w:left w:val="nil"/>
              <w:bottom w:val="single" w:sz="4" w:space="0" w:color="auto"/>
              <w:right w:val="single" w:sz="4" w:space="0" w:color="auto"/>
            </w:tcBorders>
            <w:shd w:val="clear" w:color="auto" w:fill="auto"/>
            <w:noWrap/>
            <w:vAlign w:val="center"/>
            <w:hideMark/>
          </w:tcPr>
          <w:p w14:paraId="3A404F38"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133,239</w:t>
            </w:r>
          </w:p>
        </w:tc>
        <w:tc>
          <w:tcPr>
            <w:tcW w:w="908" w:type="dxa"/>
            <w:tcBorders>
              <w:top w:val="nil"/>
              <w:left w:val="nil"/>
              <w:bottom w:val="single" w:sz="4" w:space="0" w:color="auto"/>
              <w:right w:val="single" w:sz="4" w:space="0" w:color="auto"/>
            </w:tcBorders>
            <w:shd w:val="clear" w:color="auto" w:fill="auto"/>
            <w:noWrap/>
            <w:vAlign w:val="center"/>
            <w:hideMark/>
          </w:tcPr>
          <w:p w14:paraId="502BF035"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0 </w:t>
            </w:r>
          </w:p>
        </w:tc>
        <w:tc>
          <w:tcPr>
            <w:tcW w:w="905" w:type="dxa"/>
            <w:tcBorders>
              <w:top w:val="nil"/>
              <w:left w:val="nil"/>
              <w:bottom w:val="single" w:sz="4" w:space="0" w:color="auto"/>
              <w:right w:val="single" w:sz="4" w:space="0" w:color="auto"/>
            </w:tcBorders>
            <w:shd w:val="clear" w:color="auto" w:fill="auto"/>
            <w:noWrap/>
            <w:vAlign w:val="center"/>
            <w:hideMark/>
          </w:tcPr>
          <w:p w14:paraId="40AB0B6D"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61,134</w:t>
            </w:r>
          </w:p>
        </w:tc>
        <w:tc>
          <w:tcPr>
            <w:tcW w:w="918" w:type="dxa"/>
            <w:tcBorders>
              <w:top w:val="nil"/>
              <w:left w:val="nil"/>
              <w:bottom w:val="single" w:sz="4" w:space="0" w:color="auto"/>
              <w:right w:val="single" w:sz="4" w:space="0" w:color="auto"/>
            </w:tcBorders>
            <w:shd w:val="clear" w:color="auto" w:fill="auto"/>
            <w:noWrap/>
            <w:vAlign w:val="center"/>
            <w:hideMark/>
          </w:tcPr>
          <w:p w14:paraId="7CE23D32"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1,853,915</w:t>
            </w:r>
          </w:p>
        </w:tc>
        <w:tc>
          <w:tcPr>
            <w:tcW w:w="870" w:type="dxa"/>
            <w:tcBorders>
              <w:top w:val="nil"/>
              <w:left w:val="nil"/>
              <w:bottom w:val="single" w:sz="4" w:space="0" w:color="auto"/>
              <w:right w:val="single" w:sz="4" w:space="0" w:color="auto"/>
            </w:tcBorders>
            <w:shd w:val="clear" w:color="auto" w:fill="auto"/>
            <w:noWrap/>
            <w:vAlign w:val="center"/>
            <w:hideMark/>
          </w:tcPr>
          <w:p w14:paraId="0E5296E3"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77,772</w:t>
            </w:r>
          </w:p>
        </w:tc>
        <w:tc>
          <w:tcPr>
            <w:tcW w:w="851" w:type="dxa"/>
            <w:tcBorders>
              <w:top w:val="nil"/>
              <w:left w:val="nil"/>
              <w:bottom w:val="single" w:sz="4" w:space="0" w:color="auto"/>
              <w:right w:val="single" w:sz="4" w:space="0" w:color="auto"/>
            </w:tcBorders>
            <w:shd w:val="clear" w:color="auto" w:fill="auto"/>
            <w:noWrap/>
            <w:vAlign w:val="center"/>
            <w:hideMark/>
          </w:tcPr>
          <w:p w14:paraId="11732F5A"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40,306</w:t>
            </w:r>
          </w:p>
        </w:tc>
        <w:tc>
          <w:tcPr>
            <w:tcW w:w="988" w:type="dxa"/>
            <w:tcBorders>
              <w:top w:val="nil"/>
              <w:left w:val="nil"/>
              <w:bottom w:val="single" w:sz="4" w:space="0" w:color="auto"/>
              <w:right w:val="single" w:sz="4" w:space="0" w:color="auto"/>
            </w:tcBorders>
            <w:shd w:val="clear" w:color="auto" w:fill="auto"/>
            <w:noWrap/>
            <w:vAlign w:val="center"/>
            <w:hideMark/>
          </w:tcPr>
          <w:p w14:paraId="0AEC3B9B"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15,944,790</w:t>
            </w:r>
          </w:p>
        </w:tc>
      </w:tr>
      <w:tr w:rsidR="00003D7E" w:rsidRPr="00A47C7D" w14:paraId="79779C0A" w14:textId="77777777" w:rsidTr="0028566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F8FF77" w14:textId="77777777" w:rsidR="00BF2219" w:rsidRPr="00BF2219" w:rsidRDefault="00BF2219" w:rsidP="003D68D1">
            <w:pPr>
              <w:spacing w:after="0" w:line="240" w:lineRule="auto"/>
              <w:rPr>
                <w:rFonts w:cs="Arial"/>
                <w:color w:val="000000"/>
                <w:sz w:val="14"/>
                <w:szCs w:val="14"/>
                <w:lang w:eastAsia="en-AU"/>
              </w:rPr>
            </w:pPr>
            <w:r w:rsidRPr="00BF2219">
              <w:rPr>
                <w:rFonts w:cs="Arial"/>
                <w:color w:val="000000"/>
                <w:sz w:val="14"/>
                <w:szCs w:val="14"/>
                <w:lang w:eastAsia="en-AU"/>
              </w:rPr>
              <w:t>Small Rural Health Service</w:t>
            </w:r>
          </w:p>
        </w:tc>
        <w:tc>
          <w:tcPr>
            <w:tcW w:w="993" w:type="dxa"/>
            <w:tcBorders>
              <w:top w:val="nil"/>
              <w:left w:val="nil"/>
              <w:bottom w:val="single" w:sz="4" w:space="0" w:color="auto"/>
              <w:right w:val="single" w:sz="4" w:space="0" w:color="auto"/>
            </w:tcBorders>
            <w:shd w:val="clear" w:color="auto" w:fill="auto"/>
            <w:noWrap/>
            <w:vAlign w:val="center"/>
            <w:hideMark/>
          </w:tcPr>
          <w:p w14:paraId="416D46FB"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327,002</w:t>
            </w:r>
          </w:p>
        </w:tc>
        <w:tc>
          <w:tcPr>
            <w:tcW w:w="850" w:type="dxa"/>
            <w:tcBorders>
              <w:top w:val="nil"/>
              <w:left w:val="nil"/>
              <w:bottom w:val="single" w:sz="4" w:space="0" w:color="auto"/>
              <w:right w:val="single" w:sz="4" w:space="0" w:color="auto"/>
            </w:tcBorders>
            <w:shd w:val="clear" w:color="auto" w:fill="auto"/>
            <w:noWrap/>
            <w:vAlign w:val="center"/>
            <w:hideMark/>
          </w:tcPr>
          <w:p w14:paraId="1848E15B"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41,657</w:t>
            </w:r>
          </w:p>
        </w:tc>
        <w:tc>
          <w:tcPr>
            <w:tcW w:w="851" w:type="dxa"/>
            <w:tcBorders>
              <w:top w:val="nil"/>
              <w:left w:val="nil"/>
              <w:bottom w:val="single" w:sz="4" w:space="0" w:color="auto"/>
              <w:right w:val="single" w:sz="4" w:space="0" w:color="auto"/>
            </w:tcBorders>
            <w:shd w:val="clear" w:color="auto" w:fill="auto"/>
            <w:noWrap/>
            <w:vAlign w:val="center"/>
            <w:hideMark/>
          </w:tcPr>
          <w:p w14:paraId="3EFA0F30"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 0</w:t>
            </w:r>
          </w:p>
        </w:tc>
        <w:tc>
          <w:tcPr>
            <w:tcW w:w="850" w:type="dxa"/>
            <w:tcBorders>
              <w:top w:val="nil"/>
              <w:left w:val="nil"/>
              <w:bottom w:val="single" w:sz="4" w:space="0" w:color="auto"/>
              <w:right w:val="single" w:sz="4" w:space="0" w:color="auto"/>
            </w:tcBorders>
            <w:shd w:val="clear" w:color="auto" w:fill="auto"/>
            <w:noWrap/>
            <w:vAlign w:val="center"/>
            <w:hideMark/>
          </w:tcPr>
          <w:p w14:paraId="1A2587F2"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 0</w:t>
            </w:r>
          </w:p>
        </w:tc>
        <w:tc>
          <w:tcPr>
            <w:tcW w:w="851" w:type="dxa"/>
            <w:tcBorders>
              <w:top w:val="nil"/>
              <w:left w:val="nil"/>
              <w:bottom w:val="single" w:sz="4" w:space="0" w:color="auto"/>
              <w:right w:val="single" w:sz="4" w:space="0" w:color="auto"/>
            </w:tcBorders>
            <w:shd w:val="clear" w:color="auto" w:fill="auto"/>
            <w:noWrap/>
            <w:vAlign w:val="center"/>
            <w:hideMark/>
          </w:tcPr>
          <w:p w14:paraId="2CDD0AC9"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279</w:t>
            </w:r>
          </w:p>
        </w:tc>
        <w:tc>
          <w:tcPr>
            <w:tcW w:w="850" w:type="dxa"/>
            <w:tcBorders>
              <w:top w:val="nil"/>
              <w:left w:val="nil"/>
              <w:bottom w:val="single" w:sz="4" w:space="0" w:color="auto"/>
              <w:right w:val="single" w:sz="4" w:space="0" w:color="auto"/>
            </w:tcBorders>
            <w:shd w:val="clear" w:color="auto" w:fill="auto"/>
            <w:noWrap/>
            <w:vAlign w:val="center"/>
            <w:hideMark/>
          </w:tcPr>
          <w:p w14:paraId="36F37984"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14,605</w:t>
            </w:r>
          </w:p>
        </w:tc>
        <w:tc>
          <w:tcPr>
            <w:tcW w:w="851" w:type="dxa"/>
            <w:tcBorders>
              <w:top w:val="nil"/>
              <w:left w:val="nil"/>
              <w:bottom w:val="single" w:sz="4" w:space="0" w:color="auto"/>
              <w:right w:val="single" w:sz="4" w:space="0" w:color="auto"/>
            </w:tcBorders>
            <w:shd w:val="clear" w:color="auto" w:fill="auto"/>
            <w:noWrap/>
            <w:vAlign w:val="center"/>
            <w:hideMark/>
          </w:tcPr>
          <w:p w14:paraId="35899525"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0 </w:t>
            </w:r>
          </w:p>
        </w:tc>
        <w:tc>
          <w:tcPr>
            <w:tcW w:w="934" w:type="dxa"/>
            <w:tcBorders>
              <w:top w:val="nil"/>
              <w:left w:val="nil"/>
              <w:bottom w:val="single" w:sz="4" w:space="0" w:color="auto"/>
              <w:right w:val="single" w:sz="4" w:space="0" w:color="auto"/>
            </w:tcBorders>
            <w:shd w:val="clear" w:color="auto" w:fill="auto"/>
            <w:noWrap/>
            <w:vAlign w:val="center"/>
            <w:hideMark/>
          </w:tcPr>
          <w:p w14:paraId="7A2B7E43"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383,544</w:t>
            </w:r>
          </w:p>
        </w:tc>
        <w:tc>
          <w:tcPr>
            <w:tcW w:w="934" w:type="dxa"/>
            <w:tcBorders>
              <w:top w:val="nil"/>
              <w:left w:val="nil"/>
              <w:bottom w:val="single" w:sz="4" w:space="0" w:color="auto"/>
              <w:right w:val="single" w:sz="4" w:space="0" w:color="auto"/>
            </w:tcBorders>
            <w:shd w:val="clear" w:color="auto" w:fill="auto"/>
            <w:noWrap/>
            <w:vAlign w:val="center"/>
            <w:hideMark/>
          </w:tcPr>
          <w:p w14:paraId="7197B7AA"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333,845</w:t>
            </w:r>
          </w:p>
        </w:tc>
        <w:tc>
          <w:tcPr>
            <w:tcW w:w="825" w:type="dxa"/>
            <w:tcBorders>
              <w:top w:val="nil"/>
              <w:left w:val="nil"/>
              <w:bottom w:val="single" w:sz="4" w:space="0" w:color="auto"/>
              <w:right w:val="single" w:sz="4" w:space="0" w:color="auto"/>
            </w:tcBorders>
            <w:shd w:val="clear" w:color="auto" w:fill="auto"/>
            <w:noWrap/>
            <w:vAlign w:val="center"/>
            <w:hideMark/>
          </w:tcPr>
          <w:p w14:paraId="646DE12D"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42,675</w:t>
            </w:r>
          </w:p>
        </w:tc>
        <w:tc>
          <w:tcPr>
            <w:tcW w:w="908" w:type="dxa"/>
            <w:tcBorders>
              <w:top w:val="nil"/>
              <w:left w:val="nil"/>
              <w:bottom w:val="single" w:sz="4" w:space="0" w:color="auto"/>
              <w:right w:val="single" w:sz="4" w:space="0" w:color="auto"/>
            </w:tcBorders>
            <w:shd w:val="clear" w:color="auto" w:fill="auto"/>
            <w:noWrap/>
            <w:vAlign w:val="center"/>
            <w:hideMark/>
          </w:tcPr>
          <w:p w14:paraId="66647541"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0 </w:t>
            </w:r>
          </w:p>
        </w:tc>
        <w:tc>
          <w:tcPr>
            <w:tcW w:w="905" w:type="dxa"/>
            <w:tcBorders>
              <w:top w:val="nil"/>
              <w:left w:val="nil"/>
              <w:bottom w:val="single" w:sz="4" w:space="0" w:color="auto"/>
              <w:right w:val="single" w:sz="4" w:space="0" w:color="auto"/>
            </w:tcBorders>
            <w:shd w:val="clear" w:color="auto" w:fill="auto"/>
            <w:noWrap/>
            <w:vAlign w:val="center"/>
            <w:hideMark/>
          </w:tcPr>
          <w:p w14:paraId="36F32CC2"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0 </w:t>
            </w:r>
          </w:p>
        </w:tc>
        <w:tc>
          <w:tcPr>
            <w:tcW w:w="918" w:type="dxa"/>
            <w:tcBorders>
              <w:top w:val="nil"/>
              <w:left w:val="nil"/>
              <w:bottom w:val="single" w:sz="4" w:space="0" w:color="auto"/>
              <w:right w:val="single" w:sz="4" w:space="0" w:color="auto"/>
            </w:tcBorders>
            <w:shd w:val="clear" w:color="auto" w:fill="auto"/>
            <w:noWrap/>
            <w:vAlign w:val="center"/>
            <w:hideMark/>
          </w:tcPr>
          <w:p w14:paraId="2A08E8C4"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286</w:t>
            </w:r>
          </w:p>
        </w:tc>
        <w:tc>
          <w:tcPr>
            <w:tcW w:w="870" w:type="dxa"/>
            <w:tcBorders>
              <w:top w:val="nil"/>
              <w:left w:val="nil"/>
              <w:bottom w:val="single" w:sz="4" w:space="0" w:color="auto"/>
              <w:right w:val="single" w:sz="4" w:space="0" w:color="auto"/>
            </w:tcBorders>
            <w:shd w:val="clear" w:color="auto" w:fill="auto"/>
            <w:noWrap/>
            <w:vAlign w:val="center"/>
            <w:hideMark/>
          </w:tcPr>
          <w:p w14:paraId="32D67C53"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14,673</w:t>
            </w:r>
          </w:p>
        </w:tc>
        <w:tc>
          <w:tcPr>
            <w:tcW w:w="851" w:type="dxa"/>
            <w:tcBorders>
              <w:top w:val="nil"/>
              <w:left w:val="nil"/>
              <w:bottom w:val="single" w:sz="4" w:space="0" w:color="auto"/>
              <w:right w:val="single" w:sz="4" w:space="0" w:color="auto"/>
            </w:tcBorders>
            <w:shd w:val="clear" w:color="auto" w:fill="auto"/>
            <w:noWrap/>
            <w:vAlign w:val="center"/>
            <w:hideMark/>
          </w:tcPr>
          <w:p w14:paraId="696C3CD0"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0 </w:t>
            </w:r>
          </w:p>
        </w:tc>
        <w:tc>
          <w:tcPr>
            <w:tcW w:w="988" w:type="dxa"/>
            <w:tcBorders>
              <w:top w:val="nil"/>
              <w:left w:val="nil"/>
              <w:bottom w:val="single" w:sz="4" w:space="0" w:color="auto"/>
              <w:right w:val="single" w:sz="4" w:space="0" w:color="auto"/>
            </w:tcBorders>
            <w:shd w:val="clear" w:color="auto" w:fill="auto"/>
            <w:noWrap/>
            <w:vAlign w:val="center"/>
            <w:hideMark/>
          </w:tcPr>
          <w:p w14:paraId="7865EE65"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391,479</w:t>
            </w:r>
          </w:p>
        </w:tc>
      </w:tr>
      <w:tr w:rsidR="00003D7E" w:rsidRPr="00A47C7D" w14:paraId="53D5C1AF" w14:textId="77777777" w:rsidTr="0028566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CAA1581" w14:textId="77777777" w:rsidR="00BF2219" w:rsidRPr="00BF2219" w:rsidRDefault="00BF2219" w:rsidP="003D68D1">
            <w:pPr>
              <w:spacing w:after="0" w:line="240" w:lineRule="auto"/>
              <w:rPr>
                <w:rFonts w:cs="Arial"/>
                <w:color w:val="000000"/>
                <w:sz w:val="14"/>
                <w:szCs w:val="14"/>
                <w:lang w:eastAsia="en-AU"/>
              </w:rPr>
            </w:pPr>
            <w:r w:rsidRPr="00BF2219">
              <w:rPr>
                <w:rFonts w:cs="Arial"/>
                <w:color w:val="000000"/>
                <w:sz w:val="14"/>
                <w:szCs w:val="14"/>
                <w:lang w:eastAsia="en-AU"/>
              </w:rPr>
              <w:t>Community Health Centres</w:t>
            </w:r>
          </w:p>
        </w:tc>
        <w:tc>
          <w:tcPr>
            <w:tcW w:w="993" w:type="dxa"/>
            <w:tcBorders>
              <w:top w:val="nil"/>
              <w:left w:val="nil"/>
              <w:bottom w:val="single" w:sz="4" w:space="0" w:color="auto"/>
              <w:right w:val="single" w:sz="4" w:space="0" w:color="auto"/>
            </w:tcBorders>
            <w:shd w:val="clear" w:color="auto" w:fill="auto"/>
            <w:noWrap/>
            <w:vAlign w:val="center"/>
            <w:hideMark/>
          </w:tcPr>
          <w:p w14:paraId="2407E908"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9,014</w:t>
            </w:r>
          </w:p>
        </w:tc>
        <w:tc>
          <w:tcPr>
            <w:tcW w:w="850" w:type="dxa"/>
            <w:tcBorders>
              <w:top w:val="nil"/>
              <w:left w:val="nil"/>
              <w:bottom w:val="single" w:sz="4" w:space="0" w:color="auto"/>
              <w:right w:val="single" w:sz="4" w:space="0" w:color="auto"/>
            </w:tcBorders>
            <w:shd w:val="clear" w:color="auto" w:fill="auto"/>
            <w:noWrap/>
            <w:vAlign w:val="center"/>
            <w:hideMark/>
          </w:tcPr>
          <w:p w14:paraId="5E83926C"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31,811</w:t>
            </w:r>
          </w:p>
        </w:tc>
        <w:tc>
          <w:tcPr>
            <w:tcW w:w="851" w:type="dxa"/>
            <w:tcBorders>
              <w:top w:val="nil"/>
              <w:left w:val="nil"/>
              <w:bottom w:val="single" w:sz="4" w:space="0" w:color="auto"/>
              <w:right w:val="single" w:sz="4" w:space="0" w:color="auto"/>
            </w:tcBorders>
            <w:shd w:val="clear" w:color="auto" w:fill="auto"/>
            <w:noWrap/>
            <w:vAlign w:val="center"/>
            <w:hideMark/>
          </w:tcPr>
          <w:p w14:paraId="7895341D"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 0</w:t>
            </w:r>
          </w:p>
        </w:tc>
        <w:tc>
          <w:tcPr>
            <w:tcW w:w="850" w:type="dxa"/>
            <w:tcBorders>
              <w:top w:val="nil"/>
              <w:left w:val="nil"/>
              <w:bottom w:val="single" w:sz="4" w:space="0" w:color="auto"/>
              <w:right w:val="single" w:sz="4" w:space="0" w:color="auto"/>
            </w:tcBorders>
            <w:shd w:val="clear" w:color="auto" w:fill="auto"/>
            <w:noWrap/>
            <w:vAlign w:val="center"/>
            <w:hideMark/>
          </w:tcPr>
          <w:p w14:paraId="0EFD388B"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38,211</w:t>
            </w:r>
          </w:p>
        </w:tc>
        <w:tc>
          <w:tcPr>
            <w:tcW w:w="851" w:type="dxa"/>
            <w:tcBorders>
              <w:top w:val="nil"/>
              <w:left w:val="nil"/>
              <w:bottom w:val="single" w:sz="4" w:space="0" w:color="auto"/>
              <w:right w:val="single" w:sz="4" w:space="0" w:color="auto"/>
            </w:tcBorders>
            <w:shd w:val="clear" w:color="auto" w:fill="auto"/>
            <w:noWrap/>
            <w:vAlign w:val="center"/>
            <w:hideMark/>
          </w:tcPr>
          <w:p w14:paraId="236EF7A7"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20,837</w:t>
            </w:r>
          </w:p>
        </w:tc>
        <w:tc>
          <w:tcPr>
            <w:tcW w:w="850" w:type="dxa"/>
            <w:tcBorders>
              <w:top w:val="nil"/>
              <w:left w:val="nil"/>
              <w:bottom w:val="single" w:sz="4" w:space="0" w:color="auto"/>
              <w:right w:val="single" w:sz="4" w:space="0" w:color="auto"/>
            </w:tcBorders>
            <w:shd w:val="clear" w:color="auto" w:fill="auto"/>
            <w:noWrap/>
            <w:vAlign w:val="center"/>
            <w:hideMark/>
          </w:tcPr>
          <w:p w14:paraId="731F7C42"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114,591</w:t>
            </w:r>
          </w:p>
        </w:tc>
        <w:tc>
          <w:tcPr>
            <w:tcW w:w="851" w:type="dxa"/>
            <w:tcBorders>
              <w:top w:val="nil"/>
              <w:left w:val="nil"/>
              <w:bottom w:val="single" w:sz="4" w:space="0" w:color="auto"/>
              <w:right w:val="single" w:sz="4" w:space="0" w:color="auto"/>
            </w:tcBorders>
            <w:shd w:val="clear" w:color="auto" w:fill="auto"/>
            <w:noWrap/>
            <w:vAlign w:val="center"/>
            <w:hideMark/>
          </w:tcPr>
          <w:p w14:paraId="19EEF1D4"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3,138</w:t>
            </w:r>
          </w:p>
        </w:tc>
        <w:tc>
          <w:tcPr>
            <w:tcW w:w="934" w:type="dxa"/>
            <w:tcBorders>
              <w:top w:val="nil"/>
              <w:left w:val="nil"/>
              <w:bottom w:val="single" w:sz="4" w:space="0" w:color="auto"/>
              <w:right w:val="single" w:sz="4" w:space="0" w:color="auto"/>
            </w:tcBorders>
            <w:shd w:val="clear" w:color="auto" w:fill="auto"/>
            <w:noWrap/>
            <w:vAlign w:val="center"/>
            <w:hideMark/>
          </w:tcPr>
          <w:p w14:paraId="7EC0239C"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217,602</w:t>
            </w:r>
          </w:p>
        </w:tc>
        <w:tc>
          <w:tcPr>
            <w:tcW w:w="934" w:type="dxa"/>
            <w:tcBorders>
              <w:top w:val="nil"/>
              <w:left w:val="nil"/>
              <w:bottom w:val="single" w:sz="4" w:space="0" w:color="auto"/>
              <w:right w:val="single" w:sz="4" w:space="0" w:color="auto"/>
            </w:tcBorders>
            <w:shd w:val="clear" w:color="auto" w:fill="auto"/>
            <w:noWrap/>
            <w:vAlign w:val="center"/>
            <w:hideMark/>
          </w:tcPr>
          <w:p w14:paraId="2C231075"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8,615</w:t>
            </w:r>
          </w:p>
        </w:tc>
        <w:tc>
          <w:tcPr>
            <w:tcW w:w="825" w:type="dxa"/>
            <w:tcBorders>
              <w:top w:val="nil"/>
              <w:left w:val="nil"/>
              <w:bottom w:val="single" w:sz="4" w:space="0" w:color="auto"/>
              <w:right w:val="single" w:sz="4" w:space="0" w:color="auto"/>
            </w:tcBorders>
            <w:shd w:val="clear" w:color="auto" w:fill="auto"/>
            <w:noWrap/>
            <w:vAlign w:val="center"/>
            <w:hideMark/>
          </w:tcPr>
          <w:p w14:paraId="583B2AD9"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34,234</w:t>
            </w:r>
          </w:p>
        </w:tc>
        <w:tc>
          <w:tcPr>
            <w:tcW w:w="908" w:type="dxa"/>
            <w:tcBorders>
              <w:top w:val="nil"/>
              <w:left w:val="nil"/>
              <w:bottom w:val="single" w:sz="4" w:space="0" w:color="auto"/>
              <w:right w:val="single" w:sz="4" w:space="0" w:color="auto"/>
            </w:tcBorders>
            <w:shd w:val="clear" w:color="auto" w:fill="auto"/>
            <w:noWrap/>
            <w:vAlign w:val="center"/>
            <w:hideMark/>
          </w:tcPr>
          <w:p w14:paraId="70E7B892"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0 </w:t>
            </w:r>
          </w:p>
        </w:tc>
        <w:tc>
          <w:tcPr>
            <w:tcW w:w="905" w:type="dxa"/>
            <w:tcBorders>
              <w:top w:val="nil"/>
              <w:left w:val="nil"/>
              <w:bottom w:val="single" w:sz="4" w:space="0" w:color="auto"/>
              <w:right w:val="single" w:sz="4" w:space="0" w:color="auto"/>
            </w:tcBorders>
            <w:shd w:val="clear" w:color="auto" w:fill="auto"/>
            <w:noWrap/>
            <w:vAlign w:val="center"/>
            <w:hideMark/>
          </w:tcPr>
          <w:p w14:paraId="04A0AEE8"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39,435</w:t>
            </w:r>
          </w:p>
        </w:tc>
        <w:tc>
          <w:tcPr>
            <w:tcW w:w="918" w:type="dxa"/>
            <w:tcBorders>
              <w:top w:val="nil"/>
              <w:left w:val="nil"/>
              <w:bottom w:val="single" w:sz="4" w:space="0" w:color="auto"/>
              <w:right w:val="single" w:sz="4" w:space="0" w:color="auto"/>
            </w:tcBorders>
            <w:shd w:val="clear" w:color="auto" w:fill="auto"/>
            <w:noWrap/>
            <w:vAlign w:val="center"/>
            <w:hideMark/>
          </w:tcPr>
          <w:p w14:paraId="2362A31F"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30,496</w:t>
            </w:r>
          </w:p>
        </w:tc>
        <w:tc>
          <w:tcPr>
            <w:tcW w:w="870" w:type="dxa"/>
            <w:tcBorders>
              <w:top w:val="nil"/>
              <w:left w:val="nil"/>
              <w:bottom w:val="single" w:sz="4" w:space="0" w:color="auto"/>
              <w:right w:val="single" w:sz="4" w:space="0" w:color="auto"/>
            </w:tcBorders>
            <w:shd w:val="clear" w:color="auto" w:fill="auto"/>
            <w:noWrap/>
            <w:vAlign w:val="center"/>
            <w:hideMark/>
          </w:tcPr>
          <w:p w14:paraId="1A188F84"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120,404</w:t>
            </w:r>
          </w:p>
        </w:tc>
        <w:tc>
          <w:tcPr>
            <w:tcW w:w="851" w:type="dxa"/>
            <w:tcBorders>
              <w:top w:val="nil"/>
              <w:left w:val="nil"/>
              <w:bottom w:val="single" w:sz="4" w:space="0" w:color="auto"/>
              <w:right w:val="single" w:sz="4" w:space="0" w:color="auto"/>
            </w:tcBorders>
            <w:shd w:val="clear" w:color="auto" w:fill="auto"/>
            <w:noWrap/>
            <w:vAlign w:val="center"/>
            <w:hideMark/>
          </w:tcPr>
          <w:p w14:paraId="3B4677B8"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3,438</w:t>
            </w:r>
          </w:p>
        </w:tc>
        <w:tc>
          <w:tcPr>
            <w:tcW w:w="988" w:type="dxa"/>
            <w:tcBorders>
              <w:top w:val="nil"/>
              <w:left w:val="nil"/>
              <w:bottom w:val="single" w:sz="4" w:space="0" w:color="auto"/>
              <w:right w:val="single" w:sz="4" w:space="0" w:color="auto"/>
            </w:tcBorders>
            <w:shd w:val="clear" w:color="auto" w:fill="auto"/>
            <w:noWrap/>
            <w:vAlign w:val="center"/>
            <w:hideMark/>
          </w:tcPr>
          <w:p w14:paraId="196BB399"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236,622</w:t>
            </w:r>
          </w:p>
        </w:tc>
      </w:tr>
      <w:tr w:rsidR="00003D7E" w:rsidRPr="00A47C7D" w14:paraId="37DB38D2" w14:textId="77777777" w:rsidTr="0028566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A742CE4" w14:textId="77777777" w:rsidR="00BF2219" w:rsidRPr="00BF2219" w:rsidRDefault="00BF2219" w:rsidP="003D68D1">
            <w:pPr>
              <w:spacing w:after="0" w:line="240" w:lineRule="auto"/>
              <w:rPr>
                <w:rFonts w:cs="Arial"/>
                <w:color w:val="000000"/>
                <w:sz w:val="14"/>
                <w:szCs w:val="14"/>
                <w:lang w:eastAsia="en-AU"/>
              </w:rPr>
            </w:pPr>
            <w:r w:rsidRPr="00BF2219">
              <w:rPr>
                <w:rFonts w:cs="Arial"/>
                <w:color w:val="000000"/>
                <w:sz w:val="14"/>
                <w:szCs w:val="14"/>
                <w:lang w:eastAsia="en-AU"/>
              </w:rPr>
              <w:t>Local Government</w:t>
            </w:r>
          </w:p>
        </w:tc>
        <w:tc>
          <w:tcPr>
            <w:tcW w:w="993" w:type="dxa"/>
            <w:tcBorders>
              <w:top w:val="nil"/>
              <w:left w:val="nil"/>
              <w:bottom w:val="single" w:sz="4" w:space="0" w:color="auto"/>
              <w:right w:val="single" w:sz="4" w:space="0" w:color="auto"/>
            </w:tcBorders>
            <w:shd w:val="clear" w:color="auto" w:fill="auto"/>
            <w:noWrap/>
            <w:vAlign w:val="center"/>
            <w:hideMark/>
          </w:tcPr>
          <w:p w14:paraId="65EB0A42"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 0</w:t>
            </w:r>
          </w:p>
        </w:tc>
        <w:tc>
          <w:tcPr>
            <w:tcW w:w="850" w:type="dxa"/>
            <w:tcBorders>
              <w:top w:val="nil"/>
              <w:left w:val="nil"/>
              <w:bottom w:val="single" w:sz="4" w:space="0" w:color="auto"/>
              <w:right w:val="single" w:sz="4" w:space="0" w:color="auto"/>
            </w:tcBorders>
            <w:shd w:val="clear" w:color="auto" w:fill="auto"/>
            <w:noWrap/>
            <w:vAlign w:val="center"/>
            <w:hideMark/>
          </w:tcPr>
          <w:p w14:paraId="04F5613E"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19,467</w:t>
            </w:r>
          </w:p>
        </w:tc>
        <w:tc>
          <w:tcPr>
            <w:tcW w:w="851" w:type="dxa"/>
            <w:tcBorders>
              <w:top w:val="nil"/>
              <w:left w:val="nil"/>
              <w:bottom w:val="single" w:sz="4" w:space="0" w:color="auto"/>
              <w:right w:val="single" w:sz="4" w:space="0" w:color="auto"/>
            </w:tcBorders>
            <w:shd w:val="clear" w:color="auto" w:fill="auto"/>
            <w:noWrap/>
            <w:vAlign w:val="center"/>
            <w:hideMark/>
          </w:tcPr>
          <w:p w14:paraId="54A04424"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 0</w:t>
            </w:r>
          </w:p>
        </w:tc>
        <w:tc>
          <w:tcPr>
            <w:tcW w:w="850" w:type="dxa"/>
            <w:tcBorders>
              <w:top w:val="nil"/>
              <w:left w:val="nil"/>
              <w:bottom w:val="single" w:sz="4" w:space="0" w:color="auto"/>
              <w:right w:val="single" w:sz="4" w:space="0" w:color="auto"/>
            </w:tcBorders>
            <w:shd w:val="clear" w:color="auto" w:fill="auto"/>
            <w:noWrap/>
            <w:vAlign w:val="center"/>
            <w:hideMark/>
          </w:tcPr>
          <w:p w14:paraId="2362F0E5"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 0</w:t>
            </w:r>
          </w:p>
        </w:tc>
        <w:tc>
          <w:tcPr>
            <w:tcW w:w="851" w:type="dxa"/>
            <w:tcBorders>
              <w:top w:val="nil"/>
              <w:left w:val="nil"/>
              <w:bottom w:val="single" w:sz="4" w:space="0" w:color="auto"/>
              <w:right w:val="single" w:sz="4" w:space="0" w:color="auto"/>
            </w:tcBorders>
            <w:shd w:val="clear" w:color="auto" w:fill="auto"/>
            <w:noWrap/>
            <w:vAlign w:val="center"/>
            <w:hideMark/>
          </w:tcPr>
          <w:p w14:paraId="25C05689"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1,363</w:t>
            </w:r>
          </w:p>
        </w:tc>
        <w:tc>
          <w:tcPr>
            <w:tcW w:w="850" w:type="dxa"/>
            <w:tcBorders>
              <w:top w:val="nil"/>
              <w:left w:val="nil"/>
              <w:bottom w:val="single" w:sz="4" w:space="0" w:color="auto"/>
              <w:right w:val="single" w:sz="4" w:space="0" w:color="auto"/>
            </w:tcBorders>
            <w:shd w:val="clear" w:color="auto" w:fill="auto"/>
            <w:noWrap/>
            <w:vAlign w:val="center"/>
            <w:hideMark/>
          </w:tcPr>
          <w:p w14:paraId="5EC49B56"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92,998</w:t>
            </w:r>
          </w:p>
        </w:tc>
        <w:tc>
          <w:tcPr>
            <w:tcW w:w="851" w:type="dxa"/>
            <w:tcBorders>
              <w:top w:val="nil"/>
              <w:left w:val="nil"/>
              <w:bottom w:val="single" w:sz="4" w:space="0" w:color="auto"/>
              <w:right w:val="single" w:sz="4" w:space="0" w:color="auto"/>
            </w:tcBorders>
            <w:shd w:val="clear" w:color="auto" w:fill="auto"/>
            <w:noWrap/>
            <w:vAlign w:val="center"/>
            <w:hideMark/>
          </w:tcPr>
          <w:p w14:paraId="37881CB7"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1,801</w:t>
            </w:r>
          </w:p>
        </w:tc>
        <w:tc>
          <w:tcPr>
            <w:tcW w:w="934" w:type="dxa"/>
            <w:tcBorders>
              <w:top w:val="nil"/>
              <w:left w:val="nil"/>
              <w:bottom w:val="single" w:sz="4" w:space="0" w:color="auto"/>
              <w:right w:val="single" w:sz="4" w:space="0" w:color="auto"/>
            </w:tcBorders>
            <w:shd w:val="clear" w:color="auto" w:fill="auto"/>
            <w:noWrap/>
            <w:vAlign w:val="center"/>
            <w:hideMark/>
          </w:tcPr>
          <w:p w14:paraId="7BC27696"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115,629</w:t>
            </w:r>
          </w:p>
        </w:tc>
        <w:tc>
          <w:tcPr>
            <w:tcW w:w="934" w:type="dxa"/>
            <w:tcBorders>
              <w:top w:val="nil"/>
              <w:left w:val="nil"/>
              <w:bottom w:val="single" w:sz="4" w:space="0" w:color="auto"/>
              <w:right w:val="single" w:sz="4" w:space="0" w:color="auto"/>
            </w:tcBorders>
            <w:shd w:val="clear" w:color="auto" w:fill="auto"/>
            <w:noWrap/>
            <w:vAlign w:val="center"/>
            <w:hideMark/>
          </w:tcPr>
          <w:p w14:paraId="6E4C5E16"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0 </w:t>
            </w:r>
          </w:p>
        </w:tc>
        <w:tc>
          <w:tcPr>
            <w:tcW w:w="825" w:type="dxa"/>
            <w:tcBorders>
              <w:top w:val="nil"/>
              <w:left w:val="nil"/>
              <w:bottom w:val="single" w:sz="4" w:space="0" w:color="auto"/>
              <w:right w:val="single" w:sz="4" w:space="0" w:color="auto"/>
            </w:tcBorders>
            <w:shd w:val="clear" w:color="auto" w:fill="auto"/>
            <w:noWrap/>
            <w:vAlign w:val="center"/>
            <w:hideMark/>
          </w:tcPr>
          <w:p w14:paraId="02C26D1A"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18,491</w:t>
            </w:r>
          </w:p>
        </w:tc>
        <w:tc>
          <w:tcPr>
            <w:tcW w:w="908" w:type="dxa"/>
            <w:tcBorders>
              <w:top w:val="nil"/>
              <w:left w:val="nil"/>
              <w:bottom w:val="single" w:sz="4" w:space="0" w:color="auto"/>
              <w:right w:val="single" w:sz="4" w:space="0" w:color="auto"/>
            </w:tcBorders>
            <w:shd w:val="clear" w:color="auto" w:fill="auto"/>
            <w:noWrap/>
            <w:vAlign w:val="center"/>
            <w:hideMark/>
          </w:tcPr>
          <w:p w14:paraId="77E042B4"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0 </w:t>
            </w:r>
          </w:p>
        </w:tc>
        <w:tc>
          <w:tcPr>
            <w:tcW w:w="905" w:type="dxa"/>
            <w:tcBorders>
              <w:top w:val="nil"/>
              <w:left w:val="nil"/>
              <w:bottom w:val="single" w:sz="4" w:space="0" w:color="auto"/>
              <w:right w:val="single" w:sz="4" w:space="0" w:color="auto"/>
            </w:tcBorders>
            <w:shd w:val="clear" w:color="auto" w:fill="auto"/>
            <w:noWrap/>
            <w:vAlign w:val="center"/>
            <w:hideMark/>
          </w:tcPr>
          <w:p w14:paraId="716BDF70"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0 </w:t>
            </w:r>
          </w:p>
        </w:tc>
        <w:tc>
          <w:tcPr>
            <w:tcW w:w="918" w:type="dxa"/>
            <w:tcBorders>
              <w:top w:val="nil"/>
              <w:left w:val="nil"/>
              <w:bottom w:val="single" w:sz="4" w:space="0" w:color="auto"/>
              <w:right w:val="single" w:sz="4" w:space="0" w:color="auto"/>
            </w:tcBorders>
            <w:shd w:val="clear" w:color="auto" w:fill="auto"/>
            <w:noWrap/>
            <w:vAlign w:val="center"/>
            <w:hideMark/>
          </w:tcPr>
          <w:p w14:paraId="5267B9C2"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1,344</w:t>
            </w:r>
          </w:p>
        </w:tc>
        <w:tc>
          <w:tcPr>
            <w:tcW w:w="870" w:type="dxa"/>
            <w:tcBorders>
              <w:top w:val="nil"/>
              <w:left w:val="nil"/>
              <w:bottom w:val="single" w:sz="4" w:space="0" w:color="auto"/>
              <w:right w:val="single" w:sz="4" w:space="0" w:color="auto"/>
            </w:tcBorders>
            <w:shd w:val="clear" w:color="auto" w:fill="auto"/>
            <w:noWrap/>
            <w:vAlign w:val="center"/>
            <w:hideMark/>
          </w:tcPr>
          <w:p w14:paraId="704E1ADE"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96,042</w:t>
            </w:r>
          </w:p>
        </w:tc>
        <w:tc>
          <w:tcPr>
            <w:tcW w:w="851" w:type="dxa"/>
            <w:tcBorders>
              <w:top w:val="nil"/>
              <w:left w:val="nil"/>
              <w:bottom w:val="single" w:sz="4" w:space="0" w:color="auto"/>
              <w:right w:val="single" w:sz="4" w:space="0" w:color="auto"/>
            </w:tcBorders>
            <w:shd w:val="clear" w:color="auto" w:fill="auto"/>
            <w:noWrap/>
            <w:vAlign w:val="center"/>
            <w:hideMark/>
          </w:tcPr>
          <w:p w14:paraId="7F69BD37"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3,351</w:t>
            </w:r>
          </w:p>
        </w:tc>
        <w:tc>
          <w:tcPr>
            <w:tcW w:w="988" w:type="dxa"/>
            <w:tcBorders>
              <w:top w:val="nil"/>
              <w:left w:val="nil"/>
              <w:bottom w:val="single" w:sz="4" w:space="0" w:color="auto"/>
              <w:right w:val="single" w:sz="4" w:space="0" w:color="auto"/>
            </w:tcBorders>
            <w:shd w:val="clear" w:color="auto" w:fill="auto"/>
            <w:noWrap/>
            <w:vAlign w:val="center"/>
            <w:hideMark/>
          </w:tcPr>
          <w:p w14:paraId="168CEFE1"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119,228</w:t>
            </w:r>
          </w:p>
        </w:tc>
      </w:tr>
      <w:tr w:rsidR="00003D7E" w:rsidRPr="00A47C7D" w14:paraId="49171D9D" w14:textId="77777777" w:rsidTr="0028566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01F9EF6" w14:textId="77777777" w:rsidR="00BF2219" w:rsidRPr="00BF2219" w:rsidRDefault="00BF2219" w:rsidP="003D68D1">
            <w:pPr>
              <w:spacing w:after="0" w:line="240" w:lineRule="auto"/>
              <w:rPr>
                <w:rFonts w:cs="Arial"/>
                <w:color w:val="000000"/>
                <w:sz w:val="14"/>
                <w:szCs w:val="14"/>
                <w:lang w:eastAsia="en-AU"/>
              </w:rPr>
            </w:pPr>
            <w:r w:rsidRPr="00BF2219">
              <w:rPr>
                <w:rFonts w:cs="Arial"/>
                <w:color w:val="000000"/>
                <w:sz w:val="14"/>
                <w:szCs w:val="14"/>
                <w:lang w:eastAsia="en-AU"/>
              </w:rPr>
              <w:t>Non-Government Providers</w:t>
            </w:r>
          </w:p>
        </w:tc>
        <w:tc>
          <w:tcPr>
            <w:tcW w:w="993" w:type="dxa"/>
            <w:tcBorders>
              <w:top w:val="nil"/>
              <w:left w:val="nil"/>
              <w:bottom w:val="single" w:sz="4" w:space="0" w:color="auto"/>
              <w:right w:val="single" w:sz="4" w:space="0" w:color="auto"/>
            </w:tcBorders>
            <w:shd w:val="clear" w:color="auto" w:fill="auto"/>
            <w:noWrap/>
            <w:vAlign w:val="center"/>
            <w:hideMark/>
          </w:tcPr>
          <w:p w14:paraId="082238EF"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117,454</w:t>
            </w:r>
          </w:p>
        </w:tc>
        <w:tc>
          <w:tcPr>
            <w:tcW w:w="850" w:type="dxa"/>
            <w:tcBorders>
              <w:top w:val="nil"/>
              <w:left w:val="nil"/>
              <w:bottom w:val="single" w:sz="4" w:space="0" w:color="auto"/>
              <w:right w:val="single" w:sz="4" w:space="0" w:color="auto"/>
            </w:tcBorders>
            <w:shd w:val="clear" w:color="auto" w:fill="auto"/>
            <w:noWrap/>
            <w:vAlign w:val="center"/>
            <w:hideMark/>
          </w:tcPr>
          <w:p w14:paraId="23EEDC27"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95,258</w:t>
            </w:r>
          </w:p>
        </w:tc>
        <w:tc>
          <w:tcPr>
            <w:tcW w:w="851" w:type="dxa"/>
            <w:tcBorders>
              <w:top w:val="nil"/>
              <w:left w:val="nil"/>
              <w:bottom w:val="single" w:sz="4" w:space="0" w:color="auto"/>
              <w:right w:val="single" w:sz="4" w:space="0" w:color="auto"/>
            </w:tcBorders>
            <w:shd w:val="clear" w:color="auto" w:fill="auto"/>
            <w:noWrap/>
            <w:vAlign w:val="center"/>
            <w:hideMark/>
          </w:tcPr>
          <w:p w14:paraId="1D8087E8"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 0</w:t>
            </w:r>
          </w:p>
        </w:tc>
        <w:tc>
          <w:tcPr>
            <w:tcW w:w="850" w:type="dxa"/>
            <w:tcBorders>
              <w:top w:val="nil"/>
              <w:left w:val="nil"/>
              <w:bottom w:val="single" w:sz="4" w:space="0" w:color="auto"/>
              <w:right w:val="single" w:sz="4" w:space="0" w:color="auto"/>
            </w:tcBorders>
            <w:shd w:val="clear" w:color="auto" w:fill="auto"/>
            <w:noWrap/>
            <w:vAlign w:val="center"/>
            <w:hideMark/>
          </w:tcPr>
          <w:p w14:paraId="66EA8A8C"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126,956</w:t>
            </w:r>
          </w:p>
        </w:tc>
        <w:tc>
          <w:tcPr>
            <w:tcW w:w="851" w:type="dxa"/>
            <w:tcBorders>
              <w:top w:val="nil"/>
              <w:left w:val="nil"/>
              <w:bottom w:val="single" w:sz="4" w:space="0" w:color="auto"/>
              <w:right w:val="single" w:sz="4" w:space="0" w:color="auto"/>
            </w:tcBorders>
            <w:shd w:val="clear" w:color="auto" w:fill="auto"/>
            <w:noWrap/>
            <w:vAlign w:val="center"/>
            <w:hideMark/>
          </w:tcPr>
          <w:p w14:paraId="4ED210B3"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99,088</w:t>
            </w:r>
          </w:p>
        </w:tc>
        <w:tc>
          <w:tcPr>
            <w:tcW w:w="850" w:type="dxa"/>
            <w:tcBorders>
              <w:top w:val="nil"/>
              <w:left w:val="nil"/>
              <w:bottom w:val="single" w:sz="4" w:space="0" w:color="auto"/>
              <w:right w:val="single" w:sz="4" w:space="0" w:color="auto"/>
            </w:tcBorders>
            <w:shd w:val="clear" w:color="auto" w:fill="auto"/>
            <w:noWrap/>
            <w:vAlign w:val="center"/>
            <w:hideMark/>
          </w:tcPr>
          <w:p w14:paraId="6BD775D2"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57,103</w:t>
            </w:r>
          </w:p>
        </w:tc>
        <w:tc>
          <w:tcPr>
            <w:tcW w:w="851" w:type="dxa"/>
            <w:tcBorders>
              <w:top w:val="nil"/>
              <w:left w:val="nil"/>
              <w:bottom w:val="single" w:sz="4" w:space="0" w:color="auto"/>
              <w:right w:val="single" w:sz="4" w:space="0" w:color="auto"/>
            </w:tcBorders>
            <w:shd w:val="clear" w:color="auto" w:fill="auto"/>
            <w:noWrap/>
            <w:vAlign w:val="center"/>
            <w:hideMark/>
          </w:tcPr>
          <w:p w14:paraId="43CFEE7A"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157,454</w:t>
            </w:r>
          </w:p>
        </w:tc>
        <w:tc>
          <w:tcPr>
            <w:tcW w:w="934" w:type="dxa"/>
            <w:tcBorders>
              <w:top w:val="nil"/>
              <w:left w:val="nil"/>
              <w:bottom w:val="single" w:sz="4" w:space="0" w:color="auto"/>
              <w:right w:val="single" w:sz="4" w:space="0" w:color="auto"/>
            </w:tcBorders>
            <w:shd w:val="clear" w:color="auto" w:fill="auto"/>
            <w:noWrap/>
            <w:vAlign w:val="center"/>
            <w:hideMark/>
          </w:tcPr>
          <w:p w14:paraId="1AFC9B75"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653,313</w:t>
            </w:r>
          </w:p>
        </w:tc>
        <w:tc>
          <w:tcPr>
            <w:tcW w:w="934" w:type="dxa"/>
            <w:tcBorders>
              <w:top w:val="nil"/>
              <w:left w:val="nil"/>
              <w:bottom w:val="single" w:sz="4" w:space="0" w:color="auto"/>
              <w:right w:val="single" w:sz="4" w:space="0" w:color="auto"/>
            </w:tcBorders>
            <w:shd w:val="clear" w:color="auto" w:fill="auto"/>
            <w:noWrap/>
            <w:vAlign w:val="center"/>
            <w:hideMark/>
          </w:tcPr>
          <w:p w14:paraId="67E4A8E0"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98,211</w:t>
            </w:r>
          </w:p>
        </w:tc>
        <w:tc>
          <w:tcPr>
            <w:tcW w:w="825" w:type="dxa"/>
            <w:tcBorders>
              <w:top w:val="nil"/>
              <w:left w:val="nil"/>
              <w:bottom w:val="single" w:sz="4" w:space="0" w:color="auto"/>
              <w:right w:val="single" w:sz="4" w:space="0" w:color="auto"/>
            </w:tcBorders>
            <w:shd w:val="clear" w:color="auto" w:fill="auto"/>
            <w:noWrap/>
            <w:vAlign w:val="center"/>
            <w:hideMark/>
          </w:tcPr>
          <w:p w14:paraId="4A2F7D41"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99,921</w:t>
            </w:r>
          </w:p>
        </w:tc>
        <w:tc>
          <w:tcPr>
            <w:tcW w:w="908" w:type="dxa"/>
            <w:tcBorders>
              <w:top w:val="nil"/>
              <w:left w:val="nil"/>
              <w:bottom w:val="single" w:sz="4" w:space="0" w:color="auto"/>
              <w:right w:val="single" w:sz="4" w:space="0" w:color="auto"/>
            </w:tcBorders>
            <w:shd w:val="clear" w:color="auto" w:fill="auto"/>
            <w:noWrap/>
            <w:vAlign w:val="center"/>
            <w:hideMark/>
          </w:tcPr>
          <w:p w14:paraId="1AE50553"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0 </w:t>
            </w:r>
          </w:p>
        </w:tc>
        <w:tc>
          <w:tcPr>
            <w:tcW w:w="905" w:type="dxa"/>
            <w:tcBorders>
              <w:top w:val="nil"/>
              <w:left w:val="nil"/>
              <w:bottom w:val="single" w:sz="4" w:space="0" w:color="auto"/>
              <w:right w:val="single" w:sz="4" w:space="0" w:color="auto"/>
            </w:tcBorders>
            <w:shd w:val="clear" w:color="auto" w:fill="auto"/>
            <w:noWrap/>
            <w:vAlign w:val="center"/>
            <w:hideMark/>
          </w:tcPr>
          <w:p w14:paraId="5F0A0B68"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134,665</w:t>
            </w:r>
          </w:p>
        </w:tc>
        <w:tc>
          <w:tcPr>
            <w:tcW w:w="918" w:type="dxa"/>
            <w:tcBorders>
              <w:top w:val="nil"/>
              <w:left w:val="nil"/>
              <w:bottom w:val="single" w:sz="4" w:space="0" w:color="auto"/>
              <w:right w:val="single" w:sz="4" w:space="0" w:color="auto"/>
            </w:tcBorders>
            <w:shd w:val="clear" w:color="auto" w:fill="auto"/>
            <w:noWrap/>
            <w:vAlign w:val="center"/>
            <w:hideMark/>
          </w:tcPr>
          <w:p w14:paraId="1F646ED9"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112,164</w:t>
            </w:r>
          </w:p>
        </w:tc>
        <w:tc>
          <w:tcPr>
            <w:tcW w:w="870" w:type="dxa"/>
            <w:tcBorders>
              <w:top w:val="nil"/>
              <w:left w:val="nil"/>
              <w:bottom w:val="single" w:sz="4" w:space="0" w:color="auto"/>
              <w:right w:val="single" w:sz="4" w:space="0" w:color="auto"/>
            </w:tcBorders>
            <w:shd w:val="clear" w:color="auto" w:fill="auto"/>
            <w:noWrap/>
            <w:vAlign w:val="center"/>
            <w:hideMark/>
          </w:tcPr>
          <w:p w14:paraId="6AFD3B0B"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49,960</w:t>
            </w:r>
          </w:p>
        </w:tc>
        <w:tc>
          <w:tcPr>
            <w:tcW w:w="851" w:type="dxa"/>
            <w:tcBorders>
              <w:top w:val="nil"/>
              <w:left w:val="nil"/>
              <w:bottom w:val="single" w:sz="4" w:space="0" w:color="auto"/>
              <w:right w:val="single" w:sz="4" w:space="0" w:color="auto"/>
            </w:tcBorders>
            <w:shd w:val="clear" w:color="auto" w:fill="auto"/>
            <w:noWrap/>
            <w:vAlign w:val="center"/>
            <w:hideMark/>
          </w:tcPr>
          <w:p w14:paraId="0FCF0864"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172,884</w:t>
            </w:r>
          </w:p>
        </w:tc>
        <w:tc>
          <w:tcPr>
            <w:tcW w:w="988" w:type="dxa"/>
            <w:tcBorders>
              <w:top w:val="nil"/>
              <w:left w:val="nil"/>
              <w:bottom w:val="single" w:sz="4" w:space="0" w:color="auto"/>
              <w:right w:val="single" w:sz="4" w:space="0" w:color="auto"/>
            </w:tcBorders>
            <w:shd w:val="clear" w:color="auto" w:fill="auto"/>
            <w:noWrap/>
            <w:vAlign w:val="center"/>
            <w:hideMark/>
          </w:tcPr>
          <w:p w14:paraId="14818D51"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667,806</w:t>
            </w:r>
          </w:p>
        </w:tc>
      </w:tr>
      <w:tr w:rsidR="00003D7E" w:rsidRPr="00A47C7D" w14:paraId="2FA8553A" w14:textId="77777777" w:rsidTr="0028566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6D7EAED" w14:textId="77777777" w:rsidR="00BF2219" w:rsidRPr="00BF2219" w:rsidRDefault="00BF2219" w:rsidP="003D68D1">
            <w:pPr>
              <w:spacing w:after="0" w:line="240" w:lineRule="auto"/>
              <w:rPr>
                <w:rFonts w:cs="Arial"/>
                <w:color w:val="000000"/>
                <w:sz w:val="14"/>
                <w:szCs w:val="14"/>
                <w:lang w:eastAsia="en-AU"/>
              </w:rPr>
            </w:pPr>
            <w:r w:rsidRPr="00BF2219">
              <w:rPr>
                <w:rFonts w:cs="Arial"/>
                <w:color w:val="000000"/>
                <w:sz w:val="14"/>
                <w:szCs w:val="14"/>
                <w:lang w:eastAsia="en-AU"/>
              </w:rPr>
              <w:t>Other</w:t>
            </w:r>
          </w:p>
        </w:tc>
        <w:tc>
          <w:tcPr>
            <w:tcW w:w="993" w:type="dxa"/>
            <w:tcBorders>
              <w:top w:val="nil"/>
              <w:left w:val="nil"/>
              <w:bottom w:val="single" w:sz="4" w:space="0" w:color="auto"/>
              <w:right w:val="single" w:sz="4" w:space="0" w:color="auto"/>
            </w:tcBorders>
            <w:shd w:val="clear" w:color="auto" w:fill="auto"/>
            <w:noWrap/>
            <w:vAlign w:val="center"/>
            <w:hideMark/>
          </w:tcPr>
          <w:p w14:paraId="745C463C"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676,172</w:t>
            </w:r>
          </w:p>
        </w:tc>
        <w:tc>
          <w:tcPr>
            <w:tcW w:w="850" w:type="dxa"/>
            <w:tcBorders>
              <w:top w:val="nil"/>
              <w:left w:val="nil"/>
              <w:bottom w:val="single" w:sz="4" w:space="0" w:color="auto"/>
              <w:right w:val="single" w:sz="4" w:space="0" w:color="auto"/>
            </w:tcBorders>
            <w:shd w:val="clear" w:color="auto" w:fill="auto"/>
            <w:noWrap/>
            <w:vAlign w:val="center"/>
            <w:hideMark/>
          </w:tcPr>
          <w:p w14:paraId="12FF5839"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5,257</w:t>
            </w:r>
          </w:p>
        </w:tc>
        <w:tc>
          <w:tcPr>
            <w:tcW w:w="851" w:type="dxa"/>
            <w:tcBorders>
              <w:top w:val="nil"/>
              <w:left w:val="nil"/>
              <w:bottom w:val="single" w:sz="4" w:space="0" w:color="auto"/>
              <w:right w:val="single" w:sz="4" w:space="0" w:color="auto"/>
            </w:tcBorders>
            <w:shd w:val="clear" w:color="auto" w:fill="auto"/>
            <w:noWrap/>
            <w:vAlign w:val="center"/>
            <w:hideMark/>
          </w:tcPr>
          <w:p w14:paraId="68E82FE3"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893,343</w:t>
            </w:r>
          </w:p>
        </w:tc>
        <w:tc>
          <w:tcPr>
            <w:tcW w:w="850" w:type="dxa"/>
            <w:tcBorders>
              <w:top w:val="nil"/>
              <w:left w:val="nil"/>
              <w:bottom w:val="single" w:sz="4" w:space="0" w:color="auto"/>
              <w:right w:val="single" w:sz="4" w:space="0" w:color="auto"/>
            </w:tcBorders>
            <w:shd w:val="clear" w:color="auto" w:fill="auto"/>
            <w:noWrap/>
            <w:vAlign w:val="center"/>
            <w:hideMark/>
          </w:tcPr>
          <w:p w14:paraId="2E82059C"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3,766</w:t>
            </w:r>
          </w:p>
        </w:tc>
        <w:tc>
          <w:tcPr>
            <w:tcW w:w="851" w:type="dxa"/>
            <w:tcBorders>
              <w:top w:val="nil"/>
              <w:left w:val="nil"/>
              <w:bottom w:val="single" w:sz="4" w:space="0" w:color="auto"/>
              <w:right w:val="single" w:sz="4" w:space="0" w:color="auto"/>
            </w:tcBorders>
            <w:shd w:val="clear" w:color="auto" w:fill="auto"/>
            <w:noWrap/>
            <w:vAlign w:val="center"/>
            <w:hideMark/>
          </w:tcPr>
          <w:p w14:paraId="4D1E0BF6"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101,372</w:t>
            </w:r>
          </w:p>
        </w:tc>
        <w:tc>
          <w:tcPr>
            <w:tcW w:w="850" w:type="dxa"/>
            <w:tcBorders>
              <w:top w:val="nil"/>
              <w:left w:val="nil"/>
              <w:bottom w:val="single" w:sz="4" w:space="0" w:color="auto"/>
              <w:right w:val="single" w:sz="4" w:space="0" w:color="auto"/>
            </w:tcBorders>
            <w:shd w:val="clear" w:color="auto" w:fill="auto"/>
            <w:noWrap/>
            <w:vAlign w:val="center"/>
            <w:hideMark/>
          </w:tcPr>
          <w:p w14:paraId="14BDB17D"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188,890</w:t>
            </w:r>
          </w:p>
        </w:tc>
        <w:tc>
          <w:tcPr>
            <w:tcW w:w="851" w:type="dxa"/>
            <w:tcBorders>
              <w:top w:val="nil"/>
              <w:left w:val="nil"/>
              <w:bottom w:val="single" w:sz="4" w:space="0" w:color="auto"/>
              <w:right w:val="single" w:sz="4" w:space="0" w:color="auto"/>
            </w:tcBorders>
            <w:shd w:val="clear" w:color="auto" w:fill="auto"/>
            <w:noWrap/>
            <w:vAlign w:val="center"/>
            <w:hideMark/>
          </w:tcPr>
          <w:p w14:paraId="4C4EC913"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4,064</w:t>
            </w:r>
          </w:p>
        </w:tc>
        <w:tc>
          <w:tcPr>
            <w:tcW w:w="934" w:type="dxa"/>
            <w:tcBorders>
              <w:top w:val="nil"/>
              <w:left w:val="nil"/>
              <w:bottom w:val="single" w:sz="4" w:space="0" w:color="auto"/>
              <w:right w:val="single" w:sz="4" w:space="0" w:color="auto"/>
            </w:tcBorders>
            <w:shd w:val="clear" w:color="auto" w:fill="auto"/>
            <w:noWrap/>
            <w:vAlign w:val="center"/>
            <w:hideMark/>
          </w:tcPr>
          <w:p w14:paraId="0584AE61"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1,872,863</w:t>
            </w:r>
          </w:p>
        </w:tc>
        <w:tc>
          <w:tcPr>
            <w:tcW w:w="934" w:type="dxa"/>
            <w:tcBorders>
              <w:top w:val="nil"/>
              <w:left w:val="nil"/>
              <w:bottom w:val="single" w:sz="4" w:space="0" w:color="auto"/>
              <w:right w:val="single" w:sz="4" w:space="0" w:color="auto"/>
            </w:tcBorders>
            <w:shd w:val="clear" w:color="auto" w:fill="auto"/>
            <w:noWrap/>
            <w:vAlign w:val="center"/>
            <w:hideMark/>
          </w:tcPr>
          <w:p w14:paraId="4E2275DC"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521,534</w:t>
            </w:r>
          </w:p>
        </w:tc>
        <w:tc>
          <w:tcPr>
            <w:tcW w:w="825" w:type="dxa"/>
            <w:tcBorders>
              <w:top w:val="nil"/>
              <w:left w:val="nil"/>
              <w:bottom w:val="single" w:sz="4" w:space="0" w:color="auto"/>
              <w:right w:val="single" w:sz="4" w:space="0" w:color="auto"/>
            </w:tcBorders>
            <w:shd w:val="clear" w:color="auto" w:fill="auto"/>
            <w:noWrap/>
            <w:vAlign w:val="center"/>
            <w:hideMark/>
          </w:tcPr>
          <w:p w14:paraId="1B1062B9"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5,752</w:t>
            </w:r>
          </w:p>
        </w:tc>
        <w:tc>
          <w:tcPr>
            <w:tcW w:w="908" w:type="dxa"/>
            <w:tcBorders>
              <w:top w:val="nil"/>
              <w:left w:val="nil"/>
              <w:bottom w:val="single" w:sz="4" w:space="0" w:color="auto"/>
              <w:right w:val="single" w:sz="4" w:space="0" w:color="auto"/>
            </w:tcBorders>
            <w:shd w:val="clear" w:color="auto" w:fill="auto"/>
            <w:noWrap/>
            <w:vAlign w:val="center"/>
            <w:hideMark/>
          </w:tcPr>
          <w:p w14:paraId="5EA818F7"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956,777</w:t>
            </w:r>
          </w:p>
        </w:tc>
        <w:tc>
          <w:tcPr>
            <w:tcW w:w="905" w:type="dxa"/>
            <w:tcBorders>
              <w:top w:val="nil"/>
              <w:left w:val="nil"/>
              <w:bottom w:val="single" w:sz="4" w:space="0" w:color="auto"/>
              <w:right w:val="single" w:sz="4" w:space="0" w:color="auto"/>
            </w:tcBorders>
            <w:shd w:val="clear" w:color="auto" w:fill="auto"/>
            <w:noWrap/>
            <w:vAlign w:val="center"/>
            <w:hideMark/>
          </w:tcPr>
          <w:p w14:paraId="71D299B0"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3,890</w:t>
            </w:r>
          </w:p>
        </w:tc>
        <w:tc>
          <w:tcPr>
            <w:tcW w:w="918" w:type="dxa"/>
            <w:tcBorders>
              <w:top w:val="nil"/>
              <w:left w:val="nil"/>
              <w:bottom w:val="single" w:sz="4" w:space="0" w:color="auto"/>
              <w:right w:val="single" w:sz="4" w:space="0" w:color="auto"/>
            </w:tcBorders>
            <w:shd w:val="clear" w:color="auto" w:fill="auto"/>
            <w:noWrap/>
            <w:vAlign w:val="center"/>
            <w:hideMark/>
          </w:tcPr>
          <w:p w14:paraId="375EEC99"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106,325</w:t>
            </w:r>
          </w:p>
        </w:tc>
        <w:tc>
          <w:tcPr>
            <w:tcW w:w="870" w:type="dxa"/>
            <w:tcBorders>
              <w:top w:val="nil"/>
              <w:left w:val="nil"/>
              <w:bottom w:val="single" w:sz="4" w:space="0" w:color="auto"/>
              <w:right w:val="single" w:sz="4" w:space="0" w:color="auto"/>
            </w:tcBorders>
            <w:shd w:val="clear" w:color="auto" w:fill="auto"/>
            <w:noWrap/>
            <w:vAlign w:val="center"/>
            <w:hideMark/>
          </w:tcPr>
          <w:p w14:paraId="4FA78691"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187,975</w:t>
            </w:r>
          </w:p>
        </w:tc>
        <w:tc>
          <w:tcPr>
            <w:tcW w:w="851" w:type="dxa"/>
            <w:tcBorders>
              <w:top w:val="nil"/>
              <w:left w:val="nil"/>
              <w:bottom w:val="single" w:sz="4" w:space="0" w:color="auto"/>
              <w:right w:val="single" w:sz="4" w:space="0" w:color="auto"/>
            </w:tcBorders>
            <w:shd w:val="clear" w:color="auto" w:fill="auto"/>
            <w:noWrap/>
            <w:vAlign w:val="center"/>
            <w:hideMark/>
          </w:tcPr>
          <w:p w14:paraId="68E25279" w14:textId="77777777" w:rsidR="00BF2219" w:rsidRPr="00BF2219" w:rsidRDefault="00BF2219" w:rsidP="003D68D1">
            <w:pPr>
              <w:spacing w:after="0" w:line="240" w:lineRule="auto"/>
              <w:jc w:val="right"/>
              <w:rPr>
                <w:rFonts w:cs="Arial"/>
                <w:color w:val="000000"/>
                <w:sz w:val="14"/>
                <w:szCs w:val="14"/>
                <w:lang w:eastAsia="en-AU"/>
              </w:rPr>
            </w:pPr>
            <w:r w:rsidRPr="00BF2219">
              <w:rPr>
                <w:rFonts w:cs="Arial"/>
                <w:color w:val="000000"/>
                <w:sz w:val="14"/>
                <w:szCs w:val="14"/>
                <w:lang w:eastAsia="en-AU"/>
              </w:rPr>
              <w:t>12,404</w:t>
            </w:r>
          </w:p>
        </w:tc>
        <w:tc>
          <w:tcPr>
            <w:tcW w:w="988" w:type="dxa"/>
            <w:tcBorders>
              <w:top w:val="nil"/>
              <w:left w:val="nil"/>
              <w:bottom w:val="single" w:sz="4" w:space="0" w:color="auto"/>
              <w:right w:val="single" w:sz="4" w:space="0" w:color="auto"/>
            </w:tcBorders>
            <w:shd w:val="clear" w:color="auto" w:fill="auto"/>
            <w:noWrap/>
            <w:vAlign w:val="center"/>
            <w:hideMark/>
          </w:tcPr>
          <w:p w14:paraId="4D82D814"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1,794,657</w:t>
            </w:r>
          </w:p>
        </w:tc>
      </w:tr>
      <w:tr w:rsidR="00003D7E" w:rsidRPr="00A47C7D" w14:paraId="1A03B147" w14:textId="77777777" w:rsidTr="0028566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7DA635E" w14:textId="77777777" w:rsidR="00BF2219" w:rsidRPr="00BF2219" w:rsidRDefault="00BF2219" w:rsidP="003D68D1">
            <w:pPr>
              <w:spacing w:after="0" w:line="240" w:lineRule="auto"/>
              <w:rPr>
                <w:rFonts w:cs="Arial"/>
                <w:b/>
                <w:bCs/>
                <w:color w:val="000000"/>
                <w:sz w:val="14"/>
                <w:szCs w:val="14"/>
                <w:lang w:eastAsia="en-AU"/>
              </w:rPr>
            </w:pPr>
            <w:r w:rsidRPr="00BF2219">
              <w:rPr>
                <w:rFonts w:cs="Arial"/>
                <w:b/>
                <w:bCs/>
                <w:color w:val="000000"/>
                <w:sz w:val="14"/>
                <w:szCs w:val="14"/>
                <w:lang w:eastAsia="en-AU"/>
              </w:rPr>
              <w:t>Grand Total</w:t>
            </w:r>
          </w:p>
        </w:tc>
        <w:tc>
          <w:tcPr>
            <w:tcW w:w="993" w:type="dxa"/>
            <w:tcBorders>
              <w:top w:val="nil"/>
              <w:left w:val="nil"/>
              <w:bottom w:val="single" w:sz="4" w:space="0" w:color="auto"/>
              <w:right w:val="single" w:sz="4" w:space="0" w:color="auto"/>
            </w:tcBorders>
            <w:shd w:val="clear" w:color="auto" w:fill="auto"/>
            <w:noWrap/>
            <w:vAlign w:val="center"/>
            <w:hideMark/>
          </w:tcPr>
          <w:p w14:paraId="4022EA0F"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14,580,961</w:t>
            </w:r>
          </w:p>
        </w:tc>
        <w:tc>
          <w:tcPr>
            <w:tcW w:w="850" w:type="dxa"/>
            <w:tcBorders>
              <w:top w:val="nil"/>
              <w:left w:val="nil"/>
              <w:bottom w:val="single" w:sz="4" w:space="0" w:color="auto"/>
              <w:right w:val="single" w:sz="4" w:space="0" w:color="auto"/>
            </w:tcBorders>
            <w:shd w:val="clear" w:color="auto" w:fill="auto"/>
            <w:noWrap/>
            <w:vAlign w:val="center"/>
            <w:hideMark/>
          </w:tcPr>
          <w:p w14:paraId="167A2448"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328,232</w:t>
            </w:r>
          </w:p>
        </w:tc>
        <w:tc>
          <w:tcPr>
            <w:tcW w:w="851" w:type="dxa"/>
            <w:tcBorders>
              <w:top w:val="nil"/>
              <w:left w:val="nil"/>
              <w:bottom w:val="single" w:sz="4" w:space="0" w:color="auto"/>
              <w:right w:val="single" w:sz="4" w:space="0" w:color="auto"/>
            </w:tcBorders>
            <w:shd w:val="clear" w:color="auto" w:fill="auto"/>
            <w:noWrap/>
            <w:vAlign w:val="center"/>
            <w:hideMark/>
          </w:tcPr>
          <w:p w14:paraId="66CEA809"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893,343</w:t>
            </w:r>
          </w:p>
        </w:tc>
        <w:tc>
          <w:tcPr>
            <w:tcW w:w="850" w:type="dxa"/>
            <w:tcBorders>
              <w:top w:val="nil"/>
              <w:left w:val="nil"/>
              <w:bottom w:val="single" w:sz="4" w:space="0" w:color="auto"/>
              <w:right w:val="single" w:sz="4" w:space="0" w:color="auto"/>
            </w:tcBorders>
            <w:shd w:val="clear" w:color="auto" w:fill="auto"/>
            <w:noWrap/>
            <w:vAlign w:val="center"/>
            <w:hideMark/>
          </w:tcPr>
          <w:p w14:paraId="21113EDB"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228,960</w:t>
            </w:r>
          </w:p>
        </w:tc>
        <w:tc>
          <w:tcPr>
            <w:tcW w:w="851" w:type="dxa"/>
            <w:tcBorders>
              <w:top w:val="nil"/>
              <w:left w:val="nil"/>
              <w:bottom w:val="single" w:sz="4" w:space="0" w:color="auto"/>
              <w:right w:val="single" w:sz="4" w:space="0" w:color="auto"/>
            </w:tcBorders>
            <w:shd w:val="clear" w:color="auto" w:fill="auto"/>
            <w:noWrap/>
            <w:vAlign w:val="center"/>
            <w:hideMark/>
          </w:tcPr>
          <w:p w14:paraId="2DA52C61"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1,988,986</w:t>
            </w:r>
          </w:p>
        </w:tc>
        <w:tc>
          <w:tcPr>
            <w:tcW w:w="850" w:type="dxa"/>
            <w:tcBorders>
              <w:top w:val="nil"/>
              <w:left w:val="nil"/>
              <w:bottom w:val="single" w:sz="4" w:space="0" w:color="auto"/>
              <w:right w:val="single" w:sz="4" w:space="0" w:color="auto"/>
            </w:tcBorders>
            <w:shd w:val="clear" w:color="auto" w:fill="auto"/>
            <w:noWrap/>
            <w:vAlign w:val="center"/>
            <w:hideMark/>
          </w:tcPr>
          <w:p w14:paraId="34A45064"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553,394</w:t>
            </w:r>
          </w:p>
        </w:tc>
        <w:tc>
          <w:tcPr>
            <w:tcW w:w="851" w:type="dxa"/>
            <w:tcBorders>
              <w:top w:val="nil"/>
              <w:left w:val="nil"/>
              <w:bottom w:val="single" w:sz="4" w:space="0" w:color="auto"/>
              <w:right w:val="single" w:sz="4" w:space="0" w:color="auto"/>
            </w:tcBorders>
            <w:shd w:val="clear" w:color="auto" w:fill="auto"/>
            <w:noWrap/>
            <w:vAlign w:val="center"/>
            <w:hideMark/>
          </w:tcPr>
          <w:p w14:paraId="1EACED4A"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210,959</w:t>
            </w:r>
          </w:p>
        </w:tc>
        <w:tc>
          <w:tcPr>
            <w:tcW w:w="934" w:type="dxa"/>
            <w:tcBorders>
              <w:top w:val="nil"/>
              <w:left w:val="nil"/>
              <w:bottom w:val="single" w:sz="4" w:space="0" w:color="auto"/>
              <w:right w:val="single" w:sz="4" w:space="0" w:color="auto"/>
            </w:tcBorders>
            <w:shd w:val="clear" w:color="auto" w:fill="auto"/>
            <w:noWrap/>
            <w:vAlign w:val="center"/>
            <w:hideMark/>
          </w:tcPr>
          <w:p w14:paraId="6B17E501"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18,784,835</w:t>
            </w:r>
          </w:p>
        </w:tc>
        <w:tc>
          <w:tcPr>
            <w:tcW w:w="934" w:type="dxa"/>
            <w:tcBorders>
              <w:top w:val="nil"/>
              <w:left w:val="nil"/>
              <w:bottom w:val="single" w:sz="4" w:space="0" w:color="auto"/>
              <w:right w:val="single" w:sz="4" w:space="0" w:color="auto"/>
            </w:tcBorders>
            <w:shd w:val="clear" w:color="auto" w:fill="auto"/>
            <w:noWrap/>
            <w:vAlign w:val="center"/>
            <w:hideMark/>
          </w:tcPr>
          <w:p w14:paraId="0EB94F40"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14,740,630</w:t>
            </w:r>
          </w:p>
        </w:tc>
        <w:tc>
          <w:tcPr>
            <w:tcW w:w="825" w:type="dxa"/>
            <w:tcBorders>
              <w:top w:val="nil"/>
              <w:left w:val="nil"/>
              <w:bottom w:val="single" w:sz="4" w:space="0" w:color="auto"/>
              <w:right w:val="single" w:sz="4" w:space="0" w:color="auto"/>
            </w:tcBorders>
            <w:shd w:val="clear" w:color="auto" w:fill="auto"/>
            <w:noWrap/>
            <w:vAlign w:val="center"/>
            <w:hideMark/>
          </w:tcPr>
          <w:p w14:paraId="762215B3"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334,313</w:t>
            </w:r>
          </w:p>
        </w:tc>
        <w:tc>
          <w:tcPr>
            <w:tcW w:w="908" w:type="dxa"/>
            <w:tcBorders>
              <w:top w:val="nil"/>
              <w:left w:val="nil"/>
              <w:bottom w:val="single" w:sz="4" w:space="0" w:color="auto"/>
              <w:right w:val="single" w:sz="4" w:space="0" w:color="auto"/>
            </w:tcBorders>
            <w:shd w:val="clear" w:color="auto" w:fill="auto"/>
            <w:noWrap/>
            <w:vAlign w:val="center"/>
            <w:hideMark/>
          </w:tcPr>
          <w:p w14:paraId="14A770DC"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958,022</w:t>
            </w:r>
          </w:p>
        </w:tc>
        <w:tc>
          <w:tcPr>
            <w:tcW w:w="905" w:type="dxa"/>
            <w:tcBorders>
              <w:top w:val="nil"/>
              <w:left w:val="nil"/>
              <w:bottom w:val="single" w:sz="4" w:space="0" w:color="auto"/>
              <w:right w:val="single" w:sz="4" w:space="0" w:color="auto"/>
            </w:tcBorders>
            <w:shd w:val="clear" w:color="auto" w:fill="auto"/>
            <w:noWrap/>
            <w:vAlign w:val="center"/>
            <w:hideMark/>
          </w:tcPr>
          <w:p w14:paraId="76A17312"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239,124</w:t>
            </w:r>
          </w:p>
        </w:tc>
        <w:tc>
          <w:tcPr>
            <w:tcW w:w="918" w:type="dxa"/>
            <w:tcBorders>
              <w:top w:val="nil"/>
              <w:left w:val="nil"/>
              <w:bottom w:val="single" w:sz="4" w:space="0" w:color="auto"/>
              <w:right w:val="single" w:sz="4" w:space="0" w:color="auto"/>
            </w:tcBorders>
            <w:shd w:val="clear" w:color="auto" w:fill="auto"/>
            <w:noWrap/>
            <w:vAlign w:val="center"/>
            <w:hideMark/>
          </w:tcPr>
          <w:p w14:paraId="2AC880DC"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2,104,531</w:t>
            </w:r>
          </w:p>
        </w:tc>
        <w:tc>
          <w:tcPr>
            <w:tcW w:w="870" w:type="dxa"/>
            <w:tcBorders>
              <w:top w:val="nil"/>
              <w:left w:val="nil"/>
              <w:bottom w:val="single" w:sz="4" w:space="0" w:color="auto"/>
              <w:right w:val="single" w:sz="4" w:space="0" w:color="auto"/>
            </w:tcBorders>
            <w:shd w:val="clear" w:color="auto" w:fill="auto"/>
            <w:noWrap/>
            <w:vAlign w:val="center"/>
            <w:hideMark/>
          </w:tcPr>
          <w:p w14:paraId="6904538F"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546,825</w:t>
            </w:r>
          </w:p>
        </w:tc>
        <w:tc>
          <w:tcPr>
            <w:tcW w:w="851" w:type="dxa"/>
            <w:tcBorders>
              <w:top w:val="nil"/>
              <w:left w:val="nil"/>
              <w:bottom w:val="single" w:sz="4" w:space="0" w:color="auto"/>
              <w:right w:val="single" w:sz="4" w:space="0" w:color="auto"/>
            </w:tcBorders>
            <w:shd w:val="clear" w:color="auto" w:fill="auto"/>
            <w:noWrap/>
            <w:vAlign w:val="center"/>
            <w:hideMark/>
          </w:tcPr>
          <w:p w14:paraId="66067468"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232,383</w:t>
            </w:r>
          </w:p>
        </w:tc>
        <w:tc>
          <w:tcPr>
            <w:tcW w:w="988" w:type="dxa"/>
            <w:tcBorders>
              <w:top w:val="nil"/>
              <w:left w:val="nil"/>
              <w:bottom w:val="single" w:sz="4" w:space="0" w:color="auto"/>
              <w:right w:val="single" w:sz="4" w:space="0" w:color="auto"/>
            </w:tcBorders>
            <w:shd w:val="clear" w:color="auto" w:fill="auto"/>
            <w:noWrap/>
            <w:vAlign w:val="center"/>
            <w:hideMark/>
          </w:tcPr>
          <w:p w14:paraId="20ACA35C" w14:textId="77777777" w:rsidR="00BF2219" w:rsidRPr="00BF2219" w:rsidRDefault="00BF2219" w:rsidP="003D68D1">
            <w:pPr>
              <w:spacing w:after="0" w:line="240" w:lineRule="auto"/>
              <w:jc w:val="right"/>
              <w:rPr>
                <w:rFonts w:cs="Arial"/>
                <w:b/>
                <w:bCs/>
                <w:color w:val="000000"/>
                <w:sz w:val="14"/>
                <w:szCs w:val="14"/>
                <w:lang w:eastAsia="en-AU"/>
              </w:rPr>
            </w:pPr>
            <w:r w:rsidRPr="00BF2219">
              <w:rPr>
                <w:rFonts w:cs="Arial"/>
                <w:b/>
                <w:bCs/>
                <w:color w:val="000000"/>
                <w:sz w:val="14"/>
                <w:szCs w:val="14"/>
                <w:lang w:eastAsia="en-AU"/>
              </w:rPr>
              <w:t>19,154,582</w:t>
            </w:r>
          </w:p>
        </w:tc>
      </w:tr>
    </w:tbl>
    <w:p w14:paraId="209B2F1B" w14:textId="7C6ADA13" w:rsidR="00BF2219" w:rsidRDefault="00BF2219" w:rsidP="00BF2219">
      <w:pPr>
        <w:pStyle w:val="Body"/>
      </w:pPr>
    </w:p>
    <w:p w14:paraId="2A3CFEBE" w14:textId="77777777" w:rsidR="00BF2219" w:rsidRPr="00BF2219" w:rsidRDefault="00BF2219" w:rsidP="00BF2219">
      <w:pPr>
        <w:pStyle w:val="Body"/>
      </w:pPr>
    </w:p>
    <w:p w14:paraId="52D0C0F3" w14:textId="4CB3DBCC" w:rsidR="006E208C" w:rsidRPr="006E208C" w:rsidRDefault="006E208C" w:rsidP="006E208C">
      <w:pPr>
        <w:sectPr w:rsidR="006E208C" w:rsidRPr="006E208C" w:rsidSect="00AE5B04">
          <w:headerReference w:type="even" r:id="rId86"/>
          <w:headerReference w:type="default" r:id="rId87"/>
          <w:footerReference w:type="even" r:id="rId88"/>
          <w:pgSz w:w="16838" w:h="11906" w:orient="landscape" w:code="9"/>
          <w:pgMar w:top="1304" w:right="1418" w:bottom="1304" w:left="1134" w:header="680" w:footer="567" w:gutter="0"/>
          <w:cols w:space="340"/>
          <w:docGrid w:linePitch="360"/>
        </w:sectPr>
      </w:pPr>
      <w:bookmarkStart w:id="1104" w:name="_Toc12780665"/>
      <w:bookmarkStart w:id="1105" w:name="_Toc14172306"/>
      <w:bookmarkStart w:id="1106" w:name="_Toc33703980"/>
      <w:bookmarkStart w:id="1107" w:name="_Toc55381168"/>
    </w:p>
    <w:p w14:paraId="7C5B54D1" w14:textId="3F744DA8" w:rsidR="000B27B9" w:rsidRPr="004903A7" w:rsidRDefault="000B27B9" w:rsidP="00685B35">
      <w:pPr>
        <w:pStyle w:val="Heading2"/>
      </w:pPr>
      <w:bookmarkStart w:id="1108" w:name="_Toc100263374"/>
      <w:bookmarkStart w:id="1109" w:name="_Toc156569698"/>
      <w:r w:rsidRPr="004903A7">
        <w:t xml:space="preserve">Activity </w:t>
      </w:r>
      <w:r w:rsidR="002415F6">
        <w:t>t</w:t>
      </w:r>
      <w:r w:rsidR="002415F6" w:rsidRPr="004903A7">
        <w:t xml:space="preserve">arget </w:t>
      </w:r>
      <w:bookmarkEnd w:id="1104"/>
      <w:bookmarkEnd w:id="1105"/>
      <w:bookmarkEnd w:id="1106"/>
      <w:bookmarkEnd w:id="1107"/>
      <w:bookmarkEnd w:id="1108"/>
      <w:r w:rsidR="002415F6">
        <w:t>t</w:t>
      </w:r>
      <w:r w:rsidR="002415F6" w:rsidRPr="004903A7">
        <w:t>ables</w:t>
      </w:r>
      <w:bookmarkEnd w:id="1109"/>
    </w:p>
    <w:p w14:paraId="56D1CF89" w14:textId="21709979" w:rsidR="000B27B9" w:rsidRPr="00043CAC" w:rsidRDefault="000B27B9" w:rsidP="00081936">
      <w:pPr>
        <w:pStyle w:val="Heading3"/>
        <w:numPr>
          <w:ilvl w:val="2"/>
          <w:numId w:val="33"/>
        </w:numPr>
        <w:spacing w:before="240"/>
        <w:ind w:left="1134"/>
      </w:pPr>
      <w:bookmarkStart w:id="1110" w:name="_Victorian_Acute_Admitted"/>
      <w:bookmarkStart w:id="1111" w:name="_Toc12780666"/>
      <w:bookmarkStart w:id="1112" w:name="_Toc14172307"/>
      <w:bookmarkStart w:id="1113" w:name="_Toc33703981"/>
      <w:bookmarkStart w:id="1114" w:name="_Toc55381169"/>
      <w:bookmarkStart w:id="1115" w:name="_Toc100263375"/>
      <w:bookmarkStart w:id="1116" w:name="_Toc156569699"/>
      <w:bookmarkEnd w:id="1110"/>
      <w:r w:rsidRPr="00FD0484">
        <w:t xml:space="preserve">Victorian </w:t>
      </w:r>
      <w:r w:rsidR="002415F6">
        <w:t>activity t</w:t>
      </w:r>
      <w:r>
        <w:t xml:space="preserve">argets </w:t>
      </w:r>
      <w:r w:rsidRPr="00424E68">
        <w:t>(</w:t>
      </w:r>
      <w:r w:rsidR="00295439">
        <w:t>NWAU</w:t>
      </w:r>
      <w:r w:rsidRPr="00424E68">
        <w:t>)</w:t>
      </w:r>
      <w:r>
        <w:t xml:space="preserve"> </w:t>
      </w:r>
      <w:bookmarkEnd w:id="1111"/>
      <w:bookmarkEnd w:id="1112"/>
      <w:bookmarkEnd w:id="1113"/>
      <w:bookmarkEnd w:id="1114"/>
      <w:bookmarkEnd w:id="1115"/>
      <w:r w:rsidR="005D1FCB" w:rsidRPr="00043CAC">
        <w:t>202</w:t>
      </w:r>
      <w:r w:rsidR="001D5EAA">
        <w:t>3</w:t>
      </w:r>
      <w:r w:rsidR="008E4EAD" w:rsidRPr="00043CAC">
        <w:t>–</w:t>
      </w:r>
      <w:r w:rsidR="005D1FCB" w:rsidRPr="00043CAC">
        <w:t>2</w:t>
      </w:r>
      <w:r w:rsidR="001D5EAA">
        <w:t>4</w:t>
      </w:r>
      <w:bookmarkEnd w:id="1116"/>
    </w:p>
    <w:p w14:paraId="4A138D1E" w14:textId="77777777" w:rsidR="000B27B9" w:rsidRPr="00043CAC" w:rsidRDefault="000B27B9" w:rsidP="0064265C">
      <w:pPr>
        <w:pStyle w:val="Tablefigurenote9pt"/>
      </w:pPr>
      <w:r w:rsidRPr="00043CAC">
        <w:t>Notes:</w:t>
      </w:r>
    </w:p>
    <w:p w14:paraId="6B198346" w14:textId="3B4F2126" w:rsidR="000B27B9" w:rsidRPr="00043CAC" w:rsidRDefault="00DD68C7" w:rsidP="007973C3">
      <w:pPr>
        <w:pStyle w:val="Tablenoteroman"/>
        <w:numPr>
          <w:ilvl w:val="0"/>
          <w:numId w:val="9"/>
        </w:numPr>
      </w:pPr>
      <w:r>
        <w:rPr>
          <w:lang w:eastAsia="en-AU"/>
        </w:rPr>
        <w:t xml:space="preserve">Includes </w:t>
      </w:r>
      <w:r w:rsidR="000B27B9" w:rsidRPr="00043CAC">
        <w:rPr>
          <w:lang w:eastAsia="en-AU"/>
        </w:rPr>
        <w:t xml:space="preserve">NBCSP </w:t>
      </w:r>
      <w:r w:rsidR="00C93CBD" w:rsidRPr="00043CAC">
        <w:rPr>
          <w:lang w:eastAsia="en-AU"/>
        </w:rPr>
        <w:t xml:space="preserve">NWAU </w:t>
      </w:r>
      <w:r w:rsidR="000B27B9" w:rsidRPr="00043CAC">
        <w:rPr>
          <w:lang w:eastAsia="en-AU"/>
        </w:rPr>
        <w:t xml:space="preserve">refers to the National Bowel Cancer Screen Program colonoscopy </w:t>
      </w:r>
      <w:r w:rsidR="00C93CBD" w:rsidRPr="00043CAC">
        <w:rPr>
          <w:lang w:eastAsia="en-AU"/>
        </w:rPr>
        <w:t>NWAU</w:t>
      </w:r>
      <w:r w:rsidR="000B27B9" w:rsidRPr="00043CAC">
        <w:rPr>
          <w:lang w:eastAsia="en-AU"/>
        </w:rPr>
        <w:t>.</w:t>
      </w:r>
    </w:p>
    <w:p w14:paraId="4CCE0A4B" w14:textId="40EE06CE" w:rsidR="000B27B9" w:rsidRDefault="000B27B9" w:rsidP="007973C3">
      <w:pPr>
        <w:pStyle w:val="Tablenoteroman"/>
        <w:numPr>
          <w:ilvl w:val="0"/>
          <w:numId w:val="9"/>
        </w:numPr>
      </w:pPr>
      <w:r>
        <w:rPr>
          <w:rFonts w:ascii="ArialMT" w:hAnsi="ArialMT" w:cs="ArialMT"/>
          <w:szCs w:val="18"/>
          <w:lang w:eastAsia="en-AU"/>
        </w:rPr>
        <w:t xml:space="preserve">Note that </w:t>
      </w:r>
      <w:r w:rsidR="00E76C16">
        <w:rPr>
          <w:rFonts w:ascii="ArialMT" w:hAnsi="ArialMT" w:cs="ArialMT"/>
          <w:szCs w:val="18"/>
          <w:lang w:eastAsia="en-AU"/>
        </w:rPr>
        <w:t>acute admitted, subacute admitted, non-admitted and em</w:t>
      </w:r>
      <w:r w:rsidR="00974A5C">
        <w:rPr>
          <w:rFonts w:ascii="ArialMT" w:hAnsi="ArialMT" w:cs="ArialMT"/>
          <w:szCs w:val="18"/>
          <w:lang w:eastAsia="en-AU"/>
        </w:rPr>
        <w:t>ergency NWAU are now consolidated into one t</w:t>
      </w:r>
      <w:r w:rsidR="00167734">
        <w:rPr>
          <w:rFonts w:ascii="ArialMT" w:hAnsi="ArialMT" w:cs="ArialMT"/>
          <w:szCs w:val="18"/>
          <w:lang w:eastAsia="en-AU"/>
        </w:rPr>
        <w:t>ar</w:t>
      </w:r>
      <w:r w:rsidR="00974A5C">
        <w:rPr>
          <w:rFonts w:ascii="ArialMT" w:hAnsi="ArialMT" w:cs="ArialMT"/>
          <w:szCs w:val="18"/>
          <w:lang w:eastAsia="en-AU"/>
        </w:rPr>
        <w:t>get, following the i</w:t>
      </w:r>
      <w:r w:rsidR="00167734">
        <w:rPr>
          <w:rFonts w:ascii="ArialMT" w:hAnsi="ArialMT" w:cs="ArialMT"/>
          <w:szCs w:val="18"/>
          <w:lang w:eastAsia="en-AU"/>
        </w:rPr>
        <w:t>ntroduction of the National Funding Model</w:t>
      </w:r>
      <w:r w:rsidR="002953EA">
        <w:rPr>
          <w:rFonts w:ascii="ArialMT" w:hAnsi="ArialMT" w:cs="ArialMT"/>
          <w:szCs w:val="18"/>
          <w:lang w:eastAsia="en-AU"/>
        </w:rPr>
        <w:t>, referred to as the Consolidated NWAU</w:t>
      </w:r>
      <w:r w:rsidR="00167734">
        <w:rPr>
          <w:rFonts w:ascii="ArialMT" w:hAnsi="ArialMT" w:cs="ArialMT"/>
          <w:szCs w:val="18"/>
          <w:lang w:eastAsia="en-AU"/>
        </w:rPr>
        <w:t>.</w:t>
      </w:r>
      <w:r w:rsidR="002953EA">
        <w:rPr>
          <w:rFonts w:ascii="ArialMT" w:hAnsi="ArialMT" w:cs="ArialMT"/>
          <w:szCs w:val="18"/>
          <w:lang w:eastAsia="en-AU"/>
        </w:rPr>
        <w:t xml:space="preserve"> This is exclusive of </w:t>
      </w:r>
      <w:r w:rsidR="00FF16F2">
        <w:rPr>
          <w:rFonts w:ascii="ArialMT" w:hAnsi="ArialMT" w:cs="ArialMT"/>
          <w:szCs w:val="18"/>
          <w:lang w:eastAsia="en-AU"/>
        </w:rPr>
        <w:t>National Bowel screening program, DVA and TAC NWAU targets</w:t>
      </w:r>
      <w:r w:rsidR="00167734">
        <w:rPr>
          <w:rFonts w:ascii="ArialMT" w:hAnsi="ArialMT" w:cs="ArialMT"/>
          <w:szCs w:val="18"/>
          <w:lang w:eastAsia="en-AU"/>
        </w:rPr>
        <w:t>.</w:t>
      </w:r>
    </w:p>
    <w:p w14:paraId="4811FD5E" w14:textId="72C1F9B8" w:rsidR="00BD575E" w:rsidRPr="00620874" w:rsidRDefault="00BD575E" w:rsidP="007973C3">
      <w:pPr>
        <w:pStyle w:val="Tablenoteroman"/>
        <w:numPr>
          <w:ilvl w:val="0"/>
          <w:numId w:val="9"/>
        </w:numPr>
        <w:rPr>
          <w:lang w:eastAsia="en-AU"/>
        </w:rPr>
      </w:pPr>
      <w:r w:rsidRPr="00620874">
        <w:rPr>
          <w:lang w:eastAsia="en-AU"/>
        </w:rPr>
        <w:t xml:space="preserve">Targets include adjustments made in the statement of priorities, including </w:t>
      </w:r>
      <w:r w:rsidR="00501110" w:rsidRPr="00620874">
        <w:rPr>
          <w:lang w:eastAsia="en-AU"/>
        </w:rPr>
        <w:t xml:space="preserve">changes </w:t>
      </w:r>
      <w:r w:rsidRPr="00620874">
        <w:rPr>
          <w:lang w:eastAsia="en-AU"/>
        </w:rPr>
        <w:t>relating</w:t>
      </w:r>
      <w:r w:rsidR="00601236">
        <w:rPr>
          <w:lang w:eastAsia="en-AU"/>
        </w:rPr>
        <w:t xml:space="preserve"> to</w:t>
      </w:r>
      <w:r w:rsidRPr="00620874">
        <w:rPr>
          <w:lang w:eastAsia="en-AU"/>
        </w:rPr>
        <w:t xml:space="preserve"> National Funding Model implementation.  </w:t>
      </w:r>
    </w:p>
    <w:p w14:paraId="176DAE73" w14:textId="742B5410" w:rsidR="00D55128" w:rsidRDefault="000B27B9" w:rsidP="00285665">
      <w:pPr>
        <w:pStyle w:val="Tablecaption"/>
      </w:pPr>
      <w:bookmarkStart w:id="1117" w:name="_Toc12780569"/>
      <w:bookmarkStart w:id="1118" w:name="_Toc14194825"/>
      <w:bookmarkStart w:id="1119" w:name="_Toc33704006"/>
      <w:bookmarkStart w:id="1120" w:name="_Toc109894136"/>
      <w:bookmarkStart w:id="1121" w:name="_Ref144903552"/>
      <w:bookmarkStart w:id="1122" w:name="_Toc156568687"/>
      <w:r w:rsidRPr="00620874">
        <w:t xml:space="preserve">Table </w:t>
      </w:r>
      <w:r>
        <w:fldChar w:fldCharType="begin"/>
      </w:r>
      <w:r>
        <w:instrText>STYLEREF 1 \s</w:instrText>
      </w:r>
      <w:r>
        <w:fldChar w:fldCharType="separate"/>
      </w:r>
      <w:r w:rsidR="00892F13">
        <w:rPr>
          <w:noProof/>
        </w:rPr>
        <w:t>2</w:t>
      </w:r>
      <w:r>
        <w:fldChar w:fldCharType="end"/>
      </w:r>
      <w:r w:rsidR="00742C12">
        <w:t>.</w:t>
      </w:r>
      <w:r>
        <w:fldChar w:fldCharType="begin"/>
      </w:r>
      <w:r>
        <w:instrText>SEQ Table \* ARABIC \s 1</w:instrText>
      </w:r>
      <w:r>
        <w:fldChar w:fldCharType="separate"/>
      </w:r>
      <w:r w:rsidR="00892F13">
        <w:rPr>
          <w:noProof/>
        </w:rPr>
        <w:t>10</w:t>
      </w:r>
      <w:r>
        <w:fldChar w:fldCharType="end"/>
      </w:r>
      <w:r w:rsidRPr="00620874">
        <w:t xml:space="preserve">: </w:t>
      </w:r>
      <w:r w:rsidRPr="00FD0484">
        <w:t xml:space="preserve">Victorian </w:t>
      </w:r>
      <w:r w:rsidRPr="00620874">
        <w:t>activity targets (</w:t>
      </w:r>
      <w:r w:rsidR="00FD0A98" w:rsidRPr="00620874">
        <w:t>NWAU</w:t>
      </w:r>
      <w:r w:rsidR="00BF49F4" w:rsidRPr="00620874">
        <w:t>)</w:t>
      </w:r>
      <w:r w:rsidRPr="00620874">
        <w:t xml:space="preserve"> </w:t>
      </w:r>
      <w:bookmarkEnd w:id="1117"/>
      <w:bookmarkEnd w:id="1118"/>
      <w:bookmarkEnd w:id="1119"/>
      <w:bookmarkEnd w:id="1120"/>
      <w:r w:rsidR="005D1FCB" w:rsidRPr="00620874">
        <w:t>202</w:t>
      </w:r>
      <w:r w:rsidR="001D5EAA">
        <w:t>3</w:t>
      </w:r>
      <w:r w:rsidR="008E4EAD" w:rsidRPr="00620874">
        <w:t>–</w:t>
      </w:r>
      <w:r w:rsidR="005D1FCB" w:rsidRPr="00620874">
        <w:t>2</w:t>
      </w:r>
      <w:r w:rsidR="001D5EAA">
        <w:t>4</w:t>
      </w:r>
      <w:bookmarkEnd w:id="1121"/>
      <w:bookmarkEnd w:id="1122"/>
    </w:p>
    <w:tbl>
      <w:tblPr>
        <w:tblW w:w="10207" w:type="dxa"/>
        <w:tblInd w:w="-289" w:type="dxa"/>
        <w:tblLayout w:type="fixed"/>
        <w:tblLook w:val="04A0" w:firstRow="1" w:lastRow="0" w:firstColumn="1" w:lastColumn="0" w:noHBand="0" w:noVBand="1"/>
      </w:tblPr>
      <w:tblGrid>
        <w:gridCol w:w="2640"/>
        <w:gridCol w:w="1261"/>
        <w:gridCol w:w="1261"/>
        <w:gridCol w:w="1261"/>
        <w:gridCol w:w="1261"/>
        <w:gridCol w:w="1261"/>
        <w:gridCol w:w="1262"/>
      </w:tblGrid>
      <w:tr w:rsidR="007D1F76" w:rsidRPr="0034306F" w14:paraId="3C55C5AC" w14:textId="77777777" w:rsidTr="00575303">
        <w:trPr>
          <w:trHeight w:val="900"/>
          <w:tblHead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81554" w14:textId="77777777" w:rsidR="0034306F" w:rsidRPr="0034306F" w:rsidRDefault="0034306F" w:rsidP="0034306F">
            <w:pPr>
              <w:spacing w:after="0" w:line="240" w:lineRule="auto"/>
              <w:rPr>
                <w:rFonts w:cs="Arial"/>
                <w:b/>
                <w:bCs/>
                <w:color w:val="53565A"/>
                <w:sz w:val="16"/>
                <w:szCs w:val="16"/>
                <w:lang w:eastAsia="en-AU"/>
              </w:rPr>
            </w:pPr>
            <w:r w:rsidRPr="0034306F">
              <w:rPr>
                <w:rFonts w:cs="Arial"/>
                <w:b/>
                <w:bCs/>
                <w:color w:val="53565A"/>
                <w:sz w:val="16"/>
                <w:szCs w:val="16"/>
                <w:lang w:eastAsia="en-AU"/>
              </w:rPr>
              <w:t>Health Service</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78A71360" w14:textId="6E8BE035" w:rsidR="0034306F" w:rsidRPr="0034306F" w:rsidRDefault="0034306F" w:rsidP="0034306F">
            <w:pPr>
              <w:spacing w:after="0" w:line="240" w:lineRule="auto"/>
              <w:jc w:val="right"/>
              <w:rPr>
                <w:rFonts w:cs="Arial"/>
                <w:b/>
                <w:bCs/>
                <w:color w:val="53565A"/>
                <w:sz w:val="16"/>
                <w:szCs w:val="16"/>
                <w:lang w:eastAsia="en-AU"/>
              </w:rPr>
            </w:pPr>
            <w:r w:rsidRPr="0034306F">
              <w:rPr>
                <w:rFonts w:cs="Arial"/>
                <w:b/>
                <w:bCs/>
                <w:color w:val="53565A"/>
                <w:sz w:val="16"/>
                <w:szCs w:val="16"/>
                <w:lang w:eastAsia="en-AU"/>
              </w:rPr>
              <w:t xml:space="preserve"> </w:t>
            </w:r>
            <w:r w:rsidR="002953EA">
              <w:rPr>
                <w:rFonts w:cs="Arial"/>
                <w:b/>
                <w:bCs/>
                <w:color w:val="53565A"/>
                <w:sz w:val="16"/>
                <w:szCs w:val="16"/>
                <w:lang w:eastAsia="en-AU"/>
              </w:rPr>
              <w:t>Consolidated</w:t>
            </w:r>
            <w:r w:rsidRPr="0034306F">
              <w:rPr>
                <w:rFonts w:cs="Arial"/>
                <w:b/>
                <w:bCs/>
                <w:color w:val="53565A"/>
                <w:sz w:val="16"/>
                <w:szCs w:val="16"/>
                <w:lang w:eastAsia="en-AU"/>
              </w:rPr>
              <w:t xml:space="preserve"> NWAU</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3C9F3E3D" w14:textId="38F7A56D" w:rsidR="0034306F" w:rsidRPr="0034306F" w:rsidRDefault="0034306F" w:rsidP="0034306F">
            <w:pPr>
              <w:spacing w:after="0" w:line="240" w:lineRule="auto"/>
              <w:jc w:val="right"/>
              <w:rPr>
                <w:rFonts w:cs="Arial"/>
                <w:b/>
                <w:bCs/>
                <w:color w:val="53565A"/>
                <w:sz w:val="16"/>
                <w:szCs w:val="16"/>
                <w:lang w:eastAsia="en-AU"/>
              </w:rPr>
            </w:pPr>
            <w:r w:rsidRPr="0034306F">
              <w:rPr>
                <w:rFonts w:cs="Arial"/>
                <w:b/>
                <w:bCs/>
                <w:color w:val="53565A"/>
                <w:sz w:val="16"/>
                <w:szCs w:val="16"/>
                <w:lang w:eastAsia="en-AU"/>
              </w:rPr>
              <w:t>National Bowel Screening Program NWAU</w:t>
            </w:r>
          </w:p>
        </w:tc>
        <w:tc>
          <w:tcPr>
            <w:tcW w:w="1261" w:type="dxa"/>
            <w:tcBorders>
              <w:top w:val="single" w:sz="4" w:space="0" w:color="auto"/>
              <w:left w:val="nil"/>
              <w:bottom w:val="single" w:sz="4" w:space="0" w:color="auto"/>
              <w:right w:val="single" w:sz="4" w:space="0" w:color="auto"/>
            </w:tcBorders>
            <w:shd w:val="clear" w:color="auto" w:fill="auto"/>
            <w:hideMark/>
          </w:tcPr>
          <w:p w14:paraId="44238772" w14:textId="77777777" w:rsidR="0034306F" w:rsidRPr="0034306F" w:rsidRDefault="0034306F" w:rsidP="0034306F">
            <w:pPr>
              <w:spacing w:after="0" w:line="240" w:lineRule="auto"/>
              <w:jc w:val="right"/>
              <w:rPr>
                <w:rFonts w:cs="Arial"/>
                <w:b/>
                <w:bCs/>
                <w:color w:val="53565A"/>
                <w:sz w:val="16"/>
                <w:szCs w:val="16"/>
                <w:lang w:eastAsia="en-AU"/>
              </w:rPr>
            </w:pPr>
            <w:r w:rsidRPr="0034306F">
              <w:rPr>
                <w:rFonts w:cs="Arial"/>
                <w:b/>
                <w:bCs/>
                <w:color w:val="53565A"/>
                <w:sz w:val="16"/>
                <w:szCs w:val="16"/>
                <w:lang w:eastAsia="en-AU"/>
              </w:rPr>
              <w:t>Admitted DVA NWAU</w:t>
            </w:r>
          </w:p>
        </w:tc>
        <w:tc>
          <w:tcPr>
            <w:tcW w:w="1261" w:type="dxa"/>
            <w:tcBorders>
              <w:top w:val="single" w:sz="4" w:space="0" w:color="auto"/>
              <w:left w:val="nil"/>
              <w:bottom w:val="single" w:sz="4" w:space="0" w:color="auto"/>
              <w:right w:val="single" w:sz="4" w:space="0" w:color="auto"/>
            </w:tcBorders>
            <w:shd w:val="clear" w:color="auto" w:fill="auto"/>
            <w:hideMark/>
          </w:tcPr>
          <w:p w14:paraId="220FFFBA" w14:textId="77777777" w:rsidR="0034306F" w:rsidRPr="0034306F" w:rsidRDefault="0034306F" w:rsidP="0034306F">
            <w:pPr>
              <w:spacing w:after="0" w:line="240" w:lineRule="auto"/>
              <w:jc w:val="right"/>
              <w:rPr>
                <w:rFonts w:cs="Arial"/>
                <w:b/>
                <w:bCs/>
                <w:color w:val="53565A"/>
                <w:sz w:val="16"/>
                <w:szCs w:val="16"/>
                <w:lang w:eastAsia="en-AU"/>
              </w:rPr>
            </w:pPr>
            <w:r w:rsidRPr="0034306F">
              <w:rPr>
                <w:rFonts w:cs="Arial"/>
                <w:b/>
                <w:bCs/>
                <w:color w:val="53565A"/>
                <w:sz w:val="16"/>
                <w:szCs w:val="16"/>
                <w:lang w:eastAsia="en-AU"/>
              </w:rPr>
              <w:t>Admitted TAC NWAU</w:t>
            </w:r>
          </w:p>
        </w:tc>
        <w:tc>
          <w:tcPr>
            <w:tcW w:w="1261" w:type="dxa"/>
            <w:tcBorders>
              <w:top w:val="single" w:sz="4" w:space="0" w:color="auto"/>
              <w:left w:val="nil"/>
              <w:bottom w:val="single" w:sz="4" w:space="0" w:color="auto"/>
              <w:right w:val="single" w:sz="4" w:space="0" w:color="auto"/>
            </w:tcBorders>
            <w:shd w:val="clear" w:color="auto" w:fill="auto"/>
            <w:hideMark/>
          </w:tcPr>
          <w:p w14:paraId="5AD237D8" w14:textId="1ECEA695" w:rsidR="0034306F" w:rsidRPr="0034306F" w:rsidRDefault="0034306F" w:rsidP="0034306F">
            <w:pPr>
              <w:spacing w:after="0" w:line="240" w:lineRule="auto"/>
              <w:jc w:val="right"/>
              <w:rPr>
                <w:rFonts w:cs="Arial"/>
                <w:b/>
                <w:bCs/>
                <w:color w:val="53565A"/>
                <w:sz w:val="16"/>
                <w:szCs w:val="16"/>
                <w:lang w:eastAsia="en-AU"/>
              </w:rPr>
            </w:pPr>
            <w:r w:rsidRPr="0034306F">
              <w:rPr>
                <w:rFonts w:cs="Arial"/>
                <w:b/>
                <w:bCs/>
                <w:color w:val="53565A"/>
                <w:sz w:val="16"/>
                <w:szCs w:val="16"/>
                <w:lang w:eastAsia="en-AU"/>
              </w:rPr>
              <w:t xml:space="preserve"> </w:t>
            </w:r>
            <w:r w:rsidR="00336D9E">
              <w:rPr>
                <w:rFonts w:cs="Arial"/>
                <w:b/>
                <w:bCs/>
                <w:color w:val="53565A"/>
                <w:sz w:val="16"/>
                <w:szCs w:val="16"/>
                <w:lang w:eastAsia="en-AU"/>
              </w:rPr>
              <w:t>S</w:t>
            </w:r>
            <w:r w:rsidRPr="0034306F">
              <w:rPr>
                <w:rFonts w:cs="Arial"/>
                <w:b/>
                <w:bCs/>
                <w:color w:val="53565A"/>
                <w:sz w:val="16"/>
                <w:szCs w:val="16"/>
                <w:lang w:eastAsia="en-AU"/>
              </w:rPr>
              <w:t>ubacute admitted DVA</w:t>
            </w:r>
            <w:r w:rsidR="00336D9E">
              <w:rPr>
                <w:rFonts w:cs="Arial"/>
                <w:b/>
                <w:bCs/>
                <w:color w:val="53565A"/>
                <w:sz w:val="16"/>
                <w:szCs w:val="16"/>
                <w:lang w:eastAsia="en-AU"/>
              </w:rPr>
              <w:t xml:space="preserve"> NWAU</w:t>
            </w:r>
          </w:p>
        </w:tc>
        <w:tc>
          <w:tcPr>
            <w:tcW w:w="1262" w:type="dxa"/>
            <w:tcBorders>
              <w:top w:val="single" w:sz="4" w:space="0" w:color="auto"/>
              <w:left w:val="nil"/>
              <w:bottom w:val="single" w:sz="4" w:space="0" w:color="auto"/>
              <w:right w:val="single" w:sz="4" w:space="0" w:color="auto"/>
            </w:tcBorders>
            <w:shd w:val="clear" w:color="auto" w:fill="auto"/>
            <w:hideMark/>
          </w:tcPr>
          <w:p w14:paraId="4DB538ED" w14:textId="77777777" w:rsidR="0034306F" w:rsidRPr="0034306F" w:rsidRDefault="0034306F" w:rsidP="0034306F">
            <w:pPr>
              <w:spacing w:after="0" w:line="240" w:lineRule="auto"/>
              <w:jc w:val="right"/>
              <w:rPr>
                <w:rFonts w:cs="Arial"/>
                <w:b/>
                <w:bCs/>
                <w:color w:val="53565A"/>
                <w:sz w:val="16"/>
                <w:szCs w:val="16"/>
                <w:lang w:eastAsia="en-AU"/>
              </w:rPr>
            </w:pPr>
            <w:r w:rsidRPr="0034306F">
              <w:rPr>
                <w:rFonts w:cs="Arial"/>
                <w:b/>
                <w:bCs/>
                <w:color w:val="53565A"/>
                <w:sz w:val="16"/>
                <w:szCs w:val="16"/>
                <w:lang w:eastAsia="en-AU"/>
              </w:rPr>
              <w:t>Total NWAU</w:t>
            </w:r>
          </w:p>
        </w:tc>
      </w:tr>
      <w:tr w:rsidR="007D1F76" w:rsidRPr="0034306F" w14:paraId="7E19320D"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418D2EB3"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Albury Wodonga Health</w:t>
            </w:r>
          </w:p>
        </w:tc>
        <w:tc>
          <w:tcPr>
            <w:tcW w:w="1261" w:type="dxa"/>
            <w:tcBorders>
              <w:top w:val="nil"/>
              <w:left w:val="nil"/>
              <w:bottom w:val="single" w:sz="4" w:space="0" w:color="auto"/>
              <w:right w:val="single" w:sz="4" w:space="0" w:color="auto"/>
            </w:tcBorders>
            <w:shd w:val="clear" w:color="auto" w:fill="auto"/>
            <w:noWrap/>
            <w:vAlign w:val="center"/>
            <w:hideMark/>
          </w:tcPr>
          <w:p w14:paraId="60457359" w14:textId="3B4E39DF"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29,425 </w:t>
            </w:r>
          </w:p>
        </w:tc>
        <w:tc>
          <w:tcPr>
            <w:tcW w:w="1261" w:type="dxa"/>
            <w:tcBorders>
              <w:top w:val="nil"/>
              <w:left w:val="nil"/>
              <w:bottom w:val="single" w:sz="4" w:space="0" w:color="auto"/>
              <w:right w:val="single" w:sz="4" w:space="0" w:color="auto"/>
            </w:tcBorders>
            <w:shd w:val="clear" w:color="auto" w:fill="auto"/>
            <w:noWrap/>
            <w:vAlign w:val="center"/>
            <w:hideMark/>
          </w:tcPr>
          <w:p w14:paraId="636713DE" w14:textId="05F360A8"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16 </w:t>
            </w:r>
          </w:p>
        </w:tc>
        <w:tc>
          <w:tcPr>
            <w:tcW w:w="1261" w:type="dxa"/>
            <w:tcBorders>
              <w:top w:val="nil"/>
              <w:left w:val="nil"/>
              <w:bottom w:val="single" w:sz="4" w:space="0" w:color="auto"/>
              <w:right w:val="single" w:sz="4" w:space="0" w:color="auto"/>
            </w:tcBorders>
            <w:shd w:val="clear" w:color="auto" w:fill="auto"/>
            <w:noWrap/>
            <w:vAlign w:val="center"/>
            <w:hideMark/>
          </w:tcPr>
          <w:p w14:paraId="04721321" w14:textId="6693ABCA"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116 </w:t>
            </w:r>
          </w:p>
        </w:tc>
        <w:tc>
          <w:tcPr>
            <w:tcW w:w="1261" w:type="dxa"/>
            <w:tcBorders>
              <w:top w:val="nil"/>
              <w:left w:val="nil"/>
              <w:bottom w:val="single" w:sz="4" w:space="0" w:color="auto"/>
              <w:right w:val="single" w:sz="4" w:space="0" w:color="auto"/>
            </w:tcBorders>
            <w:shd w:val="clear" w:color="auto" w:fill="auto"/>
            <w:noWrap/>
            <w:vAlign w:val="center"/>
            <w:hideMark/>
          </w:tcPr>
          <w:p w14:paraId="2754868C" w14:textId="45596039" w:rsidR="0034306F" w:rsidRPr="0034306F" w:rsidRDefault="0034306F" w:rsidP="00B1695F">
            <w:pPr>
              <w:spacing w:after="0" w:line="240" w:lineRule="auto"/>
              <w:jc w:val="center"/>
              <w:rPr>
                <w:rFonts w:cs="Arial"/>
                <w:color w:val="000000"/>
                <w:sz w:val="16"/>
                <w:szCs w:val="16"/>
                <w:lang w:eastAsia="en-AU"/>
              </w:rPr>
            </w:pPr>
            <w:r w:rsidRPr="0034306F">
              <w:rPr>
                <w:rFonts w:cs="Arial"/>
                <w:color w:val="000000"/>
                <w:sz w:val="16"/>
                <w:szCs w:val="16"/>
                <w:lang w:eastAsia="en-AU"/>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70BA6D1E" w14:textId="51809220"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105 </w:t>
            </w:r>
          </w:p>
        </w:tc>
        <w:tc>
          <w:tcPr>
            <w:tcW w:w="1262" w:type="dxa"/>
            <w:tcBorders>
              <w:top w:val="nil"/>
              <w:left w:val="nil"/>
              <w:bottom w:val="single" w:sz="4" w:space="0" w:color="auto"/>
              <w:right w:val="single" w:sz="4" w:space="0" w:color="auto"/>
            </w:tcBorders>
            <w:shd w:val="clear" w:color="auto" w:fill="auto"/>
            <w:noWrap/>
            <w:vAlign w:val="center"/>
            <w:hideMark/>
          </w:tcPr>
          <w:p w14:paraId="3AF903F2" w14:textId="5475A18A"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29,662 </w:t>
            </w:r>
          </w:p>
        </w:tc>
      </w:tr>
      <w:tr w:rsidR="007D1F76" w:rsidRPr="0034306F" w14:paraId="3F99F964"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27A22671"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Alfred Health</w:t>
            </w:r>
          </w:p>
        </w:tc>
        <w:tc>
          <w:tcPr>
            <w:tcW w:w="1261" w:type="dxa"/>
            <w:tcBorders>
              <w:top w:val="nil"/>
              <w:left w:val="nil"/>
              <w:bottom w:val="single" w:sz="4" w:space="0" w:color="auto"/>
              <w:right w:val="single" w:sz="4" w:space="0" w:color="auto"/>
            </w:tcBorders>
            <w:shd w:val="clear" w:color="auto" w:fill="auto"/>
            <w:noWrap/>
            <w:vAlign w:val="center"/>
            <w:hideMark/>
          </w:tcPr>
          <w:p w14:paraId="12A99180" w14:textId="1D092269"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170,931 </w:t>
            </w:r>
          </w:p>
        </w:tc>
        <w:tc>
          <w:tcPr>
            <w:tcW w:w="1261" w:type="dxa"/>
            <w:tcBorders>
              <w:top w:val="nil"/>
              <w:left w:val="nil"/>
              <w:bottom w:val="single" w:sz="4" w:space="0" w:color="auto"/>
              <w:right w:val="single" w:sz="4" w:space="0" w:color="auto"/>
            </w:tcBorders>
            <w:shd w:val="clear" w:color="auto" w:fill="auto"/>
            <w:noWrap/>
            <w:vAlign w:val="center"/>
            <w:hideMark/>
          </w:tcPr>
          <w:p w14:paraId="0E3F83D1" w14:textId="212C8E3C"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35B091C3" w14:textId="1FD42CEF"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322 </w:t>
            </w:r>
          </w:p>
        </w:tc>
        <w:tc>
          <w:tcPr>
            <w:tcW w:w="1261" w:type="dxa"/>
            <w:tcBorders>
              <w:top w:val="nil"/>
              <w:left w:val="nil"/>
              <w:bottom w:val="single" w:sz="4" w:space="0" w:color="auto"/>
              <w:right w:val="single" w:sz="4" w:space="0" w:color="auto"/>
            </w:tcBorders>
            <w:shd w:val="clear" w:color="auto" w:fill="auto"/>
            <w:noWrap/>
            <w:vAlign w:val="center"/>
            <w:hideMark/>
          </w:tcPr>
          <w:p w14:paraId="51D4BF74" w14:textId="753F445D"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6,995 </w:t>
            </w:r>
          </w:p>
        </w:tc>
        <w:tc>
          <w:tcPr>
            <w:tcW w:w="1261" w:type="dxa"/>
            <w:tcBorders>
              <w:top w:val="nil"/>
              <w:left w:val="nil"/>
              <w:bottom w:val="single" w:sz="4" w:space="0" w:color="auto"/>
              <w:right w:val="single" w:sz="4" w:space="0" w:color="auto"/>
            </w:tcBorders>
            <w:shd w:val="clear" w:color="auto" w:fill="auto"/>
            <w:noWrap/>
            <w:vAlign w:val="center"/>
            <w:hideMark/>
          </w:tcPr>
          <w:p w14:paraId="69C1A845" w14:textId="5019F91E"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179 </w:t>
            </w:r>
          </w:p>
        </w:tc>
        <w:tc>
          <w:tcPr>
            <w:tcW w:w="1262" w:type="dxa"/>
            <w:tcBorders>
              <w:top w:val="nil"/>
              <w:left w:val="nil"/>
              <w:bottom w:val="single" w:sz="4" w:space="0" w:color="auto"/>
              <w:right w:val="single" w:sz="4" w:space="0" w:color="auto"/>
            </w:tcBorders>
            <w:shd w:val="clear" w:color="auto" w:fill="auto"/>
            <w:noWrap/>
            <w:vAlign w:val="center"/>
            <w:hideMark/>
          </w:tcPr>
          <w:p w14:paraId="456144D2" w14:textId="69CB6675"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178,428 </w:t>
            </w:r>
          </w:p>
        </w:tc>
      </w:tr>
      <w:tr w:rsidR="007D1F76" w:rsidRPr="0034306F" w14:paraId="631E8C49"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110147A6"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Austin Health</w:t>
            </w:r>
          </w:p>
        </w:tc>
        <w:tc>
          <w:tcPr>
            <w:tcW w:w="1261" w:type="dxa"/>
            <w:tcBorders>
              <w:top w:val="nil"/>
              <w:left w:val="nil"/>
              <w:bottom w:val="single" w:sz="4" w:space="0" w:color="auto"/>
              <w:right w:val="single" w:sz="4" w:space="0" w:color="auto"/>
            </w:tcBorders>
            <w:shd w:val="clear" w:color="auto" w:fill="auto"/>
            <w:noWrap/>
            <w:vAlign w:val="center"/>
            <w:hideMark/>
          </w:tcPr>
          <w:p w14:paraId="7926685E" w14:textId="0279E187"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139,033 </w:t>
            </w:r>
          </w:p>
        </w:tc>
        <w:tc>
          <w:tcPr>
            <w:tcW w:w="1261" w:type="dxa"/>
            <w:tcBorders>
              <w:top w:val="nil"/>
              <w:left w:val="nil"/>
              <w:bottom w:val="single" w:sz="4" w:space="0" w:color="auto"/>
              <w:right w:val="single" w:sz="4" w:space="0" w:color="auto"/>
            </w:tcBorders>
            <w:shd w:val="clear" w:color="auto" w:fill="auto"/>
            <w:noWrap/>
            <w:vAlign w:val="center"/>
            <w:hideMark/>
          </w:tcPr>
          <w:p w14:paraId="517EDFC6" w14:textId="0A9DAACC"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70 </w:t>
            </w:r>
          </w:p>
        </w:tc>
        <w:tc>
          <w:tcPr>
            <w:tcW w:w="1261" w:type="dxa"/>
            <w:tcBorders>
              <w:top w:val="nil"/>
              <w:left w:val="nil"/>
              <w:bottom w:val="single" w:sz="4" w:space="0" w:color="auto"/>
              <w:right w:val="single" w:sz="4" w:space="0" w:color="auto"/>
            </w:tcBorders>
            <w:shd w:val="clear" w:color="auto" w:fill="auto"/>
            <w:noWrap/>
            <w:vAlign w:val="center"/>
            <w:hideMark/>
          </w:tcPr>
          <w:p w14:paraId="0B5B9210" w14:textId="555095BB"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451 </w:t>
            </w:r>
          </w:p>
        </w:tc>
        <w:tc>
          <w:tcPr>
            <w:tcW w:w="1261" w:type="dxa"/>
            <w:tcBorders>
              <w:top w:val="nil"/>
              <w:left w:val="nil"/>
              <w:bottom w:val="single" w:sz="4" w:space="0" w:color="auto"/>
              <w:right w:val="single" w:sz="4" w:space="0" w:color="auto"/>
            </w:tcBorders>
            <w:shd w:val="clear" w:color="auto" w:fill="auto"/>
            <w:noWrap/>
            <w:vAlign w:val="center"/>
            <w:hideMark/>
          </w:tcPr>
          <w:p w14:paraId="52FF2F33" w14:textId="60A94039"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594 </w:t>
            </w:r>
          </w:p>
        </w:tc>
        <w:tc>
          <w:tcPr>
            <w:tcW w:w="1261" w:type="dxa"/>
            <w:tcBorders>
              <w:top w:val="nil"/>
              <w:left w:val="nil"/>
              <w:bottom w:val="single" w:sz="4" w:space="0" w:color="auto"/>
              <w:right w:val="single" w:sz="4" w:space="0" w:color="auto"/>
            </w:tcBorders>
            <w:shd w:val="clear" w:color="auto" w:fill="auto"/>
            <w:noWrap/>
            <w:vAlign w:val="center"/>
            <w:hideMark/>
          </w:tcPr>
          <w:p w14:paraId="22C2AAFE" w14:textId="43574A68"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282 </w:t>
            </w:r>
          </w:p>
        </w:tc>
        <w:tc>
          <w:tcPr>
            <w:tcW w:w="1262" w:type="dxa"/>
            <w:tcBorders>
              <w:top w:val="nil"/>
              <w:left w:val="nil"/>
              <w:bottom w:val="single" w:sz="4" w:space="0" w:color="auto"/>
              <w:right w:val="single" w:sz="4" w:space="0" w:color="auto"/>
            </w:tcBorders>
            <w:shd w:val="clear" w:color="auto" w:fill="auto"/>
            <w:noWrap/>
            <w:vAlign w:val="center"/>
            <w:hideMark/>
          </w:tcPr>
          <w:p w14:paraId="2126A898" w14:textId="5B5BF56E"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140,431 </w:t>
            </w:r>
          </w:p>
        </w:tc>
      </w:tr>
      <w:tr w:rsidR="007D1F76" w:rsidRPr="0034306F" w14:paraId="324884DD" w14:textId="77777777" w:rsidTr="00336D9E">
        <w:trPr>
          <w:trHeight w:val="33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25F8A7C9"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Bairnsdale Regional Health Service</w:t>
            </w:r>
          </w:p>
        </w:tc>
        <w:tc>
          <w:tcPr>
            <w:tcW w:w="1261" w:type="dxa"/>
            <w:tcBorders>
              <w:top w:val="nil"/>
              <w:left w:val="nil"/>
              <w:bottom w:val="single" w:sz="4" w:space="0" w:color="auto"/>
              <w:right w:val="single" w:sz="4" w:space="0" w:color="auto"/>
            </w:tcBorders>
            <w:shd w:val="clear" w:color="auto" w:fill="auto"/>
            <w:noWrap/>
            <w:vAlign w:val="center"/>
            <w:hideMark/>
          </w:tcPr>
          <w:p w14:paraId="4F4986A3" w14:textId="2CD641D4" w:rsidR="0034306F" w:rsidRPr="0034306F" w:rsidRDefault="0034306F" w:rsidP="00B1695F">
            <w:pPr>
              <w:spacing w:after="0" w:line="240" w:lineRule="auto"/>
              <w:rPr>
                <w:rFonts w:cs="Arial"/>
                <w:color w:val="000000"/>
                <w:sz w:val="16"/>
                <w:szCs w:val="16"/>
                <w:lang w:eastAsia="en-AU"/>
              </w:rPr>
            </w:pPr>
            <w:r w:rsidRPr="0034306F">
              <w:rPr>
                <w:rFonts w:cs="Arial"/>
                <w:color w:val="000000"/>
                <w:sz w:val="16"/>
                <w:szCs w:val="16"/>
                <w:lang w:eastAsia="en-AU"/>
              </w:rPr>
              <w:t xml:space="preserve">          </w:t>
            </w:r>
            <w:r w:rsidR="00B1695F">
              <w:rPr>
                <w:rFonts w:cs="Arial"/>
                <w:color w:val="000000"/>
                <w:sz w:val="16"/>
                <w:szCs w:val="16"/>
                <w:lang w:eastAsia="en-AU"/>
              </w:rPr>
              <w:t xml:space="preserve">  </w:t>
            </w:r>
            <w:r w:rsidRPr="0034306F">
              <w:rPr>
                <w:rFonts w:cs="Arial"/>
                <w:color w:val="000000"/>
                <w:sz w:val="16"/>
                <w:szCs w:val="16"/>
                <w:lang w:eastAsia="en-AU"/>
              </w:rPr>
              <w:t xml:space="preserve">16,760 </w:t>
            </w:r>
          </w:p>
        </w:tc>
        <w:tc>
          <w:tcPr>
            <w:tcW w:w="1261" w:type="dxa"/>
            <w:tcBorders>
              <w:top w:val="nil"/>
              <w:left w:val="nil"/>
              <w:bottom w:val="single" w:sz="4" w:space="0" w:color="auto"/>
              <w:right w:val="single" w:sz="4" w:space="0" w:color="auto"/>
            </w:tcBorders>
            <w:shd w:val="clear" w:color="auto" w:fill="auto"/>
            <w:noWrap/>
            <w:vAlign w:val="center"/>
            <w:hideMark/>
          </w:tcPr>
          <w:p w14:paraId="52BEF308" w14:textId="50C0E1F7"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40 </w:t>
            </w:r>
          </w:p>
        </w:tc>
        <w:tc>
          <w:tcPr>
            <w:tcW w:w="1261" w:type="dxa"/>
            <w:tcBorders>
              <w:top w:val="nil"/>
              <w:left w:val="nil"/>
              <w:bottom w:val="single" w:sz="4" w:space="0" w:color="auto"/>
              <w:right w:val="single" w:sz="4" w:space="0" w:color="auto"/>
            </w:tcBorders>
            <w:shd w:val="clear" w:color="auto" w:fill="auto"/>
            <w:noWrap/>
            <w:vAlign w:val="center"/>
            <w:hideMark/>
          </w:tcPr>
          <w:p w14:paraId="027E4F41" w14:textId="69D3DA6A"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88 </w:t>
            </w:r>
          </w:p>
        </w:tc>
        <w:tc>
          <w:tcPr>
            <w:tcW w:w="1261" w:type="dxa"/>
            <w:tcBorders>
              <w:top w:val="nil"/>
              <w:left w:val="nil"/>
              <w:bottom w:val="single" w:sz="4" w:space="0" w:color="auto"/>
              <w:right w:val="single" w:sz="4" w:space="0" w:color="auto"/>
            </w:tcBorders>
            <w:shd w:val="clear" w:color="auto" w:fill="auto"/>
            <w:noWrap/>
            <w:vAlign w:val="center"/>
            <w:hideMark/>
          </w:tcPr>
          <w:p w14:paraId="42B31FD1" w14:textId="2D6E9D0F"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17 </w:t>
            </w:r>
          </w:p>
        </w:tc>
        <w:tc>
          <w:tcPr>
            <w:tcW w:w="1261" w:type="dxa"/>
            <w:tcBorders>
              <w:top w:val="nil"/>
              <w:left w:val="nil"/>
              <w:bottom w:val="single" w:sz="4" w:space="0" w:color="auto"/>
              <w:right w:val="single" w:sz="4" w:space="0" w:color="auto"/>
            </w:tcBorders>
            <w:shd w:val="clear" w:color="auto" w:fill="auto"/>
            <w:noWrap/>
            <w:vAlign w:val="center"/>
            <w:hideMark/>
          </w:tcPr>
          <w:p w14:paraId="6CD87F66" w14:textId="527568E9"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58 </w:t>
            </w:r>
          </w:p>
        </w:tc>
        <w:tc>
          <w:tcPr>
            <w:tcW w:w="1262" w:type="dxa"/>
            <w:tcBorders>
              <w:top w:val="nil"/>
              <w:left w:val="nil"/>
              <w:bottom w:val="single" w:sz="4" w:space="0" w:color="auto"/>
              <w:right w:val="single" w:sz="4" w:space="0" w:color="auto"/>
            </w:tcBorders>
            <w:shd w:val="clear" w:color="auto" w:fill="auto"/>
            <w:noWrap/>
            <w:vAlign w:val="center"/>
            <w:hideMark/>
          </w:tcPr>
          <w:p w14:paraId="489C612B" w14:textId="22DE5F84"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16,962 </w:t>
            </w:r>
          </w:p>
        </w:tc>
      </w:tr>
      <w:tr w:rsidR="007D1F76" w:rsidRPr="0034306F" w14:paraId="46F3E41F"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231DEEC0"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Barwon Health</w:t>
            </w:r>
          </w:p>
        </w:tc>
        <w:tc>
          <w:tcPr>
            <w:tcW w:w="1261" w:type="dxa"/>
            <w:tcBorders>
              <w:top w:val="nil"/>
              <w:left w:val="nil"/>
              <w:bottom w:val="single" w:sz="4" w:space="0" w:color="auto"/>
              <w:right w:val="single" w:sz="4" w:space="0" w:color="auto"/>
            </w:tcBorders>
            <w:shd w:val="clear" w:color="auto" w:fill="auto"/>
            <w:noWrap/>
            <w:vAlign w:val="center"/>
            <w:hideMark/>
          </w:tcPr>
          <w:p w14:paraId="4E5CF4C5" w14:textId="61EA3E37"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122,156 </w:t>
            </w:r>
          </w:p>
        </w:tc>
        <w:tc>
          <w:tcPr>
            <w:tcW w:w="1261" w:type="dxa"/>
            <w:tcBorders>
              <w:top w:val="nil"/>
              <w:left w:val="nil"/>
              <w:bottom w:val="single" w:sz="4" w:space="0" w:color="auto"/>
              <w:right w:val="single" w:sz="4" w:space="0" w:color="auto"/>
            </w:tcBorders>
            <w:shd w:val="clear" w:color="auto" w:fill="auto"/>
            <w:noWrap/>
            <w:vAlign w:val="center"/>
            <w:hideMark/>
          </w:tcPr>
          <w:p w14:paraId="5F270C2C" w14:textId="6604478C"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9 </w:t>
            </w:r>
          </w:p>
        </w:tc>
        <w:tc>
          <w:tcPr>
            <w:tcW w:w="1261" w:type="dxa"/>
            <w:tcBorders>
              <w:top w:val="nil"/>
              <w:left w:val="nil"/>
              <w:bottom w:val="single" w:sz="4" w:space="0" w:color="auto"/>
              <w:right w:val="single" w:sz="4" w:space="0" w:color="auto"/>
            </w:tcBorders>
            <w:shd w:val="clear" w:color="auto" w:fill="auto"/>
            <w:noWrap/>
            <w:vAlign w:val="center"/>
            <w:hideMark/>
          </w:tcPr>
          <w:p w14:paraId="780ACF52" w14:textId="120CD180"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236 </w:t>
            </w:r>
          </w:p>
        </w:tc>
        <w:tc>
          <w:tcPr>
            <w:tcW w:w="1261" w:type="dxa"/>
            <w:tcBorders>
              <w:top w:val="nil"/>
              <w:left w:val="nil"/>
              <w:bottom w:val="single" w:sz="4" w:space="0" w:color="auto"/>
              <w:right w:val="single" w:sz="4" w:space="0" w:color="auto"/>
            </w:tcBorders>
            <w:shd w:val="clear" w:color="auto" w:fill="auto"/>
            <w:noWrap/>
            <w:vAlign w:val="center"/>
            <w:hideMark/>
          </w:tcPr>
          <w:p w14:paraId="51C066BD" w14:textId="2A57312B"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477 </w:t>
            </w:r>
          </w:p>
        </w:tc>
        <w:tc>
          <w:tcPr>
            <w:tcW w:w="1261" w:type="dxa"/>
            <w:tcBorders>
              <w:top w:val="nil"/>
              <w:left w:val="nil"/>
              <w:bottom w:val="single" w:sz="4" w:space="0" w:color="auto"/>
              <w:right w:val="single" w:sz="4" w:space="0" w:color="auto"/>
            </w:tcBorders>
            <w:shd w:val="clear" w:color="auto" w:fill="auto"/>
            <w:noWrap/>
            <w:vAlign w:val="center"/>
            <w:hideMark/>
          </w:tcPr>
          <w:p w14:paraId="5D323481" w14:textId="652C5989"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116 </w:t>
            </w:r>
          </w:p>
        </w:tc>
        <w:tc>
          <w:tcPr>
            <w:tcW w:w="1262" w:type="dxa"/>
            <w:tcBorders>
              <w:top w:val="nil"/>
              <w:left w:val="nil"/>
              <w:bottom w:val="single" w:sz="4" w:space="0" w:color="auto"/>
              <w:right w:val="single" w:sz="4" w:space="0" w:color="auto"/>
            </w:tcBorders>
            <w:shd w:val="clear" w:color="auto" w:fill="auto"/>
            <w:noWrap/>
            <w:vAlign w:val="center"/>
            <w:hideMark/>
          </w:tcPr>
          <w:p w14:paraId="6A151C84" w14:textId="5C67668D"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122,993 </w:t>
            </w:r>
          </w:p>
        </w:tc>
      </w:tr>
      <w:tr w:rsidR="007D1F76" w:rsidRPr="0034306F" w14:paraId="432B7124"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15834FE2"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Bass Coast Health</w:t>
            </w:r>
          </w:p>
        </w:tc>
        <w:tc>
          <w:tcPr>
            <w:tcW w:w="1261" w:type="dxa"/>
            <w:tcBorders>
              <w:top w:val="nil"/>
              <w:left w:val="nil"/>
              <w:bottom w:val="single" w:sz="4" w:space="0" w:color="auto"/>
              <w:right w:val="single" w:sz="4" w:space="0" w:color="auto"/>
            </w:tcBorders>
            <w:shd w:val="clear" w:color="auto" w:fill="auto"/>
            <w:noWrap/>
            <w:vAlign w:val="center"/>
            <w:hideMark/>
          </w:tcPr>
          <w:p w14:paraId="699C43AD" w14:textId="4B8898E9"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16,868 </w:t>
            </w:r>
          </w:p>
        </w:tc>
        <w:tc>
          <w:tcPr>
            <w:tcW w:w="1261" w:type="dxa"/>
            <w:tcBorders>
              <w:top w:val="nil"/>
              <w:left w:val="nil"/>
              <w:bottom w:val="single" w:sz="4" w:space="0" w:color="auto"/>
              <w:right w:val="single" w:sz="4" w:space="0" w:color="auto"/>
            </w:tcBorders>
            <w:shd w:val="clear" w:color="auto" w:fill="auto"/>
            <w:noWrap/>
            <w:vAlign w:val="center"/>
            <w:hideMark/>
          </w:tcPr>
          <w:p w14:paraId="2ADD34FE" w14:textId="0B366C8B"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14 </w:t>
            </w:r>
          </w:p>
        </w:tc>
        <w:tc>
          <w:tcPr>
            <w:tcW w:w="1261" w:type="dxa"/>
            <w:tcBorders>
              <w:top w:val="nil"/>
              <w:left w:val="nil"/>
              <w:bottom w:val="single" w:sz="4" w:space="0" w:color="auto"/>
              <w:right w:val="single" w:sz="4" w:space="0" w:color="auto"/>
            </w:tcBorders>
            <w:shd w:val="clear" w:color="auto" w:fill="auto"/>
            <w:noWrap/>
            <w:vAlign w:val="center"/>
            <w:hideMark/>
          </w:tcPr>
          <w:p w14:paraId="0346B265" w14:textId="6A46E919"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45 </w:t>
            </w:r>
          </w:p>
        </w:tc>
        <w:tc>
          <w:tcPr>
            <w:tcW w:w="1261" w:type="dxa"/>
            <w:tcBorders>
              <w:top w:val="nil"/>
              <w:left w:val="nil"/>
              <w:bottom w:val="single" w:sz="4" w:space="0" w:color="auto"/>
              <w:right w:val="single" w:sz="4" w:space="0" w:color="auto"/>
            </w:tcBorders>
            <w:shd w:val="clear" w:color="auto" w:fill="auto"/>
            <w:noWrap/>
            <w:vAlign w:val="center"/>
            <w:hideMark/>
          </w:tcPr>
          <w:p w14:paraId="4A36700F" w14:textId="7EACE5E5"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2575BF1A" w14:textId="6A15C466"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63 </w:t>
            </w:r>
          </w:p>
        </w:tc>
        <w:tc>
          <w:tcPr>
            <w:tcW w:w="1262" w:type="dxa"/>
            <w:tcBorders>
              <w:top w:val="nil"/>
              <w:left w:val="nil"/>
              <w:bottom w:val="single" w:sz="4" w:space="0" w:color="auto"/>
              <w:right w:val="single" w:sz="4" w:space="0" w:color="auto"/>
            </w:tcBorders>
            <w:shd w:val="clear" w:color="auto" w:fill="auto"/>
            <w:noWrap/>
            <w:vAlign w:val="center"/>
            <w:hideMark/>
          </w:tcPr>
          <w:p w14:paraId="31311626" w14:textId="79ED3B49"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16,990 </w:t>
            </w:r>
          </w:p>
        </w:tc>
      </w:tr>
      <w:tr w:rsidR="007D1F76" w:rsidRPr="0034306F" w14:paraId="3382036A"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74A05AE6"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Benalla Health</w:t>
            </w:r>
          </w:p>
        </w:tc>
        <w:tc>
          <w:tcPr>
            <w:tcW w:w="1261" w:type="dxa"/>
            <w:tcBorders>
              <w:top w:val="nil"/>
              <w:left w:val="nil"/>
              <w:bottom w:val="single" w:sz="4" w:space="0" w:color="auto"/>
              <w:right w:val="single" w:sz="4" w:space="0" w:color="auto"/>
            </w:tcBorders>
            <w:shd w:val="clear" w:color="auto" w:fill="auto"/>
            <w:noWrap/>
            <w:vAlign w:val="center"/>
            <w:hideMark/>
          </w:tcPr>
          <w:p w14:paraId="46CC2E2D" w14:textId="617342FD"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4,276 </w:t>
            </w:r>
          </w:p>
        </w:tc>
        <w:tc>
          <w:tcPr>
            <w:tcW w:w="1261" w:type="dxa"/>
            <w:tcBorders>
              <w:top w:val="nil"/>
              <w:left w:val="nil"/>
              <w:bottom w:val="single" w:sz="4" w:space="0" w:color="auto"/>
              <w:right w:val="single" w:sz="4" w:space="0" w:color="auto"/>
            </w:tcBorders>
            <w:shd w:val="clear" w:color="auto" w:fill="auto"/>
            <w:noWrap/>
            <w:vAlign w:val="center"/>
            <w:hideMark/>
          </w:tcPr>
          <w:p w14:paraId="221461AC" w14:textId="32A835A3"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02F3B77D" w14:textId="6AA6B8FD"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48 </w:t>
            </w:r>
          </w:p>
        </w:tc>
        <w:tc>
          <w:tcPr>
            <w:tcW w:w="1261" w:type="dxa"/>
            <w:tcBorders>
              <w:top w:val="nil"/>
              <w:left w:val="nil"/>
              <w:bottom w:val="single" w:sz="4" w:space="0" w:color="auto"/>
              <w:right w:val="single" w:sz="4" w:space="0" w:color="auto"/>
            </w:tcBorders>
            <w:shd w:val="clear" w:color="auto" w:fill="auto"/>
            <w:noWrap/>
            <w:vAlign w:val="center"/>
            <w:hideMark/>
          </w:tcPr>
          <w:p w14:paraId="5AD2EC22" w14:textId="7C52352A"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68B9B742" w14:textId="16F8A987"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20 </w:t>
            </w:r>
          </w:p>
        </w:tc>
        <w:tc>
          <w:tcPr>
            <w:tcW w:w="1262" w:type="dxa"/>
            <w:tcBorders>
              <w:top w:val="nil"/>
              <w:left w:val="nil"/>
              <w:bottom w:val="single" w:sz="4" w:space="0" w:color="auto"/>
              <w:right w:val="single" w:sz="4" w:space="0" w:color="auto"/>
            </w:tcBorders>
            <w:shd w:val="clear" w:color="auto" w:fill="auto"/>
            <w:noWrap/>
            <w:vAlign w:val="center"/>
            <w:hideMark/>
          </w:tcPr>
          <w:p w14:paraId="37B846D4" w14:textId="4C327FF0"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4,344 </w:t>
            </w:r>
          </w:p>
        </w:tc>
      </w:tr>
      <w:tr w:rsidR="007D1F76" w:rsidRPr="0034306F" w14:paraId="0D1787C8"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1DC9CF87"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Bendigo Health</w:t>
            </w:r>
          </w:p>
        </w:tc>
        <w:tc>
          <w:tcPr>
            <w:tcW w:w="1261" w:type="dxa"/>
            <w:tcBorders>
              <w:top w:val="nil"/>
              <w:left w:val="nil"/>
              <w:bottom w:val="single" w:sz="4" w:space="0" w:color="auto"/>
              <w:right w:val="single" w:sz="4" w:space="0" w:color="auto"/>
            </w:tcBorders>
            <w:shd w:val="clear" w:color="auto" w:fill="auto"/>
            <w:noWrap/>
            <w:vAlign w:val="center"/>
            <w:hideMark/>
          </w:tcPr>
          <w:p w14:paraId="622B3599" w14:textId="7D82883A"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68,642 </w:t>
            </w:r>
          </w:p>
        </w:tc>
        <w:tc>
          <w:tcPr>
            <w:tcW w:w="1261" w:type="dxa"/>
            <w:tcBorders>
              <w:top w:val="nil"/>
              <w:left w:val="nil"/>
              <w:bottom w:val="single" w:sz="4" w:space="0" w:color="auto"/>
              <w:right w:val="single" w:sz="4" w:space="0" w:color="auto"/>
            </w:tcBorders>
            <w:shd w:val="clear" w:color="auto" w:fill="auto"/>
            <w:noWrap/>
            <w:vAlign w:val="center"/>
            <w:hideMark/>
          </w:tcPr>
          <w:p w14:paraId="2EB41A55" w14:textId="59791DC4"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39 </w:t>
            </w:r>
          </w:p>
        </w:tc>
        <w:tc>
          <w:tcPr>
            <w:tcW w:w="1261" w:type="dxa"/>
            <w:tcBorders>
              <w:top w:val="nil"/>
              <w:left w:val="nil"/>
              <w:bottom w:val="single" w:sz="4" w:space="0" w:color="auto"/>
              <w:right w:val="single" w:sz="4" w:space="0" w:color="auto"/>
            </w:tcBorders>
            <w:shd w:val="clear" w:color="auto" w:fill="auto"/>
            <w:noWrap/>
            <w:vAlign w:val="center"/>
            <w:hideMark/>
          </w:tcPr>
          <w:p w14:paraId="4E62E9FF" w14:textId="6B5B348B"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356 </w:t>
            </w:r>
          </w:p>
        </w:tc>
        <w:tc>
          <w:tcPr>
            <w:tcW w:w="1261" w:type="dxa"/>
            <w:tcBorders>
              <w:top w:val="nil"/>
              <w:left w:val="nil"/>
              <w:bottom w:val="single" w:sz="4" w:space="0" w:color="auto"/>
              <w:right w:val="single" w:sz="4" w:space="0" w:color="auto"/>
            </w:tcBorders>
            <w:shd w:val="clear" w:color="auto" w:fill="auto"/>
            <w:noWrap/>
            <w:vAlign w:val="center"/>
            <w:hideMark/>
          </w:tcPr>
          <w:p w14:paraId="43B7C18A" w14:textId="3F59897B"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222 </w:t>
            </w:r>
          </w:p>
        </w:tc>
        <w:tc>
          <w:tcPr>
            <w:tcW w:w="1261" w:type="dxa"/>
            <w:tcBorders>
              <w:top w:val="nil"/>
              <w:left w:val="nil"/>
              <w:bottom w:val="single" w:sz="4" w:space="0" w:color="auto"/>
              <w:right w:val="single" w:sz="4" w:space="0" w:color="auto"/>
            </w:tcBorders>
            <w:shd w:val="clear" w:color="auto" w:fill="auto"/>
            <w:noWrap/>
            <w:vAlign w:val="center"/>
            <w:hideMark/>
          </w:tcPr>
          <w:p w14:paraId="7B88A62B" w14:textId="31A3B8CC"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215 </w:t>
            </w:r>
          </w:p>
        </w:tc>
        <w:tc>
          <w:tcPr>
            <w:tcW w:w="1262" w:type="dxa"/>
            <w:tcBorders>
              <w:top w:val="nil"/>
              <w:left w:val="nil"/>
              <w:bottom w:val="single" w:sz="4" w:space="0" w:color="auto"/>
              <w:right w:val="single" w:sz="4" w:space="0" w:color="auto"/>
            </w:tcBorders>
            <w:shd w:val="clear" w:color="auto" w:fill="auto"/>
            <w:noWrap/>
            <w:vAlign w:val="center"/>
            <w:hideMark/>
          </w:tcPr>
          <w:p w14:paraId="445BB40F" w14:textId="10782946"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69,473 </w:t>
            </w:r>
          </w:p>
        </w:tc>
      </w:tr>
      <w:tr w:rsidR="007D1F76" w:rsidRPr="0034306F" w14:paraId="565AFBDC"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5AC0BF73"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Central Gippsland Health Service</w:t>
            </w:r>
          </w:p>
        </w:tc>
        <w:tc>
          <w:tcPr>
            <w:tcW w:w="1261" w:type="dxa"/>
            <w:tcBorders>
              <w:top w:val="nil"/>
              <w:left w:val="nil"/>
              <w:bottom w:val="single" w:sz="4" w:space="0" w:color="auto"/>
              <w:right w:val="single" w:sz="4" w:space="0" w:color="auto"/>
            </w:tcBorders>
            <w:shd w:val="clear" w:color="auto" w:fill="auto"/>
            <w:noWrap/>
            <w:vAlign w:val="center"/>
            <w:hideMark/>
          </w:tcPr>
          <w:p w14:paraId="2F7D76AB" w14:textId="1E144D5E"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12,845 </w:t>
            </w:r>
          </w:p>
        </w:tc>
        <w:tc>
          <w:tcPr>
            <w:tcW w:w="1261" w:type="dxa"/>
            <w:tcBorders>
              <w:top w:val="nil"/>
              <w:left w:val="nil"/>
              <w:bottom w:val="single" w:sz="4" w:space="0" w:color="auto"/>
              <w:right w:val="single" w:sz="4" w:space="0" w:color="auto"/>
            </w:tcBorders>
            <w:shd w:val="clear" w:color="auto" w:fill="auto"/>
            <w:noWrap/>
            <w:vAlign w:val="center"/>
            <w:hideMark/>
          </w:tcPr>
          <w:p w14:paraId="7B3E5A6E" w14:textId="72CDB580"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51 </w:t>
            </w:r>
          </w:p>
        </w:tc>
        <w:tc>
          <w:tcPr>
            <w:tcW w:w="1261" w:type="dxa"/>
            <w:tcBorders>
              <w:top w:val="nil"/>
              <w:left w:val="nil"/>
              <w:bottom w:val="single" w:sz="4" w:space="0" w:color="auto"/>
              <w:right w:val="single" w:sz="4" w:space="0" w:color="auto"/>
            </w:tcBorders>
            <w:shd w:val="clear" w:color="auto" w:fill="auto"/>
            <w:noWrap/>
            <w:vAlign w:val="center"/>
            <w:hideMark/>
          </w:tcPr>
          <w:p w14:paraId="222025C6" w14:textId="0A2BE6AB"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69 </w:t>
            </w:r>
          </w:p>
        </w:tc>
        <w:tc>
          <w:tcPr>
            <w:tcW w:w="1261" w:type="dxa"/>
            <w:tcBorders>
              <w:top w:val="nil"/>
              <w:left w:val="nil"/>
              <w:bottom w:val="single" w:sz="4" w:space="0" w:color="auto"/>
              <w:right w:val="single" w:sz="4" w:space="0" w:color="auto"/>
            </w:tcBorders>
            <w:shd w:val="clear" w:color="auto" w:fill="auto"/>
            <w:noWrap/>
            <w:vAlign w:val="center"/>
            <w:hideMark/>
          </w:tcPr>
          <w:p w14:paraId="4655E17D" w14:textId="39FE0FC6"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4 </w:t>
            </w:r>
          </w:p>
        </w:tc>
        <w:tc>
          <w:tcPr>
            <w:tcW w:w="1261" w:type="dxa"/>
            <w:tcBorders>
              <w:top w:val="nil"/>
              <w:left w:val="nil"/>
              <w:bottom w:val="single" w:sz="4" w:space="0" w:color="auto"/>
              <w:right w:val="single" w:sz="4" w:space="0" w:color="auto"/>
            </w:tcBorders>
            <w:shd w:val="clear" w:color="auto" w:fill="auto"/>
            <w:noWrap/>
            <w:vAlign w:val="center"/>
            <w:hideMark/>
          </w:tcPr>
          <w:p w14:paraId="67B859F7" w14:textId="0973DE2F"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16 </w:t>
            </w:r>
          </w:p>
        </w:tc>
        <w:tc>
          <w:tcPr>
            <w:tcW w:w="1262" w:type="dxa"/>
            <w:tcBorders>
              <w:top w:val="nil"/>
              <w:left w:val="nil"/>
              <w:bottom w:val="single" w:sz="4" w:space="0" w:color="auto"/>
              <w:right w:val="single" w:sz="4" w:space="0" w:color="auto"/>
            </w:tcBorders>
            <w:shd w:val="clear" w:color="auto" w:fill="auto"/>
            <w:noWrap/>
            <w:vAlign w:val="center"/>
            <w:hideMark/>
          </w:tcPr>
          <w:p w14:paraId="2660459A" w14:textId="12C45672"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12,985 </w:t>
            </w:r>
          </w:p>
        </w:tc>
      </w:tr>
      <w:tr w:rsidR="007D1F76" w:rsidRPr="0034306F" w14:paraId="49C51C88"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7B7D1BBB"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Colac Area Health</w:t>
            </w:r>
          </w:p>
        </w:tc>
        <w:tc>
          <w:tcPr>
            <w:tcW w:w="1261" w:type="dxa"/>
            <w:tcBorders>
              <w:top w:val="nil"/>
              <w:left w:val="nil"/>
              <w:bottom w:val="single" w:sz="4" w:space="0" w:color="auto"/>
              <w:right w:val="single" w:sz="4" w:space="0" w:color="auto"/>
            </w:tcBorders>
            <w:shd w:val="clear" w:color="auto" w:fill="auto"/>
            <w:noWrap/>
            <w:vAlign w:val="center"/>
            <w:hideMark/>
          </w:tcPr>
          <w:p w14:paraId="099DDBF5" w14:textId="2A8D7502"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6,155 </w:t>
            </w:r>
          </w:p>
        </w:tc>
        <w:tc>
          <w:tcPr>
            <w:tcW w:w="1261" w:type="dxa"/>
            <w:tcBorders>
              <w:top w:val="nil"/>
              <w:left w:val="nil"/>
              <w:bottom w:val="single" w:sz="4" w:space="0" w:color="auto"/>
              <w:right w:val="single" w:sz="4" w:space="0" w:color="auto"/>
            </w:tcBorders>
            <w:shd w:val="clear" w:color="auto" w:fill="auto"/>
            <w:noWrap/>
            <w:vAlign w:val="center"/>
            <w:hideMark/>
          </w:tcPr>
          <w:p w14:paraId="080C05C6" w14:textId="58B8ECC7"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50462025" w14:textId="7CF605EB"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8 </w:t>
            </w:r>
          </w:p>
        </w:tc>
        <w:tc>
          <w:tcPr>
            <w:tcW w:w="1261" w:type="dxa"/>
            <w:tcBorders>
              <w:top w:val="nil"/>
              <w:left w:val="nil"/>
              <w:bottom w:val="single" w:sz="4" w:space="0" w:color="auto"/>
              <w:right w:val="single" w:sz="4" w:space="0" w:color="auto"/>
            </w:tcBorders>
            <w:shd w:val="clear" w:color="auto" w:fill="auto"/>
            <w:noWrap/>
            <w:vAlign w:val="center"/>
            <w:hideMark/>
          </w:tcPr>
          <w:p w14:paraId="2D4C1385" w14:textId="448204F0"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8 </w:t>
            </w:r>
          </w:p>
        </w:tc>
        <w:tc>
          <w:tcPr>
            <w:tcW w:w="1261" w:type="dxa"/>
            <w:tcBorders>
              <w:top w:val="nil"/>
              <w:left w:val="nil"/>
              <w:bottom w:val="single" w:sz="4" w:space="0" w:color="auto"/>
              <w:right w:val="single" w:sz="4" w:space="0" w:color="auto"/>
            </w:tcBorders>
            <w:shd w:val="clear" w:color="auto" w:fill="auto"/>
            <w:noWrap/>
            <w:vAlign w:val="center"/>
            <w:hideMark/>
          </w:tcPr>
          <w:p w14:paraId="5A959441" w14:textId="795B5BA4"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14:paraId="376571A2" w14:textId="793351E9"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6,172 </w:t>
            </w:r>
          </w:p>
        </w:tc>
      </w:tr>
      <w:tr w:rsidR="007D1F76" w:rsidRPr="0034306F" w14:paraId="3809490A"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29E46E97"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Dhelkaya Health</w:t>
            </w:r>
          </w:p>
        </w:tc>
        <w:tc>
          <w:tcPr>
            <w:tcW w:w="1261" w:type="dxa"/>
            <w:tcBorders>
              <w:top w:val="nil"/>
              <w:left w:val="nil"/>
              <w:bottom w:val="single" w:sz="4" w:space="0" w:color="auto"/>
              <w:right w:val="single" w:sz="4" w:space="0" w:color="auto"/>
            </w:tcBorders>
            <w:shd w:val="clear" w:color="auto" w:fill="auto"/>
            <w:noWrap/>
            <w:vAlign w:val="center"/>
            <w:hideMark/>
          </w:tcPr>
          <w:p w14:paraId="3B7360E3" w14:textId="27CD6C35"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5,589 </w:t>
            </w:r>
          </w:p>
        </w:tc>
        <w:tc>
          <w:tcPr>
            <w:tcW w:w="1261" w:type="dxa"/>
            <w:tcBorders>
              <w:top w:val="nil"/>
              <w:left w:val="nil"/>
              <w:bottom w:val="single" w:sz="4" w:space="0" w:color="auto"/>
              <w:right w:val="single" w:sz="4" w:space="0" w:color="auto"/>
            </w:tcBorders>
            <w:shd w:val="clear" w:color="auto" w:fill="auto"/>
            <w:noWrap/>
            <w:vAlign w:val="center"/>
            <w:hideMark/>
          </w:tcPr>
          <w:p w14:paraId="5458A99F" w14:textId="50FF6ACD"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14 </w:t>
            </w:r>
          </w:p>
        </w:tc>
        <w:tc>
          <w:tcPr>
            <w:tcW w:w="1261" w:type="dxa"/>
            <w:tcBorders>
              <w:top w:val="nil"/>
              <w:left w:val="nil"/>
              <w:bottom w:val="single" w:sz="4" w:space="0" w:color="auto"/>
              <w:right w:val="single" w:sz="4" w:space="0" w:color="auto"/>
            </w:tcBorders>
            <w:shd w:val="clear" w:color="auto" w:fill="auto"/>
            <w:noWrap/>
            <w:vAlign w:val="center"/>
            <w:hideMark/>
          </w:tcPr>
          <w:p w14:paraId="68702BB3" w14:textId="3D6C48BB"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13 </w:t>
            </w:r>
          </w:p>
        </w:tc>
        <w:tc>
          <w:tcPr>
            <w:tcW w:w="1261" w:type="dxa"/>
            <w:tcBorders>
              <w:top w:val="nil"/>
              <w:left w:val="nil"/>
              <w:bottom w:val="single" w:sz="4" w:space="0" w:color="auto"/>
              <w:right w:val="single" w:sz="4" w:space="0" w:color="auto"/>
            </w:tcBorders>
            <w:shd w:val="clear" w:color="auto" w:fill="auto"/>
            <w:noWrap/>
            <w:vAlign w:val="center"/>
            <w:hideMark/>
          </w:tcPr>
          <w:p w14:paraId="3249644B" w14:textId="27345983"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44996B29" w14:textId="6B619427"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45 </w:t>
            </w:r>
          </w:p>
        </w:tc>
        <w:tc>
          <w:tcPr>
            <w:tcW w:w="1262" w:type="dxa"/>
            <w:tcBorders>
              <w:top w:val="nil"/>
              <w:left w:val="nil"/>
              <w:bottom w:val="single" w:sz="4" w:space="0" w:color="auto"/>
              <w:right w:val="single" w:sz="4" w:space="0" w:color="auto"/>
            </w:tcBorders>
            <w:shd w:val="clear" w:color="auto" w:fill="auto"/>
            <w:noWrap/>
            <w:vAlign w:val="center"/>
            <w:hideMark/>
          </w:tcPr>
          <w:p w14:paraId="4CB0DC89" w14:textId="48AE243B"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5,661 </w:t>
            </w:r>
          </w:p>
        </w:tc>
      </w:tr>
      <w:tr w:rsidR="007D1F76" w:rsidRPr="0034306F" w14:paraId="167971DF"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5743D33B"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East Grampians Health Service</w:t>
            </w:r>
          </w:p>
        </w:tc>
        <w:tc>
          <w:tcPr>
            <w:tcW w:w="1261" w:type="dxa"/>
            <w:tcBorders>
              <w:top w:val="nil"/>
              <w:left w:val="nil"/>
              <w:bottom w:val="single" w:sz="4" w:space="0" w:color="auto"/>
              <w:right w:val="single" w:sz="4" w:space="0" w:color="auto"/>
            </w:tcBorders>
            <w:shd w:val="clear" w:color="auto" w:fill="auto"/>
            <w:noWrap/>
            <w:vAlign w:val="center"/>
            <w:hideMark/>
          </w:tcPr>
          <w:p w14:paraId="600B6D07" w14:textId="06287846"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4,357 </w:t>
            </w:r>
          </w:p>
        </w:tc>
        <w:tc>
          <w:tcPr>
            <w:tcW w:w="1261" w:type="dxa"/>
            <w:tcBorders>
              <w:top w:val="nil"/>
              <w:left w:val="nil"/>
              <w:bottom w:val="single" w:sz="4" w:space="0" w:color="auto"/>
              <w:right w:val="single" w:sz="4" w:space="0" w:color="auto"/>
            </w:tcBorders>
            <w:shd w:val="clear" w:color="auto" w:fill="auto"/>
            <w:noWrap/>
            <w:vAlign w:val="center"/>
            <w:hideMark/>
          </w:tcPr>
          <w:p w14:paraId="31628348" w14:textId="46E06039"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12 </w:t>
            </w:r>
          </w:p>
        </w:tc>
        <w:tc>
          <w:tcPr>
            <w:tcW w:w="1261" w:type="dxa"/>
            <w:tcBorders>
              <w:top w:val="nil"/>
              <w:left w:val="nil"/>
              <w:bottom w:val="single" w:sz="4" w:space="0" w:color="auto"/>
              <w:right w:val="single" w:sz="4" w:space="0" w:color="auto"/>
            </w:tcBorders>
            <w:shd w:val="clear" w:color="auto" w:fill="auto"/>
            <w:noWrap/>
            <w:vAlign w:val="center"/>
            <w:hideMark/>
          </w:tcPr>
          <w:p w14:paraId="2B531D8D" w14:textId="172B301E"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31 </w:t>
            </w:r>
          </w:p>
        </w:tc>
        <w:tc>
          <w:tcPr>
            <w:tcW w:w="1261" w:type="dxa"/>
            <w:tcBorders>
              <w:top w:val="nil"/>
              <w:left w:val="nil"/>
              <w:bottom w:val="single" w:sz="4" w:space="0" w:color="auto"/>
              <w:right w:val="single" w:sz="4" w:space="0" w:color="auto"/>
            </w:tcBorders>
            <w:shd w:val="clear" w:color="auto" w:fill="auto"/>
            <w:noWrap/>
            <w:vAlign w:val="center"/>
            <w:hideMark/>
          </w:tcPr>
          <w:p w14:paraId="2EA16D23" w14:textId="1AA4F889"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01E49310" w14:textId="25721393"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14:paraId="38EA7AE5" w14:textId="48BE0207"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4,400 </w:t>
            </w:r>
          </w:p>
        </w:tc>
      </w:tr>
      <w:tr w:rsidR="007D1F76" w:rsidRPr="0034306F" w14:paraId="6801C4FC"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4C1237DA"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Eastern Health</w:t>
            </w:r>
          </w:p>
        </w:tc>
        <w:tc>
          <w:tcPr>
            <w:tcW w:w="1261" w:type="dxa"/>
            <w:tcBorders>
              <w:top w:val="nil"/>
              <w:left w:val="nil"/>
              <w:bottom w:val="single" w:sz="4" w:space="0" w:color="auto"/>
              <w:right w:val="single" w:sz="4" w:space="0" w:color="auto"/>
            </w:tcBorders>
            <w:shd w:val="clear" w:color="auto" w:fill="auto"/>
            <w:noWrap/>
            <w:vAlign w:val="center"/>
            <w:hideMark/>
          </w:tcPr>
          <w:p w14:paraId="71F576BE" w14:textId="346C91ED"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173,558 </w:t>
            </w:r>
          </w:p>
        </w:tc>
        <w:tc>
          <w:tcPr>
            <w:tcW w:w="1261" w:type="dxa"/>
            <w:tcBorders>
              <w:top w:val="nil"/>
              <w:left w:val="nil"/>
              <w:bottom w:val="single" w:sz="4" w:space="0" w:color="auto"/>
              <w:right w:val="single" w:sz="4" w:space="0" w:color="auto"/>
            </w:tcBorders>
            <w:shd w:val="clear" w:color="auto" w:fill="auto"/>
            <w:noWrap/>
            <w:vAlign w:val="center"/>
            <w:hideMark/>
          </w:tcPr>
          <w:p w14:paraId="70D93AFA" w14:textId="5577CC0D"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112 </w:t>
            </w:r>
          </w:p>
        </w:tc>
        <w:tc>
          <w:tcPr>
            <w:tcW w:w="1261" w:type="dxa"/>
            <w:tcBorders>
              <w:top w:val="nil"/>
              <w:left w:val="nil"/>
              <w:bottom w:val="single" w:sz="4" w:space="0" w:color="auto"/>
              <w:right w:val="single" w:sz="4" w:space="0" w:color="auto"/>
            </w:tcBorders>
            <w:shd w:val="clear" w:color="auto" w:fill="auto"/>
            <w:noWrap/>
            <w:vAlign w:val="center"/>
            <w:hideMark/>
          </w:tcPr>
          <w:p w14:paraId="58B86EA6" w14:textId="2CB1C527"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362 </w:t>
            </w:r>
          </w:p>
        </w:tc>
        <w:tc>
          <w:tcPr>
            <w:tcW w:w="1261" w:type="dxa"/>
            <w:tcBorders>
              <w:top w:val="nil"/>
              <w:left w:val="nil"/>
              <w:bottom w:val="single" w:sz="4" w:space="0" w:color="auto"/>
              <w:right w:val="single" w:sz="4" w:space="0" w:color="auto"/>
            </w:tcBorders>
            <w:shd w:val="clear" w:color="auto" w:fill="auto"/>
            <w:noWrap/>
            <w:vAlign w:val="center"/>
            <w:hideMark/>
          </w:tcPr>
          <w:p w14:paraId="3679AA73" w14:textId="31E91B46"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218 </w:t>
            </w:r>
          </w:p>
        </w:tc>
        <w:tc>
          <w:tcPr>
            <w:tcW w:w="1261" w:type="dxa"/>
            <w:tcBorders>
              <w:top w:val="nil"/>
              <w:left w:val="nil"/>
              <w:bottom w:val="single" w:sz="4" w:space="0" w:color="auto"/>
              <w:right w:val="single" w:sz="4" w:space="0" w:color="auto"/>
            </w:tcBorders>
            <w:shd w:val="clear" w:color="auto" w:fill="auto"/>
            <w:noWrap/>
            <w:vAlign w:val="center"/>
            <w:hideMark/>
          </w:tcPr>
          <w:p w14:paraId="748CD6F0" w14:textId="563AFAB4"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320 </w:t>
            </w:r>
          </w:p>
        </w:tc>
        <w:tc>
          <w:tcPr>
            <w:tcW w:w="1262" w:type="dxa"/>
            <w:tcBorders>
              <w:top w:val="nil"/>
              <w:left w:val="nil"/>
              <w:bottom w:val="single" w:sz="4" w:space="0" w:color="auto"/>
              <w:right w:val="single" w:sz="4" w:space="0" w:color="auto"/>
            </w:tcBorders>
            <w:shd w:val="clear" w:color="auto" w:fill="auto"/>
            <w:noWrap/>
            <w:vAlign w:val="center"/>
            <w:hideMark/>
          </w:tcPr>
          <w:p w14:paraId="5A1EBB3C" w14:textId="141D7A75"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174,571 </w:t>
            </w:r>
          </w:p>
        </w:tc>
      </w:tr>
      <w:tr w:rsidR="007D1F76" w:rsidRPr="0034306F" w14:paraId="0A717963"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26EEEFBC"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Echuca Regional Health</w:t>
            </w:r>
          </w:p>
        </w:tc>
        <w:tc>
          <w:tcPr>
            <w:tcW w:w="1261" w:type="dxa"/>
            <w:tcBorders>
              <w:top w:val="nil"/>
              <w:left w:val="nil"/>
              <w:bottom w:val="single" w:sz="4" w:space="0" w:color="auto"/>
              <w:right w:val="single" w:sz="4" w:space="0" w:color="auto"/>
            </w:tcBorders>
            <w:shd w:val="clear" w:color="auto" w:fill="auto"/>
            <w:noWrap/>
            <w:vAlign w:val="center"/>
            <w:hideMark/>
          </w:tcPr>
          <w:p w14:paraId="376FC043" w14:textId="38BB7258"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14,263 </w:t>
            </w:r>
          </w:p>
        </w:tc>
        <w:tc>
          <w:tcPr>
            <w:tcW w:w="1261" w:type="dxa"/>
            <w:tcBorders>
              <w:top w:val="nil"/>
              <w:left w:val="nil"/>
              <w:bottom w:val="single" w:sz="4" w:space="0" w:color="auto"/>
              <w:right w:val="single" w:sz="4" w:space="0" w:color="auto"/>
            </w:tcBorders>
            <w:shd w:val="clear" w:color="auto" w:fill="auto"/>
            <w:noWrap/>
            <w:vAlign w:val="center"/>
            <w:hideMark/>
          </w:tcPr>
          <w:p w14:paraId="552F9052" w14:textId="75493639"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32 </w:t>
            </w:r>
          </w:p>
        </w:tc>
        <w:tc>
          <w:tcPr>
            <w:tcW w:w="1261" w:type="dxa"/>
            <w:tcBorders>
              <w:top w:val="nil"/>
              <w:left w:val="nil"/>
              <w:bottom w:val="single" w:sz="4" w:space="0" w:color="auto"/>
              <w:right w:val="single" w:sz="4" w:space="0" w:color="auto"/>
            </w:tcBorders>
            <w:shd w:val="clear" w:color="auto" w:fill="auto"/>
            <w:noWrap/>
            <w:vAlign w:val="center"/>
            <w:hideMark/>
          </w:tcPr>
          <w:p w14:paraId="1CC08CA8" w14:textId="0E82F3CC"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51 </w:t>
            </w:r>
          </w:p>
        </w:tc>
        <w:tc>
          <w:tcPr>
            <w:tcW w:w="1261" w:type="dxa"/>
            <w:tcBorders>
              <w:top w:val="nil"/>
              <w:left w:val="nil"/>
              <w:bottom w:val="single" w:sz="4" w:space="0" w:color="auto"/>
              <w:right w:val="single" w:sz="4" w:space="0" w:color="auto"/>
            </w:tcBorders>
            <w:shd w:val="clear" w:color="auto" w:fill="auto"/>
            <w:noWrap/>
            <w:vAlign w:val="center"/>
            <w:hideMark/>
          </w:tcPr>
          <w:p w14:paraId="21E0CDF8" w14:textId="33E6936B"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10 </w:t>
            </w:r>
          </w:p>
        </w:tc>
        <w:tc>
          <w:tcPr>
            <w:tcW w:w="1261" w:type="dxa"/>
            <w:tcBorders>
              <w:top w:val="nil"/>
              <w:left w:val="nil"/>
              <w:bottom w:val="single" w:sz="4" w:space="0" w:color="auto"/>
              <w:right w:val="single" w:sz="4" w:space="0" w:color="auto"/>
            </w:tcBorders>
            <w:shd w:val="clear" w:color="auto" w:fill="auto"/>
            <w:noWrap/>
            <w:vAlign w:val="center"/>
            <w:hideMark/>
          </w:tcPr>
          <w:p w14:paraId="484A5AC4" w14:textId="03EE7574"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27 </w:t>
            </w:r>
          </w:p>
        </w:tc>
        <w:tc>
          <w:tcPr>
            <w:tcW w:w="1262" w:type="dxa"/>
            <w:tcBorders>
              <w:top w:val="nil"/>
              <w:left w:val="nil"/>
              <w:bottom w:val="single" w:sz="4" w:space="0" w:color="auto"/>
              <w:right w:val="single" w:sz="4" w:space="0" w:color="auto"/>
            </w:tcBorders>
            <w:shd w:val="clear" w:color="auto" w:fill="auto"/>
            <w:noWrap/>
            <w:vAlign w:val="center"/>
            <w:hideMark/>
          </w:tcPr>
          <w:p w14:paraId="6788E977" w14:textId="4CDDC34C"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14,384 </w:t>
            </w:r>
          </w:p>
        </w:tc>
      </w:tr>
      <w:tr w:rsidR="007D1F76" w:rsidRPr="0034306F" w14:paraId="6B38DB10"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3E4A87CF"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Gippsland Southern Health Service</w:t>
            </w:r>
          </w:p>
        </w:tc>
        <w:tc>
          <w:tcPr>
            <w:tcW w:w="1261" w:type="dxa"/>
            <w:tcBorders>
              <w:top w:val="nil"/>
              <w:left w:val="nil"/>
              <w:bottom w:val="single" w:sz="4" w:space="0" w:color="auto"/>
              <w:right w:val="single" w:sz="4" w:space="0" w:color="auto"/>
            </w:tcBorders>
            <w:shd w:val="clear" w:color="auto" w:fill="auto"/>
            <w:noWrap/>
            <w:vAlign w:val="center"/>
            <w:hideMark/>
          </w:tcPr>
          <w:p w14:paraId="4C48D68E" w14:textId="7424ECBB"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3,953 </w:t>
            </w:r>
          </w:p>
        </w:tc>
        <w:tc>
          <w:tcPr>
            <w:tcW w:w="1261" w:type="dxa"/>
            <w:tcBorders>
              <w:top w:val="nil"/>
              <w:left w:val="nil"/>
              <w:bottom w:val="single" w:sz="4" w:space="0" w:color="auto"/>
              <w:right w:val="single" w:sz="4" w:space="0" w:color="auto"/>
            </w:tcBorders>
            <w:shd w:val="clear" w:color="auto" w:fill="auto"/>
            <w:noWrap/>
            <w:vAlign w:val="center"/>
            <w:hideMark/>
          </w:tcPr>
          <w:p w14:paraId="215BF4EE" w14:textId="33C7C70E"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25 </w:t>
            </w:r>
          </w:p>
        </w:tc>
        <w:tc>
          <w:tcPr>
            <w:tcW w:w="1261" w:type="dxa"/>
            <w:tcBorders>
              <w:top w:val="nil"/>
              <w:left w:val="nil"/>
              <w:bottom w:val="single" w:sz="4" w:space="0" w:color="auto"/>
              <w:right w:val="single" w:sz="4" w:space="0" w:color="auto"/>
            </w:tcBorders>
            <w:shd w:val="clear" w:color="auto" w:fill="auto"/>
            <w:noWrap/>
            <w:vAlign w:val="center"/>
            <w:hideMark/>
          </w:tcPr>
          <w:p w14:paraId="5FD02527" w14:textId="25E77968"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22 </w:t>
            </w:r>
          </w:p>
        </w:tc>
        <w:tc>
          <w:tcPr>
            <w:tcW w:w="1261" w:type="dxa"/>
            <w:tcBorders>
              <w:top w:val="nil"/>
              <w:left w:val="nil"/>
              <w:bottom w:val="single" w:sz="4" w:space="0" w:color="auto"/>
              <w:right w:val="single" w:sz="4" w:space="0" w:color="auto"/>
            </w:tcBorders>
            <w:shd w:val="clear" w:color="auto" w:fill="auto"/>
            <w:noWrap/>
            <w:vAlign w:val="center"/>
            <w:hideMark/>
          </w:tcPr>
          <w:p w14:paraId="4F2E2913" w14:textId="1BFB6C98"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 </w:t>
            </w:r>
          </w:p>
        </w:tc>
        <w:tc>
          <w:tcPr>
            <w:tcW w:w="1261" w:type="dxa"/>
            <w:tcBorders>
              <w:top w:val="nil"/>
              <w:left w:val="nil"/>
              <w:bottom w:val="single" w:sz="4" w:space="0" w:color="auto"/>
              <w:right w:val="single" w:sz="4" w:space="0" w:color="auto"/>
            </w:tcBorders>
            <w:shd w:val="clear" w:color="auto" w:fill="auto"/>
            <w:noWrap/>
            <w:vAlign w:val="center"/>
            <w:hideMark/>
          </w:tcPr>
          <w:p w14:paraId="38EAAAEC" w14:textId="0CBA6F35"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31 </w:t>
            </w:r>
          </w:p>
        </w:tc>
        <w:tc>
          <w:tcPr>
            <w:tcW w:w="1262" w:type="dxa"/>
            <w:tcBorders>
              <w:top w:val="nil"/>
              <w:left w:val="nil"/>
              <w:bottom w:val="single" w:sz="4" w:space="0" w:color="auto"/>
              <w:right w:val="single" w:sz="4" w:space="0" w:color="auto"/>
            </w:tcBorders>
            <w:shd w:val="clear" w:color="auto" w:fill="auto"/>
            <w:noWrap/>
            <w:vAlign w:val="center"/>
            <w:hideMark/>
          </w:tcPr>
          <w:p w14:paraId="1DAC0497" w14:textId="5D87BFEA"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4,032 </w:t>
            </w:r>
          </w:p>
        </w:tc>
      </w:tr>
      <w:tr w:rsidR="007D1F76" w:rsidRPr="0034306F" w14:paraId="4974263F"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7F38D637"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Goulburn Valley Health</w:t>
            </w:r>
          </w:p>
        </w:tc>
        <w:tc>
          <w:tcPr>
            <w:tcW w:w="1261" w:type="dxa"/>
            <w:tcBorders>
              <w:top w:val="nil"/>
              <w:left w:val="nil"/>
              <w:bottom w:val="single" w:sz="4" w:space="0" w:color="auto"/>
              <w:right w:val="single" w:sz="4" w:space="0" w:color="auto"/>
            </w:tcBorders>
            <w:shd w:val="clear" w:color="auto" w:fill="auto"/>
            <w:noWrap/>
            <w:vAlign w:val="center"/>
            <w:hideMark/>
          </w:tcPr>
          <w:p w14:paraId="427F0147" w14:textId="3A11CF73"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47,092 </w:t>
            </w:r>
          </w:p>
        </w:tc>
        <w:tc>
          <w:tcPr>
            <w:tcW w:w="1261" w:type="dxa"/>
            <w:tcBorders>
              <w:top w:val="nil"/>
              <w:left w:val="nil"/>
              <w:bottom w:val="single" w:sz="4" w:space="0" w:color="auto"/>
              <w:right w:val="single" w:sz="4" w:space="0" w:color="auto"/>
            </w:tcBorders>
            <w:shd w:val="clear" w:color="auto" w:fill="auto"/>
            <w:noWrap/>
            <w:vAlign w:val="center"/>
            <w:hideMark/>
          </w:tcPr>
          <w:p w14:paraId="1D60E007" w14:textId="2C902E3E"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24 </w:t>
            </w:r>
          </w:p>
        </w:tc>
        <w:tc>
          <w:tcPr>
            <w:tcW w:w="1261" w:type="dxa"/>
            <w:tcBorders>
              <w:top w:val="nil"/>
              <w:left w:val="nil"/>
              <w:bottom w:val="single" w:sz="4" w:space="0" w:color="auto"/>
              <w:right w:val="single" w:sz="4" w:space="0" w:color="auto"/>
            </w:tcBorders>
            <w:shd w:val="clear" w:color="auto" w:fill="auto"/>
            <w:noWrap/>
            <w:vAlign w:val="center"/>
            <w:hideMark/>
          </w:tcPr>
          <w:p w14:paraId="287F4137" w14:textId="03014369"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196 </w:t>
            </w:r>
          </w:p>
        </w:tc>
        <w:tc>
          <w:tcPr>
            <w:tcW w:w="1261" w:type="dxa"/>
            <w:tcBorders>
              <w:top w:val="nil"/>
              <w:left w:val="nil"/>
              <w:bottom w:val="single" w:sz="4" w:space="0" w:color="auto"/>
              <w:right w:val="single" w:sz="4" w:space="0" w:color="auto"/>
            </w:tcBorders>
            <w:shd w:val="clear" w:color="auto" w:fill="auto"/>
            <w:noWrap/>
            <w:vAlign w:val="center"/>
            <w:hideMark/>
          </w:tcPr>
          <w:p w14:paraId="34F59833" w14:textId="7701CCB8"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85 </w:t>
            </w:r>
          </w:p>
        </w:tc>
        <w:tc>
          <w:tcPr>
            <w:tcW w:w="1261" w:type="dxa"/>
            <w:tcBorders>
              <w:top w:val="nil"/>
              <w:left w:val="nil"/>
              <w:bottom w:val="single" w:sz="4" w:space="0" w:color="auto"/>
              <w:right w:val="single" w:sz="4" w:space="0" w:color="auto"/>
            </w:tcBorders>
            <w:shd w:val="clear" w:color="auto" w:fill="auto"/>
            <w:noWrap/>
            <w:vAlign w:val="center"/>
            <w:hideMark/>
          </w:tcPr>
          <w:p w14:paraId="4CDC9F5D" w14:textId="172A2380"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128 </w:t>
            </w:r>
          </w:p>
        </w:tc>
        <w:tc>
          <w:tcPr>
            <w:tcW w:w="1262" w:type="dxa"/>
            <w:tcBorders>
              <w:top w:val="nil"/>
              <w:left w:val="nil"/>
              <w:bottom w:val="single" w:sz="4" w:space="0" w:color="auto"/>
              <w:right w:val="single" w:sz="4" w:space="0" w:color="auto"/>
            </w:tcBorders>
            <w:shd w:val="clear" w:color="auto" w:fill="auto"/>
            <w:noWrap/>
            <w:vAlign w:val="center"/>
            <w:hideMark/>
          </w:tcPr>
          <w:p w14:paraId="46DA8D86" w14:textId="12AE7065"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47,524 </w:t>
            </w:r>
          </w:p>
        </w:tc>
      </w:tr>
      <w:tr w:rsidR="007D1F76" w:rsidRPr="0034306F" w14:paraId="5B819481"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07EC0D31"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Grampians Health</w:t>
            </w:r>
          </w:p>
        </w:tc>
        <w:tc>
          <w:tcPr>
            <w:tcW w:w="1261" w:type="dxa"/>
            <w:tcBorders>
              <w:top w:val="nil"/>
              <w:left w:val="nil"/>
              <w:bottom w:val="single" w:sz="4" w:space="0" w:color="auto"/>
              <w:right w:val="single" w:sz="4" w:space="0" w:color="auto"/>
            </w:tcBorders>
            <w:shd w:val="clear" w:color="auto" w:fill="auto"/>
            <w:noWrap/>
            <w:vAlign w:val="center"/>
            <w:hideMark/>
          </w:tcPr>
          <w:p w14:paraId="05C2BD2A" w14:textId="6E2F4D51"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78,080 </w:t>
            </w:r>
          </w:p>
        </w:tc>
        <w:tc>
          <w:tcPr>
            <w:tcW w:w="1261" w:type="dxa"/>
            <w:tcBorders>
              <w:top w:val="nil"/>
              <w:left w:val="nil"/>
              <w:bottom w:val="single" w:sz="4" w:space="0" w:color="auto"/>
              <w:right w:val="single" w:sz="4" w:space="0" w:color="auto"/>
            </w:tcBorders>
            <w:shd w:val="clear" w:color="auto" w:fill="auto"/>
            <w:noWrap/>
            <w:vAlign w:val="center"/>
            <w:hideMark/>
          </w:tcPr>
          <w:p w14:paraId="1ADF95C1" w14:textId="41323139"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17 </w:t>
            </w:r>
          </w:p>
        </w:tc>
        <w:tc>
          <w:tcPr>
            <w:tcW w:w="1261" w:type="dxa"/>
            <w:tcBorders>
              <w:top w:val="nil"/>
              <w:left w:val="nil"/>
              <w:bottom w:val="single" w:sz="4" w:space="0" w:color="auto"/>
              <w:right w:val="single" w:sz="4" w:space="0" w:color="auto"/>
            </w:tcBorders>
            <w:shd w:val="clear" w:color="auto" w:fill="auto"/>
            <w:noWrap/>
            <w:vAlign w:val="center"/>
            <w:hideMark/>
          </w:tcPr>
          <w:p w14:paraId="0E80C803" w14:textId="2934D22F"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256 </w:t>
            </w:r>
          </w:p>
        </w:tc>
        <w:tc>
          <w:tcPr>
            <w:tcW w:w="1261" w:type="dxa"/>
            <w:tcBorders>
              <w:top w:val="nil"/>
              <w:left w:val="nil"/>
              <w:bottom w:val="single" w:sz="4" w:space="0" w:color="auto"/>
              <w:right w:val="single" w:sz="4" w:space="0" w:color="auto"/>
            </w:tcBorders>
            <w:shd w:val="clear" w:color="auto" w:fill="auto"/>
            <w:noWrap/>
            <w:vAlign w:val="center"/>
            <w:hideMark/>
          </w:tcPr>
          <w:p w14:paraId="7D85C5B8" w14:textId="540F3875"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209 </w:t>
            </w:r>
          </w:p>
        </w:tc>
        <w:tc>
          <w:tcPr>
            <w:tcW w:w="1261" w:type="dxa"/>
            <w:tcBorders>
              <w:top w:val="nil"/>
              <w:left w:val="nil"/>
              <w:bottom w:val="single" w:sz="4" w:space="0" w:color="auto"/>
              <w:right w:val="single" w:sz="4" w:space="0" w:color="auto"/>
            </w:tcBorders>
            <w:shd w:val="clear" w:color="auto" w:fill="auto"/>
            <w:noWrap/>
            <w:vAlign w:val="center"/>
            <w:hideMark/>
          </w:tcPr>
          <w:p w14:paraId="0FFF319D" w14:textId="23E63B1C"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116 </w:t>
            </w:r>
          </w:p>
        </w:tc>
        <w:tc>
          <w:tcPr>
            <w:tcW w:w="1262" w:type="dxa"/>
            <w:tcBorders>
              <w:top w:val="nil"/>
              <w:left w:val="nil"/>
              <w:bottom w:val="single" w:sz="4" w:space="0" w:color="auto"/>
              <w:right w:val="single" w:sz="4" w:space="0" w:color="auto"/>
            </w:tcBorders>
            <w:shd w:val="clear" w:color="auto" w:fill="auto"/>
            <w:noWrap/>
            <w:vAlign w:val="center"/>
            <w:hideMark/>
          </w:tcPr>
          <w:p w14:paraId="4C1EFA9F" w14:textId="4F591A4C"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78,679 </w:t>
            </w:r>
          </w:p>
        </w:tc>
      </w:tr>
      <w:tr w:rsidR="007D1F76" w:rsidRPr="0034306F" w14:paraId="4DEE65F2"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152B048A"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Kyabram District Health Services</w:t>
            </w:r>
          </w:p>
        </w:tc>
        <w:tc>
          <w:tcPr>
            <w:tcW w:w="1261" w:type="dxa"/>
            <w:tcBorders>
              <w:top w:val="nil"/>
              <w:left w:val="nil"/>
              <w:bottom w:val="single" w:sz="4" w:space="0" w:color="auto"/>
              <w:right w:val="single" w:sz="4" w:space="0" w:color="auto"/>
            </w:tcBorders>
            <w:shd w:val="clear" w:color="auto" w:fill="auto"/>
            <w:noWrap/>
            <w:vAlign w:val="center"/>
            <w:hideMark/>
          </w:tcPr>
          <w:p w14:paraId="2E59D649" w14:textId="40446391"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3,101 </w:t>
            </w:r>
          </w:p>
        </w:tc>
        <w:tc>
          <w:tcPr>
            <w:tcW w:w="1261" w:type="dxa"/>
            <w:tcBorders>
              <w:top w:val="nil"/>
              <w:left w:val="nil"/>
              <w:bottom w:val="single" w:sz="4" w:space="0" w:color="auto"/>
              <w:right w:val="single" w:sz="4" w:space="0" w:color="auto"/>
            </w:tcBorders>
            <w:shd w:val="clear" w:color="auto" w:fill="auto"/>
            <w:noWrap/>
            <w:vAlign w:val="center"/>
            <w:hideMark/>
          </w:tcPr>
          <w:p w14:paraId="477E722E" w14:textId="43D45DFE"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7 </w:t>
            </w:r>
          </w:p>
        </w:tc>
        <w:tc>
          <w:tcPr>
            <w:tcW w:w="1261" w:type="dxa"/>
            <w:tcBorders>
              <w:top w:val="nil"/>
              <w:left w:val="nil"/>
              <w:bottom w:val="single" w:sz="4" w:space="0" w:color="auto"/>
              <w:right w:val="single" w:sz="4" w:space="0" w:color="auto"/>
            </w:tcBorders>
            <w:shd w:val="clear" w:color="auto" w:fill="auto"/>
            <w:noWrap/>
            <w:vAlign w:val="center"/>
            <w:hideMark/>
          </w:tcPr>
          <w:p w14:paraId="58EF295F" w14:textId="6A701609"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23 </w:t>
            </w:r>
          </w:p>
        </w:tc>
        <w:tc>
          <w:tcPr>
            <w:tcW w:w="1261" w:type="dxa"/>
            <w:tcBorders>
              <w:top w:val="nil"/>
              <w:left w:val="nil"/>
              <w:bottom w:val="single" w:sz="4" w:space="0" w:color="auto"/>
              <w:right w:val="single" w:sz="4" w:space="0" w:color="auto"/>
            </w:tcBorders>
            <w:shd w:val="clear" w:color="auto" w:fill="auto"/>
            <w:noWrap/>
            <w:vAlign w:val="center"/>
            <w:hideMark/>
          </w:tcPr>
          <w:p w14:paraId="6A131978" w14:textId="6E2D564C"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79C50960" w14:textId="35F8B880"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14:paraId="1705A096" w14:textId="2267A167"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3,131 </w:t>
            </w:r>
          </w:p>
        </w:tc>
      </w:tr>
      <w:tr w:rsidR="007D1F76" w:rsidRPr="0034306F" w14:paraId="1A0D2C92"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4DC9CB61"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Latrobe Regional Hospital</w:t>
            </w:r>
          </w:p>
        </w:tc>
        <w:tc>
          <w:tcPr>
            <w:tcW w:w="1261" w:type="dxa"/>
            <w:tcBorders>
              <w:top w:val="nil"/>
              <w:left w:val="nil"/>
              <w:bottom w:val="single" w:sz="4" w:space="0" w:color="auto"/>
              <w:right w:val="single" w:sz="4" w:space="0" w:color="auto"/>
            </w:tcBorders>
            <w:shd w:val="clear" w:color="auto" w:fill="auto"/>
            <w:noWrap/>
            <w:vAlign w:val="center"/>
            <w:hideMark/>
          </w:tcPr>
          <w:p w14:paraId="518C399B" w14:textId="67051ACB"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41,771 </w:t>
            </w:r>
          </w:p>
        </w:tc>
        <w:tc>
          <w:tcPr>
            <w:tcW w:w="1261" w:type="dxa"/>
            <w:tcBorders>
              <w:top w:val="nil"/>
              <w:left w:val="nil"/>
              <w:bottom w:val="single" w:sz="4" w:space="0" w:color="auto"/>
              <w:right w:val="single" w:sz="4" w:space="0" w:color="auto"/>
            </w:tcBorders>
            <w:shd w:val="clear" w:color="auto" w:fill="auto"/>
            <w:noWrap/>
            <w:vAlign w:val="center"/>
            <w:hideMark/>
          </w:tcPr>
          <w:p w14:paraId="0B8AC255" w14:textId="5E6A7363"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27 </w:t>
            </w:r>
          </w:p>
        </w:tc>
        <w:tc>
          <w:tcPr>
            <w:tcW w:w="1261" w:type="dxa"/>
            <w:tcBorders>
              <w:top w:val="nil"/>
              <w:left w:val="nil"/>
              <w:bottom w:val="single" w:sz="4" w:space="0" w:color="auto"/>
              <w:right w:val="single" w:sz="4" w:space="0" w:color="auto"/>
            </w:tcBorders>
            <w:shd w:val="clear" w:color="auto" w:fill="auto"/>
            <w:noWrap/>
            <w:vAlign w:val="center"/>
            <w:hideMark/>
          </w:tcPr>
          <w:p w14:paraId="654DF43E" w14:textId="6AEAF2DA"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215 </w:t>
            </w:r>
          </w:p>
        </w:tc>
        <w:tc>
          <w:tcPr>
            <w:tcW w:w="1261" w:type="dxa"/>
            <w:tcBorders>
              <w:top w:val="nil"/>
              <w:left w:val="nil"/>
              <w:bottom w:val="single" w:sz="4" w:space="0" w:color="auto"/>
              <w:right w:val="single" w:sz="4" w:space="0" w:color="auto"/>
            </w:tcBorders>
            <w:shd w:val="clear" w:color="auto" w:fill="auto"/>
            <w:noWrap/>
            <w:vAlign w:val="center"/>
            <w:hideMark/>
          </w:tcPr>
          <w:p w14:paraId="7A9FE5A8" w14:textId="199AEFDA"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163 </w:t>
            </w:r>
          </w:p>
        </w:tc>
        <w:tc>
          <w:tcPr>
            <w:tcW w:w="1261" w:type="dxa"/>
            <w:tcBorders>
              <w:top w:val="nil"/>
              <w:left w:val="nil"/>
              <w:bottom w:val="single" w:sz="4" w:space="0" w:color="auto"/>
              <w:right w:val="single" w:sz="4" w:space="0" w:color="auto"/>
            </w:tcBorders>
            <w:shd w:val="clear" w:color="auto" w:fill="auto"/>
            <w:noWrap/>
            <w:vAlign w:val="center"/>
            <w:hideMark/>
          </w:tcPr>
          <w:p w14:paraId="633A56E4" w14:textId="5C2EABDE"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97 </w:t>
            </w:r>
          </w:p>
        </w:tc>
        <w:tc>
          <w:tcPr>
            <w:tcW w:w="1262" w:type="dxa"/>
            <w:tcBorders>
              <w:top w:val="nil"/>
              <w:left w:val="nil"/>
              <w:bottom w:val="single" w:sz="4" w:space="0" w:color="auto"/>
              <w:right w:val="single" w:sz="4" w:space="0" w:color="auto"/>
            </w:tcBorders>
            <w:shd w:val="clear" w:color="auto" w:fill="auto"/>
            <w:noWrap/>
            <w:vAlign w:val="center"/>
            <w:hideMark/>
          </w:tcPr>
          <w:p w14:paraId="50244238" w14:textId="3F25F0F4"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42,272 </w:t>
            </w:r>
          </w:p>
        </w:tc>
      </w:tr>
      <w:tr w:rsidR="007D1F76" w:rsidRPr="0034306F" w14:paraId="70E05F0F" w14:textId="77777777" w:rsidTr="00336D9E">
        <w:trPr>
          <w:trHeight w:val="39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0673A8CC"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Maryborough District Health Service</w:t>
            </w:r>
          </w:p>
        </w:tc>
        <w:tc>
          <w:tcPr>
            <w:tcW w:w="1261" w:type="dxa"/>
            <w:tcBorders>
              <w:top w:val="nil"/>
              <w:left w:val="nil"/>
              <w:bottom w:val="single" w:sz="4" w:space="0" w:color="auto"/>
              <w:right w:val="single" w:sz="4" w:space="0" w:color="auto"/>
            </w:tcBorders>
            <w:shd w:val="clear" w:color="auto" w:fill="auto"/>
            <w:noWrap/>
            <w:vAlign w:val="center"/>
            <w:hideMark/>
          </w:tcPr>
          <w:p w14:paraId="1E1F3FBA" w14:textId="05F33A1C"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4,291 </w:t>
            </w:r>
          </w:p>
        </w:tc>
        <w:tc>
          <w:tcPr>
            <w:tcW w:w="1261" w:type="dxa"/>
            <w:tcBorders>
              <w:top w:val="nil"/>
              <w:left w:val="nil"/>
              <w:bottom w:val="single" w:sz="4" w:space="0" w:color="auto"/>
              <w:right w:val="single" w:sz="4" w:space="0" w:color="auto"/>
            </w:tcBorders>
            <w:shd w:val="clear" w:color="auto" w:fill="auto"/>
            <w:noWrap/>
            <w:vAlign w:val="center"/>
            <w:hideMark/>
          </w:tcPr>
          <w:p w14:paraId="2FDC7D17" w14:textId="7F103F4C"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10 </w:t>
            </w:r>
          </w:p>
        </w:tc>
        <w:tc>
          <w:tcPr>
            <w:tcW w:w="1261" w:type="dxa"/>
            <w:tcBorders>
              <w:top w:val="nil"/>
              <w:left w:val="nil"/>
              <w:bottom w:val="single" w:sz="4" w:space="0" w:color="auto"/>
              <w:right w:val="single" w:sz="4" w:space="0" w:color="auto"/>
            </w:tcBorders>
            <w:shd w:val="clear" w:color="auto" w:fill="auto"/>
            <w:noWrap/>
            <w:vAlign w:val="center"/>
            <w:hideMark/>
          </w:tcPr>
          <w:p w14:paraId="38B7AFE0" w14:textId="6F9169AF"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20 </w:t>
            </w:r>
          </w:p>
        </w:tc>
        <w:tc>
          <w:tcPr>
            <w:tcW w:w="1261" w:type="dxa"/>
            <w:tcBorders>
              <w:top w:val="nil"/>
              <w:left w:val="nil"/>
              <w:bottom w:val="single" w:sz="4" w:space="0" w:color="auto"/>
              <w:right w:val="single" w:sz="4" w:space="0" w:color="auto"/>
            </w:tcBorders>
            <w:shd w:val="clear" w:color="auto" w:fill="auto"/>
            <w:noWrap/>
            <w:vAlign w:val="center"/>
            <w:hideMark/>
          </w:tcPr>
          <w:p w14:paraId="79E2FA04" w14:textId="462302C7"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139E5CE6" w14:textId="7D21B163"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14:paraId="3D5E9755" w14:textId="13F899AE"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4,320 </w:t>
            </w:r>
          </w:p>
        </w:tc>
      </w:tr>
      <w:tr w:rsidR="007D1F76" w:rsidRPr="0034306F" w14:paraId="64D6C5A3"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6AABB1B7"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Melbourne Health</w:t>
            </w:r>
          </w:p>
        </w:tc>
        <w:tc>
          <w:tcPr>
            <w:tcW w:w="1261" w:type="dxa"/>
            <w:tcBorders>
              <w:top w:val="nil"/>
              <w:left w:val="nil"/>
              <w:bottom w:val="single" w:sz="4" w:space="0" w:color="auto"/>
              <w:right w:val="single" w:sz="4" w:space="0" w:color="auto"/>
            </w:tcBorders>
            <w:shd w:val="clear" w:color="auto" w:fill="auto"/>
            <w:noWrap/>
            <w:vAlign w:val="center"/>
            <w:hideMark/>
          </w:tcPr>
          <w:p w14:paraId="57CDAFA4" w14:textId="2B4BDB8A"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150,450 </w:t>
            </w:r>
          </w:p>
        </w:tc>
        <w:tc>
          <w:tcPr>
            <w:tcW w:w="1261" w:type="dxa"/>
            <w:tcBorders>
              <w:top w:val="nil"/>
              <w:left w:val="nil"/>
              <w:bottom w:val="single" w:sz="4" w:space="0" w:color="auto"/>
              <w:right w:val="single" w:sz="4" w:space="0" w:color="auto"/>
            </w:tcBorders>
            <w:shd w:val="clear" w:color="auto" w:fill="auto"/>
            <w:noWrap/>
            <w:vAlign w:val="center"/>
            <w:hideMark/>
          </w:tcPr>
          <w:p w14:paraId="08D81194" w14:textId="0670FC78"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60 </w:t>
            </w:r>
          </w:p>
        </w:tc>
        <w:tc>
          <w:tcPr>
            <w:tcW w:w="1261" w:type="dxa"/>
            <w:tcBorders>
              <w:top w:val="nil"/>
              <w:left w:val="nil"/>
              <w:bottom w:val="single" w:sz="4" w:space="0" w:color="auto"/>
              <w:right w:val="single" w:sz="4" w:space="0" w:color="auto"/>
            </w:tcBorders>
            <w:shd w:val="clear" w:color="auto" w:fill="auto"/>
            <w:noWrap/>
            <w:vAlign w:val="center"/>
            <w:hideMark/>
          </w:tcPr>
          <w:p w14:paraId="64271CED" w14:textId="15E4B657"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259 </w:t>
            </w:r>
          </w:p>
        </w:tc>
        <w:tc>
          <w:tcPr>
            <w:tcW w:w="1261" w:type="dxa"/>
            <w:tcBorders>
              <w:top w:val="nil"/>
              <w:left w:val="nil"/>
              <w:bottom w:val="single" w:sz="4" w:space="0" w:color="auto"/>
              <w:right w:val="single" w:sz="4" w:space="0" w:color="auto"/>
            </w:tcBorders>
            <w:shd w:val="clear" w:color="auto" w:fill="auto"/>
            <w:noWrap/>
            <w:vAlign w:val="center"/>
            <w:hideMark/>
          </w:tcPr>
          <w:p w14:paraId="4B8D98D9" w14:textId="1B489927"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5,667 </w:t>
            </w:r>
          </w:p>
        </w:tc>
        <w:tc>
          <w:tcPr>
            <w:tcW w:w="1261" w:type="dxa"/>
            <w:tcBorders>
              <w:top w:val="nil"/>
              <w:left w:val="nil"/>
              <w:bottom w:val="single" w:sz="4" w:space="0" w:color="auto"/>
              <w:right w:val="single" w:sz="4" w:space="0" w:color="auto"/>
            </w:tcBorders>
            <w:shd w:val="clear" w:color="auto" w:fill="auto"/>
            <w:noWrap/>
            <w:vAlign w:val="center"/>
            <w:hideMark/>
          </w:tcPr>
          <w:p w14:paraId="122D9420" w14:textId="3EDD652C"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20 </w:t>
            </w:r>
          </w:p>
        </w:tc>
        <w:tc>
          <w:tcPr>
            <w:tcW w:w="1262" w:type="dxa"/>
            <w:tcBorders>
              <w:top w:val="nil"/>
              <w:left w:val="nil"/>
              <w:bottom w:val="single" w:sz="4" w:space="0" w:color="auto"/>
              <w:right w:val="single" w:sz="4" w:space="0" w:color="auto"/>
            </w:tcBorders>
            <w:shd w:val="clear" w:color="auto" w:fill="auto"/>
            <w:noWrap/>
            <w:vAlign w:val="center"/>
            <w:hideMark/>
          </w:tcPr>
          <w:p w14:paraId="79985A8D" w14:textId="6446AD32"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156,456 </w:t>
            </w:r>
          </w:p>
        </w:tc>
      </w:tr>
      <w:tr w:rsidR="007D1F76" w:rsidRPr="0034306F" w14:paraId="05FF9FFE"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1E68E625"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Mercy Hospitals Victoria Limited</w:t>
            </w:r>
          </w:p>
        </w:tc>
        <w:tc>
          <w:tcPr>
            <w:tcW w:w="1261" w:type="dxa"/>
            <w:tcBorders>
              <w:top w:val="nil"/>
              <w:left w:val="nil"/>
              <w:bottom w:val="single" w:sz="4" w:space="0" w:color="auto"/>
              <w:right w:val="single" w:sz="4" w:space="0" w:color="auto"/>
            </w:tcBorders>
            <w:shd w:val="clear" w:color="auto" w:fill="auto"/>
            <w:noWrap/>
            <w:vAlign w:val="center"/>
            <w:hideMark/>
          </w:tcPr>
          <w:p w14:paraId="3951CA72" w14:textId="4BDC48CD"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74,360 </w:t>
            </w:r>
          </w:p>
        </w:tc>
        <w:tc>
          <w:tcPr>
            <w:tcW w:w="1261" w:type="dxa"/>
            <w:tcBorders>
              <w:top w:val="nil"/>
              <w:left w:val="nil"/>
              <w:bottom w:val="single" w:sz="4" w:space="0" w:color="auto"/>
              <w:right w:val="single" w:sz="4" w:space="0" w:color="auto"/>
            </w:tcBorders>
            <w:shd w:val="clear" w:color="auto" w:fill="auto"/>
            <w:noWrap/>
            <w:vAlign w:val="center"/>
            <w:hideMark/>
          </w:tcPr>
          <w:p w14:paraId="11D04950" w14:textId="3E957C01"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64 </w:t>
            </w:r>
          </w:p>
        </w:tc>
        <w:tc>
          <w:tcPr>
            <w:tcW w:w="1261" w:type="dxa"/>
            <w:tcBorders>
              <w:top w:val="nil"/>
              <w:left w:val="nil"/>
              <w:bottom w:val="single" w:sz="4" w:space="0" w:color="auto"/>
              <w:right w:val="single" w:sz="4" w:space="0" w:color="auto"/>
            </w:tcBorders>
            <w:shd w:val="clear" w:color="auto" w:fill="auto"/>
            <w:noWrap/>
            <w:vAlign w:val="center"/>
            <w:hideMark/>
          </w:tcPr>
          <w:p w14:paraId="7E9949FD" w14:textId="0576FA10"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76 </w:t>
            </w:r>
          </w:p>
        </w:tc>
        <w:tc>
          <w:tcPr>
            <w:tcW w:w="1261" w:type="dxa"/>
            <w:tcBorders>
              <w:top w:val="nil"/>
              <w:left w:val="nil"/>
              <w:bottom w:val="single" w:sz="4" w:space="0" w:color="auto"/>
              <w:right w:val="single" w:sz="4" w:space="0" w:color="auto"/>
            </w:tcBorders>
            <w:shd w:val="clear" w:color="auto" w:fill="auto"/>
            <w:noWrap/>
            <w:vAlign w:val="center"/>
            <w:hideMark/>
          </w:tcPr>
          <w:p w14:paraId="59B87D7F" w14:textId="77964945"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13 </w:t>
            </w:r>
          </w:p>
        </w:tc>
        <w:tc>
          <w:tcPr>
            <w:tcW w:w="1261" w:type="dxa"/>
            <w:tcBorders>
              <w:top w:val="nil"/>
              <w:left w:val="nil"/>
              <w:bottom w:val="single" w:sz="4" w:space="0" w:color="auto"/>
              <w:right w:val="single" w:sz="4" w:space="0" w:color="auto"/>
            </w:tcBorders>
            <w:shd w:val="clear" w:color="auto" w:fill="auto"/>
            <w:noWrap/>
            <w:vAlign w:val="center"/>
            <w:hideMark/>
          </w:tcPr>
          <w:p w14:paraId="15B36474" w14:textId="5EB8BF48"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77 </w:t>
            </w:r>
          </w:p>
        </w:tc>
        <w:tc>
          <w:tcPr>
            <w:tcW w:w="1262" w:type="dxa"/>
            <w:tcBorders>
              <w:top w:val="nil"/>
              <w:left w:val="nil"/>
              <w:bottom w:val="single" w:sz="4" w:space="0" w:color="auto"/>
              <w:right w:val="single" w:sz="4" w:space="0" w:color="auto"/>
            </w:tcBorders>
            <w:shd w:val="clear" w:color="auto" w:fill="auto"/>
            <w:noWrap/>
            <w:vAlign w:val="center"/>
            <w:hideMark/>
          </w:tcPr>
          <w:p w14:paraId="1E217E86" w14:textId="4BD7163E"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74,589 </w:t>
            </w:r>
          </w:p>
        </w:tc>
      </w:tr>
      <w:tr w:rsidR="007D1F76" w:rsidRPr="0034306F" w14:paraId="3DFA8F77"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3AA9876D"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Mildura Base Public Hospital</w:t>
            </w:r>
          </w:p>
        </w:tc>
        <w:tc>
          <w:tcPr>
            <w:tcW w:w="1261" w:type="dxa"/>
            <w:tcBorders>
              <w:top w:val="nil"/>
              <w:left w:val="nil"/>
              <w:bottom w:val="single" w:sz="4" w:space="0" w:color="auto"/>
              <w:right w:val="single" w:sz="4" w:space="0" w:color="auto"/>
            </w:tcBorders>
            <w:shd w:val="clear" w:color="auto" w:fill="auto"/>
            <w:noWrap/>
            <w:vAlign w:val="center"/>
            <w:hideMark/>
          </w:tcPr>
          <w:p w14:paraId="14BD2443" w14:textId="59C7423B"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23,061 </w:t>
            </w:r>
          </w:p>
        </w:tc>
        <w:tc>
          <w:tcPr>
            <w:tcW w:w="1261" w:type="dxa"/>
            <w:tcBorders>
              <w:top w:val="nil"/>
              <w:left w:val="nil"/>
              <w:bottom w:val="single" w:sz="4" w:space="0" w:color="auto"/>
              <w:right w:val="single" w:sz="4" w:space="0" w:color="auto"/>
            </w:tcBorders>
            <w:shd w:val="clear" w:color="auto" w:fill="auto"/>
            <w:noWrap/>
            <w:vAlign w:val="center"/>
            <w:hideMark/>
          </w:tcPr>
          <w:p w14:paraId="3724D2A4" w14:textId="3E469E50"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33 </w:t>
            </w:r>
          </w:p>
        </w:tc>
        <w:tc>
          <w:tcPr>
            <w:tcW w:w="1261" w:type="dxa"/>
            <w:tcBorders>
              <w:top w:val="nil"/>
              <w:left w:val="nil"/>
              <w:bottom w:val="single" w:sz="4" w:space="0" w:color="auto"/>
              <w:right w:val="single" w:sz="4" w:space="0" w:color="auto"/>
            </w:tcBorders>
            <w:shd w:val="clear" w:color="auto" w:fill="auto"/>
            <w:noWrap/>
            <w:vAlign w:val="center"/>
            <w:hideMark/>
          </w:tcPr>
          <w:p w14:paraId="1AB1AF2D" w14:textId="0FE4C6C9"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142 </w:t>
            </w:r>
          </w:p>
        </w:tc>
        <w:tc>
          <w:tcPr>
            <w:tcW w:w="1261" w:type="dxa"/>
            <w:tcBorders>
              <w:top w:val="nil"/>
              <w:left w:val="nil"/>
              <w:bottom w:val="single" w:sz="4" w:space="0" w:color="auto"/>
              <w:right w:val="single" w:sz="4" w:space="0" w:color="auto"/>
            </w:tcBorders>
            <w:shd w:val="clear" w:color="auto" w:fill="auto"/>
            <w:noWrap/>
            <w:vAlign w:val="center"/>
            <w:hideMark/>
          </w:tcPr>
          <w:p w14:paraId="2D9A23C5" w14:textId="30ED11BA"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73 </w:t>
            </w:r>
          </w:p>
        </w:tc>
        <w:tc>
          <w:tcPr>
            <w:tcW w:w="1261" w:type="dxa"/>
            <w:tcBorders>
              <w:top w:val="nil"/>
              <w:left w:val="nil"/>
              <w:bottom w:val="single" w:sz="4" w:space="0" w:color="auto"/>
              <w:right w:val="single" w:sz="4" w:space="0" w:color="auto"/>
            </w:tcBorders>
            <w:shd w:val="clear" w:color="auto" w:fill="auto"/>
            <w:noWrap/>
            <w:vAlign w:val="center"/>
            <w:hideMark/>
          </w:tcPr>
          <w:p w14:paraId="0D5B0EEB" w14:textId="61E9B30A"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91 </w:t>
            </w:r>
          </w:p>
        </w:tc>
        <w:tc>
          <w:tcPr>
            <w:tcW w:w="1262" w:type="dxa"/>
            <w:tcBorders>
              <w:top w:val="nil"/>
              <w:left w:val="nil"/>
              <w:bottom w:val="single" w:sz="4" w:space="0" w:color="auto"/>
              <w:right w:val="single" w:sz="4" w:space="0" w:color="auto"/>
            </w:tcBorders>
            <w:shd w:val="clear" w:color="auto" w:fill="auto"/>
            <w:noWrap/>
            <w:vAlign w:val="center"/>
            <w:hideMark/>
          </w:tcPr>
          <w:p w14:paraId="7957F262" w14:textId="46D6BC85"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23,400 </w:t>
            </w:r>
          </w:p>
        </w:tc>
      </w:tr>
      <w:tr w:rsidR="007D1F76" w:rsidRPr="0034306F" w14:paraId="5C4B85B1"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505E976E"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Monash Health</w:t>
            </w:r>
          </w:p>
        </w:tc>
        <w:tc>
          <w:tcPr>
            <w:tcW w:w="1261" w:type="dxa"/>
            <w:tcBorders>
              <w:top w:val="nil"/>
              <w:left w:val="nil"/>
              <w:bottom w:val="single" w:sz="4" w:space="0" w:color="auto"/>
              <w:right w:val="single" w:sz="4" w:space="0" w:color="auto"/>
            </w:tcBorders>
            <w:shd w:val="clear" w:color="auto" w:fill="auto"/>
            <w:noWrap/>
            <w:vAlign w:val="center"/>
            <w:hideMark/>
          </w:tcPr>
          <w:p w14:paraId="57E43093" w14:textId="28BDC92A"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328,116 </w:t>
            </w:r>
          </w:p>
        </w:tc>
        <w:tc>
          <w:tcPr>
            <w:tcW w:w="1261" w:type="dxa"/>
            <w:tcBorders>
              <w:top w:val="nil"/>
              <w:left w:val="nil"/>
              <w:bottom w:val="single" w:sz="4" w:space="0" w:color="auto"/>
              <w:right w:val="single" w:sz="4" w:space="0" w:color="auto"/>
            </w:tcBorders>
            <w:shd w:val="clear" w:color="auto" w:fill="auto"/>
            <w:noWrap/>
            <w:vAlign w:val="center"/>
            <w:hideMark/>
          </w:tcPr>
          <w:p w14:paraId="68285A88" w14:textId="7B418071"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3 </w:t>
            </w:r>
          </w:p>
        </w:tc>
        <w:tc>
          <w:tcPr>
            <w:tcW w:w="1261" w:type="dxa"/>
            <w:tcBorders>
              <w:top w:val="nil"/>
              <w:left w:val="nil"/>
              <w:bottom w:val="single" w:sz="4" w:space="0" w:color="auto"/>
              <w:right w:val="single" w:sz="4" w:space="0" w:color="auto"/>
            </w:tcBorders>
            <w:shd w:val="clear" w:color="auto" w:fill="auto"/>
            <w:noWrap/>
            <w:vAlign w:val="center"/>
            <w:hideMark/>
          </w:tcPr>
          <w:p w14:paraId="6F25F928" w14:textId="6C3E2C9A"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437 </w:t>
            </w:r>
          </w:p>
        </w:tc>
        <w:tc>
          <w:tcPr>
            <w:tcW w:w="1261" w:type="dxa"/>
            <w:tcBorders>
              <w:top w:val="nil"/>
              <w:left w:val="nil"/>
              <w:bottom w:val="single" w:sz="4" w:space="0" w:color="auto"/>
              <w:right w:val="single" w:sz="4" w:space="0" w:color="auto"/>
            </w:tcBorders>
            <w:shd w:val="clear" w:color="auto" w:fill="auto"/>
            <w:noWrap/>
            <w:vAlign w:val="center"/>
            <w:hideMark/>
          </w:tcPr>
          <w:p w14:paraId="1ED46700" w14:textId="3E4FA261"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382 </w:t>
            </w:r>
          </w:p>
        </w:tc>
        <w:tc>
          <w:tcPr>
            <w:tcW w:w="1261" w:type="dxa"/>
            <w:tcBorders>
              <w:top w:val="nil"/>
              <w:left w:val="nil"/>
              <w:bottom w:val="single" w:sz="4" w:space="0" w:color="auto"/>
              <w:right w:val="single" w:sz="4" w:space="0" w:color="auto"/>
            </w:tcBorders>
            <w:shd w:val="clear" w:color="auto" w:fill="auto"/>
            <w:noWrap/>
            <w:vAlign w:val="center"/>
            <w:hideMark/>
          </w:tcPr>
          <w:p w14:paraId="55801B07" w14:textId="1D90C29E"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218 </w:t>
            </w:r>
          </w:p>
        </w:tc>
        <w:tc>
          <w:tcPr>
            <w:tcW w:w="1262" w:type="dxa"/>
            <w:tcBorders>
              <w:top w:val="nil"/>
              <w:left w:val="nil"/>
              <w:bottom w:val="single" w:sz="4" w:space="0" w:color="auto"/>
              <w:right w:val="single" w:sz="4" w:space="0" w:color="auto"/>
            </w:tcBorders>
            <w:shd w:val="clear" w:color="auto" w:fill="auto"/>
            <w:noWrap/>
            <w:vAlign w:val="center"/>
            <w:hideMark/>
          </w:tcPr>
          <w:p w14:paraId="2E99C5F1" w14:textId="5DE7EF40"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329,156 </w:t>
            </w:r>
          </w:p>
        </w:tc>
      </w:tr>
      <w:tr w:rsidR="007D1F76" w:rsidRPr="0034306F" w14:paraId="4E539A98"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5854BAA8"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Northeast Health Wangaratta</w:t>
            </w:r>
          </w:p>
        </w:tc>
        <w:tc>
          <w:tcPr>
            <w:tcW w:w="1261" w:type="dxa"/>
            <w:tcBorders>
              <w:top w:val="nil"/>
              <w:left w:val="nil"/>
              <w:bottom w:val="single" w:sz="4" w:space="0" w:color="auto"/>
              <w:right w:val="single" w:sz="4" w:space="0" w:color="auto"/>
            </w:tcBorders>
            <w:shd w:val="clear" w:color="auto" w:fill="auto"/>
            <w:noWrap/>
            <w:vAlign w:val="center"/>
            <w:hideMark/>
          </w:tcPr>
          <w:p w14:paraId="45899353" w14:textId="1D5EDFCA"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26,712 </w:t>
            </w:r>
          </w:p>
        </w:tc>
        <w:tc>
          <w:tcPr>
            <w:tcW w:w="1261" w:type="dxa"/>
            <w:tcBorders>
              <w:top w:val="nil"/>
              <w:left w:val="nil"/>
              <w:bottom w:val="single" w:sz="4" w:space="0" w:color="auto"/>
              <w:right w:val="single" w:sz="4" w:space="0" w:color="auto"/>
            </w:tcBorders>
            <w:shd w:val="clear" w:color="auto" w:fill="auto"/>
            <w:noWrap/>
            <w:vAlign w:val="center"/>
            <w:hideMark/>
          </w:tcPr>
          <w:p w14:paraId="49E5BE41" w14:textId="4920C398"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9 </w:t>
            </w:r>
          </w:p>
        </w:tc>
        <w:tc>
          <w:tcPr>
            <w:tcW w:w="1261" w:type="dxa"/>
            <w:tcBorders>
              <w:top w:val="nil"/>
              <w:left w:val="nil"/>
              <w:bottom w:val="single" w:sz="4" w:space="0" w:color="auto"/>
              <w:right w:val="single" w:sz="4" w:space="0" w:color="auto"/>
            </w:tcBorders>
            <w:shd w:val="clear" w:color="auto" w:fill="auto"/>
            <w:noWrap/>
            <w:vAlign w:val="center"/>
            <w:hideMark/>
          </w:tcPr>
          <w:p w14:paraId="0DC09B0F" w14:textId="7C477C63"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132 </w:t>
            </w:r>
          </w:p>
        </w:tc>
        <w:tc>
          <w:tcPr>
            <w:tcW w:w="1261" w:type="dxa"/>
            <w:tcBorders>
              <w:top w:val="nil"/>
              <w:left w:val="nil"/>
              <w:bottom w:val="single" w:sz="4" w:space="0" w:color="auto"/>
              <w:right w:val="single" w:sz="4" w:space="0" w:color="auto"/>
            </w:tcBorders>
            <w:shd w:val="clear" w:color="auto" w:fill="auto"/>
            <w:noWrap/>
            <w:vAlign w:val="center"/>
            <w:hideMark/>
          </w:tcPr>
          <w:p w14:paraId="310940F4" w14:textId="1F8D56B5"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86 </w:t>
            </w:r>
          </w:p>
        </w:tc>
        <w:tc>
          <w:tcPr>
            <w:tcW w:w="1261" w:type="dxa"/>
            <w:tcBorders>
              <w:top w:val="nil"/>
              <w:left w:val="nil"/>
              <w:bottom w:val="single" w:sz="4" w:space="0" w:color="auto"/>
              <w:right w:val="single" w:sz="4" w:space="0" w:color="auto"/>
            </w:tcBorders>
            <w:shd w:val="clear" w:color="auto" w:fill="auto"/>
            <w:noWrap/>
            <w:vAlign w:val="center"/>
            <w:hideMark/>
          </w:tcPr>
          <w:p w14:paraId="4B0D9473" w14:textId="746E525F"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77 </w:t>
            </w:r>
          </w:p>
        </w:tc>
        <w:tc>
          <w:tcPr>
            <w:tcW w:w="1262" w:type="dxa"/>
            <w:tcBorders>
              <w:top w:val="nil"/>
              <w:left w:val="nil"/>
              <w:bottom w:val="single" w:sz="4" w:space="0" w:color="auto"/>
              <w:right w:val="single" w:sz="4" w:space="0" w:color="auto"/>
            </w:tcBorders>
            <w:shd w:val="clear" w:color="auto" w:fill="auto"/>
            <w:noWrap/>
            <w:vAlign w:val="center"/>
            <w:hideMark/>
          </w:tcPr>
          <w:p w14:paraId="6304E860" w14:textId="52FB03BB"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27,016 </w:t>
            </w:r>
          </w:p>
        </w:tc>
      </w:tr>
      <w:tr w:rsidR="007D1F76" w:rsidRPr="0034306F" w14:paraId="07870364"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785E8C63"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Northern Health</w:t>
            </w:r>
          </w:p>
        </w:tc>
        <w:tc>
          <w:tcPr>
            <w:tcW w:w="1261" w:type="dxa"/>
            <w:tcBorders>
              <w:top w:val="nil"/>
              <w:left w:val="nil"/>
              <w:bottom w:val="single" w:sz="4" w:space="0" w:color="auto"/>
              <w:right w:val="single" w:sz="4" w:space="0" w:color="auto"/>
            </w:tcBorders>
            <w:shd w:val="clear" w:color="auto" w:fill="auto"/>
            <w:noWrap/>
            <w:vAlign w:val="center"/>
            <w:hideMark/>
          </w:tcPr>
          <w:p w14:paraId="5E3CA3A1" w14:textId="0203E5FE"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127,881 </w:t>
            </w:r>
          </w:p>
        </w:tc>
        <w:tc>
          <w:tcPr>
            <w:tcW w:w="1261" w:type="dxa"/>
            <w:tcBorders>
              <w:top w:val="nil"/>
              <w:left w:val="nil"/>
              <w:bottom w:val="single" w:sz="4" w:space="0" w:color="auto"/>
              <w:right w:val="single" w:sz="4" w:space="0" w:color="auto"/>
            </w:tcBorders>
            <w:shd w:val="clear" w:color="auto" w:fill="auto"/>
            <w:noWrap/>
            <w:vAlign w:val="center"/>
            <w:hideMark/>
          </w:tcPr>
          <w:p w14:paraId="575E4675" w14:textId="1DDE167A"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179 </w:t>
            </w:r>
          </w:p>
        </w:tc>
        <w:tc>
          <w:tcPr>
            <w:tcW w:w="1261" w:type="dxa"/>
            <w:tcBorders>
              <w:top w:val="nil"/>
              <w:left w:val="nil"/>
              <w:bottom w:val="single" w:sz="4" w:space="0" w:color="auto"/>
              <w:right w:val="single" w:sz="4" w:space="0" w:color="auto"/>
            </w:tcBorders>
            <w:shd w:val="clear" w:color="auto" w:fill="auto"/>
            <w:noWrap/>
            <w:vAlign w:val="center"/>
            <w:hideMark/>
          </w:tcPr>
          <w:p w14:paraId="56C1D0B7" w14:textId="41B44D87"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190 </w:t>
            </w:r>
          </w:p>
        </w:tc>
        <w:tc>
          <w:tcPr>
            <w:tcW w:w="1261" w:type="dxa"/>
            <w:tcBorders>
              <w:top w:val="nil"/>
              <w:left w:val="nil"/>
              <w:bottom w:val="single" w:sz="4" w:space="0" w:color="auto"/>
              <w:right w:val="single" w:sz="4" w:space="0" w:color="auto"/>
            </w:tcBorders>
            <w:shd w:val="clear" w:color="auto" w:fill="auto"/>
            <w:noWrap/>
            <w:vAlign w:val="center"/>
            <w:hideMark/>
          </w:tcPr>
          <w:p w14:paraId="6470F0FE" w14:textId="60A16B6E"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170 </w:t>
            </w:r>
          </w:p>
        </w:tc>
        <w:tc>
          <w:tcPr>
            <w:tcW w:w="1261" w:type="dxa"/>
            <w:tcBorders>
              <w:top w:val="nil"/>
              <w:left w:val="nil"/>
              <w:bottom w:val="single" w:sz="4" w:space="0" w:color="auto"/>
              <w:right w:val="single" w:sz="4" w:space="0" w:color="auto"/>
            </w:tcBorders>
            <w:shd w:val="clear" w:color="auto" w:fill="auto"/>
            <w:noWrap/>
            <w:vAlign w:val="center"/>
            <w:hideMark/>
          </w:tcPr>
          <w:p w14:paraId="5BDA2B6B" w14:textId="082B8AA4"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145 </w:t>
            </w:r>
          </w:p>
        </w:tc>
        <w:tc>
          <w:tcPr>
            <w:tcW w:w="1262" w:type="dxa"/>
            <w:tcBorders>
              <w:top w:val="nil"/>
              <w:left w:val="nil"/>
              <w:bottom w:val="single" w:sz="4" w:space="0" w:color="auto"/>
              <w:right w:val="single" w:sz="4" w:space="0" w:color="auto"/>
            </w:tcBorders>
            <w:shd w:val="clear" w:color="auto" w:fill="auto"/>
            <w:noWrap/>
            <w:vAlign w:val="center"/>
            <w:hideMark/>
          </w:tcPr>
          <w:p w14:paraId="5BC09E55" w14:textId="1F9D7C49"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128,565 </w:t>
            </w:r>
          </w:p>
        </w:tc>
      </w:tr>
      <w:tr w:rsidR="007D1F76" w:rsidRPr="0034306F" w14:paraId="69DFD495"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6199C501"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Peninsula Health</w:t>
            </w:r>
          </w:p>
        </w:tc>
        <w:tc>
          <w:tcPr>
            <w:tcW w:w="1261" w:type="dxa"/>
            <w:tcBorders>
              <w:top w:val="nil"/>
              <w:left w:val="nil"/>
              <w:bottom w:val="single" w:sz="4" w:space="0" w:color="auto"/>
              <w:right w:val="single" w:sz="4" w:space="0" w:color="auto"/>
            </w:tcBorders>
            <w:shd w:val="clear" w:color="auto" w:fill="auto"/>
            <w:noWrap/>
            <w:vAlign w:val="center"/>
            <w:hideMark/>
          </w:tcPr>
          <w:p w14:paraId="6327A19C" w14:textId="38A98A83"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116,571 </w:t>
            </w:r>
          </w:p>
        </w:tc>
        <w:tc>
          <w:tcPr>
            <w:tcW w:w="1261" w:type="dxa"/>
            <w:tcBorders>
              <w:top w:val="nil"/>
              <w:left w:val="nil"/>
              <w:bottom w:val="single" w:sz="4" w:space="0" w:color="auto"/>
              <w:right w:val="single" w:sz="4" w:space="0" w:color="auto"/>
            </w:tcBorders>
            <w:shd w:val="clear" w:color="auto" w:fill="auto"/>
            <w:noWrap/>
            <w:vAlign w:val="center"/>
            <w:hideMark/>
          </w:tcPr>
          <w:p w14:paraId="026FCD3F" w14:textId="4D2FD5CA"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13 </w:t>
            </w:r>
          </w:p>
        </w:tc>
        <w:tc>
          <w:tcPr>
            <w:tcW w:w="1261" w:type="dxa"/>
            <w:tcBorders>
              <w:top w:val="nil"/>
              <w:left w:val="nil"/>
              <w:bottom w:val="single" w:sz="4" w:space="0" w:color="auto"/>
              <w:right w:val="single" w:sz="4" w:space="0" w:color="auto"/>
            </w:tcBorders>
            <w:shd w:val="clear" w:color="auto" w:fill="auto"/>
            <w:noWrap/>
            <w:vAlign w:val="center"/>
            <w:hideMark/>
          </w:tcPr>
          <w:p w14:paraId="162188C3" w14:textId="3EEC8E73"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441 </w:t>
            </w:r>
          </w:p>
        </w:tc>
        <w:tc>
          <w:tcPr>
            <w:tcW w:w="1261" w:type="dxa"/>
            <w:tcBorders>
              <w:top w:val="nil"/>
              <w:left w:val="nil"/>
              <w:bottom w:val="single" w:sz="4" w:space="0" w:color="auto"/>
              <w:right w:val="single" w:sz="4" w:space="0" w:color="auto"/>
            </w:tcBorders>
            <w:shd w:val="clear" w:color="auto" w:fill="auto"/>
            <w:noWrap/>
            <w:vAlign w:val="center"/>
            <w:hideMark/>
          </w:tcPr>
          <w:p w14:paraId="1F884E07" w14:textId="2D101DBA"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207 </w:t>
            </w:r>
          </w:p>
        </w:tc>
        <w:tc>
          <w:tcPr>
            <w:tcW w:w="1261" w:type="dxa"/>
            <w:tcBorders>
              <w:top w:val="nil"/>
              <w:left w:val="nil"/>
              <w:bottom w:val="single" w:sz="4" w:space="0" w:color="auto"/>
              <w:right w:val="single" w:sz="4" w:space="0" w:color="auto"/>
            </w:tcBorders>
            <w:shd w:val="clear" w:color="auto" w:fill="auto"/>
            <w:noWrap/>
            <w:vAlign w:val="center"/>
            <w:hideMark/>
          </w:tcPr>
          <w:p w14:paraId="4B261AF7" w14:textId="06EB5337"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408 </w:t>
            </w:r>
          </w:p>
        </w:tc>
        <w:tc>
          <w:tcPr>
            <w:tcW w:w="1262" w:type="dxa"/>
            <w:tcBorders>
              <w:top w:val="nil"/>
              <w:left w:val="nil"/>
              <w:bottom w:val="single" w:sz="4" w:space="0" w:color="auto"/>
              <w:right w:val="single" w:sz="4" w:space="0" w:color="auto"/>
            </w:tcBorders>
            <w:shd w:val="clear" w:color="auto" w:fill="auto"/>
            <w:noWrap/>
            <w:vAlign w:val="center"/>
            <w:hideMark/>
          </w:tcPr>
          <w:p w14:paraId="0FE546F5" w14:textId="77624E4F"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117,640 </w:t>
            </w:r>
          </w:p>
        </w:tc>
      </w:tr>
      <w:tr w:rsidR="007D1F76" w:rsidRPr="0034306F" w14:paraId="1760E42B"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4AEB3F14"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Peter MacCallum Cancer Institute</w:t>
            </w:r>
          </w:p>
        </w:tc>
        <w:tc>
          <w:tcPr>
            <w:tcW w:w="1261" w:type="dxa"/>
            <w:tcBorders>
              <w:top w:val="nil"/>
              <w:left w:val="nil"/>
              <w:bottom w:val="single" w:sz="4" w:space="0" w:color="auto"/>
              <w:right w:val="single" w:sz="4" w:space="0" w:color="auto"/>
            </w:tcBorders>
            <w:shd w:val="clear" w:color="auto" w:fill="auto"/>
            <w:noWrap/>
            <w:vAlign w:val="center"/>
            <w:hideMark/>
          </w:tcPr>
          <w:p w14:paraId="3DDFD222" w14:textId="606A336C"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36,083 </w:t>
            </w:r>
          </w:p>
        </w:tc>
        <w:tc>
          <w:tcPr>
            <w:tcW w:w="1261" w:type="dxa"/>
            <w:tcBorders>
              <w:top w:val="nil"/>
              <w:left w:val="nil"/>
              <w:bottom w:val="single" w:sz="4" w:space="0" w:color="auto"/>
              <w:right w:val="single" w:sz="4" w:space="0" w:color="auto"/>
            </w:tcBorders>
            <w:shd w:val="clear" w:color="auto" w:fill="auto"/>
            <w:noWrap/>
            <w:vAlign w:val="center"/>
            <w:hideMark/>
          </w:tcPr>
          <w:p w14:paraId="4E8D4375" w14:textId="77777777"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w:t>
            </w:r>
          </w:p>
        </w:tc>
        <w:tc>
          <w:tcPr>
            <w:tcW w:w="1261" w:type="dxa"/>
            <w:tcBorders>
              <w:top w:val="nil"/>
              <w:left w:val="nil"/>
              <w:bottom w:val="single" w:sz="4" w:space="0" w:color="auto"/>
              <w:right w:val="single" w:sz="4" w:space="0" w:color="auto"/>
            </w:tcBorders>
            <w:shd w:val="clear" w:color="auto" w:fill="auto"/>
            <w:noWrap/>
            <w:vAlign w:val="center"/>
            <w:hideMark/>
          </w:tcPr>
          <w:p w14:paraId="1C61C8EE" w14:textId="2DA2FE02"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79 </w:t>
            </w:r>
          </w:p>
        </w:tc>
        <w:tc>
          <w:tcPr>
            <w:tcW w:w="1261" w:type="dxa"/>
            <w:tcBorders>
              <w:top w:val="nil"/>
              <w:left w:val="nil"/>
              <w:bottom w:val="single" w:sz="4" w:space="0" w:color="auto"/>
              <w:right w:val="single" w:sz="4" w:space="0" w:color="auto"/>
            </w:tcBorders>
            <w:shd w:val="clear" w:color="auto" w:fill="auto"/>
            <w:noWrap/>
            <w:vAlign w:val="center"/>
            <w:hideMark/>
          </w:tcPr>
          <w:p w14:paraId="6E661BBD" w14:textId="6D9031C6"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5E431439" w14:textId="5E513CA3"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14:paraId="4E6BC492" w14:textId="7DD31EE4"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36,162 </w:t>
            </w:r>
          </w:p>
        </w:tc>
      </w:tr>
      <w:tr w:rsidR="007D1F76" w:rsidRPr="0034306F" w14:paraId="2BB000A7"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7B1DF1E7"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Portland District Health</w:t>
            </w:r>
          </w:p>
        </w:tc>
        <w:tc>
          <w:tcPr>
            <w:tcW w:w="1261" w:type="dxa"/>
            <w:tcBorders>
              <w:top w:val="nil"/>
              <w:left w:val="nil"/>
              <w:bottom w:val="single" w:sz="4" w:space="0" w:color="auto"/>
              <w:right w:val="single" w:sz="4" w:space="0" w:color="auto"/>
            </w:tcBorders>
            <w:shd w:val="clear" w:color="auto" w:fill="auto"/>
            <w:noWrap/>
            <w:vAlign w:val="center"/>
            <w:hideMark/>
          </w:tcPr>
          <w:p w14:paraId="46D6122B" w14:textId="0CADDDD5"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5,826 </w:t>
            </w:r>
          </w:p>
        </w:tc>
        <w:tc>
          <w:tcPr>
            <w:tcW w:w="1261" w:type="dxa"/>
            <w:tcBorders>
              <w:top w:val="nil"/>
              <w:left w:val="nil"/>
              <w:bottom w:val="single" w:sz="4" w:space="0" w:color="auto"/>
              <w:right w:val="single" w:sz="4" w:space="0" w:color="auto"/>
            </w:tcBorders>
            <w:shd w:val="clear" w:color="auto" w:fill="auto"/>
            <w:noWrap/>
            <w:vAlign w:val="center"/>
            <w:hideMark/>
          </w:tcPr>
          <w:p w14:paraId="1D83E127" w14:textId="33F7D74E"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15 </w:t>
            </w:r>
          </w:p>
        </w:tc>
        <w:tc>
          <w:tcPr>
            <w:tcW w:w="1261" w:type="dxa"/>
            <w:tcBorders>
              <w:top w:val="nil"/>
              <w:left w:val="nil"/>
              <w:bottom w:val="single" w:sz="4" w:space="0" w:color="auto"/>
              <w:right w:val="single" w:sz="4" w:space="0" w:color="auto"/>
            </w:tcBorders>
            <w:shd w:val="clear" w:color="auto" w:fill="auto"/>
            <w:noWrap/>
            <w:vAlign w:val="center"/>
            <w:hideMark/>
          </w:tcPr>
          <w:p w14:paraId="67614D5D" w14:textId="63F44F4F"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23 </w:t>
            </w:r>
          </w:p>
        </w:tc>
        <w:tc>
          <w:tcPr>
            <w:tcW w:w="1261" w:type="dxa"/>
            <w:tcBorders>
              <w:top w:val="nil"/>
              <w:left w:val="nil"/>
              <w:bottom w:val="single" w:sz="4" w:space="0" w:color="auto"/>
              <w:right w:val="single" w:sz="4" w:space="0" w:color="auto"/>
            </w:tcBorders>
            <w:shd w:val="clear" w:color="auto" w:fill="auto"/>
            <w:noWrap/>
            <w:vAlign w:val="center"/>
            <w:hideMark/>
          </w:tcPr>
          <w:p w14:paraId="1AE1CB78" w14:textId="0D974CEC"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3 </w:t>
            </w:r>
          </w:p>
        </w:tc>
        <w:tc>
          <w:tcPr>
            <w:tcW w:w="1261" w:type="dxa"/>
            <w:tcBorders>
              <w:top w:val="nil"/>
              <w:left w:val="nil"/>
              <w:bottom w:val="single" w:sz="4" w:space="0" w:color="auto"/>
              <w:right w:val="single" w:sz="4" w:space="0" w:color="auto"/>
            </w:tcBorders>
            <w:shd w:val="clear" w:color="auto" w:fill="auto"/>
            <w:noWrap/>
            <w:vAlign w:val="center"/>
            <w:hideMark/>
          </w:tcPr>
          <w:p w14:paraId="63477689" w14:textId="66274B5D"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 </w:t>
            </w:r>
          </w:p>
        </w:tc>
        <w:tc>
          <w:tcPr>
            <w:tcW w:w="1262" w:type="dxa"/>
            <w:tcBorders>
              <w:top w:val="nil"/>
              <w:left w:val="nil"/>
              <w:bottom w:val="single" w:sz="4" w:space="0" w:color="auto"/>
              <w:right w:val="single" w:sz="4" w:space="0" w:color="auto"/>
            </w:tcBorders>
            <w:shd w:val="clear" w:color="auto" w:fill="auto"/>
            <w:noWrap/>
            <w:vAlign w:val="center"/>
            <w:hideMark/>
          </w:tcPr>
          <w:p w14:paraId="479B4B99" w14:textId="4A9F549E"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5,869 </w:t>
            </w:r>
          </w:p>
        </w:tc>
      </w:tr>
      <w:tr w:rsidR="007D1F76" w:rsidRPr="0034306F" w14:paraId="68C4CFE9"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1A15D8DE"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Royal Victorian Eye &amp; Ear Hospital</w:t>
            </w:r>
          </w:p>
        </w:tc>
        <w:tc>
          <w:tcPr>
            <w:tcW w:w="1261" w:type="dxa"/>
            <w:tcBorders>
              <w:top w:val="nil"/>
              <w:left w:val="nil"/>
              <w:bottom w:val="single" w:sz="4" w:space="0" w:color="auto"/>
              <w:right w:val="single" w:sz="4" w:space="0" w:color="auto"/>
            </w:tcBorders>
            <w:shd w:val="clear" w:color="auto" w:fill="auto"/>
            <w:noWrap/>
            <w:vAlign w:val="center"/>
            <w:hideMark/>
          </w:tcPr>
          <w:p w14:paraId="532D7A17" w14:textId="5933CA3D"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24,196 </w:t>
            </w:r>
          </w:p>
        </w:tc>
        <w:tc>
          <w:tcPr>
            <w:tcW w:w="1261" w:type="dxa"/>
            <w:tcBorders>
              <w:top w:val="nil"/>
              <w:left w:val="nil"/>
              <w:bottom w:val="single" w:sz="4" w:space="0" w:color="auto"/>
              <w:right w:val="single" w:sz="4" w:space="0" w:color="auto"/>
            </w:tcBorders>
            <w:shd w:val="clear" w:color="auto" w:fill="auto"/>
            <w:noWrap/>
            <w:vAlign w:val="center"/>
            <w:hideMark/>
          </w:tcPr>
          <w:p w14:paraId="12B19C19" w14:textId="77777777"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w:t>
            </w:r>
          </w:p>
        </w:tc>
        <w:tc>
          <w:tcPr>
            <w:tcW w:w="1261" w:type="dxa"/>
            <w:tcBorders>
              <w:top w:val="nil"/>
              <w:left w:val="nil"/>
              <w:bottom w:val="single" w:sz="4" w:space="0" w:color="auto"/>
              <w:right w:val="single" w:sz="4" w:space="0" w:color="auto"/>
            </w:tcBorders>
            <w:shd w:val="clear" w:color="auto" w:fill="auto"/>
            <w:noWrap/>
            <w:vAlign w:val="center"/>
            <w:hideMark/>
          </w:tcPr>
          <w:p w14:paraId="42BE3975" w14:textId="4DA27AEB"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30 </w:t>
            </w:r>
          </w:p>
        </w:tc>
        <w:tc>
          <w:tcPr>
            <w:tcW w:w="1261" w:type="dxa"/>
            <w:tcBorders>
              <w:top w:val="nil"/>
              <w:left w:val="nil"/>
              <w:bottom w:val="single" w:sz="4" w:space="0" w:color="auto"/>
              <w:right w:val="single" w:sz="4" w:space="0" w:color="auto"/>
            </w:tcBorders>
            <w:shd w:val="clear" w:color="auto" w:fill="auto"/>
            <w:noWrap/>
            <w:vAlign w:val="center"/>
            <w:hideMark/>
          </w:tcPr>
          <w:p w14:paraId="16AF1732" w14:textId="251C9374"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 </w:t>
            </w:r>
          </w:p>
        </w:tc>
        <w:tc>
          <w:tcPr>
            <w:tcW w:w="1261" w:type="dxa"/>
            <w:tcBorders>
              <w:top w:val="nil"/>
              <w:left w:val="nil"/>
              <w:bottom w:val="single" w:sz="4" w:space="0" w:color="auto"/>
              <w:right w:val="single" w:sz="4" w:space="0" w:color="auto"/>
            </w:tcBorders>
            <w:shd w:val="clear" w:color="auto" w:fill="auto"/>
            <w:noWrap/>
            <w:vAlign w:val="center"/>
            <w:hideMark/>
          </w:tcPr>
          <w:p w14:paraId="56199CE6" w14:textId="72D28BA4"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14:paraId="2FA50530" w14:textId="56920BA6"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24,227 </w:t>
            </w:r>
          </w:p>
        </w:tc>
      </w:tr>
      <w:tr w:rsidR="007D1F76" w:rsidRPr="0034306F" w14:paraId="5A6339B9" w14:textId="77777777" w:rsidTr="00336D9E">
        <w:trPr>
          <w:trHeight w:val="45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616916CD"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St Vincent's Hospital Melbourne Limited</w:t>
            </w:r>
          </w:p>
        </w:tc>
        <w:tc>
          <w:tcPr>
            <w:tcW w:w="1261" w:type="dxa"/>
            <w:tcBorders>
              <w:top w:val="nil"/>
              <w:left w:val="nil"/>
              <w:bottom w:val="single" w:sz="4" w:space="0" w:color="auto"/>
              <w:right w:val="single" w:sz="4" w:space="0" w:color="auto"/>
            </w:tcBorders>
            <w:shd w:val="clear" w:color="auto" w:fill="auto"/>
            <w:noWrap/>
            <w:vAlign w:val="center"/>
            <w:hideMark/>
          </w:tcPr>
          <w:p w14:paraId="179CABAA" w14:textId="63AFBBB8"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98,746 </w:t>
            </w:r>
          </w:p>
        </w:tc>
        <w:tc>
          <w:tcPr>
            <w:tcW w:w="1261" w:type="dxa"/>
            <w:tcBorders>
              <w:top w:val="nil"/>
              <w:left w:val="nil"/>
              <w:bottom w:val="single" w:sz="4" w:space="0" w:color="auto"/>
              <w:right w:val="single" w:sz="4" w:space="0" w:color="auto"/>
            </w:tcBorders>
            <w:shd w:val="clear" w:color="auto" w:fill="auto"/>
            <w:noWrap/>
            <w:vAlign w:val="center"/>
            <w:hideMark/>
          </w:tcPr>
          <w:p w14:paraId="70724F87" w14:textId="77777777"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w:t>
            </w:r>
          </w:p>
        </w:tc>
        <w:tc>
          <w:tcPr>
            <w:tcW w:w="1261" w:type="dxa"/>
            <w:tcBorders>
              <w:top w:val="nil"/>
              <w:left w:val="nil"/>
              <w:bottom w:val="single" w:sz="4" w:space="0" w:color="auto"/>
              <w:right w:val="single" w:sz="4" w:space="0" w:color="auto"/>
            </w:tcBorders>
            <w:shd w:val="clear" w:color="auto" w:fill="auto"/>
            <w:noWrap/>
            <w:vAlign w:val="center"/>
            <w:hideMark/>
          </w:tcPr>
          <w:p w14:paraId="6C61E5C7" w14:textId="20BC5F85"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163 </w:t>
            </w:r>
          </w:p>
        </w:tc>
        <w:tc>
          <w:tcPr>
            <w:tcW w:w="1261" w:type="dxa"/>
            <w:tcBorders>
              <w:top w:val="nil"/>
              <w:left w:val="nil"/>
              <w:bottom w:val="single" w:sz="4" w:space="0" w:color="auto"/>
              <w:right w:val="single" w:sz="4" w:space="0" w:color="auto"/>
            </w:tcBorders>
            <w:shd w:val="clear" w:color="auto" w:fill="auto"/>
            <w:noWrap/>
            <w:vAlign w:val="center"/>
            <w:hideMark/>
          </w:tcPr>
          <w:p w14:paraId="02B8E754" w14:textId="0B301F6E"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66 </w:t>
            </w:r>
          </w:p>
        </w:tc>
        <w:tc>
          <w:tcPr>
            <w:tcW w:w="1261" w:type="dxa"/>
            <w:tcBorders>
              <w:top w:val="nil"/>
              <w:left w:val="nil"/>
              <w:bottom w:val="single" w:sz="4" w:space="0" w:color="auto"/>
              <w:right w:val="single" w:sz="4" w:space="0" w:color="auto"/>
            </w:tcBorders>
            <w:shd w:val="clear" w:color="auto" w:fill="auto"/>
            <w:noWrap/>
            <w:vAlign w:val="center"/>
            <w:hideMark/>
          </w:tcPr>
          <w:p w14:paraId="0A8F2183" w14:textId="79FA3E43"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181 </w:t>
            </w:r>
          </w:p>
        </w:tc>
        <w:tc>
          <w:tcPr>
            <w:tcW w:w="1262" w:type="dxa"/>
            <w:tcBorders>
              <w:top w:val="nil"/>
              <w:left w:val="nil"/>
              <w:bottom w:val="single" w:sz="4" w:space="0" w:color="auto"/>
              <w:right w:val="single" w:sz="4" w:space="0" w:color="auto"/>
            </w:tcBorders>
            <w:shd w:val="clear" w:color="auto" w:fill="auto"/>
            <w:noWrap/>
            <w:vAlign w:val="center"/>
            <w:hideMark/>
          </w:tcPr>
          <w:p w14:paraId="30056793" w14:textId="44BE0B28"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99,155 </w:t>
            </w:r>
          </w:p>
        </w:tc>
      </w:tr>
      <w:tr w:rsidR="007D1F76" w:rsidRPr="0034306F" w14:paraId="3022E893"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2BAA5C2A"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South West Healthcare</w:t>
            </w:r>
          </w:p>
        </w:tc>
        <w:tc>
          <w:tcPr>
            <w:tcW w:w="1261" w:type="dxa"/>
            <w:tcBorders>
              <w:top w:val="nil"/>
              <w:left w:val="nil"/>
              <w:bottom w:val="single" w:sz="4" w:space="0" w:color="auto"/>
              <w:right w:val="single" w:sz="4" w:space="0" w:color="auto"/>
            </w:tcBorders>
            <w:shd w:val="clear" w:color="auto" w:fill="auto"/>
            <w:noWrap/>
            <w:vAlign w:val="center"/>
            <w:hideMark/>
          </w:tcPr>
          <w:p w14:paraId="419E9345" w14:textId="516E11E9"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28,272 </w:t>
            </w:r>
          </w:p>
        </w:tc>
        <w:tc>
          <w:tcPr>
            <w:tcW w:w="1261" w:type="dxa"/>
            <w:tcBorders>
              <w:top w:val="nil"/>
              <w:left w:val="nil"/>
              <w:bottom w:val="single" w:sz="4" w:space="0" w:color="auto"/>
              <w:right w:val="single" w:sz="4" w:space="0" w:color="auto"/>
            </w:tcBorders>
            <w:shd w:val="clear" w:color="auto" w:fill="auto"/>
            <w:noWrap/>
            <w:vAlign w:val="center"/>
            <w:hideMark/>
          </w:tcPr>
          <w:p w14:paraId="7B849A00" w14:textId="70AA12B5"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46 </w:t>
            </w:r>
          </w:p>
        </w:tc>
        <w:tc>
          <w:tcPr>
            <w:tcW w:w="1261" w:type="dxa"/>
            <w:tcBorders>
              <w:top w:val="nil"/>
              <w:left w:val="nil"/>
              <w:bottom w:val="single" w:sz="4" w:space="0" w:color="auto"/>
              <w:right w:val="single" w:sz="4" w:space="0" w:color="auto"/>
            </w:tcBorders>
            <w:shd w:val="clear" w:color="auto" w:fill="auto"/>
            <w:noWrap/>
            <w:vAlign w:val="center"/>
            <w:hideMark/>
          </w:tcPr>
          <w:p w14:paraId="2914ED55" w14:textId="4F70CB85"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99 </w:t>
            </w:r>
          </w:p>
        </w:tc>
        <w:tc>
          <w:tcPr>
            <w:tcW w:w="1261" w:type="dxa"/>
            <w:tcBorders>
              <w:top w:val="nil"/>
              <w:left w:val="nil"/>
              <w:bottom w:val="single" w:sz="4" w:space="0" w:color="auto"/>
              <w:right w:val="single" w:sz="4" w:space="0" w:color="auto"/>
            </w:tcBorders>
            <w:shd w:val="clear" w:color="auto" w:fill="auto"/>
            <w:noWrap/>
            <w:vAlign w:val="center"/>
            <w:hideMark/>
          </w:tcPr>
          <w:p w14:paraId="22E1AF1F" w14:textId="06F615E8"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99 </w:t>
            </w:r>
          </w:p>
        </w:tc>
        <w:tc>
          <w:tcPr>
            <w:tcW w:w="1261" w:type="dxa"/>
            <w:tcBorders>
              <w:top w:val="nil"/>
              <w:left w:val="nil"/>
              <w:bottom w:val="single" w:sz="4" w:space="0" w:color="auto"/>
              <w:right w:val="single" w:sz="4" w:space="0" w:color="auto"/>
            </w:tcBorders>
            <w:shd w:val="clear" w:color="auto" w:fill="auto"/>
            <w:noWrap/>
            <w:vAlign w:val="center"/>
            <w:hideMark/>
          </w:tcPr>
          <w:p w14:paraId="4707F88D" w14:textId="32C68BDB"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57 </w:t>
            </w:r>
          </w:p>
        </w:tc>
        <w:tc>
          <w:tcPr>
            <w:tcW w:w="1262" w:type="dxa"/>
            <w:tcBorders>
              <w:top w:val="nil"/>
              <w:left w:val="nil"/>
              <w:bottom w:val="single" w:sz="4" w:space="0" w:color="auto"/>
              <w:right w:val="single" w:sz="4" w:space="0" w:color="auto"/>
            </w:tcBorders>
            <w:shd w:val="clear" w:color="auto" w:fill="auto"/>
            <w:noWrap/>
            <w:vAlign w:val="center"/>
            <w:hideMark/>
          </w:tcPr>
          <w:p w14:paraId="17D70D38" w14:textId="6A1E26E9"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28,573 </w:t>
            </w:r>
          </w:p>
        </w:tc>
      </w:tr>
      <w:tr w:rsidR="007D1F76" w:rsidRPr="0034306F" w14:paraId="462BD668"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464110F7"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Swan Hill District Health</w:t>
            </w:r>
          </w:p>
        </w:tc>
        <w:tc>
          <w:tcPr>
            <w:tcW w:w="1261" w:type="dxa"/>
            <w:tcBorders>
              <w:top w:val="nil"/>
              <w:left w:val="nil"/>
              <w:bottom w:val="single" w:sz="4" w:space="0" w:color="auto"/>
              <w:right w:val="single" w:sz="4" w:space="0" w:color="auto"/>
            </w:tcBorders>
            <w:shd w:val="clear" w:color="auto" w:fill="auto"/>
            <w:noWrap/>
            <w:vAlign w:val="center"/>
            <w:hideMark/>
          </w:tcPr>
          <w:p w14:paraId="4934AB19" w14:textId="0A981816"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8,568 </w:t>
            </w:r>
          </w:p>
        </w:tc>
        <w:tc>
          <w:tcPr>
            <w:tcW w:w="1261" w:type="dxa"/>
            <w:tcBorders>
              <w:top w:val="nil"/>
              <w:left w:val="nil"/>
              <w:bottom w:val="single" w:sz="4" w:space="0" w:color="auto"/>
              <w:right w:val="single" w:sz="4" w:space="0" w:color="auto"/>
            </w:tcBorders>
            <w:shd w:val="clear" w:color="auto" w:fill="auto"/>
            <w:noWrap/>
            <w:vAlign w:val="center"/>
            <w:hideMark/>
          </w:tcPr>
          <w:p w14:paraId="0494AFFC" w14:textId="449269BF"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572FF81D" w14:textId="7FCD72C6"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28 </w:t>
            </w:r>
          </w:p>
        </w:tc>
        <w:tc>
          <w:tcPr>
            <w:tcW w:w="1261" w:type="dxa"/>
            <w:tcBorders>
              <w:top w:val="nil"/>
              <w:left w:val="nil"/>
              <w:bottom w:val="single" w:sz="4" w:space="0" w:color="auto"/>
              <w:right w:val="single" w:sz="4" w:space="0" w:color="auto"/>
            </w:tcBorders>
            <w:shd w:val="clear" w:color="auto" w:fill="auto"/>
            <w:noWrap/>
            <w:vAlign w:val="center"/>
            <w:hideMark/>
          </w:tcPr>
          <w:p w14:paraId="664E58C2" w14:textId="3B69C1F3"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8 </w:t>
            </w:r>
          </w:p>
        </w:tc>
        <w:tc>
          <w:tcPr>
            <w:tcW w:w="1261" w:type="dxa"/>
            <w:tcBorders>
              <w:top w:val="nil"/>
              <w:left w:val="nil"/>
              <w:bottom w:val="single" w:sz="4" w:space="0" w:color="auto"/>
              <w:right w:val="single" w:sz="4" w:space="0" w:color="auto"/>
            </w:tcBorders>
            <w:shd w:val="clear" w:color="auto" w:fill="auto"/>
            <w:noWrap/>
            <w:vAlign w:val="center"/>
            <w:hideMark/>
          </w:tcPr>
          <w:p w14:paraId="66AFFDB7" w14:textId="0959D40A"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20 </w:t>
            </w:r>
          </w:p>
        </w:tc>
        <w:tc>
          <w:tcPr>
            <w:tcW w:w="1262" w:type="dxa"/>
            <w:tcBorders>
              <w:top w:val="nil"/>
              <w:left w:val="nil"/>
              <w:bottom w:val="single" w:sz="4" w:space="0" w:color="auto"/>
              <w:right w:val="single" w:sz="4" w:space="0" w:color="auto"/>
            </w:tcBorders>
            <w:shd w:val="clear" w:color="auto" w:fill="auto"/>
            <w:noWrap/>
            <w:vAlign w:val="center"/>
            <w:hideMark/>
          </w:tcPr>
          <w:p w14:paraId="08A53D43" w14:textId="769F75C9"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8,625 </w:t>
            </w:r>
          </w:p>
        </w:tc>
      </w:tr>
      <w:tr w:rsidR="007D1F76" w:rsidRPr="0034306F" w14:paraId="5097B024"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1ACD2DEC"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The Royal Children's Hospital</w:t>
            </w:r>
          </w:p>
        </w:tc>
        <w:tc>
          <w:tcPr>
            <w:tcW w:w="1261" w:type="dxa"/>
            <w:tcBorders>
              <w:top w:val="nil"/>
              <w:left w:val="nil"/>
              <w:bottom w:val="single" w:sz="4" w:space="0" w:color="auto"/>
              <w:right w:val="single" w:sz="4" w:space="0" w:color="auto"/>
            </w:tcBorders>
            <w:shd w:val="clear" w:color="auto" w:fill="auto"/>
            <w:noWrap/>
            <w:vAlign w:val="center"/>
            <w:hideMark/>
          </w:tcPr>
          <w:p w14:paraId="4C677DEA" w14:textId="48D434AF"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98,729 </w:t>
            </w:r>
          </w:p>
        </w:tc>
        <w:tc>
          <w:tcPr>
            <w:tcW w:w="1261" w:type="dxa"/>
            <w:tcBorders>
              <w:top w:val="nil"/>
              <w:left w:val="nil"/>
              <w:bottom w:val="single" w:sz="4" w:space="0" w:color="auto"/>
              <w:right w:val="single" w:sz="4" w:space="0" w:color="auto"/>
            </w:tcBorders>
            <w:shd w:val="clear" w:color="auto" w:fill="auto"/>
            <w:noWrap/>
            <w:vAlign w:val="center"/>
            <w:hideMark/>
          </w:tcPr>
          <w:p w14:paraId="39566947" w14:textId="77777777"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w:t>
            </w:r>
          </w:p>
        </w:tc>
        <w:tc>
          <w:tcPr>
            <w:tcW w:w="1261" w:type="dxa"/>
            <w:tcBorders>
              <w:top w:val="nil"/>
              <w:left w:val="nil"/>
              <w:bottom w:val="single" w:sz="4" w:space="0" w:color="auto"/>
              <w:right w:val="single" w:sz="4" w:space="0" w:color="auto"/>
            </w:tcBorders>
            <w:shd w:val="clear" w:color="auto" w:fill="auto"/>
            <w:noWrap/>
            <w:vAlign w:val="center"/>
            <w:hideMark/>
          </w:tcPr>
          <w:p w14:paraId="43119884" w14:textId="6BA06DE1"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1514E3FC" w14:textId="11AE6B3C"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692 </w:t>
            </w:r>
          </w:p>
        </w:tc>
        <w:tc>
          <w:tcPr>
            <w:tcW w:w="1261" w:type="dxa"/>
            <w:tcBorders>
              <w:top w:val="nil"/>
              <w:left w:val="nil"/>
              <w:bottom w:val="single" w:sz="4" w:space="0" w:color="auto"/>
              <w:right w:val="single" w:sz="4" w:space="0" w:color="auto"/>
            </w:tcBorders>
            <w:shd w:val="clear" w:color="auto" w:fill="auto"/>
            <w:noWrap/>
            <w:vAlign w:val="center"/>
            <w:hideMark/>
          </w:tcPr>
          <w:p w14:paraId="5D7B00D4" w14:textId="740F1466"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14:paraId="52DBAD64" w14:textId="251EF99B"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99,421 </w:t>
            </w:r>
          </w:p>
        </w:tc>
      </w:tr>
      <w:tr w:rsidR="007D1F76" w:rsidRPr="0034306F" w14:paraId="70E6E1D6"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664D349C"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The Royal Women's Hospital</w:t>
            </w:r>
          </w:p>
        </w:tc>
        <w:tc>
          <w:tcPr>
            <w:tcW w:w="1261" w:type="dxa"/>
            <w:tcBorders>
              <w:top w:val="nil"/>
              <w:left w:val="nil"/>
              <w:bottom w:val="single" w:sz="4" w:space="0" w:color="auto"/>
              <w:right w:val="single" w:sz="4" w:space="0" w:color="auto"/>
            </w:tcBorders>
            <w:shd w:val="clear" w:color="auto" w:fill="auto"/>
            <w:noWrap/>
            <w:vAlign w:val="center"/>
            <w:hideMark/>
          </w:tcPr>
          <w:p w14:paraId="3AE83537" w14:textId="6DC5E664"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44,928 </w:t>
            </w:r>
          </w:p>
        </w:tc>
        <w:tc>
          <w:tcPr>
            <w:tcW w:w="1261" w:type="dxa"/>
            <w:tcBorders>
              <w:top w:val="nil"/>
              <w:left w:val="nil"/>
              <w:bottom w:val="single" w:sz="4" w:space="0" w:color="auto"/>
              <w:right w:val="single" w:sz="4" w:space="0" w:color="auto"/>
            </w:tcBorders>
            <w:shd w:val="clear" w:color="auto" w:fill="auto"/>
            <w:noWrap/>
            <w:vAlign w:val="center"/>
            <w:hideMark/>
          </w:tcPr>
          <w:p w14:paraId="794E5213" w14:textId="77777777"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w:t>
            </w:r>
          </w:p>
        </w:tc>
        <w:tc>
          <w:tcPr>
            <w:tcW w:w="1261" w:type="dxa"/>
            <w:tcBorders>
              <w:top w:val="nil"/>
              <w:left w:val="nil"/>
              <w:bottom w:val="single" w:sz="4" w:space="0" w:color="auto"/>
              <w:right w:val="single" w:sz="4" w:space="0" w:color="auto"/>
            </w:tcBorders>
            <w:shd w:val="clear" w:color="auto" w:fill="auto"/>
            <w:noWrap/>
            <w:vAlign w:val="center"/>
            <w:hideMark/>
          </w:tcPr>
          <w:p w14:paraId="4CAF8D9A" w14:textId="5456C36F"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05D8199A" w14:textId="1F945484"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4E5AD574" w14:textId="187B019B"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14:paraId="0DBB98F0" w14:textId="4000A6E2"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44,928 </w:t>
            </w:r>
          </w:p>
        </w:tc>
      </w:tr>
      <w:tr w:rsidR="007D1F76" w:rsidRPr="0034306F" w14:paraId="10AFA1B8"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6472C6DA"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West Gippsland Healthcare Group</w:t>
            </w:r>
          </w:p>
        </w:tc>
        <w:tc>
          <w:tcPr>
            <w:tcW w:w="1261" w:type="dxa"/>
            <w:tcBorders>
              <w:top w:val="nil"/>
              <w:left w:val="nil"/>
              <w:bottom w:val="single" w:sz="4" w:space="0" w:color="auto"/>
              <w:right w:val="single" w:sz="4" w:space="0" w:color="auto"/>
            </w:tcBorders>
            <w:shd w:val="clear" w:color="auto" w:fill="auto"/>
            <w:noWrap/>
            <w:vAlign w:val="center"/>
            <w:hideMark/>
          </w:tcPr>
          <w:p w14:paraId="224379A1" w14:textId="082E0620"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18,431 </w:t>
            </w:r>
          </w:p>
        </w:tc>
        <w:tc>
          <w:tcPr>
            <w:tcW w:w="1261" w:type="dxa"/>
            <w:tcBorders>
              <w:top w:val="nil"/>
              <w:left w:val="nil"/>
              <w:bottom w:val="single" w:sz="4" w:space="0" w:color="auto"/>
              <w:right w:val="single" w:sz="4" w:space="0" w:color="auto"/>
            </w:tcBorders>
            <w:shd w:val="clear" w:color="auto" w:fill="auto"/>
            <w:noWrap/>
            <w:vAlign w:val="center"/>
            <w:hideMark/>
          </w:tcPr>
          <w:p w14:paraId="119DE690" w14:textId="77777777"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w:t>
            </w:r>
          </w:p>
        </w:tc>
        <w:tc>
          <w:tcPr>
            <w:tcW w:w="1261" w:type="dxa"/>
            <w:tcBorders>
              <w:top w:val="nil"/>
              <w:left w:val="nil"/>
              <w:bottom w:val="single" w:sz="4" w:space="0" w:color="auto"/>
              <w:right w:val="single" w:sz="4" w:space="0" w:color="auto"/>
            </w:tcBorders>
            <w:shd w:val="clear" w:color="auto" w:fill="auto"/>
            <w:noWrap/>
            <w:vAlign w:val="center"/>
            <w:hideMark/>
          </w:tcPr>
          <w:p w14:paraId="71A2EA51" w14:textId="63AC8E34"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38 </w:t>
            </w:r>
          </w:p>
        </w:tc>
        <w:tc>
          <w:tcPr>
            <w:tcW w:w="1261" w:type="dxa"/>
            <w:tcBorders>
              <w:top w:val="nil"/>
              <w:left w:val="nil"/>
              <w:bottom w:val="single" w:sz="4" w:space="0" w:color="auto"/>
              <w:right w:val="single" w:sz="4" w:space="0" w:color="auto"/>
            </w:tcBorders>
            <w:shd w:val="clear" w:color="auto" w:fill="auto"/>
            <w:noWrap/>
            <w:vAlign w:val="center"/>
            <w:hideMark/>
          </w:tcPr>
          <w:p w14:paraId="1204149F" w14:textId="34052970"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5 </w:t>
            </w:r>
          </w:p>
        </w:tc>
        <w:tc>
          <w:tcPr>
            <w:tcW w:w="1261" w:type="dxa"/>
            <w:tcBorders>
              <w:top w:val="nil"/>
              <w:left w:val="nil"/>
              <w:bottom w:val="single" w:sz="4" w:space="0" w:color="auto"/>
              <w:right w:val="single" w:sz="4" w:space="0" w:color="auto"/>
            </w:tcBorders>
            <w:shd w:val="clear" w:color="auto" w:fill="auto"/>
            <w:noWrap/>
            <w:vAlign w:val="center"/>
            <w:hideMark/>
          </w:tcPr>
          <w:p w14:paraId="4197E084" w14:textId="41F94CE2"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14:paraId="7A8D101A" w14:textId="4E7C7F34"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18,474 </w:t>
            </w:r>
          </w:p>
        </w:tc>
      </w:tr>
      <w:tr w:rsidR="007D1F76" w:rsidRPr="0034306F" w14:paraId="6FA798ED"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3CDBD574"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Western District Health Service</w:t>
            </w:r>
          </w:p>
        </w:tc>
        <w:tc>
          <w:tcPr>
            <w:tcW w:w="1261" w:type="dxa"/>
            <w:tcBorders>
              <w:top w:val="nil"/>
              <w:left w:val="nil"/>
              <w:bottom w:val="single" w:sz="4" w:space="0" w:color="auto"/>
              <w:right w:val="single" w:sz="4" w:space="0" w:color="auto"/>
            </w:tcBorders>
            <w:shd w:val="clear" w:color="auto" w:fill="auto"/>
            <w:noWrap/>
            <w:vAlign w:val="center"/>
            <w:hideMark/>
          </w:tcPr>
          <w:p w14:paraId="5898932A" w14:textId="40869A90"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8,592 </w:t>
            </w:r>
          </w:p>
        </w:tc>
        <w:tc>
          <w:tcPr>
            <w:tcW w:w="1261" w:type="dxa"/>
            <w:tcBorders>
              <w:top w:val="nil"/>
              <w:left w:val="nil"/>
              <w:bottom w:val="single" w:sz="4" w:space="0" w:color="auto"/>
              <w:right w:val="single" w:sz="4" w:space="0" w:color="auto"/>
            </w:tcBorders>
            <w:shd w:val="clear" w:color="auto" w:fill="auto"/>
            <w:noWrap/>
            <w:vAlign w:val="center"/>
            <w:hideMark/>
          </w:tcPr>
          <w:p w14:paraId="70528BCB" w14:textId="298A50B3"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19 </w:t>
            </w:r>
          </w:p>
        </w:tc>
        <w:tc>
          <w:tcPr>
            <w:tcW w:w="1261" w:type="dxa"/>
            <w:tcBorders>
              <w:top w:val="nil"/>
              <w:left w:val="nil"/>
              <w:bottom w:val="single" w:sz="4" w:space="0" w:color="auto"/>
              <w:right w:val="single" w:sz="4" w:space="0" w:color="auto"/>
            </w:tcBorders>
            <w:shd w:val="clear" w:color="auto" w:fill="auto"/>
            <w:noWrap/>
            <w:vAlign w:val="center"/>
            <w:hideMark/>
          </w:tcPr>
          <w:p w14:paraId="29C9ED46" w14:textId="76390795"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42A05A17" w14:textId="34CDF520"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1CACFF05" w14:textId="330185FA" w:rsidR="0034306F" w:rsidRPr="0034306F" w:rsidRDefault="0034306F" w:rsidP="00336D9E">
            <w:pPr>
              <w:spacing w:after="0" w:line="240" w:lineRule="auto"/>
              <w:rPr>
                <w:rFonts w:cs="Arial"/>
                <w:color w:val="000000"/>
                <w:sz w:val="16"/>
                <w:szCs w:val="16"/>
                <w:lang w:eastAsia="en-AU"/>
              </w:rPr>
            </w:pPr>
            <w:r w:rsidRPr="0034306F">
              <w:rPr>
                <w:rFonts w:cs="Arial"/>
                <w:color w:val="000000"/>
                <w:sz w:val="16"/>
                <w:szCs w:val="16"/>
                <w:lang w:eastAsia="en-AU"/>
              </w:rPr>
              <w:t xml:space="preserve">                 364 </w:t>
            </w:r>
          </w:p>
        </w:tc>
        <w:tc>
          <w:tcPr>
            <w:tcW w:w="1262" w:type="dxa"/>
            <w:tcBorders>
              <w:top w:val="nil"/>
              <w:left w:val="nil"/>
              <w:bottom w:val="single" w:sz="4" w:space="0" w:color="auto"/>
              <w:right w:val="single" w:sz="4" w:space="0" w:color="auto"/>
            </w:tcBorders>
            <w:shd w:val="clear" w:color="auto" w:fill="auto"/>
            <w:noWrap/>
            <w:vAlign w:val="center"/>
            <w:hideMark/>
          </w:tcPr>
          <w:p w14:paraId="33C0346A" w14:textId="52310E99"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8,975 </w:t>
            </w:r>
          </w:p>
        </w:tc>
      </w:tr>
      <w:tr w:rsidR="007D1F76" w:rsidRPr="0034306F" w14:paraId="381F252D"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0BA2B4D0" w14:textId="77777777" w:rsidR="0034306F" w:rsidRPr="0034306F" w:rsidRDefault="0034306F" w:rsidP="0034306F">
            <w:pPr>
              <w:spacing w:after="0" w:line="240" w:lineRule="auto"/>
              <w:rPr>
                <w:rFonts w:cs="Arial"/>
                <w:color w:val="000000"/>
                <w:sz w:val="16"/>
                <w:szCs w:val="16"/>
                <w:lang w:eastAsia="en-AU"/>
              </w:rPr>
            </w:pPr>
            <w:r w:rsidRPr="0034306F">
              <w:rPr>
                <w:rFonts w:cs="Arial"/>
                <w:color w:val="000000"/>
                <w:sz w:val="16"/>
                <w:szCs w:val="16"/>
                <w:lang w:eastAsia="en-AU"/>
              </w:rPr>
              <w:t>Western Health</w:t>
            </w:r>
          </w:p>
        </w:tc>
        <w:tc>
          <w:tcPr>
            <w:tcW w:w="1261" w:type="dxa"/>
            <w:tcBorders>
              <w:top w:val="nil"/>
              <w:left w:val="nil"/>
              <w:bottom w:val="single" w:sz="4" w:space="0" w:color="auto"/>
              <w:right w:val="single" w:sz="4" w:space="0" w:color="auto"/>
            </w:tcBorders>
            <w:shd w:val="clear" w:color="auto" w:fill="auto"/>
            <w:noWrap/>
            <w:vAlign w:val="center"/>
            <w:hideMark/>
          </w:tcPr>
          <w:p w14:paraId="7BFF34A6" w14:textId="3E338B8B"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181,394 </w:t>
            </w:r>
          </w:p>
        </w:tc>
        <w:tc>
          <w:tcPr>
            <w:tcW w:w="1261" w:type="dxa"/>
            <w:tcBorders>
              <w:top w:val="nil"/>
              <w:left w:val="nil"/>
              <w:bottom w:val="single" w:sz="4" w:space="0" w:color="auto"/>
              <w:right w:val="single" w:sz="4" w:space="0" w:color="auto"/>
            </w:tcBorders>
            <w:shd w:val="clear" w:color="auto" w:fill="auto"/>
            <w:noWrap/>
            <w:vAlign w:val="center"/>
            <w:hideMark/>
          </w:tcPr>
          <w:p w14:paraId="0893C124" w14:textId="3CBF33BB"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174 </w:t>
            </w:r>
          </w:p>
        </w:tc>
        <w:tc>
          <w:tcPr>
            <w:tcW w:w="1261" w:type="dxa"/>
            <w:tcBorders>
              <w:top w:val="nil"/>
              <w:left w:val="nil"/>
              <w:bottom w:val="single" w:sz="4" w:space="0" w:color="auto"/>
              <w:right w:val="single" w:sz="4" w:space="0" w:color="auto"/>
            </w:tcBorders>
            <w:shd w:val="clear" w:color="auto" w:fill="auto"/>
            <w:noWrap/>
            <w:vAlign w:val="center"/>
            <w:hideMark/>
          </w:tcPr>
          <w:p w14:paraId="276526DF" w14:textId="7B361066"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163 </w:t>
            </w:r>
          </w:p>
        </w:tc>
        <w:tc>
          <w:tcPr>
            <w:tcW w:w="1261" w:type="dxa"/>
            <w:tcBorders>
              <w:top w:val="nil"/>
              <w:left w:val="nil"/>
              <w:bottom w:val="single" w:sz="4" w:space="0" w:color="auto"/>
              <w:right w:val="single" w:sz="4" w:space="0" w:color="auto"/>
            </w:tcBorders>
            <w:shd w:val="clear" w:color="auto" w:fill="auto"/>
            <w:noWrap/>
            <w:vAlign w:val="center"/>
            <w:hideMark/>
          </w:tcPr>
          <w:p w14:paraId="6E90F39A" w14:textId="6F325A77"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217 </w:t>
            </w:r>
          </w:p>
        </w:tc>
        <w:tc>
          <w:tcPr>
            <w:tcW w:w="1261" w:type="dxa"/>
            <w:tcBorders>
              <w:top w:val="nil"/>
              <w:left w:val="nil"/>
              <w:bottom w:val="single" w:sz="4" w:space="0" w:color="auto"/>
              <w:right w:val="single" w:sz="4" w:space="0" w:color="auto"/>
            </w:tcBorders>
            <w:shd w:val="clear" w:color="auto" w:fill="auto"/>
            <w:noWrap/>
            <w:vAlign w:val="center"/>
            <w:hideMark/>
          </w:tcPr>
          <w:p w14:paraId="49DE5CCC" w14:textId="3E641E4A" w:rsidR="0034306F" w:rsidRPr="0034306F" w:rsidRDefault="0034306F" w:rsidP="0034306F">
            <w:pPr>
              <w:spacing w:after="0" w:line="240" w:lineRule="auto"/>
              <w:jc w:val="right"/>
              <w:rPr>
                <w:rFonts w:cs="Arial"/>
                <w:color w:val="000000"/>
                <w:sz w:val="16"/>
                <w:szCs w:val="16"/>
                <w:lang w:eastAsia="en-AU"/>
              </w:rPr>
            </w:pPr>
            <w:r w:rsidRPr="0034306F">
              <w:rPr>
                <w:rFonts w:cs="Arial"/>
                <w:color w:val="000000"/>
                <w:sz w:val="16"/>
                <w:szCs w:val="16"/>
                <w:lang w:eastAsia="en-AU"/>
              </w:rPr>
              <w:t xml:space="preserve">                173 </w:t>
            </w:r>
          </w:p>
        </w:tc>
        <w:tc>
          <w:tcPr>
            <w:tcW w:w="1262" w:type="dxa"/>
            <w:tcBorders>
              <w:top w:val="nil"/>
              <w:left w:val="nil"/>
              <w:bottom w:val="single" w:sz="4" w:space="0" w:color="auto"/>
              <w:right w:val="single" w:sz="4" w:space="0" w:color="auto"/>
            </w:tcBorders>
            <w:shd w:val="clear" w:color="auto" w:fill="auto"/>
            <w:noWrap/>
            <w:vAlign w:val="center"/>
            <w:hideMark/>
          </w:tcPr>
          <w:p w14:paraId="729ACFB4" w14:textId="5E6337AB"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182,121 </w:t>
            </w:r>
          </w:p>
        </w:tc>
      </w:tr>
      <w:tr w:rsidR="005D3404" w:rsidRPr="0034306F" w14:paraId="78B56047" w14:textId="77777777" w:rsidTr="00336D9E">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1DE201B2" w14:textId="77777777" w:rsidR="0034306F" w:rsidRPr="0034306F" w:rsidRDefault="0034306F" w:rsidP="0034306F">
            <w:pPr>
              <w:spacing w:after="0" w:line="240" w:lineRule="auto"/>
              <w:rPr>
                <w:rFonts w:cs="Arial"/>
                <w:b/>
                <w:bCs/>
                <w:color w:val="000000"/>
                <w:sz w:val="16"/>
                <w:szCs w:val="16"/>
                <w:lang w:eastAsia="en-AU"/>
              </w:rPr>
            </w:pPr>
            <w:r w:rsidRPr="0034306F">
              <w:rPr>
                <w:rFonts w:cs="Arial"/>
                <w:b/>
                <w:bCs/>
                <w:color w:val="000000"/>
                <w:sz w:val="16"/>
                <w:szCs w:val="16"/>
                <w:lang w:eastAsia="en-AU"/>
              </w:rPr>
              <w:t xml:space="preserve"> Total </w:t>
            </w:r>
          </w:p>
        </w:tc>
        <w:tc>
          <w:tcPr>
            <w:tcW w:w="1261" w:type="dxa"/>
            <w:tcBorders>
              <w:top w:val="nil"/>
              <w:left w:val="nil"/>
              <w:bottom w:val="single" w:sz="4" w:space="0" w:color="auto"/>
              <w:right w:val="single" w:sz="4" w:space="0" w:color="auto"/>
            </w:tcBorders>
            <w:shd w:val="clear" w:color="auto" w:fill="auto"/>
            <w:noWrap/>
            <w:vAlign w:val="center"/>
            <w:hideMark/>
          </w:tcPr>
          <w:p w14:paraId="0267D50C" w14:textId="2268BB12"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2,367,282 </w:t>
            </w:r>
          </w:p>
        </w:tc>
        <w:tc>
          <w:tcPr>
            <w:tcW w:w="1261" w:type="dxa"/>
            <w:tcBorders>
              <w:top w:val="nil"/>
              <w:left w:val="nil"/>
              <w:bottom w:val="single" w:sz="4" w:space="0" w:color="auto"/>
              <w:right w:val="single" w:sz="4" w:space="0" w:color="auto"/>
            </w:tcBorders>
            <w:shd w:val="clear" w:color="auto" w:fill="auto"/>
            <w:noWrap/>
            <w:vAlign w:val="center"/>
            <w:hideMark/>
          </w:tcPr>
          <w:p w14:paraId="6464D67E" w14:textId="67151A0E"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1,197 </w:t>
            </w:r>
          </w:p>
        </w:tc>
        <w:tc>
          <w:tcPr>
            <w:tcW w:w="1261" w:type="dxa"/>
            <w:tcBorders>
              <w:top w:val="nil"/>
              <w:left w:val="nil"/>
              <w:bottom w:val="single" w:sz="4" w:space="0" w:color="auto"/>
              <w:right w:val="single" w:sz="4" w:space="0" w:color="auto"/>
            </w:tcBorders>
            <w:shd w:val="clear" w:color="auto" w:fill="auto"/>
            <w:noWrap/>
            <w:vAlign w:val="center"/>
            <w:hideMark/>
          </w:tcPr>
          <w:p w14:paraId="0B859544" w14:textId="17BB7163"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5,228 </w:t>
            </w:r>
          </w:p>
        </w:tc>
        <w:tc>
          <w:tcPr>
            <w:tcW w:w="1261" w:type="dxa"/>
            <w:tcBorders>
              <w:top w:val="nil"/>
              <w:left w:val="nil"/>
              <w:bottom w:val="single" w:sz="4" w:space="0" w:color="auto"/>
              <w:right w:val="single" w:sz="4" w:space="0" w:color="auto"/>
            </w:tcBorders>
            <w:shd w:val="clear" w:color="auto" w:fill="auto"/>
            <w:noWrap/>
            <w:vAlign w:val="center"/>
            <w:hideMark/>
          </w:tcPr>
          <w:p w14:paraId="1EBC14FE" w14:textId="40C47125" w:rsidR="0034306F" w:rsidRPr="0034306F" w:rsidRDefault="0034306F" w:rsidP="0034306F">
            <w:pPr>
              <w:spacing w:after="0" w:line="240" w:lineRule="auto"/>
              <w:jc w:val="right"/>
              <w:rPr>
                <w:rFonts w:cs="Arial"/>
                <w:b/>
                <w:bCs/>
                <w:color w:val="000000"/>
                <w:sz w:val="16"/>
                <w:szCs w:val="16"/>
                <w:lang w:eastAsia="en-AU"/>
              </w:rPr>
            </w:pPr>
            <w:r w:rsidRPr="0034306F">
              <w:rPr>
                <w:rFonts w:cs="Arial"/>
                <w:b/>
                <w:bCs/>
                <w:color w:val="000000"/>
                <w:sz w:val="16"/>
                <w:szCs w:val="16"/>
                <w:lang w:eastAsia="en-AU"/>
              </w:rPr>
              <w:t xml:space="preserve">          16,692 </w:t>
            </w:r>
          </w:p>
        </w:tc>
        <w:tc>
          <w:tcPr>
            <w:tcW w:w="1261" w:type="dxa"/>
            <w:tcBorders>
              <w:top w:val="nil"/>
              <w:left w:val="nil"/>
              <w:bottom w:val="single" w:sz="4" w:space="0" w:color="auto"/>
              <w:right w:val="single" w:sz="4" w:space="0" w:color="auto"/>
            </w:tcBorders>
            <w:shd w:val="clear" w:color="auto" w:fill="auto"/>
            <w:noWrap/>
            <w:vAlign w:val="center"/>
            <w:hideMark/>
          </w:tcPr>
          <w:p w14:paraId="307E0C19" w14:textId="7739FD2A" w:rsidR="0034306F" w:rsidRPr="00316055" w:rsidRDefault="0034306F" w:rsidP="0034306F">
            <w:pPr>
              <w:spacing w:after="0" w:line="240" w:lineRule="auto"/>
              <w:jc w:val="right"/>
              <w:rPr>
                <w:rFonts w:cs="Arial"/>
                <w:b/>
                <w:bCs/>
                <w:color w:val="000000"/>
                <w:sz w:val="16"/>
                <w:szCs w:val="16"/>
                <w:lang w:eastAsia="en-AU"/>
              </w:rPr>
            </w:pPr>
            <w:r w:rsidRPr="00316055">
              <w:rPr>
                <w:rFonts w:cs="Arial"/>
                <w:b/>
                <w:bCs/>
                <w:color w:val="000000"/>
                <w:sz w:val="16"/>
                <w:szCs w:val="16"/>
                <w:lang w:eastAsia="en-AU"/>
              </w:rPr>
              <w:t xml:space="preserve">            3,651 </w:t>
            </w:r>
          </w:p>
        </w:tc>
        <w:tc>
          <w:tcPr>
            <w:tcW w:w="1262" w:type="dxa"/>
            <w:tcBorders>
              <w:top w:val="nil"/>
              <w:left w:val="nil"/>
              <w:bottom w:val="single" w:sz="4" w:space="0" w:color="auto"/>
              <w:right w:val="single" w:sz="4" w:space="0" w:color="auto"/>
            </w:tcBorders>
            <w:shd w:val="clear" w:color="auto" w:fill="auto"/>
            <w:noWrap/>
            <w:vAlign w:val="center"/>
            <w:hideMark/>
          </w:tcPr>
          <w:p w14:paraId="46B5661B" w14:textId="2EC131B9" w:rsidR="005D3404" w:rsidRPr="005D3404" w:rsidRDefault="0034306F" w:rsidP="005D3404">
            <w:pPr>
              <w:spacing w:after="0" w:line="240" w:lineRule="auto"/>
              <w:jc w:val="right"/>
              <w:rPr>
                <w:rFonts w:cs="Arial"/>
                <w:b/>
                <w:bCs/>
                <w:color w:val="000000" w:themeColor="text1"/>
                <w:sz w:val="16"/>
                <w:szCs w:val="16"/>
                <w:lang w:eastAsia="en-AU"/>
              </w:rPr>
            </w:pPr>
            <w:r w:rsidRPr="0034306F">
              <w:rPr>
                <w:rFonts w:cs="Arial"/>
                <w:b/>
                <w:bCs/>
                <w:color w:val="000000" w:themeColor="text1"/>
                <w:sz w:val="16"/>
                <w:szCs w:val="16"/>
                <w:lang w:eastAsia="en-AU"/>
              </w:rPr>
              <w:t xml:space="preserve">     </w:t>
            </w:r>
            <w:r w:rsidR="005D3404" w:rsidRPr="005D3404">
              <w:rPr>
                <w:rFonts w:cs="Arial"/>
                <w:b/>
                <w:bCs/>
                <w:color w:val="000000" w:themeColor="text1"/>
                <w:sz w:val="16"/>
                <w:szCs w:val="16"/>
              </w:rPr>
              <w:t>2,394,050</w:t>
            </w:r>
          </w:p>
          <w:p w14:paraId="6EA2DAEB" w14:textId="6AAF6687" w:rsidR="0034306F" w:rsidRPr="0034306F" w:rsidRDefault="0034306F" w:rsidP="0034306F">
            <w:pPr>
              <w:spacing w:after="0" w:line="240" w:lineRule="auto"/>
              <w:jc w:val="right"/>
              <w:rPr>
                <w:rFonts w:cs="Arial"/>
                <w:b/>
                <w:bCs/>
                <w:color w:val="000000" w:themeColor="text1"/>
                <w:sz w:val="16"/>
                <w:szCs w:val="16"/>
                <w:lang w:eastAsia="en-AU"/>
              </w:rPr>
            </w:pPr>
          </w:p>
        </w:tc>
      </w:tr>
    </w:tbl>
    <w:p w14:paraId="7A9030C8" w14:textId="08AC5921" w:rsidR="00D55128" w:rsidRDefault="00D55128" w:rsidP="00D55128">
      <w:pPr>
        <w:pStyle w:val="Body"/>
      </w:pPr>
    </w:p>
    <w:p w14:paraId="34BBBAFD" w14:textId="77777777" w:rsidR="00941063" w:rsidRPr="001A247B" w:rsidRDefault="00941063" w:rsidP="001A247B">
      <w:pPr>
        <w:pStyle w:val="Body"/>
      </w:pPr>
    </w:p>
    <w:p w14:paraId="56CFB23D" w14:textId="1B38D31A" w:rsidR="002A1965" w:rsidRDefault="0F29C9BC" w:rsidP="00081936">
      <w:pPr>
        <w:pStyle w:val="Heading3"/>
        <w:numPr>
          <w:ilvl w:val="2"/>
          <w:numId w:val="33"/>
        </w:numPr>
        <w:spacing w:before="240" w:after="0" w:line="240" w:lineRule="auto"/>
        <w:ind w:left="1134"/>
      </w:pPr>
      <w:bookmarkStart w:id="1123" w:name="_Ref143084241"/>
      <w:bookmarkStart w:id="1124" w:name="_Toc156569700"/>
      <w:r>
        <w:t xml:space="preserve">Indicative </w:t>
      </w:r>
      <w:r w:rsidR="00281C85">
        <w:t xml:space="preserve">HAC base </w:t>
      </w:r>
      <w:r w:rsidR="78066B7B">
        <w:t xml:space="preserve">NWAU </w:t>
      </w:r>
      <w:r w:rsidR="00281C85">
        <w:t>a</w:t>
      </w:r>
      <w:r>
        <w:t xml:space="preserve">djustment 2022–23 for the purpose of </w:t>
      </w:r>
      <w:r w:rsidR="31AB118A">
        <w:t xml:space="preserve">calculating annual </w:t>
      </w:r>
      <w:r>
        <w:t xml:space="preserve">growth </w:t>
      </w:r>
      <w:r w:rsidR="0743D3C7">
        <w:t>in 2023</w:t>
      </w:r>
      <w:r w:rsidR="00281C85">
        <w:t>–</w:t>
      </w:r>
      <w:r w:rsidR="0743D3C7">
        <w:t>24</w:t>
      </w:r>
      <w:bookmarkEnd w:id="1123"/>
      <w:bookmarkEnd w:id="1124"/>
    </w:p>
    <w:p w14:paraId="3181BAEF" w14:textId="35FFDB0B" w:rsidR="00D55128" w:rsidRPr="00D55128" w:rsidRDefault="00FE5516" w:rsidP="00285665">
      <w:pPr>
        <w:pStyle w:val="Tablecaption"/>
      </w:pPr>
      <w:bookmarkStart w:id="1125" w:name="_Ref143084332"/>
      <w:bookmarkStart w:id="1126" w:name="_Toc156568688"/>
      <w:r w:rsidRPr="000C3C4F">
        <w:t xml:space="preserve">Table </w:t>
      </w:r>
      <w:r w:rsidRPr="000C3C4F">
        <w:fldChar w:fldCharType="begin"/>
      </w:r>
      <w:r w:rsidRPr="000C3C4F">
        <w:instrText>STYLEREF 1 \s</w:instrText>
      </w:r>
      <w:r w:rsidRPr="000C3C4F">
        <w:fldChar w:fldCharType="separate"/>
      </w:r>
      <w:r w:rsidR="00892F13" w:rsidRPr="000C3C4F">
        <w:rPr>
          <w:noProof/>
        </w:rPr>
        <w:t>2</w:t>
      </w:r>
      <w:r w:rsidRPr="000C3C4F">
        <w:fldChar w:fldCharType="end"/>
      </w:r>
      <w:r w:rsidR="00742C12" w:rsidRPr="000C3C4F">
        <w:t>.</w:t>
      </w:r>
      <w:r w:rsidRPr="000C3C4F">
        <w:fldChar w:fldCharType="begin"/>
      </w:r>
      <w:r w:rsidRPr="000C3C4F">
        <w:instrText>SEQ Table \* ARABIC \s 1</w:instrText>
      </w:r>
      <w:r w:rsidRPr="000C3C4F">
        <w:fldChar w:fldCharType="separate"/>
      </w:r>
      <w:r w:rsidR="00892F13" w:rsidRPr="000C3C4F">
        <w:rPr>
          <w:noProof/>
        </w:rPr>
        <w:t>11</w:t>
      </w:r>
      <w:r w:rsidRPr="000C3C4F">
        <w:fldChar w:fldCharType="end"/>
      </w:r>
      <w:bookmarkEnd w:id="1125"/>
      <w:r w:rsidRPr="000C3C4F">
        <w:t xml:space="preserve">: </w:t>
      </w:r>
      <w:r w:rsidR="00281C85" w:rsidRPr="000C3C4F">
        <w:t xml:space="preserve">Indicative </w:t>
      </w:r>
      <w:r w:rsidRPr="000C3C4F">
        <w:t xml:space="preserve">level of the HAC NWAU adjustment in </w:t>
      </w:r>
      <w:r w:rsidR="00281C85" w:rsidRPr="000C3C4F">
        <w:t>2023–24</w:t>
      </w:r>
      <w:bookmarkEnd w:id="1126"/>
    </w:p>
    <w:tbl>
      <w:tblPr>
        <w:tblStyle w:val="TableGrid"/>
        <w:tblW w:w="0" w:type="auto"/>
        <w:tblInd w:w="-5" w:type="dxa"/>
        <w:tblLayout w:type="fixed"/>
        <w:tblLook w:val="06A0" w:firstRow="1" w:lastRow="0" w:firstColumn="1" w:lastColumn="0" w:noHBand="1" w:noVBand="1"/>
      </w:tblPr>
      <w:tblGrid>
        <w:gridCol w:w="3350"/>
        <w:gridCol w:w="2775"/>
        <w:gridCol w:w="2522"/>
      </w:tblGrid>
      <w:tr w:rsidR="00281C85" w:rsidRPr="00281C85" w14:paraId="72908DB9" w14:textId="77777777" w:rsidTr="00685B35">
        <w:trPr>
          <w:trHeight w:val="705"/>
          <w:tblHeader/>
        </w:trPr>
        <w:tc>
          <w:tcPr>
            <w:tcW w:w="3350" w:type="dxa"/>
            <w:shd w:val="clear" w:color="auto" w:fill="auto"/>
            <w:tcMar>
              <w:top w:w="15" w:type="dxa"/>
              <w:left w:w="15" w:type="dxa"/>
              <w:right w:w="15" w:type="dxa"/>
            </w:tcMar>
          </w:tcPr>
          <w:p w14:paraId="3B3B93AF" w14:textId="57D48090" w:rsidR="68F9D2E4" w:rsidRPr="00685B35" w:rsidRDefault="68F9D2E4" w:rsidP="00685B35">
            <w:pPr>
              <w:pStyle w:val="Tablecolheadlandscape"/>
              <w:rPr>
                <w:b w:val="0"/>
              </w:rPr>
            </w:pPr>
            <w:r w:rsidRPr="00685B35">
              <w:t>Health service</w:t>
            </w:r>
          </w:p>
        </w:tc>
        <w:tc>
          <w:tcPr>
            <w:tcW w:w="2775" w:type="dxa"/>
            <w:shd w:val="clear" w:color="auto" w:fill="auto"/>
            <w:tcMar>
              <w:top w:w="15" w:type="dxa"/>
              <w:left w:w="15" w:type="dxa"/>
              <w:right w:w="15" w:type="dxa"/>
            </w:tcMar>
          </w:tcPr>
          <w:p w14:paraId="15157227" w14:textId="4505631D" w:rsidR="68F9D2E4" w:rsidRPr="00685B35" w:rsidRDefault="68F9D2E4" w:rsidP="00685B35">
            <w:pPr>
              <w:pStyle w:val="Tablecolheadlandscape"/>
              <w:jc w:val="right"/>
              <w:rPr>
                <w:b w:val="0"/>
              </w:rPr>
            </w:pPr>
            <w:r w:rsidRPr="00685B35">
              <w:t>2022</w:t>
            </w:r>
            <w:r w:rsidR="00281C85">
              <w:t>–</w:t>
            </w:r>
            <w:r w:rsidRPr="00685B35">
              <w:t xml:space="preserve">23 HAC </w:t>
            </w:r>
            <w:r w:rsidR="00281C85">
              <w:t xml:space="preserve">NWAU </w:t>
            </w:r>
            <w:r w:rsidRPr="00685B35">
              <w:t>adjustment (indicative forecast)</w:t>
            </w:r>
          </w:p>
        </w:tc>
        <w:tc>
          <w:tcPr>
            <w:tcW w:w="2522" w:type="dxa"/>
            <w:shd w:val="clear" w:color="auto" w:fill="auto"/>
            <w:tcMar>
              <w:top w:w="15" w:type="dxa"/>
              <w:left w:w="15" w:type="dxa"/>
              <w:right w:w="15" w:type="dxa"/>
            </w:tcMar>
          </w:tcPr>
          <w:p w14:paraId="32DD6A00" w14:textId="02171F03" w:rsidR="68F9D2E4" w:rsidRPr="00685B35" w:rsidRDefault="00281C85" w:rsidP="00685B35">
            <w:pPr>
              <w:pStyle w:val="Tablecolheadlandscape"/>
              <w:jc w:val="right"/>
              <w:rPr>
                <w:b w:val="0"/>
              </w:rPr>
            </w:pPr>
            <w:r w:rsidRPr="00685B35">
              <w:t>202</w:t>
            </w:r>
            <w:r>
              <w:t>3–</w:t>
            </w:r>
            <w:r w:rsidRPr="00685B35">
              <w:t>2</w:t>
            </w:r>
            <w:r>
              <w:t>4</w:t>
            </w:r>
            <w:r w:rsidRPr="00685B35">
              <w:t xml:space="preserve"> </w:t>
            </w:r>
            <w:r>
              <w:t>HAC NWAU</w:t>
            </w:r>
            <w:r w:rsidR="68F9D2E4" w:rsidRPr="00685B35">
              <w:t xml:space="preserve"> adjustment (indicative forecast)</w:t>
            </w:r>
          </w:p>
        </w:tc>
      </w:tr>
      <w:tr w:rsidR="00281C85" w:rsidRPr="00281C85" w14:paraId="5075ED37" w14:textId="77777777" w:rsidTr="00685B35">
        <w:trPr>
          <w:trHeight w:val="300"/>
        </w:trPr>
        <w:tc>
          <w:tcPr>
            <w:tcW w:w="3350" w:type="dxa"/>
            <w:shd w:val="clear" w:color="auto" w:fill="auto"/>
            <w:tcMar>
              <w:top w:w="15" w:type="dxa"/>
              <w:left w:w="15" w:type="dxa"/>
              <w:right w:w="15" w:type="dxa"/>
            </w:tcMar>
          </w:tcPr>
          <w:p w14:paraId="131CF621" w14:textId="19C1714D" w:rsidR="68F9D2E4" w:rsidRPr="00285665" w:rsidRDefault="68F9D2E4" w:rsidP="003B018F">
            <w:pPr>
              <w:pStyle w:val="Tabletext8pt"/>
              <w:rPr>
                <w:color w:val="000000" w:themeColor="text1"/>
                <w:sz w:val="16"/>
                <w:lang w:eastAsia="en-AU"/>
              </w:rPr>
            </w:pPr>
            <w:r w:rsidRPr="00285665">
              <w:rPr>
                <w:color w:val="000000" w:themeColor="text1"/>
                <w:sz w:val="16"/>
                <w:lang w:eastAsia="en-AU"/>
              </w:rPr>
              <w:t>Albury Wodonga Health</w:t>
            </w:r>
          </w:p>
        </w:tc>
        <w:tc>
          <w:tcPr>
            <w:tcW w:w="2775" w:type="dxa"/>
            <w:shd w:val="clear" w:color="auto" w:fill="auto"/>
            <w:tcMar>
              <w:top w:w="15" w:type="dxa"/>
              <w:left w:w="15" w:type="dxa"/>
              <w:right w:w="15" w:type="dxa"/>
            </w:tcMar>
          </w:tcPr>
          <w:p w14:paraId="3B25D809" w14:textId="4A905E11" w:rsidR="68F9D2E4" w:rsidRPr="00285665" w:rsidRDefault="68F9D2E4" w:rsidP="00685B35">
            <w:pPr>
              <w:pStyle w:val="Tabletext8pt"/>
              <w:jc w:val="right"/>
              <w:rPr>
                <w:color w:val="000000" w:themeColor="text1"/>
                <w:sz w:val="16"/>
                <w:lang w:eastAsia="en-AU"/>
              </w:rPr>
            </w:pPr>
            <w:r w:rsidRPr="00285665">
              <w:rPr>
                <w:color w:val="000000" w:themeColor="text1"/>
                <w:sz w:val="16"/>
                <w:lang w:eastAsia="en-AU"/>
              </w:rPr>
              <w:t>24.6</w:t>
            </w:r>
          </w:p>
        </w:tc>
        <w:tc>
          <w:tcPr>
            <w:tcW w:w="2522" w:type="dxa"/>
            <w:shd w:val="clear" w:color="auto" w:fill="auto"/>
            <w:tcMar>
              <w:top w:w="15" w:type="dxa"/>
              <w:left w:w="15" w:type="dxa"/>
              <w:right w:w="15" w:type="dxa"/>
            </w:tcMar>
          </w:tcPr>
          <w:p w14:paraId="1080C598" w14:textId="25652B01" w:rsidR="68F9D2E4" w:rsidRPr="00285665" w:rsidRDefault="68F9D2E4" w:rsidP="00685B35">
            <w:pPr>
              <w:pStyle w:val="Tabletext8pt"/>
              <w:jc w:val="right"/>
              <w:rPr>
                <w:color w:val="000000" w:themeColor="text1"/>
                <w:sz w:val="16"/>
                <w:lang w:eastAsia="en-AU"/>
              </w:rPr>
            </w:pPr>
            <w:r w:rsidRPr="00285665">
              <w:rPr>
                <w:color w:val="000000" w:themeColor="text1"/>
                <w:sz w:val="16"/>
                <w:lang w:eastAsia="en-AU"/>
              </w:rPr>
              <w:t>27.1</w:t>
            </w:r>
          </w:p>
        </w:tc>
      </w:tr>
      <w:tr w:rsidR="00281C85" w:rsidRPr="00281C85" w14:paraId="1A5C6B72" w14:textId="77777777" w:rsidTr="00685B35">
        <w:trPr>
          <w:trHeight w:val="300"/>
        </w:trPr>
        <w:tc>
          <w:tcPr>
            <w:tcW w:w="3350" w:type="dxa"/>
            <w:shd w:val="clear" w:color="auto" w:fill="auto"/>
            <w:tcMar>
              <w:top w:w="15" w:type="dxa"/>
              <w:left w:w="15" w:type="dxa"/>
              <w:right w:w="15" w:type="dxa"/>
            </w:tcMar>
          </w:tcPr>
          <w:p w14:paraId="60572338" w14:textId="7F78745E" w:rsidR="68F9D2E4" w:rsidRPr="00285665" w:rsidRDefault="68F9D2E4" w:rsidP="003B018F">
            <w:pPr>
              <w:pStyle w:val="Tabletext8pt"/>
              <w:rPr>
                <w:color w:val="000000" w:themeColor="text1"/>
                <w:sz w:val="16"/>
                <w:lang w:eastAsia="en-AU"/>
              </w:rPr>
            </w:pPr>
            <w:r w:rsidRPr="00285665">
              <w:rPr>
                <w:color w:val="000000" w:themeColor="text1"/>
                <w:sz w:val="16"/>
                <w:lang w:eastAsia="en-AU"/>
              </w:rPr>
              <w:t>Alfred Health</w:t>
            </w:r>
          </w:p>
        </w:tc>
        <w:tc>
          <w:tcPr>
            <w:tcW w:w="2775" w:type="dxa"/>
            <w:shd w:val="clear" w:color="auto" w:fill="auto"/>
            <w:tcMar>
              <w:top w:w="15" w:type="dxa"/>
              <w:left w:w="15" w:type="dxa"/>
              <w:right w:w="15" w:type="dxa"/>
            </w:tcMar>
          </w:tcPr>
          <w:p w14:paraId="1C89CC82" w14:textId="7F5FFCE5" w:rsidR="68F9D2E4" w:rsidRPr="00285665" w:rsidRDefault="68F9D2E4" w:rsidP="00685B35">
            <w:pPr>
              <w:pStyle w:val="Tabletext8pt"/>
              <w:jc w:val="right"/>
              <w:rPr>
                <w:color w:val="000000" w:themeColor="text1"/>
                <w:sz w:val="16"/>
                <w:lang w:eastAsia="en-AU"/>
              </w:rPr>
            </w:pPr>
            <w:r w:rsidRPr="00285665">
              <w:rPr>
                <w:color w:val="000000" w:themeColor="text1"/>
                <w:sz w:val="16"/>
                <w:lang w:eastAsia="en-AU"/>
              </w:rPr>
              <w:t>1,707.7</w:t>
            </w:r>
          </w:p>
        </w:tc>
        <w:tc>
          <w:tcPr>
            <w:tcW w:w="2522" w:type="dxa"/>
            <w:shd w:val="clear" w:color="auto" w:fill="auto"/>
            <w:tcMar>
              <w:top w:w="15" w:type="dxa"/>
              <w:left w:w="15" w:type="dxa"/>
              <w:right w:w="15" w:type="dxa"/>
            </w:tcMar>
          </w:tcPr>
          <w:p w14:paraId="398E6A1B" w14:textId="34D0B24F" w:rsidR="68F9D2E4" w:rsidRPr="00285665" w:rsidRDefault="68F9D2E4" w:rsidP="00685B35">
            <w:pPr>
              <w:pStyle w:val="Tabletext8pt"/>
              <w:jc w:val="right"/>
              <w:rPr>
                <w:color w:val="000000" w:themeColor="text1"/>
                <w:sz w:val="16"/>
                <w:lang w:eastAsia="en-AU"/>
              </w:rPr>
            </w:pPr>
            <w:r w:rsidRPr="00285665">
              <w:rPr>
                <w:color w:val="000000" w:themeColor="text1"/>
                <w:sz w:val="16"/>
                <w:lang w:eastAsia="en-AU"/>
              </w:rPr>
              <w:t>1,852.4</w:t>
            </w:r>
          </w:p>
        </w:tc>
      </w:tr>
      <w:tr w:rsidR="00281C85" w:rsidRPr="00281C85" w14:paraId="0BE1C584" w14:textId="77777777" w:rsidTr="00685B35">
        <w:trPr>
          <w:trHeight w:val="300"/>
        </w:trPr>
        <w:tc>
          <w:tcPr>
            <w:tcW w:w="3350" w:type="dxa"/>
            <w:shd w:val="clear" w:color="auto" w:fill="auto"/>
            <w:tcMar>
              <w:top w:w="15" w:type="dxa"/>
              <w:left w:w="15" w:type="dxa"/>
              <w:right w:w="15" w:type="dxa"/>
            </w:tcMar>
          </w:tcPr>
          <w:p w14:paraId="53D38225" w14:textId="00D3DE3D" w:rsidR="68F9D2E4" w:rsidRPr="00285665" w:rsidRDefault="68F9D2E4" w:rsidP="003B018F">
            <w:pPr>
              <w:pStyle w:val="Tabletext8pt"/>
              <w:rPr>
                <w:color w:val="000000" w:themeColor="text1"/>
                <w:sz w:val="16"/>
                <w:lang w:eastAsia="en-AU"/>
              </w:rPr>
            </w:pPr>
            <w:r w:rsidRPr="00285665">
              <w:rPr>
                <w:color w:val="000000" w:themeColor="text1"/>
                <w:sz w:val="16"/>
                <w:lang w:eastAsia="en-AU"/>
              </w:rPr>
              <w:t>Austin Health</w:t>
            </w:r>
          </w:p>
        </w:tc>
        <w:tc>
          <w:tcPr>
            <w:tcW w:w="2775" w:type="dxa"/>
            <w:shd w:val="clear" w:color="auto" w:fill="auto"/>
            <w:tcMar>
              <w:top w:w="15" w:type="dxa"/>
              <w:left w:w="15" w:type="dxa"/>
              <w:right w:w="15" w:type="dxa"/>
            </w:tcMar>
          </w:tcPr>
          <w:p w14:paraId="3EC1179D" w14:textId="4A21C590" w:rsidR="68F9D2E4" w:rsidRPr="00285665" w:rsidRDefault="68F9D2E4" w:rsidP="00685B35">
            <w:pPr>
              <w:pStyle w:val="Tabletext8pt"/>
              <w:jc w:val="right"/>
              <w:rPr>
                <w:color w:val="000000" w:themeColor="text1"/>
                <w:sz w:val="16"/>
                <w:lang w:eastAsia="en-AU"/>
              </w:rPr>
            </w:pPr>
            <w:r w:rsidRPr="00285665">
              <w:rPr>
                <w:color w:val="000000" w:themeColor="text1"/>
                <w:sz w:val="16"/>
                <w:lang w:eastAsia="en-AU"/>
              </w:rPr>
              <w:t>1,164.7</w:t>
            </w:r>
          </w:p>
        </w:tc>
        <w:tc>
          <w:tcPr>
            <w:tcW w:w="2522" w:type="dxa"/>
            <w:shd w:val="clear" w:color="auto" w:fill="auto"/>
            <w:tcMar>
              <w:top w:w="15" w:type="dxa"/>
              <w:left w:w="15" w:type="dxa"/>
              <w:right w:w="15" w:type="dxa"/>
            </w:tcMar>
          </w:tcPr>
          <w:p w14:paraId="228A8BD1" w14:textId="7E4F83CF" w:rsidR="68F9D2E4" w:rsidRPr="00285665" w:rsidRDefault="68F9D2E4" w:rsidP="00685B35">
            <w:pPr>
              <w:pStyle w:val="Tabletext8pt"/>
              <w:jc w:val="right"/>
              <w:rPr>
                <w:color w:val="000000" w:themeColor="text1"/>
                <w:sz w:val="16"/>
                <w:lang w:eastAsia="en-AU"/>
              </w:rPr>
            </w:pPr>
            <w:r w:rsidRPr="00285665">
              <w:rPr>
                <w:color w:val="000000" w:themeColor="text1"/>
                <w:sz w:val="16"/>
                <w:lang w:eastAsia="en-AU"/>
              </w:rPr>
              <w:t>1,295.9</w:t>
            </w:r>
          </w:p>
        </w:tc>
      </w:tr>
      <w:tr w:rsidR="00281C85" w:rsidRPr="00281C85" w14:paraId="20CCE963" w14:textId="77777777" w:rsidTr="00685B35">
        <w:trPr>
          <w:trHeight w:val="300"/>
        </w:trPr>
        <w:tc>
          <w:tcPr>
            <w:tcW w:w="3350" w:type="dxa"/>
            <w:shd w:val="clear" w:color="auto" w:fill="auto"/>
            <w:tcMar>
              <w:top w:w="15" w:type="dxa"/>
              <w:left w:w="15" w:type="dxa"/>
              <w:right w:w="15" w:type="dxa"/>
            </w:tcMar>
          </w:tcPr>
          <w:p w14:paraId="3046F4B0" w14:textId="1CB5A3AE" w:rsidR="68F9D2E4" w:rsidRPr="00285665" w:rsidRDefault="68F9D2E4" w:rsidP="003B018F">
            <w:pPr>
              <w:pStyle w:val="Tabletext8pt"/>
              <w:rPr>
                <w:color w:val="000000" w:themeColor="text1"/>
                <w:sz w:val="16"/>
                <w:lang w:eastAsia="en-AU"/>
              </w:rPr>
            </w:pPr>
            <w:r w:rsidRPr="00285665">
              <w:rPr>
                <w:color w:val="000000" w:themeColor="text1"/>
                <w:sz w:val="16"/>
                <w:lang w:eastAsia="en-AU"/>
              </w:rPr>
              <w:t>Bairnsdale Regional Health Service</w:t>
            </w:r>
          </w:p>
        </w:tc>
        <w:tc>
          <w:tcPr>
            <w:tcW w:w="2775" w:type="dxa"/>
            <w:shd w:val="clear" w:color="auto" w:fill="auto"/>
            <w:tcMar>
              <w:top w:w="15" w:type="dxa"/>
              <w:left w:w="15" w:type="dxa"/>
              <w:right w:w="15" w:type="dxa"/>
            </w:tcMar>
          </w:tcPr>
          <w:p w14:paraId="11B714BE" w14:textId="40DCBB30" w:rsidR="68F9D2E4" w:rsidRPr="00285665" w:rsidRDefault="68F9D2E4" w:rsidP="00685B35">
            <w:pPr>
              <w:pStyle w:val="Tabletext8pt"/>
              <w:jc w:val="right"/>
              <w:rPr>
                <w:color w:val="000000" w:themeColor="text1"/>
                <w:sz w:val="16"/>
                <w:lang w:eastAsia="en-AU"/>
              </w:rPr>
            </w:pPr>
            <w:r w:rsidRPr="00285665">
              <w:rPr>
                <w:color w:val="000000" w:themeColor="text1"/>
                <w:sz w:val="16"/>
                <w:lang w:eastAsia="en-AU"/>
              </w:rPr>
              <w:t>37.7</w:t>
            </w:r>
          </w:p>
        </w:tc>
        <w:tc>
          <w:tcPr>
            <w:tcW w:w="2522" w:type="dxa"/>
            <w:shd w:val="clear" w:color="auto" w:fill="auto"/>
            <w:tcMar>
              <w:top w:w="15" w:type="dxa"/>
              <w:left w:w="15" w:type="dxa"/>
              <w:right w:w="15" w:type="dxa"/>
            </w:tcMar>
          </w:tcPr>
          <w:p w14:paraId="5A279E16" w14:textId="39A05872" w:rsidR="68F9D2E4" w:rsidRPr="00285665" w:rsidRDefault="68F9D2E4" w:rsidP="00685B35">
            <w:pPr>
              <w:pStyle w:val="Tabletext8pt"/>
              <w:jc w:val="right"/>
              <w:rPr>
                <w:color w:val="000000" w:themeColor="text1"/>
                <w:sz w:val="16"/>
                <w:lang w:eastAsia="en-AU"/>
              </w:rPr>
            </w:pPr>
            <w:r w:rsidRPr="00285665">
              <w:rPr>
                <w:color w:val="000000" w:themeColor="text1"/>
                <w:sz w:val="16"/>
                <w:lang w:eastAsia="en-AU"/>
              </w:rPr>
              <w:t>41.5</w:t>
            </w:r>
          </w:p>
        </w:tc>
      </w:tr>
      <w:tr w:rsidR="00281C85" w:rsidRPr="00281C85" w14:paraId="3462123F" w14:textId="77777777" w:rsidTr="00685B35">
        <w:trPr>
          <w:trHeight w:val="300"/>
        </w:trPr>
        <w:tc>
          <w:tcPr>
            <w:tcW w:w="3350" w:type="dxa"/>
            <w:shd w:val="clear" w:color="auto" w:fill="auto"/>
            <w:tcMar>
              <w:top w:w="15" w:type="dxa"/>
              <w:left w:w="15" w:type="dxa"/>
              <w:right w:w="15" w:type="dxa"/>
            </w:tcMar>
          </w:tcPr>
          <w:p w14:paraId="43166B43" w14:textId="77F3FA9B" w:rsidR="68F9D2E4" w:rsidRPr="00285665" w:rsidRDefault="68F9D2E4" w:rsidP="003B018F">
            <w:pPr>
              <w:pStyle w:val="Tabletext8pt"/>
              <w:rPr>
                <w:color w:val="000000" w:themeColor="text1"/>
                <w:sz w:val="16"/>
                <w:lang w:eastAsia="en-AU"/>
              </w:rPr>
            </w:pPr>
            <w:r w:rsidRPr="00285665">
              <w:rPr>
                <w:color w:val="000000" w:themeColor="text1"/>
                <w:sz w:val="16"/>
                <w:lang w:eastAsia="en-AU"/>
              </w:rPr>
              <w:t>Barwon Health</w:t>
            </w:r>
          </w:p>
        </w:tc>
        <w:tc>
          <w:tcPr>
            <w:tcW w:w="2775" w:type="dxa"/>
            <w:shd w:val="clear" w:color="auto" w:fill="auto"/>
            <w:tcMar>
              <w:top w:w="15" w:type="dxa"/>
              <w:left w:w="15" w:type="dxa"/>
              <w:right w:w="15" w:type="dxa"/>
            </w:tcMar>
          </w:tcPr>
          <w:p w14:paraId="0E00DA14" w14:textId="4F3DD0EA" w:rsidR="68F9D2E4" w:rsidRPr="00285665" w:rsidRDefault="68F9D2E4" w:rsidP="00685B35">
            <w:pPr>
              <w:pStyle w:val="Tabletext8pt"/>
              <w:jc w:val="right"/>
              <w:rPr>
                <w:color w:val="000000" w:themeColor="text1"/>
                <w:sz w:val="16"/>
                <w:lang w:eastAsia="en-AU"/>
              </w:rPr>
            </w:pPr>
            <w:r w:rsidRPr="00285665">
              <w:rPr>
                <w:color w:val="000000" w:themeColor="text1"/>
                <w:sz w:val="16"/>
                <w:lang w:eastAsia="en-AU"/>
              </w:rPr>
              <w:t>592.4</w:t>
            </w:r>
          </w:p>
        </w:tc>
        <w:tc>
          <w:tcPr>
            <w:tcW w:w="2522" w:type="dxa"/>
            <w:shd w:val="clear" w:color="auto" w:fill="auto"/>
            <w:tcMar>
              <w:top w:w="15" w:type="dxa"/>
              <w:left w:w="15" w:type="dxa"/>
              <w:right w:w="15" w:type="dxa"/>
            </w:tcMar>
          </w:tcPr>
          <w:p w14:paraId="15E0480C" w14:textId="5CB0EDAE" w:rsidR="68F9D2E4" w:rsidRPr="00285665" w:rsidRDefault="68F9D2E4" w:rsidP="00685B35">
            <w:pPr>
              <w:pStyle w:val="Tabletext8pt"/>
              <w:jc w:val="right"/>
              <w:rPr>
                <w:color w:val="000000" w:themeColor="text1"/>
                <w:sz w:val="16"/>
                <w:lang w:eastAsia="en-AU"/>
              </w:rPr>
            </w:pPr>
            <w:r w:rsidRPr="00285665">
              <w:rPr>
                <w:color w:val="000000" w:themeColor="text1"/>
                <w:sz w:val="16"/>
                <w:lang w:eastAsia="en-AU"/>
              </w:rPr>
              <w:t>638.2</w:t>
            </w:r>
          </w:p>
        </w:tc>
      </w:tr>
      <w:tr w:rsidR="00281C85" w:rsidRPr="00281C85" w14:paraId="77F63EE4" w14:textId="77777777" w:rsidTr="00685B35">
        <w:trPr>
          <w:trHeight w:val="300"/>
        </w:trPr>
        <w:tc>
          <w:tcPr>
            <w:tcW w:w="3350" w:type="dxa"/>
            <w:shd w:val="clear" w:color="auto" w:fill="auto"/>
            <w:tcMar>
              <w:top w:w="15" w:type="dxa"/>
              <w:left w:w="15" w:type="dxa"/>
              <w:right w:w="15" w:type="dxa"/>
            </w:tcMar>
          </w:tcPr>
          <w:p w14:paraId="5B120396" w14:textId="101004CC" w:rsidR="68F9D2E4" w:rsidRPr="00285665" w:rsidRDefault="68F9D2E4" w:rsidP="003B018F">
            <w:pPr>
              <w:pStyle w:val="Tabletext8pt"/>
              <w:rPr>
                <w:color w:val="000000" w:themeColor="text1"/>
                <w:sz w:val="16"/>
                <w:lang w:eastAsia="en-AU"/>
              </w:rPr>
            </w:pPr>
            <w:r w:rsidRPr="00285665">
              <w:rPr>
                <w:color w:val="000000" w:themeColor="text1"/>
                <w:sz w:val="16"/>
                <w:lang w:eastAsia="en-AU"/>
              </w:rPr>
              <w:t>Bass Coast Health</w:t>
            </w:r>
          </w:p>
        </w:tc>
        <w:tc>
          <w:tcPr>
            <w:tcW w:w="2775" w:type="dxa"/>
            <w:shd w:val="clear" w:color="auto" w:fill="auto"/>
            <w:tcMar>
              <w:top w:w="15" w:type="dxa"/>
              <w:left w:w="15" w:type="dxa"/>
              <w:right w:w="15" w:type="dxa"/>
            </w:tcMar>
          </w:tcPr>
          <w:p w14:paraId="23D2EF9A" w14:textId="30372630" w:rsidR="68F9D2E4" w:rsidRPr="00285665" w:rsidRDefault="68F9D2E4" w:rsidP="00685B35">
            <w:pPr>
              <w:pStyle w:val="Tabletext8pt"/>
              <w:jc w:val="right"/>
              <w:rPr>
                <w:color w:val="000000" w:themeColor="text1"/>
                <w:sz w:val="16"/>
                <w:lang w:eastAsia="en-AU"/>
              </w:rPr>
            </w:pPr>
            <w:r w:rsidRPr="00285665">
              <w:rPr>
                <w:color w:val="000000" w:themeColor="text1"/>
                <w:sz w:val="16"/>
                <w:lang w:eastAsia="en-AU"/>
              </w:rPr>
              <w:t>10.9</w:t>
            </w:r>
          </w:p>
        </w:tc>
        <w:tc>
          <w:tcPr>
            <w:tcW w:w="2522" w:type="dxa"/>
            <w:shd w:val="clear" w:color="auto" w:fill="auto"/>
            <w:tcMar>
              <w:top w:w="15" w:type="dxa"/>
              <w:left w:w="15" w:type="dxa"/>
              <w:right w:w="15" w:type="dxa"/>
            </w:tcMar>
          </w:tcPr>
          <w:p w14:paraId="0A71B20E" w14:textId="6893463D" w:rsidR="68F9D2E4" w:rsidRPr="00285665" w:rsidRDefault="68F9D2E4" w:rsidP="00685B35">
            <w:pPr>
              <w:pStyle w:val="Tabletext8pt"/>
              <w:jc w:val="right"/>
              <w:rPr>
                <w:color w:val="000000" w:themeColor="text1"/>
                <w:sz w:val="16"/>
                <w:lang w:eastAsia="en-AU"/>
              </w:rPr>
            </w:pPr>
            <w:r w:rsidRPr="00285665">
              <w:rPr>
                <w:color w:val="000000" w:themeColor="text1"/>
                <w:sz w:val="16"/>
                <w:lang w:eastAsia="en-AU"/>
              </w:rPr>
              <w:t>11.7</w:t>
            </w:r>
          </w:p>
        </w:tc>
      </w:tr>
      <w:tr w:rsidR="00281C85" w:rsidRPr="00281C85" w14:paraId="741A49A4" w14:textId="77777777" w:rsidTr="00685B35">
        <w:trPr>
          <w:trHeight w:val="300"/>
        </w:trPr>
        <w:tc>
          <w:tcPr>
            <w:tcW w:w="3350" w:type="dxa"/>
            <w:shd w:val="clear" w:color="auto" w:fill="auto"/>
            <w:tcMar>
              <w:top w:w="15" w:type="dxa"/>
              <w:left w:w="15" w:type="dxa"/>
              <w:right w:w="15" w:type="dxa"/>
            </w:tcMar>
          </w:tcPr>
          <w:p w14:paraId="734E56E7" w14:textId="4BA668EE" w:rsidR="68F9D2E4" w:rsidRPr="00285665" w:rsidRDefault="68F9D2E4" w:rsidP="003B018F">
            <w:pPr>
              <w:pStyle w:val="Tabletext8pt"/>
              <w:rPr>
                <w:color w:val="000000" w:themeColor="text1"/>
                <w:sz w:val="16"/>
                <w:lang w:eastAsia="en-AU"/>
              </w:rPr>
            </w:pPr>
            <w:r w:rsidRPr="00285665">
              <w:rPr>
                <w:color w:val="000000" w:themeColor="text1"/>
                <w:sz w:val="16"/>
                <w:lang w:eastAsia="en-AU"/>
              </w:rPr>
              <w:t>Benalla Health</w:t>
            </w:r>
          </w:p>
        </w:tc>
        <w:tc>
          <w:tcPr>
            <w:tcW w:w="2775" w:type="dxa"/>
            <w:shd w:val="clear" w:color="auto" w:fill="auto"/>
            <w:tcMar>
              <w:top w:w="15" w:type="dxa"/>
              <w:left w:w="15" w:type="dxa"/>
              <w:right w:w="15" w:type="dxa"/>
            </w:tcMar>
          </w:tcPr>
          <w:p w14:paraId="6CB64022" w14:textId="119590E3" w:rsidR="68F9D2E4" w:rsidRPr="00285665" w:rsidRDefault="68F9D2E4" w:rsidP="00685B35">
            <w:pPr>
              <w:pStyle w:val="Tabletext8pt"/>
              <w:jc w:val="right"/>
              <w:rPr>
                <w:color w:val="000000" w:themeColor="text1"/>
                <w:sz w:val="16"/>
                <w:lang w:eastAsia="en-AU"/>
              </w:rPr>
            </w:pPr>
            <w:r w:rsidRPr="00285665">
              <w:rPr>
                <w:color w:val="000000" w:themeColor="text1"/>
                <w:sz w:val="16"/>
                <w:lang w:eastAsia="en-AU"/>
              </w:rPr>
              <w:t>2.1</w:t>
            </w:r>
          </w:p>
        </w:tc>
        <w:tc>
          <w:tcPr>
            <w:tcW w:w="2522" w:type="dxa"/>
            <w:shd w:val="clear" w:color="auto" w:fill="auto"/>
            <w:tcMar>
              <w:top w:w="15" w:type="dxa"/>
              <w:left w:w="15" w:type="dxa"/>
              <w:right w:w="15" w:type="dxa"/>
            </w:tcMar>
          </w:tcPr>
          <w:p w14:paraId="0B7C38BA" w14:textId="26B31608" w:rsidR="68F9D2E4" w:rsidRPr="00285665" w:rsidRDefault="68F9D2E4" w:rsidP="00685B35">
            <w:pPr>
              <w:pStyle w:val="Tabletext8pt"/>
              <w:jc w:val="right"/>
              <w:rPr>
                <w:color w:val="000000" w:themeColor="text1"/>
                <w:sz w:val="16"/>
                <w:lang w:eastAsia="en-AU"/>
              </w:rPr>
            </w:pPr>
            <w:r w:rsidRPr="00285665">
              <w:rPr>
                <w:color w:val="000000" w:themeColor="text1"/>
                <w:sz w:val="16"/>
                <w:lang w:eastAsia="en-AU"/>
              </w:rPr>
              <w:t>2.2</w:t>
            </w:r>
          </w:p>
        </w:tc>
      </w:tr>
      <w:tr w:rsidR="00281C85" w:rsidRPr="00281C85" w14:paraId="34A1086F" w14:textId="77777777" w:rsidTr="00685B35">
        <w:trPr>
          <w:trHeight w:val="300"/>
        </w:trPr>
        <w:tc>
          <w:tcPr>
            <w:tcW w:w="3350" w:type="dxa"/>
            <w:shd w:val="clear" w:color="auto" w:fill="auto"/>
            <w:tcMar>
              <w:top w:w="15" w:type="dxa"/>
              <w:left w:w="15" w:type="dxa"/>
              <w:right w:w="15" w:type="dxa"/>
            </w:tcMar>
          </w:tcPr>
          <w:p w14:paraId="2A304705" w14:textId="7D4BEA42" w:rsidR="68F9D2E4" w:rsidRPr="00285665" w:rsidRDefault="68F9D2E4" w:rsidP="003B018F">
            <w:pPr>
              <w:pStyle w:val="Tabletext8pt"/>
              <w:rPr>
                <w:color w:val="000000" w:themeColor="text1"/>
                <w:sz w:val="16"/>
                <w:lang w:eastAsia="en-AU"/>
              </w:rPr>
            </w:pPr>
            <w:r w:rsidRPr="00285665">
              <w:rPr>
                <w:color w:val="000000" w:themeColor="text1"/>
                <w:sz w:val="16"/>
                <w:lang w:eastAsia="en-AU"/>
              </w:rPr>
              <w:t>Bendigo Health</w:t>
            </w:r>
          </w:p>
        </w:tc>
        <w:tc>
          <w:tcPr>
            <w:tcW w:w="2775" w:type="dxa"/>
            <w:shd w:val="clear" w:color="auto" w:fill="auto"/>
            <w:tcMar>
              <w:top w:w="15" w:type="dxa"/>
              <w:left w:w="15" w:type="dxa"/>
              <w:right w:w="15" w:type="dxa"/>
            </w:tcMar>
          </w:tcPr>
          <w:p w14:paraId="229E5653" w14:textId="1731A298" w:rsidR="68F9D2E4" w:rsidRPr="00285665" w:rsidRDefault="68F9D2E4" w:rsidP="00685B35">
            <w:pPr>
              <w:pStyle w:val="Tabletext8pt"/>
              <w:jc w:val="right"/>
              <w:rPr>
                <w:color w:val="000000" w:themeColor="text1"/>
                <w:sz w:val="16"/>
                <w:lang w:eastAsia="en-AU"/>
              </w:rPr>
            </w:pPr>
            <w:r w:rsidRPr="00285665">
              <w:rPr>
                <w:color w:val="000000" w:themeColor="text1"/>
                <w:sz w:val="16"/>
                <w:lang w:eastAsia="en-AU"/>
              </w:rPr>
              <w:t>235.7</w:t>
            </w:r>
          </w:p>
        </w:tc>
        <w:tc>
          <w:tcPr>
            <w:tcW w:w="2522" w:type="dxa"/>
            <w:shd w:val="clear" w:color="auto" w:fill="auto"/>
            <w:tcMar>
              <w:top w:w="15" w:type="dxa"/>
              <w:left w:w="15" w:type="dxa"/>
              <w:right w:w="15" w:type="dxa"/>
            </w:tcMar>
          </w:tcPr>
          <w:p w14:paraId="29AB1E2F" w14:textId="136CDEE6" w:rsidR="68F9D2E4" w:rsidRPr="00285665" w:rsidRDefault="68F9D2E4" w:rsidP="00685B35">
            <w:pPr>
              <w:pStyle w:val="Tabletext8pt"/>
              <w:jc w:val="right"/>
              <w:rPr>
                <w:color w:val="000000" w:themeColor="text1"/>
                <w:sz w:val="16"/>
                <w:lang w:eastAsia="en-AU"/>
              </w:rPr>
            </w:pPr>
            <w:r w:rsidRPr="00285665">
              <w:rPr>
                <w:color w:val="000000" w:themeColor="text1"/>
                <w:sz w:val="16"/>
                <w:lang w:eastAsia="en-AU"/>
              </w:rPr>
              <w:t>259.9</w:t>
            </w:r>
          </w:p>
        </w:tc>
      </w:tr>
      <w:tr w:rsidR="00281C85" w:rsidRPr="00281C85" w14:paraId="0DFB6FC7" w14:textId="77777777" w:rsidTr="00685B35">
        <w:trPr>
          <w:trHeight w:val="300"/>
        </w:trPr>
        <w:tc>
          <w:tcPr>
            <w:tcW w:w="3350" w:type="dxa"/>
            <w:shd w:val="clear" w:color="auto" w:fill="auto"/>
            <w:tcMar>
              <w:top w:w="15" w:type="dxa"/>
              <w:left w:w="15" w:type="dxa"/>
              <w:right w:w="15" w:type="dxa"/>
            </w:tcMar>
          </w:tcPr>
          <w:p w14:paraId="37ACD0C6" w14:textId="2533490D" w:rsidR="68F9D2E4" w:rsidRPr="00285665" w:rsidRDefault="68F9D2E4" w:rsidP="003B018F">
            <w:pPr>
              <w:pStyle w:val="Tabletext8pt"/>
              <w:rPr>
                <w:color w:val="000000" w:themeColor="text1"/>
                <w:sz w:val="16"/>
                <w:lang w:eastAsia="en-AU"/>
              </w:rPr>
            </w:pPr>
            <w:r w:rsidRPr="00285665">
              <w:rPr>
                <w:color w:val="000000" w:themeColor="text1"/>
                <w:sz w:val="16"/>
                <w:lang w:eastAsia="en-AU"/>
              </w:rPr>
              <w:t>Central Gippsland Health Service</w:t>
            </w:r>
          </w:p>
        </w:tc>
        <w:tc>
          <w:tcPr>
            <w:tcW w:w="2775" w:type="dxa"/>
            <w:shd w:val="clear" w:color="auto" w:fill="auto"/>
            <w:tcMar>
              <w:top w:w="15" w:type="dxa"/>
              <w:left w:w="15" w:type="dxa"/>
              <w:right w:w="15" w:type="dxa"/>
            </w:tcMar>
          </w:tcPr>
          <w:p w14:paraId="35CA7800" w14:textId="40E78A0C" w:rsidR="68F9D2E4" w:rsidRPr="00285665" w:rsidRDefault="68F9D2E4" w:rsidP="00685B35">
            <w:pPr>
              <w:pStyle w:val="Tabletext8pt"/>
              <w:jc w:val="right"/>
              <w:rPr>
                <w:color w:val="000000" w:themeColor="text1"/>
                <w:sz w:val="16"/>
                <w:lang w:eastAsia="en-AU"/>
              </w:rPr>
            </w:pPr>
            <w:r w:rsidRPr="00285665">
              <w:rPr>
                <w:color w:val="000000" w:themeColor="text1"/>
                <w:sz w:val="16"/>
                <w:lang w:eastAsia="en-AU"/>
              </w:rPr>
              <w:t>25.7</w:t>
            </w:r>
          </w:p>
        </w:tc>
        <w:tc>
          <w:tcPr>
            <w:tcW w:w="2522" w:type="dxa"/>
            <w:shd w:val="clear" w:color="auto" w:fill="auto"/>
            <w:tcMar>
              <w:top w:w="15" w:type="dxa"/>
              <w:left w:w="15" w:type="dxa"/>
              <w:right w:w="15" w:type="dxa"/>
            </w:tcMar>
          </w:tcPr>
          <w:p w14:paraId="01356E9A" w14:textId="1516367E" w:rsidR="68F9D2E4" w:rsidRPr="00285665" w:rsidRDefault="68F9D2E4" w:rsidP="00685B35">
            <w:pPr>
              <w:pStyle w:val="Tabletext8pt"/>
              <w:jc w:val="right"/>
              <w:rPr>
                <w:color w:val="000000" w:themeColor="text1"/>
                <w:sz w:val="16"/>
                <w:lang w:eastAsia="en-AU"/>
              </w:rPr>
            </w:pPr>
            <w:r w:rsidRPr="00285665">
              <w:rPr>
                <w:color w:val="000000" w:themeColor="text1"/>
                <w:sz w:val="16"/>
                <w:lang w:eastAsia="en-AU"/>
              </w:rPr>
              <w:t>28.2</w:t>
            </w:r>
          </w:p>
        </w:tc>
      </w:tr>
      <w:tr w:rsidR="00281C85" w:rsidRPr="00281C85" w14:paraId="6192EA6D" w14:textId="77777777" w:rsidTr="00685B35">
        <w:trPr>
          <w:trHeight w:val="300"/>
        </w:trPr>
        <w:tc>
          <w:tcPr>
            <w:tcW w:w="3350" w:type="dxa"/>
            <w:shd w:val="clear" w:color="auto" w:fill="auto"/>
            <w:tcMar>
              <w:top w:w="15" w:type="dxa"/>
              <w:left w:w="15" w:type="dxa"/>
              <w:right w:w="15" w:type="dxa"/>
            </w:tcMar>
          </w:tcPr>
          <w:p w14:paraId="77397621" w14:textId="2AC5F351" w:rsidR="68F9D2E4" w:rsidRPr="00285665" w:rsidRDefault="68F9D2E4" w:rsidP="003B018F">
            <w:pPr>
              <w:pStyle w:val="Tabletext8pt"/>
              <w:rPr>
                <w:color w:val="000000" w:themeColor="text1"/>
                <w:sz w:val="16"/>
                <w:lang w:eastAsia="en-AU"/>
              </w:rPr>
            </w:pPr>
            <w:r w:rsidRPr="00285665">
              <w:rPr>
                <w:color w:val="000000" w:themeColor="text1"/>
                <w:sz w:val="16"/>
                <w:lang w:eastAsia="en-AU"/>
              </w:rPr>
              <w:t>Colac Area Health</w:t>
            </w:r>
          </w:p>
        </w:tc>
        <w:tc>
          <w:tcPr>
            <w:tcW w:w="2775" w:type="dxa"/>
            <w:shd w:val="clear" w:color="auto" w:fill="auto"/>
            <w:tcMar>
              <w:top w:w="15" w:type="dxa"/>
              <w:left w:w="15" w:type="dxa"/>
              <w:right w:w="15" w:type="dxa"/>
            </w:tcMar>
          </w:tcPr>
          <w:p w14:paraId="19F5F4B7" w14:textId="23780316" w:rsidR="68F9D2E4" w:rsidRPr="00285665" w:rsidRDefault="68F9D2E4" w:rsidP="00685B35">
            <w:pPr>
              <w:pStyle w:val="Tabletext8pt"/>
              <w:jc w:val="right"/>
              <w:rPr>
                <w:color w:val="000000" w:themeColor="text1"/>
                <w:sz w:val="16"/>
                <w:lang w:eastAsia="en-AU"/>
              </w:rPr>
            </w:pPr>
            <w:r w:rsidRPr="00285665">
              <w:rPr>
                <w:color w:val="000000" w:themeColor="text1"/>
                <w:sz w:val="16"/>
                <w:lang w:eastAsia="en-AU"/>
              </w:rPr>
              <w:t>4.1</w:t>
            </w:r>
          </w:p>
        </w:tc>
        <w:tc>
          <w:tcPr>
            <w:tcW w:w="2522" w:type="dxa"/>
            <w:shd w:val="clear" w:color="auto" w:fill="auto"/>
            <w:tcMar>
              <w:top w:w="15" w:type="dxa"/>
              <w:left w:w="15" w:type="dxa"/>
              <w:right w:w="15" w:type="dxa"/>
            </w:tcMar>
          </w:tcPr>
          <w:p w14:paraId="5580AA84" w14:textId="479CD176" w:rsidR="68F9D2E4" w:rsidRPr="00285665" w:rsidRDefault="68F9D2E4" w:rsidP="00685B35">
            <w:pPr>
              <w:pStyle w:val="Tabletext8pt"/>
              <w:jc w:val="right"/>
              <w:rPr>
                <w:color w:val="000000" w:themeColor="text1"/>
                <w:sz w:val="16"/>
                <w:lang w:eastAsia="en-AU"/>
              </w:rPr>
            </w:pPr>
            <w:r w:rsidRPr="00285665">
              <w:rPr>
                <w:color w:val="000000" w:themeColor="text1"/>
                <w:sz w:val="16"/>
                <w:lang w:eastAsia="en-AU"/>
              </w:rPr>
              <w:t>4.4</w:t>
            </w:r>
          </w:p>
        </w:tc>
      </w:tr>
      <w:tr w:rsidR="00A0594D" w:rsidRPr="00281C85" w14:paraId="0DBB277C" w14:textId="77777777" w:rsidTr="00685B35">
        <w:trPr>
          <w:trHeight w:val="300"/>
        </w:trPr>
        <w:tc>
          <w:tcPr>
            <w:tcW w:w="3350" w:type="dxa"/>
            <w:shd w:val="clear" w:color="auto" w:fill="auto"/>
            <w:tcMar>
              <w:top w:w="15" w:type="dxa"/>
              <w:left w:w="15" w:type="dxa"/>
              <w:right w:w="15" w:type="dxa"/>
            </w:tcMar>
          </w:tcPr>
          <w:p w14:paraId="6B469B62" w14:textId="1FF8B53A" w:rsidR="00A0594D" w:rsidRPr="00285665" w:rsidRDefault="00A0594D" w:rsidP="00A0594D">
            <w:pPr>
              <w:pStyle w:val="Tabletext8pt"/>
              <w:rPr>
                <w:color w:val="000000" w:themeColor="text1"/>
                <w:sz w:val="16"/>
                <w:lang w:eastAsia="en-AU"/>
              </w:rPr>
            </w:pPr>
            <w:r w:rsidRPr="00A0594D">
              <w:rPr>
                <w:color w:val="000000" w:themeColor="text1"/>
                <w:sz w:val="16"/>
                <w:lang w:eastAsia="en-AU"/>
              </w:rPr>
              <w:t>Dhelkaya Health</w:t>
            </w:r>
          </w:p>
        </w:tc>
        <w:tc>
          <w:tcPr>
            <w:tcW w:w="2775" w:type="dxa"/>
            <w:shd w:val="clear" w:color="auto" w:fill="auto"/>
            <w:tcMar>
              <w:top w:w="15" w:type="dxa"/>
              <w:left w:w="15" w:type="dxa"/>
              <w:right w:w="15" w:type="dxa"/>
            </w:tcMar>
          </w:tcPr>
          <w:p w14:paraId="0EC3F06C" w14:textId="234D27B9"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3.4</w:t>
            </w:r>
          </w:p>
        </w:tc>
        <w:tc>
          <w:tcPr>
            <w:tcW w:w="2522" w:type="dxa"/>
            <w:shd w:val="clear" w:color="auto" w:fill="auto"/>
            <w:tcMar>
              <w:top w:w="15" w:type="dxa"/>
              <w:left w:w="15" w:type="dxa"/>
              <w:right w:w="15" w:type="dxa"/>
            </w:tcMar>
          </w:tcPr>
          <w:p w14:paraId="0DEB0F6B" w14:textId="61F999C7"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4.1</w:t>
            </w:r>
          </w:p>
        </w:tc>
      </w:tr>
      <w:tr w:rsidR="00A0594D" w:rsidRPr="00281C85" w14:paraId="0FC971C8" w14:textId="77777777" w:rsidTr="00685B35">
        <w:trPr>
          <w:trHeight w:val="300"/>
        </w:trPr>
        <w:tc>
          <w:tcPr>
            <w:tcW w:w="3350" w:type="dxa"/>
            <w:shd w:val="clear" w:color="auto" w:fill="auto"/>
            <w:tcMar>
              <w:top w:w="15" w:type="dxa"/>
              <w:left w:w="15" w:type="dxa"/>
              <w:right w:w="15" w:type="dxa"/>
            </w:tcMar>
          </w:tcPr>
          <w:p w14:paraId="4149D95B" w14:textId="30F40F75" w:rsidR="00A0594D" w:rsidRPr="00285665" w:rsidRDefault="00A0594D" w:rsidP="00A0594D">
            <w:pPr>
              <w:pStyle w:val="Tabletext8pt"/>
              <w:rPr>
                <w:color w:val="000000" w:themeColor="text1"/>
                <w:sz w:val="16"/>
                <w:lang w:eastAsia="en-AU"/>
              </w:rPr>
            </w:pPr>
            <w:r w:rsidRPr="00285665">
              <w:rPr>
                <w:color w:val="000000" w:themeColor="text1"/>
                <w:sz w:val="16"/>
                <w:lang w:eastAsia="en-AU"/>
              </w:rPr>
              <w:t>East Grampians Health Service</w:t>
            </w:r>
          </w:p>
        </w:tc>
        <w:tc>
          <w:tcPr>
            <w:tcW w:w="2775" w:type="dxa"/>
            <w:shd w:val="clear" w:color="auto" w:fill="auto"/>
            <w:tcMar>
              <w:top w:w="15" w:type="dxa"/>
              <w:left w:w="15" w:type="dxa"/>
              <w:right w:w="15" w:type="dxa"/>
            </w:tcMar>
          </w:tcPr>
          <w:p w14:paraId="0E923CC6" w14:textId="1F0BDB1D"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7.2</w:t>
            </w:r>
          </w:p>
        </w:tc>
        <w:tc>
          <w:tcPr>
            <w:tcW w:w="2522" w:type="dxa"/>
            <w:shd w:val="clear" w:color="auto" w:fill="auto"/>
            <w:tcMar>
              <w:top w:w="15" w:type="dxa"/>
              <w:left w:w="15" w:type="dxa"/>
              <w:right w:w="15" w:type="dxa"/>
            </w:tcMar>
          </w:tcPr>
          <w:p w14:paraId="530D4AC0" w14:textId="5F5D2C98"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8.2</w:t>
            </w:r>
          </w:p>
        </w:tc>
      </w:tr>
      <w:tr w:rsidR="00A0594D" w:rsidRPr="00281C85" w14:paraId="16077CF1" w14:textId="77777777" w:rsidTr="00685B35">
        <w:trPr>
          <w:trHeight w:val="300"/>
        </w:trPr>
        <w:tc>
          <w:tcPr>
            <w:tcW w:w="3350" w:type="dxa"/>
            <w:shd w:val="clear" w:color="auto" w:fill="auto"/>
            <w:tcMar>
              <w:top w:w="15" w:type="dxa"/>
              <w:left w:w="15" w:type="dxa"/>
              <w:right w:w="15" w:type="dxa"/>
            </w:tcMar>
          </w:tcPr>
          <w:p w14:paraId="4AEC8457" w14:textId="5EB50D7F" w:rsidR="00A0594D" w:rsidRPr="00285665" w:rsidRDefault="00A0594D" w:rsidP="00A0594D">
            <w:pPr>
              <w:pStyle w:val="Tabletext8pt"/>
              <w:rPr>
                <w:color w:val="000000" w:themeColor="text1"/>
                <w:sz w:val="16"/>
                <w:lang w:eastAsia="en-AU"/>
              </w:rPr>
            </w:pPr>
            <w:r w:rsidRPr="00285665">
              <w:rPr>
                <w:color w:val="000000" w:themeColor="text1"/>
                <w:sz w:val="16"/>
                <w:lang w:eastAsia="en-AU"/>
              </w:rPr>
              <w:t>Eastern Health</w:t>
            </w:r>
          </w:p>
        </w:tc>
        <w:tc>
          <w:tcPr>
            <w:tcW w:w="2775" w:type="dxa"/>
            <w:shd w:val="clear" w:color="auto" w:fill="auto"/>
            <w:tcMar>
              <w:top w:w="15" w:type="dxa"/>
              <w:left w:w="15" w:type="dxa"/>
              <w:right w:w="15" w:type="dxa"/>
            </w:tcMar>
          </w:tcPr>
          <w:p w14:paraId="2FDB9D4B" w14:textId="2144583F"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726.5</w:t>
            </w:r>
          </w:p>
        </w:tc>
        <w:tc>
          <w:tcPr>
            <w:tcW w:w="2522" w:type="dxa"/>
            <w:shd w:val="clear" w:color="auto" w:fill="auto"/>
            <w:tcMar>
              <w:top w:w="15" w:type="dxa"/>
              <w:left w:w="15" w:type="dxa"/>
              <w:right w:w="15" w:type="dxa"/>
            </w:tcMar>
          </w:tcPr>
          <w:p w14:paraId="25A90620" w14:textId="3153A2D2"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779.8</w:t>
            </w:r>
          </w:p>
        </w:tc>
      </w:tr>
      <w:tr w:rsidR="00A0594D" w:rsidRPr="00281C85" w14:paraId="09044922" w14:textId="77777777" w:rsidTr="00685B35">
        <w:trPr>
          <w:trHeight w:val="300"/>
        </w:trPr>
        <w:tc>
          <w:tcPr>
            <w:tcW w:w="3350" w:type="dxa"/>
            <w:shd w:val="clear" w:color="auto" w:fill="auto"/>
            <w:tcMar>
              <w:top w:w="15" w:type="dxa"/>
              <w:left w:w="15" w:type="dxa"/>
              <w:right w:w="15" w:type="dxa"/>
            </w:tcMar>
          </w:tcPr>
          <w:p w14:paraId="36442D0C" w14:textId="6ECC0D6C" w:rsidR="00A0594D" w:rsidRPr="00285665" w:rsidRDefault="00A0594D" w:rsidP="00A0594D">
            <w:pPr>
              <w:pStyle w:val="Tabletext8pt"/>
              <w:rPr>
                <w:color w:val="000000" w:themeColor="text1"/>
                <w:sz w:val="16"/>
                <w:lang w:eastAsia="en-AU"/>
              </w:rPr>
            </w:pPr>
            <w:r w:rsidRPr="00285665">
              <w:rPr>
                <w:color w:val="000000" w:themeColor="text1"/>
                <w:sz w:val="16"/>
                <w:lang w:eastAsia="en-AU"/>
              </w:rPr>
              <w:t>Echuca Regional Health</w:t>
            </w:r>
          </w:p>
        </w:tc>
        <w:tc>
          <w:tcPr>
            <w:tcW w:w="2775" w:type="dxa"/>
            <w:shd w:val="clear" w:color="auto" w:fill="auto"/>
            <w:tcMar>
              <w:top w:w="15" w:type="dxa"/>
              <w:left w:w="15" w:type="dxa"/>
              <w:right w:w="15" w:type="dxa"/>
            </w:tcMar>
          </w:tcPr>
          <w:p w14:paraId="71A22EDD" w14:textId="3E220C64"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15.5</w:t>
            </w:r>
          </w:p>
        </w:tc>
        <w:tc>
          <w:tcPr>
            <w:tcW w:w="2522" w:type="dxa"/>
            <w:shd w:val="clear" w:color="auto" w:fill="auto"/>
            <w:tcMar>
              <w:top w:w="15" w:type="dxa"/>
              <w:left w:w="15" w:type="dxa"/>
              <w:right w:w="15" w:type="dxa"/>
            </w:tcMar>
          </w:tcPr>
          <w:p w14:paraId="585DBDC2" w14:textId="4C2CF28D"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17.9</w:t>
            </w:r>
          </w:p>
        </w:tc>
      </w:tr>
      <w:tr w:rsidR="00A0594D" w:rsidRPr="00281C85" w14:paraId="3AA79F4B" w14:textId="77777777" w:rsidTr="00685B35">
        <w:trPr>
          <w:trHeight w:val="300"/>
        </w:trPr>
        <w:tc>
          <w:tcPr>
            <w:tcW w:w="3350" w:type="dxa"/>
            <w:shd w:val="clear" w:color="auto" w:fill="auto"/>
            <w:tcMar>
              <w:top w:w="15" w:type="dxa"/>
              <w:left w:w="15" w:type="dxa"/>
              <w:right w:w="15" w:type="dxa"/>
            </w:tcMar>
          </w:tcPr>
          <w:p w14:paraId="5F2A6467" w14:textId="4DDF88B1" w:rsidR="00A0594D" w:rsidRPr="00285665" w:rsidRDefault="00A0594D" w:rsidP="00A0594D">
            <w:pPr>
              <w:pStyle w:val="Tabletext8pt"/>
              <w:rPr>
                <w:color w:val="000000" w:themeColor="text1"/>
                <w:sz w:val="16"/>
                <w:lang w:eastAsia="en-AU"/>
              </w:rPr>
            </w:pPr>
            <w:r w:rsidRPr="00285665">
              <w:rPr>
                <w:color w:val="000000" w:themeColor="text1"/>
                <w:sz w:val="16"/>
                <w:lang w:eastAsia="en-AU"/>
              </w:rPr>
              <w:t>Gippsland Southern Health Service</w:t>
            </w:r>
          </w:p>
        </w:tc>
        <w:tc>
          <w:tcPr>
            <w:tcW w:w="2775" w:type="dxa"/>
            <w:shd w:val="clear" w:color="auto" w:fill="auto"/>
            <w:tcMar>
              <w:top w:w="15" w:type="dxa"/>
              <w:left w:w="15" w:type="dxa"/>
              <w:right w:w="15" w:type="dxa"/>
            </w:tcMar>
          </w:tcPr>
          <w:p w14:paraId="6210FCAA" w14:textId="6B7EDD4E"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5.6</w:t>
            </w:r>
          </w:p>
        </w:tc>
        <w:tc>
          <w:tcPr>
            <w:tcW w:w="2522" w:type="dxa"/>
            <w:shd w:val="clear" w:color="auto" w:fill="auto"/>
            <w:tcMar>
              <w:top w:w="15" w:type="dxa"/>
              <w:left w:w="15" w:type="dxa"/>
              <w:right w:w="15" w:type="dxa"/>
            </w:tcMar>
          </w:tcPr>
          <w:p w14:paraId="473C3052" w14:textId="7B96810C"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6.0</w:t>
            </w:r>
          </w:p>
        </w:tc>
      </w:tr>
      <w:tr w:rsidR="00A0594D" w:rsidRPr="00281C85" w14:paraId="59089CD5" w14:textId="77777777" w:rsidTr="00685B35">
        <w:trPr>
          <w:trHeight w:val="300"/>
        </w:trPr>
        <w:tc>
          <w:tcPr>
            <w:tcW w:w="3350" w:type="dxa"/>
            <w:shd w:val="clear" w:color="auto" w:fill="auto"/>
            <w:tcMar>
              <w:top w:w="15" w:type="dxa"/>
              <w:left w:w="15" w:type="dxa"/>
              <w:right w:w="15" w:type="dxa"/>
            </w:tcMar>
          </w:tcPr>
          <w:p w14:paraId="1D72AAC3" w14:textId="74CC47B9" w:rsidR="00A0594D" w:rsidRPr="00285665" w:rsidRDefault="00A0594D" w:rsidP="00A0594D">
            <w:pPr>
              <w:pStyle w:val="Tabletext8pt"/>
              <w:rPr>
                <w:color w:val="000000" w:themeColor="text1"/>
                <w:sz w:val="16"/>
                <w:lang w:eastAsia="en-AU"/>
              </w:rPr>
            </w:pPr>
            <w:r w:rsidRPr="00285665">
              <w:rPr>
                <w:color w:val="000000" w:themeColor="text1"/>
                <w:sz w:val="16"/>
                <w:lang w:eastAsia="en-AU"/>
              </w:rPr>
              <w:t>Goulburn Valley Health</w:t>
            </w:r>
          </w:p>
        </w:tc>
        <w:tc>
          <w:tcPr>
            <w:tcW w:w="2775" w:type="dxa"/>
            <w:shd w:val="clear" w:color="auto" w:fill="auto"/>
            <w:tcMar>
              <w:top w:w="15" w:type="dxa"/>
              <w:left w:w="15" w:type="dxa"/>
              <w:right w:w="15" w:type="dxa"/>
            </w:tcMar>
          </w:tcPr>
          <w:p w14:paraId="72E87525" w14:textId="18A8AC57"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137.4</w:t>
            </w:r>
          </w:p>
        </w:tc>
        <w:tc>
          <w:tcPr>
            <w:tcW w:w="2522" w:type="dxa"/>
            <w:shd w:val="clear" w:color="auto" w:fill="auto"/>
            <w:tcMar>
              <w:top w:w="15" w:type="dxa"/>
              <w:left w:w="15" w:type="dxa"/>
              <w:right w:w="15" w:type="dxa"/>
            </w:tcMar>
          </w:tcPr>
          <w:p w14:paraId="28E01E0E" w14:textId="0E23FEE0"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146.7</w:t>
            </w:r>
          </w:p>
        </w:tc>
      </w:tr>
      <w:tr w:rsidR="00A0594D" w:rsidRPr="00281C85" w14:paraId="453A204D" w14:textId="77777777" w:rsidTr="00685B35">
        <w:trPr>
          <w:trHeight w:val="300"/>
        </w:trPr>
        <w:tc>
          <w:tcPr>
            <w:tcW w:w="3350" w:type="dxa"/>
            <w:shd w:val="clear" w:color="auto" w:fill="auto"/>
            <w:tcMar>
              <w:top w:w="15" w:type="dxa"/>
              <w:left w:w="15" w:type="dxa"/>
              <w:right w:w="15" w:type="dxa"/>
            </w:tcMar>
          </w:tcPr>
          <w:p w14:paraId="555C2223" w14:textId="1C197E81" w:rsidR="00A0594D" w:rsidRPr="00285665" w:rsidRDefault="00A0594D" w:rsidP="00A0594D">
            <w:pPr>
              <w:pStyle w:val="Tabletext8pt"/>
              <w:rPr>
                <w:color w:val="000000" w:themeColor="text1"/>
                <w:sz w:val="16"/>
                <w:lang w:eastAsia="en-AU"/>
              </w:rPr>
            </w:pPr>
            <w:r w:rsidRPr="00285665">
              <w:rPr>
                <w:color w:val="000000" w:themeColor="text1"/>
                <w:sz w:val="16"/>
                <w:lang w:eastAsia="en-AU"/>
              </w:rPr>
              <w:t>Grampians Health</w:t>
            </w:r>
          </w:p>
        </w:tc>
        <w:tc>
          <w:tcPr>
            <w:tcW w:w="2775" w:type="dxa"/>
            <w:shd w:val="clear" w:color="auto" w:fill="auto"/>
            <w:tcMar>
              <w:top w:w="15" w:type="dxa"/>
              <w:left w:w="15" w:type="dxa"/>
              <w:right w:w="15" w:type="dxa"/>
            </w:tcMar>
          </w:tcPr>
          <w:p w14:paraId="6B3515E4" w14:textId="17B3CA3D"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309.6</w:t>
            </w:r>
          </w:p>
        </w:tc>
        <w:tc>
          <w:tcPr>
            <w:tcW w:w="2522" w:type="dxa"/>
            <w:shd w:val="clear" w:color="auto" w:fill="auto"/>
            <w:tcMar>
              <w:top w:w="15" w:type="dxa"/>
              <w:left w:w="15" w:type="dxa"/>
              <w:right w:w="15" w:type="dxa"/>
            </w:tcMar>
          </w:tcPr>
          <w:p w14:paraId="2337618F" w14:textId="41ADDFFA"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331.0</w:t>
            </w:r>
          </w:p>
        </w:tc>
      </w:tr>
      <w:tr w:rsidR="00A0594D" w:rsidRPr="00281C85" w14:paraId="64A833F1" w14:textId="77777777" w:rsidTr="00685B35">
        <w:trPr>
          <w:trHeight w:val="300"/>
        </w:trPr>
        <w:tc>
          <w:tcPr>
            <w:tcW w:w="3350" w:type="dxa"/>
            <w:shd w:val="clear" w:color="auto" w:fill="auto"/>
            <w:tcMar>
              <w:top w:w="15" w:type="dxa"/>
              <w:left w:w="15" w:type="dxa"/>
              <w:right w:w="15" w:type="dxa"/>
            </w:tcMar>
          </w:tcPr>
          <w:p w14:paraId="169B2A1E" w14:textId="7F0AFB99" w:rsidR="00A0594D" w:rsidRPr="00285665" w:rsidRDefault="00A0594D" w:rsidP="00A0594D">
            <w:pPr>
              <w:pStyle w:val="Tabletext8pt"/>
              <w:rPr>
                <w:color w:val="000000" w:themeColor="text1"/>
                <w:sz w:val="16"/>
                <w:lang w:eastAsia="en-AU"/>
              </w:rPr>
            </w:pPr>
            <w:r w:rsidRPr="00285665">
              <w:rPr>
                <w:color w:val="000000" w:themeColor="text1"/>
                <w:sz w:val="16"/>
                <w:lang w:eastAsia="en-AU"/>
              </w:rPr>
              <w:t>Kyabram District Health Service</w:t>
            </w:r>
          </w:p>
        </w:tc>
        <w:tc>
          <w:tcPr>
            <w:tcW w:w="2775" w:type="dxa"/>
            <w:shd w:val="clear" w:color="auto" w:fill="auto"/>
            <w:tcMar>
              <w:top w:w="15" w:type="dxa"/>
              <w:left w:w="15" w:type="dxa"/>
              <w:right w:w="15" w:type="dxa"/>
            </w:tcMar>
          </w:tcPr>
          <w:p w14:paraId="2E1327C4" w14:textId="7DF92276"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1.1</w:t>
            </w:r>
          </w:p>
        </w:tc>
        <w:tc>
          <w:tcPr>
            <w:tcW w:w="2522" w:type="dxa"/>
            <w:shd w:val="clear" w:color="auto" w:fill="auto"/>
            <w:tcMar>
              <w:top w:w="15" w:type="dxa"/>
              <w:left w:w="15" w:type="dxa"/>
              <w:right w:w="15" w:type="dxa"/>
            </w:tcMar>
          </w:tcPr>
          <w:p w14:paraId="03DC9CDE" w14:textId="04EEC4D8"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1.3</w:t>
            </w:r>
          </w:p>
        </w:tc>
      </w:tr>
      <w:tr w:rsidR="00A0594D" w:rsidRPr="00281C85" w14:paraId="17D0CD6D" w14:textId="77777777" w:rsidTr="00685B35">
        <w:trPr>
          <w:trHeight w:val="300"/>
        </w:trPr>
        <w:tc>
          <w:tcPr>
            <w:tcW w:w="3350" w:type="dxa"/>
            <w:shd w:val="clear" w:color="auto" w:fill="auto"/>
            <w:tcMar>
              <w:top w:w="15" w:type="dxa"/>
              <w:left w:w="15" w:type="dxa"/>
              <w:right w:w="15" w:type="dxa"/>
            </w:tcMar>
          </w:tcPr>
          <w:p w14:paraId="57CB84F1" w14:textId="33ADC5F5" w:rsidR="00A0594D" w:rsidRPr="00285665" w:rsidRDefault="00A0594D" w:rsidP="00A0594D">
            <w:pPr>
              <w:pStyle w:val="Tabletext8pt"/>
              <w:rPr>
                <w:color w:val="000000" w:themeColor="text1"/>
                <w:sz w:val="16"/>
                <w:lang w:eastAsia="en-AU"/>
              </w:rPr>
            </w:pPr>
            <w:r w:rsidRPr="00285665">
              <w:rPr>
                <w:color w:val="000000" w:themeColor="text1"/>
                <w:sz w:val="16"/>
                <w:lang w:eastAsia="en-AU"/>
              </w:rPr>
              <w:t>Latrobe Regional Hospital</w:t>
            </w:r>
          </w:p>
        </w:tc>
        <w:tc>
          <w:tcPr>
            <w:tcW w:w="2775" w:type="dxa"/>
            <w:shd w:val="clear" w:color="auto" w:fill="auto"/>
            <w:tcMar>
              <w:top w:w="15" w:type="dxa"/>
              <w:left w:w="15" w:type="dxa"/>
              <w:right w:w="15" w:type="dxa"/>
            </w:tcMar>
          </w:tcPr>
          <w:p w14:paraId="411FE824" w14:textId="2C2C3812"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179.8</w:t>
            </w:r>
          </w:p>
        </w:tc>
        <w:tc>
          <w:tcPr>
            <w:tcW w:w="2522" w:type="dxa"/>
            <w:shd w:val="clear" w:color="auto" w:fill="auto"/>
            <w:tcMar>
              <w:top w:w="15" w:type="dxa"/>
              <w:left w:w="15" w:type="dxa"/>
              <w:right w:w="15" w:type="dxa"/>
            </w:tcMar>
          </w:tcPr>
          <w:p w14:paraId="4DD79D3B" w14:textId="4CF179DC"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191.3</w:t>
            </w:r>
          </w:p>
        </w:tc>
      </w:tr>
      <w:tr w:rsidR="00A0594D" w:rsidRPr="00281C85" w14:paraId="03B358E2" w14:textId="77777777" w:rsidTr="00685B35">
        <w:trPr>
          <w:trHeight w:val="300"/>
        </w:trPr>
        <w:tc>
          <w:tcPr>
            <w:tcW w:w="3350" w:type="dxa"/>
            <w:shd w:val="clear" w:color="auto" w:fill="auto"/>
            <w:tcMar>
              <w:top w:w="15" w:type="dxa"/>
              <w:left w:w="15" w:type="dxa"/>
              <w:right w:w="15" w:type="dxa"/>
            </w:tcMar>
          </w:tcPr>
          <w:p w14:paraId="2C22E10A" w14:textId="59309FDE" w:rsidR="00A0594D" w:rsidRPr="00285665" w:rsidRDefault="00A0594D" w:rsidP="00A0594D">
            <w:pPr>
              <w:pStyle w:val="Tabletext8pt"/>
              <w:rPr>
                <w:color w:val="000000" w:themeColor="text1"/>
                <w:sz w:val="16"/>
                <w:lang w:eastAsia="en-AU"/>
              </w:rPr>
            </w:pPr>
            <w:r w:rsidRPr="00285665">
              <w:rPr>
                <w:color w:val="000000" w:themeColor="text1"/>
                <w:sz w:val="16"/>
                <w:lang w:eastAsia="en-AU"/>
              </w:rPr>
              <w:t>Maryborough District Health Service</w:t>
            </w:r>
          </w:p>
        </w:tc>
        <w:tc>
          <w:tcPr>
            <w:tcW w:w="2775" w:type="dxa"/>
            <w:shd w:val="clear" w:color="auto" w:fill="auto"/>
            <w:tcMar>
              <w:top w:w="15" w:type="dxa"/>
              <w:left w:w="15" w:type="dxa"/>
              <w:right w:w="15" w:type="dxa"/>
            </w:tcMar>
          </w:tcPr>
          <w:p w14:paraId="5FC4E9A6" w14:textId="4D4D2333"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10.6</w:t>
            </w:r>
          </w:p>
        </w:tc>
        <w:tc>
          <w:tcPr>
            <w:tcW w:w="2522" w:type="dxa"/>
            <w:shd w:val="clear" w:color="auto" w:fill="auto"/>
            <w:tcMar>
              <w:top w:w="15" w:type="dxa"/>
              <w:left w:w="15" w:type="dxa"/>
              <w:right w:w="15" w:type="dxa"/>
            </w:tcMar>
          </w:tcPr>
          <w:p w14:paraId="62331E9B" w14:textId="615AFFEC"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11.5</w:t>
            </w:r>
          </w:p>
        </w:tc>
      </w:tr>
      <w:tr w:rsidR="00A0594D" w:rsidRPr="00281C85" w14:paraId="20D7CA6A" w14:textId="77777777" w:rsidTr="00685B35">
        <w:trPr>
          <w:trHeight w:val="300"/>
        </w:trPr>
        <w:tc>
          <w:tcPr>
            <w:tcW w:w="3350" w:type="dxa"/>
            <w:shd w:val="clear" w:color="auto" w:fill="auto"/>
            <w:tcMar>
              <w:top w:w="15" w:type="dxa"/>
              <w:left w:w="15" w:type="dxa"/>
              <w:right w:w="15" w:type="dxa"/>
            </w:tcMar>
          </w:tcPr>
          <w:p w14:paraId="501F1BDF" w14:textId="5B703953" w:rsidR="00A0594D" w:rsidRPr="00285665" w:rsidRDefault="00A0594D" w:rsidP="00A0594D">
            <w:pPr>
              <w:pStyle w:val="Tabletext8pt"/>
              <w:rPr>
                <w:color w:val="000000" w:themeColor="text1"/>
                <w:sz w:val="16"/>
                <w:lang w:eastAsia="en-AU"/>
              </w:rPr>
            </w:pPr>
            <w:r w:rsidRPr="00285665">
              <w:rPr>
                <w:color w:val="000000" w:themeColor="text1"/>
                <w:sz w:val="16"/>
                <w:lang w:eastAsia="en-AU"/>
              </w:rPr>
              <w:t>Melbourne Health</w:t>
            </w:r>
          </w:p>
        </w:tc>
        <w:tc>
          <w:tcPr>
            <w:tcW w:w="2775" w:type="dxa"/>
            <w:shd w:val="clear" w:color="auto" w:fill="auto"/>
            <w:tcMar>
              <w:top w:w="15" w:type="dxa"/>
              <w:left w:w="15" w:type="dxa"/>
              <w:right w:w="15" w:type="dxa"/>
            </w:tcMar>
          </w:tcPr>
          <w:p w14:paraId="1E1D79F4" w14:textId="3CA90D6A"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1,225.3</w:t>
            </w:r>
          </w:p>
        </w:tc>
        <w:tc>
          <w:tcPr>
            <w:tcW w:w="2522" w:type="dxa"/>
            <w:shd w:val="clear" w:color="auto" w:fill="auto"/>
            <w:tcMar>
              <w:top w:w="15" w:type="dxa"/>
              <w:left w:w="15" w:type="dxa"/>
              <w:right w:w="15" w:type="dxa"/>
            </w:tcMar>
          </w:tcPr>
          <w:p w14:paraId="6F2008FD" w14:textId="404ABFF7"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1,324.0</w:t>
            </w:r>
          </w:p>
        </w:tc>
      </w:tr>
      <w:tr w:rsidR="00A0594D" w:rsidRPr="00281C85" w14:paraId="45BC9CCE" w14:textId="77777777" w:rsidTr="00685B35">
        <w:trPr>
          <w:trHeight w:val="300"/>
        </w:trPr>
        <w:tc>
          <w:tcPr>
            <w:tcW w:w="3350" w:type="dxa"/>
            <w:shd w:val="clear" w:color="auto" w:fill="auto"/>
            <w:tcMar>
              <w:top w:w="15" w:type="dxa"/>
              <w:left w:w="15" w:type="dxa"/>
              <w:right w:w="15" w:type="dxa"/>
            </w:tcMar>
          </w:tcPr>
          <w:p w14:paraId="76AA51C3" w14:textId="677AB1DB" w:rsidR="00A0594D" w:rsidRPr="00285665" w:rsidRDefault="00A0594D" w:rsidP="00A0594D">
            <w:pPr>
              <w:pStyle w:val="Tabletext8pt"/>
              <w:rPr>
                <w:color w:val="000000" w:themeColor="text1"/>
                <w:sz w:val="16"/>
                <w:lang w:eastAsia="en-AU"/>
              </w:rPr>
            </w:pPr>
            <w:r w:rsidRPr="00285665">
              <w:rPr>
                <w:color w:val="000000" w:themeColor="text1"/>
                <w:sz w:val="16"/>
                <w:lang w:eastAsia="en-AU"/>
              </w:rPr>
              <w:t>Mercy Hospitals Victoria Ltd</w:t>
            </w:r>
          </w:p>
        </w:tc>
        <w:tc>
          <w:tcPr>
            <w:tcW w:w="2775" w:type="dxa"/>
            <w:shd w:val="clear" w:color="auto" w:fill="auto"/>
            <w:tcMar>
              <w:top w:w="15" w:type="dxa"/>
              <w:left w:w="15" w:type="dxa"/>
              <w:right w:w="15" w:type="dxa"/>
            </w:tcMar>
          </w:tcPr>
          <w:p w14:paraId="2EE45573" w14:textId="3DBEE8E7"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321.5</w:t>
            </w:r>
          </w:p>
        </w:tc>
        <w:tc>
          <w:tcPr>
            <w:tcW w:w="2522" w:type="dxa"/>
            <w:shd w:val="clear" w:color="auto" w:fill="auto"/>
            <w:tcMar>
              <w:top w:w="15" w:type="dxa"/>
              <w:left w:w="15" w:type="dxa"/>
              <w:right w:w="15" w:type="dxa"/>
            </w:tcMar>
          </w:tcPr>
          <w:p w14:paraId="1CFB3A0C" w14:textId="52FDE98C"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338.7</w:t>
            </w:r>
          </w:p>
        </w:tc>
      </w:tr>
      <w:tr w:rsidR="00A0594D" w:rsidRPr="00281C85" w14:paraId="3C35BDB3" w14:textId="77777777" w:rsidTr="00685B35">
        <w:trPr>
          <w:trHeight w:val="300"/>
        </w:trPr>
        <w:tc>
          <w:tcPr>
            <w:tcW w:w="3350" w:type="dxa"/>
            <w:shd w:val="clear" w:color="auto" w:fill="auto"/>
            <w:tcMar>
              <w:top w:w="15" w:type="dxa"/>
              <w:left w:w="15" w:type="dxa"/>
              <w:right w:w="15" w:type="dxa"/>
            </w:tcMar>
          </w:tcPr>
          <w:p w14:paraId="02AF06F2" w14:textId="3DAB6DBC" w:rsidR="00A0594D" w:rsidRPr="00285665" w:rsidRDefault="00A0594D" w:rsidP="00A0594D">
            <w:pPr>
              <w:pStyle w:val="Tabletext8pt"/>
              <w:rPr>
                <w:color w:val="000000" w:themeColor="text1"/>
                <w:sz w:val="16"/>
                <w:lang w:eastAsia="en-AU"/>
              </w:rPr>
            </w:pPr>
            <w:r w:rsidRPr="00285665">
              <w:rPr>
                <w:color w:val="000000" w:themeColor="text1"/>
                <w:sz w:val="16"/>
                <w:lang w:eastAsia="en-AU"/>
              </w:rPr>
              <w:t>Mildura Base Public Hospital</w:t>
            </w:r>
          </w:p>
        </w:tc>
        <w:tc>
          <w:tcPr>
            <w:tcW w:w="2775" w:type="dxa"/>
            <w:shd w:val="clear" w:color="auto" w:fill="auto"/>
            <w:tcMar>
              <w:top w:w="15" w:type="dxa"/>
              <w:left w:w="15" w:type="dxa"/>
              <w:right w:w="15" w:type="dxa"/>
            </w:tcMar>
          </w:tcPr>
          <w:p w14:paraId="17382432" w14:textId="264C7A0A"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65.7</w:t>
            </w:r>
          </w:p>
        </w:tc>
        <w:tc>
          <w:tcPr>
            <w:tcW w:w="2522" w:type="dxa"/>
            <w:shd w:val="clear" w:color="auto" w:fill="auto"/>
            <w:tcMar>
              <w:top w:w="15" w:type="dxa"/>
              <w:left w:w="15" w:type="dxa"/>
              <w:right w:w="15" w:type="dxa"/>
            </w:tcMar>
          </w:tcPr>
          <w:p w14:paraId="27790C36" w14:textId="4243E164"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74.9</w:t>
            </w:r>
          </w:p>
        </w:tc>
      </w:tr>
      <w:tr w:rsidR="00A0594D" w:rsidRPr="00281C85" w14:paraId="4FE3016D" w14:textId="77777777" w:rsidTr="00685B35">
        <w:trPr>
          <w:trHeight w:val="300"/>
        </w:trPr>
        <w:tc>
          <w:tcPr>
            <w:tcW w:w="3350" w:type="dxa"/>
            <w:shd w:val="clear" w:color="auto" w:fill="auto"/>
            <w:tcMar>
              <w:top w:w="15" w:type="dxa"/>
              <w:left w:w="15" w:type="dxa"/>
              <w:right w:w="15" w:type="dxa"/>
            </w:tcMar>
          </w:tcPr>
          <w:p w14:paraId="32FDCF74" w14:textId="1EE8C8D7" w:rsidR="00A0594D" w:rsidRPr="00285665" w:rsidRDefault="00A0594D" w:rsidP="00A0594D">
            <w:pPr>
              <w:pStyle w:val="Tabletext8pt"/>
              <w:rPr>
                <w:color w:val="000000" w:themeColor="text1"/>
                <w:sz w:val="16"/>
                <w:lang w:eastAsia="en-AU"/>
              </w:rPr>
            </w:pPr>
            <w:r w:rsidRPr="00285665">
              <w:rPr>
                <w:color w:val="000000" w:themeColor="text1"/>
                <w:sz w:val="16"/>
                <w:lang w:eastAsia="en-AU"/>
              </w:rPr>
              <w:t>Monash Health</w:t>
            </w:r>
          </w:p>
        </w:tc>
        <w:tc>
          <w:tcPr>
            <w:tcW w:w="2775" w:type="dxa"/>
            <w:shd w:val="clear" w:color="auto" w:fill="auto"/>
            <w:tcMar>
              <w:top w:w="15" w:type="dxa"/>
              <w:left w:w="15" w:type="dxa"/>
              <w:right w:w="15" w:type="dxa"/>
            </w:tcMar>
          </w:tcPr>
          <w:p w14:paraId="78EBC5DE" w14:textId="7FA09CA4"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1,530.8</w:t>
            </w:r>
          </w:p>
        </w:tc>
        <w:tc>
          <w:tcPr>
            <w:tcW w:w="2522" w:type="dxa"/>
            <w:shd w:val="clear" w:color="auto" w:fill="auto"/>
            <w:tcMar>
              <w:top w:w="15" w:type="dxa"/>
              <w:left w:w="15" w:type="dxa"/>
              <w:right w:w="15" w:type="dxa"/>
            </w:tcMar>
          </w:tcPr>
          <w:p w14:paraId="1D8A38D5" w14:textId="507C8374"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1,675.8</w:t>
            </w:r>
          </w:p>
        </w:tc>
      </w:tr>
      <w:tr w:rsidR="00A0594D" w:rsidRPr="00281C85" w14:paraId="197809D6" w14:textId="77777777" w:rsidTr="00685B35">
        <w:trPr>
          <w:trHeight w:val="300"/>
        </w:trPr>
        <w:tc>
          <w:tcPr>
            <w:tcW w:w="3350" w:type="dxa"/>
            <w:shd w:val="clear" w:color="auto" w:fill="auto"/>
            <w:tcMar>
              <w:top w:w="15" w:type="dxa"/>
              <w:left w:w="15" w:type="dxa"/>
              <w:right w:w="15" w:type="dxa"/>
            </w:tcMar>
          </w:tcPr>
          <w:p w14:paraId="637A52D8" w14:textId="4FB21583" w:rsidR="00A0594D" w:rsidRPr="00285665" w:rsidRDefault="00A0594D" w:rsidP="00A0594D">
            <w:pPr>
              <w:pStyle w:val="Tabletext8pt"/>
              <w:rPr>
                <w:color w:val="000000" w:themeColor="text1"/>
                <w:sz w:val="16"/>
                <w:lang w:eastAsia="en-AU"/>
              </w:rPr>
            </w:pPr>
            <w:r w:rsidRPr="00285665">
              <w:rPr>
                <w:color w:val="000000" w:themeColor="text1"/>
                <w:sz w:val="16"/>
                <w:lang w:eastAsia="en-AU"/>
              </w:rPr>
              <w:t>Northeast Health Wangaratta</w:t>
            </w:r>
          </w:p>
        </w:tc>
        <w:tc>
          <w:tcPr>
            <w:tcW w:w="2775" w:type="dxa"/>
            <w:shd w:val="clear" w:color="auto" w:fill="auto"/>
            <w:tcMar>
              <w:top w:w="15" w:type="dxa"/>
              <w:left w:w="15" w:type="dxa"/>
              <w:right w:w="15" w:type="dxa"/>
            </w:tcMar>
          </w:tcPr>
          <w:p w14:paraId="36B3F6FD" w14:textId="6F74F333"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73.2</w:t>
            </w:r>
          </w:p>
        </w:tc>
        <w:tc>
          <w:tcPr>
            <w:tcW w:w="2522" w:type="dxa"/>
            <w:shd w:val="clear" w:color="auto" w:fill="auto"/>
            <w:tcMar>
              <w:top w:w="15" w:type="dxa"/>
              <w:left w:w="15" w:type="dxa"/>
              <w:right w:w="15" w:type="dxa"/>
            </w:tcMar>
          </w:tcPr>
          <w:p w14:paraId="10C33091" w14:textId="1D40AF7A"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79.0</w:t>
            </w:r>
          </w:p>
        </w:tc>
      </w:tr>
      <w:tr w:rsidR="00A0594D" w:rsidRPr="00281C85" w14:paraId="6FDC8E72" w14:textId="77777777" w:rsidTr="00685B35">
        <w:trPr>
          <w:trHeight w:val="300"/>
        </w:trPr>
        <w:tc>
          <w:tcPr>
            <w:tcW w:w="3350" w:type="dxa"/>
            <w:shd w:val="clear" w:color="auto" w:fill="auto"/>
            <w:tcMar>
              <w:top w:w="15" w:type="dxa"/>
              <w:left w:w="15" w:type="dxa"/>
              <w:right w:w="15" w:type="dxa"/>
            </w:tcMar>
          </w:tcPr>
          <w:p w14:paraId="3E6A7975" w14:textId="7F4A3219" w:rsidR="00A0594D" w:rsidRPr="00285665" w:rsidRDefault="00A0594D" w:rsidP="00A0594D">
            <w:pPr>
              <w:pStyle w:val="Tabletext8pt"/>
              <w:rPr>
                <w:color w:val="000000" w:themeColor="text1"/>
                <w:sz w:val="16"/>
                <w:lang w:eastAsia="en-AU"/>
              </w:rPr>
            </w:pPr>
            <w:r w:rsidRPr="00285665">
              <w:rPr>
                <w:color w:val="000000" w:themeColor="text1"/>
                <w:sz w:val="16"/>
                <w:lang w:eastAsia="en-AU"/>
              </w:rPr>
              <w:t>Northern Health</w:t>
            </w:r>
          </w:p>
        </w:tc>
        <w:tc>
          <w:tcPr>
            <w:tcW w:w="2775" w:type="dxa"/>
            <w:shd w:val="clear" w:color="auto" w:fill="auto"/>
            <w:tcMar>
              <w:top w:w="15" w:type="dxa"/>
              <w:left w:w="15" w:type="dxa"/>
              <w:right w:w="15" w:type="dxa"/>
            </w:tcMar>
          </w:tcPr>
          <w:p w14:paraId="2E539F7F" w14:textId="01308A10"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375.1</w:t>
            </w:r>
          </w:p>
        </w:tc>
        <w:tc>
          <w:tcPr>
            <w:tcW w:w="2522" w:type="dxa"/>
            <w:shd w:val="clear" w:color="auto" w:fill="auto"/>
            <w:tcMar>
              <w:top w:w="15" w:type="dxa"/>
              <w:left w:w="15" w:type="dxa"/>
              <w:right w:w="15" w:type="dxa"/>
            </w:tcMar>
          </w:tcPr>
          <w:p w14:paraId="0EA2EBE1" w14:textId="76C80FF1"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393.8</w:t>
            </w:r>
          </w:p>
        </w:tc>
      </w:tr>
      <w:tr w:rsidR="00A0594D" w:rsidRPr="00281C85" w14:paraId="1070B7CE" w14:textId="77777777" w:rsidTr="00685B35">
        <w:trPr>
          <w:trHeight w:val="300"/>
        </w:trPr>
        <w:tc>
          <w:tcPr>
            <w:tcW w:w="3350" w:type="dxa"/>
            <w:shd w:val="clear" w:color="auto" w:fill="auto"/>
            <w:tcMar>
              <w:top w:w="15" w:type="dxa"/>
              <w:left w:w="15" w:type="dxa"/>
              <w:right w:w="15" w:type="dxa"/>
            </w:tcMar>
          </w:tcPr>
          <w:p w14:paraId="6BD02EA0" w14:textId="7DF2D2CD" w:rsidR="00A0594D" w:rsidRPr="00285665" w:rsidRDefault="00A0594D" w:rsidP="00A0594D">
            <w:pPr>
              <w:pStyle w:val="Tabletext8pt"/>
              <w:rPr>
                <w:color w:val="000000" w:themeColor="text1"/>
                <w:sz w:val="16"/>
                <w:lang w:eastAsia="en-AU"/>
              </w:rPr>
            </w:pPr>
            <w:r w:rsidRPr="00285665">
              <w:rPr>
                <w:color w:val="000000" w:themeColor="text1"/>
                <w:sz w:val="16"/>
                <w:lang w:eastAsia="en-AU"/>
              </w:rPr>
              <w:t>Peninsula Health</w:t>
            </w:r>
          </w:p>
        </w:tc>
        <w:tc>
          <w:tcPr>
            <w:tcW w:w="2775" w:type="dxa"/>
            <w:shd w:val="clear" w:color="auto" w:fill="auto"/>
            <w:tcMar>
              <w:top w:w="15" w:type="dxa"/>
              <w:left w:w="15" w:type="dxa"/>
              <w:right w:w="15" w:type="dxa"/>
            </w:tcMar>
          </w:tcPr>
          <w:p w14:paraId="7DA3101C" w14:textId="4EFC62C2"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445.0</w:t>
            </w:r>
          </w:p>
        </w:tc>
        <w:tc>
          <w:tcPr>
            <w:tcW w:w="2522" w:type="dxa"/>
            <w:shd w:val="clear" w:color="auto" w:fill="auto"/>
            <w:tcMar>
              <w:top w:w="15" w:type="dxa"/>
              <w:left w:w="15" w:type="dxa"/>
              <w:right w:w="15" w:type="dxa"/>
            </w:tcMar>
          </w:tcPr>
          <w:p w14:paraId="585D404E" w14:textId="4E1D51A0"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470.9</w:t>
            </w:r>
          </w:p>
        </w:tc>
      </w:tr>
      <w:tr w:rsidR="00A0594D" w:rsidRPr="00281C85" w14:paraId="436D2D79" w14:textId="77777777" w:rsidTr="00685B35">
        <w:trPr>
          <w:trHeight w:val="300"/>
        </w:trPr>
        <w:tc>
          <w:tcPr>
            <w:tcW w:w="3350" w:type="dxa"/>
            <w:shd w:val="clear" w:color="auto" w:fill="auto"/>
            <w:tcMar>
              <w:top w:w="15" w:type="dxa"/>
              <w:left w:w="15" w:type="dxa"/>
              <w:right w:w="15" w:type="dxa"/>
            </w:tcMar>
          </w:tcPr>
          <w:p w14:paraId="74ACE339" w14:textId="2EA222BC" w:rsidR="00A0594D" w:rsidRPr="00285665" w:rsidRDefault="00A0594D" w:rsidP="00A0594D">
            <w:pPr>
              <w:pStyle w:val="Tabletext8pt"/>
              <w:rPr>
                <w:color w:val="000000" w:themeColor="text1"/>
                <w:sz w:val="16"/>
                <w:lang w:eastAsia="en-AU"/>
              </w:rPr>
            </w:pPr>
            <w:r w:rsidRPr="00285665">
              <w:rPr>
                <w:color w:val="000000" w:themeColor="text1"/>
                <w:sz w:val="16"/>
                <w:lang w:eastAsia="en-AU"/>
              </w:rPr>
              <w:t>Peter MacCallum Cancer Institute</w:t>
            </w:r>
          </w:p>
        </w:tc>
        <w:tc>
          <w:tcPr>
            <w:tcW w:w="2775" w:type="dxa"/>
            <w:shd w:val="clear" w:color="auto" w:fill="auto"/>
            <w:tcMar>
              <w:top w:w="15" w:type="dxa"/>
              <w:left w:w="15" w:type="dxa"/>
              <w:right w:w="15" w:type="dxa"/>
            </w:tcMar>
          </w:tcPr>
          <w:p w14:paraId="1FB79614" w14:textId="07E73908"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195.6</w:t>
            </w:r>
          </w:p>
        </w:tc>
        <w:tc>
          <w:tcPr>
            <w:tcW w:w="2522" w:type="dxa"/>
            <w:shd w:val="clear" w:color="auto" w:fill="auto"/>
            <w:tcMar>
              <w:top w:w="15" w:type="dxa"/>
              <w:left w:w="15" w:type="dxa"/>
              <w:right w:w="15" w:type="dxa"/>
            </w:tcMar>
          </w:tcPr>
          <w:p w14:paraId="1E93CA90" w14:textId="6B247813"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224.0</w:t>
            </w:r>
          </w:p>
        </w:tc>
      </w:tr>
      <w:tr w:rsidR="00A0594D" w:rsidRPr="00281C85" w14:paraId="4F369C38" w14:textId="77777777" w:rsidTr="00685B35">
        <w:trPr>
          <w:trHeight w:val="300"/>
        </w:trPr>
        <w:tc>
          <w:tcPr>
            <w:tcW w:w="3350" w:type="dxa"/>
            <w:shd w:val="clear" w:color="auto" w:fill="auto"/>
            <w:tcMar>
              <w:top w:w="15" w:type="dxa"/>
              <w:left w:w="15" w:type="dxa"/>
              <w:right w:w="15" w:type="dxa"/>
            </w:tcMar>
          </w:tcPr>
          <w:p w14:paraId="7211B322" w14:textId="40F67368" w:rsidR="00A0594D" w:rsidRPr="00285665" w:rsidRDefault="00A0594D" w:rsidP="00A0594D">
            <w:pPr>
              <w:pStyle w:val="Tabletext8pt"/>
              <w:rPr>
                <w:color w:val="000000" w:themeColor="text1"/>
                <w:sz w:val="16"/>
                <w:lang w:eastAsia="en-AU"/>
              </w:rPr>
            </w:pPr>
            <w:r w:rsidRPr="00285665">
              <w:rPr>
                <w:color w:val="000000" w:themeColor="text1"/>
                <w:sz w:val="16"/>
                <w:lang w:eastAsia="en-AU"/>
              </w:rPr>
              <w:t>Portland District Health</w:t>
            </w:r>
          </w:p>
        </w:tc>
        <w:tc>
          <w:tcPr>
            <w:tcW w:w="2775" w:type="dxa"/>
            <w:shd w:val="clear" w:color="auto" w:fill="auto"/>
            <w:tcMar>
              <w:top w:w="15" w:type="dxa"/>
              <w:left w:w="15" w:type="dxa"/>
              <w:right w:w="15" w:type="dxa"/>
            </w:tcMar>
          </w:tcPr>
          <w:p w14:paraId="416CE9D5" w14:textId="2FD03094"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4.1</w:t>
            </w:r>
          </w:p>
        </w:tc>
        <w:tc>
          <w:tcPr>
            <w:tcW w:w="2522" w:type="dxa"/>
            <w:shd w:val="clear" w:color="auto" w:fill="auto"/>
            <w:tcMar>
              <w:top w:w="15" w:type="dxa"/>
              <w:left w:w="15" w:type="dxa"/>
              <w:right w:w="15" w:type="dxa"/>
            </w:tcMar>
          </w:tcPr>
          <w:p w14:paraId="62884C56" w14:textId="358CBADF"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4.5</w:t>
            </w:r>
          </w:p>
        </w:tc>
      </w:tr>
      <w:tr w:rsidR="00A0594D" w:rsidRPr="00281C85" w14:paraId="0B1FBF0F" w14:textId="77777777" w:rsidTr="00685B35">
        <w:trPr>
          <w:trHeight w:val="300"/>
        </w:trPr>
        <w:tc>
          <w:tcPr>
            <w:tcW w:w="3350" w:type="dxa"/>
            <w:shd w:val="clear" w:color="auto" w:fill="auto"/>
            <w:tcMar>
              <w:top w:w="15" w:type="dxa"/>
              <w:left w:w="15" w:type="dxa"/>
              <w:right w:w="15" w:type="dxa"/>
            </w:tcMar>
          </w:tcPr>
          <w:p w14:paraId="543AD3DC" w14:textId="48FF8037" w:rsidR="00A0594D" w:rsidRPr="00285665" w:rsidRDefault="00A0594D" w:rsidP="00A0594D">
            <w:pPr>
              <w:pStyle w:val="Tabletext8pt"/>
              <w:rPr>
                <w:color w:val="000000" w:themeColor="text1"/>
                <w:sz w:val="16"/>
                <w:lang w:eastAsia="en-AU"/>
              </w:rPr>
            </w:pPr>
            <w:r w:rsidRPr="00285665">
              <w:rPr>
                <w:color w:val="000000" w:themeColor="text1"/>
                <w:sz w:val="16"/>
                <w:lang w:eastAsia="en-AU"/>
              </w:rPr>
              <w:t>Royal Children’s Hospital</w:t>
            </w:r>
          </w:p>
        </w:tc>
        <w:tc>
          <w:tcPr>
            <w:tcW w:w="2775" w:type="dxa"/>
            <w:shd w:val="clear" w:color="auto" w:fill="auto"/>
            <w:tcMar>
              <w:top w:w="15" w:type="dxa"/>
              <w:left w:w="15" w:type="dxa"/>
              <w:right w:w="15" w:type="dxa"/>
            </w:tcMar>
          </w:tcPr>
          <w:p w14:paraId="35CAFF92" w14:textId="5B383745"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799.4</w:t>
            </w:r>
          </w:p>
        </w:tc>
        <w:tc>
          <w:tcPr>
            <w:tcW w:w="2522" w:type="dxa"/>
            <w:shd w:val="clear" w:color="auto" w:fill="auto"/>
            <w:tcMar>
              <w:top w:w="15" w:type="dxa"/>
              <w:left w:w="15" w:type="dxa"/>
              <w:right w:w="15" w:type="dxa"/>
            </w:tcMar>
          </w:tcPr>
          <w:p w14:paraId="2D22740A" w14:textId="3604B4DA"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896.0</w:t>
            </w:r>
          </w:p>
        </w:tc>
      </w:tr>
      <w:tr w:rsidR="00A0594D" w:rsidRPr="00281C85" w14:paraId="06315985" w14:textId="77777777" w:rsidTr="00685B35">
        <w:trPr>
          <w:trHeight w:val="300"/>
        </w:trPr>
        <w:tc>
          <w:tcPr>
            <w:tcW w:w="3350" w:type="dxa"/>
            <w:shd w:val="clear" w:color="auto" w:fill="auto"/>
            <w:tcMar>
              <w:top w:w="15" w:type="dxa"/>
              <w:left w:w="15" w:type="dxa"/>
              <w:right w:w="15" w:type="dxa"/>
            </w:tcMar>
          </w:tcPr>
          <w:p w14:paraId="193FDB01" w14:textId="4C0D7973" w:rsidR="00A0594D" w:rsidRPr="00285665" w:rsidRDefault="00A0594D" w:rsidP="00A0594D">
            <w:pPr>
              <w:pStyle w:val="Tabletext8pt"/>
              <w:rPr>
                <w:color w:val="000000" w:themeColor="text1"/>
                <w:sz w:val="16"/>
                <w:lang w:eastAsia="en-AU"/>
              </w:rPr>
            </w:pPr>
            <w:r w:rsidRPr="00285665">
              <w:rPr>
                <w:color w:val="000000" w:themeColor="text1"/>
                <w:sz w:val="16"/>
                <w:lang w:eastAsia="en-AU"/>
              </w:rPr>
              <w:t>Royal Victorian Eye and Ear Hospital, The</w:t>
            </w:r>
          </w:p>
        </w:tc>
        <w:tc>
          <w:tcPr>
            <w:tcW w:w="2775" w:type="dxa"/>
            <w:shd w:val="clear" w:color="auto" w:fill="auto"/>
            <w:tcMar>
              <w:top w:w="15" w:type="dxa"/>
              <w:left w:w="15" w:type="dxa"/>
              <w:right w:w="15" w:type="dxa"/>
            </w:tcMar>
          </w:tcPr>
          <w:p w14:paraId="5EA396EA" w14:textId="1FDA2BAD"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4.0</w:t>
            </w:r>
          </w:p>
        </w:tc>
        <w:tc>
          <w:tcPr>
            <w:tcW w:w="2522" w:type="dxa"/>
            <w:shd w:val="clear" w:color="auto" w:fill="auto"/>
            <w:tcMar>
              <w:top w:w="15" w:type="dxa"/>
              <w:left w:w="15" w:type="dxa"/>
              <w:right w:w="15" w:type="dxa"/>
            </w:tcMar>
          </w:tcPr>
          <w:p w14:paraId="3A00E91F" w14:textId="09674A76"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4.5</w:t>
            </w:r>
          </w:p>
        </w:tc>
      </w:tr>
      <w:tr w:rsidR="00A0594D" w:rsidRPr="00281C85" w14:paraId="79217CE8" w14:textId="77777777" w:rsidTr="00685B35">
        <w:trPr>
          <w:trHeight w:val="300"/>
        </w:trPr>
        <w:tc>
          <w:tcPr>
            <w:tcW w:w="3350" w:type="dxa"/>
            <w:shd w:val="clear" w:color="auto" w:fill="auto"/>
            <w:tcMar>
              <w:top w:w="15" w:type="dxa"/>
              <w:left w:w="15" w:type="dxa"/>
              <w:right w:w="15" w:type="dxa"/>
            </w:tcMar>
          </w:tcPr>
          <w:p w14:paraId="38BC3743" w14:textId="78A6D7DA" w:rsidR="00A0594D" w:rsidRPr="00285665" w:rsidRDefault="00A0594D" w:rsidP="00A0594D">
            <w:pPr>
              <w:pStyle w:val="Tabletext8pt"/>
              <w:rPr>
                <w:color w:val="000000" w:themeColor="text1"/>
                <w:sz w:val="16"/>
                <w:lang w:eastAsia="en-AU"/>
              </w:rPr>
            </w:pPr>
            <w:r w:rsidRPr="00285665">
              <w:rPr>
                <w:color w:val="000000" w:themeColor="text1"/>
                <w:sz w:val="16"/>
                <w:lang w:eastAsia="en-AU"/>
              </w:rPr>
              <w:t>Royal Women’s Hospital</w:t>
            </w:r>
          </w:p>
        </w:tc>
        <w:tc>
          <w:tcPr>
            <w:tcW w:w="2775" w:type="dxa"/>
            <w:shd w:val="clear" w:color="auto" w:fill="auto"/>
            <w:tcMar>
              <w:top w:w="15" w:type="dxa"/>
              <w:left w:w="15" w:type="dxa"/>
              <w:right w:w="15" w:type="dxa"/>
            </w:tcMar>
          </w:tcPr>
          <w:p w14:paraId="76313072" w14:textId="5EFB4380"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165.3</w:t>
            </w:r>
          </w:p>
        </w:tc>
        <w:tc>
          <w:tcPr>
            <w:tcW w:w="2522" w:type="dxa"/>
            <w:shd w:val="clear" w:color="auto" w:fill="auto"/>
            <w:tcMar>
              <w:top w:w="15" w:type="dxa"/>
              <w:left w:w="15" w:type="dxa"/>
              <w:right w:w="15" w:type="dxa"/>
            </w:tcMar>
          </w:tcPr>
          <w:p w14:paraId="085EE6CC" w14:textId="46FAA3DD"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180.4</w:t>
            </w:r>
          </w:p>
        </w:tc>
      </w:tr>
      <w:tr w:rsidR="00A0594D" w:rsidRPr="00281C85" w14:paraId="2988CFAD" w14:textId="77777777" w:rsidTr="00685B35">
        <w:trPr>
          <w:trHeight w:val="300"/>
        </w:trPr>
        <w:tc>
          <w:tcPr>
            <w:tcW w:w="3350" w:type="dxa"/>
            <w:shd w:val="clear" w:color="auto" w:fill="auto"/>
            <w:tcMar>
              <w:top w:w="15" w:type="dxa"/>
              <w:left w:w="15" w:type="dxa"/>
              <w:right w:w="15" w:type="dxa"/>
            </w:tcMar>
          </w:tcPr>
          <w:p w14:paraId="0BF75E58" w14:textId="5068863D" w:rsidR="00A0594D" w:rsidRPr="00285665" w:rsidRDefault="00A0594D" w:rsidP="00A0594D">
            <w:pPr>
              <w:pStyle w:val="Tabletext8pt"/>
              <w:rPr>
                <w:color w:val="000000" w:themeColor="text1"/>
                <w:sz w:val="16"/>
                <w:lang w:eastAsia="en-AU"/>
              </w:rPr>
            </w:pPr>
            <w:r w:rsidRPr="00285665">
              <w:rPr>
                <w:color w:val="000000" w:themeColor="text1"/>
                <w:sz w:val="16"/>
                <w:lang w:eastAsia="en-AU"/>
              </w:rPr>
              <w:t>South West Healthcare</w:t>
            </w:r>
          </w:p>
        </w:tc>
        <w:tc>
          <w:tcPr>
            <w:tcW w:w="2775" w:type="dxa"/>
            <w:shd w:val="clear" w:color="auto" w:fill="auto"/>
            <w:tcMar>
              <w:top w:w="15" w:type="dxa"/>
              <w:left w:w="15" w:type="dxa"/>
              <w:right w:w="15" w:type="dxa"/>
            </w:tcMar>
          </w:tcPr>
          <w:p w14:paraId="3FA8A8F0" w14:textId="61138808"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102.0</w:t>
            </w:r>
          </w:p>
        </w:tc>
        <w:tc>
          <w:tcPr>
            <w:tcW w:w="2522" w:type="dxa"/>
            <w:shd w:val="clear" w:color="auto" w:fill="auto"/>
            <w:tcMar>
              <w:top w:w="15" w:type="dxa"/>
              <w:left w:w="15" w:type="dxa"/>
              <w:right w:w="15" w:type="dxa"/>
            </w:tcMar>
          </w:tcPr>
          <w:p w14:paraId="760E5CD7" w14:textId="52A8856E"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110.3</w:t>
            </w:r>
          </w:p>
        </w:tc>
      </w:tr>
      <w:tr w:rsidR="00A0594D" w:rsidRPr="00281C85" w14:paraId="061FCDAE" w14:textId="77777777" w:rsidTr="00685B35">
        <w:trPr>
          <w:trHeight w:val="300"/>
        </w:trPr>
        <w:tc>
          <w:tcPr>
            <w:tcW w:w="3350" w:type="dxa"/>
            <w:shd w:val="clear" w:color="auto" w:fill="auto"/>
            <w:tcMar>
              <w:top w:w="15" w:type="dxa"/>
              <w:left w:w="15" w:type="dxa"/>
              <w:right w:w="15" w:type="dxa"/>
            </w:tcMar>
          </w:tcPr>
          <w:p w14:paraId="6C630C28" w14:textId="6354E7BD" w:rsidR="00A0594D" w:rsidRPr="00285665" w:rsidRDefault="00A0594D" w:rsidP="00A0594D">
            <w:pPr>
              <w:pStyle w:val="Tabletext8pt"/>
              <w:rPr>
                <w:color w:val="000000" w:themeColor="text1"/>
                <w:sz w:val="16"/>
                <w:lang w:eastAsia="en-AU"/>
              </w:rPr>
            </w:pPr>
            <w:r w:rsidRPr="00285665">
              <w:rPr>
                <w:color w:val="000000" w:themeColor="text1"/>
                <w:sz w:val="16"/>
                <w:lang w:eastAsia="en-AU"/>
              </w:rPr>
              <w:t>St Vincent’s Health</w:t>
            </w:r>
          </w:p>
        </w:tc>
        <w:tc>
          <w:tcPr>
            <w:tcW w:w="2775" w:type="dxa"/>
            <w:shd w:val="clear" w:color="auto" w:fill="auto"/>
            <w:tcMar>
              <w:top w:w="15" w:type="dxa"/>
              <w:left w:w="15" w:type="dxa"/>
              <w:right w:w="15" w:type="dxa"/>
            </w:tcMar>
          </w:tcPr>
          <w:p w14:paraId="23DB2074" w14:textId="08159776"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623.5</w:t>
            </w:r>
          </w:p>
        </w:tc>
        <w:tc>
          <w:tcPr>
            <w:tcW w:w="2522" w:type="dxa"/>
            <w:shd w:val="clear" w:color="auto" w:fill="auto"/>
            <w:tcMar>
              <w:top w:w="15" w:type="dxa"/>
              <w:left w:w="15" w:type="dxa"/>
              <w:right w:w="15" w:type="dxa"/>
            </w:tcMar>
          </w:tcPr>
          <w:p w14:paraId="616E898E" w14:textId="6006E183"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668.0</w:t>
            </w:r>
          </w:p>
        </w:tc>
      </w:tr>
      <w:tr w:rsidR="00A0594D" w:rsidRPr="00281C85" w14:paraId="2AB0BD0A" w14:textId="77777777" w:rsidTr="00685B35">
        <w:trPr>
          <w:trHeight w:val="300"/>
        </w:trPr>
        <w:tc>
          <w:tcPr>
            <w:tcW w:w="3350" w:type="dxa"/>
            <w:shd w:val="clear" w:color="auto" w:fill="auto"/>
            <w:tcMar>
              <w:top w:w="15" w:type="dxa"/>
              <w:left w:w="15" w:type="dxa"/>
              <w:right w:w="15" w:type="dxa"/>
            </w:tcMar>
          </w:tcPr>
          <w:p w14:paraId="48C31683" w14:textId="2BF92942" w:rsidR="00A0594D" w:rsidRPr="00285665" w:rsidRDefault="00A0594D" w:rsidP="00A0594D">
            <w:pPr>
              <w:pStyle w:val="Tabletext8pt"/>
              <w:rPr>
                <w:color w:val="000000" w:themeColor="text1"/>
                <w:sz w:val="16"/>
                <w:lang w:eastAsia="en-AU"/>
              </w:rPr>
            </w:pPr>
            <w:r w:rsidRPr="00285665">
              <w:rPr>
                <w:color w:val="000000" w:themeColor="text1"/>
                <w:sz w:val="16"/>
                <w:lang w:eastAsia="en-AU"/>
              </w:rPr>
              <w:t>Swan Hill District Health</w:t>
            </w:r>
          </w:p>
        </w:tc>
        <w:tc>
          <w:tcPr>
            <w:tcW w:w="2775" w:type="dxa"/>
            <w:shd w:val="clear" w:color="auto" w:fill="auto"/>
            <w:tcMar>
              <w:top w:w="15" w:type="dxa"/>
              <w:left w:w="15" w:type="dxa"/>
              <w:right w:w="15" w:type="dxa"/>
            </w:tcMar>
          </w:tcPr>
          <w:p w14:paraId="400248A2" w14:textId="1E39FA15"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4.6</w:t>
            </w:r>
          </w:p>
        </w:tc>
        <w:tc>
          <w:tcPr>
            <w:tcW w:w="2522" w:type="dxa"/>
            <w:shd w:val="clear" w:color="auto" w:fill="auto"/>
            <w:tcMar>
              <w:top w:w="15" w:type="dxa"/>
              <w:left w:w="15" w:type="dxa"/>
              <w:right w:w="15" w:type="dxa"/>
            </w:tcMar>
          </w:tcPr>
          <w:p w14:paraId="03C81ADE" w14:textId="40D04122"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3.4</w:t>
            </w:r>
          </w:p>
        </w:tc>
      </w:tr>
      <w:tr w:rsidR="00A0594D" w:rsidRPr="00281C85" w14:paraId="7DF971A2" w14:textId="77777777" w:rsidTr="00685B35">
        <w:trPr>
          <w:trHeight w:val="300"/>
        </w:trPr>
        <w:tc>
          <w:tcPr>
            <w:tcW w:w="3350" w:type="dxa"/>
            <w:shd w:val="clear" w:color="auto" w:fill="auto"/>
            <w:tcMar>
              <w:top w:w="15" w:type="dxa"/>
              <w:left w:w="15" w:type="dxa"/>
              <w:right w:w="15" w:type="dxa"/>
            </w:tcMar>
          </w:tcPr>
          <w:p w14:paraId="428E4ED4" w14:textId="65EA19F1" w:rsidR="00A0594D" w:rsidRPr="00285665" w:rsidRDefault="00A0594D" w:rsidP="00A0594D">
            <w:pPr>
              <w:pStyle w:val="Tabletext8pt"/>
              <w:rPr>
                <w:color w:val="000000" w:themeColor="text1"/>
                <w:sz w:val="16"/>
                <w:lang w:eastAsia="en-AU"/>
              </w:rPr>
            </w:pPr>
            <w:r w:rsidRPr="00285665">
              <w:rPr>
                <w:color w:val="000000" w:themeColor="text1"/>
                <w:sz w:val="16"/>
                <w:lang w:eastAsia="en-AU"/>
              </w:rPr>
              <w:t>West Gippsland Healthcare Group</w:t>
            </w:r>
          </w:p>
        </w:tc>
        <w:tc>
          <w:tcPr>
            <w:tcW w:w="2775" w:type="dxa"/>
            <w:shd w:val="clear" w:color="auto" w:fill="auto"/>
            <w:tcMar>
              <w:top w:w="15" w:type="dxa"/>
              <w:left w:w="15" w:type="dxa"/>
              <w:right w:w="15" w:type="dxa"/>
            </w:tcMar>
          </w:tcPr>
          <w:p w14:paraId="74043CD3" w14:textId="20DDEA31"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21.2</w:t>
            </w:r>
          </w:p>
        </w:tc>
        <w:tc>
          <w:tcPr>
            <w:tcW w:w="2522" w:type="dxa"/>
            <w:shd w:val="clear" w:color="auto" w:fill="auto"/>
            <w:tcMar>
              <w:top w:w="15" w:type="dxa"/>
              <w:left w:w="15" w:type="dxa"/>
              <w:right w:w="15" w:type="dxa"/>
            </w:tcMar>
          </w:tcPr>
          <w:p w14:paraId="4D4A2DEF" w14:textId="29CE1EC4"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21.9</w:t>
            </w:r>
          </w:p>
        </w:tc>
      </w:tr>
      <w:tr w:rsidR="00A0594D" w:rsidRPr="00281C85" w14:paraId="6546D264" w14:textId="77777777" w:rsidTr="00685B35">
        <w:trPr>
          <w:trHeight w:val="300"/>
        </w:trPr>
        <w:tc>
          <w:tcPr>
            <w:tcW w:w="3350" w:type="dxa"/>
            <w:shd w:val="clear" w:color="auto" w:fill="auto"/>
            <w:tcMar>
              <w:top w:w="15" w:type="dxa"/>
              <w:left w:w="15" w:type="dxa"/>
              <w:right w:w="15" w:type="dxa"/>
            </w:tcMar>
          </w:tcPr>
          <w:p w14:paraId="04EC53A7" w14:textId="78850D85" w:rsidR="00A0594D" w:rsidRPr="00285665" w:rsidRDefault="00A0594D" w:rsidP="00A0594D">
            <w:pPr>
              <w:pStyle w:val="Tabletext8pt"/>
              <w:rPr>
                <w:color w:val="000000" w:themeColor="text1"/>
                <w:sz w:val="16"/>
                <w:lang w:eastAsia="en-AU"/>
              </w:rPr>
            </w:pPr>
            <w:r w:rsidRPr="00285665">
              <w:rPr>
                <w:color w:val="000000" w:themeColor="text1"/>
                <w:sz w:val="16"/>
                <w:lang w:eastAsia="en-AU"/>
              </w:rPr>
              <w:t>Western District Health Service</w:t>
            </w:r>
          </w:p>
        </w:tc>
        <w:tc>
          <w:tcPr>
            <w:tcW w:w="2775" w:type="dxa"/>
            <w:shd w:val="clear" w:color="auto" w:fill="auto"/>
            <w:tcMar>
              <w:top w:w="15" w:type="dxa"/>
              <w:left w:w="15" w:type="dxa"/>
              <w:right w:w="15" w:type="dxa"/>
            </w:tcMar>
          </w:tcPr>
          <w:p w14:paraId="48AAAF5F" w14:textId="69246438"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20.5</w:t>
            </w:r>
          </w:p>
        </w:tc>
        <w:tc>
          <w:tcPr>
            <w:tcW w:w="2522" w:type="dxa"/>
            <w:shd w:val="clear" w:color="auto" w:fill="auto"/>
            <w:tcMar>
              <w:top w:w="15" w:type="dxa"/>
              <w:left w:w="15" w:type="dxa"/>
              <w:right w:w="15" w:type="dxa"/>
            </w:tcMar>
          </w:tcPr>
          <w:p w14:paraId="43710BD8" w14:textId="17DEED9F"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20.9</w:t>
            </w:r>
          </w:p>
        </w:tc>
      </w:tr>
      <w:tr w:rsidR="00A0594D" w:rsidRPr="00281C85" w14:paraId="6F9277EE" w14:textId="77777777" w:rsidTr="00685B35">
        <w:trPr>
          <w:trHeight w:val="300"/>
        </w:trPr>
        <w:tc>
          <w:tcPr>
            <w:tcW w:w="3350" w:type="dxa"/>
            <w:shd w:val="clear" w:color="auto" w:fill="auto"/>
            <w:tcMar>
              <w:top w:w="15" w:type="dxa"/>
              <w:left w:w="15" w:type="dxa"/>
              <w:right w:w="15" w:type="dxa"/>
            </w:tcMar>
          </w:tcPr>
          <w:p w14:paraId="2CA5145B" w14:textId="0B270D34" w:rsidR="00A0594D" w:rsidRPr="00285665" w:rsidRDefault="00A0594D" w:rsidP="00A0594D">
            <w:pPr>
              <w:pStyle w:val="Tabletext8pt"/>
              <w:rPr>
                <w:color w:val="000000" w:themeColor="text1"/>
                <w:sz w:val="16"/>
                <w:lang w:eastAsia="en-AU"/>
              </w:rPr>
            </w:pPr>
            <w:r w:rsidRPr="00285665">
              <w:rPr>
                <w:color w:val="000000" w:themeColor="text1"/>
                <w:sz w:val="16"/>
                <w:lang w:eastAsia="en-AU"/>
              </w:rPr>
              <w:t>Western Health</w:t>
            </w:r>
          </w:p>
        </w:tc>
        <w:tc>
          <w:tcPr>
            <w:tcW w:w="2775" w:type="dxa"/>
            <w:shd w:val="clear" w:color="auto" w:fill="auto"/>
            <w:tcMar>
              <w:top w:w="15" w:type="dxa"/>
              <w:left w:w="15" w:type="dxa"/>
              <w:right w:w="15" w:type="dxa"/>
            </w:tcMar>
          </w:tcPr>
          <w:p w14:paraId="726C5DC0" w14:textId="5757264F"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739.3</w:t>
            </w:r>
          </w:p>
        </w:tc>
        <w:tc>
          <w:tcPr>
            <w:tcW w:w="2522" w:type="dxa"/>
            <w:shd w:val="clear" w:color="auto" w:fill="auto"/>
            <w:tcMar>
              <w:top w:w="15" w:type="dxa"/>
              <w:left w:w="15" w:type="dxa"/>
              <w:right w:w="15" w:type="dxa"/>
            </w:tcMar>
          </w:tcPr>
          <w:p w14:paraId="640111CD" w14:textId="26A6CFCC" w:rsidR="00A0594D" w:rsidRPr="00285665" w:rsidRDefault="00A0594D" w:rsidP="00A0594D">
            <w:pPr>
              <w:pStyle w:val="Tabletext8pt"/>
              <w:jc w:val="right"/>
              <w:rPr>
                <w:color w:val="000000" w:themeColor="text1"/>
                <w:sz w:val="16"/>
                <w:lang w:eastAsia="en-AU"/>
              </w:rPr>
            </w:pPr>
            <w:r w:rsidRPr="00285665">
              <w:rPr>
                <w:color w:val="000000" w:themeColor="text1"/>
                <w:sz w:val="16"/>
                <w:lang w:eastAsia="en-AU"/>
              </w:rPr>
              <w:t>795.2</w:t>
            </w:r>
          </w:p>
        </w:tc>
      </w:tr>
      <w:tr w:rsidR="00A0594D" w:rsidRPr="00281C85" w14:paraId="7B617DE3" w14:textId="77777777" w:rsidTr="00685B35">
        <w:trPr>
          <w:trHeight w:val="300"/>
        </w:trPr>
        <w:tc>
          <w:tcPr>
            <w:tcW w:w="3350" w:type="dxa"/>
            <w:shd w:val="clear" w:color="auto" w:fill="auto"/>
            <w:tcMar>
              <w:top w:w="15" w:type="dxa"/>
              <w:left w:w="15" w:type="dxa"/>
              <w:right w:w="15" w:type="dxa"/>
            </w:tcMar>
          </w:tcPr>
          <w:p w14:paraId="088292E9" w14:textId="3BB62EEE" w:rsidR="00A0594D" w:rsidRPr="00685B35" w:rsidRDefault="00A0594D" w:rsidP="00A0594D">
            <w:pPr>
              <w:spacing w:after="0" w:line="240" w:lineRule="auto"/>
              <w:rPr>
                <w:rFonts w:cs="Arial"/>
                <w:b/>
                <w:bCs/>
                <w:color w:val="000000" w:themeColor="text1"/>
                <w:sz w:val="16"/>
                <w:szCs w:val="16"/>
                <w:lang w:eastAsia="en-AU"/>
              </w:rPr>
            </w:pPr>
            <w:r w:rsidRPr="00685B35">
              <w:rPr>
                <w:rFonts w:cs="Arial"/>
                <w:b/>
                <w:bCs/>
                <w:color w:val="000000" w:themeColor="text1"/>
                <w:sz w:val="16"/>
                <w:szCs w:val="16"/>
                <w:lang w:eastAsia="en-AU"/>
              </w:rPr>
              <w:t>Total</w:t>
            </w:r>
          </w:p>
        </w:tc>
        <w:tc>
          <w:tcPr>
            <w:tcW w:w="2775" w:type="dxa"/>
            <w:shd w:val="clear" w:color="auto" w:fill="auto"/>
            <w:tcMar>
              <w:top w:w="15" w:type="dxa"/>
              <w:left w:w="15" w:type="dxa"/>
              <w:right w:w="15" w:type="dxa"/>
            </w:tcMar>
          </w:tcPr>
          <w:p w14:paraId="604A0CB0" w14:textId="35D43F11" w:rsidR="00A0594D" w:rsidRPr="00685B35" w:rsidRDefault="00A0594D" w:rsidP="00A0594D">
            <w:pPr>
              <w:spacing w:after="0" w:line="240" w:lineRule="auto"/>
              <w:jc w:val="right"/>
              <w:rPr>
                <w:rFonts w:cs="Arial"/>
                <w:b/>
                <w:bCs/>
                <w:color w:val="000000" w:themeColor="text1"/>
                <w:sz w:val="16"/>
                <w:szCs w:val="16"/>
                <w:lang w:eastAsia="en-AU"/>
              </w:rPr>
            </w:pPr>
            <w:r w:rsidRPr="00685B35">
              <w:rPr>
                <w:rFonts w:cs="Arial"/>
                <w:b/>
                <w:bCs/>
                <w:color w:val="000000" w:themeColor="text1"/>
                <w:sz w:val="16"/>
                <w:szCs w:val="16"/>
                <w:lang w:eastAsia="en-AU"/>
              </w:rPr>
              <w:t>11,918.3</w:t>
            </w:r>
          </w:p>
        </w:tc>
        <w:tc>
          <w:tcPr>
            <w:tcW w:w="2522" w:type="dxa"/>
            <w:shd w:val="clear" w:color="auto" w:fill="auto"/>
            <w:tcMar>
              <w:top w:w="15" w:type="dxa"/>
              <w:left w:w="15" w:type="dxa"/>
              <w:right w:w="15" w:type="dxa"/>
            </w:tcMar>
          </w:tcPr>
          <w:p w14:paraId="6BCB9F46" w14:textId="20EC0C3C" w:rsidR="00A0594D" w:rsidRPr="00685B35" w:rsidRDefault="00A0594D" w:rsidP="00A0594D">
            <w:pPr>
              <w:spacing w:after="0" w:line="240" w:lineRule="auto"/>
              <w:jc w:val="right"/>
              <w:rPr>
                <w:rFonts w:cs="Arial"/>
                <w:b/>
                <w:bCs/>
                <w:color w:val="000000" w:themeColor="text1"/>
                <w:sz w:val="16"/>
                <w:szCs w:val="16"/>
                <w:lang w:eastAsia="en-AU"/>
              </w:rPr>
            </w:pPr>
            <w:r w:rsidRPr="00685B35">
              <w:rPr>
                <w:rFonts w:cs="Arial"/>
                <w:b/>
                <w:bCs/>
                <w:color w:val="000000" w:themeColor="text1"/>
                <w:sz w:val="16"/>
                <w:szCs w:val="16"/>
                <w:lang w:eastAsia="en-AU"/>
              </w:rPr>
              <w:t>12,945.3</w:t>
            </w:r>
          </w:p>
        </w:tc>
      </w:tr>
    </w:tbl>
    <w:p w14:paraId="08F4FEF7" w14:textId="0C539A16" w:rsidR="002A1965" w:rsidRDefault="002A1965" w:rsidP="003E49B3">
      <w:pPr>
        <w:spacing w:after="0" w:line="240" w:lineRule="auto"/>
        <w:jc w:val="center"/>
      </w:pPr>
    </w:p>
    <w:p w14:paraId="51F584AD" w14:textId="6F7A05B5" w:rsidR="000B27B9" w:rsidRDefault="7B0F94E6" w:rsidP="00081936">
      <w:pPr>
        <w:pStyle w:val="Heading3"/>
        <w:numPr>
          <w:ilvl w:val="2"/>
          <w:numId w:val="33"/>
        </w:numPr>
        <w:spacing w:before="240"/>
        <w:ind w:left="1134"/>
      </w:pPr>
      <w:bookmarkStart w:id="1127" w:name="_Toc12780667"/>
      <w:bookmarkStart w:id="1128" w:name="_Toc14172308"/>
      <w:bookmarkStart w:id="1129" w:name="_Toc33703982"/>
      <w:bookmarkStart w:id="1130" w:name="_Toc55381170"/>
      <w:bookmarkStart w:id="1131" w:name="_Toc100263376"/>
      <w:bookmarkStart w:id="1132" w:name="_Toc156569701"/>
      <w:r>
        <w:t xml:space="preserve">Victorian </w:t>
      </w:r>
      <w:r w:rsidR="00FB7162">
        <w:t>small rural health service activity targets</w:t>
      </w:r>
      <w:r>
        <w:t xml:space="preserve"> </w:t>
      </w:r>
      <w:bookmarkEnd w:id="1127"/>
      <w:bookmarkEnd w:id="1128"/>
      <w:bookmarkEnd w:id="1129"/>
      <w:bookmarkEnd w:id="1130"/>
      <w:bookmarkEnd w:id="1131"/>
      <w:r w:rsidR="635881F6">
        <w:t>202</w:t>
      </w:r>
      <w:r w:rsidR="00E37EF6">
        <w:t>3</w:t>
      </w:r>
      <w:r w:rsidR="12C452F2">
        <w:t>–</w:t>
      </w:r>
      <w:r w:rsidR="635881F6">
        <w:t>2</w:t>
      </w:r>
      <w:r w:rsidR="00E37EF6">
        <w:t>4</w:t>
      </w:r>
      <w:bookmarkEnd w:id="1132"/>
    </w:p>
    <w:p w14:paraId="52EFCFAA" w14:textId="77777777" w:rsidR="000B27B9" w:rsidRDefault="51BEC4A9" w:rsidP="003B018F">
      <w:pPr>
        <w:pStyle w:val="Tablefigurenote9pt"/>
      </w:pPr>
      <w:r>
        <w:t>Notes:</w:t>
      </w:r>
    </w:p>
    <w:p w14:paraId="54FE9F66" w14:textId="43E8ED04" w:rsidR="000B27B9" w:rsidRDefault="51BEC4A9" w:rsidP="007973C3">
      <w:pPr>
        <w:pStyle w:val="Tablenoteroman"/>
        <w:numPr>
          <w:ilvl w:val="0"/>
          <w:numId w:val="10"/>
        </w:numPr>
      </w:pPr>
      <w:r w:rsidRPr="68F9D2E4">
        <w:rPr>
          <w:lang w:eastAsia="en-AU"/>
        </w:rPr>
        <w:t xml:space="preserve">Recall is not applied on notional public/private </w:t>
      </w:r>
      <w:r w:rsidR="06D186BF" w:rsidRPr="68F9D2E4">
        <w:rPr>
          <w:lang w:eastAsia="en-AU"/>
        </w:rPr>
        <w:t xml:space="preserve">NWAU </w:t>
      </w:r>
      <w:r w:rsidRPr="68F9D2E4">
        <w:rPr>
          <w:lang w:eastAsia="en-AU"/>
        </w:rPr>
        <w:t>targets for small rural health services.</w:t>
      </w:r>
    </w:p>
    <w:p w14:paraId="4735E272" w14:textId="0B6BF976" w:rsidR="000B27B9" w:rsidRDefault="51BEC4A9" w:rsidP="007973C3">
      <w:pPr>
        <w:pStyle w:val="Tablenoteroman"/>
        <w:numPr>
          <w:ilvl w:val="0"/>
          <w:numId w:val="10"/>
        </w:numPr>
      </w:pPr>
      <w:r w:rsidRPr="68F9D2E4">
        <w:rPr>
          <w:lang w:eastAsia="en-AU"/>
        </w:rPr>
        <w:t xml:space="preserve">NBCSP refers to National Bowel Cancer Screen Program colonoscopy </w:t>
      </w:r>
      <w:r w:rsidR="06D186BF" w:rsidRPr="68F9D2E4">
        <w:rPr>
          <w:lang w:eastAsia="en-AU"/>
        </w:rPr>
        <w:t>NWAU</w:t>
      </w:r>
      <w:r w:rsidR="5D7EBDBB" w:rsidRPr="68F9D2E4">
        <w:rPr>
          <w:lang w:eastAsia="en-AU"/>
        </w:rPr>
        <w:t>.</w:t>
      </w:r>
    </w:p>
    <w:p w14:paraId="793D19CF" w14:textId="484DEA00" w:rsidR="000B27B9" w:rsidRDefault="51BEC4A9" w:rsidP="007973C3">
      <w:pPr>
        <w:pStyle w:val="Tablenoteroman"/>
        <w:numPr>
          <w:ilvl w:val="0"/>
          <w:numId w:val="10"/>
        </w:numPr>
      </w:pPr>
      <w:r w:rsidRPr="68F9D2E4">
        <w:rPr>
          <w:lang w:eastAsia="en-AU"/>
        </w:rPr>
        <w:t>NBCSP is paid to actual activity. Targets shown in the table are estimated activity volumes only.</w:t>
      </w:r>
    </w:p>
    <w:p w14:paraId="6A4EC94A" w14:textId="446CC5F6" w:rsidR="00D55128" w:rsidRDefault="00FB7162" w:rsidP="00285665">
      <w:pPr>
        <w:pStyle w:val="Tablecaption"/>
      </w:pPr>
      <w:bookmarkStart w:id="1133" w:name="_Toc156568689"/>
      <w:r>
        <w:t xml:space="preserve">Table </w:t>
      </w:r>
      <w:r>
        <w:fldChar w:fldCharType="begin"/>
      </w:r>
      <w:r>
        <w:instrText>STYLEREF 1 \s</w:instrText>
      </w:r>
      <w:r>
        <w:fldChar w:fldCharType="separate"/>
      </w:r>
      <w:r w:rsidR="00892F13">
        <w:rPr>
          <w:noProof/>
        </w:rPr>
        <w:t>2</w:t>
      </w:r>
      <w:r>
        <w:fldChar w:fldCharType="end"/>
      </w:r>
      <w:r w:rsidR="00742C12">
        <w:t>.</w:t>
      </w:r>
      <w:r>
        <w:fldChar w:fldCharType="begin"/>
      </w:r>
      <w:r>
        <w:instrText>SEQ Table \* ARABIC \s 1</w:instrText>
      </w:r>
      <w:r>
        <w:fldChar w:fldCharType="separate"/>
      </w:r>
      <w:r w:rsidR="00892F13">
        <w:rPr>
          <w:noProof/>
        </w:rPr>
        <w:t>12</w:t>
      </w:r>
      <w:r>
        <w:fldChar w:fldCharType="end"/>
      </w:r>
      <w:r>
        <w:t xml:space="preserve">: Victorian small rural </w:t>
      </w:r>
      <w:r w:rsidRPr="00A030E3">
        <w:t>health</w:t>
      </w:r>
      <w:r>
        <w:t xml:space="preserve"> service activity targets 2023–24</w:t>
      </w:r>
      <w:bookmarkEnd w:id="1133"/>
    </w:p>
    <w:tbl>
      <w:tblPr>
        <w:tblW w:w="8730" w:type="dxa"/>
        <w:tblCellMar>
          <w:top w:w="15" w:type="dxa"/>
          <w:bottom w:w="15" w:type="dxa"/>
        </w:tblCellMar>
        <w:tblLook w:val="04A0" w:firstRow="1" w:lastRow="0" w:firstColumn="1" w:lastColumn="0" w:noHBand="0" w:noVBand="1"/>
      </w:tblPr>
      <w:tblGrid>
        <w:gridCol w:w="3000"/>
        <w:gridCol w:w="1120"/>
        <w:gridCol w:w="1080"/>
        <w:gridCol w:w="1220"/>
        <w:gridCol w:w="1230"/>
        <w:gridCol w:w="1080"/>
      </w:tblGrid>
      <w:tr w:rsidR="00D55128" w:rsidRPr="0010255F" w14:paraId="1A3AB7D0" w14:textId="77777777" w:rsidTr="00D55128">
        <w:trPr>
          <w:trHeight w:val="570"/>
          <w:tblHeader/>
        </w:trPr>
        <w:tc>
          <w:tcPr>
            <w:tcW w:w="3000" w:type="dxa"/>
            <w:tcBorders>
              <w:top w:val="single" w:sz="4" w:space="0" w:color="auto"/>
              <w:left w:val="single" w:sz="4" w:space="0" w:color="auto"/>
              <w:bottom w:val="single" w:sz="4" w:space="0" w:color="auto"/>
              <w:right w:val="single" w:sz="4" w:space="0" w:color="auto"/>
            </w:tcBorders>
            <w:noWrap/>
            <w:vAlign w:val="center"/>
            <w:hideMark/>
          </w:tcPr>
          <w:p w14:paraId="6A0F7E8D" w14:textId="77777777" w:rsidR="00D55128" w:rsidRPr="0010255F" w:rsidRDefault="00D55128" w:rsidP="003D68D1">
            <w:pPr>
              <w:spacing w:after="0" w:line="240" w:lineRule="auto"/>
              <w:rPr>
                <w:rFonts w:cs="Arial"/>
                <w:b/>
                <w:bCs/>
                <w:color w:val="53565A"/>
                <w:sz w:val="16"/>
                <w:szCs w:val="16"/>
                <w:lang w:eastAsia="en-AU"/>
              </w:rPr>
            </w:pPr>
            <w:r w:rsidRPr="0010255F">
              <w:rPr>
                <w:rFonts w:cs="Arial"/>
                <w:b/>
                <w:bCs/>
                <w:color w:val="53565A"/>
                <w:sz w:val="16"/>
                <w:szCs w:val="16"/>
                <w:lang w:eastAsia="en-AU"/>
              </w:rPr>
              <w:t>Health Service</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F76C76E" w14:textId="77777777" w:rsidR="00D55128" w:rsidRPr="0010255F" w:rsidRDefault="00D55128" w:rsidP="003D68D1">
            <w:pPr>
              <w:spacing w:after="0" w:line="240" w:lineRule="auto"/>
              <w:jc w:val="right"/>
              <w:rPr>
                <w:rFonts w:cs="Arial"/>
                <w:b/>
                <w:bCs/>
                <w:color w:val="53565A"/>
                <w:sz w:val="16"/>
                <w:szCs w:val="16"/>
                <w:lang w:eastAsia="en-AU"/>
              </w:rPr>
            </w:pPr>
            <w:r w:rsidRPr="0010255F">
              <w:rPr>
                <w:rFonts w:cs="Arial"/>
                <w:b/>
                <w:bCs/>
                <w:color w:val="53565A"/>
                <w:sz w:val="16"/>
                <w:szCs w:val="16"/>
                <w:lang w:eastAsia="en-AU"/>
              </w:rPr>
              <w:t>National Bowel Screening</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CDA97E" w14:textId="77777777" w:rsidR="00D55128" w:rsidRPr="0010255F" w:rsidRDefault="00D55128" w:rsidP="003D68D1">
            <w:pPr>
              <w:spacing w:after="0" w:line="240" w:lineRule="auto"/>
              <w:jc w:val="right"/>
              <w:rPr>
                <w:rFonts w:cs="Arial"/>
                <w:b/>
                <w:bCs/>
                <w:color w:val="53565A"/>
                <w:sz w:val="16"/>
                <w:szCs w:val="16"/>
                <w:lang w:eastAsia="en-AU"/>
              </w:rPr>
            </w:pPr>
            <w:r w:rsidRPr="0010255F">
              <w:rPr>
                <w:rFonts w:cs="Arial"/>
                <w:b/>
                <w:bCs/>
                <w:color w:val="53565A"/>
                <w:sz w:val="16"/>
                <w:szCs w:val="16"/>
                <w:lang w:eastAsia="en-AU"/>
              </w:rPr>
              <w:t>NWAU admitted DVA</w:t>
            </w:r>
          </w:p>
        </w:tc>
        <w:tc>
          <w:tcPr>
            <w:tcW w:w="1220" w:type="dxa"/>
            <w:tcBorders>
              <w:top w:val="single" w:sz="4" w:space="0" w:color="auto"/>
              <w:left w:val="single" w:sz="4" w:space="0" w:color="auto"/>
              <w:bottom w:val="single" w:sz="4" w:space="0" w:color="auto"/>
              <w:right w:val="single" w:sz="4" w:space="0" w:color="auto"/>
            </w:tcBorders>
            <w:vAlign w:val="center"/>
            <w:hideMark/>
          </w:tcPr>
          <w:p w14:paraId="7EEC1B37" w14:textId="77777777" w:rsidR="00D55128" w:rsidRPr="0010255F" w:rsidRDefault="00D55128" w:rsidP="003D68D1">
            <w:pPr>
              <w:spacing w:after="0" w:line="240" w:lineRule="auto"/>
              <w:jc w:val="right"/>
              <w:rPr>
                <w:rFonts w:cs="Arial"/>
                <w:b/>
                <w:bCs/>
                <w:color w:val="53565A"/>
                <w:sz w:val="16"/>
                <w:szCs w:val="16"/>
                <w:lang w:eastAsia="en-AU"/>
              </w:rPr>
            </w:pPr>
            <w:r w:rsidRPr="0010255F">
              <w:rPr>
                <w:rFonts w:cs="Arial"/>
                <w:b/>
                <w:bCs/>
                <w:color w:val="53565A"/>
                <w:sz w:val="16"/>
                <w:szCs w:val="16"/>
                <w:lang w:eastAsia="en-AU"/>
              </w:rPr>
              <w:t>NWAU admitted TAC</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2DD0205" w14:textId="77777777" w:rsidR="00D55128" w:rsidRPr="0010255F" w:rsidRDefault="00D55128" w:rsidP="003D68D1">
            <w:pPr>
              <w:spacing w:after="0" w:line="240" w:lineRule="auto"/>
              <w:jc w:val="right"/>
              <w:rPr>
                <w:rFonts w:cs="Arial"/>
                <w:b/>
                <w:bCs/>
                <w:color w:val="53565A"/>
                <w:sz w:val="16"/>
                <w:szCs w:val="16"/>
                <w:lang w:eastAsia="en-AU"/>
              </w:rPr>
            </w:pPr>
            <w:r w:rsidRPr="0010255F">
              <w:rPr>
                <w:rFonts w:cs="Arial"/>
                <w:b/>
                <w:bCs/>
                <w:color w:val="53565A"/>
                <w:sz w:val="16"/>
                <w:szCs w:val="16"/>
                <w:lang w:eastAsia="en-AU"/>
              </w:rPr>
              <w:t>NWAU Renal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3A3492B" w14:textId="77777777" w:rsidR="00D55128" w:rsidRPr="0010255F" w:rsidRDefault="00D55128" w:rsidP="003D68D1">
            <w:pPr>
              <w:spacing w:after="0" w:line="240" w:lineRule="auto"/>
              <w:jc w:val="right"/>
              <w:rPr>
                <w:rFonts w:cs="Arial"/>
                <w:b/>
                <w:bCs/>
                <w:color w:val="53565A"/>
                <w:sz w:val="16"/>
                <w:szCs w:val="16"/>
                <w:lang w:eastAsia="en-AU"/>
              </w:rPr>
            </w:pPr>
            <w:r w:rsidRPr="0010255F">
              <w:rPr>
                <w:rFonts w:cs="Arial"/>
                <w:b/>
                <w:bCs/>
                <w:color w:val="53565A"/>
                <w:sz w:val="16"/>
                <w:szCs w:val="16"/>
                <w:lang w:eastAsia="en-AU"/>
              </w:rPr>
              <w:t>Total</w:t>
            </w:r>
          </w:p>
        </w:tc>
      </w:tr>
      <w:tr w:rsidR="00D55128" w:rsidRPr="0010255F" w14:paraId="543EC5A9"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59AA5B16"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Alexandra District Health</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7775417E"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6.73</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85E6B31"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9</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094330B6"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71B07DE5" w14:textId="77777777" w:rsidR="00D55128" w:rsidRPr="0010255F" w:rsidRDefault="00D55128" w:rsidP="003D68D1">
            <w:pPr>
              <w:spacing w:after="0" w:line="240" w:lineRule="auto"/>
              <w:rPr>
                <w:rFonts w:ascii="Times New Roman" w:hAnsi="Times New Roman"/>
                <w:sz w:val="20"/>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1ADABAD9"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15.73</w:t>
            </w:r>
          </w:p>
        </w:tc>
      </w:tr>
      <w:tr w:rsidR="00D55128" w:rsidRPr="0010255F" w14:paraId="443945BB"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0731D265"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Alpine Health</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1D6112AF" w14:textId="77777777" w:rsidR="00D55128" w:rsidRPr="0010255F" w:rsidRDefault="00D55128" w:rsidP="003D68D1">
            <w:pPr>
              <w:spacing w:after="0" w:line="240" w:lineRule="auto"/>
              <w:rPr>
                <w:rFonts w:cs="Arial"/>
                <w:color w:val="000000"/>
                <w:sz w:val="16"/>
                <w:szCs w:val="16"/>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0167A93"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16</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69691950"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2</w:t>
            </w: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7FFD0FF0"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40.27</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A597063"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58.27</w:t>
            </w:r>
          </w:p>
        </w:tc>
      </w:tr>
      <w:tr w:rsidR="00D55128" w:rsidRPr="0010255F" w14:paraId="02E68A12"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6434E083"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Beaufort &amp; Skipton Health Service</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5B95E9AA" w14:textId="77777777" w:rsidR="00D55128" w:rsidRPr="0010255F" w:rsidRDefault="00D55128" w:rsidP="003D68D1">
            <w:pPr>
              <w:spacing w:after="0" w:line="240" w:lineRule="auto"/>
              <w:rPr>
                <w:rFonts w:cs="Arial"/>
                <w:color w:val="000000"/>
                <w:sz w:val="16"/>
                <w:szCs w:val="16"/>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1320410"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3</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16D2A378"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29D5FB47" w14:textId="77777777" w:rsidR="00D55128" w:rsidRPr="0010255F" w:rsidRDefault="00D55128" w:rsidP="003D68D1">
            <w:pPr>
              <w:spacing w:after="0" w:line="240" w:lineRule="auto"/>
              <w:rPr>
                <w:rFonts w:ascii="Times New Roman" w:hAnsi="Times New Roman"/>
                <w:sz w:val="20"/>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11158D9D"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3</w:t>
            </w:r>
          </w:p>
        </w:tc>
      </w:tr>
      <w:tr w:rsidR="00D55128" w:rsidRPr="0010255F" w14:paraId="25536C1B"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614B7355"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Beechworth Health Service</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269476D3" w14:textId="77777777" w:rsidR="00D55128" w:rsidRPr="0010255F" w:rsidRDefault="00D55128" w:rsidP="003D68D1">
            <w:pPr>
              <w:spacing w:after="0" w:line="240" w:lineRule="auto"/>
              <w:rPr>
                <w:rFonts w:cs="Arial"/>
                <w:color w:val="000000"/>
                <w:sz w:val="16"/>
                <w:szCs w:val="16"/>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89F3932"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12</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7F620402"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6E40C08D" w14:textId="77777777" w:rsidR="00D55128" w:rsidRPr="0010255F" w:rsidRDefault="00D55128" w:rsidP="003D68D1">
            <w:pPr>
              <w:spacing w:after="0" w:line="240" w:lineRule="auto"/>
              <w:rPr>
                <w:rFonts w:ascii="Times New Roman" w:hAnsi="Times New Roman"/>
                <w:sz w:val="20"/>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4527DCEE"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12</w:t>
            </w:r>
          </w:p>
        </w:tc>
      </w:tr>
      <w:tr w:rsidR="00D55128" w:rsidRPr="0010255F" w14:paraId="39825307"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0C6712E4"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Boort District Health</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694C6874" w14:textId="77777777" w:rsidR="00D55128" w:rsidRPr="0010255F" w:rsidRDefault="00D55128" w:rsidP="003D68D1">
            <w:pPr>
              <w:spacing w:after="0" w:line="240" w:lineRule="auto"/>
              <w:rPr>
                <w:rFonts w:cs="Arial"/>
                <w:color w:val="000000"/>
                <w:sz w:val="16"/>
                <w:szCs w:val="16"/>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35009C0"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3</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2092DBE6"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3D0AD588" w14:textId="77777777" w:rsidR="00D55128" w:rsidRPr="0010255F" w:rsidRDefault="00D55128" w:rsidP="003D68D1">
            <w:pPr>
              <w:spacing w:after="0" w:line="240" w:lineRule="auto"/>
              <w:rPr>
                <w:rFonts w:ascii="Times New Roman" w:hAnsi="Times New Roman"/>
                <w:sz w:val="20"/>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3AE871D"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3</w:t>
            </w:r>
          </w:p>
        </w:tc>
      </w:tr>
      <w:tr w:rsidR="00D55128" w:rsidRPr="0010255F" w14:paraId="0F420D10"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57B8182C"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Casterton Memorial Hospital</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4C8427A6"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0.86</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04F1F914"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9</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51ED2BB6"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12B2CED8"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3.44</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70B5F342"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13.30</w:t>
            </w:r>
          </w:p>
        </w:tc>
      </w:tr>
      <w:tr w:rsidR="00D55128" w:rsidRPr="0010255F" w14:paraId="17281F40"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73FBC972"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Central Highlands Rural Health</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1D6C01D1"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78.37</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538E7BE0"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9</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1C332F1F"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72A37D91"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106.55</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0515248E"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193.92</w:t>
            </w:r>
          </w:p>
        </w:tc>
      </w:tr>
      <w:tr w:rsidR="00D55128" w:rsidRPr="0010255F" w14:paraId="10BA187B"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79438E8C"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Cohuna District Hospital</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2FC088D2" w14:textId="77777777" w:rsidR="00D55128" w:rsidRPr="0010255F" w:rsidRDefault="00D55128" w:rsidP="003D68D1">
            <w:pPr>
              <w:spacing w:after="0" w:line="240" w:lineRule="auto"/>
              <w:rPr>
                <w:rFonts w:cs="Arial"/>
                <w:color w:val="000000"/>
                <w:sz w:val="16"/>
                <w:szCs w:val="16"/>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084DB2CA"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7</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27D0A256"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09F08481"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24.96</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B17F25F"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31.96</w:t>
            </w:r>
          </w:p>
        </w:tc>
      </w:tr>
      <w:tr w:rsidR="00D55128" w:rsidRPr="0010255F" w14:paraId="1B1A3C2F"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4E49E4CC"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Corryong Health</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03DB5635" w14:textId="77777777" w:rsidR="00D55128" w:rsidRPr="0010255F" w:rsidRDefault="00D55128" w:rsidP="003D68D1">
            <w:pPr>
              <w:spacing w:after="0" w:line="240" w:lineRule="auto"/>
              <w:rPr>
                <w:rFonts w:cs="Arial"/>
                <w:color w:val="000000"/>
                <w:sz w:val="16"/>
                <w:szCs w:val="16"/>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1086D88B"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5</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202E0332"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203D5F92"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29.39</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D8825AC"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34.39</w:t>
            </w:r>
          </w:p>
        </w:tc>
      </w:tr>
      <w:tr w:rsidR="00D55128" w:rsidRPr="0010255F" w14:paraId="45075662"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5883A4EC"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East Wimmera Health Service</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4D5AE75F" w14:textId="77777777" w:rsidR="00D55128" w:rsidRPr="0010255F" w:rsidRDefault="00D55128" w:rsidP="003D68D1">
            <w:pPr>
              <w:spacing w:after="0" w:line="240" w:lineRule="auto"/>
              <w:rPr>
                <w:rFonts w:cs="Arial"/>
                <w:color w:val="000000"/>
                <w:sz w:val="16"/>
                <w:szCs w:val="16"/>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36B0818"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11</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2C225FBB"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3DBF48B3"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22.81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E54C49B"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33.81</w:t>
            </w:r>
          </w:p>
        </w:tc>
      </w:tr>
      <w:tr w:rsidR="00D55128" w:rsidRPr="0010255F" w14:paraId="79139DB7"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4589D2FB"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Great Ocean Road Health</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536FB7CE" w14:textId="77777777" w:rsidR="00D55128" w:rsidRPr="0010255F" w:rsidRDefault="00D55128" w:rsidP="003D68D1">
            <w:pPr>
              <w:spacing w:after="0" w:line="240" w:lineRule="auto"/>
              <w:rPr>
                <w:rFonts w:cs="Arial"/>
                <w:color w:val="000000"/>
                <w:sz w:val="16"/>
                <w:szCs w:val="16"/>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7FEB44C1" w14:textId="77777777" w:rsidR="00D55128" w:rsidRPr="0010255F" w:rsidRDefault="00D55128" w:rsidP="003D68D1">
            <w:pPr>
              <w:spacing w:after="0" w:line="240" w:lineRule="auto"/>
              <w:rPr>
                <w:rFonts w:ascii="Times New Roman" w:hAnsi="Times New Roman"/>
                <w:sz w:val="20"/>
                <w:lang w:eastAsia="en-AU"/>
              </w:rPr>
            </w:pP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7FB9A808" w14:textId="77777777" w:rsidR="00D55128" w:rsidRPr="0010255F" w:rsidRDefault="00D55128" w:rsidP="003D68D1">
            <w:pPr>
              <w:spacing w:after="0" w:line="240" w:lineRule="auto"/>
              <w:rPr>
                <w:rFonts w:ascii="Times New Roman" w:hAnsi="Times New Roman"/>
                <w:sz w:val="20"/>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107027EE"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21.06</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9B89407"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21.06</w:t>
            </w:r>
          </w:p>
        </w:tc>
      </w:tr>
      <w:tr w:rsidR="00D55128" w:rsidRPr="0010255F" w14:paraId="6993CC6A"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00967922"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Heathcote Health</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27B1C660" w14:textId="77777777" w:rsidR="00D55128" w:rsidRPr="0010255F" w:rsidRDefault="00D55128" w:rsidP="003D68D1">
            <w:pPr>
              <w:spacing w:after="0" w:line="240" w:lineRule="auto"/>
              <w:rPr>
                <w:rFonts w:cs="Arial"/>
                <w:color w:val="000000"/>
                <w:sz w:val="16"/>
                <w:szCs w:val="16"/>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A140D1E"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1</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1E481EBD"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4FD00AEE" w14:textId="77777777" w:rsidR="00D55128" w:rsidRPr="0010255F" w:rsidRDefault="00D55128" w:rsidP="003D68D1">
            <w:pPr>
              <w:spacing w:after="0" w:line="240" w:lineRule="auto"/>
              <w:rPr>
                <w:rFonts w:ascii="Times New Roman" w:hAnsi="Times New Roman"/>
                <w:sz w:val="20"/>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7B40373B"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1</w:t>
            </w:r>
          </w:p>
        </w:tc>
      </w:tr>
      <w:tr w:rsidR="00D55128" w:rsidRPr="0010255F" w14:paraId="3AC8015D"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6615F39E"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Hesse Rural Health Service</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732FF0ED" w14:textId="77777777" w:rsidR="00D55128" w:rsidRPr="0010255F" w:rsidRDefault="00D55128" w:rsidP="003D68D1">
            <w:pPr>
              <w:spacing w:after="0" w:line="240" w:lineRule="auto"/>
              <w:rPr>
                <w:rFonts w:cs="Arial"/>
                <w:color w:val="000000"/>
                <w:sz w:val="16"/>
                <w:szCs w:val="16"/>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113AAFF5" w14:textId="303BDCB1" w:rsidR="00D55128" w:rsidRPr="0010255F" w:rsidRDefault="00D55128" w:rsidP="003D68D1">
            <w:pPr>
              <w:spacing w:after="0" w:line="240" w:lineRule="auto"/>
              <w:jc w:val="right"/>
              <w:rPr>
                <w:rFonts w:cs="Arial"/>
                <w:color w:val="000000"/>
                <w:sz w:val="16"/>
                <w:szCs w:val="16"/>
                <w:lang w:eastAsia="en-AU"/>
              </w:rPr>
            </w:pP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137D0739"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3E8AD88B" w14:textId="77777777" w:rsidR="00D55128" w:rsidRPr="0010255F" w:rsidRDefault="00D55128" w:rsidP="003D68D1">
            <w:pPr>
              <w:spacing w:after="0" w:line="240" w:lineRule="auto"/>
              <w:rPr>
                <w:rFonts w:ascii="Times New Roman" w:hAnsi="Times New Roman"/>
                <w:sz w:val="20"/>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FA2273B" w14:textId="77777777" w:rsidR="00D55128" w:rsidRPr="0010255F" w:rsidRDefault="00D55128" w:rsidP="003D68D1">
            <w:pPr>
              <w:spacing w:after="0" w:line="240" w:lineRule="auto"/>
              <w:rPr>
                <w:rFonts w:ascii="Times New Roman" w:hAnsi="Times New Roman"/>
                <w:sz w:val="20"/>
                <w:lang w:eastAsia="en-AU"/>
              </w:rPr>
            </w:pPr>
          </w:p>
        </w:tc>
      </w:tr>
      <w:tr w:rsidR="00D55128" w:rsidRPr="0010255F" w14:paraId="4F140698"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25E91B3D"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Heywood Rural Health</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7AC6AD73" w14:textId="77777777" w:rsidR="00D55128" w:rsidRPr="0010255F" w:rsidRDefault="00D55128" w:rsidP="003D68D1">
            <w:pPr>
              <w:spacing w:after="0" w:line="240" w:lineRule="auto"/>
              <w:rPr>
                <w:rFonts w:cs="Arial"/>
                <w:color w:val="000000"/>
                <w:sz w:val="16"/>
                <w:szCs w:val="16"/>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2F9211F"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22</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1A785DFB"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16BA371C" w14:textId="77777777" w:rsidR="00D55128" w:rsidRPr="0010255F" w:rsidRDefault="00D55128" w:rsidP="003D68D1">
            <w:pPr>
              <w:spacing w:after="0" w:line="240" w:lineRule="auto"/>
              <w:rPr>
                <w:rFonts w:ascii="Times New Roman" w:hAnsi="Times New Roman"/>
                <w:sz w:val="20"/>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00E0E73F"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22</w:t>
            </w:r>
          </w:p>
        </w:tc>
      </w:tr>
      <w:tr w:rsidR="00D55128" w:rsidRPr="0010255F" w14:paraId="11CCD776"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4E4DE397"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Inglewood &amp; Districts Health Service</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1D20EC27" w14:textId="77777777" w:rsidR="00D55128" w:rsidRPr="0010255F" w:rsidRDefault="00D55128" w:rsidP="003D68D1">
            <w:pPr>
              <w:spacing w:after="0" w:line="240" w:lineRule="auto"/>
              <w:rPr>
                <w:rFonts w:cs="Arial"/>
                <w:color w:val="000000"/>
                <w:sz w:val="16"/>
                <w:szCs w:val="16"/>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131054E9" w14:textId="77777777" w:rsidR="00D55128" w:rsidRPr="0010255F" w:rsidRDefault="00D55128" w:rsidP="003D68D1">
            <w:pPr>
              <w:spacing w:after="0" w:line="240" w:lineRule="auto"/>
              <w:rPr>
                <w:rFonts w:ascii="Times New Roman" w:hAnsi="Times New Roman"/>
                <w:sz w:val="20"/>
                <w:lang w:eastAsia="en-AU"/>
              </w:rPr>
            </w:pP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74961FB8" w14:textId="77777777" w:rsidR="00D55128" w:rsidRPr="0010255F" w:rsidRDefault="00D55128" w:rsidP="003D68D1">
            <w:pPr>
              <w:spacing w:after="0" w:line="240" w:lineRule="auto"/>
              <w:rPr>
                <w:rFonts w:ascii="Times New Roman" w:hAnsi="Times New Roman"/>
                <w:sz w:val="20"/>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3E4BD513" w14:textId="77777777" w:rsidR="00D55128" w:rsidRPr="0010255F" w:rsidRDefault="00D55128" w:rsidP="003D68D1">
            <w:pPr>
              <w:spacing w:after="0" w:line="240" w:lineRule="auto"/>
              <w:rPr>
                <w:rFonts w:ascii="Times New Roman" w:hAnsi="Times New Roman"/>
                <w:sz w:val="20"/>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7E39FDDC" w14:textId="77777777" w:rsidR="00D55128" w:rsidRPr="0010255F" w:rsidRDefault="00D55128" w:rsidP="003D68D1">
            <w:pPr>
              <w:spacing w:after="0" w:line="240" w:lineRule="auto"/>
              <w:rPr>
                <w:rFonts w:ascii="Times New Roman" w:hAnsi="Times New Roman"/>
                <w:sz w:val="20"/>
                <w:lang w:eastAsia="en-AU"/>
              </w:rPr>
            </w:pPr>
          </w:p>
        </w:tc>
      </w:tr>
      <w:tr w:rsidR="00D55128" w:rsidRPr="0010255F" w14:paraId="464C44A6"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7A728B20"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Kerang &amp; District Health</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175052D9"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0.43</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7F870AFF"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22</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7ABDD35E"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5F62AB5E" w14:textId="77777777" w:rsidR="00D55128" w:rsidRPr="0010255F" w:rsidRDefault="00D55128" w:rsidP="003D68D1">
            <w:pPr>
              <w:spacing w:after="0" w:line="240" w:lineRule="auto"/>
              <w:rPr>
                <w:rFonts w:ascii="Times New Roman" w:hAnsi="Times New Roman"/>
                <w:sz w:val="20"/>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755167A"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22.43</w:t>
            </w:r>
          </w:p>
        </w:tc>
      </w:tr>
      <w:tr w:rsidR="00D55128" w:rsidRPr="0010255F" w14:paraId="0C6D6D53"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76F27795"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Kilmore District Health</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4EE282D1"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20.60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2C17725"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5</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3304C3DF"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58DB1E66" w14:textId="77777777" w:rsidR="00D55128" w:rsidRPr="0010255F" w:rsidRDefault="00D55128" w:rsidP="003D68D1">
            <w:pPr>
              <w:spacing w:after="0" w:line="240" w:lineRule="auto"/>
              <w:rPr>
                <w:rFonts w:ascii="Times New Roman" w:hAnsi="Times New Roman"/>
                <w:sz w:val="20"/>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92A0778"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25.60</w:t>
            </w:r>
          </w:p>
        </w:tc>
      </w:tr>
      <w:tr w:rsidR="00D55128" w:rsidRPr="0010255F" w14:paraId="7AF9F02C"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5D07BDC0"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Kooweerup Regional Health Services</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0D075C39" w14:textId="77777777" w:rsidR="00D55128" w:rsidRPr="0010255F" w:rsidRDefault="00D55128" w:rsidP="003D68D1">
            <w:pPr>
              <w:spacing w:after="0" w:line="240" w:lineRule="auto"/>
              <w:rPr>
                <w:rFonts w:cs="Arial"/>
                <w:color w:val="000000"/>
                <w:sz w:val="16"/>
                <w:szCs w:val="16"/>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E69B8A4"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0</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68DD65C9"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1096B3C1" w14:textId="77777777" w:rsidR="00D55128" w:rsidRPr="0010255F" w:rsidRDefault="00D55128" w:rsidP="003D68D1">
            <w:pPr>
              <w:spacing w:after="0" w:line="240" w:lineRule="auto"/>
              <w:rPr>
                <w:rFonts w:ascii="Times New Roman" w:hAnsi="Times New Roman"/>
                <w:sz w:val="20"/>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007A9D87" w14:textId="77777777" w:rsidR="00D55128" w:rsidRPr="0010255F" w:rsidRDefault="00D55128" w:rsidP="003D68D1">
            <w:pPr>
              <w:spacing w:after="0" w:line="240" w:lineRule="auto"/>
              <w:rPr>
                <w:rFonts w:ascii="Times New Roman" w:hAnsi="Times New Roman"/>
                <w:sz w:val="20"/>
                <w:lang w:eastAsia="en-AU"/>
              </w:rPr>
            </w:pPr>
          </w:p>
        </w:tc>
      </w:tr>
      <w:tr w:rsidR="00D55128" w:rsidRPr="0010255F" w14:paraId="74D79371"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617FC7A9"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Mansfield District Hospital</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7E1B978D"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4.21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0391F16A"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6</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10E72649"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0EB46988"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47.68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A4143EC"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57.89</w:t>
            </w:r>
          </w:p>
        </w:tc>
      </w:tr>
      <w:tr w:rsidR="00D55128" w:rsidRPr="0010255F" w14:paraId="271807DB"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0D4046AC"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Moyne Health Services</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75E3E842" w14:textId="77777777" w:rsidR="00D55128" w:rsidRPr="0010255F" w:rsidRDefault="00D55128" w:rsidP="003D68D1">
            <w:pPr>
              <w:spacing w:after="0" w:line="240" w:lineRule="auto"/>
              <w:rPr>
                <w:rFonts w:cs="Arial"/>
                <w:color w:val="000000"/>
                <w:sz w:val="16"/>
                <w:szCs w:val="16"/>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43521986"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4</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3FA9F2BC"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75D1F3F4" w14:textId="77777777" w:rsidR="00D55128" w:rsidRPr="0010255F" w:rsidRDefault="00D55128" w:rsidP="003D68D1">
            <w:pPr>
              <w:spacing w:after="0" w:line="240" w:lineRule="auto"/>
              <w:rPr>
                <w:rFonts w:ascii="Times New Roman" w:hAnsi="Times New Roman"/>
                <w:sz w:val="20"/>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1288D9CB"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4</w:t>
            </w:r>
          </w:p>
        </w:tc>
      </w:tr>
      <w:tr w:rsidR="00D55128" w:rsidRPr="0010255F" w14:paraId="02CFC6F0"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5FF21E7E"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NCN Health</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6688C1FB"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8.58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7869DD7"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8</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72620AE8"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36496343" w14:textId="77777777" w:rsidR="00D55128" w:rsidRPr="0010255F" w:rsidRDefault="00D55128" w:rsidP="003D68D1">
            <w:pPr>
              <w:spacing w:after="0" w:line="240" w:lineRule="auto"/>
              <w:rPr>
                <w:rFonts w:ascii="Times New Roman" w:hAnsi="Times New Roman"/>
                <w:sz w:val="20"/>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871DA48"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16.58</w:t>
            </w:r>
          </w:p>
        </w:tc>
      </w:tr>
      <w:tr w:rsidR="00D55128" w:rsidRPr="0010255F" w14:paraId="1C2D0339"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FA34D"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Omeo District Health</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F8B112" w14:textId="77777777" w:rsidR="00D55128" w:rsidRPr="0010255F" w:rsidRDefault="00D55128" w:rsidP="003D68D1">
            <w:pPr>
              <w:spacing w:after="0" w:line="240" w:lineRule="auto"/>
              <w:rPr>
                <w:rFonts w:cs="Arial"/>
                <w:color w:val="000000"/>
                <w:sz w:val="16"/>
                <w:szCs w:val="16"/>
                <w:lang w:eastAsia="en-AU"/>
              </w:rPr>
            </w:pP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ADBFE8" w14:textId="77777777" w:rsidR="00D55128" w:rsidRPr="0010255F" w:rsidRDefault="00D55128" w:rsidP="003D68D1">
            <w:pPr>
              <w:spacing w:after="0" w:line="240" w:lineRule="auto"/>
              <w:rPr>
                <w:rFonts w:ascii="Times New Roman" w:hAnsi="Times New Roman"/>
                <w:sz w:val="20"/>
                <w:lang w:eastAsia="en-AU"/>
              </w:rPr>
            </w:pP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A7DBE3" w14:textId="77777777" w:rsidR="00D55128" w:rsidRPr="0010255F" w:rsidRDefault="00D55128" w:rsidP="003D68D1">
            <w:pPr>
              <w:spacing w:after="0" w:line="240" w:lineRule="auto"/>
              <w:rPr>
                <w:rFonts w:ascii="Times New Roman" w:hAnsi="Times New Roman"/>
                <w:sz w:val="20"/>
                <w:lang w:eastAsia="en-AU"/>
              </w:rPr>
            </w:pP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AB3437" w14:textId="77777777" w:rsidR="00D55128" w:rsidRPr="0010255F" w:rsidRDefault="00D55128" w:rsidP="003D68D1">
            <w:pPr>
              <w:spacing w:after="0" w:line="240" w:lineRule="auto"/>
              <w:rPr>
                <w:rFonts w:ascii="Times New Roman" w:hAnsi="Times New Roman"/>
                <w:sz w:val="20"/>
                <w:lang w:eastAsia="en-AU"/>
              </w:rPr>
            </w:pP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FED48E" w14:textId="77777777" w:rsidR="00D55128" w:rsidRPr="0010255F" w:rsidRDefault="00D55128" w:rsidP="003D68D1">
            <w:pPr>
              <w:spacing w:after="0" w:line="240" w:lineRule="auto"/>
              <w:rPr>
                <w:rFonts w:ascii="Times New Roman" w:hAnsi="Times New Roman"/>
                <w:sz w:val="20"/>
                <w:lang w:eastAsia="en-AU"/>
              </w:rPr>
            </w:pPr>
          </w:p>
        </w:tc>
      </w:tr>
      <w:tr w:rsidR="00D55128" w:rsidRPr="0010255F" w14:paraId="4FA6A5C9"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05E16350"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Orbost Regional Health</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32AB955F" w14:textId="77777777" w:rsidR="00D55128" w:rsidRPr="0010255F" w:rsidRDefault="00D55128" w:rsidP="003D68D1">
            <w:pPr>
              <w:spacing w:after="0" w:line="240" w:lineRule="auto"/>
              <w:rPr>
                <w:rFonts w:cs="Arial"/>
                <w:color w:val="000000"/>
                <w:sz w:val="16"/>
                <w:szCs w:val="16"/>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7B8E1A2A"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1</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158EABBE"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1D5F583D"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86.58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DC8E92F"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87.58</w:t>
            </w:r>
          </w:p>
        </w:tc>
      </w:tr>
      <w:tr w:rsidR="00D55128" w:rsidRPr="0010255F" w14:paraId="44079B05"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4732F7A5"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Robinvale District Health Services</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095356CD" w14:textId="77777777" w:rsidR="00D55128" w:rsidRPr="0010255F" w:rsidRDefault="00D55128" w:rsidP="003D68D1">
            <w:pPr>
              <w:spacing w:after="0" w:line="240" w:lineRule="auto"/>
              <w:rPr>
                <w:rFonts w:cs="Arial"/>
                <w:color w:val="000000"/>
                <w:sz w:val="16"/>
                <w:szCs w:val="16"/>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5D35B27D"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2</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700D5234"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4A178B34"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176.35</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04441C8A"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178.35</w:t>
            </w:r>
          </w:p>
        </w:tc>
      </w:tr>
      <w:tr w:rsidR="00D55128" w:rsidRPr="0010255F" w14:paraId="093AB850" w14:textId="77777777" w:rsidTr="00D55128">
        <w:trPr>
          <w:trHeight w:val="405"/>
        </w:trPr>
        <w:tc>
          <w:tcPr>
            <w:tcW w:w="3000" w:type="dxa"/>
            <w:tcBorders>
              <w:top w:val="single" w:sz="4" w:space="0" w:color="auto"/>
              <w:left w:val="single" w:sz="4" w:space="0" w:color="auto"/>
              <w:bottom w:val="single" w:sz="4" w:space="0" w:color="auto"/>
              <w:right w:val="single" w:sz="4" w:space="0" w:color="auto"/>
            </w:tcBorders>
            <w:vAlign w:val="center"/>
            <w:hideMark/>
          </w:tcPr>
          <w:p w14:paraId="72D2F431"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Rochester and Elmore District Health Service</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21EEF2CA" w14:textId="77777777" w:rsidR="00D55128" w:rsidRPr="0010255F" w:rsidRDefault="00D55128" w:rsidP="003D68D1">
            <w:pPr>
              <w:spacing w:after="0" w:line="240" w:lineRule="auto"/>
              <w:rPr>
                <w:rFonts w:cs="Arial"/>
                <w:color w:val="000000"/>
                <w:sz w:val="16"/>
                <w:szCs w:val="16"/>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6E4F3F1"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3</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786F461B"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5FE166AE" w14:textId="77777777" w:rsidR="00D55128" w:rsidRPr="0010255F" w:rsidRDefault="00D55128" w:rsidP="003D68D1">
            <w:pPr>
              <w:spacing w:after="0" w:line="240" w:lineRule="auto"/>
              <w:rPr>
                <w:rFonts w:ascii="Times New Roman" w:hAnsi="Times New Roman"/>
                <w:sz w:val="20"/>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52CF833"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3</w:t>
            </w:r>
          </w:p>
        </w:tc>
      </w:tr>
      <w:tr w:rsidR="00D55128" w:rsidRPr="0010255F" w14:paraId="31753D61"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2CBD8B3D"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Rural Northwest Health</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7E936325" w14:textId="77777777" w:rsidR="00D55128" w:rsidRPr="0010255F" w:rsidRDefault="00D55128" w:rsidP="003D68D1">
            <w:pPr>
              <w:spacing w:after="0" w:line="240" w:lineRule="auto"/>
              <w:rPr>
                <w:rFonts w:cs="Arial"/>
                <w:color w:val="000000"/>
                <w:sz w:val="16"/>
                <w:szCs w:val="16"/>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774F8749"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3</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4105FDAC"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1DE17698" w14:textId="77777777" w:rsidR="00D55128" w:rsidRPr="0010255F" w:rsidRDefault="00D55128" w:rsidP="003D68D1">
            <w:pPr>
              <w:spacing w:after="0" w:line="240" w:lineRule="auto"/>
              <w:rPr>
                <w:rFonts w:ascii="Times New Roman" w:hAnsi="Times New Roman"/>
                <w:sz w:val="20"/>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D8F6727"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3</w:t>
            </w:r>
          </w:p>
        </w:tc>
      </w:tr>
      <w:tr w:rsidR="00D55128" w:rsidRPr="0010255F" w14:paraId="12496A3F"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79C06F9A"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Seymour District Memorial Hospital</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66865E14"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5.68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4BD41E46"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29</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239A4AAF"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712FDA96"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167.68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53E1A37A"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202.36</w:t>
            </w:r>
          </w:p>
        </w:tc>
      </w:tr>
      <w:tr w:rsidR="00D55128" w:rsidRPr="0010255F" w14:paraId="7BEE273C"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257DAE15"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South Gippsland Hospital</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618C2222"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8.11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58066FA1"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24</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09F5684E"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26AF32A2" w14:textId="77777777" w:rsidR="00D55128" w:rsidRPr="0010255F" w:rsidRDefault="00D55128" w:rsidP="003D68D1">
            <w:pPr>
              <w:spacing w:after="0" w:line="240" w:lineRule="auto"/>
              <w:rPr>
                <w:rFonts w:ascii="Times New Roman" w:hAnsi="Times New Roman"/>
                <w:sz w:val="20"/>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A363078"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32.11</w:t>
            </w:r>
          </w:p>
        </w:tc>
      </w:tr>
      <w:tr w:rsidR="00D55128" w:rsidRPr="0010255F" w14:paraId="331512CC"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7A64191C"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Tallangatta Health Service</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6D245229" w14:textId="77777777" w:rsidR="00D55128" w:rsidRPr="0010255F" w:rsidRDefault="00D55128" w:rsidP="003D68D1">
            <w:pPr>
              <w:spacing w:after="0" w:line="240" w:lineRule="auto"/>
              <w:rPr>
                <w:rFonts w:cs="Arial"/>
                <w:color w:val="000000"/>
                <w:sz w:val="16"/>
                <w:szCs w:val="16"/>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570ED00" w14:textId="77777777" w:rsidR="00D55128" w:rsidRPr="0010255F" w:rsidRDefault="00D55128" w:rsidP="003D68D1">
            <w:pPr>
              <w:spacing w:after="0" w:line="240" w:lineRule="auto"/>
              <w:rPr>
                <w:rFonts w:ascii="Times New Roman" w:hAnsi="Times New Roman"/>
                <w:sz w:val="20"/>
                <w:lang w:eastAsia="en-AU"/>
              </w:rPr>
            </w:pP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7840E772" w14:textId="77777777" w:rsidR="00D55128" w:rsidRPr="0010255F" w:rsidRDefault="00D55128" w:rsidP="003D68D1">
            <w:pPr>
              <w:spacing w:after="0" w:line="240" w:lineRule="auto"/>
              <w:rPr>
                <w:rFonts w:ascii="Times New Roman" w:hAnsi="Times New Roman"/>
                <w:sz w:val="20"/>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6CFC076F" w14:textId="77777777" w:rsidR="00D55128" w:rsidRPr="0010255F" w:rsidRDefault="00D55128" w:rsidP="003D68D1">
            <w:pPr>
              <w:spacing w:after="0" w:line="240" w:lineRule="auto"/>
              <w:rPr>
                <w:rFonts w:ascii="Times New Roman" w:hAnsi="Times New Roman"/>
                <w:sz w:val="20"/>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1BB61374" w14:textId="77777777" w:rsidR="00D55128" w:rsidRPr="0010255F" w:rsidRDefault="00D55128" w:rsidP="003D68D1">
            <w:pPr>
              <w:spacing w:after="0" w:line="240" w:lineRule="auto"/>
              <w:rPr>
                <w:rFonts w:ascii="Times New Roman" w:hAnsi="Times New Roman"/>
                <w:sz w:val="20"/>
                <w:lang w:eastAsia="en-AU"/>
              </w:rPr>
            </w:pPr>
          </w:p>
        </w:tc>
      </w:tr>
      <w:tr w:rsidR="00D55128" w:rsidRPr="0010255F" w14:paraId="0AF617D3"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4A7EE4CA"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Terang and Mortlake Health Service</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011BFA92"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5.61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96856B5"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1</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22D322EA"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18EF4317" w14:textId="77777777" w:rsidR="00D55128" w:rsidRPr="0010255F" w:rsidRDefault="00D55128" w:rsidP="003D68D1">
            <w:pPr>
              <w:spacing w:after="0" w:line="240" w:lineRule="auto"/>
              <w:rPr>
                <w:rFonts w:ascii="Times New Roman" w:hAnsi="Times New Roman"/>
                <w:sz w:val="20"/>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DED7D8B"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6.61</w:t>
            </w:r>
          </w:p>
        </w:tc>
      </w:tr>
      <w:tr w:rsidR="00D55128" w:rsidRPr="0010255F" w14:paraId="13165085"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1DFCBF13"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Timboon &amp; District Healthcare Service</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043B0DB1"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1.69</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888E998"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45</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67766DCE"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455F6A7A" w14:textId="77777777" w:rsidR="00D55128" w:rsidRPr="0010255F" w:rsidRDefault="00D55128" w:rsidP="003D68D1">
            <w:pPr>
              <w:spacing w:after="0" w:line="240" w:lineRule="auto"/>
              <w:rPr>
                <w:rFonts w:ascii="Times New Roman" w:hAnsi="Times New Roman"/>
                <w:sz w:val="20"/>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7884A0B6"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46.69</w:t>
            </w:r>
          </w:p>
        </w:tc>
      </w:tr>
      <w:tr w:rsidR="00D55128" w:rsidRPr="0010255F" w14:paraId="4FD49FB6"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5A1BAF18"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West Wimmera Health Service</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73190F12" w14:textId="77777777" w:rsidR="00D55128" w:rsidRPr="0010255F" w:rsidRDefault="00D55128" w:rsidP="003D68D1">
            <w:pPr>
              <w:spacing w:after="0" w:line="240" w:lineRule="auto"/>
              <w:rPr>
                <w:rFonts w:cs="Arial"/>
                <w:color w:val="000000"/>
                <w:sz w:val="16"/>
                <w:szCs w:val="16"/>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3642033"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5</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53340557"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0DBDB905" w14:textId="77777777" w:rsidR="00D55128" w:rsidRPr="0010255F" w:rsidRDefault="00D55128" w:rsidP="003D68D1">
            <w:pPr>
              <w:spacing w:after="0" w:line="240" w:lineRule="auto"/>
              <w:rPr>
                <w:rFonts w:ascii="Times New Roman" w:hAnsi="Times New Roman"/>
                <w:sz w:val="20"/>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426FA332"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5</w:t>
            </w:r>
          </w:p>
        </w:tc>
      </w:tr>
      <w:tr w:rsidR="00D55128" w:rsidRPr="0010255F" w14:paraId="0AA8D958"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2AFFEE32"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Yarram &amp; District Health Service</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3761CF47" w14:textId="77777777" w:rsidR="00D55128" w:rsidRPr="0010255F" w:rsidRDefault="00D55128" w:rsidP="003D68D1">
            <w:pPr>
              <w:spacing w:after="0" w:line="240" w:lineRule="auto"/>
              <w:rPr>
                <w:rFonts w:cs="Arial"/>
                <w:color w:val="000000"/>
                <w:sz w:val="16"/>
                <w:szCs w:val="16"/>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E59ABD6"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12</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112210CE"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62EB5D11"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55.29</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7A5E31C9"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67.29</w:t>
            </w:r>
          </w:p>
        </w:tc>
      </w:tr>
      <w:tr w:rsidR="00D55128" w:rsidRPr="0010255F" w14:paraId="2FD7AC9E"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0AA6B90C"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Yarrawonga District Health Service</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3915BE0D"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13.53</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1228D783"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31</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43E06773"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12ED7CB9"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133.35</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BD685CC"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177.88</w:t>
            </w:r>
          </w:p>
        </w:tc>
      </w:tr>
      <w:tr w:rsidR="00D55128" w:rsidRPr="0010255F" w14:paraId="388AAED1"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0005E425" w14:textId="77777777" w:rsidR="00D55128" w:rsidRPr="0010255F" w:rsidRDefault="00D55128" w:rsidP="003D68D1">
            <w:pPr>
              <w:spacing w:after="0" w:line="240" w:lineRule="auto"/>
              <w:rPr>
                <w:rFonts w:cs="Arial"/>
                <w:color w:val="000000"/>
                <w:sz w:val="16"/>
                <w:szCs w:val="16"/>
                <w:lang w:eastAsia="en-AU"/>
              </w:rPr>
            </w:pPr>
            <w:r w:rsidRPr="0010255F">
              <w:rPr>
                <w:rFonts w:cs="Arial"/>
                <w:color w:val="000000"/>
                <w:sz w:val="16"/>
                <w:szCs w:val="16"/>
                <w:lang w:eastAsia="en-AU"/>
              </w:rPr>
              <w:t>Yea &amp; District Memorial Hospital</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7D0E2280" w14:textId="77777777" w:rsidR="00D55128" w:rsidRPr="0010255F" w:rsidRDefault="00D55128" w:rsidP="003D68D1">
            <w:pPr>
              <w:spacing w:after="0" w:line="240" w:lineRule="auto"/>
              <w:rPr>
                <w:rFonts w:cs="Arial"/>
                <w:color w:val="000000"/>
                <w:sz w:val="16"/>
                <w:szCs w:val="16"/>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24E7826"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3</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3763FD95" w14:textId="77777777" w:rsidR="00D55128" w:rsidRPr="0010255F" w:rsidRDefault="00D55128" w:rsidP="003D68D1">
            <w:pPr>
              <w:spacing w:after="0" w:line="240" w:lineRule="auto"/>
              <w:jc w:val="right"/>
              <w:rPr>
                <w:rFonts w:cs="Arial"/>
                <w:color w:val="000000"/>
                <w:sz w:val="16"/>
                <w:szCs w:val="16"/>
                <w:lang w:eastAsia="en-AU"/>
              </w:rPr>
            </w:pP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12040450" w14:textId="77777777" w:rsidR="00D55128" w:rsidRPr="0010255F" w:rsidRDefault="00D55128" w:rsidP="003D68D1">
            <w:pPr>
              <w:spacing w:after="0" w:line="240" w:lineRule="auto"/>
              <w:rPr>
                <w:rFonts w:ascii="Times New Roman" w:hAnsi="Times New Roman"/>
                <w:sz w:val="20"/>
                <w:lang w:eastAsia="en-AU"/>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F2639F8" w14:textId="77777777" w:rsidR="00D55128" w:rsidRPr="0010255F" w:rsidRDefault="00D55128" w:rsidP="003D68D1">
            <w:pPr>
              <w:spacing w:after="0" w:line="240" w:lineRule="auto"/>
              <w:jc w:val="right"/>
              <w:rPr>
                <w:rFonts w:cs="Arial"/>
                <w:color w:val="000000"/>
                <w:sz w:val="16"/>
                <w:szCs w:val="16"/>
                <w:lang w:eastAsia="en-AU"/>
              </w:rPr>
            </w:pPr>
            <w:r w:rsidRPr="0010255F">
              <w:rPr>
                <w:rFonts w:cs="Arial"/>
                <w:color w:val="000000"/>
                <w:sz w:val="16"/>
                <w:szCs w:val="16"/>
                <w:lang w:eastAsia="en-AU"/>
              </w:rPr>
              <w:t>3</w:t>
            </w:r>
          </w:p>
        </w:tc>
      </w:tr>
      <w:tr w:rsidR="00D55128" w:rsidRPr="0010255F" w14:paraId="759EE964" w14:textId="77777777" w:rsidTr="00D55128">
        <w:trPr>
          <w:trHeight w:val="300"/>
        </w:trPr>
        <w:tc>
          <w:tcPr>
            <w:tcW w:w="3000" w:type="dxa"/>
            <w:tcBorders>
              <w:top w:val="single" w:sz="4" w:space="0" w:color="auto"/>
              <w:left w:val="single" w:sz="4" w:space="0" w:color="auto"/>
              <w:bottom w:val="single" w:sz="4" w:space="0" w:color="auto"/>
              <w:right w:val="single" w:sz="4" w:space="0" w:color="auto"/>
            </w:tcBorders>
            <w:vAlign w:val="center"/>
            <w:hideMark/>
          </w:tcPr>
          <w:p w14:paraId="3B616BF5" w14:textId="77777777" w:rsidR="00D55128" w:rsidRPr="0010255F" w:rsidRDefault="00D55128" w:rsidP="003D68D1">
            <w:pPr>
              <w:spacing w:after="0" w:line="240" w:lineRule="auto"/>
              <w:rPr>
                <w:rFonts w:cs="Arial"/>
                <w:b/>
                <w:bCs/>
                <w:color w:val="000000"/>
                <w:sz w:val="16"/>
                <w:szCs w:val="16"/>
                <w:lang w:eastAsia="en-AU"/>
              </w:rPr>
            </w:pPr>
            <w:r w:rsidRPr="0010255F">
              <w:rPr>
                <w:rFonts w:cs="Arial"/>
                <w:b/>
                <w:bCs/>
                <w:color w:val="000000"/>
                <w:sz w:val="16"/>
                <w:szCs w:val="16"/>
                <w:lang w:eastAsia="en-AU"/>
              </w:rPr>
              <w:t>Total</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23775C4A" w14:textId="77777777" w:rsidR="00D55128" w:rsidRPr="0010255F" w:rsidRDefault="00D55128" w:rsidP="003D68D1">
            <w:pPr>
              <w:spacing w:after="0" w:line="240" w:lineRule="auto"/>
              <w:jc w:val="right"/>
              <w:rPr>
                <w:rFonts w:cs="Arial"/>
                <w:b/>
                <w:bCs/>
                <w:color w:val="000000"/>
                <w:sz w:val="16"/>
                <w:szCs w:val="16"/>
                <w:lang w:eastAsia="en-AU"/>
              </w:rPr>
            </w:pPr>
            <w:r w:rsidRPr="0010255F">
              <w:rPr>
                <w:rFonts w:cs="Arial"/>
                <w:b/>
                <w:bCs/>
                <w:color w:val="000000"/>
                <w:sz w:val="16"/>
                <w:szCs w:val="16"/>
                <w:lang w:eastAsia="en-AU"/>
              </w:rPr>
              <w:t>154.40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51C44E5" w14:textId="77777777" w:rsidR="00D55128" w:rsidRPr="0010255F" w:rsidRDefault="00D55128" w:rsidP="003D68D1">
            <w:pPr>
              <w:spacing w:after="0" w:line="240" w:lineRule="auto"/>
              <w:jc w:val="right"/>
              <w:rPr>
                <w:rFonts w:cs="Arial"/>
                <w:b/>
                <w:bCs/>
                <w:color w:val="000000"/>
                <w:sz w:val="16"/>
                <w:szCs w:val="16"/>
                <w:lang w:eastAsia="en-AU"/>
              </w:rPr>
            </w:pPr>
            <w:r w:rsidRPr="0010255F">
              <w:rPr>
                <w:rFonts w:cs="Arial"/>
                <w:b/>
                <w:bCs/>
                <w:color w:val="000000"/>
                <w:sz w:val="16"/>
                <w:szCs w:val="16"/>
                <w:lang w:eastAsia="en-AU"/>
              </w:rPr>
              <w:t>311</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188BE002" w14:textId="77777777" w:rsidR="00D55128" w:rsidRPr="0010255F" w:rsidRDefault="00D55128" w:rsidP="003D68D1">
            <w:pPr>
              <w:spacing w:after="0" w:line="240" w:lineRule="auto"/>
              <w:jc w:val="right"/>
              <w:rPr>
                <w:rFonts w:cs="Arial"/>
                <w:b/>
                <w:bCs/>
                <w:color w:val="000000"/>
                <w:sz w:val="16"/>
                <w:szCs w:val="16"/>
                <w:lang w:eastAsia="en-AU"/>
              </w:rPr>
            </w:pPr>
            <w:r w:rsidRPr="0010255F">
              <w:rPr>
                <w:rFonts w:cs="Arial"/>
                <w:b/>
                <w:bCs/>
                <w:color w:val="000000"/>
                <w:sz w:val="16"/>
                <w:szCs w:val="16"/>
                <w:lang w:eastAsia="en-AU"/>
              </w:rPr>
              <w:t>2</w:t>
            </w: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491D65E6" w14:textId="77777777" w:rsidR="00D55128" w:rsidRPr="0010255F" w:rsidRDefault="00D55128" w:rsidP="003D68D1">
            <w:pPr>
              <w:spacing w:after="0" w:line="240" w:lineRule="auto"/>
              <w:jc w:val="right"/>
              <w:rPr>
                <w:rFonts w:cs="Arial"/>
                <w:b/>
                <w:bCs/>
                <w:color w:val="000000"/>
                <w:sz w:val="16"/>
                <w:szCs w:val="16"/>
                <w:lang w:eastAsia="en-AU"/>
              </w:rPr>
            </w:pPr>
            <w:r w:rsidRPr="0010255F">
              <w:rPr>
                <w:rFonts w:cs="Arial"/>
                <w:b/>
                <w:bCs/>
                <w:color w:val="000000"/>
                <w:sz w:val="16"/>
                <w:szCs w:val="16"/>
                <w:lang w:eastAsia="en-AU"/>
              </w:rPr>
              <w:t>915.41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07DAF2BD" w14:textId="77777777" w:rsidR="00D55128" w:rsidRPr="0010255F" w:rsidRDefault="00D55128" w:rsidP="003D68D1">
            <w:pPr>
              <w:spacing w:after="0" w:line="240" w:lineRule="auto"/>
              <w:jc w:val="right"/>
              <w:rPr>
                <w:rFonts w:cs="Arial"/>
                <w:b/>
                <w:bCs/>
                <w:color w:val="000000"/>
                <w:sz w:val="16"/>
                <w:szCs w:val="16"/>
                <w:lang w:eastAsia="en-AU"/>
              </w:rPr>
            </w:pPr>
            <w:r w:rsidRPr="0010255F">
              <w:rPr>
                <w:rFonts w:cs="Arial"/>
                <w:b/>
                <w:bCs/>
                <w:color w:val="000000"/>
                <w:sz w:val="16"/>
                <w:szCs w:val="16"/>
                <w:lang w:eastAsia="en-AU"/>
              </w:rPr>
              <w:t>1382.81</w:t>
            </w:r>
          </w:p>
        </w:tc>
      </w:tr>
    </w:tbl>
    <w:p w14:paraId="21022000" w14:textId="699259C4" w:rsidR="00D55128" w:rsidRDefault="00D55128" w:rsidP="00D55128">
      <w:pPr>
        <w:pStyle w:val="Body"/>
      </w:pPr>
    </w:p>
    <w:p w14:paraId="2E8AB621" w14:textId="44C18AE2" w:rsidR="00D55128" w:rsidRDefault="00D55128" w:rsidP="00D55128">
      <w:pPr>
        <w:pStyle w:val="Body"/>
      </w:pPr>
    </w:p>
    <w:p w14:paraId="4FF9DDE9" w14:textId="33B18F29" w:rsidR="00285665" w:rsidRDefault="00285665" w:rsidP="00D55128">
      <w:pPr>
        <w:pStyle w:val="Body"/>
      </w:pPr>
    </w:p>
    <w:p w14:paraId="3DCDE8F8" w14:textId="3FEA14A9" w:rsidR="00285665" w:rsidRDefault="00285665">
      <w:pPr>
        <w:spacing w:after="0" w:line="240" w:lineRule="auto"/>
        <w:rPr>
          <w:rFonts w:eastAsia="Times"/>
        </w:rPr>
      </w:pPr>
      <w:r>
        <w:br w:type="page"/>
      </w:r>
    </w:p>
    <w:p w14:paraId="12277030" w14:textId="77777777" w:rsidR="00285665" w:rsidRPr="00D55128" w:rsidRDefault="00285665" w:rsidP="00D55128">
      <w:pPr>
        <w:pStyle w:val="Body"/>
      </w:pPr>
    </w:p>
    <w:p w14:paraId="604B69A9" w14:textId="6EA0BC7E" w:rsidR="000B27B9" w:rsidRPr="00454AA1" w:rsidRDefault="7B0F94E6" w:rsidP="00081936">
      <w:pPr>
        <w:pStyle w:val="Heading3"/>
        <w:numPr>
          <w:ilvl w:val="2"/>
          <w:numId w:val="33"/>
        </w:numPr>
        <w:spacing w:before="240"/>
        <w:ind w:left="1134"/>
      </w:pPr>
      <w:bookmarkStart w:id="1134" w:name="_Toc144905684"/>
      <w:bookmarkStart w:id="1135" w:name="_Toc144905685"/>
      <w:bookmarkStart w:id="1136" w:name="_Toc144905687"/>
      <w:bookmarkStart w:id="1137" w:name="_Toc144905688"/>
      <w:bookmarkStart w:id="1138" w:name="_Toc12780669"/>
      <w:bookmarkStart w:id="1139" w:name="_Toc14172310"/>
      <w:bookmarkStart w:id="1140" w:name="_Toc33703984"/>
      <w:bookmarkStart w:id="1141" w:name="_Toc55381172"/>
      <w:bookmarkStart w:id="1142" w:name="_Toc100263377"/>
      <w:bookmarkStart w:id="1143" w:name="_Toc156569702"/>
      <w:bookmarkStart w:id="1144" w:name="_Hlk78967372"/>
      <w:bookmarkEnd w:id="1134"/>
      <w:bookmarkEnd w:id="1135"/>
      <w:bookmarkEnd w:id="1136"/>
      <w:bookmarkEnd w:id="1137"/>
      <w:r>
        <w:t>Non-</w:t>
      </w:r>
      <w:r w:rsidR="00D361AD">
        <w:t xml:space="preserve">admitted radiotherapy activity </w:t>
      </w:r>
      <w:r>
        <w:t xml:space="preserve">(WAU) </w:t>
      </w:r>
      <w:r w:rsidR="00D361AD">
        <w:t>t</w:t>
      </w:r>
      <w:r>
        <w:t xml:space="preserve">argets </w:t>
      </w:r>
      <w:bookmarkEnd w:id="1138"/>
      <w:bookmarkEnd w:id="1139"/>
      <w:bookmarkEnd w:id="1140"/>
      <w:bookmarkEnd w:id="1141"/>
      <w:bookmarkEnd w:id="1142"/>
      <w:r w:rsidR="635881F6">
        <w:t>202</w:t>
      </w:r>
      <w:r w:rsidR="00E37EF6">
        <w:t>3</w:t>
      </w:r>
      <w:r w:rsidR="63746C83">
        <w:t>–</w:t>
      </w:r>
      <w:r w:rsidR="635881F6">
        <w:t>2</w:t>
      </w:r>
      <w:r w:rsidR="00E37EF6">
        <w:t>4</w:t>
      </w:r>
      <w:bookmarkEnd w:id="1143"/>
    </w:p>
    <w:p w14:paraId="48217407" w14:textId="0BB9E9FA" w:rsidR="00D55128" w:rsidRPr="00D55128" w:rsidRDefault="000B27B9" w:rsidP="00285665">
      <w:pPr>
        <w:pStyle w:val="Tablecaption"/>
      </w:pPr>
      <w:bookmarkStart w:id="1145" w:name="_Toc12534179"/>
      <w:bookmarkStart w:id="1146" w:name="_Toc12780572"/>
      <w:bookmarkStart w:id="1147" w:name="_Toc14194828"/>
      <w:bookmarkStart w:id="1148" w:name="_Toc33704009"/>
      <w:bookmarkStart w:id="1149" w:name="_Toc109894138"/>
      <w:bookmarkStart w:id="1150" w:name="_Toc156568690"/>
      <w:r w:rsidRPr="00454AA1">
        <w:t xml:space="preserve">Table </w:t>
      </w:r>
      <w:r>
        <w:fldChar w:fldCharType="begin"/>
      </w:r>
      <w:r>
        <w:instrText>STYLEREF 1 \s</w:instrText>
      </w:r>
      <w:r>
        <w:fldChar w:fldCharType="separate"/>
      </w:r>
      <w:r w:rsidR="00892F13">
        <w:rPr>
          <w:noProof/>
        </w:rPr>
        <w:t>2</w:t>
      </w:r>
      <w:r>
        <w:fldChar w:fldCharType="end"/>
      </w:r>
      <w:r w:rsidR="00742C12">
        <w:t>.</w:t>
      </w:r>
      <w:r>
        <w:fldChar w:fldCharType="begin"/>
      </w:r>
      <w:r>
        <w:instrText>SEQ Table \* ARABIC \s 1</w:instrText>
      </w:r>
      <w:r>
        <w:fldChar w:fldCharType="separate"/>
      </w:r>
      <w:r w:rsidR="007E6861">
        <w:rPr>
          <w:noProof/>
        </w:rPr>
        <w:t>13</w:t>
      </w:r>
      <w:r>
        <w:fldChar w:fldCharType="end"/>
      </w:r>
      <w:r w:rsidRPr="00454AA1">
        <w:t xml:space="preserve">: Non-admitted radiotherapy activity targets </w:t>
      </w:r>
      <w:bookmarkEnd w:id="1145"/>
      <w:bookmarkEnd w:id="1146"/>
      <w:bookmarkEnd w:id="1147"/>
      <w:bookmarkEnd w:id="1148"/>
      <w:bookmarkEnd w:id="1149"/>
      <w:r w:rsidR="005D1FCB" w:rsidRPr="00454AA1">
        <w:t>202</w:t>
      </w:r>
      <w:r w:rsidR="00E37EF6">
        <w:t>3</w:t>
      </w:r>
      <w:r w:rsidR="009A3347" w:rsidRPr="00454AA1">
        <w:t>–</w:t>
      </w:r>
      <w:r w:rsidR="005D1FCB" w:rsidRPr="00454AA1">
        <w:t>2</w:t>
      </w:r>
      <w:r w:rsidR="00E37EF6">
        <w:t>4</w:t>
      </w:r>
      <w:bookmarkEnd w:id="1150"/>
    </w:p>
    <w:tbl>
      <w:tblPr>
        <w:tblW w:w="5665" w:type="dxa"/>
        <w:tblCellMar>
          <w:top w:w="15" w:type="dxa"/>
          <w:bottom w:w="15" w:type="dxa"/>
        </w:tblCellMar>
        <w:tblLook w:val="04A0" w:firstRow="1" w:lastRow="0" w:firstColumn="1" w:lastColumn="0" w:noHBand="0" w:noVBand="1"/>
      </w:tblPr>
      <w:tblGrid>
        <w:gridCol w:w="2689"/>
        <w:gridCol w:w="2976"/>
      </w:tblGrid>
      <w:tr w:rsidR="00D55128" w:rsidRPr="00FC5FEB" w14:paraId="036D0E73" w14:textId="77777777" w:rsidTr="00285665">
        <w:trPr>
          <w:trHeight w:val="405"/>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04DAD8CF" w14:textId="77777777" w:rsidR="00D55128" w:rsidRPr="00FC5FEB" w:rsidRDefault="00D55128" w:rsidP="003D68D1">
            <w:pPr>
              <w:spacing w:after="0" w:line="240" w:lineRule="auto"/>
              <w:rPr>
                <w:rFonts w:cs="Arial"/>
                <w:b/>
                <w:bCs/>
                <w:color w:val="53565A"/>
                <w:sz w:val="16"/>
                <w:szCs w:val="16"/>
                <w:lang w:eastAsia="en-AU"/>
              </w:rPr>
            </w:pPr>
            <w:r w:rsidRPr="00FC5FEB">
              <w:rPr>
                <w:rFonts w:cs="Arial"/>
                <w:b/>
                <w:bCs/>
                <w:color w:val="53565A"/>
                <w:sz w:val="16"/>
                <w:szCs w:val="16"/>
                <w:lang w:eastAsia="en-AU"/>
              </w:rPr>
              <w:t>Health Service</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ABC4342" w14:textId="77777777" w:rsidR="00D55128" w:rsidRPr="00FC5FEB" w:rsidRDefault="00D55128" w:rsidP="003D68D1">
            <w:pPr>
              <w:spacing w:after="0" w:line="240" w:lineRule="auto"/>
              <w:jc w:val="right"/>
              <w:rPr>
                <w:rFonts w:cs="Arial"/>
                <w:b/>
                <w:bCs/>
                <w:color w:val="53565A"/>
                <w:sz w:val="16"/>
                <w:szCs w:val="16"/>
                <w:lang w:eastAsia="en-AU"/>
              </w:rPr>
            </w:pPr>
            <w:r w:rsidRPr="00FC5FEB">
              <w:rPr>
                <w:rFonts w:cs="Arial"/>
                <w:b/>
                <w:bCs/>
                <w:color w:val="53565A"/>
                <w:sz w:val="16"/>
                <w:szCs w:val="16"/>
                <w:lang w:eastAsia="en-AU"/>
              </w:rPr>
              <w:t>Radiotherapy base variable WAU</w:t>
            </w:r>
          </w:p>
        </w:tc>
      </w:tr>
      <w:tr w:rsidR="00D55128" w:rsidRPr="00FC5FEB" w14:paraId="7B7E4A72" w14:textId="77777777" w:rsidTr="00285665">
        <w:trPr>
          <w:trHeight w:val="300"/>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09D01298" w14:textId="77777777" w:rsidR="00D55128" w:rsidRPr="00FC5FEB" w:rsidRDefault="00D55128" w:rsidP="003D68D1">
            <w:pPr>
              <w:spacing w:after="0" w:line="240" w:lineRule="auto"/>
              <w:rPr>
                <w:rFonts w:cs="Arial"/>
                <w:color w:val="000000"/>
                <w:sz w:val="16"/>
                <w:szCs w:val="16"/>
                <w:lang w:eastAsia="en-AU"/>
              </w:rPr>
            </w:pPr>
            <w:r w:rsidRPr="00FC5FEB">
              <w:rPr>
                <w:rFonts w:cs="Arial"/>
                <w:color w:val="000000"/>
                <w:sz w:val="16"/>
                <w:szCs w:val="16"/>
                <w:lang w:eastAsia="en-AU"/>
              </w:rPr>
              <w:t>Alfred Health</w:t>
            </w:r>
          </w:p>
        </w:tc>
        <w:tc>
          <w:tcPr>
            <w:tcW w:w="2976" w:type="dxa"/>
            <w:tcBorders>
              <w:top w:val="single" w:sz="4" w:space="0" w:color="auto"/>
              <w:left w:val="single" w:sz="4" w:space="0" w:color="auto"/>
              <w:bottom w:val="single" w:sz="4" w:space="0" w:color="auto"/>
              <w:right w:val="single" w:sz="4" w:space="0" w:color="auto"/>
            </w:tcBorders>
            <w:noWrap/>
            <w:vAlign w:val="center"/>
            <w:hideMark/>
          </w:tcPr>
          <w:p w14:paraId="0E660945" w14:textId="77777777" w:rsidR="00D55128" w:rsidRPr="00FC5FEB" w:rsidRDefault="00D55128"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78,193</w:t>
            </w:r>
          </w:p>
        </w:tc>
      </w:tr>
      <w:tr w:rsidR="00D55128" w:rsidRPr="00FC5FEB" w14:paraId="211AD345" w14:textId="77777777" w:rsidTr="00285665">
        <w:trPr>
          <w:trHeight w:val="300"/>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36FAE1F7" w14:textId="77777777" w:rsidR="00D55128" w:rsidRPr="00FC5FEB" w:rsidRDefault="00D55128" w:rsidP="003D68D1">
            <w:pPr>
              <w:spacing w:after="0" w:line="240" w:lineRule="auto"/>
              <w:rPr>
                <w:rFonts w:cs="Arial"/>
                <w:color w:val="000000"/>
                <w:sz w:val="16"/>
                <w:szCs w:val="16"/>
                <w:lang w:eastAsia="en-AU"/>
              </w:rPr>
            </w:pPr>
            <w:r w:rsidRPr="00FC5FEB">
              <w:rPr>
                <w:rFonts w:cs="Arial"/>
                <w:color w:val="000000"/>
                <w:sz w:val="16"/>
                <w:szCs w:val="16"/>
                <w:lang w:eastAsia="en-AU"/>
              </w:rPr>
              <w:t>Austin Health</w:t>
            </w:r>
          </w:p>
        </w:tc>
        <w:tc>
          <w:tcPr>
            <w:tcW w:w="2976" w:type="dxa"/>
            <w:tcBorders>
              <w:top w:val="single" w:sz="4" w:space="0" w:color="auto"/>
              <w:left w:val="single" w:sz="4" w:space="0" w:color="auto"/>
              <w:bottom w:val="single" w:sz="4" w:space="0" w:color="auto"/>
              <w:right w:val="single" w:sz="4" w:space="0" w:color="auto"/>
            </w:tcBorders>
            <w:noWrap/>
            <w:vAlign w:val="center"/>
            <w:hideMark/>
          </w:tcPr>
          <w:p w14:paraId="51BB7F98" w14:textId="77777777" w:rsidR="00D55128" w:rsidRPr="00FC5FEB" w:rsidRDefault="00D55128"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87,303</w:t>
            </w:r>
          </w:p>
        </w:tc>
      </w:tr>
      <w:tr w:rsidR="00D55128" w:rsidRPr="00FC5FEB" w14:paraId="4EBF610E" w14:textId="77777777" w:rsidTr="00285665">
        <w:trPr>
          <w:trHeight w:val="300"/>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1D27CADF" w14:textId="77777777" w:rsidR="00D55128" w:rsidRPr="00FC5FEB" w:rsidRDefault="00D55128" w:rsidP="003D68D1">
            <w:pPr>
              <w:spacing w:after="0" w:line="240" w:lineRule="auto"/>
              <w:rPr>
                <w:rFonts w:cs="Arial"/>
                <w:color w:val="000000"/>
                <w:sz w:val="16"/>
                <w:szCs w:val="16"/>
                <w:lang w:eastAsia="en-AU"/>
              </w:rPr>
            </w:pPr>
            <w:r w:rsidRPr="00FC5FEB">
              <w:rPr>
                <w:rFonts w:cs="Arial"/>
                <w:color w:val="000000"/>
                <w:sz w:val="16"/>
                <w:szCs w:val="16"/>
                <w:lang w:eastAsia="en-AU"/>
              </w:rPr>
              <w:t>Barwon Health</w:t>
            </w:r>
          </w:p>
        </w:tc>
        <w:tc>
          <w:tcPr>
            <w:tcW w:w="2976" w:type="dxa"/>
            <w:tcBorders>
              <w:top w:val="single" w:sz="4" w:space="0" w:color="auto"/>
              <w:left w:val="single" w:sz="4" w:space="0" w:color="auto"/>
              <w:bottom w:val="single" w:sz="4" w:space="0" w:color="auto"/>
              <w:right w:val="single" w:sz="4" w:space="0" w:color="auto"/>
            </w:tcBorders>
            <w:noWrap/>
            <w:vAlign w:val="center"/>
            <w:hideMark/>
          </w:tcPr>
          <w:p w14:paraId="1A9E8775" w14:textId="77777777" w:rsidR="00D55128" w:rsidRPr="00FC5FEB" w:rsidRDefault="00D55128"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43,224</w:t>
            </w:r>
          </w:p>
        </w:tc>
      </w:tr>
      <w:tr w:rsidR="00D55128" w:rsidRPr="00FC5FEB" w14:paraId="0FFBBD12" w14:textId="77777777" w:rsidTr="00285665">
        <w:trPr>
          <w:trHeight w:val="300"/>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1EFB2FDA" w14:textId="77777777" w:rsidR="00D55128" w:rsidRPr="00FC5FEB" w:rsidRDefault="00D55128" w:rsidP="003D68D1">
            <w:pPr>
              <w:spacing w:after="0" w:line="240" w:lineRule="auto"/>
              <w:rPr>
                <w:rFonts w:cs="Arial"/>
                <w:color w:val="000000"/>
                <w:sz w:val="16"/>
                <w:szCs w:val="16"/>
                <w:lang w:eastAsia="en-AU"/>
              </w:rPr>
            </w:pPr>
            <w:r w:rsidRPr="00FC5FEB">
              <w:rPr>
                <w:rFonts w:cs="Arial"/>
                <w:color w:val="000000"/>
                <w:sz w:val="16"/>
                <w:szCs w:val="16"/>
                <w:lang w:eastAsia="en-AU"/>
              </w:rPr>
              <w:t>Peter MacCallum Cancer Institute</w:t>
            </w:r>
          </w:p>
        </w:tc>
        <w:tc>
          <w:tcPr>
            <w:tcW w:w="2976" w:type="dxa"/>
            <w:tcBorders>
              <w:top w:val="single" w:sz="4" w:space="0" w:color="auto"/>
              <w:left w:val="single" w:sz="4" w:space="0" w:color="auto"/>
              <w:bottom w:val="single" w:sz="4" w:space="0" w:color="auto"/>
              <w:right w:val="single" w:sz="4" w:space="0" w:color="auto"/>
            </w:tcBorders>
            <w:noWrap/>
            <w:vAlign w:val="center"/>
            <w:hideMark/>
          </w:tcPr>
          <w:p w14:paraId="256788E7" w14:textId="77777777" w:rsidR="00D55128" w:rsidRPr="00FC5FEB" w:rsidRDefault="00D55128"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317,393</w:t>
            </w:r>
          </w:p>
        </w:tc>
      </w:tr>
      <w:tr w:rsidR="00D55128" w:rsidRPr="00FC5FEB" w14:paraId="7AC91C81" w14:textId="77777777" w:rsidTr="00285665">
        <w:trPr>
          <w:trHeight w:val="300"/>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47910307" w14:textId="77777777" w:rsidR="00D55128" w:rsidRPr="00FC5FEB" w:rsidRDefault="00D55128" w:rsidP="003D68D1">
            <w:pPr>
              <w:spacing w:after="0" w:line="240" w:lineRule="auto"/>
              <w:rPr>
                <w:rFonts w:cs="Arial"/>
                <w:b/>
                <w:bCs/>
                <w:color w:val="000000"/>
                <w:sz w:val="16"/>
                <w:szCs w:val="16"/>
                <w:lang w:eastAsia="en-AU"/>
              </w:rPr>
            </w:pPr>
            <w:r w:rsidRPr="00FC5FEB">
              <w:rPr>
                <w:rFonts w:cs="Arial"/>
                <w:b/>
                <w:bCs/>
                <w:color w:val="000000"/>
                <w:sz w:val="16"/>
                <w:szCs w:val="16"/>
                <w:lang w:eastAsia="en-AU"/>
              </w:rPr>
              <w:t>Total</w:t>
            </w:r>
          </w:p>
        </w:tc>
        <w:tc>
          <w:tcPr>
            <w:tcW w:w="2976" w:type="dxa"/>
            <w:tcBorders>
              <w:top w:val="single" w:sz="4" w:space="0" w:color="auto"/>
              <w:left w:val="single" w:sz="4" w:space="0" w:color="auto"/>
              <w:bottom w:val="single" w:sz="4" w:space="0" w:color="auto"/>
              <w:right w:val="single" w:sz="4" w:space="0" w:color="auto"/>
            </w:tcBorders>
            <w:noWrap/>
            <w:vAlign w:val="center"/>
            <w:hideMark/>
          </w:tcPr>
          <w:p w14:paraId="212DF2D2" w14:textId="77777777" w:rsidR="00D55128" w:rsidRPr="00FC5FEB" w:rsidRDefault="00D55128"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526,114</w:t>
            </w:r>
          </w:p>
        </w:tc>
      </w:tr>
    </w:tbl>
    <w:p w14:paraId="1AA812A6" w14:textId="77777777" w:rsidR="00454AA1" w:rsidRPr="00454AA1" w:rsidRDefault="00454AA1" w:rsidP="00454AA1">
      <w:pPr>
        <w:pStyle w:val="Body"/>
      </w:pPr>
    </w:p>
    <w:p w14:paraId="0C06989F" w14:textId="7ED810D1" w:rsidR="00EC02E0" w:rsidRDefault="000B27B9" w:rsidP="00685B35">
      <w:pPr>
        <w:pStyle w:val="Tablecaption"/>
      </w:pPr>
      <w:bookmarkStart w:id="1151" w:name="_Toc12780573"/>
      <w:bookmarkStart w:id="1152" w:name="_Toc14194829"/>
      <w:bookmarkStart w:id="1153" w:name="_Toc33704010"/>
      <w:bookmarkStart w:id="1154" w:name="_Toc109894139"/>
      <w:bookmarkStart w:id="1155" w:name="_Toc156568691"/>
      <w:r w:rsidRPr="00454AA1">
        <w:t xml:space="preserve">Table </w:t>
      </w:r>
      <w:r>
        <w:fldChar w:fldCharType="begin"/>
      </w:r>
      <w:r>
        <w:instrText>STYLEREF 1 \s</w:instrText>
      </w:r>
      <w:r>
        <w:fldChar w:fldCharType="separate"/>
      </w:r>
      <w:r w:rsidR="00892F13">
        <w:rPr>
          <w:noProof/>
        </w:rPr>
        <w:t>2</w:t>
      </w:r>
      <w:r>
        <w:fldChar w:fldCharType="end"/>
      </w:r>
      <w:r w:rsidR="00742C12">
        <w:t>.</w:t>
      </w:r>
      <w:r>
        <w:fldChar w:fldCharType="begin"/>
      </w:r>
      <w:r>
        <w:instrText>SEQ Table \* ARABIC \s 1</w:instrText>
      </w:r>
      <w:r>
        <w:fldChar w:fldCharType="separate"/>
      </w:r>
      <w:r w:rsidR="007E6861">
        <w:rPr>
          <w:noProof/>
        </w:rPr>
        <w:t>14</w:t>
      </w:r>
      <w:r>
        <w:fldChar w:fldCharType="end"/>
      </w:r>
      <w:r w:rsidRPr="00454AA1">
        <w:t>: Shared</w:t>
      </w:r>
      <w:r w:rsidR="006B4DBF" w:rsidRPr="00454AA1">
        <w:t xml:space="preserve"> </w:t>
      </w:r>
      <w:r w:rsidRPr="00454AA1">
        <w:t xml:space="preserve">care radiotherapy activity targets </w:t>
      </w:r>
      <w:r w:rsidR="005D1FCB" w:rsidRPr="00454AA1">
        <w:t>202</w:t>
      </w:r>
      <w:r w:rsidR="00E37EF6">
        <w:t>3</w:t>
      </w:r>
      <w:r w:rsidR="009A3347" w:rsidRPr="00454AA1">
        <w:t>–</w:t>
      </w:r>
      <w:r w:rsidR="005D1FCB" w:rsidRPr="00454AA1">
        <w:t>2</w:t>
      </w:r>
      <w:r w:rsidR="00E37EF6">
        <w:t>4</w:t>
      </w:r>
      <w:bookmarkStart w:id="1156" w:name="_Toc12780670"/>
      <w:bookmarkStart w:id="1157" w:name="_Toc14172311"/>
      <w:bookmarkStart w:id="1158" w:name="_Toc33703985"/>
      <w:bookmarkStart w:id="1159" w:name="_Toc55381173"/>
      <w:bookmarkEnd w:id="1144"/>
      <w:bookmarkEnd w:id="1151"/>
      <w:bookmarkEnd w:id="1152"/>
      <w:bookmarkEnd w:id="1153"/>
      <w:bookmarkEnd w:id="1154"/>
      <w:bookmarkEnd w:id="1155"/>
    </w:p>
    <w:tbl>
      <w:tblPr>
        <w:tblW w:w="5653" w:type="dxa"/>
        <w:tblCellMar>
          <w:top w:w="15" w:type="dxa"/>
          <w:bottom w:w="15" w:type="dxa"/>
        </w:tblCellMar>
        <w:tblLook w:val="04A0" w:firstRow="1" w:lastRow="0" w:firstColumn="1" w:lastColumn="0" w:noHBand="0" w:noVBand="1"/>
      </w:tblPr>
      <w:tblGrid>
        <w:gridCol w:w="2689"/>
        <w:gridCol w:w="2964"/>
      </w:tblGrid>
      <w:tr w:rsidR="00285665" w:rsidRPr="00FC5FEB" w14:paraId="3F5B3E6F" w14:textId="77777777" w:rsidTr="00285665">
        <w:trPr>
          <w:trHeight w:val="405"/>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5B7C853F" w14:textId="77777777" w:rsidR="00285665" w:rsidRPr="00FC5FEB" w:rsidRDefault="00285665" w:rsidP="003D68D1">
            <w:pPr>
              <w:spacing w:after="0" w:line="240" w:lineRule="auto"/>
              <w:rPr>
                <w:rFonts w:cs="Arial"/>
                <w:b/>
                <w:bCs/>
                <w:color w:val="53565A"/>
                <w:sz w:val="16"/>
                <w:szCs w:val="16"/>
                <w:lang w:eastAsia="en-AU"/>
              </w:rPr>
            </w:pPr>
            <w:r w:rsidRPr="00FC5FEB">
              <w:rPr>
                <w:rFonts w:cs="Arial"/>
                <w:b/>
                <w:bCs/>
                <w:color w:val="53565A"/>
                <w:sz w:val="16"/>
                <w:szCs w:val="16"/>
                <w:lang w:eastAsia="en-AU"/>
              </w:rPr>
              <w:t>Health Service</w:t>
            </w:r>
          </w:p>
        </w:tc>
        <w:tc>
          <w:tcPr>
            <w:tcW w:w="2964" w:type="dxa"/>
            <w:tcBorders>
              <w:top w:val="single" w:sz="4" w:space="0" w:color="auto"/>
              <w:left w:val="single" w:sz="4" w:space="0" w:color="auto"/>
              <w:bottom w:val="single" w:sz="4" w:space="0" w:color="auto"/>
              <w:right w:val="single" w:sz="4" w:space="0" w:color="auto"/>
            </w:tcBorders>
            <w:vAlign w:val="center"/>
            <w:hideMark/>
          </w:tcPr>
          <w:p w14:paraId="53109CC6" w14:textId="77777777" w:rsidR="00285665" w:rsidRPr="00FC5FEB" w:rsidRDefault="00285665" w:rsidP="003D68D1">
            <w:pPr>
              <w:spacing w:after="0" w:line="240" w:lineRule="auto"/>
              <w:jc w:val="right"/>
              <w:rPr>
                <w:rFonts w:cs="Arial"/>
                <w:b/>
                <w:bCs/>
                <w:color w:val="53565A"/>
                <w:sz w:val="16"/>
                <w:szCs w:val="16"/>
                <w:lang w:eastAsia="en-AU"/>
              </w:rPr>
            </w:pPr>
            <w:r w:rsidRPr="00FC5FEB">
              <w:rPr>
                <w:rFonts w:cs="Arial"/>
                <w:b/>
                <w:bCs/>
                <w:color w:val="53565A"/>
                <w:sz w:val="16"/>
                <w:szCs w:val="16"/>
                <w:lang w:eastAsia="en-AU"/>
              </w:rPr>
              <w:t>Radiotherapy non-admitted shared care</w:t>
            </w:r>
          </w:p>
        </w:tc>
      </w:tr>
      <w:tr w:rsidR="00285665" w:rsidRPr="00FC5FEB" w14:paraId="40970EB7" w14:textId="77777777" w:rsidTr="00285665">
        <w:trPr>
          <w:trHeight w:val="300"/>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2A76EE62"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Monash Health</w:t>
            </w:r>
          </w:p>
        </w:tc>
        <w:tc>
          <w:tcPr>
            <w:tcW w:w="2964" w:type="dxa"/>
            <w:tcBorders>
              <w:top w:val="single" w:sz="4" w:space="0" w:color="auto"/>
              <w:left w:val="single" w:sz="4" w:space="0" w:color="auto"/>
              <w:bottom w:val="single" w:sz="4" w:space="0" w:color="auto"/>
              <w:right w:val="single" w:sz="4" w:space="0" w:color="auto"/>
            </w:tcBorders>
            <w:noWrap/>
            <w:vAlign w:val="center"/>
            <w:hideMark/>
          </w:tcPr>
          <w:p w14:paraId="2FA3F913"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173</w:t>
            </w:r>
          </w:p>
        </w:tc>
      </w:tr>
      <w:tr w:rsidR="00285665" w:rsidRPr="00FC5FEB" w14:paraId="0C36CEAA" w14:textId="77777777" w:rsidTr="00285665">
        <w:trPr>
          <w:trHeight w:val="300"/>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7E1C60E3"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Northern Health</w:t>
            </w:r>
          </w:p>
        </w:tc>
        <w:tc>
          <w:tcPr>
            <w:tcW w:w="2964" w:type="dxa"/>
            <w:tcBorders>
              <w:top w:val="single" w:sz="4" w:space="0" w:color="auto"/>
              <w:left w:val="single" w:sz="4" w:space="0" w:color="auto"/>
              <w:bottom w:val="single" w:sz="4" w:space="0" w:color="auto"/>
              <w:right w:val="single" w:sz="4" w:space="0" w:color="auto"/>
            </w:tcBorders>
            <w:noWrap/>
            <w:vAlign w:val="center"/>
            <w:hideMark/>
          </w:tcPr>
          <w:p w14:paraId="21BDDF93"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229</w:t>
            </w:r>
          </w:p>
        </w:tc>
      </w:tr>
      <w:tr w:rsidR="00285665" w:rsidRPr="00FC5FEB" w14:paraId="46CFE66A" w14:textId="77777777" w:rsidTr="00285665">
        <w:trPr>
          <w:trHeight w:val="300"/>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2DA31571"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Peninsula Health</w:t>
            </w:r>
          </w:p>
        </w:tc>
        <w:tc>
          <w:tcPr>
            <w:tcW w:w="2964" w:type="dxa"/>
            <w:tcBorders>
              <w:top w:val="single" w:sz="4" w:space="0" w:color="auto"/>
              <w:left w:val="single" w:sz="4" w:space="0" w:color="auto"/>
              <w:bottom w:val="single" w:sz="4" w:space="0" w:color="auto"/>
              <w:right w:val="single" w:sz="4" w:space="0" w:color="auto"/>
            </w:tcBorders>
            <w:noWrap/>
            <w:vAlign w:val="center"/>
            <w:hideMark/>
          </w:tcPr>
          <w:p w14:paraId="647A670A"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180</w:t>
            </w:r>
          </w:p>
        </w:tc>
      </w:tr>
      <w:tr w:rsidR="00285665" w:rsidRPr="00FC5FEB" w14:paraId="7B7F85D0" w14:textId="77777777" w:rsidTr="00285665">
        <w:trPr>
          <w:trHeight w:val="300"/>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30C74D0C"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Western Health</w:t>
            </w:r>
          </w:p>
        </w:tc>
        <w:tc>
          <w:tcPr>
            <w:tcW w:w="2964" w:type="dxa"/>
            <w:tcBorders>
              <w:top w:val="single" w:sz="4" w:space="0" w:color="auto"/>
              <w:left w:val="single" w:sz="4" w:space="0" w:color="auto"/>
              <w:bottom w:val="single" w:sz="4" w:space="0" w:color="auto"/>
              <w:right w:val="single" w:sz="4" w:space="0" w:color="auto"/>
            </w:tcBorders>
            <w:noWrap/>
            <w:vAlign w:val="center"/>
            <w:hideMark/>
          </w:tcPr>
          <w:p w14:paraId="68E38559"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17</w:t>
            </w:r>
          </w:p>
        </w:tc>
      </w:tr>
      <w:tr w:rsidR="00285665" w:rsidRPr="00FC5FEB" w14:paraId="30548E08" w14:textId="77777777" w:rsidTr="00285665">
        <w:trPr>
          <w:trHeight w:val="300"/>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663D7EA3" w14:textId="77777777" w:rsidR="00285665" w:rsidRPr="00FC5FEB" w:rsidRDefault="00285665" w:rsidP="003D68D1">
            <w:pPr>
              <w:spacing w:after="0" w:line="240" w:lineRule="auto"/>
              <w:rPr>
                <w:rFonts w:cs="Arial"/>
                <w:b/>
                <w:bCs/>
                <w:color w:val="000000"/>
                <w:sz w:val="16"/>
                <w:szCs w:val="16"/>
                <w:lang w:eastAsia="en-AU"/>
              </w:rPr>
            </w:pPr>
            <w:r w:rsidRPr="00FC5FEB">
              <w:rPr>
                <w:rFonts w:cs="Arial"/>
                <w:b/>
                <w:bCs/>
                <w:color w:val="000000"/>
                <w:sz w:val="16"/>
                <w:szCs w:val="16"/>
                <w:lang w:eastAsia="en-AU"/>
              </w:rPr>
              <w:t>Total</w:t>
            </w:r>
          </w:p>
        </w:tc>
        <w:tc>
          <w:tcPr>
            <w:tcW w:w="2964" w:type="dxa"/>
            <w:tcBorders>
              <w:top w:val="single" w:sz="4" w:space="0" w:color="auto"/>
              <w:left w:val="single" w:sz="4" w:space="0" w:color="auto"/>
              <w:bottom w:val="single" w:sz="4" w:space="0" w:color="auto"/>
              <w:right w:val="single" w:sz="4" w:space="0" w:color="auto"/>
            </w:tcBorders>
            <w:noWrap/>
            <w:vAlign w:val="center"/>
            <w:hideMark/>
          </w:tcPr>
          <w:p w14:paraId="603019A4" w14:textId="77777777" w:rsidR="00285665" w:rsidRPr="00FC5FEB" w:rsidRDefault="00285665"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599</w:t>
            </w:r>
          </w:p>
        </w:tc>
      </w:tr>
    </w:tbl>
    <w:p w14:paraId="18240DB8" w14:textId="36D17E27" w:rsidR="00E20023" w:rsidRDefault="00E20023" w:rsidP="00B93C8E">
      <w:pPr>
        <w:pStyle w:val="Body"/>
      </w:pPr>
    </w:p>
    <w:bookmarkEnd w:id="1156"/>
    <w:bookmarkEnd w:id="1157"/>
    <w:bookmarkEnd w:id="1158"/>
    <w:bookmarkEnd w:id="1159"/>
    <w:p w14:paraId="56CD0AEF" w14:textId="77777777" w:rsidR="00285665" w:rsidRDefault="00285665" w:rsidP="00B92CD4">
      <w:pPr>
        <w:pStyle w:val="Body"/>
      </w:pPr>
      <w:permStart w:id="1817188005" w:ed="health.vic.gov.au\andrew.haywood"/>
      <w:permStart w:id="1342507373" w:ed="health.vic.gov.au\jy.yeo"/>
      <w:permStart w:id="1599415817" w:ed="health.vic.gov.au\lucy.solier"/>
      <w:permEnd w:id="1817188005"/>
      <w:permEnd w:id="1342507373"/>
      <w:permEnd w:id="1599415817"/>
    </w:p>
    <w:p w14:paraId="28BCA62A" w14:textId="53E56FCC" w:rsidR="000B27B9" w:rsidRPr="005A088D" w:rsidRDefault="7B0F94E6" w:rsidP="00081936">
      <w:pPr>
        <w:pStyle w:val="Heading3"/>
        <w:numPr>
          <w:ilvl w:val="2"/>
          <w:numId w:val="33"/>
        </w:numPr>
        <w:spacing w:before="0"/>
        <w:ind w:left="1134"/>
      </w:pPr>
      <w:bookmarkStart w:id="1160" w:name="_Toc12780671"/>
      <w:bookmarkStart w:id="1161" w:name="_Toc14172312"/>
      <w:bookmarkStart w:id="1162" w:name="_Toc33703986"/>
      <w:bookmarkStart w:id="1163" w:name="_Toc55381174"/>
      <w:bookmarkStart w:id="1164" w:name="_Toc100263379"/>
      <w:bookmarkStart w:id="1165" w:name="_Toc156569703"/>
      <w:r>
        <w:t xml:space="preserve">Transition Care Program </w:t>
      </w:r>
      <w:bookmarkEnd w:id="1160"/>
      <w:bookmarkEnd w:id="1161"/>
      <w:bookmarkEnd w:id="1162"/>
      <w:bookmarkEnd w:id="1163"/>
      <w:bookmarkEnd w:id="1164"/>
      <w:r w:rsidR="00F826D9">
        <w:t xml:space="preserve">targets </w:t>
      </w:r>
      <w:r w:rsidR="635881F6">
        <w:t>202</w:t>
      </w:r>
      <w:r w:rsidR="007E1C33">
        <w:t>3</w:t>
      </w:r>
      <w:r w:rsidR="63746C83">
        <w:t>–</w:t>
      </w:r>
      <w:r w:rsidR="635881F6">
        <w:t>2</w:t>
      </w:r>
      <w:r w:rsidR="007E1C33">
        <w:t>4</w:t>
      </w:r>
      <w:bookmarkEnd w:id="1165"/>
    </w:p>
    <w:p w14:paraId="104C0983" w14:textId="609B9B2A" w:rsidR="00285665" w:rsidRDefault="00F826D9" w:rsidP="00285665">
      <w:pPr>
        <w:pStyle w:val="Tablecaption"/>
      </w:pPr>
      <w:bookmarkStart w:id="1166" w:name="_Toc156568692"/>
      <w:r>
        <w:t xml:space="preserve">Table </w:t>
      </w:r>
      <w:r>
        <w:fldChar w:fldCharType="begin"/>
      </w:r>
      <w:r>
        <w:instrText>STYLEREF 1 \s</w:instrText>
      </w:r>
      <w:r>
        <w:fldChar w:fldCharType="separate"/>
      </w:r>
      <w:r w:rsidR="00892F13">
        <w:rPr>
          <w:noProof/>
        </w:rPr>
        <w:t>2</w:t>
      </w:r>
      <w:r>
        <w:fldChar w:fldCharType="end"/>
      </w:r>
      <w:r w:rsidR="00742C12">
        <w:t>.</w:t>
      </w:r>
      <w:r>
        <w:fldChar w:fldCharType="begin"/>
      </w:r>
      <w:r>
        <w:instrText>SEQ Table \* ARABIC \s 1</w:instrText>
      </w:r>
      <w:r>
        <w:fldChar w:fldCharType="separate"/>
      </w:r>
      <w:r w:rsidR="00FC5B17">
        <w:rPr>
          <w:noProof/>
        </w:rPr>
        <w:t>15</w:t>
      </w:r>
      <w:r>
        <w:fldChar w:fldCharType="end"/>
      </w:r>
      <w:r>
        <w:t>:</w:t>
      </w:r>
      <w:r w:rsidRPr="00F826D9">
        <w:t xml:space="preserve"> </w:t>
      </w:r>
      <w:r w:rsidRPr="005A088D">
        <w:t>Transition Care Program targets 202</w:t>
      </w:r>
      <w:r>
        <w:t>3</w:t>
      </w:r>
      <w:r w:rsidRPr="005A088D">
        <w:t>–2</w:t>
      </w:r>
      <w:r>
        <w:t>4</w:t>
      </w:r>
      <w:bookmarkEnd w:id="1166"/>
    </w:p>
    <w:tbl>
      <w:tblPr>
        <w:tblW w:w="7180" w:type="dxa"/>
        <w:tblCellMar>
          <w:top w:w="15" w:type="dxa"/>
          <w:bottom w:w="15" w:type="dxa"/>
        </w:tblCellMar>
        <w:tblLook w:val="04A0" w:firstRow="1" w:lastRow="0" w:firstColumn="1" w:lastColumn="0" w:noHBand="0" w:noVBand="1"/>
      </w:tblPr>
      <w:tblGrid>
        <w:gridCol w:w="1840"/>
        <w:gridCol w:w="1720"/>
        <w:gridCol w:w="1780"/>
        <w:gridCol w:w="1840"/>
      </w:tblGrid>
      <w:tr w:rsidR="00285665" w:rsidRPr="00FC5FEB" w14:paraId="0C8FEF0F" w14:textId="77777777" w:rsidTr="003D68D1">
        <w:trPr>
          <w:trHeight w:val="645"/>
          <w:tblHeader/>
        </w:trPr>
        <w:tc>
          <w:tcPr>
            <w:tcW w:w="1840" w:type="dxa"/>
            <w:tcBorders>
              <w:top w:val="single" w:sz="4" w:space="0" w:color="auto"/>
              <w:left w:val="single" w:sz="4" w:space="0" w:color="auto"/>
              <w:bottom w:val="single" w:sz="4" w:space="0" w:color="auto"/>
              <w:right w:val="single" w:sz="4" w:space="0" w:color="auto"/>
            </w:tcBorders>
            <w:vAlign w:val="center"/>
            <w:hideMark/>
          </w:tcPr>
          <w:p w14:paraId="0E65A902" w14:textId="77777777" w:rsidR="00285665" w:rsidRPr="00FC5FEB" w:rsidRDefault="00285665" w:rsidP="003D68D1">
            <w:pPr>
              <w:spacing w:after="0" w:line="240" w:lineRule="auto"/>
              <w:rPr>
                <w:rFonts w:cs="Arial"/>
                <w:b/>
                <w:bCs/>
                <w:color w:val="53565A"/>
                <w:sz w:val="16"/>
                <w:szCs w:val="16"/>
                <w:lang w:eastAsia="en-AU"/>
              </w:rPr>
            </w:pPr>
            <w:r w:rsidRPr="00FC5FEB">
              <w:rPr>
                <w:rFonts w:cs="Arial"/>
                <w:b/>
                <w:bCs/>
                <w:color w:val="53565A"/>
                <w:sz w:val="16"/>
                <w:szCs w:val="16"/>
                <w:lang w:eastAsia="en-AU"/>
              </w:rPr>
              <w:t>Health service</w:t>
            </w:r>
          </w:p>
        </w:tc>
        <w:tc>
          <w:tcPr>
            <w:tcW w:w="1720" w:type="dxa"/>
            <w:tcBorders>
              <w:top w:val="single" w:sz="4" w:space="0" w:color="auto"/>
              <w:left w:val="single" w:sz="4" w:space="0" w:color="auto"/>
              <w:bottom w:val="single" w:sz="4" w:space="0" w:color="auto"/>
              <w:right w:val="single" w:sz="4" w:space="0" w:color="auto"/>
            </w:tcBorders>
            <w:vAlign w:val="center"/>
            <w:hideMark/>
          </w:tcPr>
          <w:p w14:paraId="6D11748F" w14:textId="77777777" w:rsidR="00285665" w:rsidRPr="00FC5FEB" w:rsidRDefault="00285665" w:rsidP="00D51287">
            <w:pPr>
              <w:spacing w:after="0" w:line="240" w:lineRule="auto"/>
              <w:jc w:val="right"/>
              <w:rPr>
                <w:rFonts w:cs="Arial"/>
                <w:b/>
                <w:bCs/>
                <w:color w:val="53565A"/>
                <w:sz w:val="16"/>
                <w:szCs w:val="16"/>
                <w:lang w:eastAsia="en-AU"/>
              </w:rPr>
            </w:pPr>
            <w:r w:rsidRPr="00FC5FEB">
              <w:rPr>
                <w:rFonts w:cs="Arial"/>
                <w:b/>
                <w:bCs/>
                <w:color w:val="53565A"/>
                <w:sz w:val="16"/>
                <w:szCs w:val="16"/>
                <w:lang w:eastAsia="en-AU"/>
              </w:rPr>
              <w:t>Transition care program bed day</w:t>
            </w:r>
          </w:p>
        </w:tc>
        <w:tc>
          <w:tcPr>
            <w:tcW w:w="1780" w:type="dxa"/>
            <w:tcBorders>
              <w:top w:val="single" w:sz="4" w:space="0" w:color="auto"/>
              <w:left w:val="single" w:sz="4" w:space="0" w:color="auto"/>
              <w:bottom w:val="single" w:sz="4" w:space="0" w:color="auto"/>
              <w:right w:val="single" w:sz="4" w:space="0" w:color="auto"/>
            </w:tcBorders>
            <w:vAlign w:val="center"/>
            <w:hideMark/>
          </w:tcPr>
          <w:p w14:paraId="51B1930D" w14:textId="77777777" w:rsidR="00285665" w:rsidRPr="00FC5FEB" w:rsidRDefault="00285665" w:rsidP="003D68D1">
            <w:pPr>
              <w:spacing w:after="0" w:line="240" w:lineRule="auto"/>
              <w:rPr>
                <w:rFonts w:cs="Arial"/>
                <w:b/>
                <w:bCs/>
                <w:color w:val="53565A"/>
                <w:sz w:val="16"/>
                <w:szCs w:val="16"/>
                <w:lang w:eastAsia="en-AU"/>
              </w:rPr>
            </w:pPr>
            <w:r w:rsidRPr="00FC5FEB">
              <w:rPr>
                <w:rFonts w:cs="Arial"/>
                <w:b/>
                <w:bCs/>
                <w:color w:val="53565A"/>
                <w:sz w:val="16"/>
                <w:szCs w:val="16"/>
                <w:lang w:eastAsia="en-AU"/>
              </w:rPr>
              <w:t>Transition care program home day</w:t>
            </w:r>
          </w:p>
        </w:tc>
        <w:tc>
          <w:tcPr>
            <w:tcW w:w="1840" w:type="dxa"/>
            <w:tcBorders>
              <w:top w:val="single" w:sz="4" w:space="0" w:color="auto"/>
              <w:left w:val="single" w:sz="4" w:space="0" w:color="auto"/>
              <w:bottom w:val="single" w:sz="4" w:space="0" w:color="auto"/>
              <w:right w:val="single" w:sz="4" w:space="0" w:color="auto"/>
            </w:tcBorders>
            <w:vAlign w:val="center"/>
            <w:hideMark/>
          </w:tcPr>
          <w:p w14:paraId="2463325D" w14:textId="77777777" w:rsidR="00285665" w:rsidRPr="00FC5FEB" w:rsidRDefault="00285665" w:rsidP="003D68D1">
            <w:pPr>
              <w:spacing w:after="0" w:line="240" w:lineRule="auto"/>
              <w:jc w:val="right"/>
              <w:rPr>
                <w:rFonts w:cs="Arial"/>
                <w:b/>
                <w:bCs/>
                <w:color w:val="53565A"/>
                <w:sz w:val="16"/>
                <w:szCs w:val="16"/>
                <w:lang w:eastAsia="en-AU"/>
              </w:rPr>
            </w:pPr>
            <w:r w:rsidRPr="00FC5FEB">
              <w:rPr>
                <w:rFonts w:cs="Arial"/>
                <w:b/>
                <w:bCs/>
                <w:color w:val="53565A"/>
                <w:sz w:val="16"/>
                <w:szCs w:val="16"/>
                <w:lang w:eastAsia="en-AU"/>
              </w:rPr>
              <w:t>Total</w:t>
            </w:r>
          </w:p>
        </w:tc>
      </w:tr>
      <w:tr w:rsidR="00285665" w:rsidRPr="00FC5FEB" w14:paraId="2BEC0ED7" w14:textId="77777777" w:rsidTr="003D68D1">
        <w:trPr>
          <w:trHeight w:val="300"/>
        </w:trPr>
        <w:tc>
          <w:tcPr>
            <w:tcW w:w="1840" w:type="dxa"/>
            <w:tcBorders>
              <w:top w:val="single" w:sz="4" w:space="0" w:color="auto"/>
              <w:left w:val="single" w:sz="4" w:space="0" w:color="auto"/>
              <w:bottom w:val="single" w:sz="4" w:space="0" w:color="auto"/>
              <w:right w:val="single" w:sz="4" w:space="0" w:color="auto"/>
            </w:tcBorders>
            <w:vAlign w:val="center"/>
            <w:hideMark/>
          </w:tcPr>
          <w:p w14:paraId="08D2BAB0"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Alfred Health</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1750BA2C"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21,900</w:t>
            </w:r>
          </w:p>
        </w:tc>
        <w:tc>
          <w:tcPr>
            <w:tcW w:w="1780" w:type="dxa"/>
            <w:tcBorders>
              <w:top w:val="single" w:sz="4" w:space="0" w:color="auto"/>
              <w:left w:val="single" w:sz="4" w:space="0" w:color="auto"/>
              <w:bottom w:val="single" w:sz="4" w:space="0" w:color="auto"/>
              <w:right w:val="single" w:sz="4" w:space="0" w:color="auto"/>
            </w:tcBorders>
            <w:noWrap/>
            <w:vAlign w:val="center"/>
            <w:hideMark/>
          </w:tcPr>
          <w:p w14:paraId="0F02E15C"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10,220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7C8C42D0" w14:textId="77777777" w:rsidR="00285665" w:rsidRPr="00FC5FEB" w:rsidRDefault="00285665"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32,120</w:t>
            </w:r>
          </w:p>
        </w:tc>
      </w:tr>
      <w:tr w:rsidR="00285665" w:rsidRPr="00FC5FEB" w14:paraId="5E53B99B" w14:textId="77777777" w:rsidTr="003D68D1">
        <w:trPr>
          <w:trHeight w:val="300"/>
        </w:trPr>
        <w:tc>
          <w:tcPr>
            <w:tcW w:w="1840" w:type="dxa"/>
            <w:tcBorders>
              <w:top w:val="single" w:sz="4" w:space="0" w:color="auto"/>
              <w:left w:val="single" w:sz="4" w:space="0" w:color="auto"/>
              <w:bottom w:val="single" w:sz="4" w:space="0" w:color="auto"/>
              <w:right w:val="single" w:sz="4" w:space="0" w:color="auto"/>
            </w:tcBorders>
            <w:vAlign w:val="center"/>
            <w:hideMark/>
          </w:tcPr>
          <w:p w14:paraId="1A020987"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Austin Health</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5B343517"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5,840</w:t>
            </w:r>
          </w:p>
        </w:tc>
        <w:tc>
          <w:tcPr>
            <w:tcW w:w="1780" w:type="dxa"/>
            <w:tcBorders>
              <w:top w:val="single" w:sz="4" w:space="0" w:color="auto"/>
              <w:left w:val="single" w:sz="4" w:space="0" w:color="auto"/>
              <w:bottom w:val="single" w:sz="4" w:space="0" w:color="auto"/>
              <w:right w:val="single" w:sz="4" w:space="0" w:color="auto"/>
            </w:tcBorders>
            <w:noWrap/>
            <w:vAlign w:val="center"/>
            <w:hideMark/>
          </w:tcPr>
          <w:p w14:paraId="7CE5A445"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12,410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10DBE102" w14:textId="77777777" w:rsidR="00285665" w:rsidRPr="00FC5FEB" w:rsidRDefault="00285665"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18,251</w:t>
            </w:r>
          </w:p>
        </w:tc>
      </w:tr>
      <w:tr w:rsidR="00285665" w:rsidRPr="00FC5FEB" w14:paraId="69FFC2A2" w14:textId="77777777" w:rsidTr="003D68D1">
        <w:trPr>
          <w:trHeight w:val="300"/>
        </w:trPr>
        <w:tc>
          <w:tcPr>
            <w:tcW w:w="1840" w:type="dxa"/>
            <w:tcBorders>
              <w:top w:val="single" w:sz="4" w:space="0" w:color="auto"/>
              <w:left w:val="single" w:sz="4" w:space="0" w:color="auto"/>
              <w:bottom w:val="single" w:sz="4" w:space="0" w:color="auto"/>
              <w:right w:val="single" w:sz="4" w:space="0" w:color="auto"/>
            </w:tcBorders>
            <w:vAlign w:val="center"/>
            <w:hideMark/>
          </w:tcPr>
          <w:p w14:paraId="4D044BC5"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Barwon Health</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38DBA3F3"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13,104</w:t>
            </w:r>
          </w:p>
        </w:tc>
        <w:tc>
          <w:tcPr>
            <w:tcW w:w="1780" w:type="dxa"/>
            <w:tcBorders>
              <w:top w:val="single" w:sz="4" w:space="0" w:color="auto"/>
              <w:left w:val="single" w:sz="4" w:space="0" w:color="auto"/>
              <w:bottom w:val="single" w:sz="4" w:space="0" w:color="auto"/>
              <w:right w:val="single" w:sz="4" w:space="0" w:color="auto"/>
            </w:tcBorders>
            <w:noWrap/>
            <w:vAlign w:val="center"/>
            <w:hideMark/>
          </w:tcPr>
          <w:p w14:paraId="5D2D83E2"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7,302</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36295071" w14:textId="77777777" w:rsidR="00285665" w:rsidRPr="00FC5FEB" w:rsidRDefault="00285665"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20,406</w:t>
            </w:r>
          </w:p>
        </w:tc>
      </w:tr>
      <w:tr w:rsidR="00285665" w:rsidRPr="00FC5FEB" w14:paraId="32D390DF" w14:textId="77777777" w:rsidTr="003D68D1">
        <w:trPr>
          <w:trHeight w:val="300"/>
        </w:trPr>
        <w:tc>
          <w:tcPr>
            <w:tcW w:w="1840" w:type="dxa"/>
            <w:tcBorders>
              <w:top w:val="single" w:sz="4" w:space="0" w:color="auto"/>
              <w:left w:val="single" w:sz="4" w:space="0" w:color="auto"/>
              <w:bottom w:val="single" w:sz="4" w:space="0" w:color="auto"/>
              <w:right w:val="single" w:sz="4" w:space="0" w:color="auto"/>
            </w:tcBorders>
            <w:vAlign w:val="center"/>
            <w:hideMark/>
          </w:tcPr>
          <w:p w14:paraId="13DABAEA"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Bendigo Health</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4941525D"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18,220</w:t>
            </w:r>
          </w:p>
        </w:tc>
        <w:tc>
          <w:tcPr>
            <w:tcW w:w="1780" w:type="dxa"/>
            <w:tcBorders>
              <w:top w:val="single" w:sz="4" w:space="0" w:color="auto"/>
              <w:left w:val="single" w:sz="4" w:space="0" w:color="auto"/>
              <w:bottom w:val="single" w:sz="4" w:space="0" w:color="auto"/>
              <w:right w:val="single" w:sz="4" w:space="0" w:color="auto"/>
            </w:tcBorders>
            <w:noWrap/>
            <w:vAlign w:val="center"/>
            <w:hideMark/>
          </w:tcPr>
          <w:p w14:paraId="6A018BD4"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12,814</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585E403F" w14:textId="77777777" w:rsidR="00285665" w:rsidRPr="00FC5FEB" w:rsidRDefault="00285665"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31,034</w:t>
            </w:r>
          </w:p>
        </w:tc>
      </w:tr>
      <w:tr w:rsidR="00285665" w:rsidRPr="00FC5FEB" w14:paraId="6887D36B" w14:textId="77777777" w:rsidTr="003D68D1">
        <w:trPr>
          <w:trHeight w:val="300"/>
        </w:trPr>
        <w:tc>
          <w:tcPr>
            <w:tcW w:w="1840" w:type="dxa"/>
            <w:tcBorders>
              <w:top w:val="single" w:sz="4" w:space="0" w:color="auto"/>
              <w:left w:val="single" w:sz="4" w:space="0" w:color="auto"/>
              <w:bottom w:val="single" w:sz="4" w:space="0" w:color="auto"/>
              <w:right w:val="single" w:sz="4" w:space="0" w:color="auto"/>
            </w:tcBorders>
            <w:vAlign w:val="center"/>
            <w:hideMark/>
          </w:tcPr>
          <w:p w14:paraId="796988A2"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Eastern Health</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60ABB5F2"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26,280</w:t>
            </w:r>
          </w:p>
        </w:tc>
        <w:tc>
          <w:tcPr>
            <w:tcW w:w="1780" w:type="dxa"/>
            <w:tcBorders>
              <w:top w:val="single" w:sz="4" w:space="0" w:color="auto"/>
              <w:left w:val="single" w:sz="4" w:space="0" w:color="auto"/>
              <w:bottom w:val="single" w:sz="4" w:space="0" w:color="auto"/>
              <w:right w:val="single" w:sz="4" w:space="0" w:color="auto"/>
            </w:tcBorders>
            <w:noWrap/>
            <w:vAlign w:val="center"/>
            <w:hideMark/>
          </w:tcPr>
          <w:p w14:paraId="366FF1F0"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9,855</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7FA142AD" w14:textId="77777777" w:rsidR="00285665" w:rsidRPr="00FC5FEB" w:rsidRDefault="00285665"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36,135</w:t>
            </w:r>
          </w:p>
        </w:tc>
      </w:tr>
      <w:tr w:rsidR="00285665" w:rsidRPr="00FC5FEB" w14:paraId="36A8C5EC" w14:textId="77777777" w:rsidTr="003D68D1">
        <w:trPr>
          <w:trHeight w:val="300"/>
        </w:trPr>
        <w:tc>
          <w:tcPr>
            <w:tcW w:w="1840" w:type="dxa"/>
            <w:tcBorders>
              <w:top w:val="single" w:sz="4" w:space="0" w:color="auto"/>
              <w:left w:val="single" w:sz="4" w:space="0" w:color="auto"/>
              <w:bottom w:val="single" w:sz="4" w:space="0" w:color="auto"/>
              <w:right w:val="single" w:sz="4" w:space="0" w:color="auto"/>
            </w:tcBorders>
            <w:vAlign w:val="center"/>
            <w:hideMark/>
          </w:tcPr>
          <w:p w14:paraId="3DC6915A"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Goulburn Valley Health</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05C30F9A"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13,118</w:t>
            </w:r>
          </w:p>
        </w:tc>
        <w:tc>
          <w:tcPr>
            <w:tcW w:w="1780" w:type="dxa"/>
            <w:tcBorders>
              <w:top w:val="single" w:sz="4" w:space="0" w:color="auto"/>
              <w:left w:val="single" w:sz="4" w:space="0" w:color="auto"/>
              <w:bottom w:val="single" w:sz="4" w:space="0" w:color="auto"/>
              <w:right w:val="single" w:sz="4" w:space="0" w:color="auto"/>
            </w:tcBorders>
            <w:noWrap/>
            <w:vAlign w:val="center"/>
            <w:hideMark/>
          </w:tcPr>
          <w:p w14:paraId="273A3B9F"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13,546</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000E10D7" w14:textId="77777777" w:rsidR="00285665" w:rsidRPr="00FC5FEB" w:rsidRDefault="00285665"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26,665</w:t>
            </w:r>
          </w:p>
        </w:tc>
      </w:tr>
      <w:tr w:rsidR="00285665" w:rsidRPr="00FC5FEB" w14:paraId="14FA1FF1" w14:textId="77777777" w:rsidTr="003D68D1">
        <w:trPr>
          <w:trHeight w:val="300"/>
        </w:trPr>
        <w:tc>
          <w:tcPr>
            <w:tcW w:w="1840" w:type="dxa"/>
            <w:tcBorders>
              <w:top w:val="single" w:sz="4" w:space="0" w:color="auto"/>
              <w:left w:val="single" w:sz="4" w:space="0" w:color="auto"/>
              <w:bottom w:val="single" w:sz="4" w:space="0" w:color="auto"/>
              <w:right w:val="single" w:sz="4" w:space="0" w:color="auto"/>
            </w:tcBorders>
            <w:vAlign w:val="center"/>
            <w:hideMark/>
          </w:tcPr>
          <w:p w14:paraId="03BDC2F6"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Grampians Health</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21ECF86A"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13,847</w:t>
            </w:r>
          </w:p>
        </w:tc>
        <w:tc>
          <w:tcPr>
            <w:tcW w:w="1780" w:type="dxa"/>
            <w:tcBorders>
              <w:top w:val="single" w:sz="4" w:space="0" w:color="auto"/>
              <w:left w:val="single" w:sz="4" w:space="0" w:color="auto"/>
              <w:bottom w:val="single" w:sz="4" w:space="0" w:color="auto"/>
              <w:right w:val="single" w:sz="4" w:space="0" w:color="auto"/>
            </w:tcBorders>
            <w:noWrap/>
            <w:vAlign w:val="center"/>
            <w:hideMark/>
          </w:tcPr>
          <w:p w14:paraId="1B02B1F5"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9,153</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5171C75D" w14:textId="77777777" w:rsidR="00285665" w:rsidRPr="00FC5FEB" w:rsidRDefault="00285665"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23,000</w:t>
            </w:r>
          </w:p>
        </w:tc>
      </w:tr>
      <w:tr w:rsidR="00285665" w:rsidRPr="00FC5FEB" w14:paraId="491AE3DF" w14:textId="77777777" w:rsidTr="003D68D1">
        <w:trPr>
          <w:trHeight w:val="405"/>
        </w:trPr>
        <w:tc>
          <w:tcPr>
            <w:tcW w:w="1840" w:type="dxa"/>
            <w:tcBorders>
              <w:top w:val="single" w:sz="4" w:space="0" w:color="auto"/>
              <w:left w:val="single" w:sz="4" w:space="0" w:color="auto"/>
              <w:bottom w:val="single" w:sz="4" w:space="0" w:color="auto"/>
              <w:right w:val="single" w:sz="4" w:space="0" w:color="auto"/>
            </w:tcBorders>
            <w:vAlign w:val="center"/>
            <w:hideMark/>
          </w:tcPr>
          <w:p w14:paraId="5AA81C44"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Latrobe Regional Hospital</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7E5153FC"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9,095</w:t>
            </w:r>
          </w:p>
        </w:tc>
        <w:tc>
          <w:tcPr>
            <w:tcW w:w="1780" w:type="dxa"/>
            <w:tcBorders>
              <w:top w:val="single" w:sz="4" w:space="0" w:color="auto"/>
              <w:left w:val="single" w:sz="4" w:space="0" w:color="auto"/>
              <w:bottom w:val="single" w:sz="4" w:space="0" w:color="auto"/>
              <w:right w:val="single" w:sz="4" w:space="0" w:color="auto"/>
            </w:tcBorders>
            <w:noWrap/>
            <w:vAlign w:val="center"/>
            <w:hideMark/>
          </w:tcPr>
          <w:p w14:paraId="110FF159"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7,668</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2BAA8E1E" w14:textId="77777777" w:rsidR="00285665" w:rsidRPr="00FC5FEB" w:rsidRDefault="00285665"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16,764</w:t>
            </w:r>
          </w:p>
        </w:tc>
      </w:tr>
      <w:tr w:rsidR="00285665" w:rsidRPr="00FC5FEB" w14:paraId="122AC06B" w14:textId="77777777" w:rsidTr="003D68D1">
        <w:trPr>
          <w:trHeight w:val="300"/>
        </w:trPr>
        <w:tc>
          <w:tcPr>
            <w:tcW w:w="1840" w:type="dxa"/>
            <w:tcBorders>
              <w:top w:val="single" w:sz="4" w:space="0" w:color="auto"/>
              <w:left w:val="single" w:sz="4" w:space="0" w:color="auto"/>
              <w:bottom w:val="single" w:sz="4" w:space="0" w:color="auto"/>
              <w:right w:val="single" w:sz="4" w:space="0" w:color="auto"/>
            </w:tcBorders>
            <w:vAlign w:val="center"/>
            <w:hideMark/>
          </w:tcPr>
          <w:p w14:paraId="27A4CD16"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Melbourne Health</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785C8E1E"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8,373</w:t>
            </w:r>
          </w:p>
        </w:tc>
        <w:tc>
          <w:tcPr>
            <w:tcW w:w="1780" w:type="dxa"/>
            <w:tcBorders>
              <w:top w:val="single" w:sz="4" w:space="0" w:color="auto"/>
              <w:left w:val="single" w:sz="4" w:space="0" w:color="auto"/>
              <w:bottom w:val="single" w:sz="4" w:space="0" w:color="auto"/>
              <w:right w:val="single" w:sz="4" w:space="0" w:color="auto"/>
            </w:tcBorders>
            <w:noWrap/>
            <w:vAlign w:val="center"/>
            <w:hideMark/>
          </w:tcPr>
          <w:p w14:paraId="11C51FE5"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14,652</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52654591" w14:textId="77777777" w:rsidR="00285665" w:rsidRPr="00FC5FEB" w:rsidRDefault="00285665"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23,026</w:t>
            </w:r>
          </w:p>
        </w:tc>
      </w:tr>
      <w:tr w:rsidR="00285665" w:rsidRPr="00FC5FEB" w14:paraId="0B83F3A0" w14:textId="77777777" w:rsidTr="003D68D1">
        <w:trPr>
          <w:trHeight w:val="405"/>
        </w:trPr>
        <w:tc>
          <w:tcPr>
            <w:tcW w:w="1840" w:type="dxa"/>
            <w:tcBorders>
              <w:top w:val="single" w:sz="4" w:space="0" w:color="auto"/>
              <w:left w:val="single" w:sz="4" w:space="0" w:color="auto"/>
              <w:bottom w:val="single" w:sz="4" w:space="0" w:color="auto"/>
              <w:right w:val="single" w:sz="4" w:space="0" w:color="auto"/>
            </w:tcBorders>
            <w:vAlign w:val="center"/>
            <w:hideMark/>
          </w:tcPr>
          <w:p w14:paraId="0D247C33"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Mercy Hospitals Victoria Limited</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4BBD7443"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2,186</w:t>
            </w:r>
          </w:p>
        </w:tc>
        <w:tc>
          <w:tcPr>
            <w:tcW w:w="1780" w:type="dxa"/>
            <w:tcBorders>
              <w:top w:val="single" w:sz="4" w:space="0" w:color="auto"/>
              <w:left w:val="single" w:sz="4" w:space="0" w:color="auto"/>
              <w:bottom w:val="single" w:sz="4" w:space="0" w:color="auto"/>
              <w:right w:val="single" w:sz="4" w:space="0" w:color="auto"/>
            </w:tcBorders>
            <w:noWrap/>
            <w:vAlign w:val="center"/>
            <w:hideMark/>
          </w:tcPr>
          <w:p w14:paraId="3E220FF9"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1,464</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3BCB90EF" w14:textId="77777777" w:rsidR="00285665" w:rsidRPr="00FC5FEB" w:rsidRDefault="00285665"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3,651</w:t>
            </w:r>
          </w:p>
        </w:tc>
      </w:tr>
      <w:tr w:rsidR="00285665" w:rsidRPr="00FC5FEB" w14:paraId="669F4B2E" w14:textId="77777777" w:rsidTr="003D68D1">
        <w:trPr>
          <w:trHeight w:val="405"/>
        </w:trPr>
        <w:tc>
          <w:tcPr>
            <w:tcW w:w="1840" w:type="dxa"/>
            <w:tcBorders>
              <w:top w:val="single" w:sz="4" w:space="0" w:color="auto"/>
              <w:left w:val="single" w:sz="4" w:space="0" w:color="auto"/>
              <w:bottom w:val="single" w:sz="4" w:space="0" w:color="auto"/>
              <w:right w:val="single" w:sz="4" w:space="0" w:color="auto"/>
            </w:tcBorders>
            <w:vAlign w:val="center"/>
            <w:hideMark/>
          </w:tcPr>
          <w:p w14:paraId="6025E996"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Mildura Base Public Hospital</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297EFCA1"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2,276</w:t>
            </w:r>
          </w:p>
        </w:tc>
        <w:tc>
          <w:tcPr>
            <w:tcW w:w="1780" w:type="dxa"/>
            <w:tcBorders>
              <w:top w:val="single" w:sz="4" w:space="0" w:color="auto"/>
              <w:left w:val="single" w:sz="4" w:space="0" w:color="auto"/>
              <w:bottom w:val="single" w:sz="4" w:space="0" w:color="auto"/>
              <w:right w:val="single" w:sz="4" w:space="0" w:color="auto"/>
            </w:tcBorders>
            <w:noWrap/>
            <w:vAlign w:val="center"/>
            <w:hideMark/>
          </w:tcPr>
          <w:p w14:paraId="07AE7DDD"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3,570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4C1F44CD" w14:textId="77777777" w:rsidR="00285665" w:rsidRPr="00FC5FEB" w:rsidRDefault="00285665"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5,846</w:t>
            </w:r>
          </w:p>
        </w:tc>
      </w:tr>
      <w:tr w:rsidR="00285665" w:rsidRPr="00FC5FEB" w14:paraId="52C9C9FC" w14:textId="77777777" w:rsidTr="003D68D1">
        <w:trPr>
          <w:trHeight w:val="300"/>
        </w:trPr>
        <w:tc>
          <w:tcPr>
            <w:tcW w:w="1840" w:type="dxa"/>
            <w:tcBorders>
              <w:top w:val="single" w:sz="4" w:space="0" w:color="auto"/>
              <w:left w:val="single" w:sz="4" w:space="0" w:color="auto"/>
              <w:bottom w:val="single" w:sz="4" w:space="0" w:color="auto"/>
              <w:right w:val="single" w:sz="4" w:space="0" w:color="auto"/>
            </w:tcBorders>
            <w:vAlign w:val="center"/>
            <w:hideMark/>
          </w:tcPr>
          <w:p w14:paraId="08141455"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Monash Health</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055CB495"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17,491</w:t>
            </w:r>
          </w:p>
        </w:tc>
        <w:tc>
          <w:tcPr>
            <w:tcW w:w="1780" w:type="dxa"/>
            <w:tcBorders>
              <w:top w:val="single" w:sz="4" w:space="0" w:color="auto"/>
              <w:left w:val="single" w:sz="4" w:space="0" w:color="auto"/>
              <w:bottom w:val="single" w:sz="4" w:space="0" w:color="auto"/>
              <w:right w:val="single" w:sz="4" w:space="0" w:color="auto"/>
            </w:tcBorders>
            <w:noWrap/>
            <w:vAlign w:val="center"/>
            <w:hideMark/>
          </w:tcPr>
          <w:p w14:paraId="50887857"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10,983</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1E7D94FF" w14:textId="77777777" w:rsidR="00285665" w:rsidRPr="00FC5FEB" w:rsidRDefault="00285665"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28,475</w:t>
            </w:r>
          </w:p>
        </w:tc>
      </w:tr>
      <w:tr w:rsidR="00285665" w:rsidRPr="00FC5FEB" w14:paraId="073EAB0D" w14:textId="77777777" w:rsidTr="003D68D1">
        <w:trPr>
          <w:trHeight w:val="300"/>
        </w:trPr>
        <w:tc>
          <w:tcPr>
            <w:tcW w:w="1840" w:type="dxa"/>
            <w:tcBorders>
              <w:top w:val="single" w:sz="4" w:space="0" w:color="auto"/>
              <w:left w:val="single" w:sz="4" w:space="0" w:color="auto"/>
              <w:bottom w:val="single" w:sz="4" w:space="0" w:color="auto"/>
              <w:right w:val="single" w:sz="4" w:space="0" w:color="auto"/>
            </w:tcBorders>
            <w:vAlign w:val="center"/>
            <w:hideMark/>
          </w:tcPr>
          <w:p w14:paraId="2256B01A"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Northern Health</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72AE89F8"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8,746</w:t>
            </w:r>
          </w:p>
        </w:tc>
        <w:tc>
          <w:tcPr>
            <w:tcW w:w="1780" w:type="dxa"/>
            <w:tcBorders>
              <w:top w:val="single" w:sz="4" w:space="0" w:color="auto"/>
              <w:left w:val="single" w:sz="4" w:space="0" w:color="auto"/>
              <w:bottom w:val="single" w:sz="4" w:space="0" w:color="auto"/>
              <w:right w:val="single" w:sz="4" w:space="0" w:color="auto"/>
            </w:tcBorders>
            <w:noWrap/>
            <w:vAlign w:val="center"/>
            <w:hideMark/>
          </w:tcPr>
          <w:p w14:paraId="2CEFD599"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15,743</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07E214A5" w14:textId="77777777" w:rsidR="00285665" w:rsidRPr="00FC5FEB" w:rsidRDefault="00285665"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24,488</w:t>
            </w:r>
          </w:p>
        </w:tc>
      </w:tr>
      <w:tr w:rsidR="00285665" w:rsidRPr="00FC5FEB" w14:paraId="54769204" w14:textId="77777777" w:rsidTr="003D68D1">
        <w:trPr>
          <w:trHeight w:val="300"/>
        </w:trPr>
        <w:tc>
          <w:tcPr>
            <w:tcW w:w="1840" w:type="dxa"/>
            <w:tcBorders>
              <w:top w:val="single" w:sz="4" w:space="0" w:color="auto"/>
              <w:left w:val="single" w:sz="4" w:space="0" w:color="auto"/>
              <w:bottom w:val="single" w:sz="4" w:space="0" w:color="auto"/>
              <w:right w:val="single" w:sz="4" w:space="0" w:color="auto"/>
            </w:tcBorders>
            <w:vAlign w:val="center"/>
            <w:hideMark/>
          </w:tcPr>
          <w:p w14:paraId="0A34D28A"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Peninsula Health</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277DB02E"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22,155</w:t>
            </w:r>
          </w:p>
        </w:tc>
        <w:tc>
          <w:tcPr>
            <w:tcW w:w="1780" w:type="dxa"/>
            <w:tcBorders>
              <w:top w:val="single" w:sz="4" w:space="0" w:color="auto"/>
              <w:left w:val="single" w:sz="4" w:space="0" w:color="auto"/>
              <w:bottom w:val="single" w:sz="4" w:space="0" w:color="auto"/>
              <w:right w:val="single" w:sz="4" w:space="0" w:color="auto"/>
            </w:tcBorders>
            <w:noWrap/>
            <w:vAlign w:val="center"/>
            <w:hideMark/>
          </w:tcPr>
          <w:p w14:paraId="1BDCA975"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5,492</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7B5DB1AF" w14:textId="77777777" w:rsidR="00285665" w:rsidRPr="00FC5FEB" w:rsidRDefault="00285665"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27,647</w:t>
            </w:r>
          </w:p>
        </w:tc>
      </w:tr>
      <w:tr w:rsidR="00285665" w:rsidRPr="00FC5FEB" w14:paraId="2EDEEA92" w14:textId="77777777" w:rsidTr="003D68D1">
        <w:trPr>
          <w:trHeight w:val="300"/>
        </w:trPr>
        <w:tc>
          <w:tcPr>
            <w:tcW w:w="1840" w:type="dxa"/>
            <w:tcBorders>
              <w:top w:val="single" w:sz="4" w:space="0" w:color="auto"/>
              <w:left w:val="single" w:sz="4" w:space="0" w:color="auto"/>
              <w:bottom w:val="single" w:sz="4" w:space="0" w:color="auto"/>
              <w:right w:val="single" w:sz="4" w:space="0" w:color="auto"/>
            </w:tcBorders>
            <w:vAlign w:val="center"/>
            <w:hideMark/>
          </w:tcPr>
          <w:p w14:paraId="63CC7EA4"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Portland District Health</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37233597"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1,458</w:t>
            </w:r>
          </w:p>
        </w:tc>
        <w:tc>
          <w:tcPr>
            <w:tcW w:w="1780" w:type="dxa"/>
            <w:tcBorders>
              <w:top w:val="single" w:sz="4" w:space="0" w:color="auto"/>
              <w:left w:val="single" w:sz="4" w:space="0" w:color="auto"/>
              <w:bottom w:val="single" w:sz="4" w:space="0" w:color="auto"/>
              <w:right w:val="single" w:sz="4" w:space="0" w:color="auto"/>
            </w:tcBorders>
            <w:noWrap/>
            <w:vAlign w:val="center"/>
            <w:hideMark/>
          </w:tcPr>
          <w:p w14:paraId="5CCBBDCB"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732</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0F3CE9B8" w14:textId="77777777" w:rsidR="00285665" w:rsidRPr="00FC5FEB" w:rsidRDefault="00285665"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2,190</w:t>
            </w:r>
          </w:p>
        </w:tc>
      </w:tr>
      <w:tr w:rsidR="00285665" w:rsidRPr="00FC5FEB" w14:paraId="66496ADA" w14:textId="77777777" w:rsidTr="003D68D1">
        <w:trPr>
          <w:trHeight w:val="300"/>
        </w:trPr>
        <w:tc>
          <w:tcPr>
            <w:tcW w:w="1840" w:type="dxa"/>
            <w:tcBorders>
              <w:top w:val="single" w:sz="4" w:space="0" w:color="auto"/>
              <w:left w:val="single" w:sz="4" w:space="0" w:color="auto"/>
              <w:bottom w:val="single" w:sz="4" w:space="0" w:color="auto"/>
              <w:right w:val="single" w:sz="4" w:space="0" w:color="auto"/>
            </w:tcBorders>
            <w:vAlign w:val="center"/>
            <w:hideMark/>
          </w:tcPr>
          <w:p w14:paraId="38D9BBC1"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South West Healthcare</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1404B75A"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3,645</w:t>
            </w:r>
          </w:p>
        </w:tc>
        <w:tc>
          <w:tcPr>
            <w:tcW w:w="1780" w:type="dxa"/>
            <w:tcBorders>
              <w:top w:val="single" w:sz="4" w:space="0" w:color="auto"/>
              <w:left w:val="single" w:sz="4" w:space="0" w:color="auto"/>
              <w:bottom w:val="single" w:sz="4" w:space="0" w:color="auto"/>
              <w:right w:val="single" w:sz="4" w:space="0" w:color="auto"/>
            </w:tcBorders>
            <w:noWrap/>
            <w:vAlign w:val="center"/>
            <w:hideMark/>
          </w:tcPr>
          <w:p w14:paraId="13FAC22D"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3,663</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15F800F5" w14:textId="77777777" w:rsidR="00285665" w:rsidRPr="00FC5FEB" w:rsidRDefault="00285665"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7,309</w:t>
            </w:r>
          </w:p>
        </w:tc>
      </w:tr>
      <w:tr w:rsidR="00285665" w:rsidRPr="00FC5FEB" w14:paraId="7E1F2B68" w14:textId="77777777" w:rsidTr="003D68D1">
        <w:trPr>
          <w:trHeight w:val="405"/>
        </w:trPr>
        <w:tc>
          <w:tcPr>
            <w:tcW w:w="1840" w:type="dxa"/>
            <w:tcBorders>
              <w:top w:val="single" w:sz="4" w:space="0" w:color="auto"/>
              <w:left w:val="single" w:sz="4" w:space="0" w:color="auto"/>
              <w:bottom w:val="single" w:sz="4" w:space="0" w:color="auto"/>
              <w:right w:val="single" w:sz="4" w:space="0" w:color="auto"/>
            </w:tcBorders>
            <w:vAlign w:val="center"/>
            <w:hideMark/>
          </w:tcPr>
          <w:p w14:paraId="299521B6"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St Vincent's Hospital Melbourne Limited</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593B07E6"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9,472</w:t>
            </w:r>
          </w:p>
        </w:tc>
        <w:tc>
          <w:tcPr>
            <w:tcW w:w="1780" w:type="dxa"/>
            <w:tcBorders>
              <w:top w:val="single" w:sz="4" w:space="0" w:color="auto"/>
              <w:left w:val="single" w:sz="4" w:space="0" w:color="auto"/>
              <w:bottom w:val="single" w:sz="4" w:space="0" w:color="auto"/>
              <w:right w:val="single" w:sz="4" w:space="0" w:color="auto"/>
            </w:tcBorders>
            <w:noWrap/>
            <w:vAlign w:val="center"/>
            <w:hideMark/>
          </w:tcPr>
          <w:p w14:paraId="48AAF904"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16,459</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621FEEF6" w14:textId="77777777" w:rsidR="00285665" w:rsidRPr="00FC5FEB" w:rsidRDefault="00285665"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25,931</w:t>
            </w:r>
          </w:p>
        </w:tc>
      </w:tr>
      <w:tr w:rsidR="00285665" w:rsidRPr="00FC5FEB" w14:paraId="717415B8" w14:textId="77777777" w:rsidTr="003D68D1">
        <w:trPr>
          <w:trHeight w:val="405"/>
        </w:trPr>
        <w:tc>
          <w:tcPr>
            <w:tcW w:w="1840" w:type="dxa"/>
            <w:tcBorders>
              <w:top w:val="single" w:sz="4" w:space="0" w:color="auto"/>
              <w:left w:val="single" w:sz="4" w:space="0" w:color="auto"/>
              <w:bottom w:val="single" w:sz="4" w:space="0" w:color="auto"/>
              <w:right w:val="single" w:sz="4" w:space="0" w:color="auto"/>
            </w:tcBorders>
            <w:vAlign w:val="center"/>
            <w:hideMark/>
          </w:tcPr>
          <w:p w14:paraId="0CD11F08"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Western District Health Service</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4DA03F43"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1,450</w:t>
            </w:r>
          </w:p>
        </w:tc>
        <w:tc>
          <w:tcPr>
            <w:tcW w:w="1780" w:type="dxa"/>
            <w:tcBorders>
              <w:top w:val="single" w:sz="4" w:space="0" w:color="auto"/>
              <w:left w:val="single" w:sz="4" w:space="0" w:color="auto"/>
              <w:bottom w:val="single" w:sz="4" w:space="0" w:color="auto"/>
              <w:right w:val="single" w:sz="4" w:space="0" w:color="auto"/>
            </w:tcBorders>
            <w:noWrap/>
            <w:vAlign w:val="center"/>
            <w:hideMark/>
          </w:tcPr>
          <w:p w14:paraId="17A7C083"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1,821</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19912CE5" w14:textId="77777777" w:rsidR="00285665" w:rsidRPr="00FC5FEB" w:rsidRDefault="00285665"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3,271</w:t>
            </w:r>
          </w:p>
        </w:tc>
      </w:tr>
      <w:tr w:rsidR="00285665" w:rsidRPr="00FC5FEB" w14:paraId="7109A7F7" w14:textId="77777777" w:rsidTr="003D68D1">
        <w:trPr>
          <w:trHeight w:val="300"/>
        </w:trPr>
        <w:tc>
          <w:tcPr>
            <w:tcW w:w="1840" w:type="dxa"/>
            <w:tcBorders>
              <w:top w:val="single" w:sz="4" w:space="0" w:color="auto"/>
              <w:left w:val="single" w:sz="4" w:space="0" w:color="auto"/>
              <w:bottom w:val="single" w:sz="4" w:space="0" w:color="auto"/>
              <w:right w:val="single" w:sz="4" w:space="0" w:color="auto"/>
            </w:tcBorders>
            <w:vAlign w:val="center"/>
            <w:hideMark/>
          </w:tcPr>
          <w:p w14:paraId="0D722D75"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Western Health</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70468D7C"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12,390</w:t>
            </w:r>
          </w:p>
        </w:tc>
        <w:tc>
          <w:tcPr>
            <w:tcW w:w="1780" w:type="dxa"/>
            <w:tcBorders>
              <w:top w:val="single" w:sz="4" w:space="0" w:color="auto"/>
              <w:left w:val="single" w:sz="4" w:space="0" w:color="auto"/>
              <w:bottom w:val="single" w:sz="4" w:space="0" w:color="auto"/>
              <w:right w:val="single" w:sz="4" w:space="0" w:color="auto"/>
            </w:tcBorders>
            <w:noWrap/>
            <w:vAlign w:val="center"/>
            <w:hideMark/>
          </w:tcPr>
          <w:p w14:paraId="5DAEBFC9"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12,808</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14007809" w14:textId="77777777" w:rsidR="00285665" w:rsidRPr="00FC5FEB" w:rsidRDefault="00285665"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25,198</w:t>
            </w:r>
          </w:p>
        </w:tc>
      </w:tr>
      <w:tr w:rsidR="00285665" w:rsidRPr="00FC5FEB" w14:paraId="3D914B02" w14:textId="77777777" w:rsidTr="003D68D1">
        <w:trPr>
          <w:trHeight w:val="300"/>
        </w:trPr>
        <w:tc>
          <w:tcPr>
            <w:tcW w:w="1840" w:type="dxa"/>
            <w:tcBorders>
              <w:top w:val="single" w:sz="4" w:space="0" w:color="auto"/>
              <w:left w:val="single" w:sz="4" w:space="0" w:color="auto"/>
              <w:bottom w:val="single" w:sz="4" w:space="0" w:color="auto"/>
              <w:right w:val="single" w:sz="4" w:space="0" w:color="auto"/>
            </w:tcBorders>
            <w:vAlign w:val="center"/>
            <w:hideMark/>
          </w:tcPr>
          <w:p w14:paraId="1A7D9F80" w14:textId="77777777" w:rsidR="00285665" w:rsidRPr="00FC5FEB" w:rsidRDefault="00285665" w:rsidP="003D68D1">
            <w:pPr>
              <w:spacing w:after="0" w:line="240" w:lineRule="auto"/>
              <w:rPr>
                <w:rFonts w:cs="Arial"/>
                <w:b/>
                <w:bCs/>
                <w:color w:val="000000"/>
                <w:sz w:val="16"/>
                <w:szCs w:val="16"/>
                <w:lang w:eastAsia="en-AU"/>
              </w:rPr>
            </w:pPr>
            <w:r w:rsidRPr="00FC5FEB">
              <w:rPr>
                <w:rFonts w:cs="Arial"/>
                <w:b/>
                <w:bCs/>
                <w:color w:val="000000"/>
                <w:sz w:val="16"/>
                <w:szCs w:val="16"/>
                <w:lang w:eastAsia="en-AU"/>
              </w:rPr>
              <w:t>Grand Total</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605CB336" w14:textId="77777777" w:rsidR="00285665" w:rsidRPr="00FC5FEB" w:rsidRDefault="00285665"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211,047</w:t>
            </w:r>
          </w:p>
        </w:tc>
        <w:tc>
          <w:tcPr>
            <w:tcW w:w="1780" w:type="dxa"/>
            <w:tcBorders>
              <w:top w:val="single" w:sz="4" w:space="0" w:color="auto"/>
              <w:left w:val="single" w:sz="4" w:space="0" w:color="auto"/>
              <w:bottom w:val="single" w:sz="4" w:space="0" w:color="auto"/>
              <w:right w:val="single" w:sz="4" w:space="0" w:color="auto"/>
            </w:tcBorders>
            <w:noWrap/>
            <w:vAlign w:val="center"/>
            <w:hideMark/>
          </w:tcPr>
          <w:p w14:paraId="5F5403EB" w14:textId="77777777" w:rsidR="00285665" w:rsidRPr="00FC5FEB" w:rsidRDefault="00285665"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170,358</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35273E64" w14:textId="77777777" w:rsidR="00285665" w:rsidRPr="00FC5FEB" w:rsidRDefault="00285665"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381,405</w:t>
            </w:r>
          </w:p>
        </w:tc>
      </w:tr>
    </w:tbl>
    <w:p w14:paraId="7A6A3BEB" w14:textId="77777777" w:rsidR="00285665" w:rsidRPr="00285665" w:rsidRDefault="00285665" w:rsidP="00285665">
      <w:pPr>
        <w:pStyle w:val="Body"/>
      </w:pPr>
    </w:p>
    <w:p w14:paraId="763079F7" w14:textId="66C770AB" w:rsidR="000B27B9" w:rsidRPr="00E30582" w:rsidRDefault="7B0F94E6" w:rsidP="00081936">
      <w:pPr>
        <w:pStyle w:val="Heading3"/>
        <w:numPr>
          <w:ilvl w:val="2"/>
          <w:numId w:val="33"/>
        </w:numPr>
        <w:spacing w:before="240" w:line="240" w:lineRule="auto"/>
        <w:ind w:left="1134"/>
      </w:pPr>
      <w:bookmarkStart w:id="1167" w:name="_Toc144905692"/>
      <w:bookmarkStart w:id="1168" w:name="_Toc144905693"/>
      <w:bookmarkStart w:id="1169" w:name="_Toc144905694"/>
      <w:bookmarkStart w:id="1170" w:name="_Toc144905695"/>
      <w:bookmarkStart w:id="1171" w:name="_Toc144905696"/>
      <w:bookmarkStart w:id="1172" w:name="_Toc144905697"/>
      <w:bookmarkStart w:id="1173" w:name="_Toc483748272"/>
      <w:bookmarkStart w:id="1174" w:name="_Toc483748591"/>
      <w:bookmarkStart w:id="1175" w:name="_Toc483748115"/>
      <w:bookmarkStart w:id="1176" w:name="_Toc483748274"/>
      <w:bookmarkStart w:id="1177" w:name="_Toc483748593"/>
      <w:bookmarkStart w:id="1178" w:name="_Toc12780673"/>
      <w:bookmarkStart w:id="1179" w:name="_Toc14172314"/>
      <w:bookmarkStart w:id="1180" w:name="_Toc33703988"/>
      <w:bookmarkStart w:id="1181" w:name="_Toc55381176"/>
      <w:bookmarkStart w:id="1182" w:name="_Toc100263380"/>
      <w:bookmarkStart w:id="1183" w:name="_Toc156569704"/>
      <w:bookmarkEnd w:id="1167"/>
      <w:bookmarkEnd w:id="1168"/>
      <w:bookmarkEnd w:id="1169"/>
      <w:bookmarkEnd w:id="1170"/>
      <w:bookmarkEnd w:id="1171"/>
      <w:bookmarkEnd w:id="1172"/>
      <w:bookmarkEnd w:id="1173"/>
      <w:bookmarkEnd w:id="1174"/>
      <w:bookmarkEnd w:id="1175"/>
      <w:bookmarkEnd w:id="1176"/>
      <w:bookmarkEnd w:id="1177"/>
      <w:r>
        <w:t xml:space="preserve">Total </w:t>
      </w:r>
      <w:r w:rsidR="00F826D9">
        <w:t xml:space="preserve">parenteral nutrition activity targets </w:t>
      </w:r>
      <w:r w:rsidR="3153C313">
        <w:t>(NWAU)</w:t>
      </w:r>
      <w:r>
        <w:br/>
      </w:r>
      <w:bookmarkEnd w:id="1178"/>
      <w:bookmarkEnd w:id="1179"/>
      <w:bookmarkEnd w:id="1180"/>
      <w:bookmarkEnd w:id="1181"/>
      <w:bookmarkEnd w:id="1182"/>
      <w:r w:rsidR="635881F6">
        <w:t>202</w:t>
      </w:r>
      <w:r w:rsidR="007E1C33">
        <w:t>3</w:t>
      </w:r>
      <w:r w:rsidR="63746C83">
        <w:t>–</w:t>
      </w:r>
      <w:r w:rsidR="635881F6">
        <w:t>2</w:t>
      </w:r>
      <w:r w:rsidR="007E1C33">
        <w:t>4</w:t>
      </w:r>
      <w:bookmarkEnd w:id="1183"/>
    </w:p>
    <w:p w14:paraId="7ABFEC27" w14:textId="77777777" w:rsidR="00BD575E" w:rsidRPr="00E30582" w:rsidRDefault="00BD575E" w:rsidP="00685B35">
      <w:pPr>
        <w:pStyle w:val="Tablefigurenote9pt"/>
        <w:keepNext/>
        <w:keepLines/>
        <w:spacing w:line="240" w:lineRule="auto"/>
      </w:pPr>
      <w:bookmarkStart w:id="1184" w:name="_Toc12780577"/>
      <w:bookmarkStart w:id="1185" w:name="_Toc14194833"/>
      <w:bookmarkStart w:id="1186" w:name="_Toc33704014"/>
      <w:r w:rsidRPr="00E30582">
        <w:t>Notes:</w:t>
      </w:r>
    </w:p>
    <w:p w14:paraId="41DDF1C4" w14:textId="359720FF" w:rsidR="00F66684" w:rsidRPr="00E30582" w:rsidRDefault="00F66684" w:rsidP="00081936">
      <w:pPr>
        <w:pStyle w:val="Tablenoteroman"/>
        <w:keepNext/>
        <w:keepLines/>
        <w:numPr>
          <w:ilvl w:val="0"/>
          <w:numId w:val="25"/>
        </w:numPr>
        <w:spacing w:line="240" w:lineRule="auto"/>
        <w:rPr>
          <w:lang w:eastAsia="en-AU"/>
        </w:rPr>
      </w:pPr>
      <w:r w:rsidRPr="23E5A96B">
        <w:rPr>
          <w:lang w:eastAsia="en-AU"/>
        </w:rPr>
        <w:t>Targets include adjustments made in the statement of priorities, including changes relating</w:t>
      </w:r>
      <w:r w:rsidR="00601236" w:rsidRPr="23E5A96B">
        <w:rPr>
          <w:lang w:eastAsia="en-AU"/>
        </w:rPr>
        <w:t xml:space="preserve"> to</w:t>
      </w:r>
      <w:r w:rsidRPr="23E5A96B">
        <w:rPr>
          <w:lang w:eastAsia="en-AU"/>
        </w:rPr>
        <w:t xml:space="preserve"> National Funding Model implementation.  </w:t>
      </w:r>
    </w:p>
    <w:p w14:paraId="27A15A39" w14:textId="3F79F147" w:rsidR="00C240DB" w:rsidRDefault="00C240DB" w:rsidP="00C240DB">
      <w:pPr>
        <w:pStyle w:val="Tablecaption"/>
        <w:rPr>
          <w:color w:val="000000" w:themeColor="text1"/>
        </w:rPr>
      </w:pPr>
      <w:bookmarkStart w:id="1187" w:name="_Toc156568693"/>
      <w:bookmarkEnd w:id="1184"/>
      <w:bookmarkEnd w:id="1185"/>
      <w:bookmarkEnd w:id="1186"/>
      <w:r>
        <w:t xml:space="preserve">Table </w:t>
      </w:r>
      <w:r>
        <w:fldChar w:fldCharType="begin"/>
      </w:r>
      <w:r>
        <w:instrText>STYLEREF 1 \s</w:instrText>
      </w:r>
      <w:r>
        <w:fldChar w:fldCharType="separate"/>
      </w:r>
      <w:r>
        <w:rPr>
          <w:noProof/>
        </w:rPr>
        <w:t>2</w:t>
      </w:r>
      <w:r>
        <w:fldChar w:fldCharType="end"/>
      </w:r>
      <w:r>
        <w:t>.</w:t>
      </w:r>
      <w:r>
        <w:fldChar w:fldCharType="begin"/>
      </w:r>
      <w:r>
        <w:instrText>SEQ Table \* ARABIC \s 1</w:instrText>
      </w:r>
      <w:r>
        <w:fldChar w:fldCharType="separate"/>
      </w:r>
      <w:r w:rsidR="007E6861">
        <w:rPr>
          <w:noProof/>
        </w:rPr>
        <w:t>16</w:t>
      </w:r>
      <w:r>
        <w:fldChar w:fldCharType="end"/>
      </w:r>
      <w:r>
        <w:t>:</w:t>
      </w:r>
      <w:r w:rsidRPr="00F826D9">
        <w:t xml:space="preserve"> </w:t>
      </w:r>
      <w:r w:rsidRPr="00E30582">
        <w:t xml:space="preserve">Total parenteral nutrition </w:t>
      </w:r>
      <w:r>
        <w:t>activity targets (NWAU)</w:t>
      </w:r>
      <w:r w:rsidRPr="00E30582">
        <w:t xml:space="preserve"> 202</w:t>
      </w:r>
      <w:r>
        <w:t>3</w:t>
      </w:r>
      <w:r w:rsidRPr="00425C59">
        <w:rPr>
          <w:rFonts w:cs="Arial"/>
          <w:bCs/>
          <w:color w:val="000000" w:themeColor="text1"/>
          <w:szCs w:val="21"/>
          <w:lang w:eastAsia="en-AU"/>
        </w:rPr>
        <w:t>–</w:t>
      </w:r>
      <w:r w:rsidRPr="00425C59">
        <w:rPr>
          <w:color w:val="000000" w:themeColor="text1"/>
        </w:rPr>
        <w:t>2</w:t>
      </w:r>
      <w:r>
        <w:rPr>
          <w:color w:val="000000" w:themeColor="text1"/>
        </w:rPr>
        <w:t>4</w:t>
      </w:r>
      <w:bookmarkEnd w:id="1187"/>
    </w:p>
    <w:tbl>
      <w:tblPr>
        <w:tblW w:w="6239" w:type="dxa"/>
        <w:tblCellMar>
          <w:top w:w="15" w:type="dxa"/>
          <w:bottom w:w="15" w:type="dxa"/>
        </w:tblCellMar>
        <w:tblLook w:val="04A0" w:firstRow="1" w:lastRow="0" w:firstColumn="1" w:lastColumn="0" w:noHBand="0" w:noVBand="1"/>
      </w:tblPr>
      <w:tblGrid>
        <w:gridCol w:w="3539"/>
        <w:gridCol w:w="2700"/>
      </w:tblGrid>
      <w:tr w:rsidR="00285665" w:rsidRPr="00FC5FEB" w14:paraId="54550212"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283865DC" w14:textId="77777777" w:rsidR="00285665" w:rsidRPr="00FC5FEB" w:rsidRDefault="00285665" w:rsidP="003D68D1">
            <w:pPr>
              <w:spacing w:after="0" w:line="240" w:lineRule="auto"/>
              <w:rPr>
                <w:rFonts w:cs="Arial"/>
                <w:b/>
                <w:bCs/>
                <w:color w:val="53565A"/>
                <w:sz w:val="16"/>
                <w:szCs w:val="16"/>
                <w:lang w:eastAsia="en-AU"/>
              </w:rPr>
            </w:pPr>
            <w:r w:rsidRPr="00FC5FEB">
              <w:rPr>
                <w:rFonts w:cs="Arial"/>
                <w:b/>
                <w:bCs/>
                <w:color w:val="53565A"/>
                <w:sz w:val="16"/>
                <w:szCs w:val="16"/>
                <w:lang w:eastAsia="en-AU"/>
              </w:rPr>
              <w:t>Health service</w:t>
            </w:r>
          </w:p>
        </w:tc>
        <w:tc>
          <w:tcPr>
            <w:tcW w:w="2700" w:type="dxa"/>
            <w:tcBorders>
              <w:top w:val="single" w:sz="4" w:space="0" w:color="auto"/>
              <w:left w:val="single" w:sz="4" w:space="0" w:color="auto"/>
              <w:bottom w:val="single" w:sz="4" w:space="0" w:color="auto"/>
              <w:right w:val="single" w:sz="4" w:space="0" w:color="auto"/>
            </w:tcBorders>
            <w:noWrap/>
            <w:vAlign w:val="center"/>
            <w:hideMark/>
          </w:tcPr>
          <w:p w14:paraId="16A85F19" w14:textId="62B6F88E" w:rsidR="00285665" w:rsidRPr="00FC5FEB" w:rsidRDefault="00FE1263" w:rsidP="00FE1263">
            <w:pPr>
              <w:spacing w:after="0" w:line="240" w:lineRule="auto"/>
              <w:jc w:val="right"/>
              <w:rPr>
                <w:rFonts w:cs="Arial"/>
                <w:b/>
                <w:bCs/>
                <w:color w:val="53565A"/>
                <w:sz w:val="16"/>
                <w:szCs w:val="16"/>
                <w:lang w:eastAsia="en-AU"/>
              </w:rPr>
            </w:pPr>
            <w:r>
              <w:rPr>
                <w:rFonts w:cs="Arial"/>
                <w:b/>
                <w:bCs/>
                <w:color w:val="53565A"/>
                <w:sz w:val="16"/>
                <w:szCs w:val="16"/>
                <w:lang w:eastAsia="en-AU"/>
              </w:rPr>
              <w:t xml:space="preserve">NWAU </w:t>
            </w:r>
            <w:r w:rsidR="00285665" w:rsidRPr="00FC5FEB">
              <w:rPr>
                <w:rFonts w:cs="Arial"/>
                <w:b/>
                <w:bCs/>
                <w:color w:val="53565A"/>
                <w:sz w:val="16"/>
                <w:szCs w:val="16"/>
                <w:lang w:eastAsia="en-AU"/>
              </w:rPr>
              <w:t>target  </w:t>
            </w:r>
          </w:p>
        </w:tc>
      </w:tr>
      <w:tr w:rsidR="00285665" w:rsidRPr="00FC5FEB" w14:paraId="1B531142"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5C3D4B06"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Austin Health</w:t>
            </w:r>
          </w:p>
        </w:tc>
        <w:tc>
          <w:tcPr>
            <w:tcW w:w="2700" w:type="dxa"/>
            <w:tcBorders>
              <w:top w:val="single" w:sz="4" w:space="0" w:color="auto"/>
              <w:left w:val="single" w:sz="4" w:space="0" w:color="auto"/>
              <w:bottom w:val="single" w:sz="4" w:space="0" w:color="auto"/>
              <w:right w:val="single" w:sz="4" w:space="0" w:color="auto"/>
            </w:tcBorders>
            <w:noWrap/>
            <w:vAlign w:val="center"/>
            <w:hideMark/>
          </w:tcPr>
          <w:p w14:paraId="367400E5"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197.2</w:t>
            </w:r>
          </w:p>
        </w:tc>
      </w:tr>
      <w:tr w:rsidR="00285665" w:rsidRPr="00FC5FEB" w14:paraId="41778D01"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5CC9D011"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Melbourne Health</w:t>
            </w:r>
          </w:p>
        </w:tc>
        <w:tc>
          <w:tcPr>
            <w:tcW w:w="2700" w:type="dxa"/>
            <w:tcBorders>
              <w:top w:val="single" w:sz="4" w:space="0" w:color="auto"/>
              <w:left w:val="single" w:sz="4" w:space="0" w:color="auto"/>
              <w:bottom w:val="single" w:sz="4" w:space="0" w:color="auto"/>
              <w:right w:val="single" w:sz="4" w:space="0" w:color="auto"/>
            </w:tcBorders>
            <w:noWrap/>
            <w:vAlign w:val="center"/>
            <w:hideMark/>
          </w:tcPr>
          <w:p w14:paraId="453FF3C4"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152.1</w:t>
            </w:r>
          </w:p>
        </w:tc>
      </w:tr>
      <w:tr w:rsidR="00285665" w:rsidRPr="00FC5FEB" w14:paraId="412E86E5"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2269414C"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Monash Health</w:t>
            </w:r>
          </w:p>
        </w:tc>
        <w:tc>
          <w:tcPr>
            <w:tcW w:w="2700" w:type="dxa"/>
            <w:tcBorders>
              <w:top w:val="single" w:sz="4" w:space="0" w:color="auto"/>
              <w:left w:val="single" w:sz="4" w:space="0" w:color="auto"/>
              <w:bottom w:val="single" w:sz="4" w:space="0" w:color="auto"/>
              <w:right w:val="single" w:sz="4" w:space="0" w:color="auto"/>
            </w:tcBorders>
            <w:noWrap/>
            <w:vAlign w:val="center"/>
            <w:hideMark/>
          </w:tcPr>
          <w:p w14:paraId="3AFAC399"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362.8</w:t>
            </w:r>
          </w:p>
        </w:tc>
      </w:tr>
      <w:tr w:rsidR="00285665" w:rsidRPr="00FC5FEB" w14:paraId="1F44540B"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30F9CF84"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St Vincent's Hospital Melbourne Limited</w:t>
            </w:r>
          </w:p>
        </w:tc>
        <w:tc>
          <w:tcPr>
            <w:tcW w:w="2700" w:type="dxa"/>
            <w:tcBorders>
              <w:top w:val="single" w:sz="4" w:space="0" w:color="auto"/>
              <w:left w:val="single" w:sz="4" w:space="0" w:color="auto"/>
              <w:bottom w:val="single" w:sz="4" w:space="0" w:color="auto"/>
              <w:right w:val="single" w:sz="4" w:space="0" w:color="auto"/>
            </w:tcBorders>
            <w:noWrap/>
            <w:vAlign w:val="center"/>
            <w:hideMark/>
          </w:tcPr>
          <w:p w14:paraId="7A9ACA00"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141.5</w:t>
            </w:r>
          </w:p>
        </w:tc>
      </w:tr>
      <w:tr w:rsidR="00285665" w:rsidRPr="00FC5FEB" w14:paraId="2D4D6413"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1B58EF28" w14:textId="77777777" w:rsidR="00285665" w:rsidRPr="00FC5FEB" w:rsidRDefault="00285665" w:rsidP="003D68D1">
            <w:pPr>
              <w:spacing w:after="0" w:line="240" w:lineRule="auto"/>
              <w:rPr>
                <w:rFonts w:cs="Arial"/>
                <w:color w:val="000000"/>
                <w:sz w:val="16"/>
                <w:szCs w:val="16"/>
                <w:lang w:eastAsia="en-AU"/>
              </w:rPr>
            </w:pPr>
            <w:r w:rsidRPr="00FC5FEB">
              <w:rPr>
                <w:rFonts w:cs="Arial"/>
                <w:color w:val="000000"/>
                <w:sz w:val="16"/>
                <w:szCs w:val="16"/>
                <w:lang w:eastAsia="en-AU"/>
              </w:rPr>
              <w:t>The Royal Children's Hospital</w:t>
            </w:r>
          </w:p>
        </w:tc>
        <w:tc>
          <w:tcPr>
            <w:tcW w:w="2700" w:type="dxa"/>
            <w:tcBorders>
              <w:top w:val="single" w:sz="4" w:space="0" w:color="auto"/>
              <w:left w:val="single" w:sz="4" w:space="0" w:color="auto"/>
              <w:bottom w:val="single" w:sz="4" w:space="0" w:color="auto"/>
              <w:right w:val="single" w:sz="4" w:space="0" w:color="auto"/>
            </w:tcBorders>
            <w:noWrap/>
            <w:vAlign w:val="center"/>
            <w:hideMark/>
          </w:tcPr>
          <w:p w14:paraId="3DDB9E1C" w14:textId="77777777" w:rsidR="00285665" w:rsidRPr="00FC5FEB" w:rsidRDefault="00285665" w:rsidP="003D68D1">
            <w:pPr>
              <w:spacing w:after="0" w:line="240" w:lineRule="auto"/>
              <w:jc w:val="right"/>
              <w:rPr>
                <w:rFonts w:cs="Arial"/>
                <w:color w:val="000000"/>
                <w:sz w:val="16"/>
                <w:szCs w:val="16"/>
                <w:lang w:eastAsia="en-AU"/>
              </w:rPr>
            </w:pPr>
            <w:r w:rsidRPr="00FC5FEB">
              <w:rPr>
                <w:rFonts w:cs="Arial"/>
                <w:color w:val="000000"/>
                <w:sz w:val="16"/>
                <w:szCs w:val="16"/>
                <w:lang w:eastAsia="en-AU"/>
              </w:rPr>
              <w:t>177.6</w:t>
            </w:r>
          </w:p>
        </w:tc>
      </w:tr>
      <w:tr w:rsidR="00285665" w:rsidRPr="00FC5FEB" w14:paraId="70C987F1"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0D0506D2" w14:textId="77777777" w:rsidR="00285665" w:rsidRPr="00FC5FEB" w:rsidRDefault="00285665" w:rsidP="003D68D1">
            <w:pPr>
              <w:spacing w:after="0" w:line="240" w:lineRule="auto"/>
              <w:rPr>
                <w:rFonts w:cs="Arial"/>
                <w:b/>
                <w:bCs/>
                <w:color w:val="000000"/>
                <w:sz w:val="16"/>
                <w:szCs w:val="16"/>
                <w:lang w:eastAsia="en-AU"/>
              </w:rPr>
            </w:pPr>
            <w:r w:rsidRPr="00FC5FEB">
              <w:rPr>
                <w:rFonts w:cs="Arial"/>
                <w:b/>
                <w:bCs/>
                <w:color w:val="000000"/>
                <w:sz w:val="16"/>
                <w:szCs w:val="16"/>
                <w:lang w:eastAsia="en-AU"/>
              </w:rPr>
              <w:t>Total</w:t>
            </w:r>
          </w:p>
        </w:tc>
        <w:tc>
          <w:tcPr>
            <w:tcW w:w="2700" w:type="dxa"/>
            <w:tcBorders>
              <w:top w:val="single" w:sz="4" w:space="0" w:color="auto"/>
              <w:left w:val="single" w:sz="4" w:space="0" w:color="auto"/>
              <w:bottom w:val="single" w:sz="4" w:space="0" w:color="auto"/>
              <w:right w:val="single" w:sz="4" w:space="0" w:color="auto"/>
            </w:tcBorders>
            <w:noWrap/>
            <w:vAlign w:val="center"/>
            <w:hideMark/>
          </w:tcPr>
          <w:p w14:paraId="14E35892" w14:textId="77777777" w:rsidR="00285665" w:rsidRPr="00FC5FEB" w:rsidRDefault="00285665" w:rsidP="003D68D1">
            <w:pPr>
              <w:spacing w:after="0" w:line="240" w:lineRule="auto"/>
              <w:jc w:val="right"/>
              <w:rPr>
                <w:rFonts w:cs="Arial"/>
                <w:b/>
                <w:bCs/>
                <w:color w:val="000000"/>
                <w:sz w:val="16"/>
                <w:szCs w:val="16"/>
                <w:lang w:eastAsia="en-AU"/>
              </w:rPr>
            </w:pPr>
            <w:r w:rsidRPr="00FC5FEB">
              <w:rPr>
                <w:rFonts w:cs="Arial"/>
                <w:b/>
                <w:bCs/>
                <w:color w:val="000000"/>
                <w:sz w:val="16"/>
                <w:szCs w:val="16"/>
                <w:lang w:eastAsia="en-AU"/>
              </w:rPr>
              <w:t>1,031.2</w:t>
            </w:r>
          </w:p>
        </w:tc>
      </w:tr>
    </w:tbl>
    <w:p w14:paraId="3013CD38" w14:textId="77777777" w:rsidR="00285665" w:rsidRPr="00285665" w:rsidRDefault="00285665" w:rsidP="00285665">
      <w:pPr>
        <w:pStyle w:val="Body"/>
      </w:pPr>
    </w:p>
    <w:p w14:paraId="7497E28E" w14:textId="4F79035D" w:rsidR="000B27B9" w:rsidRPr="00E30582" w:rsidRDefault="7B0F94E6" w:rsidP="00081936">
      <w:pPr>
        <w:pStyle w:val="Heading3"/>
        <w:numPr>
          <w:ilvl w:val="2"/>
          <w:numId w:val="33"/>
        </w:numPr>
        <w:spacing w:before="240" w:line="240" w:lineRule="auto"/>
        <w:ind w:left="1134"/>
      </w:pPr>
      <w:bookmarkStart w:id="1188" w:name="_Toc12780674"/>
      <w:bookmarkStart w:id="1189" w:name="_Toc14172315"/>
      <w:bookmarkStart w:id="1190" w:name="_Toc33703989"/>
      <w:bookmarkStart w:id="1191" w:name="_Toc55381177"/>
      <w:bookmarkStart w:id="1192" w:name="_Toc100263381"/>
      <w:bookmarkStart w:id="1193" w:name="_Toc156569705"/>
      <w:r>
        <w:t xml:space="preserve">Home </w:t>
      </w:r>
      <w:r w:rsidR="00F826D9">
        <w:t xml:space="preserve">enteral nutrition activity targets </w:t>
      </w:r>
      <w:bookmarkEnd w:id="1188"/>
      <w:bookmarkEnd w:id="1189"/>
      <w:bookmarkEnd w:id="1190"/>
      <w:bookmarkEnd w:id="1191"/>
      <w:r w:rsidR="3153C313">
        <w:t xml:space="preserve">(NWAU) </w:t>
      </w:r>
      <w:bookmarkEnd w:id="1192"/>
      <w:r w:rsidR="00F826D9">
        <w:br/>
      </w:r>
      <w:r w:rsidR="635881F6">
        <w:t>202</w:t>
      </w:r>
      <w:r w:rsidR="007E1C33">
        <w:t>3</w:t>
      </w:r>
      <w:r w:rsidR="20E373CA">
        <w:t>–</w:t>
      </w:r>
      <w:r w:rsidR="635881F6">
        <w:t>2</w:t>
      </w:r>
      <w:r w:rsidR="007E1C33">
        <w:t>4</w:t>
      </w:r>
      <w:bookmarkEnd w:id="1193"/>
    </w:p>
    <w:p w14:paraId="1F538337" w14:textId="77777777" w:rsidR="00BD575E" w:rsidRPr="00E30582" w:rsidRDefault="00BD575E" w:rsidP="00E03611">
      <w:pPr>
        <w:pStyle w:val="Tablefigurenote9pt"/>
        <w:keepNext/>
        <w:keepLines/>
        <w:spacing w:line="240" w:lineRule="auto"/>
      </w:pPr>
      <w:bookmarkStart w:id="1194" w:name="_Toc12780578"/>
      <w:bookmarkStart w:id="1195" w:name="_Toc14194834"/>
      <w:bookmarkStart w:id="1196" w:name="_Ref14204365"/>
      <w:bookmarkStart w:id="1197" w:name="_Toc33704015"/>
      <w:r w:rsidRPr="00E30582">
        <w:t>Notes:</w:t>
      </w:r>
    </w:p>
    <w:p w14:paraId="011CDBB2" w14:textId="7082E425" w:rsidR="008A3D5B" w:rsidRPr="00E30582" w:rsidRDefault="008A3D5B" w:rsidP="00081936">
      <w:pPr>
        <w:pStyle w:val="Tablenoteroman"/>
        <w:keepNext/>
        <w:keepLines/>
        <w:numPr>
          <w:ilvl w:val="0"/>
          <w:numId w:val="26"/>
        </w:numPr>
        <w:spacing w:line="240" w:lineRule="auto"/>
        <w:rPr>
          <w:lang w:eastAsia="en-AU"/>
        </w:rPr>
      </w:pPr>
      <w:r w:rsidRPr="00E30582">
        <w:rPr>
          <w:lang w:eastAsia="en-AU"/>
        </w:rPr>
        <w:t xml:space="preserve">Targets include adjustments made in the statement of priorities, including changes relating </w:t>
      </w:r>
      <w:r w:rsidR="00601236">
        <w:rPr>
          <w:lang w:eastAsia="en-AU"/>
        </w:rPr>
        <w:t xml:space="preserve">to </w:t>
      </w:r>
      <w:r w:rsidRPr="00E30582">
        <w:rPr>
          <w:lang w:eastAsia="en-AU"/>
        </w:rPr>
        <w:t xml:space="preserve">National Funding Model implementation. </w:t>
      </w:r>
    </w:p>
    <w:p w14:paraId="47D62C6F" w14:textId="1579ABBC" w:rsidR="000647B8" w:rsidRDefault="000647B8" w:rsidP="000647B8">
      <w:pPr>
        <w:pStyle w:val="Tablecaption"/>
      </w:pPr>
      <w:bookmarkStart w:id="1198" w:name="_Toc156568694"/>
      <w:bookmarkEnd w:id="1194"/>
      <w:bookmarkEnd w:id="1195"/>
      <w:bookmarkEnd w:id="1196"/>
      <w:bookmarkEnd w:id="1197"/>
      <w:r>
        <w:t xml:space="preserve">Table </w:t>
      </w:r>
      <w:r>
        <w:fldChar w:fldCharType="begin"/>
      </w:r>
      <w:r>
        <w:instrText>STYLEREF 1 \s</w:instrText>
      </w:r>
      <w:r>
        <w:fldChar w:fldCharType="separate"/>
      </w:r>
      <w:r>
        <w:rPr>
          <w:noProof/>
        </w:rPr>
        <w:t>2</w:t>
      </w:r>
      <w:r>
        <w:fldChar w:fldCharType="end"/>
      </w:r>
      <w:r>
        <w:t>.</w:t>
      </w:r>
      <w:r>
        <w:fldChar w:fldCharType="begin"/>
      </w:r>
      <w:r>
        <w:instrText>SEQ Table \* ARABIC \s 1</w:instrText>
      </w:r>
      <w:r>
        <w:fldChar w:fldCharType="separate"/>
      </w:r>
      <w:r w:rsidR="007E6861">
        <w:rPr>
          <w:noProof/>
        </w:rPr>
        <w:t>17</w:t>
      </w:r>
      <w:r>
        <w:fldChar w:fldCharType="end"/>
      </w:r>
      <w:r>
        <w:t>:</w:t>
      </w:r>
      <w:r w:rsidRPr="00F826D9">
        <w:t xml:space="preserve"> </w:t>
      </w:r>
      <w:r w:rsidRPr="00E30582">
        <w:t xml:space="preserve">Home enteral nutrition </w:t>
      </w:r>
      <w:r>
        <w:t>activity targets (NWAU)</w:t>
      </w:r>
      <w:r w:rsidRPr="00E30582">
        <w:t xml:space="preserve"> 202</w:t>
      </w:r>
      <w:r>
        <w:t>3</w:t>
      </w:r>
      <w:r w:rsidRPr="00E30582">
        <w:t>–2</w:t>
      </w:r>
      <w:r>
        <w:t>4</w:t>
      </w:r>
      <w:bookmarkEnd w:id="1198"/>
    </w:p>
    <w:p w14:paraId="5970D53E" w14:textId="60795017" w:rsidR="00F826D9" w:rsidRDefault="00F826D9" w:rsidP="00685B35">
      <w:pPr>
        <w:pStyle w:val="Body"/>
        <w:keepNext/>
        <w:keepLines/>
        <w:spacing w:line="240" w:lineRule="auto"/>
      </w:pPr>
      <w:r>
        <w:t>Metropolitan and regional</w:t>
      </w:r>
    </w:p>
    <w:tbl>
      <w:tblPr>
        <w:tblW w:w="6091" w:type="dxa"/>
        <w:tblCellMar>
          <w:top w:w="15" w:type="dxa"/>
          <w:bottom w:w="15" w:type="dxa"/>
        </w:tblCellMar>
        <w:tblLook w:val="04A0" w:firstRow="1" w:lastRow="0" w:firstColumn="1" w:lastColumn="0" w:noHBand="0" w:noVBand="1"/>
      </w:tblPr>
      <w:tblGrid>
        <w:gridCol w:w="3539"/>
        <w:gridCol w:w="2552"/>
      </w:tblGrid>
      <w:tr w:rsidR="00285665" w:rsidRPr="00932E84" w14:paraId="0EB68B85" w14:textId="77777777" w:rsidTr="00285665">
        <w:trPr>
          <w:trHeight w:val="300"/>
          <w:tblHead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5B8DCE99" w14:textId="77777777" w:rsidR="00285665" w:rsidRPr="00932E84" w:rsidRDefault="00285665" w:rsidP="003D68D1">
            <w:pPr>
              <w:spacing w:after="0" w:line="240" w:lineRule="auto"/>
              <w:rPr>
                <w:rFonts w:cs="Arial"/>
                <w:b/>
                <w:bCs/>
                <w:color w:val="53565A"/>
                <w:sz w:val="16"/>
                <w:szCs w:val="16"/>
                <w:lang w:eastAsia="en-AU"/>
              </w:rPr>
            </w:pPr>
            <w:r w:rsidRPr="00932E84">
              <w:rPr>
                <w:rFonts w:cs="Arial"/>
                <w:b/>
                <w:bCs/>
                <w:color w:val="53565A"/>
                <w:sz w:val="16"/>
                <w:szCs w:val="16"/>
                <w:lang w:eastAsia="en-AU"/>
              </w:rPr>
              <w:t>Health Service</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6A3BAF07" w14:textId="4274E733" w:rsidR="00285665" w:rsidRPr="00932E84" w:rsidRDefault="00FE1263" w:rsidP="00FE1263">
            <w:pPr>
              <w:spacing w:after="0" w:line="240" w:lineRule="auto"/>
              <w:jc w:val="right"/>
              <w:rPr>
                <w:rFonts w:cs="Arial"/>
                <w:b/>
                <w:bCs/>
                <w:color w:val="53565A"/>
                <w:sz w:val="16"/>
                <w:szCs w:val="16"/>
                <w:lang w:eastAsia="en-AU"/>
              </w:rPr>
            </w:pPr>
            <w:r>
              <w:rPr>
                <w:rFonts w:cs="Arial"/>
                <w:b/>
                <w:bCs/>
                <w:color w:val="53565A"/>
                <w:sz w:val="16"/>
                <w:szCs w:val="16"/>
                <w:lang w:eastAsia="en-AU"/>
              </w:rPr>
              <w:t>NWAU</w:t>
            </w:r>
            <w:r w:rsidR="00285665" w:rsidRPr="00932E84">
              <w:rPr>
                <w:rFonts w:cs="Arial"/>
                <w:b/>
                <w:bCs/>
                <w:color w:val="53565A"/>
                <w:sz w:val="16"/>
                <w:szCs w:val="16"/>
                <w:lang w:eastAsia="en-AU"/>
              </w:rPr>
              <w:t xml:space="preserve"> target   </w:t>
            </w:r>
          </w:p>
        </w:tc>
      </w:tr>
      <w:tr w:rsidR="00285665" w:rsidRPr="00932E84" w14:paraId="707BFB95"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0C1316FB"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Albury Wodonga Health</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53654E5C"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31.3</w:t>
            </w:r>
          </w:p>
        </w:tc>
      </w:tr>
      <w:tr w:rsidR="00285665" w:rsidRPr="00932E84" w14:paraId="5FCF0810"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5F6F6D00"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Alfred Health</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50B58C2A"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105.3</w:t>
            </w:r>
          </w:p>
        </w:tc>
      </w:tr>
      <w:tr w:rsidR="00285665" w:rsidRPr="00932E84" w14:paraId="3467EBF2"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247541BB"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Austin Health</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41675656"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82.7</w:t>
            </w:r>
          </w:p>
        </w:tc>
      </w:tr>
      <w:tr w:rsidR="00285665" w:rsidRPr="00932E84" w14:paraId="6C75420D"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11D3806D"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Barwon Health</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79F2A372"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66.4</w:t>
            </w:r>
          </w:p>
        </w:tc>
      </w:tr>
      <w:tr w:rsidR="00285665" w:rsidRPr="00932E84" w14:paraId="3214B1C0"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973CD74"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Bendigo Health</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1A9DC82A"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54.8</w:t>
            </w:r>
          </w:p>
        </w:tc>
      </w:tr>
      <w:tr w:rsidR="00285665" w:rsidRPr="00932E84" w14:paraId="149D6B15"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5EF3D8F5"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Calvary Health Care Bethlehem Limited</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4BD71069"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18.3</w:t>
            </w:r>
          </w:p>
        </w:tc>
      </w:tr>
      <w:tr w:rsidR="00285665" w:rsidRPr="00932E84" w14:paraId="73E66762"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7621BD6C"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Eastern Health</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076CCC4D"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33.5</w:t>
            </w:r>
          </w:p>
        </w:tc>
      </w:tr>
      <w:tr w:rsidR="00285665" w:rsidRPr="00932E84" w14:paraId="12CA1890"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9190A64"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Goulburn Valley Health</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00B09ED6"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16.4</w:t>
            </w:r>
          </w:p>
        </w:tc>
      </w:tr>
      <w:tr w:rsidR="00285665" w:rsidRPr="00932E84" w14:paraId="318B0D64"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E1D1537"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Grampians Health</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6CC3E091"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61.6</w:t>
            </w:r>
          </w:p>
        </w:tc>
      </w:tr>
      <w:tr w:rsidR="00285665" w:rsidRPr="00932E84" w14:paraId="4AF58F63"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3E8D92C4"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Latrobe Regional Hospital</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58443016"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21.4</w:t>
            </w:r>
          </w:p>
        </w:tc>
      </w:tr>
      <w:tr w:rsidR="00285665" w:rsidRPr="00932E84" w14:paraId="08F39F53"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498AA92C"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Melbourne Health</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6788DF83"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95.9</w:t>
            </w:r>
          </w:p>
        </w:tc>
      </w:tr>
      <w:tr w:rsidR="00285665" w:rsidRPr="00932E84" w14:paraId="423C2CC3"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0533FADD"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Monash Health</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362B9D3E"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341.1</w:t>
            </w:r>
          </w:p>
        </w:tc>
      </w:tr>
      <w:tr w:rsidR="00285665" w:rsidRPr="00932E84" w14:paraId="4A0F44CB"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198E1B7F"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Northern Health</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7BC184C4"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39.2</w:t>
            </w:r>
          </w:p>
        </w:tc>
      </w:tr>
      <w:tr w:rsidR="00285665" w:rsidRPr="00932E84" w14:paraId="5D3A0517"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46CF07AC"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Peninsula Health</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0F6628DB"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33.1</w:t>
            </w:r>
          </w:p>
        </w:tc>
      </w:tr>
      <w:tr w:rsidR="00285665" w:rsidRPr="00932E84" w14:paraId="4F504F48"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15E231A7"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Peter MacCallum Cancer Institute</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21979588"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175.0</w:t>
            </w:r>
          </w:p>
        </w:tc>
      </w:tr>
      <w:tr w:rsidR="00285665" w:rsidRPr="00932E84" w14:paraId="6C2B0DC0"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56FE64EE"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St Vincent's Hospital Melbourne Limited</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7872EE40"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160.7</w:t>
            </w:r>
          </w:p>
        </w:tc>
      </w:tr>
      <w:tr w:rsidR="00285665" w:rsidRPr="00932E84" w14:paraId="179DA971"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4ABB6C5F"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The Royal Children's Hospital</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13394877"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549.6</w:t>
            </w:r>
          </w:p>
        </w:tc>
      </w:tr>
      <w:tr w:rsidR="00285665" w:rsidRPr="00932E84" w14:paraId="5F93B377"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167A0DF9"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Western Health</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6376CC97"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36.4</w:t>
            </w:r>
          </w:p>
        </w:tc>
      </w:tr>
      <w:tr w:rsidR="00285665" w:rsidRPr="00932E84" w14:paraId="00F88AF1"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4058CAAD" w14:textId="77777777" w:rsidR="00285665" w:rsidRPr="00932E84" w:rsidRDefault="00285665" w:rsidP="003D68D1">
            <w:pPr>
              <w:spacing w:after="0" w:line="240" w:lineRule="auto"/>
              <w:rPr>
                <w:rFonts w:cs="Arial"/>
                <w:b/>
                <w:bCs/>
                <w:color w:val="000000"/>
                <w:sz w:val="16"/>
                <w:szCs w:val="16"/>
                <w:lang w:eastAsia="en-AU"/>
              </w:rPr>
            </w:pPr>
            <w:r w:rsidRPr="00932E84">
              <w:rPr>
                <w:rFonts w:cs="Arial"/>
                <w:b/>
                <w:bCs/>
                <w:color w:val="000000"/>
                <w:sz w:val="16"/>
                <w:szCs w:val="16"/>
                <w:lang w:eastAsia="en-AU"/>
              </w:rPr>
              <w:t>Total</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29641EA6" w14:textId="77777777" w:rsidR="00285665" w:rsidRPr="00932E84" w:rsidRDefault="00285665" w:rsidP="003D68D1">
            <w:pPr>
              <w:spacing w:after="0" w:line="240" w:lineRule="auto"/>
              <w:jc w:val="right"/>
              <w:rPr>
                <w:rFonts w:cs="Arial"/>
                <w:b/>
                <w:bCs/>
                <w:color w:val="000000"/>
                <w:sz w:val="16"/>
                <w:szCs w:val="16"/>
                <w:lang w:eastAsia="en-AU"/>
              </w:rPr>
            </w:pPr>
            <w:r w:rsidRPr="00932E84">
              <w:rPr>
                <w:rFonts w:cs="Arial"/>
                <w:b/>
                <w:bCs/>
                <w:color w:val="000000"/>
                <w:sz w:val="16"/>
                <w:szCs w:val="16"/>
                <w:lang w:eastAsia="en-AU"/>
              </w:rPr>
              <w:t>1,922.7</w:t>
            </w:r>
          </w:p>
        </w:tc>
      </w:tr>
    </w:tbl>
    <w:p w14:paraId="136674A7" w14:textId="2E85A14F" w:rsidR="00285665" w:rsidRDefault="00285665" w:rsidP="00685B35">
      <w:pPr>
        <w:pStyle w:val="Body"/>
        <w:keepNext/>
        <w:keepLines/>
        <w:spacing w:line="240" w:lineRule="auto"/>
      </w:pPr>
    </w:p>
    <w:p w14:paraId="789EBC26" w14:textId="121D7DAE" w:rsidR="00744D4C" w:rsidRDefault="00744D4C" w:rsidP="00E03611">
      <w:pPr>
        <w:pStyle w:val="Bodyaftertablefigure"/>
      </w:pPr>
      <w:bookmarkStart w:id="1199" w:name="_Toc12780675"/>
      <w:bookmarkStart w:id="1200" w:name="_Toc14172316"/>
      <w:bookmarkStart w:id="1201" w:name="_Toc33703990"/>
      <w:bookmarkStart w:id="1202" w:name="_Toc55381178"/>
      <w:bookmarkStart w:id="1203" w:name="_Toc100263382"/>
      <w:r w:rsidRPr="00A83A84">
        <w:t>Subregional and local</w:t>
      </w:r>
    </w:p>
    <w:tbl>
      <w:tblPr>
        <w:tblW w:w="6091" w:type="dxa"/>
        <w:tblCellMar>
          <w:top w:w="15" w:type="dxa"/>
          <w:bottom w:w="15" w:type="dxa"/>
        </w:tblCellMar>
        <w:tblLook w:val="04A0" w:firstRow="1" w:lastRow="0" w:firstColumn="1" w:lastColumn="0" w:noHBand="0" w:noVBand="1"/>
      </w:tblPr>
      <w:tblGrid>
        <w:gridCol w:w="3539"/>
        <w:gridCol w:w="2552"/>
      </w:tblGrid>
      <w:tr w:rsidR="00285665" w:rsidRPr="00932E84" w14:paraId="349038EE" w14:textId="77777777" w:rsidTr="00285665">
        <w:trPr>
          <w:trHeight w:val="300"/>
          <w:tblHead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DE92351" w14:textId="77777777" w:rsidR="00285665" w:rsidRPr="00932E84" w:rsidRDefault="00285665" w:rsidP="003D68D1">
            <w:pPr>
              <w:spacing w:after="0" w:line="240" w:lineRule="auto"/>
              <w:rPr>
                <w:rFonts w:cs="Arial"/>
                <w:b/>
                <w:bCs/>
                <w:color w:val="53565A"/>
                <w:sz w:val="16"/>
                <w:szCs w:val="16"/>
                <w:lang w:eastAsia="en-AU"/>
              </w:rPr>
            </w:pPr>
            <w:r w:rsidRPr="00932E84">
              <w:rPr>
                <w:rFonts w:cs="Arial"/>
                <w:b/>
                <w:bCs/>
                <w:color w:val="53565A"/>
                <w:sz w:val="16"/>
                <w:szCs w:val="16"/>
                <w:lang w:eastAsia="en-AU"/>
              </w:rPr>
              <w:t>Health Service</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23FCCEA4" w14:textId="07CC065E" w:rsidR="00285665" w:rsidRPr="00932E84" w:rsidRDefault="00FE1263" w:rsidP="00FE1263">
            <w:pPr>
              <w:spacing w:after="0" w:line="240" w:lineRule="auto"/>
              <w:jc w:val="right"/>
              <w:rPr>
                <w:rFonts w:cs="Arial"/>
                <w:b/>
                <w:bCs/>
                <w:color w:val="53565A"/>
                <w:sz w:val="16"/>
                <w:szCs w:val="16"/>
                <w:lang w:eastAsia="en-AU"/>
              </w:rPr>
            </w:pPr>
            <w:r>
              <w:rPr>
                <w:rFonts w:cs="Arial"/>
                <w:b/>
                <w:bCs/>
                <w:color w:val="53565A"/>
                <w:sz w:val="16"/>
                <w:szCs w:val="16"/>
                <w:lang w:eastAsia="en-AU"/>
              </w:rPr>
              <w:t>NWAU</w:t>
            </w:r>
            <w:r w:rsidR="00285665" w:rsidRPr="00932E84">
              <w:rPr>
                <w:rFonts w:cs="Arial"/>
                <w:b/>
                <w:bCs/>
                <w:color w:val="53565A"/>
                <w:sz w:val="16"/>
                <w:szCs w:val="16"/>
                <w:lang w:eastAsia="en-AU"/>
              </w:rPr>
              <w:t xml:space="preserve"> target   </w:t>
            </w:r>
          </w:p>
        </w:tc>
      </w:tr>
      <w:tr w:rsidR="00285665" w:rsidRPr="00932E84" w14:paraId="591F484D"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1BE4C3A7"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Bairnsdale Regional Health Service</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32329232"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4.4</w:t>
            </w:r>
          </w:p>
        </w:tc>
      </w:tr>
      <w:tr w:rsidR="00285665" w:rsidRPr="00932E84" w14:paraId="7FEE7811"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20259E65"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Bass Coast Health</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5E3A5C29"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3.9</w:t>
            </w:r>
          </w:p>
        </w:tc>
      </w:tr>
      <w:tr w:rsidR="00285665" w:rsidRPr="00932E84" w14:paraId="2D3BF571"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7A8128F2"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Benalla Health</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480CC705"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1.7</w:t>
            </w:r>
          </w:p>
        </w:tc>
      </w:tr>
      <w:tr w:rsidR="00285665" w:rsidRPr="00932E84" w14:paraId="3C3A2060"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7043B5BB"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Central Gippsland Health Service</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709FC449"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11.3</w:t>
            </w:r>
          </w:p>
        </w:tc>
      </w:tr>
      <w:tr w:rsidR="00285665" w:rsidRPr="00932E84" w14:paraId="0F77B959"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1CF8E675"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Colac Area Health</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13ADD958"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1.2</w:t>
            </w:r>
          </w:p>
        </w:tc>
      </w:tr>
      <w:tr w:rsidR="00285665" w:rsidRPr="00932E84" w14:paraId="3126A856"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7F0E3D88"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East Grampians Health Serv</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605B7F11"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2.9</w:t>
            </w:r>
          </w:p>
        </w:tc>
      </w:tr>
      <w:tr w:rsidR="00285665" w:rsidRPr="00932E84" w14:paraId="67DFFD6F"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3314BA11"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Maryborough District Health Service</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3D32FB50"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0.5</w:t>
            </w:r>
          </w:p>
        </w:tc>
      </w:tr>
      <w:tr w:rsidR="00285665" w:rsidRPr="00932E84" w14:paraId="1EDF6A34"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170A6F35"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Mildura Base Public Hospital</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0658FC9B"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24.9</w:t>
            </w:r>
          </w:p>
        </w:tc>
      </w:tr>
      <w:tr w:rsidR="00285665" w:rsidRPr="00932E84" w14:paraId="26597A6D"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7BFA0096"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Northeast Health Wangaratta</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40F5876F"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6.3</w:t>
            </w:r>
          </w:p>
        </w:tc>
      </w:tr>
      <w:tr w:rsidR="00285665" w:rsidRPr="00932E84" w14:paraId="36766CF3"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51BA7DEA"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Portland District Health</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7A7D5D6F" w14:textId="2C5155DA" w:rsidR="00285665" w:rsidRPr="00932E84" w:rsidRDefault="00285665" w:rsidP="003D68D1">
            <w:pPr>
              <w:spacing w:after="0" w:line="240" w:lineRule="auto"/>
              <w:jc w:val="right"/>
              <w:rPr>
                <w:rFonts w:cs="Arial"/>
                <w:color w:val="000000"/>
                <w:sz w:val="16"/>
                <w:szCs w:val="16"/>
                <w:lang w:eastAsia="en-AU"/>
              </w:rPr>
            </w:pPr>
          </w:p>
        </w:tc>
      </w:tr>
      <w:tr w:rsidR="00285665" w:rsidRPr="00932E84" w14:paraId="79FA9504"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783E8968"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South West Healthcare</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122A4089"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12.7</w:t>
            </w:r>
          </w:p>
        </w:tc>
      </w:tr>
      <w:tr w:rsidR="00285665" w:rsidRPr="00932E84" w14:paraId="5FD96152"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1D33C513"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Swan Hill District Health</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661C1EE0"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2.7</w:t>
            </w:r>
          </w:p>
        </w:tc>
      </w:tr>
      <w:tr w:rsidR="00285665" w:rsidRPr="00932E84" w14:paraId="464B2545"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317780D9"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West Gippsland Healthcare Group</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5096DA8D"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8.7</w:t>
            </w:r>
          </w:p>
        </w:tc>
      </w:tr>
      <w:tr w:rsidR="00285665" w:rsidRPr="00932E84" w14:paraId="7E0907D2"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4BE19DEF" w14:textId="77777777" w:rsidR="00285665" w:rsidRPr="00932E84" w:rsidRDefault="00285665" w:rsidP="003D68D1">
            <w:pPr>
              <w:spacing w:after="0" w:line="240" w:lineRule="auto"/>
              <w:rPr>
                <w:rFonts w:cs="Arial"/>
                <w:b/>
                <w:bCs/>
                <w:color w:val="000000"/>
                <w:sz w:val="16"/>
                <w:szCs w:val="16"/>
                <w:lang w:eastAsia="en-AU"/>
              </w:rPr>
            </w:pPr>
            <w:r w:rsidRPr="00932E84">
              <w:rPr>
                <w:rFonts w:cs="Arial"/>
                <w:b/>
                <w:bCs/>
                <w:color w:val="000000"/>
                <w:sz w:val="16"/>
                <w:szCs w:val="16"/>
                <w:lang w:eastAsia="en-AU"/>
              </w:rPr>
              <w:t>Total</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2974B9CF" w14:textId="77777777" w:rsidR="00285665" w:rsidRPr="00932E84" w:rsidRDefault="00285665" w:rsidP="003D68D1">
            <w:pPr>
              <w:spacing w:after="0" w:line="240" w:lineRule="auto"/>
              <w:jc w:val="right"/>
              <w:rPr>
                <w:rFonts w:cs="Arial"/>
                <w:b/>
                <w:bCs/>
                <w:color w:val="000000"/>
                <w:sz w:val="16"/>
                <w:szCs w:val="16"/>
                <w:lang w:eastAsia="en-AU"/>
              </w:rPr>
            </w:pPr>
            <w:r w:rsidRPr="00932E84">
              <w:rPr>
                <w:rFonts w:cs="Arial"/>
                <w:b/>
                <w:bCs/>
                <w:color w:val="000000"/>
                <w:sz w:val="16"/>
                <w:szCs w:val="16"/>
                <w:lang w:eastAsia="en-AU"/>
              </w:rPr>
              <w:t>81.1</w:t>
            </w:r>
          </w:p>
        </w:tc>
      </w:tr>
    </w:tbl>
    <w:p w14:paraId="5EEC1D27" w14:textId="232746FF" w:rsidR="00285665" w:rsidRDefault="00285665" w:rsidP="00285665">
      <w:pPr>
        <w:pStyle w:val="Body"/>
      </w:pPr>
    </w:p>
    <w:p w14:paraId="256D795C" w14:textId="6B6769CE" w:rsidR="00744D4C" w:rsidRDefault="00744D4C" w:rsidP="00685B35">
      <w:pPr>
        <w:pStyle w:val="Bodyaftertablefigure"/>
        <w:keepNext/>
        <w:keepLines/>
        <w:spacing w:line="240" w:lineRule="auto"/>
      </w:pPr>
      <w:r>
        <w:t>Combined total</w:t>
      </w:r>
    </w:p>
    <w:tbl>
      <w:tblPr>
        <w:tblW w:w="6091" w:type="dxa"/>
        <w:tblCellMar>
          <w:top w:w="15" w:type="dxa"/>
          <w:bottom w:w="15" w:type="dxa"/>
        </w:tblCellMar>
        <w:tblLook w:val="04A0" w:firstRow="1" w:lastRow="0" w:firstColumn="1" w:lastColumn="0" w:noHBand="0" w:noVBand="1"/>
      </w:tblPr>
      <w:tblGrid>
        <w:gridCol w:w="3539"/>
        <w:gridCol w:w="2552"/>
      </w:tblGrid>
      <w:tr w:rsidR="00285665" w:rsidRPr="00932E84" w14:paraId="25FACCAF"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9265D17" w14:textId="77777777" w:rsidR="00285665" w:rsidRPr="00932E84" w:rsidRDefault="00285665" w:rsidP="003D68D1">
            <w:pPr>
              <w:spacing w:after="0" w:line="240" w:lineRule="auto"/>
              <w:rPr>
                <w:rFonts w:cs="Arial"/>
                <w:b/>
                <w:bCs/>
                <w:color w:val="53565A"/>
                <w:sz w:val="16"/>
                <w:szCs w:val="16"/>
                <w:lang w:eastAsia="en-AU"/>
              </w:rPr>
            </w:pPr>
            <w:r w:rsidRPr="00932E84">
              <w:rPr>
                <w:rFonts w:cs="Arial"/>
                <w:b/>
                <w:bCs/>
                <w:color w:val="53565A"/>
                <w:sz w:val="16"/>
                <w:szCs w:val="16"/>
                <w:lang w:eastAsia="en-AU"/>
              </w:rPr>
              <w:t>Health Service</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7FCE3CAE" w14:textId="41CFC31E" w:rsidR="00285665" w:rsidRPr="00932E84" w:rsidRDefault="00FE1263" w:rsidP="00FE1263">
            <w:pPr>
              <w:spacing w:after="0" w:line="240" w:lineRule="auto"/>
              <w:jc w:val="right"/>
              <w:rPr>
                <w:rFonts w:cs="Arial"/>
                <w:b/>
                <w:bCs/>
                <w:color w:val="53565A"/>
                <w:sz w:val="16"/>
                <w:szCs w:val="16"/>
                <w:lang w:eastAsia="en-AU"/>
              </w:rPr>
            </w:pPr>
            <w:r>
              <w:rPr>
                <w:rFonts w:cs="Arial"/>
                <w:b/>
                <w:bCs/>
                <w:color w:val="53565A"/>
                <w:sz w:val="16"/>
                <w:szCs w:val="16"/>
                <w:lang w:eastAsia="en-AU"/>
              </w:rPr>
              <w:t>NWAU</w:t>
            </w:r>
            <w:r w:rsidR="00285665" w:rsidRPr="00932E84">
              <w:rPr>
                <w:rFonts w:cs="Arial"/>
                <w:b/>
                <w:bCs/>
                <w:color w:val="53565A"/>
                <w:sz w:val="16"/>
                <w:szCs w:val="16"/>
                <w:lang w:eastAsia="en-AU"/>
              </w:rPr>
              <w:t xml:space="preserve"> target   </w:t>
            </w:r>
          </w:p>
        </w:tc>
      </w:tr>
      <w:tr w:rsidR="00285665" w:rsidRPr="00932E84" w14:paraId="64BC7FDE"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218B1797" w14:textId="77777777" w:rsidR="00285665" w:rsidRPr="00932E84" w:rsidRDefault="00285665" w:rsidP="003D68D1">
            <w:pPr>
              <w:spacing w:after="0" w:line="240" w:lineRule="auto"/>
              <w:rPr>
                <w:rFonts w:cs="Arial"/>
                <w:b/>
                <w:bCs/>
                <w:color w:val="000000"/>
                <w:sz w:val="16"/>
                <w:szCs w:val="16"/>
                <w:lang w:eastAsia="en-AU"/>
              </w:rPr>
            </w:pPr>
            <w:r w:rsidRPr="00932E84">
              <w:rPr>
                <w:rFonts w:cs="Arial"/>
                <w:b/>
                <w:bCs/>
                <w:color w:val="000000"/>
                <w:sz w:val="16"/>
                <w:szCs w:val="16"/>
                <w:lang w:eastAsia="en-AU"/>
              </w:rPr>
              <w:t>Total</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7014B04D" w14:textId="77777777" w:rsidR="00285665" w:rsidRPr="00932E84" w:rsidRDefault="00285665" w:rsidP="003D68D1">
            <w:pPr>
              <w:spacing w:after="0" w:line="240" w:lineRule="auto"/>
              <w:jc w:val="right"/>
              <w:rPr>
                <w:rFonts w:cs="Arial"/>
                <w:b/>
                <w:bCs/>
                <w:color w:val="000000"/>
                <w:sz w:val="16"/>
                <w:szCs w:val="16"/>
                <w:lang w:eastAsia="en-AU"/>
              </w:rPr>
            </w:pPr>
            <w:r w:rsidRPr="00932E84">
              <w:rPr>
                <w:rFonts w:cs="Arial"/>
                <w:b/>
                <w:bCs/>
                <w:color w:val="000000"/>
                <w:sz w:val="16"/>
                <w:szCs w:val="16"/>
                <w:lang w:eastAsia="en-AU"/>
              </w:rPr>
              <w:t>2,004</w:t>
            </w:r>
          </w:p>
        </w:tc>
      </w:tr>
    </w:tbl>
    <w:p w14:paraId="72B180FE" w14:textId="77777777" w:rsidR="00744D4C" w:rsidRDefault="00744D4C" w:rsidP="00744D4C">
      <w:pPr>
        <w:pStyle w:val="Body"/>
      </w:pPr>
    </w:p>
    <w:p w14:paraId="673DF3FD" w14:textId="44C70F2F" w:rsidR="000B27B9" w:rsidRPr="004A5B73" w:rsidRDefault="7B0F94E6" w:rsidP="00081936">
      <w:pPr>
        <w:pStyle w:val="Heading3"/>
        <w:numPr>
          <w:ilvl w:val="2"/>
          <w:numId w:val="33"/>
        </w:numPr>
        <w:spacing w:before="240"/>
        <w:ind w:left="1134"/>
      </w:pPr>
      <w:bookmarkStart w:id="1204" w:name="_Toc156569706"/>
      <w:r>
        <w:t xml:space="preserve">Home </w:t>
      </w:r>
      <w:r w:rsidR="00F826D9">
        <w:t xml:space="preserve">renal dialysis targets </w:t>
      </w:r>
      <w:bookmarkEnd w:id="1199"/>
      <w:bookmarkEnd w:id="1200"/>
      <w:bookmarkEnd w:id="1201"/>
      <w:bookmarkEnd w:id="1202"/>
      <w:bookmarkEnd w:id="1203"/>
      <w:r w:rsidR="635881F6">
        <w:t>202</w:t>
      </w:r>
      <w:r w:rsidR="007E1C33">
        <w:t>3</w:t>
      </w:r>
      <w:r w:rsidR="20E373CA">
        <w:t>–</w:t>
      </w:r>
      <w:r w:rsidR="635881F6">
        <w:t>2</w:t>
      </w:r>
      <w:r w:rsidR="007E1C33">
        <w:t>4</w:t>
      </w:r>
      <w:bookmarkEnd w:id="1204"/>
    </w:p>
    <w:p w14:paraId="65257768" w14:textId="77777777" w:rsidR="00BD575E" w:rsidRPr="004A5B73" w:rsidRDefault="00BD575E" w:rsidP="00BD575E">
      <w:pPr>
        <w:pStyle w:val="Tablefigurenote9pt"/>
      </w:pPr>
      <w:bookmarkStart w:id="1205" w:name="_Toc12780579"/>
      <w:bookmarkStart w:id="1206" w:name="_Toc14194835"/>
      <w:bookmarkStart w:id="1207" w:name="_Toc33704016"/>
      <w:r w:rsidRPr="004A5B73">
        <w:t>Notes:</w:t>
      </w:r>
    </w:p>
    <w:p w14:paraId="16A315B7" w14:textId="239E53CB" w:rsidR="008A3D5B" w:rsidRPr="004A5B73" w:rsidRDefault="008A3D5B" w:rsidP="00081936">
      <w:pPr>
        <w:pStyle w:val="Tablenoteroman"/>
        <w:numPr>
          <w:ilvl w:val="0"/>
          <w:numId w:val="27"/>
        </w:numPr>
        <w:rPr>
          <w:lang w:eastAsia="en-AU"/>
        </w:rPr>
      </w:pPr>
      <w:r w:rsidRPr="004A5B73">
        <w:rPr>
          <w:lang w:eastAsia="en-AU"/>
        </w:rPr>
        <w:t>Targets include adjustments made in the statement of priorities, including changes relating</w:t>
      </w:r>
      <w:r w:rsidR="00601236">
        <w:rPr>
          <w:lang w:eastAsia="en-AU"/>
        </w:rPr>
        <w:t xml:space="preserve"> to</w:t>
      </w:r>
      <w:r w:rsidRPr="004A5B73">
        <w:rPr>
          <w:lang w:eastAsia="en-AU"/>
        </w:rPr>
        <w:t xml:space="preserve"> National Funding Model implementation.</w:t>
      </w:r>
    </w:p>
    <w:p w14:paraId="424D1638" w14:textId="2CD2C157" w:rsidR="00742C12" w:rsidRDefault="00742C12" w:rsidP="00685B35">
      <w:pPr>
        <w:pStyle w:val="Tablecaption"/>
      </w:pPr>
      <w:bookmarkStart w:id="1208" w:name="_Toc156568695"/>
      <w:bookmarkEnd w:id="1205"/>
      <w:bookmarkEnd w:id="1206"/>
      <w:bookmarkEnd w:id="1207"/>
      <w:r>
        <w:t xml:space="preserve">Table </w:t>
      </w:r>
      <w:r>
        <w:fldChar w:fldCharType="begin"/>
      </w:r>
      <w:r>
        <w:instrText>STYLEREF 1 \s</w:instrText>
      </w:r>
      <w:r>
        <w:fldChar w:fldCharType="separate"/>
      </w:r>
      <w:r w:rsidR="00892F13">
        <w:rPr>
          <w:noProof/>
        </w:rPr>
        <w:t>2</w:t>
      </w:r>
      <w:r>
        <w:fldChar w:fldCharType="end"/>
      </w:r>
      <w:r>
        <w:t>.</w:t>
      </w:r>
      <w:r>
        <w:fldChar w:fldCharType="begin"/>
      </w:r>
      <w:r>
        <w:instrText>SEQ Table \* ARABIC \s 1</w:instrText>
      </w:r>
      <w:r>
        <w:fldChar w:fldCharType="separate"/>
      </w:r>
      <w:r w:rsidR="007E6861">
        <w:rPr>
          <w:noProof/>
        </w:rPr>
        <w:t>18</w:t>
      </w:r>
      <w:r>
        <w:fldChar w:fldCharType="end"/>
      </w:r>
      <w:r>
        <w:t>:</w:t>
      </w:r>
      <w:r w:rsidRPr="00742C12">
        <w:t xml:space="preserve"> </w:t>
      </w:r>
      <w:r w:rsidRPr="004A5B73">
        <w:t>Home renal dialysis targets 202</w:t>
      </w:r>
      <w:r>
        <w:t>3</w:t>
      </w:r>
      <w:r w:rsidRPr="004A5B73">
        <w:t>–2</w:t>
      </w:r>
      <w:r>
        <w:t>4</w:t>
      </w:r>
      <w:bookmarkEnd w:id="1208"/>
    </w:p>
    <w:tbl>
      <w:tblPr>
        <w:tblW w:w="6419" w:type="dxa"/>
        <w:tblCellMar>
          <w:top w:w="15" w:type="dxa"/>
          <w:bottom w:w="15" w:type="dxa"/>
        </w:tblCellMar>
        <w:tblLook w:val="04A0" w:firstRow="1" w:lastRow="0" w:firstColumn="1" w:lastColumn="0" w:noHBand="0" w:noVBand="1"/>
      </w:tblPr>
      <w:tblGrid>
        <w:gridCol w:w="3539"/>
        <w:gridCol w:w="2880"/>
      </w:tblGrid>
      <w:tr w:rsidR="00285665" w:rsidRPr="00932E84" w14:paraId="587F1F7A" w14:textId="77777777" w:rsidTr="00285665">
        <w:trPr>
          <w:trHeight w:val="300"/>
          <w:tblHead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47A19150" w14:textId="77777777" w:rsidR="00285665" w:rsidRPr="00932E84" w:rsidRDefault="00285665" w:rsidP="003D68D1">
            <w:pPr>
              <w:spacing w:after="0" w:line="240" w:lineRule="auto"/>
              <w:rPr>
                <w:rFonts w:cs="Arial"/>
                <w:b/>
                <w:bCs/>
                <w:color w:val="53565A"/>
                <w:sz w:val="16"/>
                <w:szCs w:val="16"/>
                <w:lang w:eastAsia="en-AU"/>
              </w:rPr>
            </w:pPr>
            <w:r w:rsidRPr="00932E84">
              <w:rPr>
                <w:rFonts w:cs="Arial"/>
                <w:b/>
                <w:bCs/>
                <w:color w:val="53565A"/>
                <w:sz w:val="16"/>
                <w:szCs w:val="16"/>
                <w:lang w:eastAsia="en-AU"/>
              </w:rPr>
              <w:t>Health service</w:t>
            </w:r>
          </w:p>
        </w:tc>
        <w:tc>
          <w:tcPr>
            <w:tcW w:w="2880" w:type="dxa"/>
            <w:tcBorders>
              <w:top w:val="single" w:sz="4" w:space="0" w:color="auto"/>
              <w:left w:val="single" w:sz="4" w:space="0" w:color="auto"/>
              <w:bottom w:val="single" w:sz="4" w:space="0" w:color="auto"/>
              <w:right w:val="single" w:sz="4" w:space="0" w:color="auto"/>
            </w:tcBorders>
            <w:noWrap/>
            <w:vAlign w:val="center"/>
            <w:hideMark/>
          </w:tcPr>
          <w:p w14:paraId="1C508806" w14:textId="77777777" w:rsidR="00285665" w:rsidRPr="00932E84" w:rsidRDefault="00285665" w:rsidP="00D51287">
            <w:pPr>
              <w:spacing w:after="0" w:line="240" w:lineRule="auto"/>
              <w:jc w:val="right"/>
              <w:rPr>
                <w:rFonts w:cs="Arial"/>
                <w:b/>
                <w:bCs/>
                <w:color w:val="53565A"/>
                <w:sz w:val="16"/>
                <w:szCs w:val="16"/>
                <w:lang w:eastAsia="en-AU"/>
              </w:rPr>
            </w:pPr>
            <w:r w:rsidRPr="00932E84">
              <w:rPr>
                <w:rFonts w:cs="Arial"/>
                <w:b/>
                <w:bCs/>
                <w:color w:val="53565A"/>
                <w:sz w:val="16"/>
                <w:szCs w:val="16"/>
                <w:lang w:eastAsia="en-AU"/>
              </w:rPr>
              <w:t>Annual target</w:t>
            </w:r>
          </w:p>
        </w:tc>
      </w:tr>
      <w:tr w:rsidR="00285665" w:rsidRPr="00932E84" w14:paraId="28103496"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1FE7683C"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Alfred Health</w:t>
            </w:r>
          </w:p>
        </w:tc>
        <w:tc>
          <w:tcPr>
            <w:tcW w:w="2880" w:type="dxa"/>
            <w:tcBorders>
              <w:top w:val="single" w:sz="4" w:space="0" w:color="auto"/>
              <w:left w:val="single" w:sz="4" w:space="0" w:color="auto"/>
              <w:bottom w:val="single" w:sz="4" w:space="0" w:color="auto"/>
              <w:right w:val="single" w:sz="4" w:space="0" w:color="auto"/>
            </w:tcBorders>
            <w:noWrap/>
            <w:vAlign w:val="center"/>
            <w:hideMark/>
          </w:tcPr>
          <w:p w14:paraId="0B968244"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1267.81</w:t>
            </w:r>
          </w:p>
        </w:tc>
      </w:tr>
      <w:tr w:rsidR="00285665" w:rsidRPr="00932E84" w14:paraId="181D6F21"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10BE15B8"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Austin Health</w:t>
            </w:r>
          </w:p>
        </w:tc>
        <w:tc>
          <w:tcPr>
            <w:tcW w:w="2880" w:type="dxa"/>
            <w:tcBorders>
              <w:top w:val="single" w:sz="4" w:space="0" w:color="auto"/>
              <w:left w:val="single" w:sz="4" w:space="0" w:color="auto"/>
              <w:bottom w:val="single" w:sz="4" w:space="0" w:color="auto"/>
              <w:right w:val="single" w:sz="4" w:space="0" w:color="auto"/>
            </w:tcBorders>
            <w:noWrap/>
            <w:vAlign w:val="center"/>
            <w:hideMark/>
          </w:tcPr>
          <w:p w14:paraId="6753E24C"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707.75</w:t>
            </w:r>
          </w:p>
        </w:tc>
      </w:tr>
      <w:tr w:rsidR="00285665" w:rsidRPr="00932E84" w14:paraId="450DC8EC"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3C3CFF95"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Barwon Health</w:t>
            </w:r>
          </w:p>
        </w:tc>
        <w:tc>
          <w:tcPr>
            <w:tcW w:w="2880" w:type="dxa"/>
            <w:tcBorders>
              <w:top w:val="single" w:sz="4" w:space="0" w:color="auto"/>
              <w:left w:val="single" w:sz="4" w:space="0" w:color="auto"/>
              <w:bottom w:val="single" w:sz="4" w:space="0" w:color="auto"/>
              <w:right w:val="single" w:sz="4" w:space="0" w:color="auto"/>
            </w:tcBorders>
            <w:noWrap/>
            <w:vAlign w:val="center"/>
            <w:hideMark/>
          </w:tcPr>
          <w:p w14:paraId="0B25D29F"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542.68</w:t>
            </w:r>
          </w:p>
        </w:tc>
      </w:tr>
      <w:tr w:rsidR="00285665" w:rsidRPr="00932E84" w14:paraId="5E1A3348"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3CE1D130"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Bendigo Health</w:t>
            </w:r>
          </w:p>
        </w:tc>
        <w:tc>
          <w:tcPr>
            <w:tcW w:w="2880" w:type="dxa"/>
            <w:tcBorders>
              <w:top w:val="single" w:sz="4" w:space="0" w:color="auto"/>
              <w:left w:val="single" w:sz="4" w:space="0" w:color="auto"/>
              <w:bottom w:val="single" w:sz="4" w:space="0" w:color="auto"/>
              <w:right w:val="single" w:sz="4" w:space="0" w:color="auto"/>
            </w:tcBorders>
            <w:noWrap/>
            <w:vAlign w:val="center"/>
            <w:hideMark/>
          </w:tcPr>
          <w:p w14:paraId="3E22F4E8"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553.61</w:t>
            </w:r>
          </w:p>
        </w:tc>
      </w:tr>
      <w:tr w:rsidR="00285665" w:rsidRPr="00932E84" w14:paraId="16DFB610"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2E2E4A8B"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Eastern Health</w:t>
            </w:r>
          </w:p>
        </w:tc>
        <w:tc>
          <w:tcPr>
            <w:tcW w:w="2880" w:type="dxa"/>
            <w:tcBorders>
              <w:top w:val="single" w:sz="4" w:space="0" w:color="auto"/>
              <w:left w:val="single" w:sz="4" w:space="0" w:color="auto"/>
              <w:bottom w:val="single" w:sz="4" w:space="0" w:color="auto"/>
              <w:right w:val="single" w:sz="4" w:space="0" w:color="auto"/>
            </w:tcBorders>
            <w:noWrap/>
            <w:vAlign w:val="center"/>
            <w:hideMark/>
          </w:tcPr>
          <w:p w14:paraId="40EE73DD"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664.93</w:t>
            </w:r>
          </w:p>
        </w:tc>
      </w:tr>
      <w:tr w:rsidR="00285665" w:rsidRPr="00932E84" w14:paraId="0E2B0EB2"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1F582FF3"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Melbourne Health</w:t>
            </w:r>
          </w:p>
        </w:tc>
        <w:tc>
          <w:tcPr>
            <w:tcW w:w="2880" w:type="dxa"/>
            <w:tcBorders>
              <w:top w:val="single" w:sz="4" w:space="0" w:color="auto"/>
              <w:left w:val="single" w:sz="4" w:space="0" w:color="auto"/>
              <w:bottom w:val="single" w:sz="4" w:space="0" w:color="auto"/>
              <w:right w:val="single" w:sz="4" w:space="0" w:color="auto"/>
            </w:tcBorders>
            <w:noWrap/>
            <w:vAlign w:val="center"/>
            <w:hideMark/>
          </w:tcPr>
          <w:p w14:paraId="1534303B"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1783.02</w:t>
            </w:r>
          </w:p>
        </w:tc>
      </w:tr>
      <w:tr w:rsidR="00285665" w:rsidRPr="00932E84" w14:paraId="51C7DFAE"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24DF6C2D"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Monash Health</w:t>
            </w:r>
          </w:p>
        </w:tc>
        <w:tc>
          <w:tcPr>
            <w:tcW w:w="2880" w:type="dxa"/>
            <w:tcBorders>
              <w:top w:val="single" w:sz="4" w:space="0" w:color="auto"/>
              <w:left w:val="single" w:sz="4" w:space="0" w:color="auto"/>
              <w:bottom w:val="single" w:sz="4" w:space="0" w:color="auto"/>
              <w:right w:val="single" w:sz="4" w:space="0" w:color="auto"/>
            </w:tcBorders>
            <w:noWrap/>
            <w:vAlign w:val="center"/>
            <w:hideMark/>
          </w:tcPr>
          <w:p w14:paraId="2A45C5F4"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1758.52</w:t>
            </w:r>
          </w:p>
        </w:tc>
      </w:tr>
      <w:tr w:rsidR="00285665" w:rsidRPr="00932E84" w14:paraId="6E5601EC"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7BDCFF55"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Northern Health</w:t>
            </w:r>
          </w:p>
        </w:tc>
        <w:tc>
          <w:tcPr>
            <w:tcW w:w="2880" w:type="dxa"/>
            <w:tcBorders>
              <w:top w:val="single" w:sz="4" w:space="0" w:color="auto"/>
              <w:left w:val="single" w:sz="4" w:space="0" w:color="auto"/>
              <w:bottom w:val="single" w:sz="4" w:space="0" w:color="auto"/>
              <w:right w:val="single" w:sz="4" w:space="0" w:color="auto"/>
            </w:tcBorders>
            <w:noWrap/>
            <w:vAlign w:val="center"/>
            <w:hideMark/>
          </w:tcPr>
          <w:p w14:paraId="683C5A03"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491.14</w:t>
            </w:r>
          </w:p>
        </w:tc>
      </w:tr>
      <w:tr w:rsidR="00285665" w:rsidRPr="00932E84" w14:paraId="77216E2C"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7494BCF5"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St Vincent's Hospital Melbourne Limited</w:t>
            </w:r>
          </w:p>
        </w:tc>
        <w:tc>
          <w:tcPr>
            <w:tcW w:w="2880" w:type="dxa"/>
            <w:tcBorders>
              <w:top w:val="single" w:sz="4" w:space="0" w:color="auto"/>
              <w:left w:val="single" w:sz="4" w:space="0" w:color="auto"/>
              <w:bottom w:val="single" w:sz="4" w:space="0" w:color="auto"/>
              <w:right w:val="single" w:sz="4" w:space="0" w:color="auto"/>
            </w:tcBorders>
            <w:noWrap/>
            <w:vAlign w:val="center"/>
            <w:hideMark/>
          </w:tcPr>
          <w:p w14:paraId="0921F785"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879.68</w:t>
            </w:r>
          </w:p>
        </w:tc>
      </w:tr>
      <w:tr w:rsidR="00285665" w:rsidRPr="00932E84" w14:paraId="36D21259"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588C8B6A"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The Royal Children's Hospital</w:t>
            </w:r>
          </w:p>
        </w:tc>
        <w:tc>
          <w:tcPr>
            <w:tcW w:w="2880" w:type="dxa"/>
            <w:tcBorders>
              <w:top w:val="single" w:sz="4" w:space="0" w:color="auto"/>
              <w:left w:val="single" w:sz="4" w:space="0" w:color="auto"/>
              <w:bottom w:val="single" w:sz="4" w:space="0" w:color="auto"/>
              <w:right w:val="single" w:sz="4" w:space="0" w:color="auto"/>
            </w:tcBorders>
            <w:noWrap/>
            <w:vAlign w:val="center"/>
            <w:hideMark/>
          </w:tcPr>
          <w:p w14:paraId="22CD3E0C"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116.3</w:t>
            </w:r>
          </w:p>
        </w:tc>
      </w:tr>
      <w:tr w:rsidR="00285665" w:rsidRPr="00932E84" w14:paraId="7B00DAA3"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3416BED1"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Western Health</w:t>
            </w:r>
          </w:p>
        </w:tc>
        <w:tc>
          <w:tcPr>
            <w:tcW w:w="2880" w:type="dxa"/>
            <w:tcBorders>
              <w:top w:val="single" w:sz="4" w:space="0" w:color="auto"/>
              <w:left w:val="single" w:sz="4" w:space="0" w:color="auto"/>
              <w:bottom w:val="single" w:sz="4" w:space="0" w:color="auto"/>
              <w:right w:val="single" w:sz="4" w:space="0" w:color="auto"/>
            </w:tcBorders>
            <w:noWrap/>
            <w:vAlign w:val="center"/>
            <w:hideMark/>
          </w:tcPr>
          <w:p w14:paraId="67A333A3"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626.19</w:t>
            </w:r>
          </w:p>
        </w:tc>
      </w:tr>
      <w:tr w:rsidR="00285665" w:rsidRPr="00932E84" w14:paraId="05D093C2" w14:textId="77777777" w:rsidTr="00285665">
        <w:trPr>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AD0AB07" w14:textId="77777777" w:rsidR="00285665" w:rsidRPr="00932E84" w:rsidRDefault="00285665" w:rsidP="003D68D1">
            <w:pPr>
              <w:spacing w:after="0" w:line="240" w:lineRule="auto"/>
              <w:rPr>
                <w:rFonts w:cs="Arial"/>
                <w:b/>
                <w:bCs/>
                <w:color w:val="000000"/>
                <w:sz w:val="16"/>
                <w:szCs w:val="16"/>
                <w:lang w:eastAsia="en-AU"/>
              </w:rPr>
            </w:pPr>
            <w:r w:rsidRPr="00932E84">
              <w:rPr>
                <w:rFonts w:cs="Arial"/>
                <w:b/>
                <w:bCs/>
                <w:color w:val="000000"/>
                <w:sz w:val="16"/>
                <w:szCs w:val="16"/>
                <w:lang w:eastAsia="en-AU"/>
              </w:rPr>
              <w:t>Total</w:t>
            </w:r>
          </w:p>
        </w:tc>
        <w:tc>
          <w:tcPr>
            <w:tcW w:w="2880" w:type="dxa"/>
            <w:tcBorders>
              <w:top w:val="single" w:sz="4" w:space="0" w:color="auto"/>
              <w:left w:val="single" w:sz="4" w:space="0" w:color="auto"/>
              <w:bottom w:val="single" w:sz="4" w:space="0" w:color="auto"/>
              <w:right w:val="single" w:sz="4" w:space="0" w:color="auto"/>
            </w:tcBorders>
            <w:noWrap/>
            <w:vAlign w:val="center"/>
            <w:hideMark/>
          </w:tcPr>
          <w:p w14:paraId="623E29A5" w14:textId="77777777" w:rsidR="00285665" w:rsidRPr="00932E84" w:rsidRDefault="00285665" w:rsidP="003D68D1">
            <w:pPr>
              <w:spacing w:after="0" w:line="240" w:lineRule="auto"/>
              <w:jc w:val="right"/>
              <w:rPr>
                <w:rFonts w:cs="Arial"/>
                <w:b/>
                <w:bCs/>
                <w:color w:val="000000"/>
                <w:sz w:val="16"/>
                <w:szCs w:val="16"/>
                <w:lang w:eastAsia="en-AU"/>
              </w:rPr>
            </w:pPr>
            <w:r w:rsidRPr="00932E84">
              <w:rPr>
                <w:rFonts w:cs="Arial"/>
                <w:b/>
                <w:bCs/>
                <w:color w:val="000000"/>
                <w:sz w:val="16"/>
                <w:szCs w:val="16"/>
                <w:lang w:eastAsia="en-AU"/>
              </w:rPr>
              <w:t>9,391.63</w:t>
            </w:r>
          </w:p>
        </w:tc>
      </w:tr>
    </w:tbl>
    <w:p w14:paraId="2B9B1E4E" w14:textId="4A44228C" w:rsidR="00EF68BF" w:rsidRDefault="00EF68BF" w:rsidP="00B92CD4">
      <w:pPr>
        <w:pStyle w:val="Body"/>
      </w:pPr>
    </w:p>
    <w:p w14:paraId="357CFDC3" w14:textId="631A4D53" w:rsidR="006B731F" w:rsidRDefault="425A34F4" w:rsidP="00081936">
      <w:pPr>
        <w:pStyle w:val="Heading3"/>
        <w:numPr>
          <w:ilvl w:val="2"/>
          <w:numId w:val="33"/>
        </w:numPr>
        <w:spacing w:before="240"/>
        <w:ind w:left="1134"/>
        <w:rPr>
          <w:rFonts w:eastAsia="Times New Roman"/>
        </w:rPr>
      </w:pPr>
      <w:bookmarkStart w:id="1209" w:name="_Toc156569707"/>
      <w:bookmarkStart w:id="1210" w:name="_Toc12780676"/>
      <w:bookmarkStart w:id="1211" w:name="_Toc14172317"/>
      <w:bookmarkStart w:id="1212" w:name="_Toc33703991"/>
      <w:bookmarkStart w:id="1213" w:name="_Toc55381179"/>
      <w:bookmarkStart w:id="1214" w:name="_Toc100263383"/>
      <w:r w:rsidRPr="23E5A96B">
        <w:rPr>
          <w:rFonts w:eastAsia="Times New Roman"/>
        </w:rPr>
        <w:t>Non-</w:t>
      </w:r>
      <w:r w:rsidR="00F826D9" w:rsidRPr="23E5A96B">
        <w:rPr>
          <w:rFonts w:eastAsia="Times New Roman"/>
        </w:rPr>
        <w:t>admitted episode targets – community palliative care</w:t>
      </w:r>
      <w:bookmarkEnd w:id="1209"/>
    </w:p>
    <w:p w14:paraId="77956A26" w14:textId="4FD504DE" w:rsidR="00742C12" w:rsidRDefault="00742C12" w:rsidP="00685B35">
      <w:pPr>
        <w:pStyle w:val="Tablecaption"/>
      </w:pPr>
      <w:bookmarkStart w:id="1215" w:name="_Toc156568696"/>
      <w:r w:rsidRPr="005C6B6F">
        <w:t xml:space="preserve">Table </w:t>
      </w:r>
      <w:r w:rsidRPr="005C6B6F">
        <w:fldChar w:fldCharType="begin"/>
      </w:r>
      <w:r w:rsidRPr="005C6B6F">
        <w:instrText>STYLEREF 1 \s</w:instrText>
      </w:r>
      <w:r w:rsidRPr="005C6B6F">
        <w:fldChar w:fldCharType="separate"/>
      </w:r>
      <w:r w:rsidR="00892F13" w:rsidRPr="005C6B6F">
        <w:rPr>
          <w:noProof/>
        </w:rPr>
        <w:t>2</w:t>
      </w:r>
      <w:r w:rsidRPr="005C6B6F">
        <w:fldChar w:fldCharType="end"/>
      </w:r>
      <w:r w:rsidRPr="005C6B6F">
        <w:t>.</w:t>
      </w:r>
      <w:r w:rsidRPr="005C6B6F">
        <w:fldChar w:fldCharType="begin"/>
      </w:r>
      <w:r w:rsidRPr="005C6B6F">
        <w:instrText>SEQ Table \* ARABIC \s 1</w:instrText>
      </w:r>
      <w:r w:rsidRPr="005C6B6F">
        <w:fldChar w:fldCharType="separate"/>
      </w:r>
      <w:r w:rsidR="007E6861">
        <w:rPr>
          <w:noProof/>
        </w:rPr>
        <w:t>19</w:t>
      </w:r>
      <w:r w:rsidRPr="005C6B6F">
        <w:fldChar w:fldCharType="end"/>
      </w:r>
      <w:r w:rsidRPr="005C6B6F">
        <w:t>: Community palliative care – new episodes for distinct clients 2023–24</w:t>
      </w:r>
      <w:bookmarkEnd w:id="1215"/>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5"/>
        <w:gridCol w:w="2531"/>
      </w:tblGrid>
      <w:tr w:rsidR="00F826D9" w:rsidRPr="00F826D9" w14:paraId="56F1DB05" w14:textId="77777777" w:rsidTr="00685B35">
        <w:trPr>
          <w:trHeight w:hRule="exact" w:val="312"/>
          <w:tblHeader/>
        </w:trPr>
        <w:tc>
          <w:tcPr>
            <w:tcW w:w="3985" w:type="dxa"/>
            <w:noWrap/>
            <w:tcMar>
              <w:top w:w="0" w:type="dxa"/>
              <w:left w:w="108" w:type="dxa"/>
              <w:bottom w:w="0" w:type="dxa"/>
              <w:right w:w="108" w:type="dxa"/>
            </w:tcMar>
          </w:tcPr>
          <w:p w14:paraId="787B2432" w14:textId="107D04AE" w:rsidR="00F826D9" w:rsidRPr="00742C12" w:rsidRDefault="00F826D9" w:rsidP="00685B35">
            <w:pPr>
              <w:pStyle w:val="Tablecolheadlandscape"/>
            </w:pPr>
            <w:r w:rsidRPr="00742C12">
              <w:t>Health service / organisation</w:t>
            </w:r>
          </w:p>
        </w:tc>
        <w:tc>
          <w:tcPr>
            <w:tcW w:w="2531" w:type="dxa"/>
            <w:shd w:val="clear" w:color="auto" w:fill="FFFFFF"/>
            <w:noWrap/>
            <w:tcMar>
              <w:top w:w="0" w:type="dxa"/>
              <w:left w:w="108" w:type="dxa"/>
              <w:bottom w:w="0" w:type="dxa"/>
              <w:right w:w="108" w:type="dxa"/>
            </w:tcMar>
          </w:tcPr>
          <w:p w14:paraId="27287A8B" w14:textId="1E31624B" w:rsidR="00F826D9" w:rsidRPr="00685B35" w:rsidRDefault="00F826D9" w:rsidP="00685B35">
            <w:pPr>
              <w:pStyle w:val="Tablecolheadlandscape"/>
              <w:jc w:val="right"/>
            </w:pPr>
            <w:r w:rsidRPr="00685B35">
              <w:t>Annual target</w:t>
            </w:r>
          </w:p>
        </w:tc>
      </w:tr>
      <w:tr w:rsidR="006B731F" w:rsidRPr="00F826D9" w14:paraId="7D0518A6" w14:textId="77777777" w:rsidTr="00685B35">
        <w:trPr>
          <w:trHeight w:hRule="exact" w:val="312"/>
        </w:trPr>
        <w:tc>
          <w:tcPr>
            <w:tcW w:w="3985" w:type="dxa"/>
            <w:noWrap/>
            <w:tcMar>
              <w:top w:w="0" w:type="dxa"/>
              <w:left w:w="108" w:type="dxa"/>
              <w:bottom w:w="0" w:type="dxa"/>
              <w:right w:w="108" w:type="dxa"/>
            </w:tcMar>
            <w:hideMark/>
          </w:tcPr>
          <w:p w14:paraId="663CAE91" w14:textId="77777777" w:rsidR="006B731F" w:rsidRPr="00685B35" w:rsidRDefault="006B731F" w:rsidP="00742C12">
            <w:pPr>
              <w:pStyle w:val="Tabletext8pt"/>
              <w:rPr>
                <w:sz w:val="16"/>
              </w:rPr>
            </w:pPr>
            <w:r w:rsidRPr="00685B35">
              <w:rPr>
                <w:sz w:val="16"/>
              </w:rPr>
              <w:t>Albury Wodonga Health</w:t>
            </w:r>
          </w:p>
        </w:tc>
        <w:tc>
          <w:tcPr>
            <w:tcW w:w="2531" w:type="dxa"/>
            <w:shd w:val="clear" w:color="auto" w:fill="FFFFFF"/>
            <w:noWrap/>
            <w:tcMar>
              <w:top w:w="0" w:type="dxa"/>
              <w:left w:w="108" w:type="dxa"/>
              <w:bottom w:w="0" w:type="dxa"/>
              <w:right w:w="108" w:type="dxa"/>
            </w:tcMar>
            <w:hideMark/>
          </w:tcPr>
          <w:p w14:paraId="4101CC3D" w14:textId="77777777" w:rsidR="006B731F" w:rsidRPr="00685B35" w:rsidRDefault="006B731F" w:rsidP="00742C12">
            <w:pPr>
              <w:pStyle w:val="Tabletext8pt"/>
              <w:jc w:val="right"/>
              <w:rPr>
                <w:sz w:val="16"/>
              </w:rPr>
            </w:pPr>
            <w:r w:rsidRPr="00685B35">
              <w:rPr>
                <w:sz w:val="16"/>
              </w:rPr>
              <w:t>222</w:t>
            </w:r>
          </w:p>
        </w:tc>
      </w:tr>
      <w:tr w:rsidR="006B731F" w:rsidRPr="00F826D9" w14:paraId="763919F3" w14:textId="77777777" w:rsidTr="00685B35">
        <w:trPr>
          <w:trHeight w:hRule="exact" w:val="312"/>
        </w:trPr>
        <w:tc>
          <w:tcPr>
            <w:tcW w:w="3985" w:type="dxa"/>
            <w:noWrap/>
            <w:tcMar>
              <w:top w:w="0" w:type="dxa"/>
              <w:left w:w="108" w:type="dxa"/>
              <w:bottom w:w="0" w:type="dxa"/>
              <w:right w:w="108" w:type="dxa"/>
            </w:tcMar>
            <w:hideMark/>
          </w:tcPr>
          <w:p w14:paraId="478F8600" w14:textId="77777777" w:rsidR="006B731F" w:rsidRPr="00685B35" w:rsidRDefault="006B731F" w:rsidP="00742C12">
            <w:pPr>
              <w:pStyle w:val="Tabletext8pt"/>
              <w:rPr>
                <w:sz w:val="16"/>
              </w:rPr>
            </w:pPr>
            <w:r w:rsidRPr="00685B35">
              <w:rPr>
                <w:sz w:val="16"/>
              </w:rPr>
              <w:t>Bairnsdale Regional Health Service</w:t>
            </w:r>
          </w:p>
        </w:tc>
        <w:tc>
          <w:tcPr>
            <w:tcW w:w="2531" w:type="dxa"/>
            <w:shd w:val="clear" w:color="auto" w:fill="FFFFFF"/>
            <w:noWrap/>
            <w:tcMar>
              <w:top w:w="0" w:type="dxa"/>
              <w:left w:w="108" w:type="dxa"/>
              <w:bottom w:w="0" w:type="dxa"/>
              <w:right w:w="108" w:type="dxa"/>
            </w:tcMar>
            <w:hideMark/>
          </w:tcPr>
          <w:p w14:paraId="681484D7" w14:textId="77777777" w:rsidR="006B731F" w:rsidRPr="00685B35" w:rsidRDefault="006B731F" w:rsidP="00742C12">
            <w:pPr>
              <w:pStyle w:val="Tabletext8pt"/>
              <w:jc w:val="right"/>
              <w:rPr>
                <w:sz w:val="16"/>
              </w:rPr>
            </w:pPr>
            <w:r w:rsidRPr="00685B35">
              <w:rPr>
                <w:sz w:val="16"/>
              </w:rPr>
              <w:t>73</w:t>
            </w:r>
          </w:p>
        </w:tc>
      </w:tr>
      <w:tr w:rsidR="006B731F" w:rsidRPr="00F826D9" w14:paraId="60FFEF56" w14:textId="77777777" w:rsidTr="00685B35">
        <w:trPr>
          <w:trHeight w:hRule="exact" w:val="312"/>
        </w:trPr>
        <w:tc>
          <w:tcPr>
            <w:tcW w:w="3985" w:type="dxa"/>
            <w:noWrap/>
            <w:tcMar>
              <w:top w:w="0" w:type="dxa"/>
              <w:left w:w="108" w:type="dxa"/>
              <w:bottom w:w="0" w:type="dxa"/>
              <w:right w:w="108" w:type="dxa"/>
            </w:tcMar>
            <w:hideMark/>
          </w:tcPr>
          <w:p w14:paraId="07A5640F" w14:textId="77777777" w:rsidR="006B731F" w:rsidRPr="00685B35" w:rsidRDefault="006B731F" w:rsidP="00742C12">
            <w:pPr>
              <w:pStyle w:val="Tabletext8pt"/>
              <w:rPr>
                <w:sz w:val="16"/>
              </w:rPr>
            </w:pPr>
            <w:r w:rsidRPr="00685B35">
              <w:rPr>
                <w:sz w:val="16"/>
              </w:rPr>
              <w:t>Ballarat Hospice Care</w:t>
            </w:r>
          </w:p>
        </w:tc>
        <w:tc>
          <w:tcPr>
            <w:tcW w:w="2531" w:type="dxa"/>
            <w:shd w:val="clear" w:color="auto" w:fill="FFFFFF"/>
            <w:noWrap/>
            <w:tcMar>
              <w:top w:w="0" w:type="dxa"/>
              <w:left w:w="108" w:type="dxa"/>
              <w:bottom w:w="0" w:type="dxa"/>
              <w:right w:w="108" w:type="dxa"/>
            </w:tcMar>
            <w:hideMark/>
          </w:tcPr>
          <w:p w14:paraId="6EFC52C3" w14:textId="77777777" w:rsidR="006B731F" w:rsidRPr="00685B35" w:rsidRDefault="006B731F" w:rsidP="00742C12">
            <w:pPr>
              <w:pStyle w:val="Tabletext8pt"/>
              <w:jc w:val="right"/>
              <w:rPr>
                <w:sz w:val="16"/>
              </w:rPr>
            </w:pPr>
            <w:r w:rsidRPr="00685B35">
              <w:rPr>
                <w:sz w:val="16"/>
              </w:rPr>
              <w:t>381</w:t>
            </w:r>
          </w:p>
        </w:tc>
      </w:tr>
      <w:tr w:rsidR="006B731F" w:rsidRPr="00F826D9" w14:paraId="60387D7C" w14:textId="77777777" w:rsidTr="00685B35">
        <w:trPr>
          <w:trHeight w:hRule="exact" w:val="312"/>
        </w:trPr>
        <w:tc>
          <w:tcPr>
            <w:tcW w:w="3985" w:type="dxa"/>
            <w:noWrap/>
            <w:tcMar>
              <w:top w:w="0" w:type="dxa"/>
              <w:left w:w="108" w:type="dxa"/>
              <w:bottom w:w="0" w:type="dxa"/>
              <w:right w:w="108" w:type="dxa"/>
            </w:tcMar>
            <w:hideMark/>
          </w:tcPr>
          <w:p w14:paraId="558D90AE" w14:textId="77777777" w:rsidR="006B731F" w:rsidRPr="00685B35" w:rsidRDefault="006B731F" w:rsidP="00742C12">
            <w:pPr>
              <w:pStyle w:val="Tabletext8pt"/>
              <w:rPr>
                <w:sz w:val="16"/>
              </w:rPr>
            </w:pPr>
            <w:r w:rsidRPr="00685B35">
              <w:rPr>
                <w:sz w:val="16"/>
              </w:rPr>
              <w:t>Banksia Palliative Care Service</w:t>
            </w:r>
          </w:p>
        </w:tc>
        <w:tc>
          <w:tcPr>
            <w:tcW w:w="2531" w:type="dxa"/>
            <w:shd w:val="clear" w:color="auto" w:fill="FFFFFF"/>
            <w:noWrap/>
            <w:tcMar>
              <w:top w:w="0" w:type="dxa"/>
              <w:left w:w="108" w:type="dxa"/>
              <w:bottom w:w="0" w:type="dxa"/>
              <w:right w:w="108" w:type="dxa"/>
            </w:tcMar>
            <w:hideMark/>
          </w:tcPr>
          <w:p w14:paraId="32F44644" w14:textId="77777777" w:rsidR="006B731F" w:rsidRPr="00685B35" w:rsidRDefault="006B731F" w:rsidP="00742C12">
            <w:pPr>
              <w:pStyle w:val="Tabletext8pt"/>
              <w:jc w:val="right"/>
              <w:rPr>
                <w:sz w:val="16"/>
              </w:rPr>
            </w:pPr>
            <w:r w:rsidRPr="00685B35">
              <w:rPr>
                <w:sz w:val="16"/>
              </w:rPr>
              <w:t>951</w:t>
            </w:r>
          </w:p>
        </w:tc>
      </w:tr>
      <w:tr w:rsidR="006B731F" w:rsidRPr="00F826D9" w14:paraId="0DB1DBC7" w14:textId="77777777" w:rsidTr="00685B35">
        <w:trPr>
          <w:trHeight w:hRule="exact" w:val="312"/>
        </w:trPr>
        <w:tc>
          <w:tcPr>
            <w:tcW w:w="3985" w:type="dxa"/>
            <w:noWrap/>
            <w:tcMar>
              <w:top w:w="0" w:type="dxa"/>
              <w:left w:w="108" w:type="dxa"/>
              <w:bottom w:w="0" w:type="dxa"/>
              <w:right w:w="108" w:type="dxa"/>
            </w:tcMar>
            <w:hideMark/>
          </w:tcPr>
          <w:p w14:paraId="7232F5A1" w14:textId="77777777" w:rsidR="006B731F" w:rsidRPr="00685B35" w:rsidRDefault="006B731F" w:rsidP="00742C12">
            <w:pPr>
              <w:pStyle w:val="Tabletext8pt"/>
              <w:rPr>
                <w:sz w:val="16"/>
              </w:rPr>
            </w:pPr>
            <w:r w:rsidRPr="00685B35">
              <w:rPr>
                <w:sz w:val="16"/>
              </w:rPr>
              <w:t>Barwon Health</w:t>
            </w:r>
          </w:p>
        </w:tc>
        <w:tc>
          <w:tcPr>
            <w:tcW w:w="2531" w:type="dxa"/>
            <w:shd w:val="clear" w:color="auto" w:fill="FFFFFF"/>
            <w:noWrap/>
            <w:tcMar>
              <w:top w:w="0" w:type="dxa"/>
              <w:left w:w="108" w:type="dxa"/>
              <w:bottom w:w="0" w:type="dxa"/>
              <w:right w:w="108" w:type="dxa"/>
            </w:tcMar>
            <w:hideMark/>
          </w:tcPr>
          <w:p w14:paraId="28061DCC" w14:textId="77777777" w:rsidR="006B731F" w:rsidRPr="00685B35" w:rsidRDefault="006B731F" w:rsidP="00742C12">
            <w:pPr>
              <w:pStyle w:val="Tabletext8pt"/>
              <w:jc w:val="right"/>
              <w:rPr>
                <w:sz w:val="16"/>
              </w:rPr>
            </w:pPr>
            <w:r w:rsidRPr="00685B35">
              <w:rPr>
                <w:sz w:val="16"/>
              </w:rPr>
              <w:t>578</w:t>
            </w:r>
          </w:p>
        </w:tc>
      </w:tr>
      <w:tr w:rsidR="006B731F" w:rsidRPr="00F826D9" w14:paraId="1624984B" w14:textId="77777777" w:rsidTr="00685B35">
        <w:trPr>
          <w:trHeight w:hRule="exact" w:val="312"/>
        </w:trPr>
        <w:tc>
          <w:tcPr>
            <w:tcW w:w="3985" w:type="dxa"/>
            <w:noWrap/>
            <w:tcMar>
              <w:top w:w="0" w:type="dxa"/>
              <w:left w:w="108" w:type="dxa"/>
              <w:bottom w:w="0" w:type="dxa"/>
              <w:right w:w="108" w:type="dxa"/>
            </w:tcMar>
            <w:hideMark/>
          </w:tcPr>
          <w:p w14:paraId="7B490B66" w14:textId="77777777" w:rsidR="006B731F" w:rsidRPr="00685B35" w:rsidRDefault="006B731F" w:rsidP="00742C12">
            <w:pPr>
              <w:pStyle w:val="Tabletext8pt"/>
              <w:rPr>
                <w:sz w:val="16"/>
              </w:rPr>
            </w:pPr>
            <w:r w:rsidRPr="00685B35">
              <w:rPr>
                <w:sz w:val="16"/>
              </w:rPr>
              <w:t>Bass Coast Health</w:t>
            </w:r>
          </w:p>
        </w:tc>
        <w:tc>
          <w:tcPr>
            <w:tcW w:w="2531" w:type="dxa"/>
            <w:shd w:val="clear" w:color="auto" w:fill="FFFFFF"/>
            <w:noWrap/>
            <w:tcMar>
              <w:top w:w="0" w:type="dxa"/>
              <w:left w:w="108" w:type="dxa"/>
              <w:bottom w:w="0" w:type="dxa"/>
              <w:right w:w="108" w:type="dxa"/>
            </w:tcMar>
            <w:hideMark/>
          </w:tcPr>
          <w:p w14:paraId="3C474B68" w14:textId="77777777" w:rsidR="006B731F" w:rsidRPr="00685B35" w:rsidRDefault="006B731F" w:rsidP="00742C12">
            <w:pPr>
              <w:pStyle w:val="Tabletext8pt"/>
              <w:jc w:val="right"/>
              <w:rPr>
                <w:sz w:val="16"/>
              </w:rPr>
            </w:pPr>
            <w:r w:rsidRPr="00685B35">
              <w:rPr>
                <w:sz w:val="16"/>
              </w:rPr>
              <w:t>83</w:t>
            </w:r>
          </w:p>
        </w:tc>
      </w:tr>
      <w:tr w:rsidR="006B731F" w:rsidRPr="00F826D9" w14:paraId="77888047" w14:textId="77777777" w:rsidTr="00685B35">
        <w:trPr>
          <w:trHeight w:hRule="exact" w:val="312"/>
        </w:trPr>
        <w:tc>
          <w:tcPr>
            <w:tcW w:w="3985" w:type="dxa"/>
            <w:noWrap/>
            <w:tcMar>
              <w:top w:w="0" w:type="dxa"/>
              <w:left w:w="108" w:type="dxa"/>
              <w:bottom w:w="0" w:type="dxa"/>
              <w:right w:w="108" w:type="dxa"/>
            </w:tcMar>
            <w:hideMark/>
          </w:tcPr>
          <w:p w14:paraId="14F341FA" w14:textId="77777777" w:rsidR="006B731F" w:rsidRPr="00685B35" w:rsidRDefault="006B731F" w:rsidP="00742C12">
            <w:pPr>
              <w:pStyle w:val="Tabletext8pt"/>
              <w:rPr>
                <w:sz w:val="16"/>
              </w:rPr>
            </w:pPr>
            <w:r w:rsidRPr="00685B35">
              <w:rPr>
                <w:sz w:val="16"/>
              </w:rPr>
              <w:t>Bellarine Community Health Service</w:t>
            </w:r>
          </w:p>
        </w:tc>
        <w:tc>
          <w:tcPr>
            <w:tcW w:w="2531" w:type="dxa"/>
            <w:shd w:val="clear" w:color="auto" w:fill="FFFFFF"/>
            <w:noWrap/>
            <w:tcMar>
              <w:top w:w="0" w:type="dxa"/>
              <w:left w:w="108" w:type="dxa"/>
              <w:bottom w:w="0" w:type="dxa"/>
              <w:right w:w="108" w:type="dxa"/>
            </w:tcMar>
            <w:hideMark/>
          </w:tcPr>
          <w:p w14:paraId="5336C74C" w14:textId="77777777" w:rsidR="006B731F" w:rsidRPr="00685B35" w:rsidRDefault="006B731F" w:rsidP="00742C12">
            <w:pPr>
              <w:pStyle w:val="Tabletext8pt"/>
              <w:jc w:val="right"/>
              <w:rPr>
                <w:sz w:val="16"/>
              </w:rPr>
            </w:pPr>
            <w:r w:rsidRPr="00685B35">
              <w:rPr>
                <w:sz w:val="16"/>
              </w:rPr>
              <w:t>153</w:t>
            </w:r>
          </w:p>
        </w:tc>
      </w:tr>
      <w:tr w:rsidR="006B731F" w:rsidRPr="00F826D9" w14:paraId="49BF779D" w14:textId="77777777" w:rsidTr="00685B35">
        <w:trPr>
          <w:trHeight w:hRule="exact" w:val="312"/>
        </w:trPr>
        <w:tc>
          <w:tcPr>
            <w:tcW w:w="3985" w:type="dxa"/>
            <w:noWrap/>
            <w:tcMar>
              <w:top w:w="0" w:type="dxa"/>
              <w:left w:w="108" w:type="dxa"/>
              <w:bottom w:w="0" w:type="dxa"/>
              <w:right w:w="108" w:type="dxa"/>
            </w:tcMar>
            <w:hideMark/>
          </w:tcPr>
          <w:p w14:paraId="4AAE238C" w14:textId="77777777" w:rsidR="006B731F" w:rsidRPr="00685B35" w:rsidRDefault="006B731F" w:rsidP="00742C12">
            <w:pPr>
              <w:pStyle w:val="Tabletext8pt"/>
              <w:rPr>
                <w:sz w:val="16"/>
              </w:rPr>
            </w:pPr>
            <w:r w:rsidRPr="00685B35">
              <w:rPr>
                <w:sz w:val="16"/>
              </w:rPr>
              <w:t>Benalla and District Memorial Hospital</w:t>
            </w:r>
          </w:p>
        </w:tc>
        <w:tc>
          <w:tcPr>
            <w:tcW w:w="2531" w:type="dxa"/>
            <w:shd w:val="clear" w:color="auto" w:fill="FFFFFF"/>
            <w:noWrap/>
            <w:tcMar>
              <w:top w:w="0" w:type="dxa"/>
              <w:left w:w="108" w:type="dxa"/>
              <w:bottom w:w="0" w:type="dxa"/>
              <w:right w:w="108" w:type="dxa"/>
            </w:tcMar>
            <w:hideMark/>
          </w:tcPr>
          <w:p w14:paraId="1596802A" w14:textId="77777777" w:rsidR="006B731F" w:rsidRPr="00685B35" w:rsidRDefault="006B731F" w:rsidP="00742C12">
            <w:pPr>
              <w:pStyle w:val="Tabletext8pt"/>
              <w:jc w:val="right"/>
              <w:rPr>
                <w:sz w:val="16"/>
              </w:rPr>
            </w:pPr>
            <w:r w:rsidRPr="00685B35">
              <w:rPr>
                <w:sz w:val="16"/>
              </w:rPr>
              <w:t>131</w:t>
            </w:r>
          </w:p>
        </w:tc>
      </w:tr>
      <w:tr w:rsidR="006B731F" w:rsidRPr="00F826D9" w14:paraId="6D8FD202" w14:textId="77777777" w:rsidTr="00685B35">
        <w:trPr>
          <w:trHeight w:hRule="exact" w:val="312"/>
        </w:trPr>
        <w:tc>
          <w:tcPr>
            <w:tcW w:w="3985" w:type="dxa"/>
            <w:noWrap/>
            <w:tcMar>
              <w:top w:w="0" w:type="dxa"/>
              <w:left w:w="108" w:type="dxa"/>
              <w:bottom w:w="0" w:type="dxa"/>
              <w:right w:w="108" w:type="dxa"/>
            </w:tcMar>
            <w:hideMark/>
          </w:tcPr>
          <w:p w14:paraId="515CB041" w14:textId="77777777" w:rsidR="006B731F" w:rsidRPr="00685B35" w:rsidRDefault="006B731F" w:rsidP="00742C12">
            <w:pPr>
              <w:pStyle w:val="Tabletext8pt"/>
              <w:rPr>
                <w:sz w:val="16"/>
              </w:rPr>
            </w:pPr>
            <w:r w:rsidRPr="00685B35">
              <w:rPr>
                <w:sz w:val="16"/>
              </w:rPr>
              <w:t>Bendigo Health</w:t>
            </w:r>
          </w:p>
        </w:tc>
        <w:tc>
          <w:tcPr>
            <w:tcW w:w="2531" w:type="dxa"/>
            <w:shd w:val="clear" w:color="auto" w:fill="FFFFFF"/>
            <w:noWrap/>
            <w:tcMar>
              <w:top w:w="0" w:type="dxa"/>
              <w:left w:w="108" w:type="dxa"/>
              <w:bottom w:w="0" w:type="dxa"/>
              <w:right w:w="108" w:type="dxa"/>
            </w:tcMar>
            <w:hideMark/>
          </w:tcPr>
          <w:p w14:paraId="6BE28EDE" w14:textId="77777777" w:rsidR="006B731F" w:rsidRPr="00685B35" w:rsidRDefault="006B731F" w:rsidP="00742C12">
            <w:pPr>
              <w:pStyle w:val="Tabletext8pt"/>
              <w:jc w:val="right"/>
              <w:rPr>
                <w:sz w:val="16"/>
              </w:rPr>
            </w:pPr>
            <w:r w:rsidRPr="00685B35">
              <w:rPr>
                <w:sz w:val="16"/>
              </w:rPr>
              <w:t>339</w:t>
            </w:r>
          </w:p>
        </w:tc>
      </w:tr>
      <w:tr w:rsidR="006B731F" w:rsidRPr="00F826D9" w14:paraId="5FC123B1" w14:textId="77777777" w:rsidTr="00685B35">
        <w:trPr>
          <w:trHeight w:hRule="exact" w:val="312"/>
        </w:trPr>
        <w:tc>
          <w:tcPr>
            <w:tcW w:w="3985" w:type="dxa"/>
            <w:noWrap/>
            <w:tcMar>
              <w:top w:w="0" w:type="dxa"/>
              <w:left w:w="108" w:type="dxa"/>
              <w:bottom w:w="0" w:type="dxa"/>
              <w:right w:w="108" w:type="dxa"/>
            </w:tcMar>
            <w:hideMark/>
          </w:tcPr>
          <w:p w14:paraId="41787E34" w14:textId="77777777" w:rsidR="006B731F" w:rsidRPr="00685B35" w:rsidRDefault="006B731F" w:rsidP="00742C12">
            <w:pPr>
              <w:pStyle w:val="Tabletext8pt"/>
              <w:rPr>
                <w:sz w:val="16"/>
              </w:rPr>
            </w:pPr>
            <w:r w:rsidRPr="00685B35">
              <w:rPr>
                <w:sz w:val="16"/>
              </w:rPr>
              <w:t>Calvary Health Care Bethlehem</w:t>
            </w:r>
          </w:p>
        </w:tc>
        <w:tc>
          <w:tcPr>
            <w:tcW w:w="2531" w:type="dxa"/>
            <w:shd w:val="clear" w:color="auto" w:fill="FFFFFF"/>
            <w:noWrap/>
            <w:tcMar>
              <w:top w:w="0" w:type="dxa"/>
              <w:left w:w="108" w:type="dxa"/>
              <w:bottom w:w="0" w:type="dxa"/>
              <w:right w:w="108" w:type="dxa"/>
            </w:tcMar>
            <w:hideMark/>
          </w:tcPr>
          <w:p w14:paraId="468E64E3" w14:textId="77777777" w:rsidR="006B731F" w:rsidRPr="00685B35" w:rsidRDefault="006B731F" w:rsidP="00742C12">
            <w:pPr>
              <w:pStyle w:val="Tabletext8pt"/>
              <w:jc w:val="right"/>
              <w:rPr>
                <w:sz w:val="16"/>
              </w:rPr>
            </w:pPr>
            <w:r w:rsidRPr="00685B35">
              <w:rPr>
                <w:sz w:val="16"/>
              </w:rPr>
              <w:t>1188</w:t>
            </w:r>
          </w:p>
        </w:tc>
      </w:tr>
      <w:tr w:rsidR="006B731F" w:rsidRPr="00F826D9" w14:paraId="3F690F96" w14:textId="77777777" w:rsidTr="00685B35">
        <w:trPr>
          <w:trHeight w:hRule="exact" w:val="312"/>
        </w:trPr>
        <w:tc>
          <w:tcPr>
            <w:tcW w:w="3985" w:type="dxa"/>
            <w:noWrap/>
            <w:tcMar>
              <w:top w:w="0" w:type="dxa"/>
              <w:left w:w="108" w:type="dxa"/>
              <w:bottom w:w="0" w:type="dxa"/>
              <w:right w:w="108" w:type="dxa"/>
            </w:tcMar>
            <w:hideMark/>
          </w:tcPr>
          <w:p w14:paraId="0F83253B" w14:textId="77777777" w:rsidR="006B731F" w:rsidRPr="00685B35" w:rsidRDefault="006B731F" w:rsidP="00742C12">
            <w:pPr>
              <w:pStyle w:val="Tabletext8pt"/>
              <w:rPr>
                <w:sz w:val="16"/>
              </w:rPr>
            </w:pPr>
            <w:r w:rsidRPr="00685B35">
              <w:rPr>
                <w:sz w:val="16"/>
              </w:rPr>
              <w:t>Castlemaine Health</w:t>
            </w:r>
          </w:p>
        </w:tc>
        <w:tc>
          <w:tcPr>
            <w:tcW w:w="2531" w:type="dxa"/>
            <w:shd w:val="clear" w:color="auto" w:fill="FFFFFF"/>
            <w:noWrap/>
            <w:tcMar>
              <w:top w:w="0" w:type="dxa"/>
              <w:left w:w="108" w:type="dxa"/>
              <w:bottom w:w="0" w:type="dxa"/>
              <w:right w:w="108" w:type="dxa"/>
            </w:tcMar>
            <w:hideMark/>
          </w:tcPr>
          <w:p w14:paraId="3537F970" w14:textId="77777777" w:rsidR="006B731F" w:rsidRPr="00685B35" w:rsidRDefault="006B731F" w:rsidP="00742C12">
            <w:pPr>
              <w:pStyle w:val="Tabletext8pt"/>
              <w:jc w:val="right"/>
              <w:rPr>
                <w:sz w:val="16"/>
              </w:rPr>
            </w:pPr>
            <w:r w:rsidRPr="00685B35">
              <w:rPr>
                <w:sz w:val="16"/>
              </w:rPr>
              <w:t>55</w:t>
            </w:r>
          </w:p>
        </w:tc>
      </w:tr>
      <w:tr w:rsidR="006B731F" w:rsidRPr="00F826D9" w14:paraId="0847F3BF" w14:textId="77777777" w:rsidTr="00685B35">
        <w:trPr>
          <w:trHeight w:hRule="exact" w:val="312"/>
        </w:trPr>
        <w:tc>
          <w:tcPr>
            <w:tcW w:w="3985" w:type="dxa"/>
            <w:noWrap/>
            <w:tcMar>
              <w:top w:w="0" w:type="dxa"/>
              <w:left w:w="108" w:type="dxa"/>
              <w:bottom w:w="0" w:type="dxa"/>
              <w:right w:w="108" w:type="dxa"/>
            </w:tcMar>
            <w:hideMark/>
          </w:tcPr>
          <w:p w14:paraId="3C87B56D" w14:textId="77777777" w:rsidR="006B731F" w:rsidRPr="00685B35" w:rsidRDefault="006B731F" w:rsidP="00742C12">
            <w:pPr>
              <w:pStyle w:val="Tabletext8pt"/>
              <w:rPr>
                <w:sz w:val="16"/>
              </w:rPr>
            </w:pPr>
            <w:r w:rsidRPr="00685B35">
              <w:rPr>
                <w:sz w:val="16"/>
              </w:rPr>
              <w:t>Central Gippsland Health Service</w:t>
            </w:r>
          </w:p>
        </w:tc>
        <w:tc>
          <w:tcPr>
            <w:tcW w:w="2531" w:type="dxa"/>
            <w:shd w:val="clear" w:color="auto" w:fill="FFFFFF"/>
            <w:noWrap/>
            <w:tcMar>
              <w:top w:w="0" w:type="dxa"/>
              <w:left w:w="108" w:type="dxa"/>
              <w:bottom w:w="0" w:type="dxa"/>
              <w:right w:w="108" w:type="dxa"/>
            </w:tcMar>
            <w:hideMark/>
          </w:tcPr>
          <w:p w14:paraId="3D47D876" w14:textId="77777777" w:rsidR="006B731F" w:rsidRPr="00685B35" w:rsidRDefault="006B731F" w:rsidP="00742C12">
            <w:pPr>
              <w:pStyle w:val="Tabletext8pt"/>
              <w:jc w:val="right"/>
              <w:rPr>
                <w:sz w:val="16"/>
              </w:rPr>
            </w:pPr>
            <w:r w:rsidRPr="00685B35">
              <w:rPr>
                <w:sz w:val="16"/>
              </w:rPr>
              <w:t>133</w:t>
            </w:r>
          </w:p>
        </w:tc>
      </w:tr>
      <w:tr w:rsidR="006B731F" w:rsidRPr="00F826D9" w14:paraId="16BF740F" w14:textId="77777777" w:rsidTr="00685B35">
        <w:trPr>
          <w:trHeight w:hRule="exact" w:val="312"/>
        </w:trPr>
        <w:tc>
          <w:tcPr>
            <w:tcW w:w="3985" w:type="dxa"/>
            <w:noWrap/>
            <w:tcMar>
              <w:top w:w="0" w:type="dxa"/>
              <w:left w:w="108" w:type="dxa"/>
              <w:bottom w:w="0" w:type="dxa"/>
              <w:right w:w="108" w:type="dxa"/>
            </w:tcMar>
            <w:hideMark/>
          </w:tcPr>
          <w:p w14:paraId="4B5EA7CC" w14:textId="77777777" w:rsidR="006B731F" w:rsidRPr="00685B35" w:rsidRDefault="006B731F" w:rsidP="00742C12">
            <w:pPr>
              <w:pStyle w:val="Tabletext8pt"/>
              <w:rPr>
                <w:sz w:val="16"/>
              </w:rPr>
            </w:pPr>
            <w:r w:rsidRPr="00685B35">
              <w:rPr>
                <w:sz w:val="16"/>
              </w:rPr>
              <w:t>Colac Area Health</w:t>
            </w:r>
          </w:p>
        </w:tc>
        <w:tc>
          <w:tcPr>
            <w:tcW w:w="2531" w:type="dxa"/>
            <w:shd w:val="clear" w:color="auto" w:fill="FFFFFF"/>
            <w:noWrap/>
            <w:tcMar>
              <w:top w:w="0" w:type="dxa"/>
              <w:left w:w="108" w:type="dxa"/>
              <w:bottom w:w="0" w:type="dxa"/>
              <w:right w:w="108" w:type="dxa"/>
            </w:tcMar>
            <w:hideMark/>
          </w:tcPr>
          <w:p w14:paraId="09582CE8" w14:textId="77777777" w:rsidR="006B731F" w:rsidRPr="00685B35" w:rsidRDefault="006B731F" w:rsidP="00742C12">
            <w:pPr>
              <w:pStyle w:val="Tabletext8pt"/>
              <w:jc w:val="right"/>
              <w:rPr>
                <w:sz w:val="16"/>
              </w:rPr>
            </w:pPr>
            <w:r w:rsidRPr="00685B35">
              <w:rPr>
                <w:sz w:val="16"/>
              </w:rPr>
              <w:t>77</w:t>
            </w:r>
          </w:p>
        </w:tc>
      </w:tr>
      <w:tr w:rsidR="006B731F" w:rsidRPr="00F826D9" w14:paraId="68714F33" w14:textId="77777777" w:rsidTr="00685B35">
        <w:trPr>
          <w:trHeight w:hRule="exact" w:val="312"/>
        </w:trPr>
        <w:tc>
          <w:tcPr>
            <w:tcW w:w="3985" w:type="dxa"/>
            <w:noWrap/>
            <w:tcMar>
              <w:top w:w="0" w:type="dxa"/>
              <w:left w:w="108" w:type="dxa"/>
              <w:bottom w:w="0" w:type="dxa"/>
              <w:right w:w="108" w:type="dxa"/>
            </w:tcMar>
            <w:hideMark/>
          </w:tcPr>
          <w:p w14:paraId="49D42AA1" w14:textId="77777777" w:rsidR="006B731F" w:rsidRPr="00685B35" w:rsidRDefault="006B731F" w:rsidP="00A030E3">
            <w:pPr>
              <w:pStyle w:val="Tabletext8pt"/>
              <w:rPr>
                <w:sz w:val="16"/>
              </w:rPr>
            </w:pPr>
            <w:r w:rsidRPr="00685B35">
              <w:rPr>
                <w:sz w:val="16"/>
              </w:rPr>
              <w:t>East Grampians Health Service</w:t>
            </w:r>
          </w:p>
        </w:tc>
        <w:tc>
          <w:tcPr>
            <w:tcW w:w="2531" w:type="dxa"/>
            <w:shd w:val="clear" w:color="auto" w:fill="FFFFFF"/>
            <w:noWrap/>
            <w:tcMar>
              <w:top w:w="0" w:type="dxa"/>
              <w:left w:w="108" w:type="dxa"/>
              <w:bottom w:w="0" w:type="dxa"/>
              <w:right w:w="108" w:type="dxa"/>
            </w:tcMar>
            <w:hideMark/>
          </w:tcPr>
          <w:p w14:paraId="6B7451C1" w14:textId="77777777" w:rsidR="006B731F" w:rsidRPr="00685B35" w:rsidRDefault="006B731F" w:rsidP="00742C12">
            <w:pPr>
              <w:pStyle w:val="Tabletext8pt"/>
              <w:jc w:val="right"/>
              <w:rPr>
                <w:sz w:val="16"/>
              </w:rPr>
            </w:pPr>
            <w:r w:rsidRPr="00685B35">
              <w:rPr>
                <w:sz w:val="16"/>
              </w:rPr>
              <w:t>109</w:t>
            </w:r>
          </w:p>
        </w:tc>
      </w:tr>
      <w:tr w:rsidR="006B731F" w:rsidRPr="00F826D9" w14:paraId="1AAFF6D0" w14:textId="77777777" w:rsidTr="00685B35">
        <w:trPr>
          <w:trHeight w:hRule="exact" w:val="312"/>
        </w:trPr>
        <w:tc>
          <w:tcPr>
            <w:tcW w:w="3985" w:type="dxa"/>
            <w:noWrap/>
            <w:tcMar>
              <w:top w:w="0" w:type="dxa"/>
              <w:left w:w="108" w:type="dxa"/>
              <w:bottom w:w="0" w:type="dxa"/>
              <w:right w:w="108" w:type="dxa"/>
            </w:tcMar>
            <w:hideMark/>
          </w:tcPr>
          <w:p w14:paraId="5DF83B8E" w14:textId="77777777" w:rsidR="006B731F" w:rsidRPr="00685B35" w:rsidRDefault="006B731F" w:rsidP="00742C12">
            <w:pPr>
              <w:pStyle w:val="Tabletext8pt"/>
              <w:rPr>
                <w:sz w:val="16"/>
              </w:rPr>
            </w:pPr>
            <w:r w:rsidRPr="00685B35">
              <w:rPr>
                <w:sz w:val="16"/>
              </w:rPr>
              <w:t xml:space="preserve">Eastern Palliative Care </w:t>
            </w:r>
          </w:p>
        </w:tc>
        <w:tc>
          <w:tcPr>
            <w:tcW w:w="2531" w:type="dxa"/>
            <w:shd w:val="clear" w:color="auto" w:fill="FFFFFF"/>
            <w:noWrap/>
            <w:tcMar>
              <w:top w:w="0" w:type="dxa"/>
              <w:left w:w="108" w:type="dxa"/>
              <w:bottom w:w="0" w:type="dxa"/>
              <w:right w:w="108" w:type="dxa"/>
            </w:tcMar>
            <w:hideMark/>
          </w:tcPr>
          <w:p w14:paraId="1711A33C" w14:textId="77777777" w:rsidR="006B731F" w:rsidRPr="00685B35" w:rsidRDefault="006B731F" w:rsidP="00742C12">
            <w:pPr>
              <w:pStyle w:val="Tabletext8pt"/>
              <w:jc w:val="right"/>
              <w:rPr>
                <w:sz w:val="16"/>
              </w:rPr>
            </w:pPr>
            <w:r w:rsidRPr="00685B35">
              <w:rPr>
                <w:sz w:val="16"/>
              </w:rPr>
              <w:t>2536</w:t>
            </w:r>
          </w:p>
        </w:tc>
      </w:tr>
      <w:tr w:rsidR="006B731F" w:rsidRPr="00F826D9" w14:paraId="029A3C62" w14:textId="77777777" w:rsidTr="00685B35">
        <w:trPr>
          <w:trHeight w:hRule="exact" w:val="312"/>
        </w:trPr>
        <w:tc>
          <w:tcPr>
            <w:tcW w:w="3985" w:type="dxa"/>
            <w:noWrap/>
            <w:tcMar>
              <w:top w:w="0" w:type="dxa"/>
              <w:left w:w="108" w:type="dxa"/>
              <w:bottom w:w="0" w:type="dxa"/>
              <w:right w:w="108" w:type="dxa"/>
            </w:tcMar>
            <w:hideMark/>
          </w:tcPr>
          <w:p w14:paraId="6B9C3E03" w14:textId="77777777" w:rsidR="006B731F" w:rsidRPr="00685B35" w:rsidRDefault="006B731F" w:rsidP="00742C12">
            <w:pPr>
              <w:pStyle w:val="Tabletext8pt"/>
              <w:rPr>
                <w:sz w:val="16"/>
              </w:rPr>
            </w:pPr>
            <w:r w:rsidRPr="00685B35">
              <w:rPr>
                <w:sz w:val="16"/>
              </w:rPr>
              <w:t>Echuca Regional Health</w:t>
            </w:r>
          </w:p>
        </w:tc>
        <w:tc>
          <w:tcPr>
            <w:tcW w:w="2531" w:type="dxa"/>
            <w:shd w:val="clear" w:color="auto" w:fill="FFFFFF"/>
            <w:noWrap/>
            <w:tcMar>
              <w:top w:w="0" w:type="dxa"/>
              <w:left w:w="108" w:type="dxa"/>
              <w:bottom w:w="0" w:type="dxa"/>
              <w:right w:w="108" w:type="dxa"/>
            </w:tcMar>
            <w:hideMark/>
          </w:tcPr>
          <w:p w14:paraId="6403D89F" w14:textId="77777777" w:rsidR="006B731F" w:rsidRPr="00685B35" w:rsidRDefault="006B731F" w:rsidP="00742C12">
            <w:pPr>
              <w:pStyle w:val="Tabletext8pt"/>
              <w:jc w:val="right"/>
              <w:rPr>
                <w:sz w:val="16"/>
              </w:rPr>
            </w:pPr>
            <w:r w:rsidRPr="00685B35">
              <w:rPr>
                <w:sz w:val="16"/>
              </w:rPr>
              <w:t>144</w:t>
            </w:r>
          </w:p>
        </w:tc>
      </w:tr>
      <w:tr w:rsidR="006B731F" w:rsidRPr="00F826D9" w14:paraId="711D9C40" w14:textId="77777777" w:rsidTr="00685B35">
        <w:trPr>
          <w:trHeight w:hRule="exact" w:val="312"/>
        </w:trPr>
        <w:tc>
          <w:tcPr>
            <w:tcW w:w="3985" w:type="dxa"/>
            <w:noWrap/>
            <w:tcMar>
              <w:top w:w="0" w:type="dxa"/>
              <w:left w:w="108" w:type="dxa"/>
              <w:bottom w:w="0" w:type="dxa"/>
              <w:right w:w="108" w:type="dxa"/>
            </w:tcMar>
            <w:hideMark/>
          </w:tcPr>
          <w:p w14:paraId="720B2F4D" w14:textId="77777777" w:rsidR="006B731F" w:rsidRPr="00685B35" w:rsidRDefault="006B731F" w:rsidP="00742C12">
            <w:pPr>
              <w:pStyle w:val="Tabletext8pt"/>
              <w:rPr>
                <w:sz w:val="16"/>
              </w:rPr>
            </w:pPr>
            <w:r w:rsidRPr="00685B35">
              <w:rPr>
                <w:sz w:val="16"/>
              </w:rPr>
              <w:t>Gippsland Lakes Community Health</w:t>
            </w:r>
          </w:p>
        </w:tc>
        <w:tc>
          <w:tcPr>
            <w:tcW w:w="2531" w:type="dxa"/>
            <w:shd w:val="clear" w:color="auto" w:fill="FFFFFF"/>
            <w:noWrap/>
            <w:tcMar>
              <w:top w:w="0" w:type="dxa"/>
              <w:left w:w="108" w:type="dxa"/>
              <w:bottom w:w="0" w:type="dxa"/>
              <w:right w:w="108" w:type="dxa"/>
            </w:tcMar>
            <w:hideMark/>
          </w:tcPr>
          <w:p w14:paraId="3222838E" w14:textId="0F3A1DD1" w:rsidR="006B731F" w:rsidRPr="00685B35" w:rsidRDefault="00AC6AAD" w:rsidP="00742C12">
            <w:pPr>
              <w:pStyle w:val="Tabletext8pt"/>
              <w:jc w:val="right"/>
              <w:rPr>
                <w:sz w:val="16"/>
              </w:rPr>
            </w:pPr>
            <w:r w:rsidRPr="00685B35">
              <w:rPr>
                <w:sz w:val="16"/>
              </w:rPr>
              <w:t>170</w:t>
            </w:r>
          </w:p>
        </w:tc>
      </w:tr>
      <w:tr w:rsidR="006B731F" w:rsidRPr="00F826D9" w14:paraId="099DF13C" w14:textId="77777777" w:rsidTr="00685B35">
        <w:trPr>
          <w:trHeight w:hRule="exact" w:val="312"/>
        </w:trPr>
        <w:tc>
          <w:tcPr>
            <w:tcW w:w="3985" w:type="dxa"/>
            <w:noWrap/>
            <w:tcMar>
              <w:top w:w="0" w:type="dxa"/>
              <w:left w:w="108" w:type="dxa"/>
              <w:bottom w:w="0" w:type="dxa"/>
              <w:right w:w="108" w:type="dxa"/>
            </w:tcMar>
            <w:hideMark/>
          </w:tcPr>
          <w:p w14:paraId="18002FE6" w14:textId="77777777" w:rsidR="006B731F" w:rsidRPr="00685B35" w:rsidRDefault="006B731F" w:rsidP="00742C12">
            <w:pPr>
              <w:pStyle w:val="Tabletext8pt"/>
              <w:rPr>
                <w:sz w:val="16"/>
              </w:rPr>
            </w:pPr>
            <w:r w:rsidRPr="00685B35">
              <w:rPr>
                <w:sz w:val="16"/>
              </w:rPr>
              <w:t>Gippsland Southern Health Service</w:t>
            </w:r>
          </w:p>
        </w:tc>
        <w:tc>
          <w:tcPr>
            <w:tcW w:w="2531" w:type="dxa"/>
            <w:shd w:val="clear" w:color="auto" w:fill="FFFFFF"/>
            <w:noWrap/>
            <w:tcMar>
              <w:top w:w="0" w:type="dxa"/>
              <w:left w:w="108" w:type="dxa"/>
              <w:bottom w:w="0" w:type="dxa"/>
              <w:right w:w="108" w:type="dxa"/>
            </w:tcMar>
            <w:hideMark/>
          </w:tcPr>
          <w:p w14:paraId="5A3A4CB7" w14:textId="77777777" w:rsidR="006B731F" w:rsidRPr="00685B35" w:rsidRDefault="006B731F" w:rsidP="00742C12">
            <w:pPr>
              <w:pStyle w:val="Tabletext8pt"/>
              <w:jc w:val="right"/>
              <w:rPr>
                <w:sz w:val="16"/>
              </w:rPr>
            </w:pPr>
            <w:r w:rsidRPr="00685B35">
              <w:rPr>
                <w:sz w:val="16"/>
              </w:rPr>
              <w:t>81</w:t>
            </w:r>
          </w:p>
        </w:tc>
      </w:tr>
      <w:tr w:rsidR="006B731F" w:rsidRPr="00F826D9" w14:paraId="50FB0F8D" w14:textId="77777777" w:rsidTr="00685B35">
        <w:trPr>
          <w:trHeight w:hRule="exact" w:val="312"/>
        </w:trPr>
        <w:tc>
          <w:tcPr>
            <w:tcW w:w="3985" w:type="dxa"/>
            <w:noWrap/>
            <w:tcMar>
              <w:top w:w="0" w:type="dxa"/>
              <w:left w:w="108" w:type="dxa"/>
              <w:bottom w:w="0" w:type="dxa"/>
              <w:right w:w="108" w:type="dxa"/>
            </w:tcMar>
            <w:hideMark/>
          </w:tcPr>
          <w:p w14:paraId="0B3C3BBB" w14:textId="77777777" w:rsidR="006B731F" w:rsidRPr="00685B35" w:rsidRDefault="006B731F" w:rsidP="00742C12">
            <w:pPr>
              <w:pStyle w:val="Tabletext8pt"/>
              <w:rPr>
                <w:sz w:val="16"/>
              </w:rPr>
            </w:pPr>
            <w:r w:rsidRPr="00685B35">
              <w:rPr>
                <w:sz w:val="16"/>
              </w:rPr>
              <w:t>Goulburn Valley Hospice</w:t>
            </w:r>
          </w:p>
        </w:tc>
        <w:tc>
          <w:tcPr>
            <w:tcW w:w="2531" w:type="dxa"/>
            <w:shd w:val="clear" w:color="auto" w:fill="FFFFFF"/>
            <w:noWrap/>
            <w:tcMar>
              <w:top w:w="0" w:type="dxa"/>
              <w:left w:w="108" w:type="dxa"/>
              <w:bottom w:w="0" w:type="dxa"/>
              <w:right w:w="108" w:type="dxa"/>
            </w:tcMar>
            <w:hideMark/>
          </w:tcPr>
          <w:p w14:paraId="20CC1980" w14:textId="77777777" w:rsidR="006B731F" w:rsidRPr="00685B35" w:rsidRDefault="006B731F" w:rsidP="00742C12">
            <w:pPr>
              <w:pStyle w:val="Tabletext8pt"/>
              <w:jc w:val="right"/>
              <w:rPr>
                <w:sz w:val="16"/>
              </w:rPr>
            </w:pPr>
            <w:r w:rsidRPr="00685B35">
              <w:rPr>
                <w:sz w:val="16"/>
              </w:rPr>
              <w:t>230</w:t>
            </w:r>
          </w:p>
        </w:tc>
      </w:tr>
      <w:tr w:rsidR="006B731F" w:rsidRPr="00F826D9" w14:paraId="7DDC20FD" w14:textId="77777777" w:rsidTr="00685B35">
        <w:trPr>
          <w:trHeight w:hRule="exact" w:val="312"/>
        </w:trPr>
        <w:tc>
          <w:tcPr>
            <w:tcW w:w="3985" w:type="dxa"/>
            <w:noWrap/>
            <w:tcMar>
              <w:top w:w="0" w:type="dxa"/>
              <w:left w:w="108" w:type="dxa"/>
              <w:bottom w:w="0" w:type="dxa"/>
              <w:right w:w="108" w:type="dxa"/>
            </w:tcMar>
            <w:hideMark/>
          </w:tcPr>
          <w:p w14:paraId="4A907C13" w14:textId="77777777" w:rsidR="006B731F" w:rsidRPr="00685B35" w:rsidRDefault="006B731F" w:rsidP="00742C12">
            <w:pPr>
              <w:pStyle w:val="Tabletext8pt"/>
              <w:rPr>
                <w:sz w:val="16"/>
              </w:rPr>
            </w:pPr>
            <w:r w:rsidRPr="00685B35">
              <w:rPr>
                <w:sz w:val="16"/>
              </w:rPr>
              <w:t>Grampians Health (Wimmera Health Care Group)</w:t>
            </w:r>
          </w:p>
        </w:tc>
        <w:tc>
          <w:tcPr>
            <w:tcW w:w="2531" w:type="dxa"/>
            <w:shd w:val="clear" w:color="auto" w:fill="FFFFFF"/>
            <w:noWrap/>
            <w:tcMar>
              <w:top w:w="0" w:type="dxa"/>
              <w:left w:w="108" w:type="dxa"/>
              <w:bottom w:w="0" w:type="dxa"/>
              <w:right w:w="108" w:type="dxa"/>
            </w:tcMar>
            <w:hideMark/>
          </w:tcPr>
          <w:p w14:paraId="23F4B54D" w14:textId="77777777" w:rsidR="006B731F" w:rsidRPr="00685B35" w:rsidRDefault="006B731F" w:rsidP="00742C12">
            <w:pPr>
              <w:pStyle w:val="Tabletext8pt"/>
              <w:jc w:val="right"/>
              <w:rPr>
                <w:sz w:val="16"/>
              </w:rPr>
            </w:pPr>
            <w:r w:rsidRPr="00685B35">
              <w:rPr>
                <w:sz w:val="16"/>
              </w:rPr>
              <w:t>149</w:t>
            </w:r>
          </w:p>
        </w:tc>
      </w:tr>
      <w:tr w:rsidR="006B731F" w:rsidRPr="00F826D9" w14:paraId="377B5932" w14:textId="77777777" w:rsidTr="00685B35">
        <w:trPr>
          <w:trHeight w:hRule="exact" w:val="312"/>
        </w:trPr>
        <w:tc>
          <w:tcPr>
            <w:tcW w:w="3985" w:type="dxa"/>
            <w:noWrap/>
            <w:tcMar>
              <w:top w:w="0" w:type="dxa"/>
              <w:left w:w="108" w:type="dxa"/>
              <w:bottom w:w="0" w:type="dxa"/>
              <w:right w:w="108" w:type="dxa"/>
            </w:tcMar>
            <w:hideMark/>
          </w:tcPr>
          <w:p w14:paraId="00EA77D6" w14:textId="77777777" w:rsidR="006B731F" w:rsidRPr="00685B35" w:rsidRDefault="006B731F" w:rsidP="00742C12">
            <w:pPr>
              <w:pStyle w:val="Tabletext8pt"/>
              <w:rPr>
                <w:sz w:val="16"/>
              </w:rPr>
            </w:pPr>
            <w:r w:rsidRPr="00685B35">
              <w:rPr>
                <w:sz w:val="16"/>
              </w:rPr>
              <w:t>Kyneton District Health (Central Highlands)</w:t>
            </w:r>
          </w:p>
        </w:tc>
        <w:tc>
          <w:tcPr>
            <w:tcW w:w="2531" w:type="dxa"/>
            <w:shd w:val="clear" w:color="auto" w:fill="FFFFFF"/>
            <w:noWrap/>
            <w:tcMar>
              <w:top w:w="0" w:type="dxa"/>
              <w:left w:w="108" w:type="dxa"/>
              <w:bottom w:w="0" w:type="dxa"/>
              <w:right w:w="108" w:type="dxa"/>
            </w:tcMar>
            <w:hideMark/>
          </w:tcPr>
          <w:p w14:paraId="3E03EBD6" w14:textId="77777777" w:rsidR="006B731F" w:rsidRPr="00685B35" w:rsidRDefault="006B731F" w:rsidP="00742C12">
            <w:pPr>
              <w:pStyle w:val="Tabletext8pt"/>
              <w:jc w:val="right"/>
              <w:rPr>
                <w:sz w:val="16"/>
              </w:rPr>
            </w:pPr>
            <w:r w:rsidRPr="00685B35">
              <w:rPr>
                <w:sz w:val="16"/>
              </w:rPr>
              <w:t>131</w:t>
            </w:r>
          </w:p>
        </w:tc>
      </w:tr>
      <w:tr w:rsidR="006B731F" w:rsidRPr="00F826D9" w14:paraId="1DDF7953" w14:textId="77777777" w:rsidTr="00685B35">
        <w:trPr>
          <w:trHeight w:hRule="exact" w:val="312"/>
        </w:trPr>
        <w:tc>
          <w:tcPr>
            <w:tcW w:w="3985" w:type="dxa"/>
            <w:noWrap/>
            <w:tcMar>
              <w:top w:w="0" w:type="dxa"/>
              <w:left w:w="108" w:type="dxa"/>
              <w:bottom w:w="0" w:type="dxa"/>
              <w:right w:w="108" w:type="dxa"/>
            </w:tcMar>
            <w:hideMark/>
          </w:tcPr>
          <w:p w14:paraId="12199A0D" w14:textId="77777777" w:rsidR="006B731F" w:rsidRPr="00685B35" w:rsidRDefault="006B731F" w:rsidP="00742C12">
            <w:pPr>
              <w:pStyle w:val="Tabletext8pt"/>
              <w:rPr>
                <w:sz w:val="16"/>
              </w:rPr>
            </w:pPr>
            <w:r w:rsidRPr="00685B35">
              <w:rPr>
                <w:sz w:val="16"/>
              </w:rPr>
              <w:t>Latrobe Community Health Service</w:t>
            </w:r>
          </w:p>
        </w:tc>
        <w:tc>
          <w:tcPr>
            <w:tcW w:w="2531" w:type="dxa"/>
            <w:shd w:val="clear" w:color="auto" w:fill="FFFFFF"/>
            <w:noWrap/>
            <w:tcMar>
              <w:top w:w="0" w:type="dxa"/>
              <w:left w:w="108" w:type="dxa"/>
              <w:bottom w:w="0" w:type="dxa"/>
              <w:right w:w="108" w:type="dxa"/>
            </w:tcMar>
            <w:hideMark/>
          </w:tcPr>
          <w:p w14:paraId="7B3791C0" w14:textId="77777777" w:rsidR="006B731F" w:rsidRPr="00685B35" w:rsidRDefault="006B731F" w:rsidP="00742C12">
            <w:pPr>
              <w:pStyle w:val="Tabletext8pt"/>
              <w:jc w:val="right"/>
              <w:rPr>
                <w:sz w:val="16"/>
              </w:rPr>
            </w:pPr>
            <w:r w:rsidRPr="00685B35">
              <w:rPr>
                <w:sz w:val="16"/>
              </w:rPr>
              <w:t>190</w:t>
            </w:r>
          </w:p>
        </w:tc>
      </w:tr>
      <w:tr w:rsidR="006B731F" w:rsidRPr="00F826D9" w14:paraId="44CBBB9A" w14:textId="77777777" w:rsidTr="00685B35">
        <w:trPr>
          <w:trHeight w:hRule="exact" w:val="312"/>
        </w:trPr>
        <w:tc>
          <w:tcPr>
            <w:tcW w:w="3985" w:type="dxa"/>
            <w:noWrap/>
            <w:tcMar>
              <w:top w:w="0" w:type="dxa"/>
              <w:left w:w="108" w:type="dxa"/>
              <w:bottom w:w="0" w:type="dxa"/>
              <w:right w:w="108" w:type="dxa"/>
            </w:tcMar>
            <w:hideMark/>
          </w:tcPr>
          <w:p w14:paraId="213E2152" w14:textId="77777777" w:rsidR="006B731F" w:rsidRPr="00685B35" w:rsidRDefault="006B731F" w:rsidP="00742C12">
            <w:pPr>
              <w:pStyle w:val="Tabletext8pt"/>
              <w:rPr>
                <w:sz w:val="16"/>
              </w:rPr>
            </w:pPr>
            <w:r w:rsidRPr="00685B35">
              <w:rPr>
                <w:sz w:val="16"/>
              </w:rPr>
              <w:t>Maryborough District Health Service</w:t>
            </w:r>
          </w:p>
        </w:tc>
        <w:tc>
          <w:tcPr>
            <w:tcW w:w="2531" w:type="dxa"/>
            <w:shd w:val="clear" w:color="auto" w:fill="FFFFFF"/>
            <w:noWrap/>
            <w:tcMar>
              <w:top w:w="0" w:type="dxa"/>
              <w:left w:w="108" w:type="dxa"/>
              <w:bottom w:w="0" w:type="dxa"/>
              <w:right w:w="108" w:type="dxa"/>
            </w:tcMar>
            <w:hideMark/>
          </w:tcPr>
          <w:p w14:paraId="67911B28" w14:textId="77777777" w:rsidR="006B731F" w:rsidRPr="00685B35" w:rsidRDefault="006B731F" w:rsidP="00742C12">
            <w:pPr>
              <w:pStyle w:val="Tabletext8pt"/>
              <w:jc w:val="right"/>
              <w:rPr>
                <w:sz w:val="16"/>
              </w:rPr>
            </w:pPr>
            <w:r w:rsidRPr="00685B35">
              <w:rPr>
                <w:sz w:val="16"/>
              </w:rPr>
              <w:t>39</w:t>
            </w:r>
          </w:p>
        </w:tc>
      </w:tr>
      <w:tr w:rsidR="006B731F" w:rsidRPr="00F826D9" w14:paraId="2AB34F34" w14:textId="77777777" w:rsidTr="00685B35">
        <w:trPr>
          <w:trHeight w:hRule="exact" w:val="312"/>
        </w:trPr>
        <w:tc>
          <w:tcPr>
            <w:tcW w:w="3985" w:type="dxa"/>
            <w:noWrap/>
            <w:tcMar>
              <w:top w:w="0" w:type="dxa"/>
              <w:left w:w="108" w:type="dxa"/>
              <w:bottom w:w="0" w:type="dxa"/>
              <w:right w:w="108" w:type="dxa"/>
            </w:tcMar>
            <w:hideMark/>
          </w:tcPr>
          <w:p w14:paraId="56E8D644" w14:textId="77777777" w:rsidR="006B731F" w:rsidRPr="00685B35" w:rsidRDefault="006B731F" w:rsidP="00742C12">
            <w:pPr>
              <w:pStyle w:val="Tabletext8pt"/>
              <w:rPr>
                <w:sz w:val="16"/>
              </w:rPr>
            </w:pPr>
            <w:r w:rsidRPr="00685B35">
              <w:rPr>
                <w:sz w:val="16"/>
              </w:rPr>
              <w:t>Melbourne City Mission</w:t>
            </w:r>
          </w:p>
        </w:tc>
        <w:tc>
          <w:tcPr>
            <w:tcW w:w="2531" w:type="dxa"/>
            <w:shd w:val="clear" w:color="auto" w:fill="FFFFFF"/>
            <w:noWrap/>
            <w:tcMar>
              <w:top w:w="0" w:type="dxa"/>
              <w:left w:w="108" w:type="dxa"/>
              <w:bottom w:w="0" w:type="dxa"/>
              <w:right w:w="108" w:type="dxa"/>
            </w:tcMar>
            <w:hideMark/>
          </w:tcPr>
          <w:p w14:paraId="3D70C7F1" w14:textId="77777777" w:rsidR="006B731F" w:rsidRPr="00685B35" w:rsidRDefault="006B731F" w:rsidP="00742C12">
            <w:pPr>
              <w:pStyle w:val="Tabletext8pt"/>
              <w:jc w:val="right"/>
              <w:rPr>
                <w:sz w:val="16"/>
              </w:rPr>
            </w:pPr>
            <w:r w:rsidRPr="00685B35">
              <w:rPr>
                <w:sz w:val="16"/>
              </w:rPr>
              <w:t>1418</w:t>
            </w:r>
          </w:p>
        </w:tc>
      </w:tr>
      <w:tr w:rsidR="006B731F" w:rsidRPr="00F826D9" w14:paraId="53F13A3A" w14:textId="77777777" w:rsidTr="00685B35">
        <w:trPr>
          <w:trHeight w:hRule="exact" w:val="312"/>
        </w:trPr>
        <w:tc>
          <w:tcPr>
            <w:tcW w:w="3985" w:type="dxa"/>
            <w:noWrap/>
            <w:tcMar>
              <w:top w:w="0" w:type="dxa"/>
              <w:left w:w="108" w:type="dxa"/>
              <w:bottom w:w="0" w:type="dxa"/>
              <w:right w:w="108" w:type="dxa"/>
            </w:tcMar>
            <w:hideMark/>
          </w:tcPr>
          <w:p w14:paraId="3BF251E3" w14:textId="77777777" w:rsidR="006B731F" w:rsidRPr="00685B35" w:rsidRDefault="006B731F" w:rsidP="00742C12">
            <w:pPr>
              <w:pStyle w:val="Tabletext8pt"/>
              <w:rPr>
                <w:sz w:val="16"/>
              </w:rPr>
            </w:pPr>
            <w:r w:rsidRPr="00685B35">
              <w:rPr>
                <w:sz w:val="16"/>
              </w:rPr>
              <w:t>Mercy Palliative Care</w:t>
            </w:r>
          </w:p>
        </w:tc>
        <w:tc>
          <w:tcPr>
            <w:tcW w:w="2531" w:type="dxa"/>
            <w:shd w:val="clear" w:color="auto" w:fill="FFFFFF"/>
            <w:noWrap/>
            <w:tcMar>
              <w:top w:w="0" w:type="dxa"/>
              <w:left w:w="108" w:type="dxa"/>
              <w:bottom w:w="0" w:type="dxa"/>
              <w:right w:w="108" w:type="dxa"/>
            </w:tcMar>
            <w:hideMark/>
          </w:tcPr>
          <w:p w14:paraId="5A3C3CB1" w14:textId="77777777" w:rsidR="006B731F" w:rsidRPr="00685B35" w:rsidRDefault="006B731F" w:rsidP="00742C12">
            <w:pPr>
              <w:pStyle w:val="Tabletext8pt"/>
              <w:jc w:val="right"/>
              <w:rPr>
                <w:sz w:val="16"/>
              </w:rPr>
            </w:pPr>
            <w:r w:rsidRPr="00685B35">
              <w:rPr>
                <w:sz w:val="16"/>
              </w:rPr>
              <w:t>2222</w:t>
            </w:r>
          </w:p>
        </w:tc>
      </w:tr>
      <w:tr w:rsidR="006B731F" w:rsidRPr="00F826D9" w14:paraId="62161E6C" w14:textId="77777777" w:rsidTr="00685B35">
        <w:trPr>
          <w:trHeight w:hRule="exact" w:val="312"/>
        </w:trPr>
        <w:tc>
          <w:tcPr>
            <w:tcW w:w="3985" w:type="dxa"/>
            <w:noWrap/>
            <w:tcMar>
              <w:top w:w="0" w:type="dxa"/>
              <w:left w:w="108" w:type="dxa"/>
              <w:bottom w:w="0" w:type="dxa"/>
              <w:right w:w="108" w:type="dxa"/>
            </w:tcMar>
            <w:hideMark/>
          </w:tcPr>
          <w:p w14:paraId="68539A6F" w14:textId="77777777" w:rsidR="006B731F" w:rsidRPr="00685B35" w:rsidRDefault="006B731F" w:rsidP="00742C12">
            <w:pPr>
              <w:pStyle w:val="Tabletext8pt"/>
              <w:rPr>
                <w:sz w:val="16"/>
              </w:rPr>
            </w:pPr>
            <w:r w:rsidRPr="00685B35">
              <w:rPr>
                <w:sz w:val="16"/>
              </w:rPr>
              <w:t>North East Health Wangaratta</w:t>
            </w:r>
          </w:p>
        </w:tc>
        <w:tc>
          <w:tcPr>
            <w:tcW w:w="2531" w:type="dxa"/>
            <w:shd w:val="clear" w:color="auto" w:fill="FFFFFF"/>
            <w:noWrap/>
            <w:tcMar>
              <w:top w:w="0" w:type="dxa"/>
              <w:left w:w="108" w:type="dxa"/>
              <w:bottom w:w="0" w:type="dxa"/>
              <w:right w:w="108" w:type="dxa"/>
            </w:tcMar>
            <w:hideMark/>
          </w:tcPr>
          <w:p w14:paraId="6A588C95" w14:textId="77777777" w:rsidR="006B731F" w:rsidRPr="00685B35" w:rsidRDefault="006B731F" w:rsidP="00742C12">
            <w:pPr>
              <w:pStyle w:val="Tabletext8pt"/>
              <w:jc w:val="right"/>
              <w:rPr>
                <w:sz w:val="16"/>
              </w:rPr>
            </w:pPr>
            <w:r w:rsidRPr="00685B35">
              <w:rPr>
                <w:sz w:val="16"/>
              </w:rPr>
              <w:t>211</w:t>
            </w:r>
          </w:p>
        </w:tc>
      </w:tr>
      <w:tr w:rsidR="006B731F" w:rsidRPr="00F826D9" w14:paraId="542EB4CC" w14:textId="77777777" w:rsidTr="00685B35">
        <w:trPr>
          <w:trHeight w:hRule="exact" w:val="312"/>
        </w:trPr>
        <w:tc>
          <w:tcPr>
            <w:tcW w:w="3985" w:type="dxa"/>
            <w:noWrap/>
            <w:tcMar>
              <w:top w:w="0" w:type="dxa"/>
              <w:left w:w="108" w:type="dxa"/>
              <w:bottom w:w="0" w:type="dxa"/>
              <w:right w:w="108" w:type="dxa"/>
            </w:tcMar>
            <w:hideMark/>
          </w:tcPr>
          <w:p w14:paraId="0599FD77" w14:textId="77777777" w:rsidR="006B731F" w:rsidRPr="00685B35" w:rsidRDefault="006B731F" w:rsidP="00742C12">
            <w:pPr>
              <w:pStyle w:val="Tabletext8pt"/>
              <w:rPr>
                <w:sz w:val="16"/>
              </w:rPr>
            </w:pPr>
            <w:r w:rsidRPr="00685B35">
              <w:rPr>
                <w:sz w:val="16"/>
              </w:rPr>
              <w:t>NCN Health</w:t>
            </w:r>
          </w:p>
        </w:tc>
        <w:tc>
          <w:tcPr>
            <w:tcW w:w="2531" w:type="dxa"/>
            <w:shd w:val="clear" w:color="auto" w:fill="FFFFFF"/>
            <w:noWrap/>
            <w:tcMar>
              <w:top w:w="0" w:type="dxa"/>
              <w:left w:w="108" w:type="dxa"/>
              <w:bottom w:w="0" w:type="dxa"/>
              <w:right w:w="108" w:type="dxa"/>
            </w:tcMar>
            <w:hideMark/>
          </w:tcPr>
          <w:p w14:paraId="7F9D64BD" w14:textId="77777777" w:rsidR="006B731F" w:rsidRPr="00685B35" w:rsidRDefault="006B731F" w:rsidP="00742C12">
            <w:pPr>
              <w:pStyle w:val="Tabletext8pt"/>
              <w:jc w:val="right"/>
              <w:rPr>
                <w:sz w:val="16"/>
              </w:rPr>
            </w:pPr>
            <w:r w:rsidRPr="00685B35">
              <w:rPr>
                <w:sz w:val="16"/>
              </w:rPr>
              <w:t>111</w:t>
            </w:r>
          </w:p>
        </w:tc>
      </w:tr>
      <w:tr w:rsidR="006B731F" w:rsidRPr="00F826D9" w14:paraId="2552D586" w14:textId="77777777" w:rsidTr="00685B35">
        <w:trPr>
          <w:trHeight w:hRule="exact" w:val="312"/>
        </w:trPr>
        <w:tc>
          <w:tcPr>
            <w:tcW w:w="3985" w:type="dxa"/>
            <w:noWrap/>
            <w:tcMar>
              <w:top w:w="0" w:type="dxa"/>
              <w:left w:w="108" w:type="dxa"/>
              <w:bottom w:w="0" w:type="dxa"/>
              <w:right w:w="108" w:type="dxa"/>
            </w:tcMar>
            <w:hideMark/>
          </w:tcPr>
          <w:p w14:paraId="1EDAE5FB" w14:textId="77777777" w:rsidR="006B731F" w:rsidRPr="00685B35" w:rsidRDefault="006B731F" w:rsidP="00742C12">
            <w:pPr>
              <w:pStyle w:val="Tabletext8pt"/>
              <w:rPr>
                <w:sz w:val="16"/>
              </w:rPr>
            </w:pPr>
            <w:r w:rsidRPr="00685B35">
              <w:rPr>
                <w:sz w:val="16"/>
              </w:rPr>
              <w:t>Peninsula Home Hospice Service</w:t>
            </w:r>
          </w:p>
        </w:tc>
        <w:tc>
          <w:tcPr>
            <w:tcW w:w="2531" w:type="dxa"/>
            <w:shd w:val="clear" w:color="auto" w:fill="FFFFFF"/>
            <w:noWrap/>
            <w:tcMar>
              <w:top w:w="0" w:type="dxa"/>
              <w:left w:w="108" w:type="dxa"/>
              <w:bottom w:w="0" w:type="dxa"/>
              <w:right w:w="108" w:type="dxa"/>
            </w:tcMar>
            <w:hideMark/>
          </w:tcPr>
          <w:p w14:paraId="4EB588ED" w14:textId="77777777" w:rsidR="006B731F" w:rsidRPr="00685B35" w:rsidRDefault="006B731F" w:rsidP="00742C12">
            <w:pPr>
              <w:pStyle w:val="Tabletext8pt"/>
              <w:jc w:val="right"/>
              <w:rPr>
                <w:sz w:val="16"/>
              </w:rPr>
            </w:pPr>
            <w:r w:rsidRPr="00685B35">
              <w:rPr>
                <w:sz w:val="16"/>
              </w:rPr>
              <w:t>805</w:t>
            </w:r>
          </w:p>
        </w:tc>
      </w:tr>
      <w:tr w:rsidR="006B731F" w:rsidRPr="00F826D9" w14:paraId="4E3FC38A" w14:textId="77777777" w:rsidTr="00685B35">
        <w:trPr>
          <w:trHeight w:hRule="exact" w:val="312"/>
        </w:trPr>
        <w:tc>
          <w:tcPr>
            <w:tcW w:w="3985" w:type="dxa"/>
            <w:noWrap/>
            <w:tcMar>
              <w:top w:w="0" w:type="dxa"/>
              <w:left w:w="108" w:type="dxa"/>
              <w:bottom w:w="0" w:type="dxa"/>
              <w:right w:w="108" w:type="dxa"/>
            </w:tcMar>
            <w:hideMark/>
          </w:tcPr>
          <w:p w14:paraId="75D63EF5" w14:textId="77777777" w:rsidR="006B731F" w:rsidRPr="00685B35" w:rsidRDefault="006B731F" w:rsidP="00742C12">
            <w:pPr>
              <w:pStyle w:val="Tabletext8pt"/>
              <w:rPr>
                <w:sz w:val="16"/>
              </w:rPr>
            </w:pPr>
            <w:r w:rsidRPr="00685B35">
              <w:rPr>
                <w:sz w:val="16"/>
              </w:rPr>
              <w:t>Portland and District Hospital</w:t>
            </w:r>
          </w:p>
        </w:tc>
        <w:tc>
          <w:tcPr>
            <w:tcW w:w="2531" w:type="dxa"/>
            <w:shd w:val="clear" w:color="auto" w:fill="FFFFFF"/>
            <w:noWrap/>
            <w:tcMar>
              <w:top w:w="0" w:type="dxa"/>
              <w:left w:w="108" w:type="dxa"/>
              <w:bottom w:w="0" w:type="dxa"/>
              <w:right w:w="108" w:type="dxa"/>
            </w:tcMar>
            <w:hideMark/>
          </w:tcPr>
          <w:p w14:paraId="373A2F92" w14:textId="77777777" w:rsidR="006B731F" w:rsidRPr="00685B35" w:rsidRDefault="006B731F" w:rsidP="00742C12">
            <w:pPr>
              <w:pStyle w:val="Tabletext8pt"/>
              <w:jc w:val="right"/>
              <w:rPr>
                <w:sz w:val="16"/>
              </w:rPr>
            </w:pPr>
            <w:r w:rsidRPr="00685B35">
              <w:rPr>
                <w:sz w:val="16"/>
              </w:rPr>
              <w:t>52</w:t>
            </w:r>
          </w:p>
        </w:tc>
      </w:tr>
      <w:tr w:rsidR="006B731F" w:rsidRPr="00F826D9" w14:paraId="2B93CD17" w14:textId="77777777" w:rsidTr="00685B35">
        <w:trPr>
          <w:trHeight w:hRule="exact" w:val="312"/>
        </w:trPr>
        <w:tc>
          <w:tcPr>
            <w:tcW w:w="3985" w:type="dxa"/>
            <w:noWrap/>
            <w:tcMar>
              <w:top w:w="0" w:type="dxa"/>
              <w:left w:w="108" w:type="dxa"/>
              <w:bottom w:w="0" w:type="dxa"/>
              <w:right w:w="108" w:type="dxa"/>
            </w:tcMar>
            <w:hideMark/>
          </w:tcPr>
          <w:p w14:paraId="7F3D5441" w14:textId="77777777" w:rsidR="006B731F" w:rsidRPr="00685B35" w:rsidRDefault="006B731F" w:rsidP="00742C12">
            <w:pPr>
              <w:pStyle w:val="Tabletext8pt"/>
              <w:rPr>
                <w:sz w:val="16"/>
              </w:rPr>
            </w:pPr>
            <w:r w:rsidRPr="00685B35">
              <w:rPr>
                <w:sz w:val="16"/>
              </w:rPr>
              <w:t>Seymour Health</w:t>
            </w:r>
          </w:p>
        </w:tc>
        <w:tc>
          <w:tcPr>
            <w:tcW w:w="2531" w:type="dxa"/>
            <w:shd w:val="clear" w:color="auto" w:fill="FFFFFF"/>
            <w:noWrap/>
            <w:tcMar>
              <w:top w:w="0" w:type="dxa"/>
              <w:left w:w="108" w:type="dxa"/>
              <w:bottom w:w="0" w:type="dxa"/>
              <w:right w:w="108" w:type="dxa"/>
            </w:tcMar>
            <w:hideMark/>
          </w:tcPr>
          <w:p w14:paraId="6ED63A9F" w14:textId="77777777" w:rsidR="006B731F" w:rsidRPr="00685B35" w:rsidRDefault="006B731F" w:rsidP="00742C12">
            <w:pPr>
              <w:pStyle w:val="Tabletext8pt"/>
              <w:jc w:val="right"/>
              <w:rPr>
                <w:sz w:val="16"/>
              </w:rPr>
            </w:pPr>
            <w:r w:rsidRPr="00685B35">
              <w:rPr>
                <w:sz w:val="16"/>
              </w:rPr>
              <w:t>165</w:t>
            </w:r>
          </w:p>
        </w:tc>
      </w:tr>
      <w:tr w:rsidR="006B731F" w:rsidRPr="00F826D9" w14:paraId="019D1800" w14:textId="77777777" w:rsidTr="00685B35">
        <w:trPr>
          <w:trHeight w:hRule="exact" w:val="312"/>
        </w:trPr>
        <w:tc>
          <w:tcPr>
            <w:tcW w:w="3985" w:type="dxa"/>
            <w:noWrap/>
            <w:tcMar>
              <w:top w:w="0" w:type="dxa"/>
              <w:left w:w="108" w:type="dxa"/>
              <w:bottom w:w="0" w:type="dxa"/>
              <w:right w:w="108" w:type="dxa"/>
            </w:tcMar>
            <w:hideMark/>
          </w:tcPr>
          <w:p w14:paraId="602FB169" w14:textId="77777777" w:rsidR="006B731F" w:rsidRPr="00685B35" w:rsidRDefault="006B731F" w:rsidP="00742C12">
            <w:pPr>
              <w:pStyle w:val="Tabletext8pt"/>
              <w:rPr>
                <w:sz w:val="16"/>
              </w:rPr>
            </w:pPr>
            <w:r w:rsidRPr="00685B35">
              <w:rPr>
                <w:sz w:val="16"/>
              </w:rPr>
              <w:t>Palliative Care South East</w:t>
            </w:r>
          </w:p>
        </w:tc>
        <w:tc>
          <w:tcPr>
            <w:tcW w:w="2531" w:type="dxa"/>
            <w:shd w:val="clear" w:color="auto" w:fill="FFFFFF"/>
            <w:noWrap/>
            <w:tcMar>
              <w:top w:w="0" w:type="dxa"/>
              <w:left w:w="108" w:type="dxa"/>
              <w:bottom w:w="0" w:type="dxa"/>
              <w:right w:w="108" w:type="dxa"/>
            </w:tcMar>
            <w:hideMark/>
          </w:tcPr>
          <w:p w14:paraId="20B602FB" w14:textId="77777777" w:rsidR="006B731F" w:rsidRPr="00685B35" w:rsidRDefault="006B731F" w:rsidP="00742C12">
            <w:pPr>
              <w:pStyle w:val="Tabletext8pt"/>
              <w:jc w:val="right"/>
              <w:rPr>
                <w:sz w:val="16"/>
              </w:rPr>
            </w:pPr>
            <w:r w:rsidRPr="00685B35">
              <w:rPr>
                <w:sz w:val="16"/>
              </w:rPr>
              <w:t>1093</w:t>
            </w:r>
          </w:p>
        </w:tc>
      </w:tr>
      <w:tr w:rsidR="006B731F" w:rsidRPr="00F826D9" w14:paraId="0EED487F" w14:textId="77777777" w:rsidTr="00685B35">
        <w:trPr>
          <w:trHeight w:hRule="exact" w:val="312"/>
        </w:trPr>
        <w:tc>
          <w:tcPr>
            <w:tcW w:w="3985" w:type="dxa"/>
            <w:noWrap/>
            <w:tcMar>
              <w:top w:w="0" w:type="dxa"/>
              <w:left w:w="108" w:type="dxa"/>
              <w:bottom w:w="0" w:type="dxa"/>
              <w:right w:w="108" w:type="dxa"/>
            </w:tcMar>
            <w:hideMark/>
          </w:tcPr>
          <w:p w14:paraId="02AE700D" w14:textId="77777777" w:rsidR="006B731F" w:rsidRPr="00685B35" w:rsidRDefault="006B731F" w:rsidP="00742C12">
            <w:pPr>
              <w:pStyle w:val="Tabletext8pt"/>
              <w:rPr>
                <w:sz w:val="16"/>
              </w:rPr>
            </w:pPr>
            <w:r w:rsidRPr="00685B35">
              <w:rPr>
                <w:sz w:val="16"/>
              </w:rPr>
              <w:t>Southwest Healthcare</w:t>
            </w:r>
          </w:p>
        </w:tc>
        <w:tc>
          <w:tcPr>
            <w:tcW w:w="2531" w:type="dxa"/>
            <w:shd w:val="clear" w:color="auto" w:fill="FFFFFF"/>
            <w:noWrap/>
            <w:tcMar>
              <w:top w:w="0" w:type="dxa"/>
              <w:left w:w="108" w:type="dxa"/>
              <w:bottom w:w="0" w:type="dxa"/>
              <w:right w:w="108" w:type="dxa"/>
            </w:tcMar>
            <w:hideMark/>
          </w:tcPr>
          <w:p w14:paraId="790D511A" w14:textId="77777777" w:rsidR="006B731F" w:rsidRPr="00685B35" w:rsidRDefault="006B731F" w:rsidP="00742C12">
            <w:pPr>
              <w:pStyle w:val="Tabletext8pt"/>
              <w:jc w:val="right"/>
              <w:rPr>
                <w:sz w:val="16"/>
              </w:rPr>
            </w:pPr>
            <w:r w:rsidRPr="00685B35">
              <w:rPr>
                <w:sz w:val="16"/>
              </w:rPr>
              <w:t>251</w:t>
            </w:r>
          </w:p>
        </w:tc>
      </w:tr>
      <w:tr w:rsidR="006B731F" w:rsidRPr="00F826D9" w14:paraId="5847B7C5" w14:textId="77777777" w:rsidTr="00685B35">
        <w:trPr>
          <w:trHeight w:hRule="exact" w:val="312"/>
        </w:trPr>
        <w:tc>
          <w:tcPr>
            <w:tcW w:w="3985" w:type="dxa"/>
            <w:noWrap/>
            <w:tcMar>
              <w:top w:w="0" w:type="dxa"/>
              <w:left w:w="108" w:type="dxa"/>
              <w:bottom w:w="0" w:type="dxa"/>
              <w:right w:w="108" w:type="dxa"/>
            </w:tcMar>
            <w:hideMark/>
          </w:tcPr>
          <w:p w14:paraId="4002E69C" w14:textId="77777777" w:rsidR="006B731F" w:rsidRPr="00685B35" w:rsidRDefault="006B731F" w:rsidP="00742C12">
            <w:pPr>
              <w:pStyle w:val="Tabletext8pt"/>
              <w:rPr>
                <w:sz w:val="16"/>
              </w:rPr>
            </w:pPr>
            <w:r w:rsidRPr="00685B35">
              <w:rPr>
                <w:sz w:val="16"/>
              </w:rPr>
              <w:t>Sunraysia Community Health Services</w:t>
            </w:r>
          </w:p>
        </w:tc>
        <w:tc>
          <w:tcPr>
            <w:tcW w:w="2531" w:type="dxa"/>
            <w:shd w:val="clear" w:color="auto" w:fill="FFFFFF"/>
            <w:noWrap/>
            <w:tcMar>
              <w:top w:w="0" w:type="dxa"/>
              <w:left w:w="108" w:type="dxa"/>
              <w:bottom w:w="0" w:type="dxa"/>
              <w:right w:w="108" w:type="dxa"/>
            </w:tcMar>
            <w:hideMark/>
          </w:tcPr>
          <w:p w14:paraId="4A55CA89" w14:textId="77777777" w:rsidR="006B731F" w:rsidRPr="00685B35" w:rsidRDefault="006B731F" w:rsidP="00742C12">
            <w:pPr>
              <w:pStyle w:val="Tabletext8pt"/>
              <w:jc w:val="right"/>
              <w:rPr>
                <w:sz w:val="16"/>
              </w:rPr>
            </w:pPr>
            <w:r w:rsidRPr="00685B35">
              <w:rPr>
                <w:sz w:val="16"/>
              </w:rPr>
              <w:t>202</w:t>
            </w:r>
          </w:p>
        </w:tc>
      </w:tr>
      <w:tr w:rsidR="006B731F" w:rsidRPr="00F826D9" w14:paraId="20E06D9D" w14:textId="77777777" w:rsidTr="00685B35">
        <w:trPr>
          <w:trHeight w:hRule="exact" w:val="312"/>
        </w:trPr>
        <w:tc>
          <w:tcPr>
            <w:tcW w:w="3985" w:type="dxa"/>
            <w:noWrap/>
            <w:tcMar>
              <w:top w:w="0" w:type="dxa"/>
              <w:left w:w="108" w:type="dxa"/>
              <w:bottom w:w="0" w:type="dxa"/>
              <w:right w:w="108" w:type="dxa"/>
            </w:tcMar>
            <w:hideMark/>
          </w:tcPr>
          <w:p w14:paraId="5261DDC7" w14:textId="77777777" w:rsidR="006B731F" w:rsidRPr="00685B35" w:rsidRDefault="006B731F" w:rsidP="00742C12">
            <w:pPr>
              <w:pStyle w:val="Tabletext8pt"/>
              <w:rPr>
                <w:sz w:val="16"/>
              </w:rPr>
            </w:pPr>
            <w:r w:rsidRPr="00685B35">
              <w:rPr>
                <w:sz w:val="16"/>
              </w:rPr>
              <w:t>Swan Hill District Health</w:t>
            </w:r>
          </w:p>
        </w:tc>
        <w:tc>
          <w:tcPr>
            <w:tcW w:w="2531" w:type="dxa"/>
            <w:shd w:val="clear" w:color="auto" w:fill="FFFFFF"/>
            <w:noWrap/>
            <w:tcMar>
              <w:top w:w="0" w:type="dxa"/>
              <w:left w:w="108" w:type="dxa"/>
              <w:bottom w:w="0" w:type="dxa"/>
              <w:right w:w="108" w:type="dxa"/>
            </w:tcMar>
            <w:hideMark/>
          </w:tcPr>
          <w:p w14:paraId="0F85F3A3" w14:textId="77777777" w:rsidR="006B731F" w:rsidRPr="00685B35" w:rsidRDefault="006B731F" w:rsidP="00742C12">
            <w:pPr>
              <w:pStyle w:val="Tabletext8pt"/>
              <w:jc w:val="right"/>
              <w:rPr>
                <w:sz w:val="16"/>
              </w:rPr>
            </w:pPr>
            <w:r w:rsidRPr="00685B35">
              <w:rPr>
                <w:sz w:val="16"/>
              </w:rPr>
              <w:t>99</w:t>
            </w:r>
          </w:p>
        </w:tc>
      </w:tr>
      <w:tr w:rsidR="006B731F" w:rsidRPr="00F826D9" w14:paraId="13014A14" w14:textId="77777777" w:rsidTr="00685B35">
        <w:trPr>
          <w:trHeight w:hRule="exact" w:val="312"/>
        </w:trPr>
        <w:tc>
          <w:tcPr>
            <w:tcW w:w="3985" w:type="dxa"/>
            <w:noWrap/>
            <w:tcMar>
              <w:top w:w="0" w:type="dxa"/>
              <w:left w:w="108" w:type="dxa"/>
              <w:bottom w:w="0" w:type="dxa"/>
              <w:right w:w="108" w:type="dxa"/>
            </w:tcMar>
            <w:hideMark/>
          </w:tcPr>
          <w:p w14:paraId="5CD9D8C1" w14:textId="77777777" w:rsidR="006B731F" w:rsidRPr="00685B35" w:rsidRDefault="006B731F" w:rsidP="00742C12">
            <w:pPr>
              <w:pStyle w:val="Tabletext8pt"/>
              <w:rPr>
                <w:sz w:val="16"/>
              </w:rPr>
            </w:pPr>
            <w:r w:rsidRPr="00685B35">
              <w:rPr>
                <w:sz w:val="16"/>
              </w:rPr>
              <w:t xml:space="preserve">West Gippsland Healthcare Group </w:t>
            </w:r>
          </w:p>
        </w:tc>
        <w:tc>
          <w:tcPr>
            <w:tcW w:w="2531" w:type="dxa"/>
            <w:shd w:val="clear" w:color="auto" w:fill="FFFFFF"/>
            <w:noWrap/>
            <w:tcMar>
              <w:top w:w="0" w:type="dxa"/>
              <w:left w:w="108" w:type="dxa"/>
              <w:bottom w:w="0" w:type="dxa"/>
              <w:right w:w="108" w:type="dxa"/>
            </w:tcMar>
            <w:hideMark/>
          </w:tcPr>
          <w:p w14:paraId="2C5D5136" w14:textId="77777777" w:rsidR="006B731F" w:rsidRPr="00685B35" w:rsidRDefault="006B731F" w:rsidP="00742C12">
            <w:pPr>
              <w:pStyle w:val="Tabletext8pt"/>
              <w:jc w:val="right"/>
              <w:rPr>
                <w:sz w:val="16"/>
              </w:rPr>
            </w:pPr>
            <w:r w:rsidRPr="00685B35">
              <w:rPr>
                <w:sz w:val="16"/>
              </w:rPr>
              <w:t>129</w:t>
            </w:r>
          </w:p>
        </w:tc>
      </w:tr>
      <w:tr w:rsidR="006B731F" w:rsidRPr="00F826D9" w14:paraId="1C5944BC" w14:textId="77777777" w:rsidTr="00685B35">
        <w:trPr>
          <w:trHeight w:hRule="exact" w:val="312"/>
        </w:trPr>
        <w:tc>
          <w:tcPr>
            <w:tcW w:w="3985" w:type="dxa"/>
            <w:noWrap/>
            <w:tcMar>
              <w:top w:w="0" w:type="dxa"/>
              <w:left w:w="108" w:type="dxa"/>
              <w:bottom w:w="0" w:type="dxa"/>
              <w:right w:w="108" w:type="dxa"/>
            </w:tcMar>
            <w:hideMark/>
          </w:tcPr>
          <w:p w14:paraId="3383A35A" w14:textId="77777777" w:rsidR="006B731F" w:rsidRPr="00685B35" w:rsidRDefault="006B731F" w:rsidP="00742C12">
            <w:pPr>
              <w:pStyle w:val="Tabletext8pt"/>
              <w:rPr>
                <w:sz w:val="16"/>
              </w:rPr>
            </w:pPr>
            <w:r w:rsidRPr="00685B35">
              <w:rPr>
                <w:sz w:val="16"/>
              </w:rPr>
              <w:t>Western District Health Service</w:t>
            </w:r>
          </w:p>
        </w:tc>
        <w:tc>
          <w:tcPr>
            <w:tcW w:w="2531" w:type="dxa"/>
            <w:shd w:val="clear" w:color="auto" w:fill="FFFFFF"/>
            <w:noWrap/>
            <w:tcMar>
              <w:top w:w="0" w:type="dxa"/>
              <w:left w:w="108" w:type="dxa"/>
              <w:bottom w:w="0" w:type="dxa"/>
              <w:right w:w="108" w:type="dxa"/>
            </w:tcMar>
            <w:hideMark/>
          </w:tcPr>
          <w:p w14:paraId="5C1E957A" w14:textId="77777777" w:rsidR="006B731F" w:rsidRPr="00685B35" w:rsidRDefault="006B731F" w:rsidP="00742C12">
            <w:pPr>
              <w:pStyle w:val="Tabletext8pt"/>
              <w:jc w:val="right"/>
              <w:rPr>
                <w:sz w:val="16"/>
              </w:rPr>
            </w:pPr>
            <w:r w:rsidRPr="00685B35">
              <w:rPr>
                <w:sz w:val="16"/>
              </w:rPr>
              <w:t>67</w:t>
            </w:r>
          </w:p>
        </w:tc>
      </w:tr>
      <w:tr w:rsidR="006B731F" w:rsidRPr="00F826D9" w14:paraId="2C7127A9" w14:textId="77777777" w:rsidTr="00685B35">
        <w:trPr>
          <w:trHeight w:hRule="exact" w:val="312"/>
        </w:trPr>
        <w:tc>
          <w:tcPr>
            <w:tcW w:w="3985" w:type="dxa"/>
            <w:noWrap/>
            <w:tcMar>
              <w:top w:w="0" w:type="dxa"/>
              <w:left w:w="108" w:type="dxa"/>
              <w:bottom w:w="0" w:type="dxa"/>
              <w:right w:w="108" w:type="dxa"/>
            </w:tcMar>
            <w:hideMark/>
          </w:tcPr>
          <w:p w14:paraId="27AEAADA" w14:textId="77777777" w:rsidR="006B731F" w:rsidRPr="00685B35" w:rsidRDefault="006B731F" w:rsidP="00742C12">
            <w:pPr>
              <w:pStyle w:val="Tabletext8pt"/>
              <w:rPr>
                <w:sz w:val="16"/>
              </w:rPr>
            </w:pPr>
            <w:r w:rsidRPr="00685B35">
              <w:rPr>
                <w:sz w:val="16"/>
              </w:rPr>
              <w:t>Western Health (Djerriwarrh Health Service)</w:t>
            </w:r>
          </w:p>
        </w:tc>
        <w:tc>
          <w:tcPr>
            <w:tcW w:w="2531" w:type="dxa"/>
            <w:shd w:val="clear" w:color="auto" w:fill="FFFFFF"/>
            <w:noWrap/>
            <w:tcMar>
              <w:top w:w="0" w:type="dxa"/>
              <w:left w:w="108" w:type="dxa"/>
              <w:bottom w:w="0" w:type="dxa"/>
              <w:right w:w="108" w:type="dxa"/>
            </w:tcMar>
            <w:hideMark/>
          </w:tcPr>
          <w:p w14:paraId="72DD3CC4" w14:textId="77777777" w:rsidR="006B731F" w:rsidRPr="00685B35" w:rsidRDefault="006B731F" w:rsidP="00742C12">
            <w:pPr>
              <w:pStyle w:val="Tabletext8pt"/>
              <w:jc w:val="right"/>
              <w:rPr>
                <w:sz w:val="16"/>
              </w:rPr>
            </w:pPr>
            <w:r w:rsidRPr="00685B35">
              <w:rPr>
                <w:sz w:val="16"/>
              </w:rPr>
              <w:t>77</w:t>
            </w:r>
          </w:p>
        </w:tc>
      </w:tr>
      <w:tr w:rsidR="006B731F" w:rsidRPr="00F826D9" w14:paraId="0E631463" w14:textId="77777777" w:rsidTr="00685B35">
        <w:trPr>
          <w:trHeight w:hRule="exact" w:val="312"/>
        </w:trPr>
        <w:tc>
          <w:tcPr>
            <w:tcW w:w="3985" w:type="dxa"/>
            <w:noWrap/>
            <w:tcMar>
              <w:top w:w="0" w:type="dxa"/>
              <w:left w:w="108" w:type="dxa"/>
              <w:bottom w:w="0" w:type="dxa"/>
              <w:right w:w="108" w:type="dxa"/>
            </w:tcMar>
            <w:hideMark/>
          </w:tcPr>
          <w:p w14:paraId="0C0B4CFF" w14:textId="77777777" w:rsidR="006B731F" w:rsidRPr="00685B35" w:rsidRDefault="006B731F" w:rsidP="00742C12">
            <w:pPr>
              <w:pStyle w:val="Tabletext8pt"/>
              <w:rPr>
                <w:sz w:val="16"/>
              </w:rPr>
            </w:pPr>
            <w:r w:rsidRPr="00685B35">
              <w:rPr>
                <w:sz w:val="16"/>
              </w:rPr>
              <w:t>Yarram and District Health Service</w:t>
            </w:r>
          </w:p>
        </w:tc>
        <w:tc>
          <w:tcPr>
            <w:tcW w:w="2531" w:type="dxa"/>
            <w:shd w:val="clear" w:color="auto" w:fill="FFFFFF"/>
            <w:noWrap/>
            <w:tcMar>
              <w:top w:w="0" w:type="dxa"/>
              <w:left w:w="108" w:type="dxa"/>
              <w:bottom w:w="0" w:type="dxa"/>
              <w:right w:w="108" w:type="dxa"/>
            </w:tcMar>
            <w:hideMark/>
          </w:tcPr>
          <w:p w14:paraId="28959ADF" w14:textId="77777777" w:rsidR="006B731F" w:rsidRPr="00685B35" w:rsidRDefault="006B731F" w:rsidP="00742C12">
            <w:pPr>
              <w:pStyle w:val="Tabletext8pt"/>
              <w:jc w:val="right"/>
              <w:rPr>
                <w:sz w:val="16"/>
              </w:rPr>
            </w:pPr>
            <w:r w:rsidRPr="00685B35">
              <w:rPr>
                <w:sz w:val="16"/>
              </w:rPr>
              <w:t>17</w:t>
            </w:r>
          </w:p>
        </w:tc>
      </w:tr>
      <w:tr w:rsidR="006B731F" w:rsidRPr="00F826D9" w14:paraId="21858096" w14:textId="77777777" w:rsidTr="00685B35">
        <w:trPr>
          <w:trHeight w:hRule="exact" w:val="312"/>
        </w:trPr>
        <w:tc>
          <w:tcPr>
            <w:tcW w:w="3985" w:type="dxa"/>
            <w:shd w:val="clear" w:color="auto" w:fill="auto"/>
            <w:noWrap/>
            <w:tcMar>
              <w:top w:w="0" w:type="dxa"/>
              <w:left w:w="108" w:type="dxa"/>
              <w:bottom w:w="0" w:type="dxa"/>
              <w:right w:w="108" w:type="dxa"/>
            </w:tcMar>
            <w:hideMark/>
          </w:tcPr>
          <w:p w14:paraId="0A11D65C" w14:textId="77777777" w:rsidR="006B731F" w:rsidRPr="00147992" w:rsidRDefault="006B731F" w:rsidP="00685B35">
            <w:pPr>
              <w:pStyle w:val="Tabletext8pt"/>
              <w:rPr>
                <w:bCs/>
              </w:rPr>
            </w:pPr>
            <w:r w:rsidRPr="00685B35">
              <w:rPr>
                <w:b/>
                <w:bCs/>
                <w:sz w:val="16"/>
              </w:rPr>
              <w:t>Total statewide</w:t>
            </w:r>
          </w:p>
        </w:tc>
        <w:tc>
          <w:tcPr>
            <w:tcW w:w="2531" w:type="dxa"/>
            <w:shd w:val="clear" w:color="auto" w:fill="auto"/>
            <w:noWrap/>
            <w:tcMar>
              <w:top w:w="0" w:type="dxa"/>
              <w:left w:w="108" w:type="dxa"/>
              <w:bottom w:w="0" w:type="dxa"/>
              <w:right w:w="108" w:type="dxa"/>
            </w:tcMar>
            <w:hideMark/>
          </w:tcPr>
          <w:p w14:paraId="69594A55" w14:textId="2E38B85D" w:rsidR="006B731F" w:rsidRPr="00147992" w:rsidRDefault="006B731F" w:rsidP="00685B35">
            <w:pPr>
              <w:pStyle w:val="Tabletext8pt"/>
              <w:jc w:val="right"/>
              <w:rPr>
                <w:bCs/>
              </w:rPr>
            </w:pPr>
            <w:r w:rsidRPr="00685B35">
              <w:rPr>
                <w:b/>
                <w:bCs/>
                <w:sz w:val="16"/>
              </w:rPr>
              <w:t>15,0</w:t>
            </w:r>
            <w:r w:rsidR="00AC6AAD" w:rsidRPr="00685B35">
              <w:rPr>
                <w:b/>
                <w:bCs/>
                <w:sz w:val="16"/>
              </w:rPr>
              <w:t>62</w:t>
            </w:r>
            <w:r w:rsidRPr="00685B35">
              <w:rPr>
                <w:b/>
                <w:bCs/>
                <w:sz w:val="16"/>
              </w:rPr>
              <w:t xml:space="preserve"> </w:t>
            </w:r>
          </w:p>
        </w:tc>
      </w:tr>
    </w:tbl>
    <w:p w14:paraId="0B05E84A" w14:textId="77777777" w:rsidR="006B731F" w:rsidRPr="006B731F" w:rsidRDefault="006B731F" w:rsidP="006B731F">
      <w:pPr>
        <w:pStyle w:val="Body"/>
      </w:pPr>
    </w:p>
    <w:p w14:paraId="60FB2D14" w14:textId="5F4D11D9" w:rsidR="000B27B9" w:rsidRDefault="7B0F94E6" w:rsidP="00081936">
      <w:pPr>
        <w:pStyle w:val="Heading3"/>
        <w:numPr>
          <w:ilvl w:val="2"/>
          <w:numId w:val="33"/>
        </w:numPr>
        <w:spacing w:before="240"/>
        <w:ind w:left="1134"/>
      </w:pPr>
      <w:bookmarkStart w:id="1216" w:name="_Toc156569708"/>
      <w:r>
        <w:t xml:space="preserve">Nationally Funded Centres Program </w:t>
      </w:r>
      <w:bookmarkEnd w:id="1210"/>
      <w:bookmarkEnd w:id="1211"/>
      <w:bookmarkEnd w:id="1212"/>
      <w:bookmarkEnd w:id="1213"/>
      <w:bookmarkEnd w:id="1214"/>
      <w:r w:rsidR="635881F6">
        <w:t>202</w:t>
      </w:r>
      <w:r w:rsidR="007E1C33">
        <w:t>3</w:t>
      </w:r>
      <w:r w:rsidR="2BA45458">
        <w:t>–</w:t>
      </w:r>
      <w:r w:rsidR="635881F6">
        <w:t>2</w:t>
      </w:r>
      <w:r w:rsidR="007E1C33">
        <w:t>4</w:t>
      </w:r>
      <w:bookmarkEnd w:id="1216"/>
    </w:p>
    <w:p w14:paraId="1EFD54B9" w14:textId="77777777" w:rsidR="000B27B9" w:rsidRDefault="000B27B9" w:rsidP="0064265C">
      <w:pPr>
        <w:pStyle w:val="Tablefigurenote9pt"/>
      </w:pPr>
      <w:r>
        <w:t>Notes:</w:t>
      </w:r>
    </w:p>
    <w:p w14:paraId="77A80BBB" w14:textId="31077500" w:rsidR="000B27B9" w:rsidRPr="00F6003A" w:rsidRDefault="000B27B9" w:rsidP="007973C3">
      <w:pPr>
        <w:pStyle w:val="Tablenoteroman"/>
        <w:numPr>
          <w:ilvl w:val="0"/>
          <w:numId w:val="11"/>
        </w:numPr>
      </w:pPr>
      <w:r>
        <w:t>Targets are s</w:t>
      </w:r>
      <w:r w:rsidRPr="00F6003A">
        <w:t xml:space="preserve">ubject to approval by the </w:t>
      </w:r>
      <w:r w:rsidR="00F13D7C">
        <w:t>Health Chief Executives Forum</w:t>
      </w:r>
      <w:r w:rsidRPr="00F6003A">
        <w:t>.</w:t>
      </w:r>
    </w:p>
    <w:p w14:paraId="04D6EC90" w14:textId="74272405" w:rsidR="000B27B9" w:rsidRPr="00F6003A" w:rsidRDefault="000B27B9" w:rsidP="007973C3">
      <w:pPr>
        <w:pStyle w:val="Tablenoteroman"/>
        <w:numPr>
          <w:ilvl w:val="0"/>
          <w:numId w:val="11"/>
        </w:numPr>
      </w:pPr>
      <w:r w:rsidRPr="00F6003A">
        <w:t xml:space="preserve">Prices are subject to approval by the </w:t>
      </w:r>
      <w:r w:rsidR="00F13D7C">
        <w:t>Health Chief Executives Forum</w:t>
      </w:r>
      <w:r w:rsidRPr="00F6003A">
        <w:t>.</w:t>
      </w:r>
    </w:p>
    <w:p w14:paraId="443E0BE1" w14:textId="3CE1C9B1" w:rsidR="000B27B9" w:rsidRDefault="000B27B9" w:rsidP="007973C3">
      <w:pPr>
        <w:pStyle w:val="Tablenoteroman"/>
        <w:numPr>
          <w:ilvl w:val="0"/>
          <w:numId w:val="11"/>
        </w:numPr>
      </w:pPr>
      <w:r>
        <w:t>Paediatric liver transplantation – 55</w:t>
      </w:r>
      <w:r w:rsidR="00887E93">
        <w:t>%</w:t>
      </w:r>
      <w:r>
        <w:t xml:space="preserve"> for The Royal Children’s Hospital and 45</w:t>
      </w:r>
      <w:r w:rsidR="00887E93">
        <w:t>%</w:t>
      </w:r>
      <w:r>
        <w:t xml:space="preserve"> for Austin Health.</w:t>
      </w:r>
    </w:p>
    <w:p w14:paraId="1B5AA017" w14:textId="7BA4298A" w:rsidR="000B27B9" w:rsidRDefault="000B27B9" w:rsidP="007973C3">
      <w:pPr>
        <w:pStyle w:val="Tablenoteroman"/>
        <w:numPr>
          <w:ilvl w:val="0"/>
          <w:numId w:val="11"/>
        </w:numPr>
      </w:pPr>
      <w:r>
        <w:t>Paediatric lung/heart-lung transplantation – 97</w:t>
      </w:r>
      <w:r w:rsidR="00887E93">
        <w:t>%</w:t>
      </w:r>
      <w:r w:rsidRPr="00306589">
        <w:t xml:space="preserve"> for Alfred Health and </w:t>
      </w:r>
      <w:r>
        <w:t>3</w:t>
      </w:r>
      <w:r w:rsidR="00887E93">
        <w:t>%</w:t>
      </w:r>
      <w:r>
        <w:t xml:space="preserve"> for The Royal Children’s Hospital.</w:t>
      </w:r>
    </w:p>
    <w:p w14:paraId="342A592F" w14:textId="6D44F24A" w:rsidR="00742C12" w:rsidRDefault="00742C12" w:rsidP="00892F13">
      <w:pPr>
        <w:pStyle w:val="Tablecaption"/>
      </w:pPr>
      <w:bookmarkStart w:id="1217" w:name="_Toc156568697"/>
      <w:r>
        <w:t xml:space="preserve">Table </w:t>
      </w:r>
      <w:r>
        <w:fldChar w:fldCharType="begin"/>
      </w:r>
      <w:r>
        <w:instrText>STYLEREF 1 \s</w:instrText>
      </w:r>
      <w:r>
        <w:fldChar w:fldCharType="separate"/>
      </w:r>
      <w:r w:rsidR="00892F13">
        <w:rPr>
          <w:noProof/>
        </w:rPr>
        <w:t>2</w:t>
      </w:r>
      <w:r>
        <w:fldChar w:fldCharType="end"/>
      </w:r>
      <w:r>
        <w:t>.</w:t>
      </w:r>
      <w:r>
        <w:fldChar w:fldCharType="begin"/>
      </w:r>
      <w:r>
        <w:instrText>SEQ Table \* ARABIC \s 1</w:instrText>
      </w:r>
      <w:r>
        <w:fldChar w:fldCharType="separate"/>
      </w:r>
      <w:r w:rsidR="007E6861">
        <w:rPr>
          <w:noProof/>
        </w:rPr>
        <w:t>20</w:t>
      </w:r>
      <w:r>
        <w:fldChar w:fldCharType="end"/>
      </w:r>
      <w:r>
        <w:t>:</w:t>
      </w:r>
      <w:r w:rsidRPr="00742C12">
        <w:t xml:space="preserve"> </w:t>
      </w:r>
      <w:r w:rsidRPr="00271AC6">
        <w:t xml:space="preserve">Nationally Funded </w:t>
      </w:r>
      <w:r w:rsidRPr="00A030E3">
        <w:t>Centres</w:t>
      </w:r>
      <w:r w:rsidRPr="00271AC6">
        <w:t xml:space="preserve"> </w:t>
      </w:r>
      <w:r>
        <w:t>P</w:t>
      </w:r>
      <w:r w:rsidRPr="00271AC6">
        <w:t xml:space="preserve">rogram </w:t>
      </w:r>
      <w:r w:rsidRPr="00A65006">
        <w:t>targets 202</w:t>
      </w:r>
      <w:r>
        <w:t>3</w:t>
      </w:r>
      <w:r w:rsidRPr="00A65006">
        <w:t>–2</w:t>
      </w:r>
      <w:r>
        <w:t>4</w:t>
      </w:r>
      <w:bookmarkEnd w:id="1217"/>
    </w:p>
    <w:tbl>
      <w:tblPr>
        <w:tblW w:w="9067" w:type="dxa"/>
        <w:tblCellMar>
          <w:top w:w="15" w:type="dxa"/>
          <w:bottom w:w="15" w:type="dxa"/>
        </w:tblCellMar>
        <w:tblLook w:val="04A0" w:firstRow="1" w:lastRow="0" w:firstColumn="1" w:lastColumn="0" w:noHBand="0" w:noVBand="1"/>
      </w:tblPr>
      <w:tblGrid>
        <w:gridCol w:w="3080"/>
        <w:gridCol w:w="3294"/>
        <w:gridCol w:w="2693"/>
      </w:tblGrid>
      <w:tr w:rsidR="00285665" w:rsidRPr="00932E84" w14:paraId="4B18369B" w14:textId="77777777" w:rsidTr="00285665">
        <w:trPr>
          <w:trHeight w:val="300"/>
          <w:tblHeader/>
        </w:trPr>
        <w:tc>
          <w:tcPr>
            <w:tcW w:w="3080" w:type="dxa"/>
            <w:tcBorders>
              <w:top w:val="single" w:sz="4" w:space="0" w:color="auto"/>
              <w:left w:val="single" w:sz="4" w:space="0" w:color="auto"/>
              <w:bottom w:val="single" w:sz="4" w:space="0" w:color="auto"/>
              <w:right w:val="single" w:sz="4" w:space="0" w:color="auto"/>
            </w:tcBorders>
            <w:noWrap/>
            <w:vAlign w:val="center"/>
            <w:hideMark/>
          </w:tcPr>
          <w:p w14:paraId="6DB757FD" w14:textId="77777777" w:rsidR="00285665" w:rsidRPr="00932E84" w:rsidRDefault="00285665" w:rsidP="003D68D1">
            <w:pPr>
              <w:spacing w:after="0" w:line="240" w:lineRule="auto"/>
              <w:rPr>
                <w:rFonts w:cs="Arial"/>
                <w:b/>
                <w:bCs/>
                <w:color w:val="53565A"/>
                <w:sz w:val="16"/>
                <w:szCs w:val="16"/>
                <w:lang w:eastAsia="en-AU"/>
              </w:rPr>
            </w:pPr>
            <w:r w:rsidRPr="00932E84">
              <w:rPr>
                <w:rFonts w:cs="Arial"/>
                <w:b/>
                <w:bCs/>
                <w:color w:val="53565A"/>
                <w:sz w:val="16"/>
                <w:szCs w:val="16"/>
                <w:lang w:eastAsia="en-AU"/>
              </w:rPr>
              <w:t>Price name</w:t>
            </w:r>
          </w:p>
        </w:tc>
        <w:tc>
          <w:tcPr>
            <w:tcW w:w="3294" w:type="dxa"/>
            <w:tcBorders>
              <w:top w:val="single" w:sz="4" w:space="0" w:color="auto"/>
              <w:left w:val="single" w:sz="4" w:space="0" w:color="auto"/>
              <w:bottom w:val="single" w:sz="4" w:space="0" w:color="auto"/>
              <w:right w:val="single" w:sz="4" w:space="0" w:color="auto"/>
            </w:tcBorders>
            <w:noWrap/>
            <w:vAlign w:val="center"/>
            <w:hideMark/>
          </w:tcPr>
          <w:p w14:paraId="2DB7845D" w14:textId="77777777" w:rsidR="00285665" w:rsidRPr="00932E84" w:rsidRDefault="00285665" w:rsidP="003D68D1">
            <w:pPr>
              <w:spacing w:after="0" w:line="240" w:lineRule="auto"/>
              <w:rPr>
                <w:rFonts w:cs="Arial"/>
                <w:b/>
                <w:bCs/>
                <w:color w:val="53565A"/>
                <w:sz w:val="16"/>
                <w:szCs w:val="16"/>
                <w:lang w:eastAsia="en-AU"/>
              </w:rPr>
            </w:pPr>
            <w:r w:rsidRPr="00932E84">
              <w:rPr>
                <w:rFonts w:cs="Arial"/>
                <w:b/>
                <w:bCs/>
                <w:color w:val="53565A"/>
                <w:sz w:val="16"/>
                <w:szCs w:val="16"/>
                <w:lang w:eastAsia="en-AU"/>
              </w:rPr>
              <w:t>Health service</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45DBC93" w14:textId="77777777" w:rsidR="00285665" w:rsidRPr="00932E84" w:rsidRDefault="00285665" w:rsidP="003D68D1">
            <w:pPr>
              <w:spacing w:after="0" w:line="240" w:lineRule="auto"/>
              <w:jc w:val="right"/>
              <w:rPr>
                <w:rFonts w:cs="Arial"/>
                <w:b/>
                <w:bCs/>
                <w:color w:val="53565A"/>
                <w:sz w:val="16"/>
                <w:szCs w:val="16"/>
                <w:lang w:eastAsia="en-AU"/>
              </w:rPr>
            </w:pPr>
            <w:r w:rsidRPr="00932E84">
              <w:rPr>
                <w:rFonts w:cs="Arial"/>
                <w:b/>
                <w:bCs/>
                <w:color w:val="53565A"/>
                <w:sz w:val="16"/>
                <w:szCs w:val="16"/>
                <w:lang w:eastAsia="en-AU"/>
              </w:rPr>
              <w:t>Annual target</w:t>
            </w:r>
          </w:p>
        </w:tc>
      </w:tr>
      <w:tr w:rsidR="00285665" w:rsidRPr="00932E84" w14:paraId="7C941941" w14:textId="77777777" w:rsidTr="00285665">
        <w:trPr>
          <w:trHeight w:val="300"/>
        </w:trPr>
        <w:tc>
          <w:tcPr>
            <w:tcW w:w="3080" w:type="dxa"/>
            <w:tcBorders>
              <w:top w:val="single" w:sz="4" w:space="0" w:color="auto"/>
              <w:left w:val="single" w:sz="4" w:space="0" w:color="auto"/>
              <w:bottom w:val="single" w:sz="4" w:space="0" w:color="auto"/>
              <w:right w:val="single" w:sz="4" w:space="0" w:color="auto"/>
            </w:tcBorders>
            <w:noWrap/>
            <w:vAlign w:val="center"/>
            <w:hideMark/>
          </w:tcPr>
          <w:p w14:paraId="7AF3C507"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NFC islet cell transplantation</w:t>
            </w:r>
          </w:p>
        </w:tc>
        <w:tc>
          <w:tcPr>
            <w:tcW w:w="3294" w:type="dxa"/>
            <w:tcBorders>
              <w:top w:val="single" w:sz="4" w:space="0" w:color="auto"/>
              <w:left w:val="single" w:sz="4" w:space="0" w:color="auto"/>
              <w:bottom w:val="single" w:sz="4" w:space="0" w:color="auto"/>
              <w:right w:val="single" w:sz="4" w:space="0" w:color="auto"/>
            </w:tcBorders>
            <w:noWrap/>
            <w:vAlign w:val="center"/>
            <w:hideMark/>
          </w:tcPr>
          <w:p w14:paraId="74DA8CE2"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St Vincent's Hospital Melbourne Limited</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F5BB74E"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6</w:t>
            </w:r>
          </w:p>
        </w:tc>
      </w:tr>
      <w:tr w:rsidR="00285665" w:rsidRPr="00932E84" w14:paraId="3955D46C" w14:textId="77777777" w:rsidTr="00285665">
        <w:trPr>
          <w:trHeight w:val="300"/>
        </w:trPr>
        <w:tc>
          <w:tcPr>
            <w:tcW w:w="3080" w:type="dxa"/>
            <w:tcBorders>
              <w:top w:val="single" w:sz="4" w:space="0" w:color="auto"/>
              <w:left w:val="single" w:sz="4" w:space="0" w:color="auto"/>
              <w:bottom w:val="single" w:sz="4" w:space="0" w:color="auto"/>
              <w:right w:val="single" w:sz="4" w:space="0" w:color="auto"/>
            </w:tcBorders>
            <w:noWrap/>
            <w:vAlign w:val="center"/>
            <w:hideMark/>
          </w:tcPr>
          <w:p w14:paraId="5899BE6F"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NFC paediatric heart no VAD</w:t>
            </w:r>
          </w:p>
        </w:tc>
        <w:tc>
          <w:tcPr>
            <w:tcW w:w="3294" w:type="dxa"/>
            <w:tcBorders>
              <w:top w:val="single" w:sz="4" w:space="0" w:color="auto"/>
              <w:left w:val="single" w:sz="4" w:space="0" w:color="auto"/>
              <w:bottom w:val="single" w:sz="4" w:space="0" w:color="auto"/>
              <w:right w:val="single" w:sz="4" w:space="0" w:color="auto"/>
            </w:tcBorders>
            <w:noWrap/>
            <w:vAlign w:val="center"/>
            <w:hideMark/>
          </w:tcPr>
          <w:p w14:paraId="1D2B90DA"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The Royal Children's Hospital</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B60BD95"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5</w:t>
            </w:r>
          </w:p>
        </w:tc>
      </w:tr>
      <w:tr w:rsidR="00285665" w:rsidRPr="00932E84" w14:paraId="3289FC9F" w14:textId="77777777" w:rsidTr="00285665">
        <w:trPr>
          <w:trHeight w:val="300"/>
        </w:trPr>
        <w:tc>
          <w:tcPr>
            <w:tcW w:w="3080" w:type="dxa"/>
            <w:tcBorders>
              <w:top w:val="single" w:sz="4" w:space="0" w:color="auto"/>
              <w:left w:val="single" w:sz="4" w:space="0" w:color="auto"/>
              <w:bottom w:val="single" w:sz="4" w:space="0" w:color="auto"/>
              <w:right w:val="single" w:sz="4" w:space="0" w:color="auto"/>
            </w:tcBorders>
            <w:noWrap/>
            <w:vAlign w:val="center"/>
            <w:hideMark/>
          </w:tcPr>
          <w:p w14:paraId="2CC2FE2A"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NFC paediatric heart VAD</w:t>
            </w:r>
          </w:p>
        </w:tc>
        <w:tc>
          <w:tcPr>
            <w:tcW w:w="3294" w:type="dxa"/>
            <w:tcBorders>
              <w:top w:val="single" w:sz="4" w:space="0" w:color="auto"/>
              <w:left w:val="single" w:sz="4" w:space="0" w:color="auto"/>
              <w:bottom w:val="single" w:sz="4" w:space="0" w:color="auto"/>
              <w:right w:val="single" w:sz="4" w:space="0" w:color="auto"/>
            </w:tcBorders>
            <w:noWrap/>
            <w:vAlign w:val="center"/>
            <w:hideMark/>
          </w:tcPr>
          <w:p w14:paraId="4F9D5D4F"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The Royal Children's Hospital</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311878C"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9</w:t>
            </w:r>
          </w:p>
        </w:tc>
      </w:tr>
      <w:tr w:rsidR="00285665" w:rsidRPr="00932E84" w14:paraId="724C9136" w14:textId="77777777" w:rsidTr="00285665">
        <w:trPr>
          <w:trHeight w:val="300"/>
        </w:trPr>
        <w:tc>
          <w:tcPr>
            <w:tcW w:w="3080" w:type="dxa"/>
            <w:tcBorders>
              <w:top w:val="single" w:sz="4" w:space="0" w:color="auto"/>
              <w:left w:val="single" w:sz="4" w:space="0" w:color="auto"/>
              <w:bottom w:val="single" w:sz="4" w:space="0" w:color="auto"/>
              <w:right w:val="single" w:sz="4" w:space="0" w:color="auto"/>
            </w:tcBorders>
            <w:noWrap/>
            <w:vAlign w:val="center"/>
            <w:hideMark/>
          </w:tcPr>
          <w:p w14:paraId="72AD35C7"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NFC paediatric lung transplantation</w:t>
            </w:r>
          </w:p>
        </w:tc>
        <w:tc>
          <w:tcPr>
            <w:tcW w:w="3294" w:type="dxa"/>
            <w:tcBorders>
              <w:top w:val="single" w:sz="4" w:space="0" w:color="auto"/>
              <w:left w:val="single" w:sz="4" w:space="0" w:color="auto"/>
              <w:bottom w:val="single" w:sz="4" w:space="0" w:color="auto"/>
              <w:right w:val="single" w:sz="4" w:space="0" w:color="auto"/>
            </w:tcBorders>
            <w:noWrap/>
            <w:vAlign w:val="center"/>
            <w:hideMark/>
          </w:tcPr>
          <w:p w14:paraId="79F50136"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Alfred Health</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73C6070"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3.88</w:t>
            </w:r>
          </w:p>
        </w:tc>
      </w:tr>
      <w:tr w:rsidR="00285665" w:rsidRPr="00932E84" w14:paraId="6563C7E3" w14:textId="77777777" w:rsidTr="00285665">
        <w:trPr>
          <w:trHeight w:val="300"/>
        </w:trPr>
        <w:tc>
          <w:tcPr>
            <w:tcW w:w="3080" w:type="dxa"/>
            <w:tcBorders>
              <w:top w:val="single" w:sz="4" w:space="0" w:color="auto"/>
              <w:left w:val="single" w:sz="4" w:space="0" w:color="auto"/>
              <w:bottom w:val="single" w:sz="4" w:space="0" w:color="auto"/>
              <w:right w:val="single" w:sz="4" w:space="0" w:color="auto"/>
            </w:tcBorders>
            <w:noWrap/>
            <w:vAlign w:val="center"/>
            <w:hideMark/>
          </w:tcPr>
          <w:p w14:paraId="7E6BAD5D"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NFC paediatric lung transplantation</w:t>
            </w:r>
          </w:p>
        </w:tc>
        <w:tc>
          <w:tcPr>
            <w:tcW w:w="3294" w:type="dxa"/>
            <w:tcBorders>
              <w:top w:val="single" w:sz="4" w:space="0" w:color="auto"/>
              <w:left w:val="single" w:sz="4" w:space="0" w:color="auto"/>
              <w:bottom w:val="single" w:sz="4" w:space="0" w:color="auto"/>
              <w:right w:val="single" w:sz="4" w:space="0" w:color="auto"/>
            </w:tcBorders>
            <w:noWrap/>
            <w:vAlign w:val="center"/>
            <w:hideMark/>
          </w:tcPr>
          <w:p w14:paraId="03E6C698"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The Royal Children's Hospital</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75D67CC"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0.12</w:t>
            </w:r>
          </w:p>
        </w:tc>
      </w:tr>
      <w:tr w:rsidR="00285665" w:rsidRPr="00932E84" w14:paraId="7DE976EA" w14:textId="77777777" w:rsidTr="00285665">
        <w:trPr>
          <w:trHeight w:val="300"/>
        </w:trPr>
        <w:tc>
          <w:tcPr>
            <w:tcW w:w="3080" w:type="dxa"/>
            <w:tcBorders>
              <w:top w:val="single" w:sz="4" w:space="0" w:color="auto"/>
              <w:left w:val="single" w:sz="4" w:space="0" w:color="auto"/>
              <w:bottom w:val="single" w:sz="4" w:space="0" w:color="auto"/>
              <w:right w:val="single" w:sz="4" w:space="0" w:color="auto"/>
            </w:tcBorders>
            <w:noWrap/>
            <w:vAlign w:val="center"/>
            <w:hideMark/>
          </w:tcPr>
          <w:p w14:paraId="3FF833F2"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NFC pancreas transplants</w:t>
            </w:r>
          </w:p>
        </w:tc>
        <w:tc>
          <w:tcPr>
            <w:tcW w:w="3294" w:type="dxa"/>
            <w:tcBorders>
              <w:top w:val="single" w:sz="4" w:space="0" w:color="auto"/>
              <w:left w:val="single" w:sz="4" w:space="0" w:color="auto"/>
              <w:bottom w:val="single" w:sz="4" w:space="0" w:color="auto"/>
              <w:right w:val="single" w:sz="4" w:space="0" w:color="auto"/>
            </w:tcBorders>
            <w:noWrap/>
            <w:vAlign w:val="center"/>
            <w:hideMark/>
          </w:tcPr>
          <w:p w14:paraId="2FED94A5"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Monash Health</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86C4D97"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15</w:t>
            </w:r>
          </w:p>
        </w:tc>
      </w:tr>
      <w:tr w:rsidR="00285665" w:rsidRPr="00932E84" w14:paraId="6403033D" w14:textId="77777777" w:rsidTr="00974CBE">
        <w:trPr>
          <w:trHeight w:val="300"/>
        </w:trPr>
        <w:tc>
          <w:tcPr>
            <w:tcW w:w="3080" w:type="dxa"/>
            <w:tcBorders>
              <w:top w:val="single" w:sz="4" w:space="0" w:color="auto"/>
              <w:left w:val="single" w:sz="4" w:space="0" w:color="auto"/>
              <w:bottom w:val="single" w:sz="4" w:space="0" w:color="auto"/>
              <w:right w:val="single" w:sz="4" w:space="0" w:color="auto"/>
            </w:tcBorders>
            <w:noWrap/>
            <w:vAlign w:val="center"/>
            <w:hideMark/>
          </w:tcPr>
          <w:p w14:paraId="0083DFC7"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NFC transplants paediatric liver</w:t>
            </w:r>
          </w:p>
        </w:tc>
        <w:tc>
          <w:tcPr>
            <w:tcW w:w="3294" w:type="dxa"/>
            <w:tcBorders>
              <w:top w:val="single" w:sz="4" w:space="0" w:color="auto"/>
              <w:left w:val="single" w:sz="4" w:space="0" w:color="auto"/>
              <w:bottom w:val="single" w:sz="4" w:space="0" w:color="auto"/>
              <w:right w:val="single" w:sz="4" w:space="0" w:color="auto"/>
            </w:tcBorders>
            <w:noWrap/>
            <w:vAlign w:val="center"/>
            <w:hideMark/>
          </w:tcPr>
          <w:p w14:paraId="5E2C9701"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Austin Health</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FA9E6AA"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4.5</w:t>
            </w:r>
          </w:p>
        </w:tc>
      </w:tr>
      <w:tr w:rsidR="00285665" w:rsidRPr="00932E84" w14:paraId="672CC849" w14:textId="77777777" w:rsidTr="00974CBE">
        <w:trPr>
          <w:trHeight w:val="300"/>
        </w:trPr>
        <w:tc>
          <w:tcPr>
            <w:tcW w:w="3080" w:type="dxa"/>
            <w:tcBorders>
              <w:top w:val="single" w:sz="4" w:space="0" w:color="auto"/>
              <w:left w:val="single" w:sz="4" w:space="0" w:color="auto"/>
              <w:bottom w:val="single" w:sz="4" w:space="0" w:color="auto"/>
              <w:right w:val="single" w:sz="4" w:space="0" w:color="auto"/>
            </w:tcBorders>
            <w:noWrap/>
            <w:vAlign w:val="center"/>
            <w:hideMark/>
          </w:tcPr>
          <w:p w14:paraId="62A0222F"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NFC transplants paediatric liver</w:t>
            </w:r>
          </w:p>
        </w:tc>
        <w:tc>
          <w:tcPr>
            <w:tcW w:w="3294" w:type="dxa"/>
            <w:tcBorders>
              <w:top w:val="single" w:sz="4" w:space="0" w:color="auto"/>
              <w:left w:val="single" w:sz="4" w:space="0" w:color="auto"/>
              <w:bottom w:val="single" w:sz="4" w:space="0" w:color="auto"/>
              <w:right w:val="single" w:sz="4" w:space="0" w:color="auto"/>
            </w:tcBorders>
            <w:noWrap/>
            <w:vAlign w:val="center"/>
            <w:hideMark/>
          </w:tcPr>
          <w:p w14:paraId="344C5BE9" w14:textId="77777777" w:rsidR="00285665" w:rsidRPr="00932E84" w:rsidRDefault="00285665" w:rsidP="003D68D1">
            <w:pPr>
              <w:spacing w:after="0" w:line="240" w:lineRule="auto"/>
              <w:rPr>
                <w:rFonts w:cs="Arial"/>
                <w:color w:val="000000"/>
                <w:sz w:val="16"/>
                <w:szCs w:val="16"/>
                <w:lang w:eastAsia="en-AU"/>
              </w:rPr>
            </w:pPr>
            <w:r w:rsidRPr="00932E84">
              <w:rPr>
                <w:rFonts w:cs="Arial"/>
                <w:color w:val="000000"/>
                <w:sz w:val="16"/>
                <w:szCs w:val="16"/>
                <w:lang w:eastAsia="en-AU"/>
              </w:rPr>
              <w:t>The Royal Childrens Hospital</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06ED6A1" w14:textId="77777777" w:rsidR="00285665" w:rsidRPr="00932E84" w:rsidRDefault="00285665" w:rsidP="003D68D1">
            <w:pPr>
              <w:spacing w:after="0" w:line="240" w:lineRule="auto"/>
              <w:jc w:val="right"/>
              <w:rPr>
                <w:rFonts w:cs="Arial"/>
                <w:color w:val="000000"/>
                <w:sz w:val="16"/>
                <w:szCs w:val="16"/>
                <w:lang w:eastAsia="en-AU"/>
              </w:rPr>
            </w:pPr>
            <w:r w:rsidRPr="00932E84">
              <w:rPr>
                <w:rFonts w:cs="Arial"/>
                <w:color w:val="000000"/>
                <w:sz w:val="16"/>
                <w:szCs w:val="16"/>
                <w:lang w:eastAsia="en-AU"/>
              </w:rPr>
              <w:t>5.5</w:t>
            </w:r>
          </w:p>
        </w:tc>
      </w:tr>
    </w:tbl>
    <w:p w14:paraId="7B00A465" w14:textId="62AFACB4" w:rsidR="00285665" w:rsidRDefault="00285665" w:rsidP="00285665">
      <w:pPr>
        <w:pStyle w:val="Body"/>
      </w:pPr>
    </w:p>
    <w:p w14:paraId="6369CB40" w14:textId="77777777" w:rsidR="00285665" w:rsidRPr="00285665" w:rsidRDefault="00285665" w:rsidP="00285665">
      <w:pPr>
        <w:pStyle w:val="Body"/>
      </w:pPr>
    </w:p>
    <w:p w14:paraId="4C7B7D27" w14:textId="77777777" w:rsidR="002C3F39" w:rsidRDefault="002C3F39" w:rsidP="00081936">
      <w:pPr>
        <w:pStyle w:val="Heading3"/>
        <w:numPr>
          <w:ilvl w:val="2"/>
          <w:numId w:val="33"/>
        </w:numPr>
        <w:spacing w:before="240"/>
        <w:ind w:left="1134"/>
        <w:sectPr w:rsidR="002C3F39" w:rsidSect="00AE5B04">
          <w:headerReference w:type="even" r:id="rId89"/>
          <w:headerReference w:type="default" r:id="rId90"/>
          <w:footerReference w:type="even" r:id="rId91"/>
          <w:footerReference w:type="default" r:id="rId92"/>
          <w:pgSz w:w="11906" w:h="16838" w:code="9"/>
          <w:pgMar w:top="1134" w:right="1304" w:bottom="964" w:left="1304" w:header="624" w:footer="567" w:gutter="0"/>
          <w:cols w:space="340"/>
          <w:docGrid w:linePitch="360"/>
        </w:sectPr>
      </w:pPr>
      <w:bookmarkStart w:id="1218" w:name="_Toc12780677"/>
      <w:bookmarkStart w:id="1219" w:name="_Toc14172318"/>
      <w:bookmarkStart w:id="1220" w:name="_Toc33703992"/>
      <w:bookmarkStart w:id="1221" w:name="_Toc55381180"/>
    </w:p>
    <w:p w14:paraId="6CA73BDA" w14:textId="28B44407" w:rsidR="000B27B9" w:rsidRDefault="7B0F94E6" w:rsidP="00081936">
      <w:pPr>
        <w:pStyle w:val="Heading3"/>
        <w:numPr>
          <w:ilvl w:val="2"/>
          <w:numId w:val="33"/>
        </w:numPr>
        <w:spacing w:before="0"/>
        <w:ind w:left="1134"/>
      </w:pPr>
      <w:bookmarkStart w:id="1222" w:name="_Toc100263384"/>
      <w:bookmarkStart w:id="1223" w:name="_Toc156569709"/>
      <w:r>
        <w:t xml:space="preserve">Mental </w:t>
      </w:r>
      <w:r w:rsidR="00742C12">
        <w:t xml:space="preserve">health acute, non-acute, subacute, and residential available beds </w:t>
      </w:r>
      <w:bookmarkEnd w:id="1218"/>
      <w:bookmarkEnd w:id="1219"/>
      <w:bookmarkEnd w:id="1220"/>
      <w:bookmarkEnd w:id="1221"/>
      <w:bookmarkEnd w:id="1222"/>
      <w:r w:rsidR="635881F6">
        <w:t>202</w:t>
      </w:r>
      <w:r w:rsidR="00BB4543">
        <w:t>3</w:t>
      </w:r>
      <w:r w:rsidR="2BA45458">
        <w:t>–</w:t>
      </w:r>
      <w:r w:rsidR="635881F6">
        <w:t>2</w:t>
      </w:r>
      <w:r w:rsidR="007D24A2">
        <w:t>4</w:t>
      </w:r>
      <w:bookmarkEnd w:id="1223"/>
    </w:p>
    <w:p w14:paraId="66AFFFB9" w14:textId="77777777" w:rsidR="000B27B9" w:rsidRDefault="000B27B9" w:rsidP="0064265C">
      <w:pPr>
        <w:pStyle w:val="Tablefigurenote9pt"/>
      </w:pPr>
      <w:r w:rsidRPr="00A62258">
        <w:t>Note</w:t>
      </w:r>
      <w:r>
        <w:t xml:space="preserve"> for the following three tables:</w:t>
      </w:r>
    </w:p>
    <w:p w14:paraId="5192AF4C" w14:textId="6F5030BD" w:rsidR="00232395" w:rsidRPr="00F26CD6" w:rsidRDefault="00E76C16" w:rsidP="007973C3">
      <w:pPr>
        <w:pStyle w:val="Tablenoteroman"/>
        <w:numPr>
          <w:ilvl w:val="0"/>
          <w:numId w:val="12"/>
        </w:numPr>
      </w:pPr>
      <w:r>
        <w:t>M</w:t>
      </w:r>
      <w:r w:rsidR="00232395" w:rsidRPr="00F26CD6">
        <w:t>ental health funded bed days</w:t>
      </w:r>
      <w:r>
        <w:t>.</w:t>
      </w:r>
    </w:p>
    <w:p w14:paraId="766B3332" w14:textId="77777777" w:rsidR="00DC21C4" w:rsidRDefault="00232395" w:rsidP="00DC21C4">
      <w:pPr>
        <w:pStyle w:val="Tablenoteroman"/>
        <w:numPr>
          <w:ilvl w:val="0"/>
          <w:numId w:val="12"/>
        </w:numPr>
      </w:pPr>
      <w:r w:rsidRPr="00F26CD6">
        <w:t>Increased capacity through the purchase of public beds from private hospitals, Hospital in the Home and Emergency Department Mental Health and Alcohol and Other Drug (ED MH AOD) Hubs is not included in the table</w:t>
      </w:r>
      <w:r w:rsidR="00E76C16">
        <w:t>.</w:t>
      </w:r>
    </w:p>
    <w:p w14:paraId="0B62480C" w14:textId="6986E0CE" w:rsidR="00232395" w:rsidRPr="0034319C" w:rsidRDefault="00232395" w:rsidP="00DC21C4">
      <w:pPr>
        <w:pStyle w:val="Tablenoteroman"/>
        <w:numPr>
          <w:ilvl w:val="0"/>
          <w:numId w:val="12"/>
        </w:numPr>
      </w:pPr>
      <w:r w:rsidRPr="00F26CD6">
        <w:t xml:space="preserve">Northern Health became a designated mental health service from 1 July 2022. Western Health became a designated mental health service from 1 July 2023. Realignment of funding and targets from Royal Melbourne Hospital have occurred. </w:t>
      </w:r>
    </w:p>
    <w:p w14:paraId="2C19B6D0" w14:textId="405A9A09" w:rsidR="000B27B9" w:rsidRDefault="000B27B9" w:rsidP="000E08EF">
      <w:pPr>
        <w:pStyle w:val="Tablecaption"/>
      </w:pPr>
      <w:bookmarkStart w:id="1224" w:name="_Toc12780581"/>
      <w:bookmarkStart w:id="1225" w:name="_Toc14194837"/>
      <w:bookmarkStart w:id="1226" w:name="_Toc33704018"/>
      <w:bookmarkStart w:id="1227" w:name="_Toc109894146"/>
      <w:bookmarkStart w:id="1228" w:name="_Toc156568698"/>
      <w:r>
        <w:t xml:space="preserve">Table </w:t>
      </w:r>
      <w:r>
        <w:fldChar w:fldCharType="begin"/>
      </w:r>
      <w:r>
        <w:instrText>STYLEREF 1 \s</w:instrText>
      </w:r>
      <w:r>
        <w:fldChar w:fldCharType="separate"/>
      </w:r>
      <w:r w:rsidR="00892F13">
        <w:rPr>
          <w:noProof/>
        </w:rPr>
        <w:t>2</w:t>
      </w:r>
      <w:r>
        <w:fldChar w:fldCharType="end"/>
      </w:r>
      <w:r w:rsidR="00742C12">
        <w:t>.</w:t>
      </w:r>
      <w:r>
        <w:fldChar w:fldCharType="begin"/>
      </w:r>
      <w:r>
        <w:instrText>SEQ Table \* ARABIC \s 1</w:instrText>
      </w:r>
      <w:r>
        <w:fldChar w:fldCharType="separate"/>
      </w:r>
      <w:r w:rsidR="007E6861">
        <w:rPr>
          <w:noProof/>
        </w:rPr>
        <w:t>21</w:t>
      </w:r>
      <w:r>
        <w:fldChar w:fldCharType="end"/>
      </w:r>
      <w:r w:rsidRPr="00271AC6">
        <w:t xml:space="preserve">: Mental health acute available beds </w:t>
      </w:r>
      <w:bookmarkEnd w:id="1224"/>
      <w:bookmarkEnd w:id="1225"/>
      <w:bookmarkEnd w:id="1226"/>
      <w:bookmarkEnd w:id="1227"/>
      <w:r w:rsidR="005D1FCB" w:rsidRPr="00697369">
        <w:t>202</w:t>
      </w:r>
      <w:r w:rsidR="00232395">
        <w:t>3</w:t>
      </w:r>
      <w:r w:rsidR="00F2096A">
        <w:t>–</w:t>
      </w:r>
      <w:r w:rsidR="005D1FCB" w:rsidRPr="00697369">
        <w:t>2</w:t>
      </w:r>
      <w:r w:rsidR="00232395">
        <w:t>4</w:t>
      </w:r>
      <w:bookmarkEnd w:id="1228"/>
    </w:p>
    <w:p w14:paraId="7BA02C05" w14:textId="02995611" w:rsidR="00811339" w:rsidRDefault="001C5C09" w:rsidP="00811339">
      <w:pPr>
        <w:pStyle w:val="Body"/>
      </w:pPr>
      <w:r>
        <w:t>Metropolitan and regional</w:t>
      </w:r>
    </w:p>
    <w:tbl>
      <w:tblPr>
        <w:tblStyle w:val="TableGrid1"/>
        <w:tblW w:w="14307" w:type="dxa"/>
        <w:tblLook w:val="06A0" w:firstRow="1" w:lastRow="0" w:firstColumn="1" w:lastColumn="0" w:noHBand="1" w:noVBand="1"/>
      </w:tblPr>
      <w:tblGrid>
        <w:gridCol w:w="3400"/>
        <w:gridCol w:w="1817"/>
        <w:gridCol w:w="1818"/>
        <w:gridCol w:w="1818"/>
        <w:gridCol w:w="1818"/>
        <w:gridCol w:w="1818"/>
        <w:gridCol w:w="1818"/>
      </w:tblGrid>
      <w:tr w:rsidR="00742C12" w:rsidRPr="003262DA" w14:paraId="0669CB22" w14:textId="77777777" w:rsidTr="00AB10C9">
        <w:trPr>
          <w:cnfStyle w:val="100000000000" w:firstRow="1" w:lastRow="0" w:firstColumn="0" w:lastColumn="0" w:oddVBand="0" w:evenVBand="0" w:oddHBand="0" w:evenHBand="0" w:firstRowFirstColumn="0" w:firstRowLastColumn="0" w:lastRowFirstColumn="0" w:lastRowLastColumn="0"/>
          <w:trHeight w:val="650"/>
          <w:tblHeader/>
        </w:trPr>
        <w:tc>
          <w:tcPr>
            <w:tcW w:w="3400" w:type="dxa"/>
            <w:shd w:val="clear" w:color="auto" w:fill="auto"/>
            <w:hideMark/>
          </w:tcPr>
          <w:p w14:paraId="1A96EAC3" w14:textId="57BB464E" w:rsidR="00E85FA1" w:rsidRPr="00685B35" w:rsidRDefault="00E85FA1" w:rsidP="00685B35">
            <w:pPr>
              <w:pStyle w:val="Tablecolheadlandscape"/>
              <w:rPr>
                <w:b w:val="0"/>
              </w:rPr>
            </w:pPr>
            <w:r w:rsidRPr="00685B35">
              <w:rPr>
                <w:rFonts w:cs="Times New Roman"/>
              </w:rPr>
              <w:t>Health service</w:t>
            </w:r>
          </w:p>
        </w:tc>
        <w:tc>
          <w:tcPr>
            <w:tcW w:w="1817" w:type="dxa"/>
            <w:shd w:val="clear" w:color="auto" w:fill="auto"/>
            <w:hideMark/>
          </w:tcPr>
          <w:p w14:paraId="2AB8EFBE" w14:textId="77777777" w:rsidR="00E85FA1" w:rsidRPr="00685B35" w:rsidRDefault="00E85FA1" w:rsidP="00685B35">
            <w:pPr>
              <w:pStyle w:val="Tablecolheadlandscape"/>
              <w:jc w:val="right"/>
              <w:rPr>
                <w:b w:val="0"/>
              </w:rPr>
            </w:pPr>
            <w:r w:rsidRPr="00685B35">
              <w:rPr>
                <w:rFonts w:cs="Times New Roman"/>
              </w:rPr>
              <w:t>Mental health funded bed – acute specialist</w:t>
            </w:r>
          </w:p>
        </w:tc>
        <w:tc>
          <w:tcPr>
            <w:tcW w:w="1818" w:type="dxa"/>
            <w:shd w:val="clear" w:color="auto" w:fill="auto"/>
            <w:hideMark/>
          </w:tcPr>
          <w:p w14:paraId="13D208A5" w14:textId="77777777" w:rsidR="00E85FA1" w:rsidRPr="00685B35" w:rsidRDefault="00E85FA1" w:rsidP="00685B35">
            <w:pPr>
              <w:pStyle w:val="Tablecolheadlandscape"/>
              <w:jc w:val="right"/>
              <w:rPr>
                <w:b w:val="0"/>
              </w:rPr>
            </w:pPr>
            <w:r w:rsidRPr="00685B35">
              <w:rPr>
                <w:rFonts w:cs="Times New Roman"/>
              </w:rPr>
              <w:t>Mental health funded bed – acute adult</w:t>
            </w:r>
          </w:p>
        </w:tc>
        <w:tc>
          <w:tcPr>
            <w:tcW w:w="1818" w:type="dxa"/>
            <w:shd w:val="clear" w:color="auto" w:fill="auto"/>
            <w:hideMark/>
          </w:tcPr>
          <w:p w14:paraId="7BA25364" w14:textId="77777777" w:rsidR="00E85FA1" w:rsidRPr="00685B35" w:rsidRDefault="00E85FA1" w:rsidP="00685B35">
            <w:pPr>
              <w:pStyle w:val="Tablecolheadlandscape"/>
              <w:jc w:val="right"/>
              <w:rPr>
                <w:b w:val="0"/>
              </w:rPr>
            </w:pPr>
            <w:r w:rsidRPr="00685B35">
              <w:rPr>
                <w:rFonts w:cs="Times New Roman"/>
              </w:rPr>
              <w:t>Mental health funded bed – acute aged</w:t>
            </w:r>
          </w:p>
        </w:tc>
        <w:tc>
          <w:tcPr>
            <w:tcW w:w="1818" w:type="dxa"/>
            <w:shd w:val="clear" w:color="auto" w:fill="auto"/>
            <w:hideMark/>
          </w:tcPr>
          <w:p w14:paraId="1D661F0A" w14:textId="77777777" w:rsidR="00E85FA1" w:rsidRPr="00685B35" w:rsidRDefault="00E85FA1" w:rsidP="00685B35">
            <w:pPr>
              <w:pStyle w:val="Tablecolheadlandscape"/>
              <w:jc w:val="right"/>
              <w:rPr>
                <w:b w:val="0"/>
              </w:rPr>
            </w:pPr>
            <w:r w:rsidRPr="00685B35">
              <w:rPr>
                <w:rFonts w:cs="Times New Roman"/>
              </w:rPr>
              <w:t>Mental health funded bed – acute child and adolescent</w:t>
            </w:r>
          </w:p>
        </w:tc>
        <w:tc>
          <w:tcPr>
            <w:tcW w:w="1818" w:type="dxa"/>
            <w:shd w:val="clear" w:color="auto" w:fill="auto"/>
            <w:hideMark/>
          </w:tcPr>
          <w:p w14:paraId="2DFC6150" w14:textId="77777777" w:rsidR="00E85FA1" w:rsidRPr="00685B35" w:rsidRDefault="00E85FA1" w:rsidP="00685B35">
            <w:pPr>
              <w:pStyle w:val="Tablecolheadlandscape"/>
              <w:jc w:val="right"/>
              <w:rPr>
                <w:b w:val="0"/>
              </w:rPr>
            </w:pPr>
            <w:r w:rsidRPr="00685B35">
              <w:rPr>
                <w:rFonts w:cs="Times New Roman"/>
              </w:rPr>
              <w:t>Total</w:t>
            </w:r>
          </w:p>
          <w:p w14:paraId="71C171E9" w14:textId="462E0750" w:rsidR="00E85FA1" w:rsidRPr="00685B35" w:rsidRDefault="00E85FA1" w:rsidP="00685B35">
            <w:pPr>
              <w:pStyle w:val="Tablecolheadlandscape"/>
              <w:jc w:val="right"/>
              <w:rPr>
                <w:b w:val="0"/>
              </w:rPr>
            </w:pPr>
            <w:r w:rsidRPr="00685B35">
              <w:rPr>
                <w:rFonts w:cs="Times New Roman"/>
              </w:rPr>
              <w:t xml:space="preserve">Mental health funded acute bed </w:t>
            </w:r>
          </w:p>
        </w:tc>
        <w:tc>
          <w:tcPr>
            <w:tcW w:w="1818" w:type="dxa"/>
            <w:shd w:val="clear" w:color="auto" w:fill="auto"/>
            <w:hideMark/>
          </w:tcPr>
          <w:p w14:paraId="5C7A481C" w14:textId="77777777" w:rsidR="00E85FA1" w:rsidRPr="00685B35" w:rsidRDefault="00E85FA1" w:rsidP="00685B35">
            <w:pPr>
              <w:pStyle w:val="Tablecolheadlandscape"/>
              <w:jc w:val="right"/>
              <w:rPr>
                <w:b w:val="0"/>
              </w:rPr>
            </w:pPr>
            <w:r w:rsidRPr="00685B35">
              <w:rPr>
                <w:rFonts w:cs="Times New Roman"/>
              </w:rPr>
              <w:t>Total</w:t>
            </w:r>
          </w:p>
          <w:p w14:paraId="253BE917" w14:textId="5A2D435F" w:rsidR="00E85FA1" w:rsidRPr="00685B35" w:rsidRDefault="00E85FA1" w:rsidP="00685B35">
            <w:pPr>
              <w:pStyle w:val="Tablecolheadlandscape"/>
              <w:jc w:val="right"/>
              <w:rPr>
                <w:b w:val="0"/>
              </w:rPr>
            </w:pPr>
            <w:r w:rsidRPr="00685B35">
              <w:rPr>
                <w:rFonts w:cs="Times New Roman"/>
              </w:rPr>
              <w:t>Mental health funded acute bed days</w:t>
            </w:r>
          </w:p>
        </w:tc>
      </w:tr>
      <w:tr w:rsidR="00742C12" w:rsidRPr="003262DA" w14:paraId="3CB4CC5C" w14:textId="77777777" w:rsidTr="00742C12">
        <w:trPr>
          <w:trHeight w:val="300"/>
        </w:trPr>
        <w:tc>
          <w:tcPr>
            <w:tcW w:w="3400" w:type="dxa"/>
            <w:shd w:val="clear" w:color="auto" w:fill="auto"/>
            <w:hideMark/>
          </w:tcPr>
          <w:p w14:paraId="738B0894" w14:textId="77777777" w:rsidR="00EB3F8E" w:rsidRPr="00685B35" w:rsidRDefault="00EB3F8E" w:rsidP="00EB3F8E">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Albury Wodonga Health</w:t>
            </w:r>
          </w:p>
        </w:tc>
        <w:tc>
          <w:tcPr>
            <w:tcW w:w="1817" w:type="dxa"/>
            <w:shd w:val="clear" w:color="auto" w:fill="auto"/>
            <w:hideMark/>
          </w:tcPr>
          <w:p w14:paraId="37D50F3A"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03B5E87C"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15</w:t>
            </w:r>
          </w:p>
        </w:tc>
        <w:tc>
          <w:tcPr>
            <w:tcW w:w="1818" w:type="dxa"/>
            <w:shd w:val="clear" w:color="auto" w:fill="auto"/>
            <w:hideMark/>
          </w:tcPr>
          <w:p w14:paraId="74A48A4D"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5</w:t>
            </w:r>
          </w:p>
        </w:tc>
        <w:tc>
          <w:tcPr>
            <w:tcW w:w="1818" w:type="dxa"/>
            <w:shd w:val="clear" w:color="auto" w:fill="auto"/>
            <w:hideMark/>
          </w:tcPr>
          <w:p w14:paraId="675AA115"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1AE29F3D" w14:textId="77777777" w:rsidR="00EB3F8E" w:rsidRPr="009606BD" w:rsidRDefault="00EB3F8E" w:rsidP="00EB3F8E">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20</w:t>
            </w:r>
          </w:p>
        </w:tc>
        <w:tc>
          <w:tcPr>
            <w:tcW w:w="1818" w:type="dxa"/>
            <w:shd w:val="clear" w:color="auto" w:fill="auto"/>
            <w:hideMark/>
          </w:tcPr>
          <w:p w14:paraId="03039D43" w14:textId="77777777" w:rsidR="00EB3F8E" w:rsidRPr="009606BD" w:rsidRDefault="00EB3F8E" w:rsidP="00EB3F8E">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7,305</w:t>
            </w:r>
          </w:p>
        </w:tc>
      </w:tr>
      <w:tr w:rsidR="00742C12" w:rsidRPr="003262DA" w14:paraId="34F4F207" w14:textId="77777777" w:rsidTr="00742C12">
        <w:trPr>
          <w:trHeight w:val="300"/>
        </w:trPr>
        <w:tc>
          <w:tcPr>
            <w:tcW w:w="3400" w:type="dxa"/>
            <w:shd w:val="clear" w:color="auto" w:fill="auto"/>
            <w:hideMark/>
          </w:tcPr>
          <w:p w14:paraId="7F10C807" w14:textId="77777777" w:rsidR="00EB3F8E" w:rsidRPr="00685B35" w:rsidRDefault="00EB3F8E" w:rsidP="00EB3F8E">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Alfred Health</w:t>
            </w:r>
          </w:p>
        </w:tc>
        <w:tc>
          <w:tcPr>
            <w:tcW w:w="1817" w:type="dxa"/>
            <w:shd w:val="clear" w:color="auto" w:fill="auto"/>
            <w:hideMark/>
          </w:tcPr>
          <w:p w14:paraId="41D6A6E2" w14:textId="51971B8E" w:rsidR="00EB3F8E" w:rsidRPr="00685B35" w:rsidRDefault="00FE2FD2"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35</w:t>
            </w:r>
          </w:p>
        </w:tc>
        <w:tc>
          <w:tcPr>
            <w:tcW w:w="1818" w:type="dxa"/>
            <w:shd w:val="clear" w:color="auto" w:fill="auto"/>
            <w:hideMark/>
          </w:tcPr>
          <w:p w14:paraId="62CD0D22" w14:textId="6BF8BF82"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5</w:t>
            </w:r>
            <w:r w:rsidR="00FE2FD2" w:rsidRPr="00685B35">
              <w:rPr>
                <w:rFonts w:cs="Arial"/>
                <w:color w:val="000000" w:themeColor="text1"/>
                <w:sz w:val="16"/>
                <w:szCs w:val="16"/>
                <w:lang w:eastAsia="en-AU"/>
              </w:rPr>
              <w:t>8</w:t>
            </w:r>
          </w:p>
        </w:tc>
        <w:tc>
          <w:tcPr>
            <w:tcW w:w="1818" w:type="dxa"/>
            <w:shd w:val="clear" w:color="auto" w:fill="auto"/>
            <w:hideMark/>
          </w:tcPr>
          <w:p w14:paraId="6F7DB3CE"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15</w:t>
            </w:r>
          </w:p>
        </w:tc>
        <w:tc>
          <w:tcPr>
            <w:tcW w:w="1818" w:type="dxa"/>
            <w:shd w:val="clear" w:color="auto" w:fill="auto"/>
            <w:hideMark/>
          </w:tcPr>
          <w:p w14:paraId="4467D99A"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5F13B4D9" w14:textId="68D9E6B0" w:rsidR="00EB3F8E" w:rsidRPr="009606BD" w:rsidRDefault="00EB3F8E" w:rsidP="00EB3F8E">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10</w:t>
            </w:r>
            <w:r w:rsidR="00FE2FD2" w:rsidRPr="009606BD">
              <w:rPr>
                <w:rFonts w:cs="Arial"/>
                <w:color w:val="000000" w:themeColor="text1"/>
                <w:sz w:val="16"/>
                <w:szCs w:val="16"/>
                <w:lang w:eastAsia="en-AU"/>
              </w:rPr>
              <w:t>8</w:t>
            </w:r>
          </w:p>
        </w:tc>
        <w:tc>
          <w:tcPr>
            <w:tcW w:w="1818" w:type="dxa"/>
            <w:shd w:val="clear" w:color="auto" w:fill="auto"/>
            <w:hideMark/>
          </w:tcPr>
          <w:p w14:paraId="120DC2C0" w14:textId="188F53A1" w:rsidR="00EB3F8E" w:rsidRPr="009606BD" w:rsidRDefault="00EB3F8E" w:rsidP="00EB3F8E">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3</w:t>
            </w:r>
            <w:r w:rsidR="006911AC" w:rsidRPr="009606BD">
              <w:rPr>
                <w:rFonts w:cs="Arial"/>
                <w:color w:val="000000" w:themeColor="text1"/>
                <w:sz w:val="16"/>
                <w:szCs w:val="16"/>
                <w:lang w:eastAsia="en-AU"/>
              </w:rPr>
              <w:t>7</w:t>
            </w:r>
            <w:r w:rsidRPr="009606BD">
              <w:rPr>
                <w:rFonts w:cs="Arial"/>
                <w:color w:val="000000" w:themeColor="text1"/>
                <w:sz w:val="16"/>
                <w:szCs w:val="16"/>
                <w:lang w:eastAsia="en-AU"/>
              </w:rPr>
              <w:t>,</w:t>
            </w:r>
            <w:r w:rsidR="006911AC" w:rsidRPr="009606BD">
              <w:rPr>
                <w:rFonts w:cs="Arial"/>
                <w:color w:val="000000" w:themeColor="text1"/>
                <w:sz w:val="16"/>
                <w:szCs w:val="16"/>
                <w:lang w:eastAsia="en-AU"/>
              </w:rPr>
              <w:t>256</w:t>
            </w:r>
          </w:p>
        </w:tc>
      </w:tr>
      <w:tr w:rsidR="00742C12" w:rsidRPr="003262DA" w14:paraId="553922EA" w14:textId="77777777" w:rsidTr="00742C12">
        <w:trPr>
          <w:trHeight w:val="300"/>
        </w:trPr>
        <w:tc>
          <w:tcPr>
            <w:tcW w:w="3400" w:type="dxa"/>
            <w:shd w:val="clear" w:color="auto" w:fill="auto"/>
            <w:hideMark/>
          </w:tcPr>
          <w:p w14:paraId="33F5CBD0" w14:textId="77777777" w:rsidR="00EB3F8E" w:rsidRPr="00685B35" w:rsidRDefault="00EB3F8E" w:rsidP="00EB3F8E">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Austin Health</w:t>
            </w:r>
          </w:p>
        </w:tc>
        <w:tc>
          <w:tcPr>
            <w:tcW w:w="1817" w:type="dxa"/>
            <w:shd w:val="clear" w:color="auto" w:fill="auto"/>
            <w:hideMark/>
          </w:tcPr>
          <w:p w14:paraId="7798B929" w14:textId="3FBEBD3F" w:rsidR="00EB3F8E" w:rsidRPr="00685B35" w:rsidRDefault="00FE2FD2"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11</w:t>
            </w:r>
          </w:p>
        </w:tc>
        <w:tc>
          <w:tcPr>
            <w:tcW w:w="1818" w:type="dxa"/>
            <w:shd w:val="clear" w:color="auto" w:fill="auto"/>
            <w:hideMark/>
          </w:tcPr>
          <w:p w14:paraId="3904487D"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53</w:t>
            </w:r>
          </w:p>
        </w:tc>
        <w:tc>
          <w:tcPr>
            <w:tcW w:w="1818" w:type="dxa"/>
            <w:shd w:val="clear" w:color="auto" w:fill="auto"/>
            <w:hideMark/>
          </w:tcPr>
          <w:p w14:paraId="745DC125"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4BC78B32"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23</w:t>
            </w:r>
          </w:p>
        </w:tc>
        <w:tc>
          <w:tcPr>
            <w:tcW w:w="1818" w:type="dxa"/>
            <w:shd w:val="clear" w:color="auto" w:fill="auto"/>
            <w:hideMark/>
          </w:tcPr>
          <w:p w14:paraId="4133E697" w14:textId="07418B7D" w:rsidR="00EB3F8E" w:rsidRPr="009606BD" w:rsidRDefault="00FE2FD2" w:rsidP="00EB3F8E">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87</w:t>
            </w:r>
          </w:p>
        </w:tc>
        <w:tc>
          <w:tcPr>
            <w:tcW w:w="1818" w:type="dxa"/>
            <w:shd w:val="clear" w:color="auto" w:fill="auto"/>
            <w:hideMark/>
          </w:tcPr>
          <w:p w14:paraId="7F21F822" w14:textId="51170A18" w:rsidR="00EB3F8E" w:rsidRPr="009606BD" w:rsidRDefault="00FE2FD2" w:rsidP="00EB3F8E">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31,777</w:t>
            </w:r>
          </w:p>
        </w:tc>
      </w:tr>
      <w:tr w:rsidR="00742C12" w:rsidRPr="003262DA" w14:paraId="4869DCD7" w14:textId="77777777" w:rsidTr="00742C12">
        <w:trPr>
          <w:trHeight w:val="300"/>
        </w:trPr>
        <w:tc>
          <w:tcPr>
            <w:tcW w:w="3400" w:type="dxa"/>
            <w:shd w:val="clear" w:color="auto" w:fill="auto"/>
            <w:hideMark/>
          </w:tcPr>
          <w:p w14:paraId="05D49007" w14:textId="77777777" w:rsidR="00EB3F8E" w:rsidRPr="00685B35" w:rsidRDefault="00EB3F8E" w:rsidP="00EB3F8E">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Barwon Health</w:t>
            </w:r>
          </w:p>
        </w:tc>
        <w:tc>
          <w:tcPr>
            <w:tcW w:w="1817" w:type="dxa"/>
            <w:shd w:val="clear" w:color="auto" w:fill="auto"/>
            <w:hideMark/>
          </w:tcPr>
          <w:p w14:paraId="46A60A40"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6AE40B72"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44</w:t>
            </w:r>
          </w:p>
        </w:tc>
        <w:tc>
          <w:tcPr>
            <w:tcW w:w="1818" w:type="dxa"/>
            <w:shd w:val="clear" w:color="auto" w:fill="auto"/>
            <w:hideMark/>
          </w:tcPr>
          <w:p w14:paraId="4997F838"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6</w:t>
            </w:r>
          </w:p>
        </w:tc>
        <w:tc>
          <w:tcPr>
            <w:tcW w:w="1818" w:type="dxa"/>
            <w:shd w:val="clear" w:color="auto" w:fill="auto"/>
            <w:hideMark/>
          </w:tcPr>
          <w:p w14:paraId="661A5415"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1B189E5F" w14:textId="77777777" w:rsidR="00EB3F8E" w:rsidRPr="009606BD" w:rsidRDefault="00EB3F8E" w:rsidP="00EB3F8E">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50</w:t>
            </w:r>
          </w:p>
        </w:tc>
        <w:tc>
          <w:tcPr>
            <w:tcW w:w="1818" w:type="dxa"/>
            <w:shd w:val="clear" w:color="auto" w:fill="auto"/>
            <w:hideMark/>
          </w:tcPr>
          <w:p w14:paraId="1A8055D7" w14:textId="3F4D6AE6" w:rsidR="00EB3F8E" w:rsidRPr="009606BD" w:rsidRDefault="006911AC" w:rsidP="00EB3F8E">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18,263</w:t>
            </w:r>
          </w:p>
        </w:tc>
      </w:tr>
      <w:tr w:rsidR="00742C12" w:rsidRPr="003262DA" w14:paraId="0EBDF043" w14:textId="77777777" w:rsidTr="00742C12">
        <w:trPr>
          <w:trHeight w:val="300"/>
        </w:trPr>
        <w:tc>
          <w:tcPr>
            <w:tcW w:w="3400" w:type="dxa"/>
            <w:shd w:val="clear" w:color="auto" w:fill="auto"/>
            <w:hideMark/>
          </w:tcPr>
          <w:p w14:paraId="204A05BD" w14:textId="77777777" w:rsidR="00EB3F8E" w:rsidRPr="00685B35" w:rsidRDefault="00EB3F8E" w:rsidP="00EB3F8E">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Bendigo Health Care Group</w:t>
            </w:r>
          </w:p>
        </w:tc>
        <w:tc>
          <w:tcPr>
            <w:tcW w:w="1817" w:type="dxa"/>
            <w:shd w:val="clear" w:color="auto" w:fill="auto"/>
            <w:hideMark/>
          </w:tcPr>
          <w:p w14:paraId="52CAF123"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5</w:t>
            </w:r>
          </w:p>
        </w:tc>
        <w:tc>
          <w:tcPr>
            <w:tcW w:w="1818" w:type="dxa"/>
            <w:shd w:val="clear" w:color="auto" w:fill="auto"/>
            <w:hideMark/>
          </w:tcPr>
          <w:p w14:paraId="4E919E83"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35</w:t>
            </w:r>
          </w:p>
        </w:tc>
        <w:tc>
          <w:tcPr>
            <w:tcW w:w="1818" w:type="dxa"/>
            <w:shd w:val="clear" w:color="auto" w:fill="auto"/>
            <w:hideMark/>
          </w:tcPr>
          <w:p w14:paraId="437AD66A"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20</w:t>
            </w:r>
          </w:p>
        </w:tc>
        <w:tc>
          <w:tcPr>
            <w:tcW w:w="1818" w:type="dxa"/>
            <w:shd w:val="clear" w:color="auto" w:fill="auto"/>
            <w:hideMark/>
          </w:tcPr>
          <w:p w14:paraId="5A807DA4"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0E60F451" w14:textId="77777777" w:rsidR="00EB3F8E" w:rsidRPr="009606BD" w:rsidRDefault="00EB3F8E" w:rsidP="00EB3F8E">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60</w:t>
            </w:r>
          </w:p>
        </w:tc>
        <w:tc>
          <w:tcPr>
            <w:tcW w:w="1818" w:type="dxa"/>
            <w:shd w:val="clear" w:color="auto" w:fill="auto"/>
            <w:hideMark/>
          </w:tcPr>
          <w:p w14:paraId="388984F1" w14:textId="77777777" w:rsidR="00EB3F8E" w:rsidRPr="009606BD" w:rsidRDefault="00EB3F8E" w:rsidP="00EB3F8E">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21,915</w:t>
            </w:r>
          </w:p>
        </w:tc>
      </w:tr>
      <w:tr w:rsidR="00742C12" w:rsidRPr="003262DA" w14:paraId="1372872D" w14:textId="77777777" w:rsidTr="00742C12">
        <w:trPr>
          <w:trHeight w:val="300"/>
        </w:trPr>
        <w:tc>
          <w:tcPr>
            <w:tcW w:w="3400" w:type="dxa"/>
            <w:shd w:val="clear" w:color="auto" w:fill="auto"/>
            <w:hideMark/>
          </w:tcPr>
          <w:p w14:paraId="27B70498" w14:textId="77777777" w:rsidR="00EB3F8E" w:rsidRPr="00685B35" w:rsidRDefault="00EB3F8E" w:rsidP="00EB3F8E">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Eastern Health</w:t>
            </w:r>
          </w:p>
        </w:tc>
        <w:tc>
          <w:tcPr>
            <w:tcW w:w="1817" w:type="dxa"/>
            <w:shd w:val="clear" w:color="auto" w:fill="auto"/>
            <w:hideMark/>
          </w:tcPr>
          <w:p w14:paraId="33381549"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099551BD"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88</w:t>
            </w:r>
          </w:p>
        </w:tc>
        <w:tc>
          <w:tcPr>
            <w:tcW w:w="1818" w:type="dxa"/>
            <w:shd w:val="clear" w:color="auto" w:fill="auto"/>
            <w:hideMark/>
          </w:tcPr>
          <w:p w14:paraId="406D6653"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30</w:t>
            </w:r>
          </w:p>
        </w:tc>
        <w:tc>
          <w:tcPr>
            <w:tcW w:w="1818" w:type="dxa"/>
            <w:shd w:val="clear" w:color="auto" w:fill="auto"/>
            <w:hideMark/>
          </w:tcPr>
          <w:p w14:paraId="3FFB4D80"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12</w:t>
            </w:r>
          </w:p>
        </w:tc>
        <w:tc>
          <w:tcPr>
            <w:tcW w:w="1818" w:type="dxa"/>
            <w:shd w:val="clear" w:color="auto" w:fill="auto"/>
            <w:hideMark/>
          </w:tcPr>
          <w:p w14:paraId="26D90F0E" w14:textId="77777777" w:rsidR="00EB3F8E" w:rsidRPr="009606BD" w:rsidRDefault="00EB3F8E" w:rsidP="00EB3F8E">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130</w:t>
            </w:r>
          </w:p>
        </w:tc>
        <w:tc>
          <w:tcPr>
            <w:tcW w:w="1818" w:type="dxa"/>
            <w:shd w:val="clear" w:color="auto" w:fill="auto"/>
            <w:hideMark/>
          </w:tcPr>
          <w:p w14:paraId="7023409C" w14:textId="77777777" w:rsidR="00EB3F8E" w:rsidRPr="009606BD" w:rsidRDefault="00EB3F8E" w:rsidP="00EB3F8E">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47,483</w:t>
            </w:r>
          </w:p>
        </w:tc>
      </w:tr>
      <w:tr w:rsidR="00742C12" w:rsidRPr="003262DA" w14:paraId="4A470CA5" w14:textId="77777777" w:rsidTr="00742C12">
        <w:trPr>
          <w:trHeight w:val="300"/>
        </w:trPr>
        <w:tc>
          <w:tcPr>
            <w:tcW w:w="3400" w:type="dxa"/>
            <w:shd w:val="clear" w:color="auto" w:fill="auto"/>
            <w:hideMark/>
          </w:tcPr>
          <w:p w14:paraId="2BB88F68" w14:textId="77777777" w:rsidR="00EB3F8E" w:rsidRPr="00685B35" w:rsidRDefault="00EB3F8E" w:rsidP="00EB3F8E">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Goulburn Valley Health</w:t>
            </w:r>
          </w:p>
        </w:tc>
        <w:tc>
          <w:tcPr>
            <w:tcW w:w="1817" w:type="dxa"/>
            <w:shd w:val="clear" w:color="auto" w:fill="auto"/>
            <w:hideMark/>
          </w:tcPr>
          <w:p w14:paraId="62625C40"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7279EA6C"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15</w:t>
            </w:r>
          </w:p>
        </w:tc>
        <w:tc>
          <w:tcPr>
            <w:tcW w:w="1818" w:type="dxa"/>
            <w:shd w:val="clear" w:color="auto" w:fill="auto"/>
            <w:hideMark/>
          </w:tcPr>
          <w:p w14:paraId="4A233602"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5</w:t>
            </w:r>
          </w:p>
        </w:tc>
        <w:tc>
          <w:tcPr>
            <w:tcW w:w="1818" w:type="dxa"/>
            <w:shd w:val="clear" w:color="auto" w:fill="auto"/>
            <w:hideMark/>
          </w:tcPr>
          <w:p w14:paraId="43DBBF78" w14:textId="77777777" w:rsidR="00EB3F8E" w:rsidRPr="00685B35" w:rsidRDefault="00EB3F8E" w:rsidP="00EB3F8E">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604D4924" w14:textId="77777777" w:rsidR="00EB3F8E" w:rsidRPr="009606BD" w:rsidRDefault="00EB3F8E" w:rsidP="00EB3F8E">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20</w:t>
            </w:r>
          </w:p>
        </w:tc>
        <w:tc>
          <w:tcPr>
            <w:tcW w:w="1818" w:type="dxa"/>
            <w:shd w:val="clear" w:color="auto" w:fill="auto"/>
            <w:hideMark/>
          </w:tcPr>
          <w:p w14:paraId="0FFBCF29" w14:textId="77777777" w:rsidR="00EB3F8E" w:rsidRPr="009606BD" w:rsidRDefault="00EB3F8E" w:rsidP="00EB3F8E">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7,305</w:t>
            </w:r>
          </w:p>
        </w:tc>
      </w:tr>
      <w:tr w:rsidR="000C78C2" w:rsidRPr="003262DA" w14:paraId="37E957A3" w14:textId="77777777" w:rsidTr="00742C12">
        <w:trPr>
          <w:trHeight w:val="300"/>
        </w:trPr>
        <w:tc>
          <w:tcPr>
            <w:tcW w:w="3400" w:type="dxa"/>
            <w:shd w:val="clear" w:color="auto" w:fill="auto"/>
          </w:tcPr>
          <w:p w14:paraId="01108A68" w14:textId="4B425A62" w:rsidR="000C78C2" w:rsidRPr="00685B35" w:rsidRDefault="000C78C2" w:rsidP="000C78C2">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Grampians Health</w:t>
            </w:r>
          </w:p>
        </w:tc>
        <w:tc>
          <w:tcPr>
            <w:tcW w:w="1817" w:type="dxa"/>
            <w:shd w:val="clear" w:color="auto" w:fill="auto"/>
          </w:tcPr>
          <w:p w14:paraId="729A72D2" w14:textId="4B92348C"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5</w:t>
            </w:r>
          </w:p>
        </w:tc>
        <w:tc>
          <w:tcPr>
            <w:tcW w:w="1818" w:type="dxa"/>
            <w:shd w:val="clear" w:color="auto" w:fill="auto"/>
          </w:tcPr>
          <w:p w14:paraId="2A33E797" w14:textId="42F6BB9F"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23</w:t>
            </w:r>
          </w:p>
        </w:tc>
        <w:tc>
          <w:tcPr>
            <w:tcW w:w="1818" w:type="dxa"/>
            <w:shd w:val="clear" w:color="auto" w:fill="auto"/>
          </w:tcPr>
          <w:p w14:paraId="24485044" w14:textId="0E8897A9"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10</w:t>
            </w:r>
          </w:p>
        </w:tc>
        <w:tc>
          <w:tcPr>
            <w:tcW w:w="1818" w:type="dxa"/>
            <w:shd w:val="clear" w:color="auto" w:fill="auto"/>
          </w:tcPr>
          <w:p w14:paraId="053C1454" w14:textId="292EDA28"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w:t>
            </w:r>
          </w:p>
        </w:tc>
        <w:tc>
          <w:tcPr>
            <w:tcW w:w="1818" w:type="dxa"/>
            <w:shd w:val="clear" w:color="auto" w:fill="auto"/>
          </w:tcPr>
          <w:p w14:paraId="6CE482E6" w14:textId="0573E702" w:rsidR="000C78C2" w:rsidRPr="009606BD" w:rsidRDefault="000C78C2" w:rsidP="000C78C2">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40</w:t>
            </w:r>
          </w:p>
        </w:tc>
        <w:tc>
          <w:tcPr>
            <w:tcW w:w="1818" w:type="dxa"/>
            <w:shd w:val="clear" w:color="auto" w:fill="auto"/>
          </w:tcPr>
          <w:p w14:paraId="157EAE17" w14:textId="4A71ED3A" w:rsidR="000C78C2" w:rsidRPr="009606BD" w:rsidRDefault="000C78C2" w:rsidP="000C78C2">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14,610</w:t>
            </w:r>
          </w:p>
        </w:tc>
      </w:tr>
      <w:tr w:rsidR="000C78C2" w:rsidRPr="003262DA" w14:paraId="2989158D" w14:textId="77777777" w:rsidTr="00742C12">
        <w:trPr>
          <w:trHeight w:val="300"/>
        </w:trPr>
        <w:tc>
          <w:tcPr>
            <w:tcW w:w="3400" w:type="dxa"/>
            <w:shd w:val="clear" w:color="auto" w:fill="auto"/>
            <w:hideMark/>
          </w:tcPr>
          <w:p w14:paraId="22BCEAFD" w14:textId="77777777" w:rsidR="000C78C2" w:rsidRPr="00685B35" w:rsidRDefault="000C78C2" w:rsidP="000C78C2">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Latrobe Regional</w:t>
            </w:r>
          </w:p>
        </w:tc>
        <w:tc>
          <w:tcPr>
            <w:tcW w:w="1817" w:type="dxa"/>
            <w:shd w:val="clear" w:color="auto" w:fill="auto"/>
            <w:hideMark/>
          </w:tcPr>
          <w:p w14:paraId="448FA59B" w14:textId="77777777"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5</w:t>
            </w:r>
          </w:p>
        </w:tc>
        <w:tc>
          <w:tcPr>
            <w:tcW w:w="1818" w:type="dxa"/>
            <w:shd w:val="clear" w:color="auto" w:fill="auto"/>
            <w:hideMark/>
          </w:tcPr>
          <w:p w14:paraId="55D0FFE7" w14:textId="77777777"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29</w:t>
            </w:r>
          </w:p>
        </w:tc>
        <w:tc>
          <w:tcPr>
            <w:tcW w:w="1818" w:type="dxa"/>
            <w:shd w:val="clear" w:color="auto" w:fill="auto"/>
            <w:hideMark/>
          </w:tcPr>
          <w:p w14:paraId="4DF61D87" w14:textId="77777777"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10</w:t>
            </w:r>
          </w:p>
        </w:tc>
        <w:tc>
          <w:tcPr>
            <w:tcW w:w="1818" w:type="dxa"/>
            <w:shd w:val="clear" w:color="auto" w:fill="auto"/>
            <w:hideMark/>
          </w:tcPr>
          <w:p w14:paraId="75D7B15C" w14:textId="77777777"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w:t>
            </w:r>
          </w:p>
        </w:tc>
        <w:tc>
          <w:tcPr>
            <w:tcW w:w="1818" w:type="dxa"/>
            <w:shd w:val="clear" w:color="auto" w:fill="auto"/>
            <w:hideMark/>
          </w:tcPr>
          <w:p w14:paraId="6EBC1725" w14:textId="77777777" w:rsidR="000C78C2" w:rsidRPr="009606BD" w:rsidRDefault="000C78C2" w:rsidP="000C78C2">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46</w:t>
            </w:r>
          </w:p>
        </w:tc>
        <w:tc>
          <w:tcPr>
            <w:tcW w:w="1818" w:type="dxa"/>
            <w:shd w:val="clear" w:color="auto" w:fill="auto"/>
            <w:hideMark/>
          </w:tcPr>
          <w:p w14:paraId="40D0E90B" w14:textId="77777777" w:rsidR="000C78C2" w:rsidRPr="009606BD" w:rsidRDefault="000C78C2" w:rsidP="000C78C2">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16,802</w:t>
            </w:r>
          </w:p>
        </w:tc>
      </w:tr>
      <w:tr w:rsidR="000C78C2" w:rsidRPr="003262DA" w14:paraId="7A18C990" w14:textId="77777777" w:rsidTr="00742C12">
        <w:trPr>
          <w:trHeight w:val="300"/>
        </w:trPr>
        <w:tc>
          <w:tcPr>
            <w:tcW w:w="3400" w:type="dxa"/>
            <w:shd w:val="clear" w:color="auto" w:fill="auto"/>
          </w:tcPr>
          <w:p w14:paraId="1EB82B73" w14:textId="20CD4B10" w:rsidR="000C78C2" w:rsidRPr="00685B35" w:rsidRDefault="000C78C2" w:rsidP="000C78C2">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Melbourne Health</w:t>
            </w:r>
          </w:p>
        </w:tc>
        <w:tc>
          <w:tcPr>
            <w:tcW w:w="1817" w:type="dxa"/>
            <w:shd w:val="clear" w:color="auto" w:fill="auto"/>
          </w:tcPr>
          <w:p w14:paraId="1A67948D" w14:textId="7679824A"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16</w:t>
            </w:r>
          </w:p>
        </w:tc>
        <w:tc>
          <w:tcPr>
            <w:tcW w:w="1818" w:type="dxa"/>
            <w:shd w:val="clear" w:color="auto" w:fill="auto"/>
          </w:tcPr>
          <w:p w14:paraId="12BA9A6D" w14:textId="3DC11491"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73</w:t>
            </w:r>
          </w:p>
        </w:tc>
        <w:tc>
          <w:tcPr>
            <w:tcW w:w="1818" w:type="dxa"/>
            <w:shd w:val="clear" w:color="auto" w:fill="auto"/>
          </w:tcPr>
          <w:p w14:paraId="1BC2F9BA" w14:textId="333EE554" w:rsidR="000C78C2" w:rsidRPr="00685B35" w:rsidRDefault="000C78C2" w:rsidP="000C78C2">
            <w:pPr>
              <w:spacing w:after="0" w:line="240" w:lineRule="auto"/>
              <w:jc w:val="right"/>
              <w:rPr>
                <w:rFonts w:cs="Arial"/>
                <w:color w:val="000000" w:themeColor="text1"/>
                <w:sz w:val="16"/>
                <w:szCs w:val="16"/>
                <w:lang w:eastAsia="en-AU"/>
              </w:rPr>
            </w:pPr>
          </w:p>
        </w:tc>
        <w:tc>
          <w:tcPr>
            <w:tcW w:w="1818" w:type="dxa"/>
            <w:shd w:val="clear" w:color="auto" w:fill="auto"/>
          </w:tcPr>
          <w:p w14:paraId="21F31BE7" w14:textId="3F8ABBD1"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tcPr>
          <w:p w14:paraId="068243C4" w14:textId="5FB00A8F" w:rsidR="000C78C2" w:rsidRPr="009606BD" w:rsidRDefault="000C78C2" w:rsidP="000C78C2">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89</w:t>
            </w:r>
          </w:p>
        </w:tc>
        <w:tc>
          <w:tcPr>
            <w:tcW w:w="1818" w:type="dxa"/>
            <w:shd w:val="clear" w:color="auto" w:fill="auto"/>
          </w:tcPr>
          <w:p w14:paraId="4E6E5752" w14:textId="2051C78D" w:rsidR="000C78C2" w:rsidRPr="009606BD" w:rsidRDefault="000C78C2" w:rsidP="000C78C2">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32,507</w:t>
            </w:r>
          </w:p>
        </w:tc>
      </w:tr>
      <w:tr w:rsidR="000C78C2" w:rsidRPr="003262DA" w14:paraId="12BE6042" w14:textId="77777777" w:rsidTr="00742C12">
        <w:trPr>
          <w:trHeight w:val="300"/>
        </w:trPr>
        <w:tc>
          <w:tcPr>
            <w:tcW w:w="3400" w:type="dxa"/>
            <w:shd w:val="clear" w:color="auto" w:fill="auto"/>
            <w:hideMark/>
          </w:tcPr>
          <w:p w14:paraId="0B0C91CD" w14:textId="3731CEDF" w:rsidR="000C78C2" w:rsidRPr="00685B35" w:rsidRDefault="000C78C2" w:rsidP="000C78C2">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Mercy Health</w:t>
            </w:r>
          </w:p>
        </w:tc>
        <w:tc>
          <w:tcPr>
            <w:tcW w:w="1817" w:type="dxa"/>
            <w:shd w:val="clear" w:color="auto" w:fill="auto"/>
            <w:hideMark/>
          </w:tcPr>
          <w:p w14:paraId="7C421533" w14:textId="22A198C5"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6</w:t>
            </w:r>
          </w:p>
        </w:tc>
        <w:tc>
          <w:tcPr>
            <w:tcW w:w="1818" w:type="dxa"/>
            <w:shd w:val="clear" w:color="auto" w:fill="auto"/>
            <w:hideMark/>
          </w:tcPr>
          <w:p w14:paraId="0E343A6B" w14:textId="2882902A"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54</w:t>
            </w:r>
          </w:p>
        </w:tc>
        <w:tc>
          <w:tcPr>
            <w:tcW w:w="1818" w:type="dxa"/>
            <w:shd w:val="clear" w:color="auto" w:fill="auto"/>
            <w:hideMark/>
          </w:tcPr>
          <w:p w14:paraId="04B1DC23" w14:textId="33E15D1F"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3656E635" w14:textId="07EF957F"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3ECA61A3" w14:textId="7014C107" w:rsidR="000C78C2" w:rsidRPr="009606BD" w:rsidRDefault="000C78C2" w:rsidP="000C78C2">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60</w:t>
            </w:r>
          </w:p>
        </w:tc>
        <w:tc>
          <w:tcPr>
            <w:tcW w:w="1818" w:type="dxa"/>
            <w:shd w:val="clear" w:color="auto" w:fill="auto"/>
            <w:hideMark/>
          </w:tcPr>
          <w:p w14:paraId="751070A5" w14:textId="54089669" w:rsidR="000C78C2" w:rsidRPr="009606BD" w:rsidRDefault="000C78C2" w:rsidP="000C78C2">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21,915</w:t>
            </w:r>
          </w:p>
        </w:tc>
      </w:tr>
      <w:tr w:rsidR="000C78C2" w:rsidRPr="003262DA" w14:paraId="6CA75731" w14:textId="77777777" w:rsidTr="00742C12">
        <w:trPr>
          <w:trHeight w:val="300"/>
        </w:trPr>
        <w:tc>
          <w:tcPr>
            <w:tcW w:w="3400" w:type="dxa"/>
            <w:shd w:val="clear" w:color="auto" w:fill="auto"/>
            <w:hideMark/>
          </w:tcPr>
          <w:p w14:paraId="2C7F7043" w14:textId="6EC1159F" w:rsidR="000C78C2" w:rsidRPr="00685B35" w:rsidRDefault="000C78C2" w:rsidP="000C78C2">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Monash Health</w:t>
            </w:r>
          </w:p>
        </w:tc>
        <w:tc>
          <w:tcPr>
            <w:tcW w:w="1817" w:type="dxa"/>
            <w:shd w:val="clear" w:color="auto" w:fill="auto"/>
            <w:hideMark/>
          </w:tcPr>
          <w:p w14:paraId="30027B3B" w14:textId="192D79DE"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8</w:t>
            </w:r>
          </w:p>
        </w:tc>
        <w:tc>
          <w:tcPr>
            <w:tcW w:w="1818" w:type="dxa"/>
            <w:shd w:val="clear" w:color="auto" w:fill="auto"/>
            <w:hideMark/>
          </w:tcPr>
          <w:p w14:paraId="6A3E4572" w14:textId="6B55E7E5"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111</w:t>
            </w:r>
          </w:p>
        </w:tc>
        <w:tc>
          <w:tcPr>
            <w:tcW w:w="1818" w:type="dxa"/>
            <w:shd w:val="clear" w:color="auto" w:fill="auto"/>
            <w:hideMark/>
          </w:tcPr>
          <w:p w14:paraId="71FB1D66" w14:textId="0AE4E440"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40</w:t>
            </w:r>
          </w:p>
        </w:tc>
        <w:tc>
          <w:tcPr>
            <w:tcW w:w="1818" w:type="dxa"/>
            <w:shd w:val="clear" w:color="auto" w:fill="auto"/>
            <w:hideMark/>
          </w:tcPr>
          <w:p w14:paraId="49A3BCFA" w14:textId="6A8D119B"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23</w:t>
            </w:r>
          </w:p>
        </w:tc>
        <w:tc>
          <w:tcPr>
            <w:tcW w:w="1818" w:type="dxa"/>
            <w:shd w:val="clear" w:color="auto" w:fill="auto"/>
            <w:hideMark/>
          </w:tcPr>
          <w:p w14:paraId="2995A474" w14:textId="53A5503D" w:rsidR="000C78C2" w:rsidRPr="009606BD" w:rsidRDefault="000C78C2" w:rsidP="000C78C2">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182</w:t>
            </w:r>
          </w:p>
        </w:tc>
        <w:tc>
          <w:tcPr>
            <w:tcW w:w="1818" w:type="dxa"/>
            <w:shd w:val="clear" w:color="auto" w:fill="auto"/>
            <w:hideMark/>
          </w:tcPr>
          <w:p w14:paraId="6CD2C39D" w14:textId="1E240CFA" w:rsidR="000C78C2" w:rsidRPr="009606BD" w:rsidRDefault="000C78C2" w:rsidP="000C78C2">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66,476</w:t>
            </w:r>
          </w:p>
        </w:tc>
      </w:tr>
      <w:tr w:rsidR="000C78C2" w:rsidRPr="003262DA" w14:paraId="3D73CFDA" w14:textId="77777777" w:rsidTr="00742C12">
        <w:trPr>
          <w:trHeight w:val="300"/>
        </w:trPr>
        <w:tc>
          <w:tcPr>
            <w:tcW w:w="3400" w:type="dxa"/>
            <w:shd w:val="clear" w:color="auto" w:fill="auto"/>
            <w:hideMark/>
          </w:tcPr>
          <w:p w14:paraId="6AC8E810" w14:textId="2BF8A94A" w:rsidR="000C78C2" w:rsidRPr="00685B35" w:rsidRDefault="000C78C2" w:rsidP="000C78C2">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Northern Health</w:t>
            </w:r>
          </w:p>
        </w:tc>
        <w:tc>
          <w:tcPr>
            <w:tcW w:w="1817" w:type="dxa"/>
            <w:shd w:val="clear" w:color="auto" w:fill="auto"/>
            <w:hideMark/>
          </w:tcPr>
          <w:p w14:paraId="387B91FE" w14:textId="2F0433D8"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779C9191" w14:textId="3D17816E"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99</w:t>
            </w:r>
          </w:p>
        </w:tc>
        <w:tc>
          <w:tcPr>
            <w:tcW w:w="1818" w:type="dxa"/>
            <w:shd w:val="clear" w:color="auto" w:fill="auto"/>
            <w:hideMark/>
          </w:tcPr>
          <w:p w14:paraId="4C894EC7" w14:textId="5F81BB63"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34 </w:t>
            </w:r>
          </w:p>
        </w:tc>
        <w:tc>
          <w:tcPr>
            <w:tcW w:w="1818" w:type="dxa"/>
            <w:shd w:val="clear" w:color="auto" w:fill="auto"/>
            <w:hideMark/>
          </w:tcPr>
          <w:p w14:paraId="4A9FFFBC" w14:textId="5924D63F"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7722A829" w14:textId="1F99E608" w:rsidR="000C78C2" w:rsidRPr="009606BD" w:rsidRDefault="000C78C2" w:rsidP="000C78C2">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133</w:t>
            </w:r>
          </w:p>
        </w:tc>
        <w:tc>
          <w:tcPr>
            <w:tcW w:w="1818" w:type="dxa"/>
            <w:shd w:val="clear" w:color="auto" w:fill="auto"/>
            <w:hideMark/>
          </w:tcPr>
          <w:p w14:paraId="079A1712" w14:textId="0A8A8746" w:rsidR="000C78C2" w:rsidRPr="009606BD" w:rsidRDefault="000C78C2" w:rsidP="000C78C2">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48,578</w:t>
            </w:r>
          </w:p>
        </w:tc>
      </w:tr>
      <w:tr w:rsidR="000C78C2" w:rsidRPr="003262DA" w14:paraId="3BEF7E9A" w14:textId="77777777" w:rsidTr="00742C12">
        <w:trPr>
          <w:trHeight w:val="300"/>
        </w:trPr>
        <w:tc>
          <w:tcPr>
            <w:tcW w:w="3400" w:type="dxa"/>
            <w:shd w:val="clear" w:color="auto" w:fill="auto"/>
            <w:hideMark/>
          </w:tcPr>
          <w:p w14:paraId="1EF9AE85" w14:textId="2992804D" w:rsidR="000C78C2" w:rsidRPr="00685B35" w:rsidRDefault="000C78C2" w:rsidP="000C78C2">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Peninsula Health</w:t>
            </w:r>
          </w:p>
        </w:tc>
        <w:tc>
          <w:tcPr>
            <w:tcW w:w="1817" w:type="dxa"/>
            <w:shd w:val="clear" w:color="auto" w:fill="auto"/>
            <w:hideMark/>
          </w:tcPr>
          <w:p w14:paraId="6BA8F35D" w14:textId="5938AE2C"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4B8D28D3" w14:textId="0CA59391"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35</w:t>
            </w:r>
          </w:p>
        </w:tc>
        <w:tc>
          <w:tcPr>
            <w:tcW w:w="1818" w:type="dxa"/>
            <w:shd w:val="clear" w:color="auto" w:fill="auto"/>
            <w:hideMark/>
          </w:tcPr>
          <w:p w14:paraId="0164122E" w14:textId="6E94E6A0"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15</w:t>
            </w:r>
          </w:p>
        </w:tc>
        <w:tc>
          <w:tcPr>
            <w:tcW w:w="1818" w:type="dxa"/>
            <w:shd w:val="clear" w:color="auto" w:fill="auto"/>
            <w:hideMark/>
          </w:tcPr>
          <w:p w14:paraId="771A14EC" w14:textId="4ED69636"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3EA19400" w14:textId="4B5D85CE" w:rsidR="000C78C2" w:rsidRPr="009606BD" w:rsidRDefault="000C78C2" w:rsidP="000C78C2">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50</w:t>
            </w:r>
          </w:p>
        </w:tc>
        <w:tc>
          <w:tcPr>
            <w:tcW w:w="1818" w:type="dxa"/>
            <w:shd w:val="clear" w:color="auto" w:fill="auto"/>
            <w:hideMark/>
          </w:tcPr>
          <w:p w14:paraId="57B7A987" w14:textId="6930AC71" w:rsidR="000C78C2" w:rsidRPr="009606BD" w:rsidRDefault="000C78C2" w:rsidP="000C78C2">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18,263</w:t>
            </w:r>
          </w:p>
        </w:tc>
      </w:tr>
      <w:tr w:rsidR="000C78C2" w:rsidRPr="003262DA" w14:paraId="71844939" w14:textId="77777777" w:rsidTr="00742C12">
        <w:trPr>
          <w:trHeight w:val="300"/>
        </w:trPr>
        <w:tc>
          <w:tcPr>
            <w:tcW w:w="3400" w:type="dxa"/>
            <w:shd w:val="clear" w:color="auto" w:fill="auto"/>
            <w:hideMark/>
          </w:tcPr>
          <w:p w14:paraId="6DD8BCA0" w14:textId="3D30F5FD" w:rsidR="000C78C2" w:rsidRPr="00685B35" w:rsidRDefault="000C78C2" w:rsidP="000C78C2">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St Vincent’s Hospital</w:t>
            </w:r>
          </w:p>
        </w:tc>
        <w:tc>
          <w:tcPr>
            <w:tcW w:w="1817" w:type="dxa"/>
            <w:shd w:val="clear" w:color="auto" w:fill="auto"/>
            <w:hideMark/>
          </w:tcPr>
          <w:p w14:paraId="2EC9286F" w14:textId="00ACEDA0"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7620E9C9" w14:textId="6DD2BFE7"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44</w:t>
            </w:r>
          </w:p>
        </w:tc>
        <w:tc>
          <w:tcPr>
            <w:tcW w:w="1818" w:type="dxa"/>
            <w:shd w:val="clear" w:color="auto" w:fill="auto"/>
            <w:hideMark/>
          </w:tcPr>
          <w:p w14:paraId="67B5BE73" w14:textId="5C62B786"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20</w:t>
            </w:r>
          </w:p>
        </w:tc>
        <w:tc>
          <w:tcPr>
            <w:tcW w:w="1818" w:type="dxa"/>
            <w:shd w:val="clear" w:color="auto" w:fill="auto"/>
            <w:hideMark/>
          </w:tcPr>
          <w:p w14:paraId="42583A7D" w14:textId="4F7D68AA"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4DC898CA" w14:textId="4249CF9B" w:rsidR="000C78C2" w:rsidRPr="009606BD" w:rsidRDefault="000C78C2" w:rsidP="000C78C2">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64</w:t>
            </w:r>
          </w:p>
        </w:tc>
        <w:tc>
          <w:tcPr>
            <w:tcW w:w="1818" w:type="dxa"/>
            <w:shd w:val="clear" w:color="auto" w:fill="auto"/>
            <w:hideMark/>
          </w:tcPr>
          <w:p w14:paraId="239A4CE2" w14:textId="4A378DA5" w:rsidR="000C78C2" w:rsidRPr="009606BD" w:rsidRDefault="000C78C2" w:rsidP="000C78C2">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23,376</w:t>
            </w:r>
          </w:p>
        </w:tc>
      </w:tr>
      <w:tr w:rsidR="000C78C2" w:rsidRPr="003262DA" w14:paraId="7E768CF5" w14:textId="77777777" w:rsidTr="00742C12">
        <w:trPr>
          <w:trHeight w:val="300"/>
        </w:trPr>
        <w:tc>
          <w:tcPr>
            <w:tcW w:w="3400" w:type="dxa"/>
            <w:shd w:val="clear" w:color="auto" w:fill="auto"/>
            <w:hideMark/>
          </w:tcPr>
          <w:p w14:paraId="7AFA08B7" w14:textId="06A4CE7B" w:rsidR="000C78C2" w:rsidRPr="00685B35" w:rsidRDefault="000C78C2" w:rsidP="000C78C2">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The Royal Children’s Hospital</w:t>
            </w:r>
          </w:p>
        </w:tc>
        <w:tc>
          <w:tcPr>
            <w:tcW w:w="1817" w:type="dxa"/>
            <w:shd w:val="clear" w:color="auto" w:fill="auto"/>
            <w:hideMark/>
          </w:tcPr>
          <w:p w14:paraId="652D3BCE" w14:textId="2882BEBC"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135C3A43" w14:textId="2371D2EE"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5433C972" w14:textId="33F873DC"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61C40197" w14:textId="4FBD0349"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17</w:t>
            </w:r>
          </w:p>
        </w:tc>
        <w:tc>
          <w:tcPr>
            <w:tcW w:w="1818" w:type="dxa"/>
            <w:shd w:val="clear" w:color="auto" w:fill="auto"/>
            <w:hideMark/>
          </w:tcPr>
          <w:p w14:paraId="377DDC44" w14:textId="61FCAE31" w:rsidR="000C78C2" w:rsidRPr="009606BD" w:rsidRDefault="000C78C2" w:rsidP="000C78C2">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17</w:t>
            </w:r>
          </w:p>
        </w:tc>
        <w:tc>
          <w:tcPr>
            <w:tcW w:w="1818" w:type="dxa"/>
            <w:shd w:val="clear" w:color="auto" w:fill="auto"/>
            <w:hideMark/>
          </w:tcPr>
          <w:p w14:paraId="7277F172" w14:textId="3FAA0418" w:rsidR="000C78C2" w:rsidRPr="009606BD" w:rsidRDefault="000C78C2" w:rsidP="000C78C2">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6,209</w:t>
            </w:r>
          </w:p>
        </w:tc>
      </w:tr>
      <w:tr w:rsidR="000C78C2" w:rsidRPr="003262DA" w14:paraId="4B1F085F" w14:textId="77777777" w:rsidTr="00742C12">
        <w:trPr>
          <w:trHeight w:val="300"/>
        </w:trPr>
        <w:tc>
          <w:tcPr>
            <w:tcW w:w="3400" w:type="dxa"/>
            <w:shd w:val="clear" w:color="auto" w:fill="auto"/>
            <w:hideMark/>
          </w:tcPr>
          <w:p w14:paraId="250A9E99" w14:textId="5DD7D4DD" w:rsidR="000C78C2" w:rsidRPr="00685B35" w:rsidRDefault="000C78C2" w:rsidP="000C78C2">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Victorian Institute of Forensic Mental Health</w:t>
            </w:r>
          </w:p>
        </w:tc>
        <w:tc>
          <w:tcPr>
            <w:tcW w:w="1817" w:type="dxa"/>
            <w:shd w:val="clear" w:color="auto" w:fill="auto"/>
            <w:hideMark/>
          </w:tcPr>
          <w:p w14:paraId="23731658" w14:textId="7F99A8C7"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54</w:t>
            </w:r>
          </w:p>
        </w:tc>
        <w:tc>
          <w:tcPr>
            <w:tcW w:w="1818" w:type="dxa"/>
            <w:shd w:val="clear" w:color="auto" w:fill="auto"/>
            <w:hideMark/>
          </w:tcPr>
          <w:p w14:paraId="112D01BE" w14:textId="4AFD691C"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06A88C5A" w14:textId="49155425"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0B1D0043" w14:textId="7AC626F6"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729FBA37" w14:textId="69D5B2A2" w:rsidR="000C78C2" w:rsidRPr="009606BD" w:rsidRDefault="000C78C2" w:rsidP="000C78C2">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54</w:t>
            </w:r>
          </w:p>
        </w:tc>
        <w:tc>
          <w:tcPr>
            <w:tcW w:w="1818" w:type="dxa"/>
            <w:shd w:val="clear" w:color="auto" w:fill="auto"/>
            <w:hideMark/>
          </w:tcPr>
          <w:p w14:paraId="74B7D2CD" w14:textId="28347BD7" w:rsidR="000C78C2" w:rsidRPr="009606BD" w:rsidRDefault="000C78C2" w:rsidP="000C78C2">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 </w:t>
            </w:r>
          </w:p>
        </w:tc>
      </w:tr>
      <w:tr w:rsidR="000C78C2" w:rsidRPr="003262DA" w14:paraId="34B9E81C" w14:textId="77777777" w:rsidTr="00742C12">
        <w:trPr>
          <w:trHeight w:val="300"/>
        </w:trPr>
        <w:tc>
          <w:tcPr>
            <w:tcW w:w="3400" w:type="dxa"/>
            <w:shd w:val="clear" w:color="auto" w:fill="auto"/>
            <w:hideMark/>
          </w:tcPr>
          <w:p w14:paraId="0090EEC5" w14:textId="3FDD784D" w:rsidR="000C78C2" w:rsidRPr="00685B35" w:rsidRDefault="000C78C2" w:rsidP="000C78C2">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xml:space="preserve">Western Health </w:t>
            </w:r>
          </w:p>
        </w:tc>
        <w:tc>
          <w:tcPr>
            <w:tcW w:w="1817" w:type="dxa"/>
            <w:shd w:val="clear" w:color="auto" w:fill="auto"/>
            <w:hideMark/>
          </w:tcPr>
          <w:p w14:paraId="5324AF44" w14:textId="2E5D052E" w:rsidR="000C78C2" w:rsidRPr="00685B35" w:rsidRDefault="000C78C2" w:rsidP="000C78C2">
            <w:pPr>
              <w:spacing w:after="0" w:line="240" w:lineRule="auto"/>
              <w:jc w:val="right"/>
              <w:rPr>
                <w:rFonts w:cs="Arial"/>
                <w:color w:val="000000" w:themeColor="text1"/>
                <w:sz w:val="16"/>
                <w:szCs w:val="16"/>
                <w:lang w:eastAsia="en-AU"/>
              </w:rPr>
            </w:pPr>
          </w:p>
        </w:tc>
        <w:tc>
          <w:tcPr>
            <w:tcW w:w="1818" w:type="dxa"/>
            <w:shd w:val="clear" w:color="auto" w:fill="auto"/>
            <w:hideMark/>
          </w:tcPr>
          <w:p w14:paraId="4164AA48" w14:textId="2D0853BC"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89</w:t>
            </w:r>
          </w:p>
        </w:tc>
        <w:tc>
          <w:tcPr>
            <w:tcW w:w="1818" w:type="dxa"/>
            <w:shd w:val="clear" w:color="auto" w:fill="auto"/>
            <w:hideMark/>
          </w:tcPr>
          <w:p w14:paraId="4DE564A5" w14:textId="7AB3ABA8" w:rsidR="000C78C2" w:rsidRPr="00685B35" w:rsidRDefault="000C78C2" w:rsidP="000C78C2">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20</w:t>
            </w:r>
          </w:p>
        </w:tc>
        <w:tc>
          <w:tcPr>
            <w:tcW w:w="1818" w:type="dxa"/>
            <w:shd w:val="clear" w:color="auto" w:fill="auto"/>
            <w:hideMark/>
          </w:tcPr>
          <w:p w14:paraId="7452FBA2" w14:textId="59CD3754" w:rsidR="000C78C2" w:rsidRPr="00685B35" w:rsidRDefault="000C78C2" w:rsidP="000C78C2">
            <w:pPr>
              <w:spacing w:after="0" w:line="240" w:lineRule="auto"/>
              <w:jc w:val="right"/>
              <w:rPr>
                <w:rFonts w:cs="Arial"/>
                <w:color w:val="000000" w:themeColor="text1"/>
                <w:sz w:val="16"/>
                <w:szCs w:val="16"/>
                <w:lang w:eastAsia="en-AU"/>
              </w:rPr>
            </w:pPr>
          </w:p>
        </w:tc>
        <w:tc>
          <w:tcPr>
            <w:tcW w:w="1818" w:type="dxa"/>
            <w:shd w:val="clear" w:color="auto" w:fill="auto"/>
            <w:hideMark/>
          </w:tcPr>
          <w:p w14:paraId="2E8C730F" w14:textId="47544C7D" w:rsidR="000C78C2" w:rsidRPr="009606BD" w:rsidRDefault="000C78C2" w:rsidP="000C78C2">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109</w:t>
            </w:r>
          </w:p>
        </w:tc>
        <w:tc>
          <w:tcPr>
            <w:tcW w:w="1818" w:type="dxa"/>
            <w:shd w:val="clear" w:color="auto" w:fill="auto"/>
            <w:hideMark/>
          </w:tcPr>
          <w:p w14:paraId="5D26CE01" w14:textId="16D0F7BC" w:rsidR="000C78C2" w:rsidRPr="009606BD" w:rsidRDefault="000C78C2" w:rsidP="000C78C2">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39,812</w:t>
            </w:r>
          </w:p>
        </w:tc>
      </w:tr>
    </w:tbl>
    <w:p w14:paraId="5EE86B8F" w14:textId="17AB6E1C" w:rsidR="001C5C09" w:rsidRDefault="001C5C09" w:rsidP="00685B35">
      <w:pPr>
        <w:pStyle w:val="Bodyaftertablefigure"/>
      </w:pPr>
      <w:bookmarkStart w:id="1229" w:name="_Toc109894147"/>
      <w:bookmarkStart w:id="1230" w:name="_Toc12780582"/>
      <w:bookmarkStart w:id="1231" w:name="_Toc14194838"/>
      <w:bookmarkStart w:id="1232" w:name="_Toc33704019"/>
      <w:r w:rsidRPr="001C5C09">
        <w:t xml:space="preserve">Subregional and </w:t>
      </w:r>
      <w:r w:rsidRPr="00FB621A">
        <w:t>rural</w:t>
      </w:r>
      <w:bookmarkEnd w:id="1229"/>
    </w:p>
    <w:tbl>
      <w:tblPr>
        <w:tblW w:w="14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817"/>
        <w:gridCol w:w="1818"/>
        <w:gridCol w:w="1818"/>
        <w:gridCol w:w="1818"/>
        <w:gridCol w:w="1818"/>
        <w:gridCol w:w="1818"/>
      </w:tblGrid>
      <w:tr w:rsidR="003262DA" w:rsidRPr="00A030E3" w14:paraId="2DB7F177" w14:textId="77777777" w:rsidTr="00685B35">
        <w:trPr>
          <w:trHeight w:val="300"/>
        </w:trPr>
        <w:tc>
          <w:tcPr>
            <w:tcW w:w="3400" w:type="dxa"/>
            <w:shd w:val="clear" w:color="auto" w:fill="auto"/>
            <w:vAlign w:val="center"/>
          </w:tcPr>
          <w:p w14:paraId="4712183D" w14:textId="5C634840" w:rsidR="003262DA" w:rsidRPr="00685B35" w:rsidRDefault="003262DA" w:rsidP="00685B35">
            <w:pPr>
              <w:pStyle w:val="Tablecolheadlandscape"/>
            </w:pPr>
            <w:r w:rsidRPr="00685B35">
              <w:t>Health service</w:t>
            </w:r>
          </w:p>
        </w:tc>
        <w:tc>
          <w:tcPr>
            <w:tcW w:w="1817" w:type="dxa"/>
            <w:shd w:val="clear" w:color="auto" w:fill="auto"/>
            <w:vAlign w:val="center"/>
          </w:tcPr>
          <w:p w14:paraId="1C38C716" w14:textId="67D7A347" w:rsidR="003262DA" w:rsidRPr="00685B35" w:rsidRDefault="003262DA" w:rsidP="00685B35">
            <w:pPr>
              <w:pStyle w:val="Tablecolheadlandscape"/>
              <w:jc w:val="right"/>
            </w:pPr>
            <w:r w:rsidRPr="00685B35">
              <w:t>Mental health funded bed – acute specialist</w:t>
            </w:r>
          </w:p>
        </w:tc>
        <w:tc>
          <w:tcPr>
            <w:tcW w:w="1818" w:type="dxa"/>
            <w:shd w:val="clear" w:color="auto" w:fill="auto"/>
            <w:vAlign w:val="center"/>
          </w:tcPr>
          <w:p w14:paraId="493A522F" w14:textId="569FC770" w:rsidR="003262DA" w:rsidRPr="00685B35" w:rsidRDefault="003262DA" w:rsidP="00685B35">
            <w:pPr>
              <w:pStyle w:val="Tablecolheadlandscape"/>
              <w:jc w:val="right"/>
            </w:pPr>
            <w:r w:rsidRPr="00685B35">
              <w:t>Mental health funded bed – acute adult</w:t>
            </w:r>
          </w:p>
        </w:tc>
        <w:tc>
          <w:tcPr>
            <w:tcW w:w="1818" w:type="dxa"/>
            <w:shd w:val="clear" w:color="auto" w:fill="auto"/>
            <w:vAlign w:val="center"/>
          </w:tcPr>
          <w:p w14:paraId="5D6FC1F2" w14:textId="4AB2FC10" w:rsidR="003262DA" w:rsidRPr="00685B35" w:rsidRDefault="003262DA" w:rsidP="00685B35">
            <w:pPr>
              <w:pStyle w:val="Tablecolheadlandscape"/>
            </w:pPr>
            <w:r w:rsidRPr="00685B35">
              <w:t>Mental health funded bed – acute aged</w:t>
            </w:r>
          </w:p>
        </w:tc>
        <w:tc>
          <w:tcPr>
            <w:tcW w:w="1818" w:type="dxa"/>
            <w:shd w:val="clear" w:color="auto" w:fill="auto"/>
            <w:vAlign w:val="center"/>
          </w:tcPr>
          <w:p w14:paraId="237037D5" w14:textId="4F7CCCA0" w:rsidR="003262DA" w:rsidRPr="00685B35" w:rsidRDefault="003262DA" w:rsidP="00685B35">
            <w:pPr>
              <w:pStyle w:val="Tablecolheadlandscape"/>
            </w:pPr>
            <w:r w:rsidRPr="00685B35">
              <w:t>Mental health funded bed – acute child and adolescent</w:t>
            </w:r>
          </w:p>
        </w:tc>
        <w:tc>
          <w:tcPr>
            <w:tcW w:w="1818" w:type="dxa"/>
            <w:shd w:val="clear" w:color="auto" w:fill="auto"/>
            <w:vAlign w:val="center"/>
          </w:tcPr>
          <w:p w14:paraId="42CA4D1F" w14:textId="77777777" w:rsidR="003262DA" w:rsidRPr="00685B35" w:rsidRDefault="003262DA" w:rsidP="00A030E3">
            <w:pPr>
              <w:pStyle w:val="Tablecolheadlandscape"/>
            </w:pPr>
            <w:r w:rsidRPr="00685B35">
              <w:t xml:space="preserve">Total </w:t>
            </w:r>
          </w:p>
          <w:p w14:paraId="231AB4D5" w14:textId="65FD8357" w:rsidR="003262DA" w:rsidRPr="00685B35" w:rsidRDefault="003262DA" w:rsidP="00685B35">
            <w:pPr>
              <w:pStyle w:val="Tablecolheadlandscape"/>
            </w:pPr>
            <w:r w:rsidRPr="00685B35">
              <w:t>Mental health funded acute bed</w:t>
            </w:r>
          </w:p>
        </w:tc>
        <w:tc>
          <w:tcPr>
            <w:tcW w:w="1818" w:type="dxa"/>
            <w:shd w:val="clear" w:color="auto" w:fill="auto"/>
            <w:vAlign w:val="center"/>
          </w:tcPr>
          <w:p w14:paraId="271695C7" w14:textId="77777777" w:rsidR="003262DA" w:rsidRPr="00685B35" w:rsidRDefault="003262DA" w:rsidP="00A030E3">
            <w:pPr>
              <w:pStyle w:val="Tablecolheadlandscape"/>
            </w:pPr>
            <w:r w:rsidRPr="00685B35">
              <w:t xml:space="preserve">Total </w:t>
            </w:r>
          </w:p>
          <w:p w14:paraId="529809AC" w14:textId="287CAC3E" w:rsidR="003262DA" w:rsidRPr="00685B35" w:rsidRDefault="003262DA" w:rsidP="00685B35">
            <w:pPr>
              <w:pStyle w:val="Tablecolheadlandscape"/>
            </w:pPr>
            <w:r w:rsidRPr="00685B35">
              <w:t>Mental health funded acute bed days</w:t>
            </w:r>
          </w:p>
        </w:tc>
      </w:tr>
      <w:tr w:rsidR="003262DA" w:rsidRPr="00A030E3" w14:paraId="7FD0FDFB" w14:textId="77777777" w:rsidTr="00685B35">
        <w:trPr>
          <w:trHeight w:val="300"/>
        </w:trPr>
        <w:tc>
          <w:tcPr>
            <w:tcW w:w="3400" w:type="dxa"/>
            <w:shd w:val="clear" w:color="auto" w:fill="auto"/>
            <w:vAlign w:val="center"/>
            <w:hideMark/>
          </w:tcPr>
          <w:p w14:paraId="6A008E0C" w14:textId="77777777" w:rsidR="003262DA" w:rsidRPr="00685B35" w:rsidRDefault="003262DA" w:rsidP="003262DA">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Mildura Base Hospital</w:t>
            </w:r>
          </w:p>
        </w:tc>
        <w:tc>
          <w:tcPr>
            <w:tcW w:w="1817" w:type="dxa"/>
            <w:shd w:val="clear" w:color="auto" w:fill="auto"/>
            <w:vAlign w:val="center"/>
            <w:hideMark/>
          </w:tcPr>
          <w:p w14:paraId="32565D9E"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vAlign w:val="center"/>
            <w:hideMark/>
          </w:tcPr>
          <w:p w14:paraId="36524885"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10</w:t>
            </w:r>
          </w:p>
        </w:tc>
        <w:tc>
          <w:tcPr>
            <w:tcW w:w="1818" w:type="dxa"/>
            <w:shd w:val="clear" w:color="auto" w:fill="auto"/>
            <w:vAlign w:val="center"/>
            <w:hideMark/>
          </w:tcPr>
          <w:p w14:paraId="0DB4F328"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w:t>
            </w:r>
          </w:p>
        </w:tc>
        <w:tc>
          <w:tcPr>
            <w:tcW w:w="1818" w:type="dxa"/>
            <w:shd w:val="clear" w:color="auto" w:fill="auto"/>
            <w:vAlign w:val="center"/>
            <w:hideMark/>
          </w:tcPr>
          <w:p w14:paraId="71E0FB07"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w:t>
            </w:r>
          </w:p>
        </w:tc>
        <w:tc>
          <w:tcPr>
            <w:tcW w:w="1818" w:type="dxa"/>
            <w:shd w:val="clear" w:color="auto" w:fill="auto"/>
            <w:vAlign w:val="center"/>
            <w:hideMark/>
          </w:tcPr>
          <w:p w14:paraId="5F0B2FE8" w14:textId="77777777" w:rsidR="003262DA" w:rsidRPr="009606BD" w:rsidRDefault="003262DA" w:rsidP="003262DA">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14</w:t>
            </w:r>
          </w:p>
        </w:tc>
        <w:tc>
          <w:tcPr>
            <w:tcW w:w="1818" w:type="dxa"/>
            <w:shd w:val="clear" w:color="auto" w:fill="auto"/>
            <w:vAlign w:val="center"/>
            <w:hideMark/>
          </w:tcPr>
          <w:p w14:paraId="4B39B491" w14:textId="77777777" w:rsidR="003262DA" w:rsidRPr="009606BD" w:rsidRDefault="003262DA" w:rsidP="003262DA">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5,114</w:t>
            </w:r>
          </w:p>
        </w:tc>
      </w:tr>
      <w:tr w:rsidR="003262DA" w:rsidRPr="00A030E3" w14:paraId="719CB6D5" w14:textId="77777777" w:rsidTr="00685B35">
        <w:trPr>
          <w:trHeight w:val="300"/>
        </w:trPr>
        <w:tc>
          <w:tcPr>
            <w:tcW w:w="3400" w:type="dxa"/>
            <w:shd w:val="clear" w:color="auto" w:fill="auto"/>
            <w:vAlign w:val="center"/>
            <w:hideMark/>
          </w:tcPr>
          <w:p w14:paraId="0FAC8830" w14:textId="77777777" w:rsidR="003262DA" w:rsidRPr="00685B35" w:rsidRDefault="003262DA" w:rsidP="003262DA">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South West Healthcare</w:t>
            </w:r>
          </w:p>
        </w:tc>
        <w:tc>
          <w:tcPr>
            <w:tcW w:w="1817" w:type="dxa"/>
            <w:shd w:val="clear" w:color="auto" w:fill="auto"/>
            <w:vAlign w:val="center"/>
            <w:hideMark/>
          </w:tcPr>
          <w:p w14:paraId="68F1529B"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vAlign w:val="center"/>
            <w:hideMark/>
          </w:tcPr>
          <w:p w14:paraId="0CFAF4DB"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15</w:t>
            </w:r>
          </w:p>
        </w:tc>
        <w:tc>
          <w:tcPr>
            <w:tcW w:w="1818" w:type="dxa"/>
            <w:shd w:val="clear" w:color="auto" w:fill="auto"/>
            <w:vAlign w:val="center"/>
            <w:hideMark/>
          </w:tcPr>
          <w:p w14:paraId="1290224B"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5</w:t>
            </w:r>
          </w:p>
        </w:tc>
        <w:tc>
          <w:tcPr>
            <w:tcW w:w="1818" w:type="dxa"/>
            <w:shd w:val="clear" w:color="auto" w:fill="auto"/>
            <w:vAlign w:val="center"/>
            <w:hideMark/>
          </w:tcPr>
          <w:p w14:paraId="3E805B95"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vAlign w:val="center"/>
            <w:hideMark/>
          </w:tcPr>
          <w:p w14:paraId="5D462FC7" w14:textId="77777777" w:rsidR="003262DA" w:rsidRPr="009606BD" w:rsidRDefault="003262DA" w:rsidP="003262DA">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20</w:t>
            </w:r>
          </w:p>
        </w:tc>
        <w:tc>
          <w:tcPr>
            <w:tcW w:w="1818" w:type="dxa"/>
            <w:shd w:val="clear" w:color="auto" w:fill="auto"/>
            <w:vAlign w:val="center"/>
            <w:hideMark/>
          </w:tcPr>
          <w:p w14:paraId="68A3DE86" w14:textId="77777777" w:rsidR="003262DA" w:rsidRPr="009606BD" w:rsidRDefault="003262DA" w:rsidP="003262DA">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7,305</w:t>
            </w:r>
          </w:p>
        </w:tc>
      </w:tr>
    </w:tbl>
    <w:p w14:paraId="020487D6" w14:textId="38FB4CEF" w:rsidR="001C5C09" w:rsidRDefault="001C5C09">
      <w:pPr>
        <w:pStyle w:val="Bodyaftertablefigure"/>
      </w:pPr>
      <w:r>
        <w:t>Combined total</w:t>
      </w:r>
    </w:p>
    <w:tbl>
      <w:tblPr>
        <w:tblW w:w="14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817"/>
        <w:gridCol w:w="1818"/>
        <w:gridCol w:w="1818"/>
        <w:gridCol w:w="1818"/>
        <w:gridCol w:w="1818"/>
        <w:gridCol w:w="1818"/>
      </w:tblGrid>
      <w:tr w:rsidR="003262DA" w:rsidRPr="00A030E3" w14:paraId="6C604BEE" w14:textId="77777777" w:rsidTr="00685B35">
        <w:trPr>
          <w:trHeight w:val="300"/>
          <w:tblHeader/>
        </w:trPr>
        <w:tc>
          <w:tcPr>
            <w:tcW w:w="3400" w:type="dxa"/>
            <w:shd w:val="clear" w:color="auto" w:fill="auto"/>
            <w:vAlign w:val="center"/>
          </w:tcPr>
          <w:p w14:paraId="0D1F8ADB" w14:textId="3F6C1660" w:rsidR="003262DA" w:rsidRPr="00685B35" w:rsidRDefault="003262DA" w:rsidP="00685B35">
            <w:pPr>
              <w:pStyle w:val="Tablecolheadlandscape"/>
              <w:rPr>
                <w:b w:val="0"/>
              </w:rPr>
            </w:pPr>
            <w:r w:rsidRPr="00A030E3">
              <w:t>Health service</w:t>
            </w:r>
          </w:p>
        </w:tc>
        <w:tc>
          <w:tcPr>
            <w:tcW w:w="1817" w:type="dxa"/>
            <w:shd w:val="clear" w:color="auto" w:fill="auto"/>
            <w:vAlign w:val="center"/>
          </w:tcPr>
          <w:p w14:paraId="0E1E9953" w14:textId="30A33D6A" w:rsidR="003262DA" w:rsidRPr="00685B35" w:rsidRDefault="003262DA" w:rsidP="00685B35">
            <w:pPr>
              <w:pStyle w:val="Tablecolheadlandscape"/>
              <w:jc w:val="right"/>
              <w:rPr>
                <w:b w:val="0"/>
              </w:rPr>
            </w:pPr>
            <w:r w:rsidRPr="00A030E3">
              <w:t>Mental health funded bed – acute specialist</w:t>
            </w:r>
          </w:p>
        </w:tc>
        <w:tc>
          <w:tcPr>
            <w:tcW w:w="1818" w:type="dxa"/>
            <w:shd w:val="clear" w:color="auto" w:fill="auto"/>
            <w:vAlign w:val="center"/>
          </w:tcPr>
          <w:p w14:paraId="46ECCD9C" w14:textId="0177CB80" w:rsidR="003262DA" w:rsidRPr="00685B35" w:rsidRDefault="003262DA" w:rsidP="00685B35">
            <w:pPr>
              <w:pStyle w:val="Tablecolheadlandscape"/>
              <w:jc w:val="right"/>
              <w:rPr>
                <w:b w:val="0"/>
              </w:rPr>
            </w:pPr>
            <w:r w:rsidRPr="00A030E3">
              <w:t>Mental health funded bed – acute adult</w:t>
            </w:r>
          </w:p>
        </w:tc>
        <w:tc>
          <w:tcPr>
            <w:tcW w:w="1818" w:type="dxa"/>
            <w:shd w:val="clear" w:color="auto" w:fill="auto"/>
            <w:vAlign w:val="center"/>
          </w:tcPr>
          <w:p w14:paraId="0598A5F4" w14:textId="6BC6A59E" w:rsidR="003262DA" w:rsidRPr="00685B35" w:rsidRDefault="003262DA" w:rsidP="00685B35">
            <w:pPr>
              <w:pStyle w:val="Tablecolheadlandscape"/>
              <w:jc w:val="right"/>
              <w:rPr>
                <w:b w:val="0"/>
              </w:rPr>
            </w:pPr>
            <w:r w:rsidRPr="00A030E3">
              <w:t>Mental health funded bed – acute aged</w:t>
            </w:r>
          </w:p>
        </w:tc>
        <w:tc>
          <w:tcPr>
            <w:tcW w:w="1818" w:type="dxa"/>
            <w:shd w:val="clear" w:color="auto" w:fill="auto"/>
            <w:vAlign w:val="center"/>
          </w:tcPr>
          <w:p w14:paraId="4C2331AB" w14:textId="3ECCA07A" w:rsidR="003262DA" w:rsidRPr="00685B35" w:rsidRDefault="003262DA" w:rsidP="00685B35">
            <w:pPr>
              <w:pStyle w:val="Tablecolheadlandscape"/>
              <w:jc w:val="right"/>
              <w:rPr>
                <w:b w:val="0"/>
              </w:rPr>
            </w:pPr>
            <w:r w:rsidRPr="00A030E3">
              <w:t>Mental health funded bed – acute child and adolescent</w:t>
            </w:r>
          </w:p>
        </w:tc>
        <w:tc>
          <w:tcPr>
            <w:tcW w:w="1818" w:type="dxa"/>
            <w:shd w:val="clear" w:color="auto" w:fill="auto"/>
            <w:vAlign w:val="center"/>
          </w:tcPr>
          <w:p w14:paraId="4B3533EC" w14:textId="77777777" w:rsidR="003262DA" w:rsidRPr="00A030E3" w:rsidRDefault="003262DA" w:rsidP="00685B35">
            <w:pPr>
              <w:pStyle w:val="Tablecolheadlandscape"/>
              <w:jc w:val="right"/>
            </w:pPr>
            <w:r w:rsidRPr="00A030E3">
              <w:t xml:space="preserve">Total </w:t>
            </w:r>
          </w:p>
          <w:p w14:paraId="7D355784" w14:textId="5315C923" w:rsidR="003262DA" w:rsidRPr="00685B35" w:rsidRDefault="003262DA" w:rsidP="00685B35">
            <w:pPr>
              <w:pStyle w:val="Tablecolheadlandscape"/>
              <w:jc w:val="right"/>
              <w:rPr>
                <w:b w:val="0"/>
              </w:rPr>
            </w:pPr>
            <w:r w:rsidRPr="00A030E3">
              <w:t>Mental health funded acute bed</w:t>
            </w:r>
          </w:p>
        </w:tc>
        <w:tc>
          <w:tcPr>
            <w:tcW w:w="1818" w:type="dxa"/>
            <w:shd w:val="clear" w:color="auto" w:fill="auto"/>
            <w:vAlign w:val="center"/>
          </w:tcPr>
          <w:p w14:paraId="05D22CD8" w14:textId="77777777" w:rsidR="003262DA" w:rsidRPr="00A030E3" w:rsidRDefault="003262DA" w:rsidP="00685B35">
            <w:pPr>
              <w:pStyle w:val="Tablecolheadlandscape"/>
              <w:jc w:val="right"/>
            </w:pPr>
            <w:r w:rsidRPr="00A030E3">
              <w:t xml:space="preserve">Total </w:t>
            </w:r>
          </w:p>
          <w:p w14:paraId="026B6076" w14:textId="6B0F07DF" w:rsidR="003262DA" w:rsidRPr="00685B35" w:rsidRDefault="003262DA" w:rsidP="00685B35">
            <w:pPr>
              <w:pStyle w:val="Tablecolheadlandscape"/>
              <w:jc w:val="right"/>
              <w:rPr>
                <w:b w:val="0"/>
              </w:rPr>
            </w:pPr>
            <w:r w:rsidRPr="00A030E3">
              <w:t>Mental health funded acute bed days</w:t>
            </w:r>
          </w:p>
        </w:tc>
      </w:tr>
      <w:tr w:rsidR="003262DA" w:rsidRPr="00A030E3" w14:paraId="043AA13C" w14:textId="77777777" w:rsidTr="00685B35">
        <w:trPr>
          <w:trHeight w:val="300"/>
        </w:trPr>
        <w:tc>
          <w:tcPr>
            <w:tcW w:w="3400" w:type="dxa"/>
            <w:shd w:val="clear" w:color="auto" w:fill="auto"/>
            <w:vAlign w:val="center"/>
            <w:hideMark/>
          </w:tcPr>
          <w:p w14:paraId="321DDD0E" w14:textId="77777777" w:rsidR="003262DA" w:rsidRPr="00685B35" w:rsidRDefault="003262DA" w:rsidP="003262DA">
            <w:pPr>
              <w:spacing w:after="0" w:line="240" w:lineRule="auto"/>
              <w:rPr>
                <w:rFonts w:cs="Arial"/>
                <w:b/>
                <w:bCs/>
                <w:color w:val="000000" w:themeColor="text1"/>
                <w:sz w:val="16"/>
                <w:szCs w:val="16"/>
                <w:lang w:eastAsia="en-AU"/>
              </w:rPr>
            </w:pPr>
            <w:r w:rsidRPr="00685B35">
              <w:rPr>
                <w:rFonts w:cs="Arial"/>
                <w:b/>
                <w:bCs/>
                <w:color w:val="000000" w:themeColor="text1"/>
                <w:sz w:val="16"/>
                <w:szCs w:val="16"/>
                <w:lang w:eastAsia="en-AU"/>
              </w:rPr>
              <w:t>Total</w:t>
            </w:r>
          </w:p>
        </w:tc>
        <w:tc>
          <w:tcPr>
            <w:tcW w:w="1817" w:type="dxa"/>
            <w:shd w:val="clear" w:color="auto" w:fill="auto"/>
            <w:vAlign w:val="center"/>
            <w:hideMark/>
          </w:tcPr>
          <w:p w14:paraId="3EB62BBE" w14:textId="3F07B2D5" w:rsidR="003262DA" w:rsidRPr="00685B35" w:rsidRDefault="003262DA" w:rsidP="003262DA">
            <w:pPr>
              <w:spacing w:after="0" w:line="240" w:lineRule="auto"/>
              <w:jc w:val="right"/>
              <w:rPr>
                <w:rFonts w:cs="Arial"/>
                <w:b/>
                <w:bCs/>
                <w:color w:val="000000" w:themeColor="text1"/>
                <w:sz w:val="16"/>
                <w:szCs w:val="16"/>
                <w:lang w:eastAsia="en-AU"/>
              </w:rPr>
            </w:pPr>
            <w:r w:rsidRPr="00685B35">
              <w:rPr>
                <w:rFonts w:cs="Arial"/>
                <w:b/>
                <w:bCs/>
                <w:color w:val="000000" w:themeColor="text1"/>
                <w:sz w:val="16"/>
                <w:szCs w:val="16"/>
                <w:lang w:eastAsia="en-AU"/>
              </w:rPr>
              <w:t>145</w:t>
            </w:r>
          </w:p>
        </w:tc>
        <w:tc>
          <w:tcPr>
            <w:tcW w:w="1818" w:type="dxa"/>
            <w:shd w:val="clear" w:color="auto" w:fill="auto"/>
            <w:vAlign w:val="center"/>
            <w:hideMark/>
          </w:tcPr>
          <w:p w14:paraId="6DB8E0B4" w14:textId="524745C0" w:rsidR="003262DA" w:rsidRPr="00685B35" w:rsidRDefault="003262DA" w:rsidP="003262DA">
            <w:pPr>
              <w:spacing w:after="0" w:line="240" w:lineRule="auto"/>
              <w:jc w:val="right"/>
              <w:rPr>
                <w:rFonts w:cs="Arial"/>
                <w:b/>
                <w:bCs/>
                <w:color w:val="000000" w:themeColor="text1"/>
                <w:sz w:val="16"/>
                <w:szCs w:val="16"/>
                <w:lang w:eastAsia="en-AU"/>
              </w:rPr>
            </w:pPr>
            <w:r w:rsidRPr="00685B35">
              <w:rPr>
                <w:rFonts w:cs="Arial"/>
                <w:b/>
                <w:bCs/>
                <w:color w:val="000000" w:themeColor="text1"/>
                <w:sz w:val="16"/>
                <w:szCs w:val="16"/>
                <w:lang w:eastAsia="en-AU"/>
              </w:rPr>
              <w:t>890</w:t>
            </w:r>
          </w:p>
        </w:tc>
        <w:tc>
          <w:tcPr>
            <w:tcW w:w="1818" w:type="dxa"/>
            <w:shd w:val="clear" w:color="auto" w:fill="auto"/>
            <w:vAlign w:val="center"/>
            <w:hideMark/>
          </w:tcPr>
          <w:p w14:paraId="68913A92" w14:textId="77777777" w:rsidR="003262DA" w:rsidRPr="00685B35" w:rsidRDefault="003262DA" w:rsidP="003262DA">
            <w:pPr>
              <w:spacing w:after="0" w:line="240" w:lineRule="auto"/>
              <w:jc w:val="right"/>
              <w:rPr>
                <w:rFonts w:cs="Arial"/>
                <w:b/>
                <w:bCs/>
                <w:color w:val="000000" w:themeColor="text1"/>
                <w:sz w:val="16"/>
                <w:szCs w:val="16"/>
                <w:lang w:eastAsia="en-AU"/>
              </w:rPr>
            </w:pPr>
            <w:r w:rsidRPr="00685B35">
              <w:rPr>
                <w:rFonts w:cs="Arial"/>
                <w:b/>
                <w:bCs/>
                <w:color w:val="000000" w:themeColor="text1"/>
                <w:sz w:val="16"/>
                <w:szCs w:val="16"/>
                <w:lang w:eastAsia="en-AU"/>
              </w:rPr>
              <w:t>237</w:t>
            </w:r>
          </w:p>
        </w:tc>
        <w:tc>
          <w:tcPr>
            <w:tcW w:w="1818" w:type="dxa"/>
            <w:shd w:val="clear" w:color="auto" w:fill="auto"/>
            <w:vAlign w:val="center"/>
            <w:hideMark/>
          </w:tcPr>
          <w:p w14:paraId="2680E382" w14:textId="77777777" w:rsidR="003262DA" w:rsidRPr="00685B35" w:rsidRDefault="003262DA" w:rsidP="003262DA">
            <w:pPr>
              <w:spacing w:after="0" w:line="240" w:lineRule="auto"/>
              <w:jc w:val="right"/>
              <w:rPr>
                <w:rFonts w:cs="Arial"/>
                <w:b/>
                <w:bCs/>
                <w:color w:val="000000" w:themeColor="text1"/>
                <w:sz w:val="16"/>
                <w:szCs w:val="16"/>
                <w:lang w:eastAsia="en-AU"/>
              </w:rPr>
            </w:pPr>
            <w:r w:rsidRPr="00685B35">
              <w:rPr>
                <w:rFonts w:cs="Arial"/>
                <w:b/>
                <w:bCs/>
                <w:color w:val="000000" w:themeColor="text1"/>
                <w:sz w:val="16"/>
                <w:szCs w:val="16"/>
                <w:lang w:eastAsia="en-AU"/>
              </w:rPr>
              <w:t>81</w:t>
            </w:r>
          </w:p>
        </w:tc>
        <w:tc>
          <w:tcPr>
            <w:tcW w:w="1818" w:type="dxa"/>
            <w:shd w:val="clear" w:color="auto" w:fill="auto"/>
            <w:vAlign w:val="center"/>
            <w:hideMark/>
          </w:tcPr>
          <w:p w14:paraId="39A4BE5B" w14:textId="0E33FB5C" w:rsidR="003262DA" w:rsidRPr="00685B35" w:rsidRDefault="003262DA" w:rsidP="003262DA">
            <w:pPr>
              <w:spacing w:after="0" w:line="240" w:lineRule="auto"/>
              <w:jc w:val="right"/>
              <w:rPr>
                <w:rFonts w:cs="Arial"/>
                <w:b/>
                <w:bCs/>
                <w:color w:val="000000" w:themeColor="text1"/>
                <w:sz w:val="16"/>
                <w:szCs w:val="16"/>
                <w:lang w:eastAsia="en-AU"/>
              </w:rPr>
            </w:pPr>
            <w:r w:rsidRPr="00685B35">
              <w:rPr>
                <w:rFonts w:cs="Arial"/>
                <w:b/>
                <w:bCs/>
                <w:color w:val="000000" w:themeColor="text1"/>
                <w:sz w:val="16"/>
                <w:szCs w:val="16"/>
                <w:lang w:eastAsia="en-AU"/>
              </w:rPr>
              <w:t>1,353</w:t>
            </w:r>
          </w:p>
        </w:tc>
        <w:tc>
          <w:tcPr>
            <w:tcW w:w="1818" w:type="dxa"/>
            <w:shd w:val="clear" w:color="auto" w:fill="auto"/>
            <w:vAlign w:val="center"/>
            <w:hideMark/>
          </w:tcPr>
          <w:p w14:paraId="00277185" w14:textId="1F17B06D" w:rsidR="003262DA" w:rsidRPr="00685B35" w:rsidRDefault="006911AC" w:rsidP="003262DA">
            <w:pPr>
              <w:spacing w:after="0" w:line="240" w:lineRule="auto"/>
              <w:jc w:val="right"/>
              <w:rPr>
                <w:rFonts w:cs="Arial"/>
                <w:b/>
                <w:bCs/>
                <w:color w:val="000000" w:themeColor="text1"/>
                <w:sz w:val="16"/>
                <w:szCs w:val="16"/>
                <w:lang w:eastAsia="en-AU"/>
              </w:rPr>
            </w:pPr>
            <w:r>
              <w:rPr>
                <w:rFonts w:cs="Arial"/>
                <w:b/>
                <w:bCs/>
                <w:color w:val="000000" w:themeColor="text1"/>
                <w:sz w:val="16"/>
                <w:szCs w:val="16"/>
                <w:lang w:eastAsia="en-AU"/>
              </w:rPr>
              <w:t>472,268</w:t>
            </w:r>
          </w:p>
        </w:tc>
      </w:tr>
    </w:tbl>
    <w:p w14:paraId="42034C56" w14:textId="411586D8" w:rsidR="000B27B9" w:rsidRDefault="000B27B9" w:rsidP="000E08EF">
      <w:pPr>
        <w:pStyle w:val="Tablecaption"/>
      </w:pPr>
      <w:bookmarkStart w:id="1233" w:name="_Toc109894148"/>
      <w:bookmarkStart w:id="1234" w:name="_Toc156568699"/>
      <w:r>
        <w:t xml:space="preserve">Table </w:t>
      </w:r>
      <w:r>
        <w:fldChar w:fldCharType="begin"/>
      </w:r>
      <w:r>
        <w:instrText>STYLEREF 1 \s</w:instrText>
      </w:r>
      <w:r>
        <w:fldChar w:fldCharType="separate"/>
      </w:r>
      <w:r w:rsidR="00892F13">
        <w:rPr>
          <w:noProof/>
        </w:rPr>
        <w:t>2</w:t>
      </w:r>
      <w:r>
        <w:fldChar w:fldCharType="end"/>
      </w:r>
      <w:r w:rsidR="00742C12">
        <w:t>.</w:t>
      </w:r>
      <w:r>
        <w:fldChar w:fldCharType="begin"/>
      </w:r>
      <w:r>
        <w:instrText>SEQ Table \* ARABIC \s 1</w:instrText>
      </w:r>
      <w:r>
        <w:fldChar w:fldCharType="separate"/>
      </w:r>
      <w:r w:rsidR="007E6861">
        <w:rPr>
          <w:noProof/>
        </w:rPr>
        <w:t>22</w:t>
      </w:r>
      <w:r>
        <w:fldChar w:fldCharType="end"/>
      </w:r>
      <w:r w:rsidRPr="00271AC6">
        <w:t xml:space="preserve">: Mental health non-acute, subacute and residential available beds </w:t>
      </w:r>
      <w:bookmarkEnd w:id="1230"/>
      <w:bookmarkEnd w:id="1231"/>
      <w:bookmarkEnd w:id="1232"/>
      <w:bookmarkEnd w:id="1233"/>
      <w:r w:rsidR="005D1FCB" w:rsidRPr="00697369">
        <w:t>202</w:t>
      </w:r>
      <w:r w:rsidR="00F26CD6">
        <w:t>3</w:t>
      </w:r>
      <w:r w:rsidR="00F2096A">
        <w:t>–</w:t>
      </w:r>
      <w:r w:rsidR="005D1FCB" w:rsidRPr="00697369">
        <w:t>2</w:t>
      </w:r>
      <w:r w:rsidR="00F26CD6">
        <w:t>4</w:t>
      </w:r>
      <w:bookmarkEnd w:id="1234"/>
    </w:p>
    <w:p w14:paraId="273B8475" w14:textId="33CE73AE" w:rsidR="001A192A" w:rsidRDefault="001A192A" w:rsidP="001A192A">
      <w:pPr>
        <w:pStyle w:val="Body"/>
      </w:pPr>
      <w:r>
        <w:t>Metropolitan and regional</w:t>
      </w:r>
    </w:p>
    <w:tbl>
      <w:tblPr>
        <w:tblStyle w:val="TableGrid1"/>
        <w:tblW w:w="14307" w:type="dxa"/>
        <w:tblLook w:val="04A0" w:firstRow="1" w:lastRow="0" w:firstColumn="1" w:lastColumn="0" w:noHBand="0" w:noVBand="1"/>
      </w:tblPr>
      <w:tblGrid>
        <w:gridCol w:w="3400"/>
        <w:gridCol w:w="1817"/>
        <w:gridCol w:w="1818"/>
        <w:gridCol w:w="1818"/>
        <w:gridCol w:w="1818"/>
        <w:gridCol w:w="1818"/>
        <w:gridCol w:w="1818"/>
      </w:tblGrid>
      <w:tr w:rsidR="003262DA" w:rsidRPr="00A030E3" w14:paraId="5ECAAD80" w14:textId="77777777" w:rsidTr="00AB10C9">
        <w:trPr>
          <w:cnfStyle w:val="100000000000" w:firstRow="1" w:lastRow="0" w:firstColumn="0" w:lastColumn="0" w:oddVBand="0" w:evenVBand="0" w:oddHBand="0" w:evenHBand="0" w:firstRowFirstColumn="0" w:firstRowLastColumn="0" w:lastRowFirstColumn="0" w:lastRowLastColumn="0"/>
          <w:trHeight w:val="300"/>
          <w:tblHeader/>
        </w:trPr>
        <w:tc>
          <w:tcPr>
            <w:tcW w:w="3400" w:type="dxa"/>
            <w:shd w:val="clear" w:color="auto" w:fill="auto"/>
          </w:tcPr>
          <w:p w14:paraId="301063AE" w14:textId="6FD40F93" w:rsidR="003262DA" w:rsidRPr="00A030E3" w:rsidRDefault="003262DA" w:rsidP="00685B35">
            <w:pPr>
              <w:pStyle w:val="Tablecolheadlandscape"/>
              <w:rPr>
                <w:lang w:eastAsia="en-AU"/>
              </w:rPr>
            </w:pPr>
            <w:r w:rsidRPr="003E2E75">
              <w:rPr>
                <w:lang w:eastAsia="en-AU"/>
              </w:rPr>
              <w:t>Health service</w:t>
            </w:r>
          </w:p>
        </w:tc>
        <w:tc>
          <w:tcPr>
            <w:tcW w:w="1817" w:type="dxa"/>
            <w:shd w:val="clear" w:color="auto" w:fill="auto"/>
          </w:tcPr>
          <w:p w14:paraId="7FCCCD45" w14:textId="3566774F" w:rsidR="003262DA" w:rsidRPr="00A030E3" w:rsidRDefault="003262DA" w:rsidP="00685B35">
            <w:pPr>
              <w:pStyle w:val="Tablecolheadlandscape"/>
              <w:jc w:val="right"/>
              <w:rPr>
                <w:lang w:eastAsia="en-AU"/>
              </w:rPr>
            </w:pPr>
            <w:r w:rsidRPr="003E2E75">
              <w:rPr>
                <w:lang w:eastAsia="en-AU"/>
              </w:rPr>
              <w:t>Mental health funded bed – non-acute</w:t>
            </w:r>
          </w:p>
        </w:tc>
        <w:tc>
          <w:tcPr>
            <w:tcW w:w="1818" w:type="dxa"/>
            <w:shd w:val="clear" w:color="auto" w:fill="auto"/>
          </w:tcPr>
          <w:p w14:paraId="6EEBBFB5" w14:textId="36FBE3BF" w:rsidR="003262DA" w:rsidRPr="00A030E3" w:rsidRDefault="003262DA" w:rsidP="00685B35">
            <w:pPr>
              <w:pStyle w:val="Tablecolheadlandscape"/>
              <w:jc w:val="right"/>
              <w:rPr>
                <w:lang w:eastAsia="en-AU"/>
              </w:rPr>
            </w:pPr>
            <w:r w:rsidRPr="003E2E75">
              <w:rPr>
                <w:lang w:eastAsia="en-AU"/>
              </w:rPr>
              <w:t>Mental health funded bed – subacute CCU</w:t>
            </w:r>
          </w:p>
        </w:tc>
        <w:tc>
          <w:tcPr>
            <w:tcW w:w="1818" w:type="dxa"/>
            <w:shd w:val="clear" w:color="auto" w:fill="auto"/>
          </w:tcPr>
          <w:p w14:paraId="65267578" w14:textId="785CEC40" w:rsidR="003262DA" w:rsidRPr="00A030E3" w:rsidRDefault="003262DA" w:rsidP="00685B35">
            <w:pPr>
              <w:pStyle w:val="Tablecolheadlandscape"/>
              <w:jc w:val="right"/>
              <w:rPr>
                <w:lang w:eastAsia="en-AU"/>
              </w:rPr>
            </w:pPr>
            <w:r w:rsidRPr="003E2E75">
              <w:rPr>
                <w:lang w:eastAsia="en-AU"/>
              </w:rPr>
              <w:t>Mental health funded bed – subacute PARC</w:t>
            </w:r>
          </w:p>
        </w:tc>
        <w:tc>
          <w:tcPr>
            <w:tcW w:w="1818" w:type="dxa"/>
            <w:shd w:val="clear" w:color="auto" w:fill="auto"/>
          </w:tcPr>
          <w:p w14:paraId="0F755A08" w14:textId="1FE05999" w:rsidR="003262DA" w:rsidRPr="00A030E3" w:rsidRDefault="003262DA" w:rsidP="00685B35">
            <w:pPr>
              <w:pStyle w:val="Tablecolheadlandscape"/>
              <w:jc w:val="right"/>
              <w:rPr>
                <w:lang w:eastAsia="en-AU"/>
              </w:rPr>
            </w:pPr>
            <w:r w:rsidRPr="003E2E75">
              <w:rPr>
                <w:lang w:eastAsia="en-AU"/>
              </w:rPr>
              <w:t>Mental health funded bed – residential</w:t>
            </w:r>
          </w:p>
        </w:tc>
        <w:tc>
          <w:tcPr>
            <w:tcW w:w="1818" w:type="dxa"/>
            <w:shd w:val="clear" w:color="auto" w:fill="auto"/>
          </w:tcPr>
          <w:p w14:paraId="6B117C25" w14:textId="77777777" w:rsidR="003262DA" w:rsidRDefault="003262DA" w:rsidP="00685B35">
            <w:pPr>
              <w:pStyle w:val="Tablecolheadlandscape"/>
              <w:jc w:val="right"/>
              <w:rPr>
                <w:lang w:eastAsia="en-AU"/>
              </w:rPr>
            </w:pPr>
            <w:r>
              <w:rPr>
                <w:lang w:eastAsia="en-AU"/>
              </w:rPr>
              <w:t>Total</w:t>
            </w:r>
          </w:p>
          <w:p w14:paraId="240BABCA" w14:textId="38C6AFFE" w:rsidR="003262DA" w:rsidRPr="00A030E3" w:rsidRDefault="003262DA" w:rsidP="00685B35">
            <w:pPr>
              <w:pStyle w:val="Tablecolheadlandscape"/>
              <w:jc w:val="right"/>
              <w:rPr>
                <w:lang w:eastAsia="en-AU"/>
              </w:rPr>
            </w:pPr>
            <w:r w:rsidRPr="003E2E75">
              <w:rPr>
                <w:lang w:eastAsia="en-AU"/>
              </w:rPr>
              <w:t>Mental health funded subacute and residential bed</w:t>
            </w:r>
          </w:p>
        </w:tc>
        <w:tc>
          <w:tcPr>
            <w:tcW w:w="1818" w:type="dxa"/>
            <w:shd w:val="clear" w:color="auto" w:fill="auto"/>
          </w:tcPr>
          <w:p w14:paraId="1714EB9D" w14:textId="47BCA309" w:rsidR="003262DA" w:rsidRDefault="003262DA" w:rsidP="00685B35">
            <w:pPr>
              <w:pStyle w:val="Tablecolheadlandscape"/>
              <w:jc w:val="right"/>
              <w:rPr>
                <w:lang w:eastAsia="en-AU"/>
              </w:rPr>
            </w:pPr>
            <w:r>
              <w:rPr>
                <w:lang w:eastAsia="en-AU"/>
              </w:rPr>
              <w:t>Total</w:t>
            </w:r>
          </w:p>
          <w:p w14:paraId="6ECA37C7" w14:textId="222596BF" w:rsidR="003262DA" w:rsidRPr="00A030E3" w:rsidRDefault="003262DA" w:rsidP="00685B35">
            <w:pPr>
              <w:pStyle w:val="Tablecolheadlandscape"/>
              <w:jc w:val="right"/>
              <w:rPr>
                <w:lang w:eastAsia="en-AU"/>
              </w:rPr>
            </w:pPr>
            <w:r w:rsidRPr="003E2E75">
              <w:rPr>
                <w:lang w:eastAsia="en-AU"/>
              </w:rPr>
              <w:t>Mental health funded subacute and residential bed days</w:t>
            </w:r>
          </w:p>
        </w:tc>
      </w:tr>
      <w:tr w:rsidR="003262DA" w:rsidRPr="00A030E3" w14:paraId="745341CD" w14:textId="77777777" w:rsidTr="003262DA">
        <w:trPr>
          <w:trHeight w:val="300"/>
        </w:trPr>
        <w:tc>
          <w:tcPr>
            <w:tcW w:w="3400" w:type="dxa"/>
            <w:shd w:val="clear" w:color="auto" w:fill="auto"/>
            <w:hideMark/>
          </w:tcPr>
          <w:p w14:paraId="74D2A5BB" w14:textId="77777777" w:rsidR="003262DA" w:rsidRPr="00685B35" w:rsidRDefault="003262DA" w:rsidP="003262DA">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Albury Wodonga Health</w:t>
            </w:r>
          </w:p>
        </w:tc>
        <w:tc>
          <w:tcPr>
            <w:tcW w:w="1817" w:type="dxa"/>
            <w:shd w:val="clear" w:color="auto" w:fill="auto"/>
            <w:hideMark/>
          </w:tcPr>
          <w:p w14:paraId="502CE441"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653D6C0D"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26</w:t>
            </w:r>
          </w:p>
        </w:tc>
        <w:tc>
          <w:tcPr>
            <w:tcW w:w="1818" w:type="dxa"/>
            <w:shd w:val="clear" w:color="auto" w:fill="auto"/>
            <w:hideMark/>
          </w:tcPr>
          <w:p w14:paraId="006711C8"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10</w:t>
            </w:r>
          </w:p>
        </w:tc>
        <w:tc>
          <w:tcPr>
            <w:tcW w:w="1818" w:type="dxa"/>
            <w:shd w:val="clear" w:color="auto" w:fill="auto"/>
            <w:hideMark/>
          </w:tcPr>
          <w:p w14:paraId="0D21DE15"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15</w:t>
            </w:r>
          </w:p>
        </w:tc>
        <w:tc>
          <w:tcPr>
            <w:tcW w:w="1818" w:type="dxa"/>
            <w:shd w:val="clear" w:color="auto" w:fill="auto"/>
            <w:hideMark/>
          </w:tcPr>
          <w:p w14:paraId="6751767D" w14:textId="77777777" w:rsidR="003262DA" w:rsidRPr="009606BD" w:rsidRDefault="003262DA" w:rsidP="003262DA">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51</w:t>
            </w:r>
          </w:p>
        </w:tc>
        <w:tc>
          <w:tcPr>
            <w:tcW w:w="1818" w:type="dxa"/>
            <w:shd w:val="clear" w:color="auto" w:fill="auto"/>
            <w:hideMark/>
          </w:tcPr>
          <w:p w14:paraId="3B3B7DBB" w14:textId="77777777" w:rsidR="003262DA" w:rsidRPr="009606BD" w:rsidRDefault="003262DA" w:rsidP="003262DA">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18,628</w:t>
            </w:r>
          </w:p>
        </w:tc>
      </w:tr>
      <w:tr w:rsidR="003262DA" w:rsidRPr="00A030E3" w14:paraId="43FDDDE7" w14:textId="77777777" w:rsidTr="003262DA">
        <w:trPr>
          <w:trHeight w:val="300"/>
        </w:trPr>
        <w:tc>
          <w:tcPr>
            <w:tcW w:w="3400" w:type="dxa"/>
            <w:shd w:val="clear" w:color="auto" w:fill="auto"/>
            <w:hideMark/>
          </w:tcPr>
          <w:p w14:paraId="391051A1" w14:textId="77777777" w:rsidR="003262DA" w:rsidRPr="00685B35" w:rsidRDefault="003262DA" w:rsidP="003262DA">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Alfred Health</w:t>
            </w:r>
          </w:p>
        </w:tc>
        <w:tc>
          <w:tcPr>
            <w:tcW w:w="1817" w:type="dxa"/>
            <w:shd w:val="clear" w:color="auto" w:fill="auto"/>
            <w:hideMark/>
          </w:tcPr>
          <w:p w14:paraId="42186694"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3D24147B"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20</w:t>
            </w:r>
          </w:p>
        </w:tc>
        <w:tc>
          <w:tcPr>
            <w:tcW w:w="1818" w:type="dxa"/>
            <w:shd w:val="clear" w:color="auto" w:fill="auto"/>
            <w:hideMark/>
          </w:tcPr>
          <w:p w14:paraId="2C328EEC"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10</w:t>
            </w:r>
          </w:p>
        </w:tc>
        <w:tc>
          <w:tcPr>
            <w:tcW w:w="1818" w:type="dxa"/>
            <w:shd w:val="clear" w:color="auto" w:fill="auto"/>
            <w:hideMark/>
          </w:tcPr>
          <w:p w14:paraId="2AA1BE37"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1A0B0C97" w14:textId="77777777" w:rsidR="003262DA" w:rsidRPr="009606BD" w:rsidRDefault="003262DA" w:rsidP="003262DA">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30</w:t>
            </w:r>
          </w:p>
        </w:tc>
        <w:tc>
          <w:tcPr>
            <w:tcW w:w="1818" w:type="dxa"/>
            <w:shd w:val="clear" w:color="auto" w:fill="auto"/>
            <w:hideMark/>
          </w:tcPr>
          <w:p w14:paraId="34EEB0B5" w14:textId="77777777" w:rsidR="003262DA" w:rsidRPr="009606BD" w:rsidRDefault="003262DA" w:rsidP="003262DA">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10,958</w:t>
            </w:r>
          </w:p>
        </w:tc>
      </w:tr>
      <w:tr w:rsidR="003262DA" w:rsidRPr="00A030E3" w14:paraId="7D2FD38B" w14:textId="77777777" w:rsidTr="003262DA">
        <w:trPr>
          <w:trHeight w:val="300"/>
        </w:trPr>
        <w:tc>
          <w:tcPr>
            <w:tcW w:w="3400" w:type="dxa"/>
            <w:shd w:val="clear" w:color="auto" w:fill="auto"/>
            <w:hideMark/>
          </w:tcPr>
          <w:p w14:paraId="7D36D210" w14:textId="77777777" w:rsidR="003262DA" w:rsidRPr="00685B35" w:rsidRDefault="003262DA" w:rsidP="003262DA">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Austin Health</w:t>
            </w:r>
          </w:p>
        </w:tc>
        <w:tc>
          <w:tcPr>
            <w:tcW w:w="1817" w:type="dxa"/>
            <w:shd w:val="clear" w:color="auto" w:fill="auto"/>
            <w:hideMark/>
          </w:tcPr>
          <w:p w14:paraId="3B25A646"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38</w:t>
            </w:r>
          </w:p>
        </w:tc>
        <w:tc>
          <w:tcPr>
            <w:tcW w:w="1818" w:type="dxa"/>
            <w:shd w:val="clear" w:color="auto" w:fill="auto"/>
            <w:hideMark/>
          </w:tcPr>
          <w:p w14:paraId="2E68AC03"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22</w:t>
            </w:r>
          </w:p>
        </w:tc>
        <w:tc>
          <w:tcPr>
            <w:tcW w:w="1818" w:type="dxa"/>
            <w:shd w:val="clear" w:color="auto" w:fill="auto"/>
            <w:hideMark/>
          </w:tcPr>
          <w:p w14:paraId="009BCE1A" w14:textId="7C065AF2"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22</w:t>
            </w:r>
          </w:p>
        </w:tc>
        <w:tc>
          <w:tcPr>
            <w:tcW w:w="1818" w:type="dxa"/>
            <w:shd w:val="clear" w:color="auto" w:fill="auto"/>
            <w:hideMark/>
          </w:tcPr>
          <w:p w14:paraId="743E7B35"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20</w:t>
            </w:r>
          </w:p>
        </w:tc>
        <w:tc>
          <w:tcPr>
            <w:tcW w:w="1818" w:type="dxa"/>
            <w:shd w:val="clear" w:color="auto" w:fill="auto"/>
            <w:hideMark/>
          </w:tcPr>
          <w:p w14:paraId="1C099033" w14:textId="27F32A6E" w:rsidR="003262DA" w:rsidRPr="009606BD" w:rsidRDefault="003262DA" w:rsidP="003262DA">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102</w:t>
            </w:r>
          </w:p>
        </w:tc>
        <w:tc>
          <w:tcPr>
            <w:tcW w:w="1818" w:type="dxa"/>
            <w:shd w:val="clear" w:color="auto" w:fill="auto"/>
            <w:hideMark/>
          </w:tcPr>
          <w:p w14:paraId="35EDC1C8" w14:textId="53135716" w:rsidR="003262DA" w:rsidRPr="009606BD" w:rsidRDefault="003262DA" w:rsidP="003262DA">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37,256</w:t>
            </w:r>
          </w:p>
        </w:tc>
      </w:tr>
      <w:tr w:rsidR="003262DA" w:rsidRPr="00A030E3" w14:paraId="194CA71B" w14:textId="77777777" w:rsidTr="003262DA">
        <w:trPr>
          <w:trHeight w:val="300"/>
        </w:trPr>
        <w:tc>
          <w:tcPr>
            <w:tcW w:w="3400" w:type="dxa"/>
            <w:shd w:val="clear" w:color="auto" w:fill="auto"/>
            <w:hideMark/>
          </w:tcPr>
          <w:p w14:paraId="776C03C4" w14:textId="77777777" w:rsidR="003262DA" w:rsidRPr="00685B35" w:rsidRDefault="003262DA" w:rsidP="003262DA">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Barwon Health</w:t>
            </w:r>
          </w:p>
        </w:tc>
        <w:tc>
          <w:tcPr>
            <w:tcW w:w="1817" w:type="dxa"/>
            <w:shd w:val="clear" w:color="auto" w:fill="auto"/>
            <w:hideMark/>
          </w:tcPr>
          <w:p w14:paraId="05D95D15"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3</w:t>
            </w:r>
          </w:p>
        </w:tc>
        <w:tc>
          <w:tcPr>
            <w:tcW w:w="1818" w:type="dxa"/>
            <w:shd w:val="clear" w:color="auto" w:fill="auto"/>
            <w:hideMark/>
          </w:tcPr>
          <w:p w14:paraId="7ED4B13D"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12</w:t>
            </w:r>
          </w:p>
        </w:tc>
        <w:tc>
          <w:tcPr>
            <w:tcW w:w="1818" w:type="dxa"/>
            <w:shd w:val="clear" w:color="auto" w:fill="auto"/>
            <w:hideMark/>
          </w:tcPr>
          <w:p w14:paraId="40A05D5B"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12</w:t>
            </w:r>
          </w:p>
        </w:tc>
        <w:tc>
          <w:tcPr>
            <w:tcW w:w="1818" w:type="dxa"/>
            <w:shd w:val="clear" w:color="auto" w:fill="auto"/>
            <w:hideMark/>
          </w:tcPr>
          <w:p w14:paraId="632A50FC"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45</w:t>
            </w:r>
          </w:p>
        </w:tc>
        <w:tc>
          <w:tcPr>
            <w:tcW w:w="1818" w:type="dxa"/>
            <w:shd w:val="clear" w:color="auto" w:fill="auto"/>
            <w:hideMark/>
          </w:tcPr>
          <w:p w14:paraId="6971C716" w14:textId="77777777" w:rsidR="003262DA" w:rsidRPr="009606BD" w:rsidRDefault="003262DA" w:rsidP="003262DA">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72</w:t>
            </w:r>
          </w:p>
        </w:tc>
        <w:tc>
          <w:tcPr>
            <w:tcW w:w="1818" w:type="dxa"/>
            <w:shd w:val="clear" w:color="auto" w:fill="auto"/>
            <w:hideMark/>
          </w:tcPr>
          <w:p w14:paraId="4CEF7447" w14:textId="77777777" w:rsidR="003262DA" w:rsidRPr="009606BD" w:rsidRDefault="003262DA" w:rsidP="003262DA">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26,298</w:t>
            </w:r>
          </w:p>
        </w:tc>
      </w:tr>
      <w:tr w:rsidR="003262DA" w:rsidRPr="00A030E3" w14:paraId="4B59CA1F" w14:textId="77777777" w:rsidTr="003262DA">
        <w:trPr>
          <w:trHeight w:val="300"/>
        </w:trPr>
        <w:tc>
          <w:tcPr>
            <w:tcW w:w="3400" w:type="dxa"/>
            <w:shd w:val="clear" w:color="auto" w:fill="auto"/>
            <w:hideMark/>
          </w:tcPr>
          <w:p w14:paraId="2CB36C16" w14:textId="77777777" w:rsidR="003262DA" w:rsidRPr="00685B35" w:rsidRDefault="003262DA" w:rsidP="003262DA">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Bendigo Health Care Group</w:t>
            </w:r>
          </w:p>
        </w:tc>
        <w:tc>
          <w:tcPr>
            <w:tcW w:w="1817" w:type="dxa"/>
            <w:shd w:val="clear" w:color="auto" w:fill="auto"/>
            <w:hideMark/>
          </w:tcPr>
          <w:p w14:paraId="7A464116"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20</w:t>
            </w:r>
          </w:p>
        </w:tc>
        <w:tc>
          <w:tcPr>
            <w:tcW w:w="1818" w:type="dxa"/>
            <w:shd w:val="clear" w:color="auto" w:fill="auto"/>
            <w:hideMark/>
          </w:tcPr>
          <w:p w14:paraId="743BD290"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12</w:t>
            </w:r>
          </w:p>
        </w:tc>
        <w:tc>
          <w:tcPr>
            <w:tcW w:w="1818" w:type="dxa"/>
            <w:shd w:val="clear" w:color="auto" w:fill="auto"/>
            <w:hideMark/>
          </w:tcPr>
          <w:p w14:paraId="3609DBF8"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20</w:t>
            </w:r>
          </w:p>
        </w:tc>
        <w:tc>
          <w:tcPr>
            <w:tcW w:w="1818" w:type="dxa"/>
            <w:shd w:val="clear" w:color="auto" w:fill="auto"/>
            <w:hideMark/>
          </w:tcPr>
          <w:p w14:paraId="33488419"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30</w:t>
            </w:r>
          </w:p>
        </w:tc>
        <w:tc>
          <w:tcPr>
            <w:tcW w:w="1818" w:type="dxa"/>
            <w:shd w:val="clear" w:color="auto" w:fill="auto"/>
            <w:hideMark/>
          </w:tcPr>
          <w:p w14:paraId="0000861B" w14:textId="77777777" w:rsidR="003262DA" w:rsidRPr="009606BD" w:rsidRDefault="003262DA" w:rsidP="003262DA">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82</w:t>
            </w:r>
          </w:p>
        </w:tc>
        <w:tc>
          <w:tcPr>
            <w:tcW w:w="1818" w:type="dxa"/>
            <w:shd w:val="clear" w:color="auto" w:fill="auto"/>
            <w:hideMark/>
          </w:tcPr>
          <w:p w14:paraId="2F25772D" w14:textId="77777777" w:rsidR="003262DA" w:rsidRPr="009606BD" w:rsidRDefault="003262DA" w:rsidP="003262DA">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29,951</w:t>
            </w:r>
          </w:p>
        </w:tc>
      </w:tr>
      <w:tr w:rsidR="003262DA" w:rsidRPr="00A030E3" w14:paraId="4864EC88" w14:textId="77777777" w:rsidTr="003262DA">
        <w:trPr>
          <w:trHeight w:val="300"/>
        </w:trPr>
        <w:tc>
          <w:tcPr>
            <w:tcW w:w="3400" w:type="dxa"/>
            <w:shd w:val="clear" w:color="auto" w:fill="auto"/>
            <w:hideMark/>
          </w:tcPr>
          <w:p w14:paraId="4EABE78B" w14:textId="77777777" w:rsidR="003262DA" w:rsidRPr="00685B35" w:rsidRDefault="003262DA" w:rsidP="003262DA">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Eastern Health</w:t>
            </w:r>
          </w:p>
        </w:tc>
        <w:tc>
          <w:tcPr>
            <w:tcW w:w="1817" w:type="dxa"/>
            <w:shd w:val="clear" w:color="auto" w:fill="auto"/>
            <w:hideMark/>
          </w:tcPr>
          <w:p w14:paraId="33DEA8FF"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00060EE4"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40</w:t>
            </w:r>
          </w:p>
        </w:tc>
        <w:tc>
          <w:tcPr>
            <w:tcW w:w="1818" w:type="dxa"/>
            <w:shd w:val="clear" w:color="auto" w:fill="auto"/>
            <w:hideMark/>
          </w:tcPr>
          <w:p w14:paraId="0375E28D"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20</w:t>
            </w:r>
          </w:p>
        </w:tc>
        <w:tc>
          <w:tcPr>
            <w:tcW w:w="1818" w:type="dxa"/>
            <w:shd w:val="clear" w:color="auto" w:fill="auto"/>
            <w:hideMark/>
          </w:tcPr>
          <w:p w14:paraId="5C80E4A8"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60</w:t>
            </w:r>
          </w:p>
        </w:tc>
        <w:tc>
          <w:tcPr>
            <w:tcW w:w="1818" w:type="dxa"/>
            <w:shd w:val="clear" w:color="auto" w:fill="auto"/>
            <w:hideMark/>
          </w:tcPr>
          <w:p w14:paraId="57D0F9AF" w14:textId="77777777" w:rsidR="003262DA" w:rsidRPr="009606BD" w:rsidRDefault="003262DA" w:rsidP="003262DA">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120</w:t>
            </w:r>
          </w:p>
        </w:tc>
        <w:tc>
          <w:tcPr>
            <w:tcW w:w="1818" w:type="dxa"/>
            <w:shd w:val="clear" w:color="auto" w:fill="auto"/>
            <w:hideMark/>
          </w:tcPr>
          <w:p w14:paraId="0707917C" w14:textId="77777777" w:rsidR="003262DA" w:rsidRPr="009606BD" w:rsidRDefault="003262DA" w:rsidP="003262DA">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43,830</w:t>
            </w:r>
          </w:p>
        </w:tc>
      </w:tr>
      <w:tr w:rsidR="003262DA" w:rsidRPr="00A030E3" w14:paraId="4EBF65D4" w14:textId="77777777" w:rsidTr="003262DA">
        <w:trPr>
          <w:trHeight w:val="300"/>
        </w:trPr>
        <w:tc>
          <w:tcPr>
            <w:tcW w:w="3400" w:type="dxa"/>
            <w:shd w:val="clear" w:color="auto" w:fill="auto"/>
            <w:hideMark/>
          </w:tcPr>
          <w:p w14:paraId="62D2F6DE" w14:textId="77777777" w:rsidR="003262DA" w:rsidRPr="00685B35" w:rsidRDefault="003262DA" w:rsidP="003262DA">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Goulburn Valley Health</w:t>
            </w:r>
          </w:p>
        </w:tc>
        <w:tc>
          <w:tcPr>
            <w:tcW w:w="1817" w:type="dxa"/>
            <w:shd w:val="clear" w:color="auto" w:fill="auto"/>
            <w:hideMark/>
          </w:tcPr>
          <w:p w14:paraId="52559E34"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39A31EE3"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10</w:t>
            </w:r>
          </w:p>
        </w:tc>
        <w:tc>
          <w:tcPr>
            <w:tcW w:w="1818" w:type="dxa"/>
            <w:shd w:val="clear" w:color="auto" w:fill="auto"/>
            <w:hideMark/>
          </w:tcPr>
          <w:p w14:paraId="41E4B6D1"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10</w:t>
            </w:r>
          </w:p>
        </w:tc>
        <w:tc>
          <w:tcPr>
            <w:tcW w:w="1818" w:type="dxa"/>
            <w:shd w:val="clear" w:color="auto" w:fill="auto"/>
            <w:hideMark/>
          </w:tcPr>
          <w:p w14:paraId="7E464D48" w14:textId="77777777" w:rsidR="003262DA" w:rsidRPr="00685B35" w:rsidRDefault="003262DA" w:rsidP="003262DA">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20</w:t>
            </w:r>
          </w:p>
        </w:tc>
        <w:tc>
          <w:tcPr>
            <w:tcW w:w="1818" w:type="dxa"/>
            <w:shd w:val="clear" w:color="auto" w:fill="auto"/>
            <w:hideMark/>
          </w:tcPr>
          <w:p w14:paraId="6A0FCFCB" w14:textId="77777777" w:rsidR="003262DA" w:rsidRPr="009606BD" w:rsidRDefault="003262DA" w:rsidP="003262DA">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40</w:t>
            </w:r>
          </w:p>
        </w:tc>
        <w:tc>
          <w:tcPr>
            <w:tcW w:w="1818" w:type="dxa"/>
            <w:shd w:val="clear" w:color="auto" w:fill="auto"/>
            <w:hideMark/>
          </w:tcPr>
          <w:p w14:paraId="7BA39CB2" w14:textId="77777777" w:rsidR="003262DA" w:rsidRPr="009606BD" w:rsidRDefault="003262DA" w:rsidP="003262DA">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14,610</w:t>
            </w:r>
          </w:p>
        </w:tc>
      </w:tr>
      <w:tr w:rsidR="00AB10C9" w:rsidRPr="00A030E3" w14:paraId="4B85BAB9" w14:textId="77777777" w:rsidTr="003262DA">
        <w:trPr>
          <w:trHeight w:val="300"/>
        </w:trPr>
        <w:tc>
          <w:tcPr>
            <w:tcW w:w="3400" w:type="dxa"/>
            <w:shd w:val="clear" w:color="auto" w:fill="auto"/>
          </w:tcPr>
          <w:p w14:paraId="10624D07" w14:textId="5A3AA0BE"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Grampians Health</w:t>
            </w:r>
          </w:p>
        </w:tc>
        <w:tc>
          <w:tcPr>
            <w:tcW w:w="1817" w:type="dxa"/>
            <w:shd w:val="clear" w:color="auto" w:fill="auto"/>
          </w:tcPr>
          <w:p w14:paraId="2631C143" w14:textId="16358E10"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12</w:t>
            </w:r>
          </w:p>
        </w:tc>
        <w:tc>
          <w:tcPr>
            <w:tcW w:w="1818" w:type="dxa"/>
            <w:shd w:val="clear" w:color="auto" w:fill="auto"/>
          </w:tcPr>
          <w:p w14:paraId="5DCFF843" w14:textId="1F97CB04"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tcPr>
          <w:p w14:paraId="0E7402C7" w14:textId="1D540BB5"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12</w:t>
            </w:r>
          </w:p>
        </w:tc>
        <w:tc>
          <w:tcPr>
            <w:tcW w:w="1818" w:type="dxa"/>
            <w:shd w:val="clear" w:color="auto" w:fill="auto"/>
          </w:tcPr>
          <w:p w14:paraId="139B3701" w14:textId="3C51DB85"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32</w:t>
            </w:r>
          </w:p>
        </w:tc>
        <w:tc>
          <w:tcPr>
            <w:tcW w:w="1818" w:type="dxa"/>
            <w:shd w:val="clear" w:color="auto" w:fill="auto"/>
          </w:tcPr>
          <w:p w14:paraId="4499E95F" w14:textId="2B5F6312" w:rsidR="00AB10C9" w:rsidRPr="009606BD" w:rsidRDefault="00AB10C9" w:rsidP="00AB10C9">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56</w:t>
            </w:r>
          </w:p>
        </w:tc>
        <w:tc>
          <w:tcPr>
            <w:tcW w:w="1818" w:type="dxa"/>
            <w:shd w:val="clear" w:color="auto" w:fill="auto"/>
          </w:tcPr>
          <w:p w14:paraId="5F9AAA57" w14:textId="056876A5" w:rsidR="00AB10C9" w:rsidRPr="009606BD" w:rsidRDefault="00AB10C9" w:rsidP="00AB10C9">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20,454</w:t>
            </w:r>
          </w:p>
        </w:tc>
      </w:tr>
      <w:tr w:rsidR="00AB10C9" w:rsidRPr="00A030E3" w14:paraId="255802CF" w14:textId="77777777" w:rsidTr="003262DA">
        <w:trPr>
          <w:trHeight w:val="300"/>
        </w:trPr>
        <w:tc>
          <w:tcPr>
            <w:tcW w:w="3400" w:type="dxa"/>
            <w:shd w:val="clear" w:color="auto" w:fill="auto"/>
            <w:hideMark/>
          </w:tcPr>
          <w:p w14:paraId="1FB257F3" w14:textId="77777777"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Latrobe Regional</w:t>
            </w:r>
          </w:p>
        </w:tc>
        <w:tc>
          <w:tcPr>
            <w:tcW w:w="1817" w:type="dxa"/>
            <w:shd w:val="clear" w:color="auto" w:fill="auto"/>
            <w:hideMark/>
          </w:tcPr>
          <w:p w14:paraId="17E4C844"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6</w:t>
            </w:r>
          </w:p>
        </w:tc>
        <w:tc>
          <w:tcPr>
            <w:tcW w:w="1818" w:type="dxa"/>
            <w:shd w:val="clear" w:color="auto" w:fill="auto"/>
            <w:hideMark/>
          </w:tcPr>
          <w:p w14:paraId="3EE39B04"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14</w:t>
            </w:r>
          </w:p>
        </w:tc>
        <w:tc>
          <w:tcPr>
            <w:tcW w:w="1818" w:type="dxa"/>
            <w:shd w:val="clear" w:color="auto" w:fill="auto"/>
            <w:hideMark/>
          </w:tcPr>
          <w:p w14:paraId="3CBEB8C7"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10</w:t>
            </w:r>
          </w:p>
        </w:tc>
        <w:tc>
          <w:tcPr>
            <w:tcW w:w="1818" w:type="dxa"/>
            <w:shd w:val="clear" w:color="auto" w:fill="auto"/>
            <w:hideMark/>
          </w:tcPr>
          <w:p w14:paraId="7BC37957"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10</w:t>
            </w:r>
          </w:p>
        </w:tc>
        <w:tc>
          <w:tcPr>
            <w:tcW w:w="1818" w:type="dxa"/>
            <w:shd w:val="clear" w:color="auto" w:fill="auto"/>
            <w:hideMark/>
          </w:tcPr>
          <w:p w14:paraId="1512F0A6" w14:textId="77777777" w:rsidR="00AB10C9" w:rsidRPr="009606BD" w:rsidRDefault="00AB10C9" w:rsidP="00AB10C9">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40</w:t>
            </w:r>
          </w:p>
        </w:tc>
        <w:tc>
          <w:tcPr>
            <w:tcW w:w="1818" w:type="dxa"/>
            <w:shd w:val="clear" w:color="auto" w:fill="auto"/>
            <w:hideMark/>
          </w:tcPr>
          <w:p w14:paraId="12A6D577" w14:textId="77777777" w:rsidR="00AB10C9" w:rsidRPr="009606BD" w:rsidRDefault="00AB10C9" w:rsidP="00AB10C9">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14,610</w:t>
            </w:r>
          </w:p>
        </w:tc>
      </w:tr>
      <w:tr w:rsidR="00AB10C9" w:rsidRPr="00A030E3" w14:paraId="24032D9B" w14:textId="77777777" w:rsidTr="003262DA">
        <w:trPr>
          <w:trHeight w:val="300"/>
        </w:trPr>
        <w:tc>
          <w:tcPr>
            <w:tcW w:w="3400" w:type="dxa"/>
            <w:shd w:val="clear" w:color="auto" w:fill="auto"/>
            <w:hideMark/>
          </w:tcPr>
          <w:p w14:paraId="3C708B1A" w14:textId="77777777"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Melbourne Health</w:t>
            </w:r>
          </w:p>
        </w:tc>
        <w:tc>
          <w:tcPr>
            <w:tcW w:w="1817" w:type="dxa"/>
            <w:shd w:val="clear" w:color="auto" w:fill="auto"/>
            <w:hideMark/>
          </w:tcPr>
          <w:p w14:paraId="44953E5C" w14:textId="3805CF73" w:rsidR="00AB10C9" w:rsidRPr="00685B35" w:rsidRDefault="00AB10C9" w:rsidP="00AB10C9">
            <w:pPr>
              <w:spacing w:after="0" w:line="240" w:lineRule="auto"/>
              <w:jc w:val="right"/>
              <w:rPr>
                <w:rFonts w:cs="Arial"/>
                <w:color w:val="000000" w:themeColor="text1"/>
                <w:sz w:val="16"/>
                <w:szCs w:val="16"/>
                <w:lang w:eastAsia="en-AU"/>
              </w:rPr>
            </w:pPr>
          </w:p>
        </w:tc>
        <w:tc>
          <w:tcPr>
            <w:tcW w:w="1818" w:type="dxa"/>
            <w:shd w:val="clear" w:color="auto" w:fill="auto"/>
            <w:hideMark/>
          </w:tcPr>
          <w:p w14:paraId="2C862810" w14:textId="51F44DDC"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20</w:t>
            </w:r>
          </w:p>
        </w:tc>
        <w:tc>
          <w:tcPr>
            <w:tcW w:w="1818" w:type="dxa"/>
            <w:shd w:val="clear" w:color="auto" w:fill="auto"/>
            <w:hideMark/>
          </w:tcPr>
          <w:p w14:paraId="31BBC315" w14:textId="4715C3FA"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30</w:t>
            </w:r>
          </w:p>
        </w:tc>
        <w:tc>
          <w:tcPr>
            <w:tcW w:w="1818" w:type="dxa"/>
            <w:shd w:val="clear" w:color="auto" w:fill="auto"/>
            <w:hideMark/>
          </w:tcPr>
          <w:p w14:paraId="0B37CB3B" w14:textId="5817FA38" w:rsidR="00AB10C9" w:rsidRPr="00685B35" w:rsidRDefault="00AB10C9" w:rsidP="00AB10C9">
            <w:pPr>
              <w:spacing w:after="0" w:line="240" w:lineRule="auto"/>
              <w:jc w:val="right"/>
              <w:rPr>
                <w:rFonts w:cs="Arial"/>
                <w:color w:val="000000" w:themeColor="text1"/>
                <w:sz w:val="16"/>
                <w:szCs w:val="16"/>
                <w:lang w:eastAsia="en-AU"/>
              </w:rPr>
            </w:pPr>
          </w:p>
        </w:tc>
        <w:tc>
          <w:tcPr>
            <w:tcW w:w="1818" w:type="dxa"/>
            <w:shd w:val="clear" w:color="auto" w:fill="auto"/>
            <w:hideMark/>
          </w:tcPr>
          <w:p w14:paraId="767C5EA9" w14:textId="3AD5294E" w:rsidR="00AB10C9" w:rsidRPr="009606BD" w:rsidRDefault="00AB10C9" w:rsidP="00AB10C9">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50</w:t>
            </w:r>
          </w:p>
        </w:tc>
        <w:tc>
          <w:tcPr>
            <w:tcW w:w="1818" w:type="dxa"/>
            <w:shd w:val="clear" w:color="auto" w:fill="auto"/>
            <w:hideMark/>
          </w:tcPr>
          <w:p w14:paraId="1C487D7F" w14:textId="4F1C1413" w:rsidR="00AB10C9" w:rsidRPr="009606BD" w:rsidRDefault="00AB10C9" w:rsidP="00AB10C9">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18,263</w:t>
            </w:r>
          </w:p>
        </w:tc>
      </w:tr>
      <w:tr w:rsidR="00AB10C9" w:rsidRPr="00A030E3" w14:paraId="2073F933" w14:textId="77777777" w:rsidTr="003262DA">
        <w:trPr>
          <w:trHeight w:val="300"/>
        </w:trPr>
        <w:tc>
          <w:tcPr>
            <w:tcW w:w="3400" w:type="dxa"/>
            <w:shd w:val="clear" w:color="auto" w:fill="auto"/>
            <w:hideMark/>
          </w:tcPr>
          <w:p w14:paraId="28F95D31" w14:textId="77777777"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Mercy Health</w:t>
            </w:r>
          </w:p>
        </w:tc>
        <w:tc>
          <w:tcPr>
            <w:tcW w:w="1817" w:type="dxa"/>
            <w:shd w:val="clear" w:color="auto" w:fill="auto"/>
            <w:hideMark/>
          </w:tcPr>
          <w:p w14:paraId="0178D807"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14043300"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20</w:t>
            </w:r>
          </w:p>
        </w:tc>
        <w:tc>
          <w:tcPr>
            <w:tcW w:w="1818" w:type="dxa"/>
            <w:shd w:val="clear" w:color="auto" w:fill="auto"/>
            <w:hideMark/>
          </w:tcPr>
          <w:p w14:paraId="00255229"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10</w:t>
            </w:r>
          </w:p>
        </w:tc>
        <w:tc>
          <w:tcPr>
            <w:tcW w:w="1818" w:type="dxa"/>
            <w:shd w:val="clear" w:color="auto" w:fill="auto"/>
            <w:hideMark/>
          </w:tcPr>
          <w:p w14:paraId="32CD8EA1"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12E57A44" w14:textId="77777777" w:rsidR="00AB10C9" w:rsidRPr="009606BD" w:rsidRDefault="00AB10C9" w:rsidP="00AB10C9">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30</w:t>
            </w:r>
          </w:p>
        </w:tc>
        <w:tc>
          <w:tcPr>
            <w:tcW w:w="1818" w:type="dxa"/>
            <w:shd w:val="clear" w:color="auto" w:fill="auto"/>
            <w:hideMark/>
          </w:tcPr>
          <w:p w14:paraId="08903CAA" w14:textId="77777777" w:rsidR="00AB10C9" w:rsidRPr="009606BD" w:rsidRDefault="00AB10C9" w:rsidP="00AB10C9">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10,958</w:t>
            </w:r>
          </w:p>
        </w:tc>
      </w:tr>
      <w:tr w:rsidR="00AB10C9" w:rsidRPr="00A030E3" w14:paraId="0BA24494" w14:textId="77777777" w:rsidTr="003262DA">
        <w:trPr>
          <w:trHeight w:val="300"/>
        </w:trPr>
        <w:tc>
          <w:tcPr>
            <w:tcW w:w="3400" w:type="dxa"/>
            <w:shd w:val="clear" w:color="auto" w:fill="auto"/>
            <w:hideMark/>
          </w:tcPr>
          <w:p w14:paraId="1C2BD489" w14:textId="77777777"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Monash Health</w:t>
            </w:r>
          </w:p>
        </w:tc>
        <w:tc>
          <w:tcPr>
            <w:tcW w:w="1817" w:type="dxa"/>
            <w:shd w:val="clear" w:color="auto" w:fill="auto"/>
            <w:hideMark/>
          </w:tcPr>
          <w:p w14:paraId="58855409"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60</w:t>
            </w:r>
          </w:p>
        </w:tc>
        <w:tc>
          <w:tcPr>
            <w:tcW w:w="1818" w:type="dxa"/>
            <w:shd w:val="clear" w:color="auto" w:fill="auto"/>
            <w:hideMark/>
          </w:tcPr>
          <w:p w14:paraId="0DF5D1AD"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40</w:t>
            </w:r>
          </w:p>
        </w:tc>
        <w:tc>
          <w:tcPr>
            <w:tcW w:w="1818" w:type="dxa"/>
            <w:shd w:val="clear" w:color="auto" w:fill="auto"/>
            <w:hideMark/>
          </w:tcPr>
          <w:p w14:paraId="2A7980F6"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50</w:t>
            </w:r>
          </w:p>
        </w:tc>
        <w:tc>
          <w:tcPr>
            <w:tcW w:w="1818" w:type="dxa"/>
            <w:shd w:val="clear" w:color="auto" w:fill="auto"/>
            <w:hideMark/>
          </w:tcPr>
          <w:p w14:paraId="1255302B"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94</w:t>
            </w:r>
          </w:p>
        </w:tc>
        <w:tc>
          <w:tcPr>
            <w:tcW w:w="1818" w:type="dxa"/>
            <w:shd w:val="clear" w:color="auto" w:fill="auto"/>
            <w:hideMark/>
          </w:tcPr>
          <w:p w14:paraId="69258A15" w14:textId="77777777" w:rsidR="00AB10C9" w:rsidRPr="009606BD" w:rsidRDefault="00AB10C9" w:rsidP="00AB10C9">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244</w:t>
            </w:r>
          </w:p>
        </w:tc>
        <w:tc>
          <w:tcPr>
            <w:tcW w:w="1818" w:type="dxa"/>
            <w:shd w:val="clear" w:color="auto" w:fill="auto"/>
            <w:hideMark/>
          </w:tcPr>
          <w:p w14:paraId="602F24C3" w14:textId="77777777" w:rsidR="00AB10C9" w:rsidRPr="009606BD" w:rsidRDefault="00AB10C9" w:rsidP="00AB10C9">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89,121</w:t>
            </w:r>
          </w:p>
        </w:tc>
      </w:tr>
      <w:tr w:rsidR="00AB10C9" w:rsidRPr="00A030E3" w14:paraId="5762AB20" w14:textId="77777777" w:rsidTr="003262DA">
        <w:trPr>
          <w:trHeight w:val="300"/>
        </w:trPr>
        <w:tc>
          <w:tcPr>
            <w:tcW w:w="3400" w:type="dxa"/>
            <w:shd w:val="clear" w:color="auto" w:fill="auto"/>
          </w:tcPr>
          <w:p w14:paraId="64078CCB" w14:textId="6E91C2C8"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Northern Health</w:t>
            </w:r>
          </w:p>
        </w:tc>
        <w:tc>
          <w:tcPr>
            <w:tcW w:w="1817" w:type="dxa"/>
            <w:shd w:val="clear" w:color="auto" w:fill="auto"/>
          </w:tcPr>
          <w:p w14:paraId="10B13E49" w14:textId="77777777" w:rsidR="00AB10C9" w:rsidRPr="00685B35" w:rsidRDefault="00AB10C9" w:rsidP="00AB10C9">
            <w:pPr>
              <w:spacing w:after="0" w:line="240" w:lineRule="auto"/>
              <w:jc w:val="right"/>
              <w:rPr>
                <w:rFonts w:cs="Arial"/>
                <w:color w:val="000000" w:themeColor="text1"/>
                <w:sz w:val="16"/>
                <w:szCs w:val="16"/>
                <w:lang w:eastAsia="en-AU"/>
              </w:rPr>
            </w:pPr>
          </w:p>
        </w:tc>
        <w:tc>
          <w:tcPr>
            <w:tcW w:w="1818" w:type="dxa"/>
            <w:shd w:val="clear" w:color="auto" w:fill="auto"/>
          </w:tcPr>
          <w:p w14:paraId="7AAF37A1" w14:textId="67333B64"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40</w:t>
            </w:r>
          </w:p>
        </w:tc>
        <w:tc>
          <w:tcPr>
            <w:tcW w:w="1818" w:type="dxa"/>
            <w:shd w:val="clear" w:color="auto" w:fill="auto"/>
          </w:tcPr>
          <w:p w14:paraId="2EF615C6" w14:textId="058FF10D"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20</w:t>
            </w:r>
          </w:p>
        </w:tc>
        <w:tc>
          <w:tcPr>
            <w:tcW w:w="1818" w:type="dxa"/>
            <w:shd w:val="clear" w:color="auto" w:fill="auto"/>
          </w:tcPr>
          <w:p w14:paraId="31AE1131" w14:textId="1EECD1D3"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62</w:t>
            </w:r>
          </w:p>
        </w:tc>
        <w:tc>
          <w:tcPr>
            <w:tcW w:w="1818" w:type="dxa"/>
            <w:shd w:val="clear" w:color="auto" w:fill="auto"/>
          </w:tcPr>
          <w:p w14:paraId="7DD64A7B" w14:textId="1A38C7D1" w:rsidR="00AB10C9" w:rsidRPr="009606BD" w:rsidRDefault="00AB10C9" w:rsidP="00AB10C9">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122</w:t>
            </w:r>
          </w:p>
        </w:tc>
        <w:tc>
          <w:tcPr>
            <w:tcW w:w="1818" w:type="dxa"/>
            <w:shd w:val="clear" w:color="auto" w:fill="auto"/>
          </w:tcPr>
          <w:p w14:paraId="20F44E0A" w14:textId="469E85FB" w:rsidR="00AB10C9" w:rsidRPr="009606BD" w:rsidRDefault="00AB10C9" w:rsidP="00AB10C9">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44,561</w:t>
            </w:r>
          </w:p>
        </w:tc>
      </w:tr>
      <w:tr w:rsidR="00AB10C9" w:rsidRPr="00A030E3" w14:paraId="1388B199" w14:textId="77777777" w:rsidTr="003262DA">
        <w:trPr>
          <w:trHeight w:val="300"/>
        </w:trPr>
        <w:tc>
          <w:tcPr>
            <w:tcW w:w="3400" w:type="dxa"/>
            <w:shd w:val="clear" w:color="auto" w:fill="auto"/>
            <w:hideMark/>
          </w:tcPr>
          <w:p w14:paraId="6B2D9F48" w14:textId="77777777"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Peninsula Health</w:t>
            </w:r>
          </w:p>
        </w:tc>
        <w:tc>
          <w:tcPr>
            <w:tcW w:w="1817" w:type="dxa"/>
            <w:shd w:val="clear" w:color="auto" w:fill="auto"/>
            <w:hideMark/>
          </w:tcPr>
          <w:p w14:paraId="50446BDD"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6BEAEDE6"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20</w:t>
            </w:r>
          </w:p>
        </w:tc>
        <w:tc>
          <w:tcPr>
            <w:tcW w:w="1818" w:type="dxa"/>
            <w:shd w:val="clear" w:color="auto" w:fill="auto"/>
            <w:hideMark/>
          </w:tcPr>
          <w:p w14:paraId="2EB590FC"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20</w:t>
            </w:r>
          </w:p>
        </w:tc>
        <w:tc>
          <w:tcPr>
            <w:tcW w:w="1818" w:type="dxa"/>
            <w:shd w:val="clear" w:color="auto" w:fill="auto"/>
            <w:hideMark/>
          </w:tcPr>
          <w:p w14:paraId="0687D3EA"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30</w:t>
            </w:r>
          </w:p>
        </w:tc>
        <w:tc>
          <w:tcPr>
            <w:tcW w:w="1818" w:type="dxa"/>
            <w:shd w:val="clear" w:color="auto" w:fill="auto"/>
            <w:hideMark/>
          </w:tcPr>
          <w:p w14:paraId="23D96C9C" w14:textId="77777777" w:rsidR="00AB10C9" w:rsidRPr="009606BD" w:rsidRDefault="00AB10C9" w:rsidP="00AB10C9">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70</w:t>
            </w:r>
          </w:p>
        </w:tc>
        <w:tc>
          <w:tcPr>
            <w:tcW w:w="1818" w:type="dxa"/>
            <w:shd w:val="clear" w:color="auto" w:fill="auto"/>
            <w:hideMark/>
          </w:tcPr>
          <w:p w14:paraId="672863C7" w14:textId="77777777" w:rsidR="00AB10C9" w:rsidRPr="009606BD" w:rsidRDefault="00AB10C9" w:rsidP="00AB10C9">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25,568</w:t>
            </w:r>
          </w:p>
        </w:tc>
      </w:tr>
      <w:tr w:rsidR="00AB10C9" w:rsidRPr="00A030E3" w14:paraId="637CDFE1" w14:textId="77777777" w:rsidTr="003262DA">
        <w:trPr>
          <w:trHeight w:val="300"/>
        </w:trPr>
        <w:tc>
          <w:tcPr>
            <w:tcW w:w="3400" w:type="dxa"/>
            <w:shd w:val="clear" w:color="auto" w:fill="auto"/>
            <w:hideMark/>
          </w:tcPr>
          <w:p w14:paraId="7E11E80F" w14:textId="77777777"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St Vincent’s Hospital</w:t>
            </w:r>
          </w:p>
        </w:tc>
        <w:tc>
          <w:tcPr>
            <w:tcW w:w="1817" w:type="dxa"/>
            <w:shd w:val="clear" w:color="auto" w:fill="auto"/>
            <w:hideMark/>
          </w:tcPr>
          <w:p w14:paraId="10009178"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00D9728D"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20</w:t>
            </w:r>
          </w:p>
        </w:tc>
        <w:tc>
          <w:tcPr>
            <w:tcW w:w="1818" w:type="dxa"/>
            <w:shd w:val="clear" w:color="auto" w:fill="auto"/>
            <w:hideMark/>
          </w:tcPr>
          <w:p w14:paraId="310C496A"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10</w:t>
            </w:r>
          </w:p>
        </w:tc>
        <w:tc>
          <w:tcPr>
            <w:tcW w:w="1818" w:type="dxa"/>
            <w:shd w:val="clear" w:color="auto" w:fill="auto"/>
            <w:hideMark/>
          </w:tcPr>
          <w:p w14:paraId="3F693835"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60</w:t>
            </w:r>
          </w:p>
        </w:tc>
        <w:tc>
          <w:tcPr>
            <w:tcW w:w="1818" w:type="dxa"/>
            <w:shd w:val="clear" w:color="auto" w:fill="auto"/>
            <w:hideMark/>
          </w:tcPr>
          <w:p w14:paraId="429E2049" w14:textId="77777777" w:rsidR="00AB10C9" w:rsidRPr="009606BD" w:rsidRDefault="00AB10C9" w:rsidP="00AB10C9">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90</w:t>
            </w:r>
          </w:p>
        </w:tc>
        <w:tc>
          <w:tcPr>
            <w:tcW w:w="1818" w:type="dxa"/>
            <w:shd w:val="clear" w:color="auto" w:fill="auto"/>
            <w:hideMark/>
          </w:tcPr>
          <w:p w14:paraId="47495634" w14:textId="77777777" w:rsidR="00AB10C9" w:rsidRPr="009606BD" w:rsidRDefault="00AB10C9" w:rsidP="00AB10C9">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32,873</w:t>
            </w:r>
          </w:p>
        </w:tc>
      </w:tr>
      <w:tr w:rsidR="00AB10C9" w:rsidRPr="00A030E3" w14:paraId="3C6857EA" w14:textId="77777777" w:rsidTr="003262DA">
        <w:trPr>
          <w:trHeight w:val="300"/>
        </w:trPr>
        <w:tc>
          <w:tcPr>
            <w:tcW w:w="3400" w:type="dxa"/>
            <w:shd w:val="clear" w:color="auto" w:fill="auto"/>
            <w:hideMark/>
          </w:tcPr>
          <w:p w14:paraId="48A5B685" w14:textId="77777777"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Victorian Institute of Forensic Mental Health</w:t>
            </w:r>
          </w:p>
        </w:tc>
        <w:tc>
          <w:tcPr>
            <w:tcW w:w="1817" w:type="dxa"/>
            <w:shd w:val="clear" w:color="auto" w:fill="auto"/>
            <w:hideMark/>
          </w:tcPr>
          <w:p w14:paraId="1857E8DB"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82</w:t>
            </w:r>
          </w:p>
        </w:tc>
        <w:tc>
          <w:tcPr>
            <w:tcW w:w="1818" w:type="dxa"/>
            <w:shd w:val="clear" w:color="auto" w:fill="auto"/>
            <w:hideMark/>
          </w:tcPr>
          <w:p w14:paraId="7F8CD98B"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5982AE58"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056741C3"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hideMark/>
          </w:tcPr>
          <w:p w14:paraId="65527682" w14:textId="77777777" w:rsidR="00AB10C9" w:rsidRPr="009606BD" w:rsidRDefault="00AB10C9" w:rsidP="00AB10C9">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82</w:t>
            </w:r>
          </w:p>
        </w:tc>
        <w:tc>
          <w:tcPr>
            <w:tcW w:w="1818" w:type="dxa"/>
            <w:shd w:val="clear" w:color="auto" w:fill="auto"/>
            <w:hideMark/>
          </w:tcPr>
          <w:p w14:paraId="27993A8F" w14:textId="77777777" w:rsidR="00AB10C9" w:rsidRPr="009606BD" w:rsidRDefault="00AB10C9" w:rsidP="00AB10C9">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 </w:t>
            </w:r>
          </w:p>
        </w:tc>
      </w:tr>
      <w:tr w:rsidR="00AB10C9" w:rsidRPr="00A030E3" w14:paraId="113F6238" w14:textId="77777777" w:rsidTr="003262DA">
        <w:trPr>
          <w:trHeight w:val="300"/>
        </w:trPr>
        <w:tc>
          <w:tcPr>
            <w:tcW w:w="3400" w:type="dxa"/>
            <w:shd w:val="clear" w:color="auto" w:fill="auto"/>
          </w:tcPr>
          <w:p w14:paraId="6A260A21" w14:textId="424E799E"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xml:space="preserve">Western Health </w:t>
            </w:r>
          </w:p>
        </w:tc>
        <w:tc>
          <w:tcPr>
            <w:tcW w:w="1817" w:type="dxa"/>
            <w:shd w:val="clear" w:color="auto" w:fill="auto"/>
          </w:tcPr>
          <w:p w14:paraId="505F759F" w14:textId="3183AD1B"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26</w:t>
            </w:r>
          </w:p>
        </w:tc>
        <w:tc>
          <w:tcPr>
            <w:tcW w:w="1818" w:type="dxa"/>
            <w:shd w:val="clear" w:color="auto" w:fill="auto"/>
          </w:tcPr>
          <w:p w14:paraId="7930223C" w14:textId="7CC8FE2B"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20</w:t>
            </w:r>
          </w:p>
        </w:tc>
        <w:tc>
          <w:tcPr>
            <w:tcW w:w="1818" w:type="dxa"/>
            <w:shd w:val="clear" w:color="auto" w:fill="auto"/>
          </w:tcPr>
          <w:p w14:paraId="469E50F5" w14:textId="1A79C6FB"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22</w:t>
            </w:r>
          </w:p>
        </w:tc>
        <w:tc>
          <w:tcPr>
            <w:tcW w:w="1818" w:type="dxa"/>
            <w:shd w:val="clear" w:color="auto" w:fill="auto"/>
          </w:tcPr>
          <w:p w14:paraId="429495E7" w14:textId="77777777" w:rsidR="00AB10C9" w:rsidRPr="00685B35" w:rsidRDefault="00AB10C9" w:rsidP="00AB10C9">
            <w:pPr>
              <w:spacing w:after="0" w:line="240" w:lineRule="auto"/>
              <w:jc w:val="right"/>
              <w:rPr>
                <w:rFonts w:cs="Arial"/>
                <w:color w:val="000000" w:themeColor="text1"/>
                <w:sz w:val="16"/>
                <w:szCs w:val="16"/>
                <w:lang w:eastAsia="en-AU"/>
              </w:rPr>
            </w:pPr>
          </w:p>
        </w:tc>
        <w:tc>
          <w:tcPr>
            <w:tcW w:w="1818" w:type="dxa"/>
            <w:shd w:val="clear" w:color="auto" w:fill="auto"/>
          </w:tcPr>
          <w:p w14:paraId="5947A305" w14:textId="474B7ADB" w:rsidR="00AB10C9" w:rsidRPr="009606BD" w:rsidRDefault="00AB10C9" w:rsidP="00AB10C9">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68</w:t>
            </w:r>
          </w:p>
        </w:tc>
        <w:tc>
          <w:tcPr>
            <w:tcW w:w="1818" w:type="dxa"/>
            <w:shd w:val="clear" w:color="auto" w:fill="auto"/>
          </w:tcPr>
          <w:p w14:paraId="2C45EA6F" w14:textId="06E0FCB9" w:rsidR="00AB10C9" w:rsidRPr="009606BD" w:rsidRDefault="00AB10C9" w:rsidP="00AB10C9">
            <w:pPr>
              <w:spacing w:after="0" w:line="240" w:lineRule="auto"/>
              <w:jc w:val="right"/>
              <w:rPr>
                <w:rFonts w:cs="Arial"/>
                <w:color w:val="000000" w:themeColor="text1"/>
                <w:sz w:val="16"/>
                <w:szCs w:val="16"/>
                <w:lang w:eastAsia="en-AU"/>
              </w:rPr>
            </w:pPr>
            <w:r w:rsidRPr="009606BD">
              <w:rPr>
                <w:rFonts w:cs="Arial"/>
                <w:color w:val="000000" w:themeColor="text1"/>
                <w:sz w:val="16"/>
                <w:szCs w:val="16"/>
                <w:lang w:eastAsia="en-AU"/>
              </w:rPr>
              <w:t>24,837</w:t>
            </w:r>
          </w:p>
        </w:tc>
      </w:tr>
    </w:tbl>
    <w:p w14:paraId="5F4B82D9" w14:textId="7242ECD8" w:rsidR="001A192A" w:rsidRPr="00F2096A" w:rsidRDefault="001A192A" w:rsidP="00042954">
      <w:pPr>
        <w:pStyle w:val="Bodyaftertablefigure"/>
      </w:pPr>
      <w:bookmarkStart w:id="1235" w:name="_Toc12780583"/>
      <w:bookmarkStart w:id="1236" w:name="_Toc14194839"/>
      <w:bookmarkStart w:id="1237" w:name="_Toc33704020"/>
      <w:r>
        <w:t>Subregional and local</w:t>
      </w:r>
    </w:p>
    <w:tbl>
      <w:tblPr>
        <w:tblStyle w:val="TableGrid1"/>
        <w:tblW w:w="14307" w:type="dxa"/>
        <w:tblLook w:val="04A0" w:firstRow="1" w:lastRow="0" w:firstColumn="1" w:lastColumn="0" w:noHBand="0" w:noVBand="1"/>
      </w:tblPr>
      <w:tblGrid>
        <w:gridCol w:w="1733"/>
        <w:gridCol w:w="1621"/>
        <w:gridCol w:w="2043"/>
        <w:gridCol w:w="2043"/>
        <w:gridCol w:w="2289"/>
        <w:gridCol w:w="2289"/>
        <w:gridCol w:w="2289"/>
      </w:tblGrid>
      <w:tr w:rsidR="003262DA" w:rsidRPr="00260F93" w14:paraId="65CBB7AB" w14:textId="77777777" w:rsidTr="00685B35">
        <w:trPr>
          <w:cnfStyle w:val="100000000000" w:firstRow="1" w:lastRow="0" w:firstColumn="0" w:lastColumn="0" w:oddVBand="0" w:evenVBand="0" w:oddHBand="0" w:evenHBand="0" w:firstRowFirstColumn="0" w:firstRowLastColumn="0" w:lastRowFirstColumn="0" w:lastRowLastColumn="0"/>
          <w:trHeight w:val="300"/>
        </w:trPr>
        <w:tc>
          <w:tcPr>
            <w:tcW w:w="0" w:type="dxa"/>
            <w:shd w:val="clear" w:color="auto" w:fill="auto"/>
          </w:tcPr>
          <w:p w14:paraId="45976C92" w14:textId="41F31F6E" w:rsidR="003262DA" w:rsidRPr="00685B35" w:rsidRDefault="003262DA" w:rsidP="00685B35">
            <w:pPr>
              <w:pStyle w:val="Tablecolheadlandscape"/>
            </w:pPr>
            <w:r w:rsidRPr="003E2E75">
              <w:rPr>
                <w:lang w:eastAsia="en-AU"/>
              </w:rPr>
              <w:t>Health service</w:t>
            </w:r>
          </w:p>
        </w:tc>
        <w:tc>
          <w:tcPr>
            <w:tcW w:w="0" w:type="dxa"/>
            <w:shd w:val="clear" w:color="auto" w:fill="auto"/>
          </w:tcPr>
          <w:p w14:paraId="5D2CE917" w14:textId="2709A10B" w:rsidR="003262DA" w:rsidRPr="00685B35" w:rsidRDefault="003262DA" w:rsidP="00685B35">
            <w:pPr>
              <w:pStyle w:val="Tablecolheadlandscape"/>
              <w:jc w:val="right"/>
            </w:pPr>
            <w:r w:rsidRPr="003E2E75">
              <w:rPr>
                <w:lang w:eastAsia="en-AU"/>
              </w:rPr>
              <w:t>Mental health funded bed – non-acute</w:t>
            </w:r>
          </w:p>
        </w:tc>
        <w:tc>
          <w:tcPr>
            <w:tcW w:w="0" w:type="dxa"/>
            <w:shd w:val="clear" w:color="auto" w:fill="auto"/>
          </w:tcPr>
          <w:p w14:paraId="1EF6FF35" w14:textId="3773F3EB" w:rsidR="003262DA" w:rsidRPr="00685B35" w:rsidRDefault="003262DA" w:rsidP="00685B35">
            <w:pPr>
              <w:pStyle w:val="Tablecolheadlandscape"/>
              <w:jc w:val="right"/>
            </w:pPr>
            <w:r w:rsidRPr="003E2E75">
              <w:rPr>
                <w:lang w:eastAsia="en-AU"/>
              </w:rPr>
              <w:t>Mental health funded bed – subacute CCU</w:t>
            </w:r>
          </w:p>
        </w:tc>
        <w:tc>
          <w:tcPr>
            <w:tcW w:w="0" w:type="dxa"/>
            <w:shd w:val="clear" w:color="auto" w:fill="auto"/>
          </w:tcPr>
          <w:p w14:paraId="04A964A8" w14:textId="76615ECD" w:rsidR="003262DA" w:rsidRPr="00685B35" w:rsidRDefault="003262DA" w:rsidP="00685B35">
            <w:pPr>
              <w:pStyle w:val="Tablecolheadlandscape"/>
              <w:jc w:val="right"/>
            </w:pPr>
            <w:r w:rsidRPr="003E2E75">
              <w:rPr>
                <w:lang w:eastAsia="en-AU"/>
              </w:rPr>
              <w:t>Mental health funded bed – subacute PARC</w:t>
            </w:r>
          </w:p>
        </w:tc>
        <w:tc>
          <w:tcPr>
            <w:tcW w:w="0" w:type="dxa"/>
            <w:shd w:val="clear" w:color="auto" w:fill="auto"/>
          </w:tcPr>
          <w:p w14:paraId="718730AF" w14:textId="107ED5E9" w:rsidR="003262DA" w:rsidRPr="00685B35" w:rsidRDefault="003262DA" w:rsidP="00685B35">
            <w:pPr>
              <w:pStyle w:val="Tablecolheadlandscape"/>
              <w:jc w:val="right"/>
            </w:pPr>
            <w:r w:rsidRPr="003E2E75">
              <w:rPr>
                <w:lang w:eastAsia="en-AU"/>
              </w:rPr>
              <w:t>Mental health funded bed – residential</w:t>
            </w:r>
          </w:p>
        </w:tc>
        <w:tc>
          <w:tcPr>
            <w:tcW w:w="0" w:type="dxa"/>
            <w:shd w:val="clear" w:color="auto" w:fill="auto"/>
          </w:tcPr>
          <w:p w14:paraId="6CE113CC" w14:textId="77777777" w:rsidR="003262DA" w:rsidRDefault="003262DA" w:rsidP="00A030E3">
            <w:pPr>
              <w:pStyle w:val="Tablecolheadlandscape"/>
              <w:jc w:val="right"/>
              <w:rPr>
                <w:lang w:eastAsia="en-AU"/>
              </w:rPr>
            </w:pPr>
            <w:r>
              <w:rPr>
                <w:lang w:eastAsia="en-AU"/>
              </w:rPr>
              <w:t>Total</w:t>
            </w:r>
          </w:p>
          <w:p w14:paraId="6A63977E" w14:textId="11C1763E" w:rsidR="003262DA" w:rsidRPr="00685B35" w:rsidRDefault="003262DA" w:rsidP="00685B35">
            <w:pPr>
              <w:pStyle w:val="Tablecolheadlandscape"/>
              <w:jc w:val="right"/>
            </w:pPr>
            <w:r w:rsidRPr="003E2E75">
              <w:rPr>
                <w:lang w:eastAsia="en-AU"/>
              </w:rPr>
              <w:t>Mental health funded subacute and residential bed</w:t>
            </w:r>
          </w:p>
        </w:tc>
        <w:tc>
          <w:tcPr>
            <w:tcW w:w="0" w:type="dxa"/>
            <w:shd w:val="clear" w:color="auto" w:fill="auto"/>
          </w:tcPr>
          <w:p w14:paraId="45E1E930" w14:textId="77777777" w:rsidR="003262DA" w:rsidRDefault="003262DA" w:rsidP="00A030E3">
            <w:pPr>
              <w:pStyle w:val="Tablecolheadlandscape"/>
              <w:jc w:val="right"/>
              <w:rPr>
                <w:lang w:eastAsia="en-AU"/>
              </w:rPr>
            </w:pPr>
            <w:r>
              <w:rPr>
                <w:lang w:eastAsia="en-AU"/>
              </w:rPr>
              <w:t>Total</w:t>
            </w:r>
          </w:p>
          <w:p w14:paraId="09B7A899" w14:textId="06BBA6EA" w:rsidR="003262DA" w:rsidRPr="00685B35" w:rsidRDefault="003262DA" w:rsidP="00685B35">
            <w:pPr>
              <w:pStyle w:val="Tablecolheadlandscape"/>
              <w:jc w:val="right"/>
            </w:pPr>
            <w:r w:rsidRPr="003E2E75">
              <w:rPr>
                <w:lang w:eastAsia="en-AU"/>
              </w:rPr>
              <w:t>Mental health funded subacute and residential bed days</w:t>
            </w:r>
          </w:p>
        </w:tc>
      </w:tr>
      <w:tr w:rsidR="00260F93" w:rsidRPr="00260F93" w14:paraId="1946ED97" w14:textId="77777777" w:rsidTr="00685B35">
        <w:trPr>
          <w:trHeight w:val="300"/>
        </w:trPr>
        <w:tc>
          <w:tcPr>
            <w:tcW w:w="0" w:type="dxa"/>
            <w:shd w:val="clear" w:color="auto" w:fill="auto"/>
            <w:hideMark/>
          </w:tcPr>
          <w:p w14:paraId="56D41B4C" w14:textId="77777777" w:rsidR="00260F93" w:rsidRPr="00260F93" w:rsidRDefault="00260F93" w:rsidP="00260F93">
            <w:pPr>
              <w:spacing w:after="0" w:line="240" w:lineRule="auto"/>
              <w:rPr>
                <w:rFonts w:cs="Arial"/>
                <w:color w:val="000000"/>
                <w:sz w:val="16"/>
                <w:szCs w:val="16"/>
                <w:lang w:eastAsia="en-AU"/>
              </w:rPr>
            </w:pPr>
            <w:r w:rsidRPr="00260F93">
              <w:rPr>
                <w:rFonts w:cs="Arial"/>
                <w:color w:val="000000"/>
                <w:sz w:val="16"/>
                <w:szCs w:val="16"/>
                <w:lang w:eastAsia="en-AU"/>
              </w:rPr>
              <w:t>Mildura Base Hospital</w:t>
            </w:r>
          </w:p>
        </w:tc>
        <w:tc>
          <w:tcPr>
            <w:tcW w:w="0" w:type="dxa"/>
            <w:shd w:val="clear" w:color="auto" w:fill="auto"/>
            <w:hideMark/>
          </w:tcPr>
          <w:p w14:paraId="22280E66" w14:textId="77777777" w:rsidR="00260F93" w:rsidRPr="00260F93" w:rsidRDefault="00260F93" w:rsidP="00260F93">
            <w:pPr>
              <w:spacing w:after="0" w:line="240" w:lineRule="auto"/>
              <w:jc w:val="right"/>
              <w:rPr>
                <w:rFonts w:cs="Arial"/>
                <w:color w:val="000000"/>
                <w:sz w:val="16"/>
                <w:szCs w:val="16"/>
                <w:lang w:eastAsia="en-AU"/>
              </w:rPr>
            </w:pPr>
            <w:r w:rsidRPr="00260F93">
              <w:rPr>
                <w:rFonts w:cs="Arial"/>
                <w:color w:val="000000"/>
                <w:sz w:val="16"/>
                <w:szCs w:val="16"/>
                <w:lang w:eastAsia="en-AU"/>
              </w:rPr>
              <w:t> </w:t>
            </w:r>
          </w:p>
        </w:tc>
        <w:tc>
          <w:tcPr>
            <w:tcW w:w="0" w:type="dxa"/>
            <w:shd w:val="clear" w:color="auto" w:fill="auto"/>
            <w:hideMark/>
          </w:tcPr>
          <w:p w14:paraId="75BD2615" w14:textId="77777777" w:rsidR="00260F93" w:rsidRPr="00260F93" w:rsidRDefault="00260F93" w:rsidP="00260F93">
            <w:pPr>
              <w:spacing w:after="0" w:line="240" w:lineRule="auto"/>
              <w:jc w:val="right"/>
              <w:rPr>
                <w:rFonts w:cs="Arial"/>
                <w:color w:val="000000"/>
                <w:sz w:val="16"/>
                <w:szCs w:val="16"/>
                <w:lang w:eastAsia="en-AU"/>
              </w:rPr>
            </w:pPr>
            <w:r w:rsidRPr="00260F93">
              <w:rPr>
                <w:rFonts w:cs="Arial"/>
                <w:color w:val="000000"/>
                <w:sz w:val="16"/>
                <w:szCs w:val="16"/>
                <w:lang w:eastAsia="en-AU"/>
              </w:rPr>
              <w:t> </w:t>
            </w:r>
          </w:p>
        </w:tc>
        <w:tc>
          <w:tcPr>
            <w:tcW w:w="0" w:type="dxa"/>
            <w:shd w:val="clear" w:color="auto" w:fill="auto"/>
            <w:hideMark/>
          </w:tcPr>
          <w:p w14:paraId="746AFB52" w14:textId="77777777" w:rsidR="00260F93" w:rsidRPr="00260F93" w:rsidRDefault="00260F93" w:rsidP="00260F93">
            <w:pPr>
              <w:spacing w:after="0" w:line="240" w:lineRule="auto"/>
              <w:jc w:val="right"/>
              <w:rPr>
                <w:rFonts w:cs="Arial"/>
                <w:color w:val="000000"/>
                <w:sz w:val="16"/>
                <w:szCs w:val="16"/>
                <w:lang w:eastAsia="en-AU"/>
              </w:rPr>
            </w:pPr>
            <w:r w:rsidRPr="00260F93">
              <w:rPr>
                <w:rFonts w:cs="Arial"/>
                <w:color w:val="000000"/>
                <w:sz w:val="16"/>
                <w:szCs w:val="16"/>
                <w:lang w:eastAsia="en-AU"/>
              </w:rPr>
              <w:t>10</w:t>
            </w:r>
          </w:p>
        </w:tc>
        <w:tc>
          <w:tcPr>
            <w:tcW w:w="0" w:type="dxa"/>
            <w:shd w:val="clear" w:color="auto" w:fill="auto"/>
            <w:hideMark/>
          </w:tcPr>
          <w:p w14:paraId="47387731" w14:textId="77777777" w:rsidR="00260F93" w:rsidRPr="00260F93" w:rsidRDefault="00260F93" w:rsidP="00260F93">
            <w:pPr>
              <w:spacing w:after="0" w:line="240" w:lineRule="auto"/>
              <w:jc w:val="right"/>
              <w:rPr>
                <w:rFonts w:cs="Arial"/>
                <w:color w:val="000000"/>
                <w:sz w:val="16"/>
                <w:szCs w:val="16"/>
                <w:lang w:eastAsia="en-AU"/>
              </w:rPr>
            </w:pPr>
            <w:r w:rsidRPr="00260F93">
              <w:rPr>
                <w:rFonts w:cs="Arial"/>
                <w:color w:val="000000"/>
                <w:sz w:val="16"/>
                <w:szCs w:val="16"/>
                <w:lang w:eastAsia="en-AU"/>
              </w:rPr>
              <w:t> </w:t>
            </w:r>
          </w:p>
        </w:tc>
        <w:tc>
          <w:tcPr>
            <w:tcW w:w="0" w:type="dxa"/>
            <w:shd w:val="clear" w:color="auto" w:fill="auto"/>
            <w:hideMark/>
          </w:tcPr>
          <w:p w14:paraId="5C417D1F" w14:textId="77777777" w:rsidR="00260F93" w:rsidRPr="00260F93" w:rsidRDefault="00260F93" w:rsidP="00260F93">
            <w:pPr>
              <w:spacing w:after="0" w:line="240" w:lineRule="auto"/>
              <w:jc w:val="right"/>
              <w:rPr>
                <w:rFonts w:cs="Arial"/>
                <w:color w:val="000000"/>
                <w:sz w:val="16"/>
                <w:szCs w:val="16"/>
                <w:lang w:eastAsia="en-AU"/>
              </w:rPr>
            </w:pPr>
            <w:r w:rsidRPr="00260F93">
              <w:rPr>
                <w:rFonts w:cs="Arial"/>
                <w:color w:val="000000"/>
                <w:sz w:val="16"/>
                <w:szCs w:val="16"/>
                <w:lang w:eastAsia="en-AU"/>
              </w:rPr>
              <w:t>10</w:t>
            </w:r>
          </w:p>
        </w:tc>
        <w:tc>
          <w:tcPr>
            <w:tcW w:w="0" w:type="dxa"/>
            <w:shd w:val="clear" w:color="auto" w:fill="auto"/>
            <w:hideMark/>
          </w:tcPr>
          <w:p w14:paraId="576A04CC" w14:textId="77777777" w:rsidR="00260F93" w:rsidRPr="00260F93" w:rsidRDefault="00260F93" w:rsidP="00260F93">
            <w:pPr>
              <w:spacing w:after="0" w:line="240" w:lineRule="auto"/>
              <w:jc w:val="right"/>
              <w:rPr>
                <w:rFonts w:cs="Arial"/>
                <w:color w:val="000000"/>
                <w:sz w:val="16"/>
                <w:szCs w:val="16"/>
                <w:lang w:eastAsia="en-AU"/>
              </w:rPr>
            </w:pPr>
            <w:r w:rsidRPr="00260F93">
              <w:rPr>
                <w:rFonts w:cs="Arial"/>
                <w:color w:val="000000"/>
                <w:sz w:val="16"/>
                <w:szCs w:val="16"/>
                <w:lang w:eastAsia="en-AU"/>
              </w:rPr>
              <w:t>3,653</w:t>
            </w:r>
          </w:p>
        </w:tc>
      </w:tr>
      <w:tr w:rsidR="00260F93" w:rsidRPr="00260F93" w14:paraId="3B190374" w14:textId="77777777" w:rsidTr="00685B35">
        <w:trPr>
          <w:trHeight w:val="300"/>
        </w:trPr>
        <w:tc>
          <w:tcPr>
            <w:tcW w:w="0" w:type="dxa"/>
            <w:shd w:val="clear" w:color="auto" w:fill="auto"/>
            <w:hideMark/>
          </w:tcPr>
          <w:p w14:paraId="51156769" w14:textId="77777777" w:rsidR="00260F93" w:rsidRPr="00260F93" w:rsidRDefault="00260F93" w:rsidP="00260F93">
            <w:pPr>
              <w:spacing w:after="0" w:line="240" w:lineRule="auto"/>
              <w:rPr>
                <w:rFonts w:cs="Arial"/>
                <w:color w:val="000000"/>
                <w:sz w:val="16"/>
                <w:szCs w:val="16"/>
                <w:lang w:eastAsia="en-AU"/>
              </w:rPr>
            </w:pPr>
            <w:r w:rsidRPr="00260F93">
              <w:rPr>
                <w:rFonts w:cs="Arial"/>
                <w:color w:val="000000"/>
                <w:sz w:val="16"/>
                <w:szCs w:val="16"/>
                <w:lang w:eastAsia="en-AU"/>
              </w:rPr>
              <w:t>South West Health</w:t>
            </w:r>
          </w:p>
        </w:tc>
        <w:tc>
          <w:tcPr>
            <w:tcW w:w="0" w:type="dxa"/>
            <w:shd w:val="clear" w:color="auto" w:fill="auto"/>
            <w:hideMark/>
          </w:tcPr>
          <w:p w14:paraId="3D2D11C5" w14:textId="6AD81458" w:rsidR="00260F93" w:rsidRPr="00260F93" w:rsidRDefault="00260F93" w:rsidP="00260F93">
            <w:pPr>
              <w:spacing w:after="0" w:line="240" w:lineRule="auto"/>
              <w:jc w:val="right"/>
              <w:rPr>
                <w:rFonts w:cs="Arial"/>
                <w:color w:val="000000"/>
                <w:sz w:val="16"/>
                <w:szCs w:val="16"/>
                <w:lang w:eastAsia="en-AU"/>
              </w:rPr>
            </w:pPr>
          </w:p>
        </w:tc>
        <w:tc>
          <w:tcPr>
            <w:tcW w:w="0" w:type="dxa"/>
            <w:shd w:val="clear" w:color="auto" w:fill="auto"/>
            <w:hideMark/>
          </w:tcPr>
          <w:p w14:paraId="050F7841" w14:textId="7E91707F" w:rsidR="00260F93" w:rsidRPr="00260F93" w:rsidRDefault="00260F93" w:rsidP="00260F93">
            <w:pPr>
              <w:spacing w:after="0" w:line="240" w:lineRule="auto"/>
              <w:jc w:val="right"/>
              <w:rPr>
                <w:rFonts w:cs="Arial"/>
                <w:color w:val="000000"/>
                <w:sz w:val="16"/>
                <w:szCs w:val="16"/>
                <w:lang w:eastAsia="en-AU"/>
              </w:rPr>
            </w:pPr>
          </w:p>
        </w:tc>
        <w:tc>
          <w:tcPr>
            <w:tcW w:w="0" w:type="dxa"/>
            <w:shd w:val="clear" w:color="auto" w:fill="auto"/>
            <w:hideMark/>
          </w:tcPr>
          <w:p w14:paraId="3D85063E" w14:textId="77777777" w:rsidR="00260F93" w:rsidRPr="00260F93" w:rsidRDefault="00260F93" w:rsidP="00260F93">
            <w:pPr>
              <w:spacing w:after="0" w:line="240" w:lineRule="auto"/>
              <w:jc w:val="right"/>
              <w:rPr>
                <w:rFonts w:cs="Arial"/>
                <w:color w:val="000000"/>
                <w:sz w:val="16"/>
                <w:szCs w:val="16"/>
                <w:lang w:eastAsia="en-AU"/>
              </w:rPr>
            </w:pPr>
            <w:r w:rsidRPr="00260F93">
              <w:rPr>
                <w:rFonts w:cs="Arial"/>
                <w:color w:val="000000"/>
                <w:sz w:val="16"/>
                <w:szCs w:val="16"/>
                <w:lang w:eastAsia="en-AU"/>
              </w:rPr>
              <w:t>15</w:t>
            </w:r>
          </w:p>
        </w:tc>
        <w:tc>
          <w:tcPr>
            <w:tcW w:w="0" w:type="dxa"/>
            <w:shd w:val="clear" w:color="auto" w:fill="auto"/>
            <w:hideMark/>
          </w:tcPr>
          <w:p w14:paraId="334D4DF1" w14:textId="77777777" w:rsidR="00260F93" w:rsidRPr="00260F93" w:rsidRDefault="00260F93" w:rsidP="00260F93">
            <w:pPr>
              <w:spacing w:after="0" w:line="240" w:lineRule="auto"/>
              <w:jc w:val="right"/>
              <w:rPr>
                <w:rFonts w:cs="Arial"/>
                <w:color w:val="000000"/>
                <w:sz w:val="16"/>
                <w:szCs w:val="16"/>
                <w:lang w:eastAsia="en-AU"/>
              </w:rPr>
            </w:pPr>
            <w:r w:rsidRPr="00260F93">
              <w:rPr>
                <w:rFonts w:cs="Arial"/>
                <w:color w:val="000000"/>
                <w:sz w:val="16"/>
                <w:szCs w:val="16"/>
                <w:lang w:eastAsia="en-AU"/>
              </w:rPr>
              <w:t>13</w:t>
            </w:r>
          </w:p>
        </w:tc>
        <w:tc>
          <w:tcPr>
            <w:tcW w:w="0" w:type="dxa"/>
            <w:shd w:val="clear" w:color="auto" w:fill="auto"/>
            <w:hideMark/>
          </w:tcPr>
          <w:p w14:paraId="37B3F317" w14:textId="77777777" w:rsidR="00260F93" w:rsidRPr="00260F93" w:rsidRDefault="00260F93" w:rsidP="00260F93">
            <w:pPr>
              <w:spacing w:after="0" w:line="240" w:lineRule="auto"/>
              <w:jc w:val="right"/>
              <w:rPr>
                <w:rFonts w:cs="Arial"/>
                <w:color w:val="000000"/>
                <w:sz w:val="16"/>
                <w:szCs w:val="16"/>
                <w:lang w:eastAsia="en-AU"/>
              </w:rPr>
            </w:pPr>
            <w:r w:rsidRPr="00260F93">
              <w:rPr>
                <w:rFonts w:cs="Arial"/>
                <w:color w:val="000000"/>
                <w:sz w:val="16"/>
                <w:szCs w:val="16"/>
                <w:lang w:eastAsia="en-AU"/>
              </w:rPr>
              <w:t>28</w:t>
            </w:r>
          </w:p>
        </w:tc>
        <w:tc>
          <w:tcPr>
            <w:tcW w:w="0" w:type="dxa"/>
            <w:shd w:val="clear" w:color="auto" w:fill="auto"/>
            <w:hideMark/>
          </w:tcPr>
          <w:p w14:paraId="0D817959" w14:textId="77777777" w:rsidR="00260F93" w:rsidRPr="00260F93" w:rsidRDefault="00260F93" w:rsidP="00260F93">
            <w:pPr>
              <w:spacing w:after="0" w:line="240" w:lineRule="auto"/>
              <w:jc w:val="right"/>
              <w:rPr>
                <w:rFonts w:cs="Arial"/>
                <w:color w:val="000000"/>
                <w:sz w:val="16"/>
                <w:szCs w:val="16"/>
                <w:lang w:eastAsia="en-AU"/>
              </w:rPr>
            </w:pPr>
            <w:r w:rsidRPr="00260F93">
              <w:rPr>
                <w:rFonts w:cs="Arial"/>
                <w:color w:val="000000"/>
                <w:sz w:val="16"/>
                <w:szCs w:val="16"/>
                <w:lang w:eastAsia="en-AU"/>
              </w:rPr>
              <w:t>10,227</w:t>
            </w:r>
          </w:p>
        </w:tc>
      </w:tr>
    </w:tbl>
    <w:p w14:paraId="127407D7" w14:textId="203094A8" w:rsidR="001A192A" w:rsidRDefault="001A192A" w:rsidP="00042954">
      <w:pPr>
        <w:pStyle w:val="Bodyaftertablefigure"/>
      </w:pPr>
      <w:r w:rsidRPr="00F2096A">
        <w:t>Combined</w:t>
      </w:r>
      <w:r>
        <w:t xml:space="preserve"> total</w:t>
      </w:r>
    </w:p>
    <w:tbl>
      <w:tblPr>
        <w:tblStyle w:val="TableGrid1"/>
        <w:tblW w:w="14307" w:type="dxa"/>
        <w:tblLook w:val="04A0" w:firstRow="1" w:lastRow="0" w:firstColumn="1" w:lastColumn="0" w:noHBand="0" w:noVBand="1"/>
      </w:tblPr>
      <w:tblGrid>
        <w:gridCol w:w="1675"/>
        <w:gridCol w:w="1629"/>
        <w:gridCol w:w="2053"/>
        <w:gridCol w:w="2053"/>
        <w:gridCol w:w="2299"/>
        <w:gridCol w:w="2299"/>
        <w:gridCol w:w="2299"/>
      </w:tblGrid>
      <w:tr w:rsidR="003262DA" w:rsidRPr="00941A98" w14:paraId="13A4DB76" w14:textId="77777777" w:rsidTr="00685B35">
        <w:trPr>
          <w:cnfStyle w:val="100000000000" w:firstRow="1" w:lastRow="0" w:firstColumn="0" w:lastColumn="0" w:oddVBand="0" w:evenVBand="0" w:oddHBand="0" w:evenHBand="0" w:firstRowFirstColumn="0" w:firstRowLastColumn="0" w:lastRowFirstColumn="0" w:lastRowLastColumn="0"/>
          <w:trHeight w:val="300"/>
          <w:tblHeader/>
        </w:trPr>
        <w:tc>
          <w:tcPr>
            <w:tcW w:w="0" w:type="dxa"/>
            <w:shd w:val="clear" w:color="auto" w:fill="auto"/>
          </w:tcPr>
          <w:p w14:paraId="783C5D20" w14:textId="267EDEA7" w:rsidR="003262DA" w:rsidRPr="00685B35" w:rsidRDefault="003262DA" w:rsidP="00685B35">
            <w:pPr>
              <w:pStyle w:val="Tablecolheadlandscape"/>
              <w:rPr>
                <w:b w:val="0"/>
              </w:rPr>
            </w:pPr>
            <w:r w:rsidRPr="003E2E75">
              <w:rPr>
                <w:lang w:eastAsia="en-AU"/>
              </w:rPr>
              <w:t>Health service</w:t>
            </w:r>
          </w:p>
        </w:tc>
        <w:tc>
          <w:tcPr>
            <w:tcW w:w="0" w:type="dxa"/>
            <w:shd w:val="clear" w:color="auto" w:fill="auto"/>
          </w:tcPr>
          <w:p w14:paraId="3ECD8432" w14:textId="6C307B0B" w:rsidR="003262DA" w:rsidRPr="00685B35" w:rsidRDefault="003262DA" w:rsidP="00685B35">
            <w:pPr>
              <w:pStyle w:val="Tablecolheadlandscape"/>
              <w:jc w:val="right"/>
              <w:rPr>
                <w:b w:val="0"/>
              </w:rPr>
            </w:pPr>
            <w:r w:rsidRPr="003E2E75">
              <w:rPr>
                <w:lang w:eastAsia="en-AU"/>
              </w:rPr>
              <w:t>Mental health funded bed – non-acute</w:t>
            </w:r>
          </w:p>
        </w:tc>
        <w:tc>
          <w:tcPr>
            <w:tcW w:w="0" w:type="dxa"/>
            <w:shd w:val="clear" w:color="auto" w:fill="auto"/>
          </w:tcPr>
          <w:p w14:paraId="6D553778" w14:textId="1AED45B1" w:rsidR="003262DA" w:rsidRPr="00685B35" w:rsidRDefault="003262DA" w:rsidP="00685B35">
            <w:pPr>
              <w:pStyle w:val="Tablecolheadlandscape"/>
              <w:jc w:val="right"/>
              <w:rPr>
                <w:b w:val="0"/>
              </w:rPr>
            </w:pPr>
            <w:r w:rsidRPr="003E2E75">
              <w:rPr>
                <w:lang w:eastAsia="en-AU"/>
              </w:rPr>
              <w:t>Mental health funded bed – subacute CCU</w:t>
            </w:r>
          </w:p>
        </w:tc>
        <w:tc>
          <w:tcPr>
            <w:tcW w:w="0" w:type="dxa"/>
            <w:shd w:val="clear" w:color="auto" w:fill="auto"/>
          </w:tcPr>
          <w:p w14:paraId="793DF778" w14:textId="1B9751F9" w:rsidR="003262DA" w:rsidRPr="00685B35" w:rsidRDefault="003262DA" w:rsidP="00685B35">
            <w:pPr>
              <w:pStyle w:val="Tablecolheadlandscape"/>
              <w:jc w:val="right"/>
              <w:rPr>
                <w:b w:val="0"/>
              </w:rPr>
            </w:pPr>
            <w:r w:rsidRPr="003E2E75">
              <w:rPr>
                <w:lang w:eastAsia="en-AU"/>
              </w:rPr>
              <w:t>Mental health funded bed – subacute PARC</w:t>
            </w:r>
          </w:p>
        </w:tc>
        <w:tc>
          <w:tcPr>
            <w:tcW w:w="0" w:type="dxa"/>
            <w:shd w:val="clear" w:color="auto" w:fill="auto"/>
          </w:tcPr>
          <w:p w14:paraId="594BA09E" w14:textId="1730798D" w:rsidR="003262DA" w:rsidRPr="00685B35" w:rsidRDefault="003262DA" w:rsidP="00685B35">
            <w:pPr>
              <w:pStyle w:val="Tablecolheadlandscape"/>
              <w:jc w:val="right"/>
              <w:rPr>
                <w:b w:val="0"/>
              </w:rPr>
            </w:pPr>
            <w:r w:rsidRPr="003E2E75">
              <w:rPr>
                <w:lang w:eastAsia="en-AU"/>
              </w:rPr>
              <w:t>Mental health funded bed – residential</w:t>
            </w:r>
          </w:p>
        </w:tc>
        <w:tc>
          <w:tcPr>
            <w:tcW w:w="0" w:type="dxa"/>
            <w:shd w:val="clear" w:color="auto" w:fill="auto"/>
          </w:tcPr>
          <w:p w14:paraId="39B3E3A0" w14:textId="77777777" w:rsidR="003262DA" w:rsidRDefault="003262DA" w:rsidP="00A030E3">
            <w:pPr>
              <w:pStyle w:val="Tablecolheadlandscape"/>
              <w:jc w:val="right"/>
              <w:rPr>
                <w:lang w:eastAsia="en-AU"/>
              </w:rPr>
            </w:pPr>
            <w:r>
              <w:rPr>
                <w:lang w:eastAsia="en-AU"/>
              </w:rPr>
              <w:t>Total</w:t>
            </w:r>
          </w:p>
          <w:p w14:paraId="455DA823" w14:textId="45303CF4" w:rsidR="003262DA" w:rsidRPr="00685B35" w:rsidRDefault="003262DA" w:rsidP="00685B35">
            <w:pPr>
              <w:pStyle w:val="Tablecolheadlandscape"/>
              <w:jc w:val="right"/>
              <w:rPr>
                <w:b w:val="0"/>
              </w:rPr>
            </w:pPr>
            <w:r w:rsidRPr="003E2E75">
              <w:rPr>
                <w:lang w:eastAsia="en-AU"/>
              </w:rPr>
              <w:t>Mental health funded subacute and residential bed</w:t>
            </w:r>
          </w:p>
        </w:tc>
        <w:tc>
          <w:tcPr>
            <w:tcW w:w="0" w:type="dxa"/>
            <w:shd w:val="clear" w:color="auto" w:fill="auto"/>
          </w:tcPr>
          <w:p w14:paraId="669F2F96" w14:textId="77777777" w:rsidR="003262DA" w:rsidRDefault="003262DA" w:rsidP="00A030E3">
            <w:pPr>
              <w:pStyle w:val="Tablecolheadlandscape"/>
              <w:jc w:val="right"/>
              <w:rPr>
                <w:lang w:eastAsia="en-AU"/>
              </w:rPr>
            </w:pPr>
            <w:r>
              <w:rPr>
                <w:lang w:eastAsia="en-AU"/>
              </w:rPr>
              <w:t>Total</w:t>
            </w:r>
          </w:p>
          <w:p w14:paraId="35081F48" w14:textId="03F16A42" w:rsidR="003262DA" w:rsidRPr="00685B35" w:rsidRDefault="003262DA" w:rsidP="00685B35">
            <w:pPr>
              <w:pStyle w:val="Tablecolheadlandscape"/>
              <w:jc w:val="right"/>
              <w:rPr>
                <w:b w:val="0"/>
              </w:rPr>
            </w:pPr>
            <w:r w:rsidRPr="003E2E75">
              <w:rPr>
                <w:lang w:eastAsia="en-AU"/>
              </w:rPr>
              <w:t>Mental health funded subacute and residential bed days</w:t>
            </w:r>
          </w:p>
        </w:tc>
      </w:tr>
      <w:tr w:rsidR="003262DA" w:rsidRPr="00941A98" w14:paraId="2AEB296F" w14:textId="77777777" w:rsidTr="00685B35">
        <w:trPr>
          <w:trHeight w:val="300"/>
        </w:trPr>
        <w:tc>
          <w:tcPr>
            <w:tcW w:w="0" w:type="dxa"/>
            <w:shd w:val="clear" w:color="auto" w:fill="auto"/>
            <w:hideMark/>
          </w:tcPr>
          <w:p w14:paraId="5A023712" w14:textId="77777777" w:rsidR="003262DA" w:rsidRPr="00941A98" w:rsidRDefault="003262DA" w:rsidP="003262DA">
            <w:pPr>
              <w:spacing w:after="0" w:line="240" w:lineRule="auto"/>
              <w:rPr>
                <w:rFonts w:cs="Arial"/>
                <w:b/>
                <w:bCs/>
                <w:color w:val="000000"/>
                <w:sz w:val="16"/>
                <w:szCs w:val="16"/>
                <w:lang w:eastAsia="en-AU"/>
              </w:rPr>
            </w:pPr>
            <w:r w:rsidRPr="00941A98">
              <w:rPr>
                <w:rFonts w:cs="Arial"/>
                <w:b/>
                <w:bCs/>
                <w:color w:val="000000"/>
                <w:sz w:val="16"/>
                <w:szCs w:val="16"/>
                <w:lang w:eastAsia="en-AU"/>
              </w:rPr>
              <w:t>Total</w:t>
            </w:r>
          </w:p>
        </w:tc>
        <w:tc>
          <w:tcPr>
            <w:tcW w:w="0" w:type="dxa"/>
            <w:shd w:val="clear" w:color="auto" w:fill="auto"/>
            <w:hideMark/>
          </w:tcPr>
          <w:p w14:paraId="2207935E" w14:textId="77777777" w:rsidR="003262DA" w:rsidRPr="00941A98" w:rsidRDefault="003262DA" w:rsidP="003262DA">
            <w:pPr>
              <w:spacing w:after="0" w:line="240" w:lineRule="auto"/>
              <w:jc w:val="right"/>
              <w:rPr>
                <w:rFonts w:cs="Arial"/>
                <w:b/>
                <w:bCs/>
                <w:color w:val="000000"/>
                <w:sz w:val="16"/>
                <w:szCs w:val="16"/>
                <w:lang w:eastAsia="en-AU"/>
              </w:rPr>
            </w:pPr>
            <w:r w:rsidRPr="00941A98">
              <w:rPr>
                <w:rFonts w:cs="Arial"/>
                <w:b/>
                <w:bCs/>
                <w:color w:val="000000"/>
                <w:sz w:val="16"/>
                <w:szCs w:val="16"/>
                <w:lang w:eastAsia="en-AU"/>
              </w:rPr>
              <w:t>247</w:t>
            </w:r>
          </w:p>
        </w:tc>
        <w:tc>
          <w:tcPr>
            <w:tcW w:w="0" w:type="dxa"/>
            <w:shd w:val="clear" w:color="auto" w:fill="auto"/>
            <w:hideMark/>
          </w:tcPr>
          <w:p w14:paraId="17AD5139" w14:textId="77777777" w:rsidR="003262DA" w:rsidRPr="00941A98" w:rsidRDefault="003262DA" w:rsidP="003262DA">
            <w:pPr>
              <w:spacing w:after="0" w:line="240" w:lineRule="auto"/>
              <w:jc w:val="right"/>
              <w:rPr>
                <w:rFonts w:cs="Arial"/>
                <w:b/>
                <w:bCs/>
                <w:color w:val="000000"/>
                <w:sz w:val="16"/>
                <w:szCs w:val="16"/>
                <w:lang w:eastAsia="en-AU"/>
              </w:rPr>
            </w:pPr>
            <w:r w:rsidRPr="00941A98">
              <w:rPr>
                <w:rFonts w:cs="Arial"/>
                <w:b/>
                <w:bCs/>
                <w:color w:val="000000"/>
                <w:sz w:val="16"/>
                <w:szCs w:val="16"/>
                <w:lang w:eastAsia="en-AU"/>
              </w:rPr>
              <w:t>336</w:t>
            </w:r>
          </w:p>
        </w:tc>
        <w:tc>
          <w:tcPr>
            <w:tcW w:w="0" w:type="dxa"/>
            <w:shd w:val="clear" w:color="auto" w:fill="auto"/>
            <w:hideMark/>
          </w:tcPr>
          <w:p w14:paraId="6F11A38A" w14:textId="6AAE9BCD" w:rsidR="003262DA" w:rsidRPr="00941A98" w:rsidRDefault="003262DA" w:rsidP="003262DA">
            <w:pPr>
              <w:spacing w:after="0" w:line="240" w:lineRule="auto"/>
              <w:jc w:val="right"/>
              <w:rPr>
                <w:rFonts w:cs="Arial"/>
                <w:b/>
                <w:bCs/>
                <w:color w:val="000000"/>
                <w:sz w:val="16"/>
                <w:szCs w:val="16"/>
                <w:lang w:eastAsia="en-AU"/>
              </w:rPr>
            </w:pPr>
            <w:r>
              <w:rPr>
                <w:rFonts w:cs="Arial"/>
                <w:b/>
                <w:bCs/>
                <w:color w:val="000000"/>
                <w:sz w:val="16"/>
                <w:szCs w:val="16"/>
                <w:lang w:eastAsia="en-AU"/>
              </w:rPr>
              <w:t>313</w:t>
            </w:r>
          </w:p>
        </w:tc>
        <w:tc>
          <w:tcPr>
            <w:tcW w:w="0" w:type="dxa"/>
            <w:shd w:val="clear" w:color="auto" w:fill="auto"/>
            <w:hideMark/>
          </w:tcPr>
          <w:p w14:paraId="12BBC8F1" w14:textId="77777777" w:rsidR="003262DA" w:rsidRPr="00941A98" w:rsidRDefault="003262DA" w:rsidP="003262DA">
            <w:pPr>
              <w:spacing w:after="0" w:line="240" w:lineRule="auto"/>
              <w:jc w:val="right"/>
              <w:rPr>
                <w:rFonts w:cs="Arial"/>
                <w:b/>
                <w:bCs/>
                <w:color w:val="000000"/>
                <w:sz w:val="16"/>
                <w:szCs w:val="16"/>
                <w:lang w:eastAsia="en-AU"/>
              </w:rPr>
            </w:pPr>
            <w:r w:rsidRPr="00941A98">
              <w:rPr>
                <w:rFonts w:cs="Arial"/>
                <w:b/>
                <w:bCs/>
                <w:color w:val="000000"/>
                <w:sz w:val="16"/>
                <w:szCs w:val="16"/>
                <w:lang w:eastAsia="en-AU"/>
              </w:rPr>
              <w:t>491</w:t>
            </w:r>
          </w:p>
        </w:tc>
        <w:tc>
          <w:tcPr>
            <w:tcW w:w="0" w:type="dxa"/>
            <w:shd w:val="clear" w:color="auto" w:fill="auto"/>
            <w:hideMark/>
          </w:tcPr>
          <w:p w14:paraId="491876EE" w14:textId="25FDC8C3" w:rsidR="003262DA" w:rsidRPr="00941A98" w:rsidRDefault="003262DA" w:rsidP="003262DA">
            <w:pPr>
              <w:spacing w:after="0" w:line="240" w:lineRule="auto"/>
              <w:jc w:val="right"/>
              <w:rPr>
                <w:rFonts w:cs="Arial"/>
                <w:b/>
                <w:bCs/>
                <w:color w:val="000000"/>
                <w:sz w:val="16"/>
                <w:szCs w:val="16"/>
                <w:lang w:eastAsia="en-AU"/>
              </w:rPr>
            </w:pPr>
            <w:r w:rsidRPr="00941A98">
              <w:rPr>
                <w:rFonts w:cs="Arial"/>
                <w:b/>
                <w:bCs/>
                <w:color w:val="000000"/>
                <w:sz w:val="16"/>
                <w:szCs w:val="16"/>
                <w:lang w:eastAsia="en-AU"/>
              </w:rPr>
              <w:t>1,3</w:t>
            </w:r>
            <w:r>
              <w:rPr>
                <w:rFonts w:cs="Arial"/>
                <w:b/>
                <w:bCs/>
                <w:color w:val="000000"/>
                <w:sz w:val="16"/>
                <w:szCs w:val="16"/>
                <w:lang w:eastAsia="en-AU"/>
              </w:rPr>
              <w:t>87</w:t>
            </w:r>
          </w:p>
        </w:tc>
        <w:tc>
          <w:tcPr>
            <w:tcW w:w="0" w:type="dxa"/>
            <w:shd w:val="clear" w:color="auto" w:fill="auto"/>
            <w:hideMark/>
          </w:tcPr>
          <w:p w14:paraId="4A9756D6" w14:textId="10C264E6" w:rsidR="003262DA" w:rsidRPr="00941A98" w:rsidRDefault="006911AC" w:rsidP="003262DA">
            <w:pPr>
              <w:spacing w:after="0" w:line="240" w:lineRule="auto"/>
              <w:jc w:val="right"/>
              <w:rPr>
                <w:rFonts w:cs="Arial"/>
                <w:b/>
                <w:bCs/>
                <w:color w:val="000000"/>
                <w:sz w:val="16"/>
                <w:szCs w:val="16"/>
                <w:lang w:eastAsia="en-AU"/>
              </w:rPr>
            </w:pPr>
            <w:r>
              <w:rPr>
                <w:rFonts w:cs="Arial"/>
                <w:b/>
                <w:bCs/>
                <w:color w:val="000000"/>
                <w:sz w:val="16"/>
                <w:szCs w:val="16"/>
                <w:lang w:eastAsia="en-AU"/>
              </w:rPr>
              <w:t>476,651</w:t>
            </w:r>
          </w:p>
        </w:tc>
      </w:tr>
    </w:tbl>
    <w:p w14:paraId="2AF75D3E" w14:textId="5EBE33EA" w:rsidR="000B27B9" w:rsidRDefault="000B27B9" w:rsidP="00042954">
      <w:pPr>
        <w:pStyle w:val="Tablecaption"/>
        <w:spacing w:line="240" w:lineRule="auto"/>
      </w:pPr>
      <w:bookmarkStart w:id="1238" w:name="_Toc109894149"/>
      <w:bookmarkStart w:id="1239" w:name="_Toc156568700"/>
      <w:r>
        <w:t xml:space="preserve">Table </w:t>
      </w:r>
      <w:r>
        <w:fldChar w:fldCharType="begin"/>
      </w:r>
      <w:r>
        <w:instrText>STYLEREF 1 \s</w:instrText>
      </w:r>
      <w:r>
        <w:fldChar w:fldCharType="separate"/>
      </w:r>
      <w:r w:rsidR="00892F13">
        <w:rPr>
          <w:noProof/>
        </w:rPr>
        <w:t>2</w:t>
      </w:r>
      <w:r>
        <w:fldChar w:fldCharType="end"/>
      </w:r>
      <w:r w:rsidR="00742C12">
        <w:t>.</w:t>
      </w:r>
      <w:r>
        <w:fldChar w:fldCharType="begin"/>
      </w:r>
      <w:r>
        <w:instrText>SEQ Table \* ARABIC \s 1</w:instrText>
      </w:r>
      <w:r>
        <w:fldChar w:fldCharType="separate"/>
      </w:r>
      <w:r w:rsidR="007E6861">
        <w:rPr>
          <w:noProof/>
        </w:rPr>
        <w:t>23</w:t>
      </w:r>
      <w:r>
        <w:fldChar w:fldCharType="end"/>
      </w:r>
      <w:r w:rsidRPr="00271AC6">
        <w:t xml:space="preserve">: Mental health total acute, non-acute, subacute and residential available beds and available bed days </w:t>
      </w:r>
      <w:bookmarkEnd w:id="1235"/>
      <w:bookmarkEnd w:id="1236"/>
      <w:bookmarkEnd w:id="1237"/>
      <w:bookmarkEnd w:id="1238"/>
      <w:r w:rsidR="005D1FCB" w:rsidRPr="00697369">
        <w:t>202</w:t>
      </w:r>
      <w:r w:rsidR="00F26CD6">
        <w:t>3</w:t>
      </w:r>
      <w:r w:rsidR="00F2096A">
        <w:t>–</w:t>
      </w:r>
      <w:r w:rsidR="005D1FCB" w:rsidRPr="00697369">
        <w:t>2</w:t>
      </w:r>
      <w:r w:rsidR="00F26CD6">
        <w:t>4</w:t>
      </w:r>
      <w:bookmarkEnd w:id="1239"/>
    </w:p>
    <w:p w14:paraId="6DA9B3CC" w14:textId="57AB5360" w:rsidR="001A192A" w:rsidRDefault="001A192A" w:rsidP="00042954">
      <w:pPr>
        <w:pStyle w:val="Body"/>
        <w:keepNext/>
        <w:keepLines/>
        <w:spacing w:line="240" w:lineRule="auto"/>
      </w:pPr>
      <w:r>
        <w:t>Metropolitan and regional</w:t>
      </w:r>
    </w:p>
    <w:tbl>
      <w:tblPr>
        <w:tblW w:w="14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817"/>
        <w:gridCol w:w="1818"/>
        <w:gridCol w:w="1818"/>
        <w:gridCol w:w="1818"/>
        <w:gridCol w:w="1818"/>
        <w:gridCol w:w="1818"/>
      </w:tblGrid>
      <w:tr w:rsidR="003262DA" w:rsidRPr="00A030E3" w14:paraId="21599497" w14:textId="77777777" w:rsidTr="00685B35">
        <w:trPr>
          <w:trHeight w:val="965"/>
          <w:tblHeader/>
        </w:trPr>
        <w:tc>
          <w:tcPr>
            <w:tcW w:w="3400" w:type="dxa"/>
            <w:shd w:val="clear" w:color="auto" w:fill="auto"/>
            <w:vAlign w:val="center"/>
            <w:hideMark/>
          </w:tcPr>
          <w:p w14:paraId="0A23DF09" w14:textId="4112D91D" w:rsidR="00C35096" w:rsidRPr="00685B35" w:rsidRDefault="00C35096" w:rsidP="00685B35">
            <w:pPr>
              <w:pStyle w:val="Tablecolheadlandscape"/>
              <w:rPr>
                <w:b w:val="0"/>
              </w:rPr>
            </w:pPr>
            <w:r w:rsidRPr="00685B35">
              <w:t>Health service</w:t>
            </w:r>
          </w:p>
        </w:tc>
        <w:tc>
          <w:tcPr>
            <w:tcW w:w="1817" w:type="dxa"/>
            <w:shd w:val="clear" w:color="auto" w:fill="auto"/>
            <w:vAlign w:val="center"/>
            <w:hideMark/>
          </w:tcPr>
          <w:p w14:paraId="1D3018D0" w14:textId="77777777" w:rsidR="00C35096" w:rsidRPr="00685B35" w:rsidRDefault="00C35096" w:rsidP="00685B35">
            <w:pPr>
              <w:pStyle w:val="Tablecolheadlandscape"/>
              <w:jc w:val="right"/>
              <w:rPr>
                <w:b w:val="0"/>
              </w:rPr>
            </w:pPr>
            <w:r w:rsidRPr="00685B35">
              <w:t xml:space="preserve">Mental health funded acute bed </w:t>
            </w:r>
          </w:p>
        </w:tc>
        <w:tc>
          <w:tcPr>
            <w:tcW w:w="1818" w:type="dxa"/>
            <w:shd w:val="clear" w:color="auto" w:fill="auto"/>
            <w:vAlign w:val="center"/>
            <w:hideMark/>
          </w:tcPr>
          <w:p w14:paraId="5934B469" w14:textId="77777777" w:rsidR="00C35096" w:rsidRPr="00685B35" w:rsidRDefault="00C35096" w:rsidP="00685B35">
            <w:pPr>
              <w:pStyle w:val="Tablecolheadlandscape"/>
              <w:jc w:val="right"/>
              <w:rPr>
                <w:b w:val="0"/>
              </w:rPr>
            </w:pPr>
            <w:r w:rsidRPr="00685B35">
              <w:t>Mental health funded acute bed days</w:t>
            </w:r>
          </w:p>
        </w:tc>
        <w:tc>
          <w:tcPr>
            <w:tcW w:w="1818" w:type="dxa"/>
            <w:shd w:val="clear" w:color="auto" w:fill="auto"/>
            <w:vAlign w:val="center"/>
            <w:hideMark/>
          </w:tcPr>
          <w:p w14:paraId="55F9F99C" w14:textId="77777777" w:rsidR="00C35096" w:rsidRPr="00685B35" w:rsidRDefault="00C35096" w:rsidP="00685B35">
            <w:pPr>
              <w:pStyle w:val="Tablecolheadlandscape"/>
              <w:jc w:val="right"/>
              <w:rPr>
                <w:b w:val="0"/>
              </w:rPr>
            </w:pPr>
            <w:r w:rsidRPr="00685B35">
              <w:t>Mental health funded non-acute, subacute, and residential bed</w:t>
            </w:r>
          </w:p>
        </w:tc>
        <w:tc>
          <w:tcPr>
            <w:tcW w:w="1818" w:type="dxa"/>
            <w:shd w:val="clear" w:color="auto" w:fill="auto"/>
            <w:vAlign w:val="center"/>
            <w:hideMark/>
          </w:tcPr>
          <w:p w14:paraId="71E9AADD" w14:textId="77777777" w:rsidR="00C35096" w:rsidRPr="00685B35" w:rsidRDefault="00C35096" w:rsidP="00685B35">
            <w:pPr>
              <w:pStyle w:val="Tablecolheadlandscape"/>
              <w:jc w:val="right"/>
              <w:rPr>
                <w:b w:val="0"/>
              </w:rPr>
            </w:pPr>
            <w:r w:rsidRPr="00685B35">
              <w:t xml:space="preserve">Mental health funded non-acute, subacute, and residential bed days </w:t>
            </w:r>
          </w:p>
        </w:tc>
        <w:tc>
          <w:tcPr>
            <w:tcW w:w="1818" w:type="dxa"/>
            <w:shd w:val="clear" w:color="auto" w:fill="auto"/>
            <w:vAlign w:val="center"/>
            <w:hideMark/>
          </w:tcPr>
          <w:p w14:paraId="2C4CCE48" w14:textId="77777777" w:rsidR="00C35096" w:rsidRPr="00685B35" w:rsidRDefault="00C35096" w:rsidP="00685B35">
            <w:pPr>
              <w:pStyle w:val="Tablecolheadlandscape"/>
              <w:jc w:val="right"/>
              <w:rPr>
                <w:b w:val="0"/>
              </w:rPr>
            </w:pPr>
            <w:r w:rsidRPr="00685B35">
              <w:t xml:space="preserve">Mental health beds </w:t>
            </w:r>
          </w:p>
        </w:tc>
        <w:tc>
          <w:tcPr>
            <w:tcW w:w="1818" w:type="dxa"/>
            <w:shd w:val="clear" w:color="auto" w:fill="auto"/>
            <w:vAlign w:val="center"/>
            <w:hideMark/>
          </w:tcPr>
          <w:p w14:paraId="19926C83" w14:textId="77777777" w:rsidR="00C35096" w:rsidRPr="00685B35" w:rsidRDefault="00C35096" w:rsidP="00685B35">
            <w:pPr>
              <w:pStyle w:val="Tablecolheadlandscape"/>
              <w:jc w:val="right"/>
              <w:rPr>
                <w:b w:val="0"/>
              </w:rPr>
            </w:pPr>
            <w:r w:rsidRPr="00685B35">
              <w:t xml:space="preserve">Mental health bed days </w:t>
            </w:r>
          </w:p>
        </w:tc>
      </w:tr>
      <w:tr w:rsidR="003262DA" w:rsidRPr="00A030E3" w14:paraId="7AA9B02F" w14:textId="77777777" w:rsidTr="00685B35">
        <w:trPr>
          <w:trHeight w:val="300"/>
          <w:tblHeader/>
        </w:trPr>
        <w:tc>
          <w:tcPr>
            <w:tcW w:w="3400" w:type="dxa"/>
            <w:shd w:val="clear" w:color="auto" w:fill="auto"/>
            <w:vAlign w:val="center"/>
            <w:hideMark/>
          </w:tcPr>
          <w:p w14:paraId="04A624C6" w14:textId="77777777" w:rsidR="00C35096" w:rsidRPr="00685B35" w:rsidRDefault="00C35096" w:rsidP="00C35096">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Albury Wodonga Health</w:t>
            </w:r>
          </w:p>
        </w:tc>
        <w:tc>
          <w:tcPr>
            <w:tcW w:w="1817" w:type="dxa"/>
            <w:shd w:val="clear" w:color="auto" w:fill="auto"/>
            <w:vAlign w:val="center"/>
            <w:hideMark/>
          </w:tcPr>
          <w:p w14:paraId="74DD7114"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20</w:t>
            </w:r>
          </w:p>
        </w:tc>
        <w:tc>
          <w:tcPr>
            <w:tcW w:w="1818" w:type="dxa"/>
            <w:shd w:val="clear" w:color="auto" w:fill="auto"/>
            <w:vAlign w:val="center"/>
            <w:hideMark/>
          </w:tcPr>
          <w:p w14:paraId="6E481276"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7,305</w:t>
            </w:r>
          </w:p>
        </w:tc>
        <w:tc>
          <w:tcPr>
            <w:tcW w:w="1818" w:type="dxa"/>
            <w:shd w:val="clear" w:color="auto" w:fill="auto"/>
            <w:vAlign w:val="center"/>
            <w:hideMark/>
          </w:tcPr>
          <w:p w14:paraId="5DF91EFE"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51</w:t>
            </w:r>
          </w:p>
        </w:tc>
        <w:tc>
          <w:tcPr>
            <w:tcW w:w="1818" w:type="dxa"/>
            <w:shd w:val="clear" w:color="auto" w:fill="auto"/>
            <w:vAlign w:val="center"/>
            <w:hideMark/>
          </w:tcPr>
          <w:p w14:paraId="3926E64B"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18,628</w:t>
            </w:r>
          </w:p>
        </w:tc>
        <w:tc>
          <w:tcPr>
            <w:tcW w:w="1818" w:type="dxa"/>
            <w:shd w:val="clear" w:color="auto" w:fill="auto"/>
            <w:vAlign w:val="center"/>
            <w:hideMark/>
          </w:tcPr>
          <w:p w14:paraId="245D93EE"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71</w:t>
            </w:r>
          </w:p>
        </w:tc>
        <w:tc>
          <w:tcPr>
            <w:tcW w:w="1818" w:type="dxa"/>
            <w:shd w:val="clear" w:color="auto" w:fill="auto"/>
            <w:vAlign w:val="center"/>
            <w:hideMark/>
          </w:tcPr>
          <w:p w14:paraId="3500CC48"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25,933</w:t>
            </w:r>
          </w:p>
        </w:tc>
      </w:tr>
      <w:tr w:rsidR="003262DA" w:rsidRPr="00A030E3" w14:paraId="53F6049B" w14:textId="77777777" w:rsidTr="00685B35">
        <w:trPr>
          <w:trHeight w:val="300"/>
          <w:tblHeader/>
        </w:trPr>
        <w:tc>
          <w:tcPr>
            <w:tcW w:w="3400" w:type="dxa"/>
            <w:shd w:val="clear" w:color="auto" w:fill="auto"/>
            <w:vAlign w:val="center"/>
            <w:hideMark/>
          </w:tcPr>
          <w:p w14:paraId="5AD8E698" w14:textId="77777777" w:rsidR="00C35096" w:rsidRPr="00685B35" w:rsidRDefault="00C35096" w:rsidP="00C35096">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Alfred Health</w:t>
            </w:r>
          </w:p>
        </w:tc>
        <w:tc>
          <w:tcPr>
            <w:tcW w:w="1817" w:type="dxa"/>
            <w:shd w:val="clear" w:color="auto" w:fill="auto"/>
            <w:vAlign w:val="center"/>
            <w:hideMark/>
          </w:tcPr>
          <w:p w14:paraId="4E13483C" w14:textId="38DC6870"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10</w:t>
            </w:r>
            <w:r w:rsidR="00F26CD6" w:rsidRPr="00685B35">
              <w:rPr>
                <w:rFonts w:cs="Arial"/>
                <w:color w:val="000000" w:themeColor="text1"/>
                <w:sz w:val="16"/>
                <w:szCs w:val="16"/>
                <w:lang w:eastAsia="en-AU"/>
              </w:rPr>
              <w:t>8</w:t>
            </w:r>
          </w:p>
        </w:tc>
        <w:tc>
          <w:tcPr>
            <w:tcW w:w="1818" w:type="dxa"/>
            <w:shd w:val="clear" w:color="auto" w:fill="auto"/>
            <w:vAlign w:val="center"/>
            <w:hideMark/>
          </w:tcPr>
          <w:p w14:paraId="54C6F8AB" w14:textId="47C8BBDF" w:rsidR="00C35096" w:rsidRPr="00685B35" w:rsidRDefault="006911AC" w:rsidP="00C35096">
            <w:pPr>
              <w:spacing w:after="0" w:line="240" w:lineRule="auto"/>
              <w:jc w:val="right"/>
              <w:rPr>
                <w:rFonts w:cs="Arial"/>
                <w:color w:val="000000" w:themeColor="text1"/>
                <w:sz w:val="16"/>
                <w:szCs w:val="16"/>
                <w:lang w:eastAsia="en-AU"/>
              </w:rPr>
            </w:pPr>
            <w:r>
              <w:rPr>
                <w:rFonts w:cs="Arial"/>
                <w:color w:val="000000" w:themeColor="text1"/>
                <w:sz w:val="16"/>
                <w:szCs w:val="16"/>
                <w:lang w:eastAsia="en-AU"/>
              </w:rPr>
              <w:t>37,256</w:t>
            </w:r>
          </w:p>
        </w:tc>
        <w:tc>
          <w:tcPr>
            <w:tcW w:w="1818" w:type="dxa"/>
            <w:shd w:val="clear" w:color="auto" w:fill="auto"/>
            <w:vAlign w:val="center"/>
            <w:hideMark/>
          </w:tcPr>
          <w:p w14:paraId="703E8DE9"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30</w:t>
            </w:r>
          </w:p>
        </w:tc>
        <w:tc>
          <w:tcPr>
            <w:tcW w:w="1818" w:type="dxa"/>
            <w:shd w:val="clear" w:color="auto" w:fill="auto"/>
            <w:vAlign w:val="center"/>
            <w:hideMark/>
          </w:tcPr>
          <w:p w14:paraId="2AD72306"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10,958</w:t>
            </w:r>
          </w:p>
        </w:tc>
        <w:tc>
          <w:tcPr>
            <w:tcW w:w="1818" w:type="dxa"/>
            <w:shd w:val="clear" w:color="auto" w:fill="auto"/>
            <w:vAlign w:val="center"/>
            <w:hideMark/>
          </w:tcPr>
          <w:p w14:paraId="1A676EEE" w14:textId="7A9F691A"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13</w:t>
            </w:r>
            <w:r w:rsidR="00F26CD6" w:rsidRPr="00685B35">
              <w:rPr>
                <w:rFonts w:cs="Arial"/>
                <w:color w:val="000000" w:themeColor="text1"/>
                <w:sz w:val="16"/>
                <w:szCs w:val="16"/>
                <w:lang w:eastAsia="en-AU"/>
              </w:rPr>
              <w:t>8</w:t>
            </w:r>
          </w:p>
        </w:tc>
        <w:tc>
          <w:tcPr>
            <w:tcW w:w="1818" w:type="dxa"/>
            <w:shd w:val="clear" w:color="auto" w:fill="auto"/>
            <w:vAlign w:val="center"/>
            <w:hideMark/>
          </w:tcPr>
          <w:p w14:paraId="0D175A75" w14:textId="2E01873E" w:rsidR="00C35096" w:rsidRPr="00685B35" w:rsidRDefault="006911AC" w:rsidP="00C35096">
            <w:pPr>
              <w:spacing w:after="0" w:line="240" w:lineRule="auto"/>
              <w:jc w:val="right"/>
              <w:rPr>
                <w:rFonts w:cs="Arial"/>
                <w:color w:val="000000" w:themeColor="text1"/>
                <w:sz w:val="16"/>
                <w:szCs w:val="16"/>
                <w:lang w:eastAsia="en-AU"/>
              </w:rPr>
            </w:pPr>
            <w:r>
              <w:rPr>
                <w:rFonts w:cs="Arial"/>
                <w:color w:val="000000" w:themeColor="text1"/>
                <w:sz w:val="16"/>
                <w:szCs w:val="16"/>
                <w:lang w:eastAsia="en-AU"/>
              </w:rPr>
              <w:t>48,213</w:t>
            </w:r>
          </w:p>
        </w:tc>
      </w:tr>
      <w:tr w:rsidR="003262DA" w:rsidRPr="00A030E3" w14:paraId="1B5B4E3A" w14:textId="77777777" w:rsidTr="00685B35">
        <w:trPr>
          <w:trHeight w:val="300"/>
          <w:tblHeader/>
        </w:trPr>
        <w:tc>
          <w:tcPr>
            <w:tcW w:w="3400" w:type="dxa"/>
            <w:shd w:val="clear" w:color="auto" w:fill="auto"/>
            <w:vAlign w:val="center"/>
            <w:hideMark/>
          </w:tcPr>
          <w:p w14:paraId="201BA0CD" w14:textId="77777777" w:rsidR="00C35096" w:rsidRPr="00685B35" w:rsidRDefault="00C35096" w:rsidP="00C35096">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Austin Health</w:t>
            </w:r>
          </w:p>
        </w:tc>
        <w:tc>
          <w:tcPr>
            <w:tcW w:w="1817" w:type="dxa"/>
            <w:shd w:val="clear" w:color="auto" w:fill="auto"/>
            <w:vAlign w:val="center"/>
            <w:hideMark/>
          </w:tcPr>
          <w:p w14:paraId="5EF4A0ED" w14:textId="3DD2A773" w:rsidR="00C35096" w:rsidRPr="00685B35" w:rsidRDefault="00F26CD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87</w:t>
            </w:r>
          </w:p>
        </w:tc>
        <w:tc>
          <w:tcPr>
            <w:tcW w:w="1818" w:type="dxa"/>
            <w:shd w:val="clear" w:color="auto" w:fill="auto"/>
            <w:vAlign w:val="center"/>
            <w:hideMark/>
          </w:tcPr>
          <w:p w14:paraId="69CE96BC" w14:textId="6B1CF3CC"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3</w:t>
            </w:r>
            <w:r w:rsidR="00F26CD6" w:rsidRPr="00685B35">
              <w:rPr>
                <w:rFonts w:cs="Arial"/>
                <w:color w:val="000000" w:themeColor="text1"/>
                <w:sz w:val="16"/>
                <w:szCs w:val="16"/>
                <w:lang w:eastAsia="en-AU"/>
              </w:rPr>
              <w:t>1,777</w:t>
            </w:r>
          </w:p>
        </w:tc>
        <w:tc>
          <w:tcPr>
            <w:tcW w:w="1818" w:type="dxa"/>
            <w:shd w:val="clear" w:color="auto" w:fill="auto"/>
            <w:vAlign w:val="center"/>
            <w:hideMark/>
          </w:tcPr>
          <w:p w14:paraId="3579A70E" w14:textId="2F5295D7" w:rsidR="00C35096" w:rsidRPr="00685B35" w:rsidRDefault="00F26CD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102</w:t>
            </w:r>
          </w:p>
        </w:tc>
        <w:tc>
          <w:tcPr>
            <w:tcW w:w="1818" w:type="dxa"/>
            <w:shd w:val="clear" w:color="auto" w:fill="auto"/>
            <w:vAlign w:val="center"/>
            <w:hideMark/>
          </w:tcPr>
          <w:p w14:paraId="170A8820" w14:textId="1C46D16D"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3</w:t>
            </w:r>
            <w:r w:rsidR="00F26CD6" w:rsidRPr="00685B35">
              <w:rPr>
                <w:rFonts w:cs="Arial"/>
                <w:color w:val="000000" w:themeColor="text1"/>
                <w:sz w:val="16"/>
                <w:szCs w:val="16"/>
                <w:lang w:eastAsia="en-AU"/>
              </w:rPr>
              <w:t>7,256</w:t>
            </w:r>
          </w:p>
        </w:tc>
        <w:tc>
          <w:tcPr>
            <w:tcW w:w="1818" w:type="dxa"/>
            <w:shd w:val="clear" w:color="auto" w:fill="auto"/>
            <w:vAlign w:val="center"/>
            <w:hideMark/>
          </w:tcPr>
          <w:p w14:paraId="0A14E468"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189</w:t>
            </w:r>
          </w:p>
        </w:tc>
        <w:tc>
          <w:tcPr>
            <w:tcW w:w="1818" w:type="dxa"/>
            <w:shd w:val="clear" w:color="auto" w:fill="auto"/>
            <w:vAlign w:val="center"/>
            <w:hideMark/>
          </w:tcPr>
          <w:p w14:paraId="5E8B26C5" w14:textId="7726272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6</w:t>
            </w:r>
            <w:r w:rsidR="00F26CD6" w:rsidRPr="00685B35">
              <w:rPr>
                <w:rFonts w:cs="Arial"/>
                <w:color w:val="000000" w:themeColor="text1"/>
                <w:sz w:val="16"/>
                <w:szCs w:val="16"/>
                <w:lang w:eastAsia="en-AU"/>
              </w:rPr>
              <w:t>9,032</w:t>
            </w:r>
          </w:p>
        </w:tc>
      </w:tr>
      <w:tr w:rsidR="003262DA" w:rsidRPr="00A030E3" w14:paraId="57FF7145" w14:textId="77777777" w:rsidTr="00685B35">
        <w:trPr>
          <w:trHeight w:val="300"/>
          <w:tblHeader/>
        </w:trPr>
        <w:tc>
          <w:tcPr>
            <w:tcW w:w="3400" w:type="dxa"/>
            <w:shd w:val="clear" w:color="auto" w:fill="auto"/>
            <w:vAlign w:val="center"/>
            <w:hideMark/>
          </w:tcPr>
          <w:p w14:paraId="3026D86E" w14:textId="77777777" w:rsidR="00C35096" w:rsidRPr="00685B35" w:rsidRDefault="00C35096" w:rsidP="00C35096">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Barwon Health</w:t>
            </w:r>
          </w:p>
        </w:tc>
        <w:tc>
          <w:tcPr>
            <w:tcW w:w="1817" w:type="dxa"/>
            <w:shd w:val="clear" w:color="auto" w:fill="auto"/>
            <w:vAlign w:val="center"/>
            <w:hideMark/>
          </w:tcPr>
          <w:p w14:paraId="5D49BEF6"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50</w:t>
            </w:r>
          </w:p>
        </w:tc>
        <w:tc>
          <w:tcPr>
            <w:tcW w:w="1818" w:type="dxa"/>
            <w:shd w:val="clear" w:color="auto" w:fill="auto"/>
            <w:vAlign w:val="center"/>
            <w:hideMark/>
          </w:tcPr>
          <w:p w14:paraId="712FDCC0" w14:textId="29366EB1" w:rsidR="00C35096" w:rsidRPr="00685B35" w:rsidRDefault="006911AC" w:rsidP="00C35096">
            <w:pPr>
              <w:spacing w:after="0" w:line="240" w:lineRule="auto"/>
              <w:jc w:val="right"/>
              <w:rPr>
                <w:rFonts w:cs="Arial"/>
                <w:color w:val="000000" w:themeColor="text1"/>
                <w:sz w:val="16"/>
                <w:szCs w:val="16"/>
                <w:lang w:eastAsia="en-AU"/>
              </w:rPr>
            </w:pPr>
            <w:r>
              <w:rPr>
                <w:rFonts w:cs="Arial"/>
                <w:color w:val="000000" w:themeColor="text1"/>
                <w:sz w:val="16"/>
                <w:szCs w:val="16"/>
                <w:lang w:eastAsia="en-AU"/>
              </w:rPr>
              <w:t>18,263</w:t>
            </w:r>
          </w:p>
        </w:tc>
        <w:tc>
          <w:tcPr>
            <w:tcW w:w="1818" w:type="dxa"/>
            <w:shd w:val="clear" w:color="auto" w:fill="auto"/>
            <w:vAlign w:val="center"/>
            <w:hideMark/>
          </w:tcPr>
          <w:p w14:paraId="5434957B"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72</w:t>
            </w:r>
          </w:p>
        </w:tc>
        <w:tc>
          <w:tcPr>
            <w:tcW w:w="1818" w:type="dxa"/>
            <w:shd w:val="clear" w:color="auto" w:fill="auto"/>
            <w:vAlign w:val="center"/>
            <w:hideMark/>
          </w:tcPr>
          <w:p w14:paraId="00576089"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26,298</w:t>
            </w:r>
          </w:p>
        </w:tc>
        <w:tc>
          <w:tcPr>
            <w:tcW w:w="1818" w:type="dxa"/>
            <w:shd w:val="clear" w:color="auto" w:fill="auto"/>
            <w:vAlign w:val="center"/>
            <w:hideMark/>
          </w:tcPr>
          <w:p w14:paraId="331F1ADF"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122</w:t>
            </w:r>
          </w:p>
        </w:tc>
        <w:tc>
          <w:tcPr>
            <w:tcW w:w="1818" w:type="dxa"/>
            <w:shd w:val="clear" w:color="auto" w:fill="auto"/>
            <w:vAlign w:val="center"/>
            <w:hideMark/>
          </w:tcPr>
          <w:p w14:paraId="4B56B235" w14:textId="283E41AA" w:rsidR="00C35096" w:rsidRPr="00685B35" w:rsidRDefault="006911AC" w:rsidP="00C35096">
            <w:pPr>
              <w:spacing w:after="0" w:line="240" w:lineRule="auto"/>
              <w:jc w:val="right"/>
              <w:rPr>
                <w:rFonts w:cs="Arial"/>
                <w:color w:val="000000" w:themeColor="text1"/>
                <w:sz w:val="16"/>
                <w:szCs w:val="16"/>
                <w:lang w:eastAsia="en-AU"/>
              </w:rPr>
            </w:pPr>
            <w:r>
              <w:rPr>
                <w:rFonts w:cs="Arial"/>
                <w:color w:val="000000" w:themeColor="text1"/>
                <w:sz w:val="16"/>
                <w:szCs w:val="16"/>
                <w:lang w:eastAsia="en-AU"/>
              </w:rPr>
              <w:t>44,561</w:t>
            </w:r>
          </w:p>
        </w:tc>
      </w:tr>
      <w:tr w:rsidR="003262DA" w:rsidRPr="00A030E3" w14:paraId="242266A5" w14:textId="77777777" w:rsidTr="00685B35">
        <w:trPr>
          <w:trHeight w:val="300"/>
          <w:tblHeader/>
        </w:trPr>
        <w:tc>
          <w:tcPr>
            <w:tcW w:w="3400" w:type="dxa"/>
            <w:shd w:val="clear" w:color="auto" w:fill="auto"/>
            <w:vAlign w:val="center"/>
            <w:hideMark/>
          </w:tcPr>
          <w:p w14:paraId="7DA951FC" w14:textId="77777777" w:rsidR="00C35096" w:rsidRPr="00685B35" w:rsidRDefault="00C35096" w:rsidP="00C35096">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Bendigo Health Care Group</w:t>
            </w:r>
          </w:p>
        </w:tc>
        <w:tc>
          <w:tcPr>
            <w:tcW w:w="1817" w:type="dxa"/>
            <w:shd w:val="clear" w:color="auto" w:fill="auto"/>
            <w:vAlign w:val="center"/>
            <w:hideMark/>
          </w:tcPr>
          <w:p w14:paraId="63BB1C4B"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60</w:t>
            </w:r>
          </w:p>
        </w:tc>
        <w:tc>
          <w:tcPr>
            <w:tcW w:w="1818" w:type="dxa"/>
            <w:shd w:val="clear" w:color="auto" w:fill="auto"/>
            <w:vAlign w:val="center"/>
            <w:hideMark/>
          </w:tcPr>
          <w:p w14:paraId="1C394AE1"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21,915</w:t>
            </w:r>
          </w:p>
        </w:tc>
        <w:tc>
          <w:tcPr>
            <w:tcW w:w="1818" w:type="dxa"/>
            <w:shd w:val="clear" w:color="auto" w:fill="auto"/>
            <w:vAlign w:val="center"/>
            <w:hideMark/>
          </w:tcPr>
          <w:p w14:paraId="5CFA6736"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82</w:t>
            </w:r>
          </w:p>
        </w:tc>
        <w:tc>
          <w:tcPr>
            <w:tcW w:w="1818" w:type="dxa"/>
            <w:shd w:val="clear" w:color="auto" w:fill="auto"/>
            <w:vAlign w:val="center"/>
            <w:hideMark/>
          </w:tcPr>
          <w:p w14:paraId="0D567BC8"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29,951</w:t>
            </w:r>
          </w:p>
        </w:tc>
        <w:tc>
          <w:tcPr>
            <w:tcW w:w="1818" w:type="dxa"/>
            <w:shd w:val="clear" w:color="auto" w:fill="auto"/>
            <w:vAlign w:val="center"/>
            <w:hideMark/>
          </w:tcPr>
          <w:p w14:paraId="49D7501E"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142</w:t>
            </w:r>
          </w:p>
        </w:tc>
        <w:tc>
          <w:tcPr>
            <w:tcW w:w="1818" w:type="dxa"/>
            <w:shd w:val="clear" w:color="auto" w:fill="auto"/>
            <w:vAlign w:val="center"/>
            <w:hideMark/>
          </w:tcPr>
          <w:p w14:paraId="64296C08"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51,866</w:t>
            </w:r>
          </w:p>
        </w:tc>
      </w:tr>
      <w:tr w:rsidR="003262DA" w:rsidRPr="00A030E3" w14:paraId="792CD5E0" w14:textId="77777777" w:rsidTr="00685B35">
        <w:trPr>
          <w:trHeight w:val="300"/>
          <w:tblHeader/>
        </w:trPr>
        <w:tc>
          <w:tcPr>
            <w:tcW w:w="3400" w:type="dxa"/>
            <w:shd w:val="clear" w:color="auto" w:fill="auto"/>
            <w:vAlign w:val="center"/>
            <w:hideMark/>
          </w:tcPr>
          <w:p w14:paraId="56C88575" w14:textId="77777777" w:rsidR="00C35096" w:rsidRPr="00685B35" w:rsidRDefault="00C35096" w:rsidP="00C35096">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Eastern Health</w:t>
            </w:r>
          </w:p>
        </w:tc>
        <w:tc>
          <w:tcPr>
            <w:tcW w:w="1817" w:type="dxa"/>
            <w:shd w:val="clear" w:color="auto" w:fill="auto"/>
            <w:vAlign w:val="center"/>
            <w:hideMark/>
          </w:tcPr>
          <w:p w14:paraId="65B4B836"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130</w:t>
            </w:r>
          </w:p>
        </w:tc>
        <w:tc>
          <w:tcPr>
            <w:tcW w:w="1818" w:type="dxa"/>
            <w:shd w:val="clear" w:color="auto" w:fill="auto"/>
            <w:vAlign w:val="center"/>
            <w:hideMark/>
          </w:tcPr>
          <w:p w14:paraId="610BE03C"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47,483</w:t>
            </w:r>
          </w:p>
        </w:tc>
        <w:tc>
          <w:tcPr>
            <w:tcW w:w="1818" w:type="dxa"/>
            <w:shd w:val="clear" w:color="auto" w:fill="auto"/>
            <w:vAlign w:val="center"/>
            <w:hideMark/>
          </w:tcPr>
          <w:p w14:paraId="1FA637DD"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120</w:t>
            </w:r>
          </w:p>
        </w:tc>
        <w:tc>
          <w:tcPr>
            <w:tcW w:w="1818" w:type="dxa"/>
            <w:shd w:val="clear" w:color="auto" w:fill="auto"/>
            <w:vAlign w:val="center"/>
            <w:hideMark/>
          </w:tcPr>
          <w:p w14:paraId="46B9D980"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43,830</w:t>
            </w:r>
          </w:p>
        </w:tc>
        <w:tc>
          <w:tcPr>
            <w:tcW w:w="1818" w:type="dxa"/>
            <w:shd w:val="clear" w:color="auto" w:fill="auto"/>
            <w:vAlign w:val="center"/>
            <w:hideMark/>
          </w:tcPr>
          <w:p w14:paraId="62D9D086"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250</w:t>
            </w:r>
          </w:p>
        </w:tc>
        <w:tc>
          <w:tcPr>
            <w:tcW w:w="1818" w:type="dxa"/>
            <w:shd w:val="clear" w:color="auto" w:fill="auto"/>
            <w:vAlign w:val="center"/>
            <w:hideMark/>
          </w:tcPr>
          <w:p w14:paraId="59219A64"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91,313</w:t>
            </w:r>
          </w:p>
        </w:tc>
      </w:tr>
      <w:tr w:rsidR="003262DA" w:rsidRPr="00A030E3" w14:paraId="1D88F4A0" w14:textId="77777777" w:rsidTr="00685B35">
        <w:trPr>
          <w:trHeight w:val="300"/>
          <w:tblHeader/>
        </w:trPr>
        <w:tc>
          <w:tcPr>
            <w:tcW w:w="3400" w:type="dxa"/>
            <w:shd w:val="clear" w:color="auto" w:fill="auto"/>
            <w:vAlign w:val="center"/>
            <w:hideMark/>
          </w:tcPr>
          <w:p w14:paraId="4815F3A0" w14:textId="77777777" w:rsidR="00C35096" w:rsidRPr="00685B35" w:rsidRDefault="00C35096" w:rsidP="00C35096">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Goulburn Valley Health</w:t>
            </w:r>
          </w:p>
        </w:tc>
        <w:tc>
          <w:tcPr>
            <w:tcW w:w="1817" w:type="dxa"/>
            <w:shd w:val="clear" w:color="auto" w:fill="auto"/>
            <w:vAlign w:val="center"/>
            <w:hideMark/>
          </w:tcPr>
          <w:p w14:paraId="0D3027B5"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20</w:t>
            </w:r>
          </w:p>
        </w:tc>
        <w:tc>
          <w:tcPr>
            <w:tcW w:w="1818" w:type="dxa"/>
            <w:shd w:val="clear" w:color="auto" w:fill="auto"/>
            <w:vAlign w:val="center"/>
            <w:hideMark/>
          </w:tcPr>
          <w:p w14:paraId="0B6FF16C"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7,305</w:t>
            </w:r>
          </w:p>
        </w:tc>
        <w:tc>
          <w:tcPr>
            <w:tcW w:w="1818" w:type="dxa"/>
            <w:shd w:val="clear" w:color="auto" w:fill="auto"/>
            <w:vAlign w:val="center"/>
            <w:hideMark/>
          </w:tcPr>
          <w:p w14:paraId="608D6538"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40</w:t>
            </w:r>
          </w:p>
        </w:tc>
        <w:tc>
          <w:tcPr>
            <w:tcW w:w="1818" w:type="dxa"/>
            <w:shd w:val="clear" w:color="auto" w:fill="auto"/>
            <w:vAlign w:val="center"/>
            <w:hideMark/>
          </w:tcPr>
          <w:p w14:paraId="2B70FCE5"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14,610</w:t>
            </w:r>
          </w:p>
        </w:tc>
        <w:tc>
          <w:tcPr>
            <w:tcW w:w="1818" w:type="dxa"/>
            <w:shd w:val="clear" w:color="auto" w:fill="auto"/>
            <w:vAlign w:val="center"/>
            <w:hideMark/>
          </w:tcPr>
          <w:p w14:paraId="28A2B815"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60</w:t>
            </w:r>
          </w:p>
        </w:tc>
        <w:tc>
          <w:tcPr>
            <w:tcW w:w="1818" w:type="dxa"/>
            <w:shd w:val="clear" w:color="auto" w:fill="auto"/>
            <w:vAlign w:val="center"/>
            <w:hideMark/>
          </w:tcPr>
          <w:p w14:paraId="057CBDC5" w14:textId="77777777" w:rsidR="00C35096" w:rsidRPr="00685B35" w:rsidRDefault="00C35096" w:rsidP="00C35096">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21,915</w:t>
            </w:r>
          </w:p>
        </w:tc>
      </w:tr>
      <w:tr w:rsidR="00AB10C9" w:rsidRPr="00A030E3" w14:paraId="0D4EA1EB" w14:textId="77777777" w:rsidTr="00685B35">
        <w:trPr>
          <w:trHeight w:val="300"/>
          <w:tblHeader/>
        </w:trPr>
        <w:tc>
          <w:tcPr>
            <w:tcW w:w="3400" w:type="dxa"/>
            <w:shd w:val="clear" w:color="auto" w:fill="auto"/>
            <w:vAlign w:val="center"/>
          </w:tcPr>
          <w:p w14:paraId="62BEAED4" w14:textId="6DF3307B"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Grampians Health</w:t>
            </w:r>
          </w:p>
        </w:tc>
        <w:tc>
          <w:tcPr>
            <w:tcW w:w="1817" w:type="dxa"/>
            <w:shd w:val="clear" w:color="auto" w:fill="auto"/>
            <w:vAlign w:val="center"/>
          </w:tcPr>
          <w:p w14:paraId="4845E484" w14:textId="2597C989"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40</w:t>
            </w:r>
          </w:p>
        </w:tc>
        <w:tc>
          <w:tcPr>
            <w:tcW w:w="1818" w:type="dxa"/>
            <w:shd w:val="clear" w:color="auto" w:fill="auto"/>
            <w:vAlign w:val="center"/>
          </w:tcPr>
          <w:p w14:paraId="3C5C6C34" w14:textId="4B1B4125"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14,610</w:t>
            </w:r>
          </w:p>
        </w:tc>
        <w:tc>
          <w:tcPr>
            <w:tcW w:w="1818" w:type="dxa"/>
            <w:shd w:val="clear" w:color="auto" w:fill="auto"/>
            <w:vAlign w:val="center"/>
          </w:tcPr>
          <w:p w14:paraId="40AFCEF9" w14:textId="6F9F0101"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56</w:t>
            </w:r>
          </w:p>
        </w:tc>
        <w:tc>
          <w:tcPr>
            <w:tcW w:w="1818" w:type="dxa"/>
            <w:shd w:val="clear" w:color="auto" w:fill="auto"/>
            <w:vAlign w:val="center"/>
          </w:tcPr>
          <w:p w14:paraId="33A3F642" w14:textId="41F6780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20,454</w:t>
            </w:r>
          </w:p>
        </w:tc>
        <w:tc>
          <w:tcPr>
            <w:tcW w:w="1818" w:type="dxa"/>
            <w:shd w:val="clear" w:color="auto" w:fill="auto"/>
            <w:vAlign w:val="center"/>
          </w:tcPr>
          <w:p w14:paraId="342B069D" w14:textId="2767775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96</w:t>
            </w:r>
          </w:p>
        </w:tc>
        <w:tc>
          <w:tcPr>
            <w:tcW w:w="1818" w:type="dxa"/>
            <w:shd w:val="clear" w:color="auto" w:fill="auto"/>
            <w:vAlign w:val="center"/>
          </w:tcPr>
          <w:p w14:paraId="71A97732" w14:textId="475A136E"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35,064</w:t>
            </w:r>
          </w:p>
        </w:tc>
      </w:tr>
      <w:tr w:rsidR="00AB10C9" w:rsidRPr="00A030E3" w14:paraId="04ABD335" w14:textId="77777777" w:rsidTr="00685B35">
        <w:trPr>
          <w:trHeight w:val="300"/>
          <w:tblHeader/>
        </w:trPr>
        <w:tc>
          <w:tcPr>
            <w:tcW w:w="3400" w:type="dxa"/>
            <w:shd w:val="clear" w:color="auto" w:fill="auto"/>
            <w:vAlign w:val="center"/>
            <w:hideMark/>
          </w:tcPr>
          <w:p w14:paraId="2A1D7199" w14:textId="77777777"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Latrobe Regional Hospital</w:t>
            </w:r>
          </w:p>
        </w:tc>
        <w:tc>
          <w:tcPr>
            <w:tcW w:w="1817" w:type="dxa"/>
            <w:shd w:val="clear" w:color="auto" w:fill="auto"/>
            <w:vAlign w:val="center"/>
            <w:hideMark/>
          </w:tcPr>
          <w:p w14:paraId="469BBB65"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46</w:t>
            </w:r>
          </w:p>
        </w:tc>
        <w:tc>
          <w:tcPr>
            <w:tcW w:w="1818" w:type="dxa"/>
            <w:shd w:val="clear" w:color="auto" w:fill="auto"/>
            <w:vAlign w:val="center"/>
            <w:hideMark/>
          </w:tcPr>
          <w:p w14:paraId="5F70F019"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16,802</w:t>
            </w:r>
          </w:p>
        </w:tc>
        <w:tc>
          <w:tcPr>
            <w:tcW w:w="1818" w:type="dxa"/>
            <w:shd w:val="clear" w:color="auto" w:fill="auto"/>
            <w:vAlign w:val="center"/>
            <w:hideMark/>
          </w:tcPr>
          <w:p w14:paraId="0AB7EA31"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40</w:t>
            </w:r>
          </w:p>
        </w:tc>
        <w:tc>
          <w:tcPr>
            <w:tcW w:w="1818" w:type="dxa"/>
            <w:shd w:val="clear" w:color="auto" w:fill="auto"/>
            <w:vAlign w:val="center"/>
            <w:hideMark/>
          </w:tcPr>
          <w:p w14:paraId="4CA01DFC"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14,610</w:t>
            </w:r>
          </w:p>
        </w:tc>
        <w:tc>
          <w:tcPr>
            <w:tcW w:w="1818" w:type="dxa"/>
            <w:shd w:val="clear" w:color="auto" w:fill="auto"/>
            <w:vAlign w:val="center"/>
            <w:hideMark/>
          </w:tcPr>
          <w:p w14:paraId="35AB31A0"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86</w:t>
            </w:r>
          </w:p>
        </w:tc>
        <w:tc>
          <w:tcPr>
            <w:tcW w:w="1818" w:type="dxa"/>
            <w:shd w:val="clear" w:color="auto" w:fill="auto"/>
            <w:vAlign w:val="center"/>
            <w:hideMark/>
          </w:tcPr>
          <w:p w14:paraId="039BA23E"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31,412</w:t>
            </w:r>
          </w:p>
        </w:tc>
      </w:tr>
      <w:tr w:rsidR="00AB10C9" w:rsidRPr="00A030E3" w14:paraId="39B0FD25" w14:textId="77777777" w:rsidTr="00685B35">
        <w:trPr>
          <w:trHeight w:val="300"/>
          <w:tblHeader/>
        </w:trPr>
        <w:tc>
          <w:tcPr>
            <w:tcW w:w="3400" w:type="dxa"/>
            <w:shd w:val="clear" w:color="auto" w:fill="auto"/>
            <w:vAlign w:val="center"/>
            <w:hideMark/>
          </w:tcPr>
          <w:p w14:paraId="4ED251F3" w14:textId="77777777"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Melbourne Health</w:t>
            </w:r>
          </w:p>
        </w:tc>
        <w:tc>
          <w:tcPr>
            <w:tcW w:w="1817" w:type="dxa"/>
            <w:shd w:val="clear" w:color="auto" w:fill="auto"/>
            <w:vAlign w:val="center"/>
            <w:hideMark/>
          </w:tcPr>
          <w:p w14:paraId="759EABDE" w14:textId="090163BF"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89</w:t>
            </w:r>
          </w:p>
        </w:tc>
        <w:tc>
          <w:tcPr>
            <w:tcW w:w="1818" w:type="dxa"/>
            <w:shd w:val="clear" w:color="auto" w:fill="auto"/>
            <w:vAlign w:val="center"/>
            <w:hideMark/>
          </w:tcPr>
          <w:p w14:paraId="6334669F" w14:textId="508C391A"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32,507</w:t>
            </w:r>
          </w:p>
        </w:tc>
        <w:tc>
          <w:tcPr>
            <w:tcW w:w="1818" w:type="dxa"/>
            <w:shd w:val="clear" w:color="auto" w:fill="auto"/>
            <w:vAlign w:val="center"/>
            <w:hideMark/>
          </w:tcPr>
          <w:p w14:paraId="6C51CF14" w14:textId="54B31C20"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50</w:t>
            </w:r>
          </w:p>
        </w:tc>
        <w:tc>
          <w:tcPr>
            <w:tcW w:w="1818" w:type="dxa"/>
            <w:shd w:val="clear" w:color="auto" w:fill="auto"/>
            <w:vAlign w:val="center"/>
            <w:hideMark/>
          </w:tcPr>
          <w:p w14:paraId="198232FF" w14:textId="42F1069E"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18,263</w:t>
            </w:r>
          </w:p>
        </w:tc>
        <w:tc>
          <w:tcPr>
            <w:tcW w:w="1818" w:type="dxa"/>
            <w:shd w:val="clear" w:color="auto" w:fill="auto"/>
            <w:vAlign w:val="center"/>
            <w:hideMark/>
          </w:tcPr>
          <w:p w14:paraId="32EB1683" w14:textId="57DEE56E"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139</w:t>
            </w:r>
          </w:p>
        </w:tc>
        <w:tc>
          <w:tcPr>
            <w:tcW w:w="1818" w:type="dxa"/>
            <w:shd w:val="clear" w:color="auto" w:fill="auto"/>
            <w:vAlign w:val="center"/>
            <w:hideMark/>
          </w:tcPr>
          <w:p w14:paraId="7FCB6A11" w14:textId="706A33BD"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50,770</w:t>
            </w:r>
          </w:p>
        </w:tc>
      </w:tr>
      <w:tr w:rsidR="00AB10C9" w:rsidRPr="00A030E3" w14:paraId="40D8DEDA" w14:textId="77777777" w:rsidTr="00685B35">
        <w:trPr>
          <w:trHeight w:val="300"/>
          <w:tblHeader/>
        </w:trPr>
        <w:tc>
          <w:tcPr>
            <w:tcW w:w="3400" w:type="dxa"/>
            <w:shd w:val="clear" w:color="auto" w:fill="auto"/>
            <w:vAlign w:val="center"/>
            <w:hideMark/>
          </w:tcPr>
          <w:p w14:paraId="55EC4EBB" w14:textId="77777777"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Mercy Health</w:t>
            </w:r>
          </w:p>
        </w:tc>
        <w:tc>
          <w:tcPr>
            <w:tcW w:w="1817" w:type="dxa"/>
            <w:shd w:val="clear" w:color="auto" w:fill="auto"/>
            <w:vAlign w:val="center"/>
            <w:hideMark/>
          </w:tcPr>
          <w:p w14:paraId="6595310D" w14:textId="3A314F6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60</w:t>
            </w:r>
          </w:p>
        </w:tc>
        <w:tc>
          <w:tcPr>
            <w:tcW w:w="1818" w:type="dxa"/>
            <w:shd w:val="clear" w:color="auto" w:fill="auto"/>
            <w:vAlign w:val="center"/>
            <w:hideMark/>
          </w:tcPr>
          <w:p w14:paraId="2787A6C0" w14:textId="3CC392AD"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21,915</w:t>
            </w:r>
          </w:p>
        </w:tc>
        <w:tc>
          <w:tcPr>
            <w:tcW w:w="1818" w:type="dxa"/>
            <w:shd w:val="clear" w:color="auto" w:fill="auto"/>
            <w:vAlign w:val="center"/>
            <w:hideMark/>
          </w:tcPr>
          <w:p w14:paraId="1A14E43A"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30</w:t>
            </w:r>
          </w:p>
        </w:tc>
        <w:tc>
          <w:tcPr>
            <w:tcW w:w="1818" w:type="dxa"/>
            <w:shd w:val="clear" w:color="auto" w:fill="auto"/>
            <w:vAlign w:val="center"/>
            <w:hideMark/>
          </w:tcPr>
          <w:p w14:paraId="2E843BB2"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10,958</w:t>
            </w:r>
          </w:p>
        </w:tc>
        <w:tc>
          <w:tcPr>
            <w:tcW w:w="1818" w:type="dxa"/>
            <w:shd w:val="clear" w:color="auto" w:fill="auto"/>
            <w:vAlign w:val="center"/>
            <w:hideMark/>
          </w:tcPr>
          <w:p w14:paraId="21F2DF1A" w14:textId="0768DB5F"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90</w:t>
            </w:r>
          </w:p>
        </w:tc>
        <w:tc>
          <w:tcPr>
            <w:tcW w:w="1818" w:type="dxa"/>
            <w:shd w:val="clear" w:color="auto" w:fill="auto"/>
            <w:vAlign w:val="center"/>
            <w:hideMark/>
          </w:tcPr>
          <w:p w14:paraId="7D65AE33" w14:textId="61E337F3"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32,873</w:t>
            </w:r>
          </w:p>
        </w:tc>
      </w:tr>
      <w:tr w:rsidR="00AB10C9" w:rsidRPr="00A030E3" w14:paraId="32C9A0F9" w14:textId="77777777" w:rsidTr="00685B35">
        <w:trPr>
          <w:trHeight w:val="300"/>
          <w:tblHeader/>
        </w:trPr>
        <w:tc>
          <w:tcPr>
            <w:tcW w:w="3400" w:type="dxa"/>
            <w:shd w:val="clear" w:color="auto" w:fill="auto"/>
            <w:vAlign w:val="center"/>
            <w:hideMark/>
          </w:tcPr>
          <w:p w14:paraId="5AEA22A4" w14:textId="77777777"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Monash Health</w:t>
            </w:r>
          </w:p>
        </w:tc>
        <w:tc>
          <w:tcPr>
            <w:tcW w:w="1817" w:type="dxa"/>
            <w:shd w:val="clear" w:color="auto" w:fill="auto"/>
            <w:vAlign w:val="center"/>
            <w:hideMark/>
          </w:tcPr>
          <w:p w14:paraId="633FD86D"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182</w:t>
            </w:r>
          </w:p>
        </w:tc>
        <w:tc>
          <w:tcPr>
            <w:tcW w:w="1818" w:type="dxa"/>
            <w:shd w:val="clear" w:color="auto" w:fill="auto"/>
            <w:vAlign w:val="center"/>
            <w:hideMark/>
          </w:tcPr>
          <w:p w14:paraId="235EA830"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66,476</w:t>
            </w:r>
          </w:p>
        </w:tc>
        <w:tc>
          <w:tcPr>
            <w:tcW w:w="1818" w:type="dxa"/>
            <w:shd w:val="clear" w:color="auto" w:fill="auto"/>
            <w:vAlign w:val="center"/>
            <w:hideMark/>
          </w:tcPr>
          <w:p w14:paraId="01670412"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244</w:t>
            </w:r>
          </w:p>
        </w:tc>
        <w:tc>
          <w:tcPr>
            <w:tcW w:w="1818" w:type="dxa"/>
            <w:shd w:val="clear" w:color="auto" w:fill="auto"/>
            <w:vAlign w:val="center"/>
            <w:hideMark/>
          </w:tcPr>
          <w:p w14:paraId="6813D6B7"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89,121</w:t>
            </w:r>
          </w:p>
        </w:tc>
        <w:tc>
          <w:tcPr>
            <w:tcW w:w="1818" w:type="dxa"/>
            <w:shd w:val="clear" w:color="auto" w:fill="auto"/>
            <w:vAlign w:val="center"/>
            <w:hideMark/>
          </w:tcPr>
          <w:p w14:paraId="5C2122D1"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426</w:t>
            </w:r>
          </w:p>
        </w:tc>
        <w:tc>
          <w:tcPr>
            <w:tcW w:w="1818" w:type="dxa"/>
            <w:shd w:val="clear" w:color="auto" w:fill="auto"/>
            <w:vAlign w:val="center"/>
            <w:hideMark/>
          </w:tcPr>
          <w:p w14:paraId="7E418649"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155,597</w:t>
            </w:r>
          </w:p>
        </w:tc>
      </w:tr>
      <w:tr w:rsidR="00AB10C9" w:rsidRPr="00A030E3" w14:paraId="380749A1" w14:textId="77777777" w:rsidTr="00685B35">
        <w:trPr>
          <w:trHeight w:val="300"/>
          <w:tblHeader/>
        </w:trPr>
        <w:tc>
          <w:tcPr>
            <w:tcW w:w="3400" w:type="dxa"/>
            <w:shd w:val="clear" w:color="auto" w:fill="auto"/>
            <w:vAlign w:val="center"/>
            <w:hideMark/>
          </w:tcPr>
          <w:p w14:paraId="7C312D12" w14:textId="77777777"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Northern Health</w:t>
            </w:r>
          </w:p>
        </w:tc>
        <w:tc>
          <w:tcPr>
            <w:tcW w:w="1817" w:type="dxa"/>
            <w:shd w:val="clear" w:color="auto" w:fill="auto"/>
            <w:vAlign w:val="center"/>
            <w:hideMark/>
          </w:tcPr>
          <w:p w14:paraId="059B09B9" w14:textId="0231F8EE"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133</w:t>
            </w:r>
          </w:p>
        </w:tc>
        <w:tc>
          <w:tcPr>
            <w:tcW w:w="1818" w:type="dxa"/>
            <w:shd w:val="clear" w:color="auto" w:fill="auto"/>
            <w:vAlign w:val="center"/>
            <w:hideMark/>
          </w:tcPr>
          <w:p w14:paraId="27D0AD30" w14:textId="145024D4"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48,578</w:t>
            </w:r>
          </w:p>
        </w:tc>
        <w:tc>
          <w:tcPr>
            <w:tcW w:w="1818" w:type="dxa"/>
            <w:shd w:val="clear" w:color="auto" w:fill="auto"/>
            <w:vAlign w:val="center"/>
            <w:hideMark/>
          </w:tcPr>
          <w:p w14:paraId="0B90E002" w14:textId="7C3F896D"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122 </w:t>
            </w:r>
          </w:p>
        </w:tc>
        <w:tc>
          <w:tcPr>
            <w:tcW w:w="1818" w:type="dxa"/>
            <w:shd w:val="clear" w:color="auto" w:fill="auto"/>
            <w:vAlign w:val="center"/>
            <w:hideMark/>
          </w:tcPr>
          <w:p w14:paraId="4FEE70D6" w14:textId="0AD56FE1"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44,561 </w:t>
            </w:r>
          </w:p>
        </w:tc>
        <w:tc>
          <w:tcPr>
            <w:tcW w:w="1818" w:type="dxa"/>
            <w:shd w:val="clear" w:color="auto" w:fill="auto"/>
            <w:vAlign w:val="center"/>
            <w:hideMark/>
          </w:tcPr>
          <w:p w14:paraId="096B9FDB" w14:textId="1B15F86F"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255 </w:t>
            </w:r>
          </w:p>
        </w:tc>
        <w:tc>
          <w:tcPr>
            <w:tcW w:w="1818" w:type="dxa"/>
            <w:shd w:val="clear" w:color="auto" w:fill="auto"/>
            <w:vAlign w:val="center"/>
            <w:hideMark/>
          </w:tcPr>
          <w:p w14:paraId="00E04D6F" w14:textId="215E4DF2"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93,139</w:t>
            </w:r>
          </w:p>
        </w:tc>
      </w:tr>
      <w:tr w:rsidR="00AB10C9" w:rsidRPr="00A030E3" w14:paraId="0BC232EF" w14:textId="77777777" w:rsidTr="00685B35">
        <w:trPr>
          <w:trHeight w:val="300"/>
          <w:tblHeader/>
        </w:trPr>
        <w:tc>
          <w:tcPr>
            <w:tcW w:w="3400" w:type="dxa"/>
            <w:shd w:val="clear" w:color="auto" w:fill="auto"/>
            <w:vAlign w:val="center"/>
            <w:hideMark/>
          </w:tcPr>
          <w:p w14:paraId="0AA08913" w14:textId="77777777"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Peninsula Health</w:t>
            </w:r>
          </w:p>
        </w:tc>
        <w:tc>
          <w:tcPr>
            <w:tcW w:w="1817" w:type="dxa"/>
            <w:shd w:val="clear" w:color="auto" w:fill="auto"/>
            <w:vAlign w:val="center"/>
            <w:hideMark/>
          </w:tcPr>
          <w:p w14:paraId="4BB745D7"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50</w:t>
            </w:r>
          </w:p>
        </w:tc>
        <w:tc>
          <w:tcPr>
            <w:tcW w:w="1818" w:type="dxa"/>
            <w:shd w:val="clear" w:color="auto" w:fill="auto"/>
            <w:vAlign w:val="center"/>
            <w:hideMark/>
          </w:tcPr>
          <w:p w14:paraId="50FF1BD3"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18,263</w:t>
            </w:r>
          </w:p>
        </w:tc>
        <w:tc>
          <w:tcPr>
            <w:tcW w:w="1818" w:type="dxa"/>
            <w:shd w:val="clear" w:color="auto" w:fill="auto"/>
            <w:vAlign w:val="center"/>
            <w:hideMark/>
          </w:tcPr>
          <w:p w14:paraId="65DB5BDF"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70</w:t>
            </w:r>
          </w:p>
        </w:tc>
        <w:tc>
          <w:tcPr>
            <w:tcW w:w="1818" w:type="dxa"/>
            <w:shd w:val="clear" w:color="auto" w:fill="auto"/>
            <w:vAlign w:val="center"/>
            <w:hideMark/>
          </w:tcPr>
          <w:p w14:paraId="2B605B45"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25,568</w:t>
            </w:r>
          </w:p>
        </w:tc>
        <w:tc>
          <w:tcPr>
            <w:tcW w:w="1818" w:type="dxa"/>
            <w:shd w:val="clear" w:color="auto" w:fill="auto"/>
            <w:vAlign w:val="center"/>
            <w:hideMark/>
          </w:tcPr>
          <w:p w14:paraId="2A9A3711"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120</w:t>
            </w:r>
          </w:p>
        </w:tc>
        <w:tc>
          <w:tcPr>
            <w:tcW w:w="1818" w:type="dxa"/>
            <w:shd w:val="clear" w:color="auto" w:fill="auto"/>
            <w:vAlign w:val="center"/>
            <w:hideMark/>
          </w:tcPr>
          <w:p w14:paraId="793F4836" w14:textId="0C18DF61"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43,83</w:t>
            </w:r>
            <w:r>
              <w:rPr>
                <w:rFonts w:cs="Arial"/>
                <w:color w:val="000000" w:themeColor="text1"/>
                <w:sz w:val="16"/>
                <w:szCs w:val="16"/>
                <w:lang w:eastAsia="en-AU"/>
              </w:rPr>
              <w:t>0</w:t>
            </w:r>
          </w:p>
        </w:tc>
      </w:tr>
      <w:tr w:rsidR="00AB10C9" w:rsidRPr="00A030E3" w14:paraId="43BB1EEF" w14:textId="77777777" w:rsidTr="00685B35">
        <w:trPr>
          <w:trHeight w:val="300"/>
          <w:tblHeader/>
        </w:trPr>
        <w:tc>
          <w:tcPr>
            <w:tcW w:w="3400" w:type="dxa"/>
            <w:shd w:val="clear" w:color="auto" w:fill="auto"/>
            <w:vAlign w:val="center"/>
            <w:hideMark/>
          </w:tcPr>
          <w:p w14:paraId="3428C348" w14:textId="77777777"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St Vincent’s Hospital</w:t>
            </w:r>
          </w:p>
        </w:tc>
        <w:tc>
          <w:tcPr>
            <w:tcW w:w="1817" w:type="dxa"/>
            <w:shd w:val="clear" w:color="auto" w:fill="auto"/>
            <w:vAlign w:val="center"/>
            <w:hideMark/>
          </w:tcPr>
          <w:p w14:paraId="1AD86D70"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64</w:t>
            </w:r>
          </w:p>
        </w:tc>
        <w:tc>
          <w:tcPr>
            <w:tcW w:w="1818" w:type="dxa"/>
            <w:shd w:val="clear" w:color="auto" w:fill="auto"/>
            <w:vAlign w:val="center"/>
            <w:hideMark/>
          </w:tcPr>
          <w:p w14:paraId="7BEB11B7"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23,376</w:t>
            </w:r>
          </w:p>
        </w:tc>
        <w:tc>
          <w:tcPr>
            <w:tcW w:w="1818" w:type="dxa"/>
            <w:shd w:val="clear" w:color="auto" w:fill="auto"/>
            <w:vAlign w:val="center"/>
            <w:hideMark/>
          </w:tcPr>
          <w:p w14:paraId="041383E2"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90</w:t>
            </w:r>
          </w:p>
        </w:tc>
        <w:tc>
          <w:tcPr>
            <w:tcW w:w="1818" w:type="dxa"/>
            <w:shd w:val="clear" w:color="auto" w:fill="auto"/>
            <w:vAlign w:val="center"/>
            <w:hideMark/>
          </w:tcPr>
          <w:p w14:paraId="7BB725E0"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32,873</w:t>
            </w:r>
          </w:p>
        </w:tc>
        <w:tc>
          <w:tcPr>
            <w:tcW w:w="1818" w:type="dxa"/>
            <w:shd w:val="clear" w:color="auto" w:fill="auto"/>
            <w:vAlign w:val="center"/>
            <w:hideMark/>
          </w:tcPr>
          <w:p w14:paraId="3C350C18"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154</w:t>
            </w:r>
          </w:p>
        </w:tc>
        <w:tc>
          <w:tcPr>
            <w:tcW w:w="1818" w:type="dxa"/>
            <w:shd w:val="clear" w:color="auto" w:fill="auto"/>
            <w:vAlign w:val="center"/>
            <w:hideMark/>
          </w:tcPr>
          <w:p w14:paraId="5A1DC929"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56,249</w:t>
            </w:r>
          </w:p>
        </w:tc>
      </w:tr>
      <w:tr w:rsidR="00AB10C9" w:rsidRPr="00A030E3" w14:paraId="6DE49645" w14:textId="77777777" w:rsidTr="00685B35">
        <w:trPr>
          <w:trHeight w:val="300"/>
          <w:tblHeader/>
        </w:trPr>
        <w:tc>
          <w:tcPr>
            <w:tcW w:w="3400" w:type="dxa"/>
            <w:shd w:val="clear" w:color="auto" w:fill="auto"/>
            <w:vAlign w:val="center"/>
            <w:hideMark/>
          </w:tcPr>
          <w:p w14:paraId="7C9E8605" w14:textId="77777777"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The Royal Children’s Hospital</w:t>
            </w:r>
          </w:p>
        </w:tc>
        <w:tc>
          <w:tcPr>
            <w:tcW w:w="1817" w:type="dxa"/>
            <w:shd w:val="clear" w:color="auto" w:fill="auto"/>
            <w:vAlign w:val="center"/>
            <w:hideMark/>
          </w:tcPr>
          <w:p w14:paraId="68886DCB"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17</w:t>
            </w:r>
          </w:p>
        </w:tc>
        <w:tc>
          <w:tcPr>
            <w:tcW w:w="1818" w:type="dxa"/>
            <w:shd w:val="clear" w:color="auto" w:fill="auto"/>
            <w:vAlign w:val="center"/>
            <w:hideMark/>
          </w:tcPr>
          <w:p w14:paraId="54E8E7E0"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6,209</w:t>
            </w:r>
          </w:p>
        </w:tc>
        <w:tc>
          <w:tcPr>
            <w:tcW w:w="1818" w:type="dxa"/>
            <w:shd w:val="clear" w:color="auto" w:fill="auto"/>
            <w:vAlign w:val="center"/>
            <w:hideMark/>
          </w:tcPr>
          <w:p w14:paraId="06146222"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vAlign w:val="center"/>
            <w:hideMark/>
          </w:tcPr>
          <w:p w14:paraId="57055917"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vAlign w:val="center"/>
            <w:hideMark/>
          </w:tcPr>
          <w:p w14:paraId="03379DAD"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17</w:t>
            </w:r>
          </w:p>
        </w:tc>
        <w:tc>
          <w:tcPr>
            <w:tcW w:w="1818" w:type="dxa"/>
            <w:shd w:val="clear" w:color="auto" w:fill="auto"/>
            <w:vAlign w:val="center"/>
            <w:hideMark/>
          </w:tcPr>
          <w:p w14:paraId="07A8B2EB"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6,209</w:t>
            </w:r>
          </w:p>
        </w:tc>
      </w:tr>
      <w:tr w:rsidR="00AB10C9" w:rsidRPr="00A030E3" w14:paraId="188BEBFE" w14:textId="77777777" w:rsidTr="00685B35">
        <w:trPr>
          <w:trHeight w:val="300"/>
          <w:tblHeader/>
        </w:trPr>
        <w:tc>
          <w:tcPr>
            <w:tcW w:w="3400" w:type="dxa"/>
            <w:shd w:val="clear" w:color="auto" w:fill="auto"/>
            <w:vAlign w:val="center"/>
            <w:hideMark/>
          </w:tcPr>
          <w:p w14:paraId="7565CF0A" w14:textId="77777777"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Victorian Institute of Forensic Mental Health</w:t>
            </w:r>
          </w:p>
        </w:tc>
        <w:tc>
          <w:tcPr>
            <w:tcW w:w="1817" w:type="dxa"/>
            <w:shd w:val="clear" w:color="auto" w:fill="auto"/>
            <w:vAlign w:val="center"/>
            <w:hideMark/>
          </w:tcPr>
          <w:p w14:paraId="5DC4989C"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54</w:t>
            </w:r>
          </w:p>
        </w:tc>
        <w:tc>
          <w:tcPr>
            <w:tcW w:w="1818" w:type="dxa"/>
            <w:shd w:val="clear" w:color="auto" w:fill="auto"/>
            <w:vAlign w:val="center"/>
            <w:hideMark/>
          </w:tcPr>
          <w:p w14:paraId="5A1F7AC0"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vAlign w:val="center"/>
            <w:hideMark/>
          </w:tcPr>
          <w:p w14:paraId="04B50F0A"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82</w:t>
            </w:r>
          </w:p>
        </w:tc>
        <w:tc>
          <w:tcPr>
            <w:tcW w:w="1818" w:type="dxa"/>
            <w:shd w:val="clear" w:color="auto" w:fill="auto"/>
            <w:vAlign w:val="center"/>
            <w:hideMark/>
          </w:tcPr>
          <w:p w14:paraId="310EACB4"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c>
          <w:tcPr>
            <w:tcW w:w="1818" w:type="dxa"/>
            <w:shd w:val="clear" w:color="auto" w:fill="auto"/>
            <w:vAlign w:val="center"/>
            <w:hideMark/>
          </w:tcPr>
          <w:p w14:paraId="1B044677"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136</w:t>
            </w:r>
          </w:p>
        </w:tc>
        <w:tc>
          <w:tcPr>
            <w:tcW w:w="1818" w:type="dxa"/>
            <w:shd w:val="clear" w:color="auto" w:fill="auto"/>
            <w:vAlign w:val="center"/>
            <w:hideMark/>
          </w:tcPr>
          <w:p w14:paraId="0E100B3D" w14:textId="77777777"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 </w:t>
            </w:r>
          </w:p>
        </w:tc>
      </w:tr>
      <w:tr w:rsidR="00AB10C9" w:rsidRPr="00A030E3" w14:paraId="03B44533" w14:textId="77777777" w:rsidTr="00685B35">
        <w:trPr>
          <w:trHeight w:val="300"/>
          <w:tblHeader/>
        </w:trPr>
        <w:tc>
          <w:tcPr>
            <w:tcW w:w="3400" w:type="dxa"/>
            <w:shd w:val="clear" w:color="auto" w:fill="auto"/>
            <w:vAlign w:val="center"/>
          </w:tcPr>
          <w:p w14:paraId="28EA93A9" w14:textId="14DA4AD0"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Western Health</w:t>
            </w:r>
          </w:p>
        </w:tc>
        <w:tc>
          <w:tcPr>
            <w:tcW w:w="1817" w:type="dxa"/>
            <w:shd w:val="clear" w:color="auto" w:fill="auto"/>
            <w:vAlign w:val="center"/>
          </w:tcPr>
          <w:p w14:paraId="4A2F95BB" w14:textId="3DEAAE2B"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109</w:t>
            </w:r>
          </w:p>
        </w:tc>
        <w:tc>
          <w:tcPr>
            <w:tcW w:w="1818" w:type="dxa"/>
            <w:shd w:val="clear" w:color="auto" w:fill="auto"/>
            <w:vAlign w:val="center"/>
          </w:tcPr>
          <w:p w14:paraId="1E9010E2" w14:textId="516EEC6C"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39,812</w:t>
            </w:r>
          </w:p>
        </w:tc>
        <w:tc>
          <w:tcPr>
            <w:tcW w:w="1818" w:type="dxa"/>
            <w:shd w:val="clear" w:color="auto" w:fill="auto"/>
            <w:vAlign w:val="center"/>
          </w:tcPr>
          <w:p w14:paraId="17E481CD" w14:textId="143F18A3"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68</w:t>
            </w:r>
          </w:p>
        </w:tc>
        <w:tc>
          <w:tcPr>
            <w:tcW w:w="1818" w:type="dxa"/>
            <w:shd w:val="clear" w:color="auto" w:fill="auto"/>
            <w:vAlign w:val="center"/>
          </w:tcPr>
          <w:p w14:paraId="345444D4" w14:textId="1290527F"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24,837</w:t>
            </w:r>
          </w:p>
        </w:tc>
        <w:tc>
          <w:tcPr>
            <w:tcW w:w="1818" w:type="dxa"/>
            <w:shd w:val="clear" w:color="auto" w:fill="auto"/>
            <w:vAlign w:val="center"/>
          </w:tcPr>
          <w:p w14:paraId="1FE14B10" w14:textId="669C6D84"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177</w:t>
            </w:r>
          </w:p>
        </w:tc>
        <w:tc>
          <w:tcPr>
            <w:tcW w:w="1818" w:type="dxa"/>
            <w:shd w:val="clear" w:color="auto" w:fill="auto"/>
            <w:vAlign w:val="center"/>
          </w:tcPr>
          <w:p w14:paraId="21097AAF" w14:textId="3AF88C75" w:rsidR="00AB10C9" w:rsidRPr="00685B35" w:rsidRDefault="00AB10C9" w:rsidP="00AB10C9">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64,649</w:t>
            </w:r>
          </w:p>
        </w:tc>
      </w:tr>
    </w:tbl>
    <w:p w14:paraId="6BD37F3D" w14:textId="3A2D14A9" w:rsidR="001A192A" w:rsidRDefault="002162F2" w:rsidP="00685B35">
      <w:pPr>
        <w:pStyle w:val="Bodyaftertablefigure"/>
        <w:keepNext/>
        <w:spacing w:line="240" w:lineRule="auto"/>
      </w:pPr>
      <w:r>
        <w:t>Subregional and local</w:t>
      </w:r>
    </w:p>
    <w:tbl>
      <w:tblPr>
        <w:tblStyle w:val="TableGrid1"/>
        <w:tblW w:w="14307" w:type="dxa"/>
        <w:tblLook w:val="04A0" w:firstRow="1" w:lastRow="0" w:firstColumn="1" w:lastColumn="0" w:noHBand="0" w:noVBand="1"/>
      </w:tblPr>
      <w:tblGrid>
        <w:gridCol w:w="3400"/>
        <w:gridCol w:w="1817"/>
        <w:gridCol w:w="1818"/>
        <w:gridCol w:w="1818"/>
        <w:gridCol w:w="1818"/>
        <w:gridCol w:w="1818"/>
        <w:gridCol w:w="1818"/>
      </w:tblGrid>
      <w:tr w:rsidR="003262DA" w:rsidRPr="00A030E3" w14:paraId="487D581B" w14:textId="77777777" w:rsidTr="003262DA">
        <w:trPr>
          <w:cnfStyle w:val="100000000000" w:firstRow="1" w:lastRow="0" w:firstColumn="0" w:lastColumn="0" w:oddVBand="0" w:evenVBand="0" w:oddHBand="0" w:evenHBand="0" w:firstRowFirstColumn="0" w:firstRowLastColumn="0" w:lastRowFirstColumn="0" w:lastRowLastColumn="0"/>
          <w:trHeight w:val="857"/>
        </w:trPr>
        <w:tc>
          <w:tcPr>
            <w:tcW w:w="3400" w:type="dxa"/>
            <w:shd w:val="clear" w:color="auto" w:fill="auto"/>
            <w:hideMark/>
          </w:tcPr>
          <w:p w14:paraId="7050104F" w14:textId="45FB1AD8" w:rsidR="00D8098E" w:rsidRPr="00685B35" w:rsidRDefault="00D8098E" w:rsidP="00685B35">
            <w:pPr>
              <w:pStyle w:val="Tablecolheadlandscape"/>
              <w:keepNext/>
              <w:rPr>
                <w:b w:val="0"/>
              </w:rPr>
            </w:pPr>
            <w:r w:rsidRPr="00685B35">
              <w:rPr>
                <w:rFonts w:cs="Times New Roman"/>
              </w:rPr>
              <w:t>Health service</w:t>
            </w:r>
          </w:p>
        </w:tc>
        <w:tc>
          <w:tcPr>
            <w:tcW w:w="1817" w:type="dxa"/>
            <w:shd w:val="clear" w:color="auto" w:fill="auto"/>
            <w:hideMark/>
          </w:tcPr>
          <w:p w14:paraId="4A8E8A6E" w14:textId="77777777" w:rsidR="00D8098E" w:rsidRPr="00685B35" w:rsidRDefault="00D8098E" w:rsidP="00685B35">
            <w:pPr>
              <w:pStyle w:val="Tablecolheadlandscape"/>
              <w:keepNext/>
              <w:jc w:val="right"/>
              <w:rPr>
                <w:b w:val="0"/>
              </w:rPr>
            </w:pPr>
            <w:r w:rsidRPr="00685B35">
              <w:rPr>
                <w:rFonts w:cs="Times New Roman"/>
              </w:rPr>
              <w:t xml:space="preserve">Mental health funded acute bed </w:t>
            </w:r>
          </w:p>
        </w:tc>
        <w:tc>
          <w:tcPr>
            <w:tcW w:w="1818" w:type="dxa"/>
            <w:shd w:val="clear" w:color="auto" w:fill="auto"/>
            <w:hideMark/>
          </w:tcPr>
          <w:p w14:paraId="59617A59" w14:textId="77777777" w:rsidR="00D8098E" w:rsidRPr="00685B35" w:rsidRDefault="00D8098E" w:rsidP="00685B35">
            <w:pPr>
              <w:pStyle w:val="Tablecolheadlandscape"/>
              <w:keepNext/>
              <w:jc w:val="right"/>
              <w:rPr>
                <w:b w:val="0"/>
              </w:rPr>
            </w:pPr>
            <w:r w:rsidRPr="00685B35">
              <w:rPr>
                <w:rFonts w:cs="Times New Roman"/>
              </w:rPr>
              <w:t>Mental health funded acute bed days</w:t>
            </w:r>
          </w:p>
        </w:tc>
        <w:tc>
          <w:tcPr>
            <w:tcW w:w="1818" w:type="dxa"/>
            <w:shd w:val="clear" w:color="auto" w:fill="auto"/>
            <w:hideMark/>
          </w:tcPr>
          <w:p w14:paraId="0B9F80C0" w14:textId="77777777" w:rsidR="00D8098E" w:rsidRPr="00685B35" w:rsidRDefault="00D8098E" w:rsidP="00685B35">
            <w:pPr>
              <w:pStyle w:val="Tablecolheadlandscape"/>
              <w:keepNext/>
              <w:jc w:val="right"/>
              <w:rPr>
                <w:b w:val="0"/>
              </w:rPr>
            </w:pPr>
            <w:r w:rsidRPr="00685B35">
              <w:rPr>
                <w:rFonts w:cs="Times New Roman"/>
              </w:rPr>
              <w:t>Mental health funded non-acute, subacute, and residential bed</w:t>
            </w:r>
          </w:p>
        </w:tc>
        <w:tc>
          <w:tcPr>
            <w:tcW w:w="1818" w:type="dxa"/>
            <w:shd w:val="clear" w:color="auto" w:fill="auto"/>
            <w:hideMark/>
          </w:tcPr>
          <w:p w14:paraId="011B061E" w14:textId="77777777" w:rsidR="00D8098E" w:rsidRPr="00685B35" w:rsidRDefault="00D8098E" w:rsidP="00685B35">
            <w:pPr>
              <w:pStyle w:val="Tablecolheadlandscape"/>
              <w:keepNext/>
              <w:jc w:val="right"/>
              <w:rPr>
                <w:b w:val="0"/>
              </w:rPr>
            </w:pPr>
            <w:r w:rsidRPr="00685B35">
              <w:rPr>
                <w:rFonts w:cs="Times New Roman"/>
              </w:rPr>
              <w:t xml:space="preserve">Mental health funded non-acute, subacute, and residential bed days </w:t>
            </w:r>
          </w:p>
        </w:tc>
        <w:tc>
          <w:tcPr>
            <w:tcW w:w="1818" w:type="dxa"/>
            <w:shd w:val="clear" w:color="auto" w:fill="auto"/>
            <w:hideMark/>
          </w:tcPr>
          <w:p w14:paraId="04C66181" w14:textId="77777777" w:rsidR="00D8098E" w:rsidRPr="00685B35" w:rsidRDefault="00D8098E" w:rsidP="00685B35">
            <w:pPr>
              <w:pStyle w:val="Tablecolheadlandscape"/>
              <w:keepNext/>
              <w:jc w:val="right"/>
              <w:rPr>
                <w:b w:val="0"/>
              </w:rPr>
            </w:pPr>
            <w:r w:rsidRPr="00685B35">
              <w:rPr>
                <w:rFonts w:cs="Times New Roman"/>
              </w:rPr>
              <w:t xml:space="preserve">Mental health beds </w:t>
            </w:r>
          </w:p>
        </w:tc>
        <w:tc>
          <w:tcPr>
            <w:tcW w:w="1818" w:type="dxa"/>
            <w:shd w:val="clear" w:color="auto" w:fill="auto"/>
            <w:hideMark/>
          </w:tcPr>
          <w:p w14:paraId="4997329C" w14:textId="77777777" w:rsidR="00D8098E" w:rsidRPr="00685B35" w:rsidRDefault="00D8098E" w:rsidP="00685B35">
            <w:pPr>
              <w:pStyle w:val="Tablecolheadlandscape"/>
              <w:keepNext/>
              <w:jc w:val="right"/>
              <w:rPr>
                <w:b w:val="0"/>
              </w:rPr>
            </w:pPr>
            <w:r w:rsidRPr="00685B35">
              <w:rPr>
                <w:rFonts w:cs="Times New Roman"/>
              </w:rPr>
              <w:t xml:space="preserve">Mental health bed days </w:t>
            </w:r>
          </w:p>
        </w:tc>
      </w:tr>
      <w:tr w:rsidR="003262DA" w:rsidRPr="00A030E3" w14:paraId="2C6A54B6" w14:textId="77777777" w:rsidTr="003262DA">
        <w:trPr>
          <w:trHeight w:val="300"/>
        </w:trPr>
        <w:tc>
          <w:tcPr>
            <w:tcW w:w="3400" w:type="dxa"/>
            <w:shd w:val="clear" w:color="auto" w:fill="auto"/>
            <w:hideMark/>
          </w:tcPr>
          <w:p w14:paraId="0BA9DEB3" w14:textId="77777777" w:rsidR="00D8098E" w:rsidRPr="00685B35" w:rsidRDefault="00D8098E" w:rsidP="00685B35">
            <w:pPr>
              <w:keepNext/>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Mildura Base Hospital</w:t>
            </w:r>
          </w:p>
        </w:tc>
        <w:tc>
          <w:tcPr>
            <w:tcW w:w="1817" w:type="dxa"/>
            <w:shd w:val="clear" w:color="auto" w:fill="auto"/>
            <w:hideMark/>
          </w:tcPr>
          <w:p w14:paraId="0ED1392B" w14:textId="77777777" w:rsidR="00D8098E" w:rsidRPr="00685B35" w:rsidRDefault="00D8098E" w:rsidP="00685B35">
            <w:pPr>
              <w:keepNext/>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14</w:t>
            </w:r>
          </w:p>
        </w:tc>
        <w:tc>
          <w:tcPr>
            <w:tcW w:w="1818" w:type="dxa"/>
            <w:shd w:val="clear" w:color="auto" w:fill="auto"/>
            <w:hideMark/>
          </w:tcPr>
          <w:p w14:paraId="0B8AECAF" w14:textId="77777777" w:rsidR="00D8098E" w:rsidRPr="00685B35" w:rsidRDefault="00D8098E" w:rsidP="00685B35">
            <w:pPr>
              <w:keepNext/>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5,114</w:t>
            </w:r>
          </w:p>
        </w:tc>
        <w:tc>
          <w:tcPr>
            <w:tcW w:w="1818" w:type="dxa"/>
            <w:shd w:val="clear" w:color="auto" w:fill="auto"/>
            <w:hideMark/>
          </w:tcPr>
          <w:p w14:paraId="6BA6A2AE" w14:textId="77777777" w:rsidR="00D8098E" w:rsidRPr="00685B35" w:rsidRDefault="00D8098E" w:rsidP="00685B35">
            <w:pPr>
              <w:keepNext/>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10</w:t>
            </w:r>
          </w:p>
        </w:tc>
        <w:tc>
          <w:tcPr>
            <w:tcW w:w="1818" w:type="dxa"/>
            <w:shd w:val="clear" w:color="auto" w:fill="auto"/>
            <w:hideMark/>
          </w:tcPr>
          <w:p w14:paraId="72BBD462" w14:textId="77777777" w:rsidR="00D8098E" w:rsidRPr="00685B35" w:rsidRDefault="00D8098E" w:rsidP="00685B35">
            <w:pPr>
              <w:keepNext/>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3,653</w:t>
            </w:r>
          </w:p>
        </w:tc>
        <w:tc>
          <w:tcPr>
            <w:tcW w:w="1818" w:type="dxa"/>
            <w:shd w:val="clear" w:color="auto" w:fill="auto"/>
            <w:hideMark/>
          </w:tcPr>
          <w:p w14:paraId="2ACFB873" w14:textId="77777777" w:rsidR="00D8098E" w:rsidRPr="00685B35" w:rsidRDefault="00D8098E" w:rsidP="00685B35">
            <w:pPr>
              <w:keepNext/>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24</w:t>
            </w:r>
          </w:p>
        </w:tc>
        <w:tc>
          <w:tcPr>
            <w:tcW w:w="1818" w:type="dxa"/>
            <w:shd w:val="clear" w:color="auto" w:fill="auto"/>
            <w:hideMark/>
          </w:tcPr>
          <w:p w14:paraId="7DE3EF90" w14:textId="3CA63B13" w:rsidR="00D8098E" w:rsidRPr="00685B35" w:rsidRDefault="00D8098E" w:rsidP="00685B35">
            <w:pPr>
              <w:keepNext/>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8,76</w:t>
            </w:r>
            <w:r w:rsidR="00610283">
              <w:rPr>
                <w:rFonts w:cs="Arial"/>
                <w:color w:val="000000" w:themeColor="text1"/>
                <w:sz w:val="16"/>
                <w:szCs w:val="16"/>
                <w:lang w:eastAsia="en-AU"/>
              </w:rPr>
              <w:t>6</w:t>
            </w:r>
          </w:p>
        </w:tc>
      </w:tr>
      <w:tr w:rsidR="003262DA" w:rsidRPr="00A030E3" w14:paraId="40BCC68E" w14:textId="77777777" w:rsidTr="003262DA">
        <w:trPr>
          <w:trHeight w:val="300"/>
        </w:trPr>
        <w:tc>
          <w:tcPr>
            <w:tcW w:w="3400" w:type="dxa"/>
            <w:shd w:val="clear" w:color="auto" w:fill="auto"/>
            <w:hideMark/>
          </w:tcPr>
          <w:p w14:paraId="06408517" w14:textId="77777777" w:rsidR="00D8098E" w:rsidRPr="00685B35" w:rsidRDefault="00D8098E" w:rsidP="00685B35">
            <w:pPr>
              <w:keepNext/>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South West Health</w:t>
            </w:r>
          </w:p>
        </w:tc>
        <w:tc>
          <w:tcPr>
            <w:tcW w:w="1817" w:type="dxa"/>
            <w:shd w:val="clear" w:color="auto" w:fill="auto"/>
            <w:hideMark/>
          </w:tcPr>
          <w:p w14:paraId="743E74F5" w14:textId="77777777" w:rsidR="00D8098E" w:rsidRPr="00685B35" w:rsidRDefault="00D8098E" w:rsidP="00685B35">
            <w:pPr>
              <w:keepNext/>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20</w:t>
            </w:r>
          </w:p>
        </w:tc>
        <w:tc>
          <w:tcPr>
            <w:tcW w:w="1818" w:type="dxa"/>
            <w:shd w:val="clear" w:color="auto" w:fill="auto"/>
            <w:hideMark/>
          </w:tcPr>
          <w:p w14:paraId="1B19BE49" w14:textId="77777777" w:rsidR="00D8098E" w:rsidRPr="00685B35" w:rsidRDefault="00D8098E" w:rsidP="00685B35">
            <w:pPr>
              <w:keepNext/>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7,305</w:t>
            </w:r>
          </w:p>
        </w:tc>
        <w:tc>
          <w:tcPr>
            <w:tcW w:w="1818" w:type="dxa"/>
            <w:shd w:val="clear" w:color="auto" w:fill="auto"/>
            <w:hideMark/>
          </w:tcPr>
          <w:p w14:paraId="45A5C3EC" w14:textId="77777777" w:rsidR="00D8098E" w:rsidRPr="00685B35" w:rsidRDefault="00D8098E" w:rsidP="00685B35">
            <w:pPr>
              <w:keepNext/>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28</w:t>
            </w:r>
          </w:p>
        </w:tc>
        <w:tc>
          <w:tcPr>
            <w:tcW w:w="1818" w:type="dxa"/>
            <w:shd w:val="clear" w:color="auto" w:fill="auto"/>
            <w:hideMark/>
          </w:tcPr>
          <w:p w14:paraId="035A0091" w14:textId="77777777" w:rsidR="00D8098E" w:rsidRPr="00685B35" w:rsidRDefault="00D8098E" w:rsidP="00685B35">
            <w:pPr>
              <w:keepNext/>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10,227</w:t>
            </w:r>
          </w:p>
        </w:tc>
        <w:tc>
          <w:tcPr>
            <w:tcW w:w="1818" w:type="dxa"/>
            <w:shd w:val="clear" w:color="auto" w:fill="auto"/>
            <w:hideMark/>
          </w:tcPr>
          <w:p w14:paraId="2ED46742" w14:textId="77777777" w:rsidR="00D8098E" w:rsidRPr="00685B35" w:rsidRDefault="00D8098E" w:rsidP="00685B35">
            <w:pPr>
              <w:keepNext/>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48</w:t>
            </w:r>
          </w:p>
        </w:tc>
        <w:tc>
          <w:tcPr>
            <w:tcW w:w="1818" w:type="dxa"/>
            <w:shd w:val="clear" w:color="auto" w:fill="auto"/>
            <w:hideMark/>
          </w:tcPr>
          <w:p w14:paraId="258A2BBD" w14:textId="77777777" w:rsidR="00D8098E" w:rsidRPr="00685B35" w:rsidRDefault="00D8098E" w:rsidP="00685B35">
            <w:pPr>
              <w:keepNext/>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17,532</w:t>
            </w:r>
          </w:p>
        </w:tc>
      </w:tr>
    </w:tbl>
    <w:p w14:paraId="272DC231" w14:textId="0DC4A860" w:rsidR="002162F2" w:rsidRDefault="002162F2" w:rsidP="00785CBA">
      <w:pPr>
        <w:pStyle w:val="Bodyaftertablefigure"/>
        <w:keepNext/>
        <w:keepLines/>
        <w:spacing w:line="240" w:lineRule="auto"/>
      </w:pPr>
      <w:r w:rsidRPr="00F2096A">
        <w:t>Combined</w:t>
      </w:r>
      <w:r>
        <w:t xml:space="preserve"> total</w:t>
      </w:r>
    </w:p>
    <w:tbl>
      <w:tblPr>
        <w:tblStyle w:val="TableGrid1"/>
        <w:tblW w:w="14312" w:type="dxa"/>
        <w:tblLook w:val="04A0" w:firstRow="1" w:lastRow="0" w:firstColumn="1" w:lastColumn="0" w:noHBand="0" w:noVBand="1"/>
      </w:tblPr>
      <w:tblGrid>
        <w:gridCol w:w="3397"/>
        <w:gridCol w:w="1819"/>
        <w:gridCol w:w="1819"/>
        <w:gridCol w:w="1819"/>
        <w:gridCol w:w="1819"/>
        <w:gridCol w:w="1819"/>
        <w:gridCol w:w="1820"/>
      </w:tblGrid>
      <w:tr w:rsidR="003262DA" w:rsidRPr="00A030E3" w14:paraId="0AC77142" w14:textId="77777777" w:rsidTr="00974CBE">
        <w:trPr>
          <w:cnfStyle w:val="100000000000" w:firstRow="1" w:lastRow="0" w:firstColumn="0" w:lastColumn="0" w:oddVBand="0" w:evenVBand="0" w:oddHBand="0" w:evenHBand="0" w:firstRowFirstColumn="0" w:firstRowLastColumn="0" w:lastRowFirstColumn="0" w:lastRowLastColumn="0"/>
          <w:trHeight w:val="748"/>
          <w:tblHeader/>
        </w:trPr>
        <w:tc>
          <w:tcPr>
            <w:tcW w:w="3397" w:type="dxa"/>
            <w:shd w:val="clear" w:color="auto" w:fill="auto"/>
            <w:hideMark/>
          </w:tcPr>
          <w:p w14:paraId="7142E847" w14:textId="1EEACE13" w:rsidR="000A3FB3" w:rsidRPr="00685B35" w:rsidRDefault="003262DA" w:rsidP="00685B35">
            <w:pPr>
              <w:pStyle w:val="Tablecolheadlandscape"/>
            </w:pPr>
            <w:r>
              <w:t>Health service</w:t>
            </w:r>
          </w:p>
        </w:tc>
        <w:tc>
          <w:tcPr>
            <w:tcW w:w="1819" w:type="dxa"/>
            <w:shd w:val="clear" w:color="auto" w:fill="auto"/>
            <w:hideMark/>
          </w:tcPr>
          <w:p w14:paraId="2ED5EC26" w14:textId="77777777" w:rsidR="000A3FB3" w:rsidRPr="00685B35" w:rsidRDefault="000A3FB3" w:rsidP="00685B35">
            <w:pPr>
              <w:pStyle w:val="Tablecolheadlandscape"/>
              <w:jc w:val="right"/>
              <w:rPr>
                <w:b w:val="0"/>
              </w:rPr>
            </w:pPr>
            <w:r w:rsidRPr="00685B35">
              <w:rPr>
                <w:rFonts w:cs="Times New Roman"/>
              </w:rPr>
              <w:t xml:space="preserve">Mental health funded acute bed </w:t>
            </w:r>
          </w:p>
        </w:tc>
        <w:tc>
          <w:tcPr>
            <w:tcW w:w="1819" w:type="dxa"/>
            <w:shd w:val="clear" w:color="auto" w:fill="auto"/>
            <w:hideMark/>
          </w:tcPr>
          <w:p w14:paraId="5FD12720" w14:textId="77777777" w:rsidR="000A3FB3" w:rsidRPr="00685B35" w:rsidRDefault="000A3FB3" w:rsidP="00685B35">
            <w:pPr>
              <w:pStyle w:val="Tablecolheadlandscape"/>
              <w:jc w:val="right"/>
              <w:rPr>
                <w:b w:val="0"/>
              </w:rPr>
            </w:pPr>
            <w:r w:rsidRPr="00685B35">
              <w:rPr>
                <w:rFonts w:cs="Times New Roman"/>
              </w:rPr>
              <w:t>Mental health funded acute bed days</w:t>
            </w:r>
          </w:p>
        </w:tc>
        <w:tc>
          <w:tcPr>
            <w:tcW w:w="1819" w:type="dxa"/>
            <w:shd w:val="clear" w:color="auto" w:fill="auto"/>
            <w:hideMark/>
          </w:tcPr>
          <w:p w14:paraId="75D6CEBD" w14:textId="77777777" w:rsidR="000A3FB3" w:rsidRPr="00685B35" w:rsidRDefault="000A3FB3" w:rsidP="00685B35">
            <w:pPr>
              <w:pStyle w:val="Tablecolheadlandscape"/>
              <w:jc w:val="right"/>
              <w:rPr>
                <w:b w:val="0"/>
              </w:rPr>
            </w:pPr>
            <w:r w:rsidRPr="00685B35">
              <w:rPr>
                <w:rFonts w:cs="Times New Roman"/>
              </w:rPr>
              <w:t>Mental health funded non-acute, subacute, and residential bed</w:t>
            </w:r>
          </w:p>
        </w:tc>
        <w:tc>
          <w:tcPr>
            <w:tcW w:w="1819" w:type="dxa"/>
            <w:shd w:val="clear" w:color="auto" w:fill="auto"/>
            <w:hideMark/>
          </w:tcPr>
          <w:p w14:paraId="4CC619E0" w14:textId="77777777" w:rsidR="000A3FB3" w:rsidRPr="00685B35" w:rsidRDefault="000A3FB3" w:rsidP="00685B35">
            <w:pPr>
              <w:pStyle w:val="Tablecolheadlandscape"/>
              <w:jc w:val="right"/>
              <w:rPr>
                <w:b w:val="0"/>
              </w:rPr>
            </w:pPr>
            <w:r w:rsidRPr="00685B35">
              <w:rPr>
                <w:rFonts w:cs="Times New Roman"/>
              </w:rPr>
              <w:t xml:space="preserve">Mental health funded non-acute, subacute, and residential bed days </w:t>
            </w:r>
          </w:p>
        </w:tc>
        <w:tc>
          <w:tcPr>
            <w:tcW w:w="1819" w:type="dxa"/>
            <w:shd w:val="clear" w:color="auto" w:fill="auto"/>
            <w:hideMark/>
          </w:tcPr>
          <w:p w14:paraId="66DB91E5" w14:textId="77777777" w:rsidR="000A3FB3" w:rsidRPr="00685B35" w:rsidRDefault="000A3FB3" w:rsidP="00685B35">
            <w:pPr>
              <w:pStyle w:val="Tablecolheadlandscape"/>
              <w:jc w:val="right"/>
              <w:rPr>
                <w:b w:val="0"/>
              </w:rPr>
            </w:pPr>
            <w:r w:rsidRPr="00685B35">
              <w:rPr>
                <w:rFonts w:cs="Times New Roman"/>
              </w:rPr>
              <w:t xml:space="preserve">Mental health beds </w:t>
            </w:r>
          </w:p>
        </w:tc>
        <w:tc>
          <w:tcPr>
            <w:tcW w:w="1820" w:type="dxa"/>
            <w:shd w:val="clear" w:color="auto" w:fill="auto"/>
            <w:hideMark/>
          </w:tcPr>
          <w:p w14:paraId="1078F122" w14:textId="77777777" w:rsidR="000A3FB3" w:rsidRPr="00685B35" w:rsidRDefault="000A3FB3" w:rsidP="00685B35">
            <w:pPr>
              <w:pStyle w:val="Tablecolheadlandscape"/>
              <w:jc w:val="right"/>
              <w:rPr>
                <w:b w:val="0"/>
              </w:rPr>
            </w:pPr>
            <w:r w:rsidRPr="00685B35">
              <w:rPr>
                <w:rFonts w:cs="Times New Roman"/>
              </w:rPr>
              <w:t xml:space="preserve">Mental health bed days </w:t>
            </w:r>
          </w:p>
        </w:tc>
      </w:tr>
      <w:tr w:rsidR="003262DA" w:rsidRPr="00A030E3" w14:paraId="7C5D23D7" w14:textId="77777777" w:rsidTr="00974CBE">
        <w:trPr>
          <w:trHeight w:val="300"/>
        </w:trPr>
        <w:tc>
          <w:tcPr>
            <w:tcW w:w="3397" w:type="dxa"/>
            <w:shd w:val="clear" w:color="auto" w:fill="auto"/>
            <w:hideMark/>
          </w:tcPr>
          <w:p w14:paraId="2050A488" w14:textId="77777777" w:rsidR="000A3FB3" w:rsidRPr="00685B35" w:rsidRDefault="000A3FB3" w:rsidP="000A3FB3">
            <w:pPr>
              <w:spacing w:after="0" w:line="240" w:lineRule="auto"/>
              <w:rPr>
                <w:rFonts w:cs="Arial"/>
                <w:b/>
                <w:bCs/>
                <w:color w:val="000000" w:themeColor="text1"/>
                <w:sz w:val="16"/>
                <w:szCs w:val="16"/>
                <w:lang w:eastAsia="en-AU"/>
              </w:rPr>
            </w:pPr>
            <w:r w:rsidRPr="00685B35">
              <w:rPr>
                <w:rFonts w:cs="Arial"/>
                <w:b/>
                <w:bCs/>
                <w:color w:val="000000" w:themeColor="text1"/>
                <w:sz w:val="16"/>
                <w:szCs w:val="16"/>
                <w:lang w:eastAsia="en-AU"/>
              </w:rPr>
              <w:t>Total</w:t>
            </w:r>
          </w:p>
        </w:tc>
        <w:tc>
          <w:tcPr>
            <w:tcW w:w="1819" w:type="dxa"/>
            <w:shd w:val="clear" w:color="auto" w:fill="auto"/>
            <w:hideMark/>
          </w:tcPr>
          <w:p w14:paraId="50C4A7AF" w14:textId="64AC96C9" w:rsidR="000A3FB3" w:rsidRPr="00685B35" w:rsidRDefault="000A3FB3" w:rsidP="000A3FB3">
            <w:pPr>
              <w:spacing w:after="0" w:line="240" w:lineRule="auto"/>
              <w:jc w:val="right"/>
              <w:rPr>
                <w:rFonts w:cs="Arial"/>
                <w:b/>
                <w:bCs/>
                <w:color w:val="000000" w:themeColor="text1"/>
                <w:sz w:val="16"/>
                <w:szCs w:val="16"/>
                <w:lang w:eastAsia="en-AU"/>
              </w:rPr>
            </w:pPr>
            <w:r w:rsidRPr="00685B35">
              <w:rPr>
                <w:rFonts w:cs="Arial"/>
                <w:b/>
                <w:bCs/>
                <w:color w:val="000000" w:themeColor="text1"/>
                <w:sz w:val="16"/>
                <w:szCs w:val="16"/>
                <w:lang w:eastAsia="en-AU"/>
              </w:rPr>
              <w:t>1,3</w:t>
            </w:r>
            <w:r w:rsidR="00F26CD6" w:rsidRPr="00685B35">
              <w:rPr>
                <w:rFonts w:cs="Arial"/>
                <w:b/>
                <w:bCs/>
                <w:color w:val="000000" w:themeColor="text1"/>
                <w:sz w:val="16"/>
                <w:szCs w:val="16"/>
                <w:lang w:eastAsia="en-AU"/>
              </w:rPr>
              <w:t>53</w:t>
            </w:r>
          </w:p>
        </w:tc>
        <w:tc>
          <w:tcPr>
            <w:tcW w:w="1819" w:type="dxa"/>
            <w:shd w:val="clear" w:color="auto" w:fill="auto"/>
            <w:hideMark/>
          </w:tcPr>
          <w:p w14:paraId="2361B9D8" w14:textId="32B7DDCC" w:rsidR="000A3FB3" w:rsidRPr="00685B35" w:rsidRDefault="00610283" w:rsidP="000A3FB3">
            <w:pPr>
              <w:spacing w:after="0" w:line="240" w:lineRule="auto"/>
              <w:jc w:val="right"/>
              <w:rPr>
                <w:rFonts w:cs="Arial"/>
                <w:b/>
                <w:bCs/>
                <w:color w:val="000000" w:themeColor="text1"/>
                <w:sz w:val="16"/>
                <w:szCs w:val="16"/>
                <w:lang w:eastAsia="en-AU"/>
              </w:rPr>
            </w:pPr>
            <w:r>
              <w:rPr>
                <w:rFonts w:cs="Arial"/>
                <w:b/>
                <w:bCs/>
                <w:color w:val="000000" w:themeColor="text1"/>
                <w:sz w:val="16"/>
                <w:szCs w:val="16"/>
                <w:lang w:eastAsia="en-AU"/>
              </w:rPr>
              <w:t>472,268</w:t>
            </w:r>
          </w:p>
        </w:tc>
        <w:tc>
          <w:tcPr>
            <w:tcW w:w="1819" w:type="dxa"/>
            <w:shd w:val="clear" w:color="auto" w:fill="auto"/>
            <w:hideMark/>
          </w:tcPr>
          <w:p w14:paraId="77236211" w14:textId="229EE69C" w:rsidR="000A3FB3" w:rsidRPr="00685B35" w:rsidRDefault="000A3FB3" w:rsidP="000A3FB3">
            <w:pPr>
              <w:spacing w:after="0" w:line="240" w:lineRule="auto"/>
              <w:jc w:val="right"/>
              <w:rPr>
                <w:rFonts w:cs="Arial"/>
                <w:b/>
                <w:bCs/>
                <w:color w:val="000000" w:themeColor="text1"/>
                <w:sz w:val="16"/>
                <w:szCs w:val="16"/>
                <w:lang w:eastAsia="en-AU"/>
              </w:rPr>
            </w:pPr>
            <w:r w:rsidRPr="00685B35">
              <w:rPr>
                <w:rFonts w:cs="Arial"/>
                <w:b/>
                <w:bCs/>
                <w:color w:val="000000" w:themeColor="text1"/>
                <w:sz w:val="16"/>
                <w:szCs w:val="16"/>
                <w:lang w:eastAsia="en-AU"/>
              </w:rPr>
              <w:t>1,3</w:t>
            </w:r>
            <w:r w:rsidR="00F26CD6" w:rsidRPr="00685B35">
              <w:rPr>
                <w:rFonts w:cs="Arial"/>
                <w:b/>
                <w:bCs/>
                <w:color w:val="000000" w:themeColor="text1"/>
                <w:sz w:val="16"/>
                <w:szCs w:val="16"/>
                <w:lang w:eastAsia="en-AU"/>
              </w:rPr>
              <w:t>87</w:t>
            </w:r>
          </w:p>
        </w:tc>
        <w:tc>
          <w:tcPr>
            <w:tcW w:w="1819" w:type="dxa"/>
            <w:shd w:val="clear" w:color="auto" w:fill="auto"/>
            <w:hideMark/>
          </w:tcPr>
          <w:p w14:paraId="237614C6" w14:textId="5D64B6B6" w:rsidR="000A3FB3" w:rsidRPr="00685B35" w:rsidRDefault="000A3FB3" w:rsidP="000A3FB3">
            <w:pPr>
              <w:spacing w:after="0" w:line="240" w:lineRule="auto"/>
              <w:jc w:val="right"/>
              <w:rPr>
                <w:rFonts w:cs="Arial"/>
                <w:b/>
                <w:bCs/>
                <w:color w:val="000000" w:themeColor="text1"/>
                <w:sz w:val="16"/>
                <w:szCs w:val="16"/>
                <w:lang w:eastAsia="en-AU"/>
              </w:rPr>
            </w:pPr>
            <w:r w:rsidRPr="00685B35">
              <w:rPr>
                <w:rFonts w:cs="Arial"/>
                <w:b/>
                <w:bCs/>
                <w:color w:val="000000" w:themeColor="text1"/>
                <w:sz w:val="16"/>
                <w:szCs w:val="16"/>
                <w:lang w:eastAsia="en-AU"/>
              </w:rPr>
              <w:t>4</w:t>
            </w:r>
            <w:r w:rsidR="005C14EB" w:rsidRPr="00685B35">
              <w:rPr>
                <w:rFonts w:cs="Arial"/>
                <w:b/>
                <w:bCs/>
                <w:color w:val="000000" w:themeColor="text1"/>
                <w:sz w:val="16"/>
                <w:szCs w:val="16"/>
                <w:lang w:eastAsia="en-AU"/>
              </w:rPr>
              <w:t>76</w:t>
            </w:r>
            <w:r w:rsidR="00F26CD6" w:rsidRPr="00685B35">
              <w:rPr>
                <w:rFonts w:cs="Arial"/>
                <w:b/>
                <w:bCs/>
                <w:color w:val="000000" w:themeColor="text1"/>
                <w:sz w:val="16"/>
                <w:szCs w:val="16"/>
                <w:lang w:eastAsia="en-AU"/>
              </w:rPr>
              <w:t>,</w:t>
            </w:r>
            <w:r w:rsidR="005C14EB" w:rsidRPr="00685B35">
              <w:rPr>
                <w:rFonts w:cs="Arial"/>
                <w:b/>
                <w:bCs/>
                <w:color w:val="000000" w:themeColor="text1"/>
                <w:sz w:val="16"/>
                <w:szCs w:val="16"/>
                <w:lang w:eastAsia="en-AU"/>
              </w:rPr>
              <w:t>65</w:t>
            </w:r>
            <w:r w:rsidR="00610283">
              <w:rPr>
                <w:rFonts w:cs="Arial"/>
                <w:b/>
                <w:bCs/>
                <w:color w:val="000000" w:themeColor="text1"/>
                <w:sz w:val="16"/>
                <w:szCs w:val="16"/>
                <w:lang w:eastAsia="en-AU"/>
              </w:rPr>
              <w:t>1</w:t>
            </w:r>
          </w:p>
        </w:tc>
        <w:tc>
          <w:tcPr>
            <w:tcW w:w="1819" w:type="dxa"/>
            <w:shd w:val="clear" w:color="auto" w:fill="auto"/>
            <w:hideMark/>
          </w:tcPr>
          <w:p w14:paraId="0407A74E" w14:textId="7E5B4DF7" w:rsidR="000A3FB3" w:rsidRPr="00685B35" w:rsidRDefault="000A3FB3" w:rsidP="000A3FB3">
            <w:pPr>
              <w:spacing w:after="0" w:line="240" w:lineRule="auto"/>
              <w:jc w:val="right"/>
              <w:rPr>
                <w:rFonts w:cs="Arial"/>
                <w:b/>
                <w:bCs/>
                <w:color w:val="000000" w:themeColor="text1"/>
                <w:sz w:val="16"/>
                <w:szCs w:val="16"/>
                <w:lang w:eastAsia="en-AU"/>
              </w:rPr>
            </w:pPr>
            <w:r w:rsidRPr="00685B35">
              <w:rPr>
                <w:rFonts w:cs="Arial"/>
                <w:b/>
                <w:bCs/>
                <w:color w:val="000000" w:themeColor="text1"/>
                <w:sz w:val="16"/>
                <w:szCs w:val="16"/>
                <w:lang w:eastAsia="en-AU"/>
              </w:rPr>
              <w:t>2,</w:t>
            </w:r>
            <w:r w:rsidR="00F26CD6" w:rsidRPr="00685B35">
              <w:rPr>
                <w:rFonts w:cs="Arial"/>
                <w:b/>
                <w:bCs/>
                <w:color w:val="000000" w:themeColor="text1"/>
                <w:sz w:val="16"/>
                <w:szCs w:val="16"/>
                <w:lang w:eastAsia="en-AU"/>
              </w:rPr>
              <w:t>740</w:t>
            </w:r>
          </w:p>
        </w:tc>
        <w:tc>
          <w:tcPr>
            <w:tcW w:w="1820" w:type="dxa"/>
            <w:shd w:val="clear" w:color="auto" w:fill="auto"/>
            <w:hideMark/>
          </w:tcPr>
          <w:p w14:paraId="34AA17BB" w14:textId="5CDEBAC2" w:rsidR="000A3FB3" w:rsidRPr="00685B35" w:rsidRDefault="00610283" w:rsidP="000A3FB3">
            <w:pPr>
              <w:spacing w:after="0" w:line="240" w:lineRule="auto"/>
              <w:jc w:val="right"/>
              <w:rPr>
                <w:rFonts w:cs="Arial"/>
                <w:b/>
                <w:bCs/>
                <w:color w:val="000000" w:themeColor="text1"/>
                <w:sz w:val="16"/>
                <w:szCs w:val="16"/>
                <w:lang w:eastAsia="en-AU"/>
              </w:rPr>
            </w:pPr>
            <w:r>
              <w:rPr>
                <w:rFonts w:cs="Arial"/>
                <w:b/>
                <w:bCs/>
                <w:color w:val="000000" w:themeColor="text1"/>
                <w:sz w:val="16"/>
                <w:szCs w:val="16"/>
                <w:lang w:eastAsia="en-AU"/>
              </w:rPr>
              <w:t>948,919</w:t>
            </w:r>
          </w:p>
        </w:tc>
      </w:tr>
    </w:tbl>
    <w:p w14:paraId="180C03F1" w14:textId="77777777" w:rsidR="002162F2" w:rsidRDefault="002162F2" w:rsidP="00B92CD4">
      <w:pPr>
        <w:pStyle w:val="Body"/>
      </w:pPr>
    </w:p>
    <w:p w14:paraId="10224C90" w14:textId="77777777" w:rsidR="00E369FC" w:rsidRDefault="00E369FC" w:rsidP="00081936">
      <w:pPr>
        <w:pStyle w:val="Heading3"/>
        <w:numPr>
          <w:ilvl w:val="2"/>
          <w:numId w:val="33"/>
        </w:numPr>
        <w:spacing w:before="0"/>
        <w:ind w:left="1134"/>
        <w:sectPr w:rsidR="00E369FC" w:rsidSect="0031305A">
          <w:headerReference w:type="default" r:id="rId93"/>
          <w:footerReference w:type="even" r:id="rId94"/>
          <w:footerReference w:type="default" r:id="rId95"/>
          <w:pgSz w:w="16838" w:h="11906" w:orient="landscape" w:code="9"/>
          <w:pgMar w:top="1304" w:right="1418" w:bottom="1304" w:left="1134" w:header="680" w:footer="283" w:gutter="0"/>
          <w:cols w:space="340"/>
          <w:docGrid w:linePitch="360"/>
        </w:sectPr>
      </w:pPr>
      <w:bookmarkStart w:id="1240" w:name="_Toc12780678"/>
      <w:bookmarkStart w:id="1241" w:name="_Toc14172319"/>
      <w:bookmarkStart w:id="1242" w:name="_Toc33703993"/>
      <w:bookmarkStart w:id="1243" w:name="_Toc55381181"/>
      <w:bookmarkStart w:id="1244" w:name="_Toc100263385"/>
    </w:p>
    <w:p w14:paraId="7A38B902" w14:textId="026C7787" w:rsidR="000B27B9" w:rsidRPr="00DE5BFB" w:rsidRDefault="7B0F94E6" w:rsidP="00081936">
      <w:pPr>
        <w:pStyle w:val="Heading3"/>
        <w:numPr>
          <w:ilvl w:val="2"/>
          <w:numId w:val="33"/>
        </w:numPr>
        <w:spacing w:before="0"/>
        <w:ind w:left="1134"/>
      </w:pPr>
      <w:bookmarkStart w:id="1245" w:name="_Toc156569710"/>
      <w:r>
        <w:t xml:space="preserve">Mental </w:t>
      </w:r>
      <w:r w:rsidR="003262DA">
        <w:t xml:space="preserve">health ambulatory targets </w:t>
      </w:r>
      <w:bookmarkEnd w:id="1240"/>
      <w:bookmarkEnd w:id="1241"/>
      <w:bookmarkEnd w:id="1242"/>
      <w:bookmarkEnd w:id="1243"/>
      <w:r w:rsidR="635881F6">
        <w:t>202</w:t>
      </w:r>
      <w:r w:rsidR="0065661A">
        <w:t>3</w:t>
      </w:r>
      <w:r w:rsidR="2BA45458">
        <w:t>–</w:t>
      </w:r>
      <w:r w:rsidR="635881F6">
        <w:t>2</w:t>
      </w:r>
      <w:r w:rsidR="0065661A">
        <w:t>4</w:t>
      </w:r>
      <w:bookmarkEnd w:id="1244"/>
      <w:bookmarkEnd w:id="1245"/>
    </w:p>
    <w:p w14:paraId="6D1E733E" w14:textId="5DB16CCD" w:rsidR="000B27B9" w:rsidRDefault="000B27B9" w:rsidP="000E08EF">
      <w:pPr>
        <w:pStyle w:val="Tablecaption"/>
      </w:pPr>
      <w:bookmarkStart w:id="1246" w:name="_Toc12780584"/>
      <w:bookmarkStart w:id="1247" w:name="_Toc14194840"/>
      <w:bookmarkStart w:id="1248" w:name="_Toc33704021"/>
      <w:bookmarkStart w:id="1249" w:name="_Toc109894150"/>
      <w:bookmarkStart w:id="1250" w:name="_Toc156568701"/>
      <w:r w:rsidRPr="00DE5BFB">
        <w:t xml:space="preserve">Table </w:t>
      </w:r>
      <w:r>
        <w:fldChar w:fldCharType="begin"/>
      </w:r>
      <w:r>
        <w:instrText>STYLEREF 1 \s</w:instrText>
      </w:r>
      <w:r>
        <w:fldChar w:fldCharType="separate"/>
      </w:r>
      <w:r w:rsidR="00892F13">
        <w:rPr>
          <w:noProof/>
        </w:rPr>
        <w:t>2</w:t>
      </w:r>
      <w:r>
        <w:fldChar w:fldCharType="end"/>
      </w:r>
      <w:r w:rsidR="00742C12">
        <w:t>.</w:t>
      </w:r>
      <w:r>
        <w:fldChar w:fldCharType="begin"/>
      </w:r>
      <w:r>
        <w:instrText>SEQ Table \* ARABIC \s 1</w:instrText>
      </w:r>
      <w:r>
        <w:fldChar w:fldCharType="separate"/>
      </w:r>
      <w:r w:rsidR="007E6861">
        <w:rPr>
          <w:noProof/>
        </w:rPr>
        <w:t>24</w:t>
      </w:r>
      <w:r>
        <w:fldChar w:fldCharType="end"/>
      </w:r>
      <w:r w:rsidRPr="00DE5BFB">
        <w:t xml:space="preserve">: Mental health acute, non-acute, subacute and residential service hour targets </w:t>
      </w:r>
      <w:bookmarkEnd w:id="1246"/>
      <w:bookmarkEnd w:id="1247"/>
      <w:bookmarkEnd w:id="1248"/>
      <w:r w:rsidR="005D1FCB" w:rsidRPr="00DE5BFB">
        <w:t>202</w:t>
      </w:r>
      <w:r w:rsidR="0065661A">
        <w:t>3</w:t>
      </w:r>
      <w:r w:rsidR="00F2096A" w:rsidRPr="00DE5BFB">
        <w:t>–</w:t>
      </w:r>
      <w:r w:rsidR="005D1FCB" w:rsidRPr="00DE5BFB">
        <w:t>2</w:t>
      </w:r>
      <w:r w:rsidR="0065661A">
        <w:t>4</w:t>
      </w:r>
      <w:bookmarkEnd w:id="1249"/>
      <w:bookmarkEnd w:id="1250"/>
    </w:p>
    <w:p w14:paraId="0281130E" w14:textId="778FEBDF" w:rsidR="009A0F3A" w:rsidRPr="009A0F3A" w:rsidRDefault="009A0F3A" w:rsidP="009C67FC">
      <w:pPr>
        <w:pStyle w:val="Body"/>
        <w:rPr>
          <w:sz w:val="18"/>
          <w:szCs w:val="18"/>
        </w:rPr>
      </w:pPr>
      <w:r w:rsidRPr="009A0F3A">
        <w:rPr>
          <w:sz w:val="18"/>
          <w:szCs w:val="18"/>
        </w:rPr>
        <w:t>Note:</w:t>
      </w:r>
    </w:p>
    <w:p w14:paraId="52B68CFF" w14:textId="34DE61FD" w:rsidR="00703C23" w:rsidRPr="00703C23" w:rsidRDefault="00703C23" w:rsidP="00081936">
      <w:pPr>
        <w:pStyle w:val="Tablefigurenote9pt"/>
        <w:numPr>
          <w:ilvl w:val="0"/>
          <w:numId w:val="35"/>
        </w:numPr>
        <w:rPr>
          <w:szCs w:val="18"/>
        </w:rPr>
      </w:pPr>
      <w:r w:rsidRPr="00F26CD6">
        <w:t xml:space="preserve">Northern Health became a designated mental health service from 1 July 2022. Western Health became a designated mental health service from 1 July 2023. Realignment of funding and targets from Royal Melbourne Hospital have occurred. </w:t>
      </w:r>
    </w:p>
    <w:p w14:paraId="396F2FF6" w14:textId="1994F4D3" w:rsidR="009C67FC" w:rsidRDefault="009C67FC" w:rsidP="009C67FC">
      <w:pPr>
        <w:pStyle w:val="Body"/>
      </w:pPr>
      <w:r>
        <w:t>Metropolitan and regional</w:t>
      </w:r>
    </w:p>
    <w:tbl>
      <w:tblPr>
        <w:tblStyle w:val="TableGrid1"/>
        <w:tblW w:w="6227" w:type="dxa"/>
        <w:tblLook w:val="04A0" w:firstRow="1" w:lastRow="0" w:firstColumn="1" w:lastColumn="0" w:noHBand="0" w:noVBand="1"/>
      </w:tblPr>
      <w:tblGrid>
        <w:gridCol w:w="2940"/>
        <w:gridCol w:w="3287"/>
      </w:tblGrid>
      <w:tr w:rsidR="003262DA" w:rsidRPr="00A030E3" w14:paraId="4A6AE09B" w14:textId="77777777" w:rsidTr="003B2257">
        <w:trPr>
          <w:cnfStyle w:val="100000000000" w:firstRow="1" w:lastRow="0" w:firstColumn="0" w:lastColumn="0" w:oddVBand="0" w:evenVBand="0" w:oddHBand="0" w:evenHBand="0" w:firstRowFirstColumn="0" w:firstRowLastColumn="0" w:lastRowFirstColumn="0" w:lastRowLastColumn="0"/>
          <w:trHeight w:val="420"/>
        </w:trPr>
        <w:tc>
          <w:tcPr>
            <w:tcW w:w="2940" w:type="dxa"/>
            <w:shd w:val="clear" w:color="auto" w:fill="auto"/>
            <w:hideMark/>
          </w:tcPr>
          <w:p w14:paraId="2E57CC88" w14:textId="77777777" w:rsidR="008807AD" w:rsidRPr="00685B35" w:rsidRDefault="008807AD" w:rsidP="00685B35">
            <w:pPr>
              <w:pStyle w:val="Tablecolheadlandscape"/>
              <w:rPr>
                <w:b w:val="0"/>
              </w:rPr>
            </w:pPr>
            <w:r w:rsidRPr="00685B35">
              <w:t>Health service</w:t>
            </w:r>
          </w:p>
        </w:tc>
        <w:tc>
          <w:tcPr>
            <w:tcW w:w="3287" w:type="dxa"/>
            <w:shd w:val="clear" w:color="auto" w:fill="auto"/>
            <w:hideMark/>
          </w:tcPr>
          <w:p w14:paraId="794E42F0" w14:textId="77777777" w:rsidR="008807AD" w:rsidRPr="00685B35" w:rsidRDefault="008807AD" w:rsidP="00685B35">
            <w:pPr>
              <w:pStyle w:val="Tablecolheadlandscape"/>
              <w:jc w:val="right"/>
              <w:rPr>
                <w:b w:val="0"/>
              </w:rPr>
            </w:pPr>
            <w:r w:rsidRPr="00685B35">
              <w:t>Ambulatory contacts</w:t>
            </w:r>
          </w:p>
        </w:tc>
      </w:tr>
      <w:tr w:rsidR="003B2257" w:rsidRPr="007909C4" w14:paraId="07C64F07" w14:textId="77777777" w:rsidTr="003B2257">
        <w:trPr>
          <w:trHeight w:val="300"/>
        </w:trPr>
        <w:tc>
          <w:tcPr>
            <w:tcW w:w="2940" w:type="dxa"/>
            <w:shd w:val="clear" w:color="auto" w:fill="auto"/>
            <w:hideMark/>
          </w:tcPr>
          <w:p w14:paraId="0137780C" w14:textId="77777777" w:rsidR="003B2257" w:rsidRPr="00685B35" w:rsidRDefault="003B2257" w:rsidP="003B2257">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Albury Wodonga Health</w:t>
            </w:r>
          </w:p>
        </w:tc>
        <w:tc>
          <w:tcPr>
            <w:tcW w:w="3287" w:type="dxa"/>
            <w:shd w:val="clear" w:color="auto" w:fill="auto"/>
            <w:hideMark/>
          </w:tcPr>
          <w:p w14:paraId="480520C0" w14:textId="0C05C261" w:rsidR="003B2257" w:rsidRPr="007909C4" w:rsidRDefault="003B2257" w:rsidP="003B2257">
            <w:pPr>
              <w:spacing w:after="0" w:line="240" w:lineRule="auto"/>
              <w:jc w:val="right"/>
              <w:rPr>
                <w:rFonts w:cs="Arial"/>
                <w:color w:val="000000" w:themeColor="text1"/>
                <w:sz w:val="16"/>
                <w:szCs w:val="16"/>
                <w:lang w:eastAsia="en-AU"/>
              </w:rPr>
            </w:pPr>
            <w:r w:rsidRPr="007909C4">
              <w:rPr>
                <w:sz w:val="16"/>
                <w:szCs w:val="16"/>
              </w:rPr>
              <w:t>45,593</w:t>
            </w:r>
          </w:p>
        </w:tc>
      </w:tr>
      <w:tr w:rsidR="003B2257" w:rsidRPr="007909C4" w14:paraId="6BAD4497" w14:textId="77777777" w:rsidTr="003B2257">
        <w:trPr>
          <w:trHeight w:val="300"/>
        </w:trPr>
        <w:tc>
          <w:tcPr>
            <w:tcW w:w="2940" w:type="dxa"/>
            <w:shd w:val="clear" w:color="auto" w:fill="auto"/>
            <w:hideMark/>
          </w:tcPr>
          <w:p w14:paraId="5DD28659" w14:textId="77777777" w:rsidR="003B2257" w:rsidRPr="00685B35" w:rsidRDefault="003B2257" w:rsidP="003B2257">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Alfred Health</w:t>
            </w:r>
          </w:p>
        </w:tc>
        <w:tc>
          <w:tcPr>
            <w:tcW w:w="3287" w:type="dxa"/>
            <w:shd w:val="clear" w:color="auto" w:fill="auto"/>
            <w:hideMark/>
          </w:tcPr>
          <w:p w14:paraId="7078F71F" w14:textId="6E6F33BE" w:rsidR="003B2257" w:rsidRPr="007909C4" w:rsidRDefault="003B2257" w:rsidP="003B2257">
            <w:pPr>
              <w:spacing w:after="0" w:line="240" w:lineRule="auto"/>
              <w:jc w:val="right"/>
              <w:rPr>
                <w:rFonts w:cs="Arial"/>
                <w:color w:val="000000" w:themeColor="text1"/>
                <w:sz w:val="16"/>
                <w:szCs w:val="16"/>
                <w:lang w:eastAsia="en-AU"/>
              </w:rPr>
            </w:pPr>
            <w:r w:rsidRPr="007909C4">
              <w:rPr>
                <w:sz w:val="16"/>
                <w:szCs w:val="16"/>
              </w:rPr>
              <w:t>130,432</w:t>
            </w:r>
          </w:p>
        </w:tc>
      </w:tr>
      <w:tr w:rsidR="003B2257" w:rsidRPr="007909C4" w14:paraId="1D66D455" w14:textId="77777777" w:rsidTr="003B2257">
        <w:trPr>
          <w:trHeight w:val="300"/>
        </w:trPr>
        <w:tc>
          <w:tcPr>
            <w:tcW w:w="2940" w:type="dxa"/>
            <w:shd w:val="clear" w:color="auto" w:fill="auto"/>
            <w:hideMark/>
          </w:tcPr>
          <w:p w14:paraId="712D3715" w14:textId="77777777" w:rsidR="003B2257" w:rsidRPr="00685B35" w:rsidRDefault="003B2257" w:rsidP="003B2257">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Austin Health</w:t>
            </w:r>
          </w:p>
        </w:tc>
        <w:tc>
          <w:tcPr>
            <w:tcW w:w="3287" w:type="dxa"/>
            <w:shd w:val="clear" w:color="auto" w:fill="auto"/>
            <w:hideMark/>
          </w:tcPr>
          <w:p w14:paraId="6EA725EC" w14:textId="7C1B2280" w:rsidR="003B2257" w:rsidRPr="007909C4" w:rsidRDefault="003B2257" w:rsidP="003B2257">
            <w:pPr>
              <w:spacing w:after="0" w:line="240" w:lineRule="auto"/>
              <w:jc w:val="right"/>
              <w:rPr>
                <w:rFonts w:cs="Arial"/>
                <w:color w:val="000000" w:themeColor="text1"/>
                <w:sz w:val="16"/>
                <w:szCs w:val="16"/>
                <w:lang w:eastAsia="en-AU"/>
              </w:rPr>
            </w:pPr>
            <w:r w:rsidRPr="007909C4">
              <w:rPr>
                <w:sz w:val="16"/>
                <w:szCs w:val="16"/>
              </w:rPr>
              <w:t>86,038</w:t>
            </w:r>
          </w:p>
        </w:tc>
      </w:tr>
      <w:tr w:rsidR="003B2257" w:rsidRPr="007909C4" w14:paraId="2A32F59A" w14:textId="77777777" w:rsidTr="003B2257">
        <w:trPr>
          <w:trHeight w:val="300"/>
        </w:trPr>
        <w:tc>
          <w:tcPr>
            <w:tcW w:w="2940" w:type="dxa"/>
            <w:shd w:val="clear" w:color="auto" w:fill="auto"/>
            <w:hideMark/>
          </w:tcPr>
          <w:p w14:paraId="350EB37B" w14:textId="77777777" w:rsidR="003B2257" w:rsidRPr="00685B35" w:rsidRDefault="003B2257" w:rsidP="003B2257">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Barwon Health</w:t>
            </w:r>
          </w:p>
        </w:tc>
        <w:tc>
          <w:tcPr>
            <w:tcW w:w="3287" w:type="dxa"/>
            <w:shd w:val="clear" w:color="auto" w:fill="auto"/>
            <w:hideMark/>
          </w:tcPr>
          <w:p w14:paraId="100851B3" w14:textId="7B810DEF" w:rsidR="003B2257" w:rsidRPr="007909C4" w:rsidRDefault="003B2257" w:rsidP="003B2257">
            <w:pPr>
              <w:spacing w:after="0" w:line="240" w:lineRule="auto"/>
              <w:jc w:val="right"/>
              <w:rPr>
                <w:rFonts w:cs="Arial"/>
                <w:color w:val="000000" w:themeColor="text1"/>
                <w:sz w:val="16"/>
                <w:szCs w:val="16"/>
                <w:lang w:eastAsia="en-AU"/>
              </w:rPr>
            </w:pPr>
            <w:r w:rsidRPr="007909C4">
              <w:rPr>
                <w:sz w:val="16"/>
                <w:szCs w:val="16"/>
              </w:rPr>
              <w:t>100,621</w:t>
            </w:r>
          </w:p>
        </w:tc>
      </w:tr>
      <w:tr w:rsidR="003B2257" w:rsidRPr="007909C4" w14:paraId="13148ACD" w14:textId="77777777" w:rsidTr="003B2257">
        <w:trPr>
          <w:trHeight w:val="300"/>
        </w:trPr>
        <w:tc>
          <w:tcPr>
            <w:tcW w:w="2940" w:type="dxa"/>
            <w:shd w:val="clear" w:color="auto" w:fill="auto"/>
            <w:hideMark/>
          </w:tcPr>
          <w:p w14:paraId="0004E9EB" w14:textId="0B408490" w:rsidR="003B2257" w:rsidRPr="00685B35" w:rsidRDefault="003B2257" w:rsidP="003B2257">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Bendigo Health</w:t>
            </w:r>
          </w:p>
        </w:tc>
        <w:tc>
          <w:tcPr>
            <w:tcW w:w="3287" w:type="dxa"/>
            <w:shd w:val="clear" w:color="auto" w:fill="auto"/>
            <w:hideMark/>
          </w:tcPr>
          <w:p w14:paraId="578E8F19" w14:textId="2E514DFB" w:rsidR="003B2257" w:rsidRPr="007909C4" w:rsidRDefault="003B2257" w:rsidP="003B2257">
            <w:pPr>
              <w:spacing w:after="0" w:line="240" w:lineRule="auto"/>
              <w:jc w:val="right"/>
              <w:rPr>
                <w:rFonts w:cs="Arial"/>
                <w:color w:val="000000" w:themeColor="text1"/>
                <w:sz w:val="16"/>
                <w:szCs w:val="16"/>
                <w:lang w:eastAsia="en-AU"/>
              </w:rPr>
            </w:pPr>
            <w:r w:rsidRPr="007909C4">
              <w:rPr>
                <w:sz w:val="16"/>
                <w:szCs w:val="16"/>
              </w:rPr>
              <w:t>94,274</w:t>
            </w:r>
          </w:p>
        </w:tc>
      </w:tr>
      <w:tr w:rsidR="003B2257" w:rsidRPr="007909C4" w14:paraId="25D229F1" w14:textId="77777777" w:rsidTr="003B2257">
        <w:trPr>
          <w:trHeight w:val="300"/>
        </w:trPr>
        <w:tc>
          <w:tcPr>
            <w:tcW w:w="2940" w:type="dxa"/>
            <w:shd w:val="clear" w:color="auto" w:fill="auto"/>
            <w:hideMark/>
          </w:tcPr>
          <w:p w14:paraId="161D9E36" w14:textId="77777777" w:rsidR="003B2257" w:rsidRPr="00685B35" w:rsidRDefault="003B2257" w:rsidP="003B2257">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Eastern Health</w:t>
            </w:r>
          </w:p>
        </w:tc>
        <w:tc>
          <w:tcPr>
            <w:tcW w:w="3287" w:type="dxa"/>
            <w:shd w:val="clear" w:color="auto" w:fill="auto"/>
            <w:hideMark/>
          </w:tcPr>
          <w:p w14:paraId="094B38E4" w14:textId="4FD29254" w:rsidR="003B2257" w:rsidRPr="007909C4" w:rsidRDefault="003B2257" w:rsidP="003B2257">
            <w:pPr>
              <w:spacing w:after="0" w:line="240" w:lineRule="auto"/>
              <w:jc w:val="right"/>
              <w:rPr>
                <w:rFonts w:cs="Arial"/>
                <w:color w:val="000000" w:themeColor="text1"/>
                <w:sz w:val="16"/>
                <w:szCs w:val="16"/>
                <w:lang w:eastAsia="en-AU"/>
              </w:rPr>
            </w:pPr>
            <w:r w:rsidRPr="007909C4">
              <w:rPr>
                <w:sz w:val="16"/>
                <w:szCs w:val="16"/>
              </w:rPr>
              <w:t>237,376</w:t>
            </w:r>
          </w:p>
        </w:tc>
      </w:tr>
      <w:tr w:rsidR="003B2257" w:rsidRPr="007909C4" w14:paraId="17CF89AB" w14:textId="77777777" w:rsidTr="003B2257">
        <w:trPr>
          <w:trHeight w:val="300"/>
        </w:trPr>
        <w:tc>
          <w:tcPr>
            <w:tcW w:w="2940" w:type="dxa"/>
            <w:shd w:val="clear" w:color="auto" w:fill="auto"/>
            <w:hideMark/>
          </w:tcPr>
          <w:p w14:paraId="0A9FD55A" w14:textId="77777777" w:rsidR="003B2257" w:rsidRPr="00685B35" w:rsidRDefault="003B2257" w:rsidP="003B2257">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Goulburn Valley Health</w:t>
            </w:r>
          </w:p>
        </w:tc>
        <w:tc>
          <w:tcPr>
            <w:tcW w:w="3287" w:type="dxa"/>
            <w:shd w:val="clear" w:color="auto" w:fill="auto"/>
            <w:hideMark/>
          </w:tcPr>
          <w:p w14:paraId="30C88628" w14:textId="484DC9AE" w:rsidR="003B2257" w:rsidRPr="007909C4" w:rsidRDefault="003B2257" w:rsidP="003B2257">
            <w:pPr>
              <w:spacing w:after="0" w:line="240" w:lineRule="auto"/>
              <w:jc w:val="right"/>
              <w:rPr>
                <w:rFonts w:cs="Arial"/>
                <w:color w:val="000000" w:themeColor="text1"/>
                <w:sz w:val="16"/>
                <w:szCs w:val="16"/>
                <w:lang w:eastAsia="en-AU"/>
              </w:rPr>
            </w:pPr>
            <w:r w:rsidRPr="007909C4">
              <w:rPr>
                <w:sz w:val="16"/>
                <w:szCs w:val="16"/>
              </w:rPr>
              <w:t>52,981</w:t>
            </w:r>
          </w:p>
        </w:tc>
      </w:tr>
      <w:tr w:rsidR="00AB10C9" w:rsidRPr="007909C4" w14:paraId="0E2C9665" w14:textId="77777777" w:rsidTr="003B2257">
        <w:trPr>
          <w:trHeight w:val="300"/>
        </w:trPr>
        <w:tc>
          <w:tcPr>
            <w:tcW w:w="2940" w:type="dxa"/>
            <w:shd w:val="clear" w:color="auto" w:fill="auto"/>
          </w:tcPr>
          <w:p w14:paraId="54022BCB" w14:textId="0B691DBA" w:rsidR="00AB10C9" w:rsidRPr="00685B35" w:rsidRDefault="00AB10C9" w:rsidP="00AB10C9">
            <w:pPr>
              <w:spacing w:after="0" w:line="240" w:lineRule="auto"/>
              <w:rPr>
                <w:rFonts w:cs="Arial"/>
                <w:color w:val="000000" w:themeColor="text1"/>
                <w:sz w:val="16"/>
                <w:szCs w:val="16"/>
                <w:lang w:eastAsia="en-AU"/>
              </w:rPr>
            </w:pPr>
            <w:r>
              <w:rPr>
                <w:rFonts w:cs="Arial"/>
                <w:color w:val="000000" w:themeColor="text1"/>
                <w:sz w:val="16"/>
                <w:szCs w:val="16"/>
                <w:lang w:eastAsia="en-AU"/>
              </w:rPr>
              <w:t>Grampians Health (</w:t>
            </w:r>
            <w:r w:rsidRPr="00685B35">
              <w:rPr>
                <w:rFonts w:cs="Arial"/>
                <w:color w:val="000000" w:themeColor="text1"/>
                <w:sz w:val="16"/>
                <w:szCs w:val="16"/>
                <w:lang w:eastAsia="en-AU"/>
              </w:rPr>
              <w:t>Ballarat</w:t>
            </w:r>
            <w:r>
              <w:rPr>
                <w:rFonts w:cs="Arial"/>
                <w:color w:val="000000" w:themeColor="text1"/>
                <w:sz w:val="16"/>
                <w:szCs w:val="16"/>
                <w:lang w:eastAsia="en-AU"/>
              </w:rPr>
              <w:t>)</w:t>
            </w:r>
          </w:p>
        </w:tc>
        <w:tc>
          <w:tcPr>
            <w:tcW w:w="3287" w:type="dxa"/>
            <w:shd w:val="clear" w:color="auto" w:fill="auto"/>
          </w:tcPr>
          <w:p w14:paraId="7256FCC9" w14:textId="5AA61AFF" w:rsidR="00AB10C9" w:rsidRPr="007909C4" w:rsidRDefault="00AB10C9" w:rsidP="00AB10C9">
            <w:pPr>
              <w:spacing w:after="0" w:line="240" w:lineRule="auto"/>
              <w:jc w:val="right"/>
              <w:rPr>
                <w:sz w:val="16"/>
                <w:szCs w:val="16"/>
              </w:rPr>
            </w:pPr>
            <w:r w:rsidRPr="007909C4">
              <w:rPr>
                <w:sz w:val="16"/>
                <w:szCs w:val="16"/>
              </w:rPr>
              <w:t>76,320</w:t>
            </w:r>
          </w:p>
        </w:tc>
      </w:tr>
      <w:tr w:rsidR="00AB10C9" w:rsidRPr="007909C4" w14:paraId="339FDC61" w14:textId="77777777" w:rsidTr="003B2257">
        <w:trPr>
          <w:trHeight w:val="300"/>
        </w:trPr>
        <w:tc>
          <w:tcPr>
            <w:tcW w:w="2940" w:type="dxa"/>
            <w:shd w:val="clear" w:color="auto" w:fill="auto"/>
            <w:hideMark/>
          </w:tcPr>
          <w:p w14:paraId="0FE1367F" w14:textId="77777777"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Latrobe Regional Hospital</w:t>
            </w:r>
          </w:p>
        </w:tc>
        <w:tc>
          <w:tcPr>
            <w:tcW w:w="3287" w:type="dxa"/>
            <w:shd w:val="clear" w:color="auto" w:fill="auto"/>
            <w:hideMark/>
          </w:tcPr>
          <w:p w14:paraId="4DF463A7" w14:textId="68855225" w:rsidR="00AB10C9" w:rsidRPr="007909C4" w:rsidRDefault="00AB10C9" w:rsidP="00AB10C9">
            <w:pPr>
              <w:spacing w:after="0" w:line="240" w:lineRule="auto"/>
              <w:jc w:val="right"/>
              <w:rPr>
                <w:rFonts w:cs="Arial"/>
                <w:color w:val="000000" w:themeColor="text1"/>
                <w:sz w:val="16"/>
                <w:szCs w:val="16"/>
                <w:lang w:eastAsia="en-AU"/>
              </w:rPr>
            </w:pPr>
            <w:r w:rsidRPr="007909C4">
              <w:rPr>
                <w:sz w:val="16"/>
                <w:szCs w:val="16"/>
              </w:rPr>
              <w:t>89,422</w:t>
            </w:r>
          </w:p>
        </w:tc>
      </w:tr>
      <w:tr w:rsidR="00AB10C9" w:rsidRPr="007909C4" w14:paraId="47305E52" w14:textId="77777777" w:rsidTr="003B2257">
        <w:trPr>
          <w:trHeight w:val="300"/>
        </w:trPr>
        <w:tc>
          <w:tcPr>
            <w:tcW w:w="2940" w:type="dxa"/>
            <w:shd w:val="clear" w:color="auto" w:fill="auto"/>
            <w:hideMark/>
          </w:tcPr>
          <w:p w14:paraId="16D63F7F" w14:textId="77777777"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Melbourne Health</w:t>
            </w:r>
          </w:p>
        </w:tc>
        <w:tc>
          <w:tcPr>
            <w:tcW w:w="3287" w:type="dxa"/>
            <w:shd w:val="clear" w:color="auto" w:fill="auto"/>
            <w:hideMark/>
          </w:tcPr>
          <w:p w14:paraId="344E9ED7" w14:textId="5896E7D8" w:rsidR="00AB10C9" w:rsidRPr="007909C4" w:rsidRDefault="00AB10C9" w:rsidP="00AB10C9">
            <w:pPr>
              <w:spacing w:after="0" w:line="240" w:lineRule="auto"/>
              <w:jc w:val="right"/>
              <w:rPr>
                <w:rFonts w:cs="Arial"/>
                <w:color w:val="000000" w:themeColor="text1"/>
                <w:sz w:val="16"/>
                <w:szCs w:val="16"/>
                <w:lang w:eastAsia="en-AU"/>
              </w:rPr>
            </w:pPr>
            <w:r w:rsidRPr="007909C4">
              <w:rPr>
                <w:sz w:val="16"/>
                <w:szCs w:val="16"/>
              </w:rPr>
              <w:t>154,279</w:t>
            </w:r>
          </w:p>
        </w:tc>
      </w:tr>
      <w:tr w:rsidR="00AB10C9" w:rsidRPr="007909C4" w14:paraId="64577DFB" w14:textId="77777777" w:rsidTr="003B2257">
        <w:trPr>
          <w:trHeight w:val="300"/>
        </w:trPr>
        <w:tc>
          <w:tcPr>
            <w:tcW w:w="2940" w:type="dxa"/>
            <w:shd w:val="clear" w:color="auto" w:fill="auto"/>
            <w:hideMark/>
          </w:tcPr>
          <w:p w14:paraId="259F3CD1" w14:textId="77777777"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Mercy Health</w:t>
            </w:r>
          </w:p>
        </w:tc>
        <w:tc>
          <w:tcPr>
            <w:tcW w:w="3287" w:type="dxa"/>
            <w:shd w:val="clear" w:color="auto" w:fill="auto"/>
            <w:hideMark/>
          </w:tcPr>
          <w:p w14:paraId="68ECED46" w14:textId="01F052F6" w:rsidR="00AB10C9" w:rsidRPr="007909C4" w:rsidRDefault="00AB10C9" w:rsidP="00AB10C9">
            <w:pPr>
              <w:spacing w:after="0" w:line="240" w:lineRule="auto"/>
              <w:jc w:val="right"/>
              <w:rPr>
                <w:rFonts w:cs="Arial"/>
                <w:color w:val="000000" w:themeColor="text1"/>
                <w:sz w:val="16"/>
                <w:szCs w:val="16"/>
                <w:lang w:eastAsia="en-AU"/>
              </w:rPr>
            </w:pPr>
            <w:r w:rsidRPr="007909C4">
              <w:rPr>
                <w:sz w:val="16"/>
                <w:szCs w:val="16"/>
              </w:rPr>
              <w:t>88,335</w:t>
            </w:r>
          </w:p>
        </w:tc>
      </w:tr>
      <w:tr w:rsidR="00AB10C9" w:rsidRPr="007909C4" w14:paraId="3C04AA0E" w14:textId="77777777" w:rsidTr="003B2257">
        <w:trPr>
          <w:trHeight w:val="300"/>
        </w:trPr>
        <w:tc>
          <w:tcPr>
            <w:tcW w:w="2940" w:type="dxa"/>
            <w:shd w:val="clear" w:color="auto" w:fill="auto"/>
            <w:hideMark/>
          </w:tcPr>
          <w:p w14:paraId="0B88E113" w14:textId="77777777"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Monash Health</w:t>
            </w:r>
          </w:p>
        </w:tc>
        <w:tc>
          <w:tcPr>
            <w:tcW w:w="3287" w:type="dxa"/>
            <w:shd w:val="clear" w:color="auto" w:fill="auto"/>
            <w:hideMark/>
          </w:tcPr>
          <w:p w14:paraId="1D2F560B" w14:textId="75EBB79C" w:rsidR="00AB10C9" w:rsidRPr="007909C4" w:rsidRDefault="00AB10C9" w:rsidP="00AB10C9">
            <w:pPr>
              <w:spacing w:after="0" w:line="240" w:lineRule="auto"/>
              <w:jc w:val="right"/>
              <w:rPr>
                <w:rFonts w:cs="Arial"/>
                <w:color w:val="000000" w:themeColor="text1"/>
                <w:sz w:val="16"/>
                <w:szCs w:val="16"/>
                <w:lang w:eastAsia="en-AU"/>
              </w:rPr>
            </w:pPr>
            <w:r w:rsidRPr="007909C4">
              <w:rPr>
                <w:sz w:val="16"/>
                <w:szCs w:val="16"/>
              </w:rPr>
              <w:t>282,797</w:t>
            </w:r>
          </w:p>
        </w:tc>
      </w:tr>
      <w:tr w:rsidR="00AB10C9" w:rsidRPr="007909C4" w14:paraId="2B38ADAF" w14:textId="77777777" w:rsidTr="003B2257">
        <w:trPr>
          <w:trHeight w:val="300"/>
        </w:trPr>
        <w:tc>
          <w:tcPr>
            <w:tcW w:w="2940" w:type="dxa"/>
            <w:shd w:val="clear" w:color="auto" w:fill="auto"/>
          </w:tcPr>
          <w:p w14:paraId="70288374" w14:textId="3B1B5009" w:rsidR="00AB10C9" w:rsidRPr="00685B35" w:rsidRDefault="00AB10C9" w:rsidP="00AB10C9">
            <w:pPr>
              <w:spacing w:after="0" w:line="240" w:lineRule="auto"/>
              <w:rPr>
                <w:rFonts w:cs="Arial"/>
                <w:color w:val="000000" w:themeColor="text1"/>
                <w:sz w:val="16"/>
                <w:szCs w:val="16"/>
                <w:lang w:eastAsia="en-AU"/>
              </w:rPr>
            </w:pPr>
            <w:r>
              <w:rPr>
                <w:rFonts w:cs="Arial"/>
                <w:color w:val="000000" w:themeColor="text1"/>
                <w:sz w:val="16"/>
                <w:szCs w:val="16"/>
                <w:lang w:eastAsia="en-AU"/>
              </w:rPr>
              <w:t>Northern Health</w:t>
            </w:r>
          </w:p>
        </w:tc>
        <w:tc>
          <w:tcPr>
            <w:tcW w:w="3287" w:type="dxa"/>
            <w:shd w:val="clear" w:color="auto" w:fill="auto"/>
          </w:tcPr>
          <w:p w14:paraId="5D47EC14" w14:textId="6EEFC5B1" w:rsidR="00AB10C9" w:rsidRPr="007909C4" w:rsidRDefault="00AB10C9" w:rsidP="00AB10C9">
            <w:pPr>
              <w:spacing w:after="0" w:line="240" w:lineRule="auto"/>
              <w:jc w:val="right"/>
              <w:rPr>
                <w:rFonts w:cs="Arial"/>
                <w:color w:val="000000" w:themeColor="text1"/>
                <w:sz w:val="16"/>
                <w:szCs w:val="16"/>
                <w:lang w:eastAsia="en-AU"/>
              </w:rPr>
            </w:pPr>
            <w:r w:rsidRPr="007909C4">
              <w:rPr>
                <w:sz w:val="16"/>
                <w:szCs w:val="16"/>
              </w:rPr>
              <w:t>150,510</w:t>
            </w:r>
          </w:p>
        </w:tc>
      </w:tr>
      <w:tr w:rsidR="00AB10C9" w:rsidRPr="007909C4" w14:paraId="4F436B40" w14:textId="77777777" w:rsidTr="003B2257">
        <w:trPr>
          <w:trHeight w:val="300"/>
        </w:trPr>
        <w:tc>
          <w:tcPr>
            <w:tcW w:w="2940" w:type="dxa"/>
            <w:shd w:val="clear" w:color="auto" w:fill="auto"/>
            <w:hideMark/>
          </w:tcPr>
          <w:p w14:paraId="19FCAE8F" w14:textId="77777777"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Peninsula Health</w:t>
            </w:r>
          </w:p>
        </w:tc>
        <w:tc>
          <w:tcPr>
            <w:tcW w:w="3287" w:type="dxa"/>
            <w:shd w:val="clear" w:color="auto" w:fill="auto"/>
            <w:hideMark/>
          </w:tcPr>
          <w:p w14:paraId="0DC164C4" w14:textId="7035000E" w:rsidR="00AB10C9" w:rsidRPr="007909C4" w:rsidRDefault="00AB10C9" w:rsidP="00AB10C9">
            <w:pPr>
              <w:spacing w:after="0" w:line="240" w:lineRule="auto"/>
              <w:jc w:val="right"/>
              <w:rPr>
                <w:rFonts w:cs="Arial"/>
                <w:color w:val="000000" w:themeColor="text1"/>
                <w:sz w:val="16"/>
                <w:szCs w:val="16"/>
                <w:lang w:eastAsia="en-AU"/>
              </w:rPr>
            </w:pPr>
            <w:r w:rsidRPr="007909C4">
              <w:rPr>
                <w:sz w:val="16"/>
                <w:szCs w:val="16"/>
              </w:rPr>
              <w:t>73,074</w:t>
            </w:r>
          </w:p>
        </w:tc>
      </w:tr>
      <w:tr w:rsidR="00AB10C9" w:rsidRPr="007909C4" w14:paraId="1D4F495F" w14:textId="77777777" w:rsidTr="003B2257">
        <w:trPr>
          <w:trHeight w:val="300"/>
        </w:trPr>
        <w:tc>
          <w:tcPr>
            <w:tcW w:w="2940" w:type="dxa"/>
            <w:shd w:val="clear" w:color="auto" w:fill="auto"/>
            <w:hideMark/>
          </w:tcPr>
          <w:p w14:paraId="68764AFE" w14:textId="77777777"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St Vincent’s Hospital</w:t>
            </w:r>
          </w:p>
        </w:tc>
        <w:tc>
          <w:tcPr>
            <w:tcW w:w="3287" w:type="dxa"/>
            <w:shd w:val="clear" w:color="auto" w:fill="auto"/>
            <w:hideMark/>
          </w:tcPr>
          <w:p w14:paraId="1D27DCD3" w14:textId="673A8563" w:rsidR="00AB10C9" w:rsidRPr="007909C4" w:rsidRDefault="00AB10C9" w:rsidP="00AB10C9">
            <w:pPr>
              <w:spacing w:after="0" w:line="240" w:lineRule="auto"/>
              <w:jc w:val="right"/>
              <w:rPr>
                <w:rFonts w:cs="Arial"/>
                <w:color w:val="000000" w:themeColor="text1"/>
                <w:sz w:val="16"/>
                <w:szCs w:val="16"/>
                <w:lang w:eastAsia="en-AU"/>
              </w:rPr>
            </w:pPr>
            <w:r w:rsidRPr="007909C4">
              <w:rPr>
                <w:sz w:val="16"/>
                <w:szCs w:val="16"/>
              </w:rPr>
              <w:t>86,012</w:t>
            </w:r>
          </w:p>
        </w:tc>
      </w:tr>
      <w:tr w:rsidR="00AB10C9" w:rsidRPr="007909C4" w14:paraId="012D38AA" w14:textId="77777777" w:rsidTr="003B2257">
        <w:trPr>
          <w:trHeight w:val="300"/>
        </w:trPr>
        <w:tc>
          <w:tcPr>
            <w:tcW w:w="2940" w:type="dxa"/>
            <w:shd w:val="clear" w:color="auto" w:fill="auto"/>
            <w:hideMark/>
          </w:tcPr>
          <w:p w14:paraId="05BE7644" w14:textId="77777777" w:rsidR="00AB10C9" w:rsidRPr="00685B35" w:rsidRDefault="00AB10C9" w:rsidP="00AB10C9">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The Royal Children’s Hospital</w:t>
            </w:r>
          </w:p>
        </w:tc>
        <w:tc>
          <w:tcPr>
            <w:tcW w:w="3287" w:type="dxa"/>
            <w:shd w:val="clear" w:color="auto" w:fill="auto"/>
            <w:hideMark/>
          </w:tcPr>
          <w:p w14:paraId="76CBBD61" w14:textId="0FE127C6" w:rsidR="00AB10C9" w:rsidRPr="007909C4" w:rsidRDefault="00AB10C9" w:rsidP="00AB10C9">
            <w:pPr>
              <w:spacing w:after="0" w:line="240" w:lineRule="auto"/>
              <w:jc w:val="right"/>
              <w:rPr>
                <w:rFonts w:cs="Arial"/>
                <w:color w:val="000000" w:themeColor="text1"/>
                <w:sz w:val="16"/>
                <w:szCs w:val="16"/>
                <w:lang w:eastAsia="en-AU"/>
              </w:rPr>
            </w:pPr>
            <w:r w:rsidRPr="007909C4">
              <w:rPr>
                <w:sz w:val="16"/>
                <w:szCs w:val="16"/>
              </w:rPr>
              <w:t>52,514</w:t>
            </w:r>
          </w:p>
        </w:tc>
      </w:tr>
      <w:tr w:rsidR="00AB10C9" w:rsidRPr="007909C4" w14:paraId="79D6215C" w14:textId="77777777" w:rsidTr="003B2257">
        <w:trPr>
          <w:trHeight w:val="300"/>
        </w:trPr>
        <w:tc>
          <w:tcPr>
            <w:tcW w:w="2940" w:type="dxa"/>
            <w:shd w:val="clear" w:color="auto" w:fill="auto"/>
          </w:tcPr>
          <w:p w14:paraId="03A94E5D" w14:textId="76C11382" w:rsidR="00AB10C9" w:rsidRPr="00685B35" w:rsidRDefault="00AB10C9" w:rsidP="00AB10C9">
            <w:pPr>
              <w:spacing w:after="0" w:line="240" w:lineRule="auto"/>
              <w:rPr>
                <w:rFonts w:cs="Arial"/>
                <w:color w:val="000000" w:themeColor="text1"/>
                <w:sz w:val="16"/>
                <w:szCs w:val="16"/>
                <w:lang w:eastAsia="en-AU"/>
              </w:rPr>
            </w:pPr>
            <w:r>
              <w:rPr>
                <w:rFonts w:cs="Arial"/>
                <w:color w:val="000000" w:themeColor="text1"/>
                <w:sz w:val="16"/>
                <w:szCs w:val="16"/>
                <w:lang w:eastAsia="en-AU"/>
              </w:rPr>
              <w:t>Western Health</w:t>
            </w:r>
          </w:p>
        </w:tc>
        <w:tc>
          <w:tcPr>
            <w:tcW w:w="3287" w:type="dxa"/>
            <w:shd w:val="clear" w:color="auto" w:fill="auto"/>
          </w:tcPr>
          <w:p w14:paraId="11300255" w14:textId="4BBF902D" w:rsidR="00AB10C9" w:rsidRPr="007909C4" w:rsidRDefault="00AB10C9" w:rsidP="00AB10C9">
            <w:pPr>
              <w:spacing w:after="0" w:line="240" w:lineRule="auto"/>
              <w:jc w:val="right"/>
              <w:rPr>
                <w:rFonts w:cs="Arial"/>
                <w:color w:val="000000" w:themeColor="text1"/>
                <w:sz w:val="16"/>
                <w:szCs w:val="16"/>
                <w:lang w:eastAsia="en-AU"/>
              </w:rPr>
            </w:pPr>
            <w:r w:rsidRPr="007909C4">
              <w:rPr>
                <w:sz w:val="16"/>
                <w:szCs w:val="16"/>
              </w:rPr>
              <w:t>78,386</w:t>
            </w:r>
          </w:p>
        </w:tc>
      </w:tr>
    </w:tbl>
    <w:p w14:paraId="3800DD99" w14:textId="419CED6F" w:rsidR="00F2096A" w:rsidRDefault="00F2096A" w:rsidP="00AE6427">
      <w:pPr>
        <w:pStyle w:val="Body"/>
        <w:spacing w:before="60"/>
      </w:pPr>
      <w:r>
        <w:t xml:space="preserve">Subregional </w:t>
      </w:r>
      <w:r w:rsidRPr="00F2096A">
        <w:t>and</w:t>
      </w:r>
      <w:r>
        <w:t xml:space="preserve"> </w:t>
      </w:r>
      <w:r w:rsidRPr="00F2096A">
        <w:t>local</w:t>
      </w:r>
      <w:r>
        <w:t xml:space="preserve"> </w:t>
      </w:r>
    </w:p>
    <w:tbl>
      <w:tblPr>
        <w:tblStyle w:val="TableGrid1"/>
        <w:tblpPr w:leftFromText="180" w:rightFromText="180" w:vertAnchor="text" w:tblpY="1"/>
        <w:tblOverlap w:val="never"/>
        <w:tblW w:w="6227" w:type="dxa"/>
        <w:tblLook w:val="04A0" w:firstRow="1" w:lastRow="0" w:firstColumn="1" w:lastColumn="0" w:noHBand="0" w:noVBand="1"/>
      </w:tblPr>
      <w:tblGrid>
        <w:gridCol w:w="2924"/>
        <w:gridCol w:w="3303"/>
      </w:tblGrid>
      <w:tr w:rsidR="00E77D60" w:rsidRPr="00E77D60" w14:paraId="40CDDD2B" w14:textId="77777777" w:rsidTr="004A20FD">
        <w:trPr>
          <w:cnfStyle w:val="100000000000" w:firstRow="1" w:lastRow="0" w:firstColumn="0" w:lastColumn="0" w:oddVBand="0" w:evenVBand="0" w:oddHBand="0" w:evenHBand="0" w:firstRowFirstColumn="0" w:firstRowLastColumn="0" w:lastRowFirstColumn="0" w:lastRowLastColumn="0"/>
          <w:trHeight w:val="420"/>
        </w:trPr>
        <w:tc>
          <w:tcPr>
            <w:tcW w:w="2924" w:type="dxa"/>
            <w:shd w:val="clear" w:color="auto" w:fill="auto"/>
            <w:hideMark/>
          </w:tcPr>
          <w:p w14:paraId="01B44501" w14:textId="77777777" w:rsidR="00E77D60" w:rsidRPr="00685B35" w:rsidRDefault="00E77D60" w:rsidP="004A20FD">
            <w:pPr>
              <w:pStyle w:val="Tablecolheadlandscape"/>
              <w:rPr>
                <w:b w:val="0"/>
              </w:rPr>
            </w:pPr>
            <w:r w:rsidRPr="00685B35">
              <w:t>Health service</w:t>
            </w:r>
          </w:p>
        </w:tc>
        <w:tc>
          <w:tcPr>
            <w:tcW w:w="3303" w:type="dxa"/>
            <w:shd w:val="clear" w:color="auto" w:fill="auto"/>
            <w:hideMark/>
          </w:tcPr>
          <w:p w14:paraId="7BC7F34D" w14:textId="77777777" w:rsidR="00E77D60" w:rsidRPr="00685B35" w:rsidRDefault="00E77D60" w:rsidP="004A20FD">
            <w:pPr>
              <w:pStyle w:val="Tablecolheadlandscape"/>
              <w:jc w:val="right"/>
              <w:rPr>
                <w:b w:val="0"/>
              </w:rPr>
            </w:pPr>
            <w:r w:rsidRPr="00685B35">
              <w:t>Ambulatory contacts</w:t>
            </w:r>
          </w:p>
        </w:tc>
      </w:tr>
      <w:tr w:rsidR="007C7111" w:rsidRPr="00E77D60" w14:paraId="37D7965B" w14:textId="77777777" w:rsidTr="004A20FD">
        <w:trPr>
          <w:trHeight w:val="300"/>
        </w:trPr>
        <w:tc>
          <w:tcPr>
            <w:tcW w:w="2924" w:type="dxa"/>
            <w:shd w:val="clear" w:color="auto" w:fill="auto"/>
            <w:hideMark/>
          </w:tcPr>
          <w:p w14:paraId="34AA7F55" w14:textId="77777777" w:rsidR="007C7111" w:rsidRPr="00E77D60" w:rsidRDefault="007C7111" w:rsidP="004A20FD">
            <w:pPr>
              <w:spacing w:after="0" w:line="240" w:lineRule="auto"/>
              <w:rPr>
                <w:rFonts w:cs="Arial"/>
                <w:color w:val="000000"/>
                <w:sz w:val="16"/>
                <w:szCs w:val="16"/>
                <w:lang w:eastAsia="en-AU"/>
              </w:rPr>
            </w:pPr>
            <w:r w:rsidRPr="00E77D60">
              <w:rPr>
                <w:rFonts w:cs="Arial"/>
                <w:color w:val="000000"/>
                <w:sz w:val="16"/>
                <w:szCs w:val="16"/>
                <w:lang w:eastAsia="en-AU"/>
              </w:rPr>
              <w:t>Mildura Base Hospital</w:t>
            </w:r>
          </w:p>
        </w:tc>
        <w:tc>
          <w:tcPr>
            <w:tcW w:w="3303" w:type="dxa"/>
            <w:shd w:val="clear" w:color="auto" w:fill="auto"/>
            <w:hideMark/>
          </w:tcPr>
          <w:p w14:paraId="0BE3A903" w14:textId="7C8720B0" w:rsidR="007C7111" w:rsidRPr="007C7111" w:rsidRDefault="007C7111" w:rsidP="004A20FD">
            <w:pPr>
              <w:spacing w:after="0" w:line="240" w:lineRule="auto"/>
              <w:jc w:val="right"/>
              <w:rPr>
                <w:rFonts w:cs="Arial"/>
                <w:color w:val="000000"/>
                <w:sz w:val="16"/>
                <w:szCs w:val="16"/>
                <w:lang w:eastAsia="en-AU"/>
              </w:rPr>
            </w:pPr>
            <w:r w:rsidRPr="007C7111">
              <w:rPr>
                <w:sz w:val="16"/>
                <w:szCs w:val="16"/>
              </w:rPr>
              <w:t>31,114</w:t>
            </w:r>
          </w:p>
        </w:tc>
      </w:tr>
      <w:tr w:rsidR="007C7111" w:rsidRPr="00E77D60" w14:paraId="01DC5AA2" w14:textId="77777777" w:rsidTr="004A20FD">
        <w:trPr>
          <w:trHeight w:val="300"/>
        </w:trPr>
        <w:tc>
          <w:tcPr>
            <w:tcW w:w="2924" w:type="dxa"/>
            <w:shd w:val="clear" w:color="auto" w:fill="auto"/>
            <w:hideMark/>
          </w:tcPr>
          <w:p w14:paraId="64AFF8B9" w14:textId="77777777" w:rsidR="007C7111" w:rsidRPr="00E77D60" w:rsidRDefault="007C7111" w:rsidP="004A20FD">
            <w:pPr>
              <w:spacing w:after="0" w:line="240" w:lineRule="auto"/>
              <w:rPr>
                <w:rFonts w:cs="Arial"/>
                <w:color w:val="000000"/>
                <w:sz w:val="16"/>
                <w:szCs w:val="16"/>
                <w:lang w:eastAsia="en-AU"/>
              </w:rPr>
            </w:pPr>
            <w:r w:rsidRPr="00E77D60">
              <w:rPr>
                <w:rFonts w:cs="Arial"/>
                <w:color w:val="000000"/>
                <w:sz w:val="16"/>
                <w:szCs w:val="16"/>
                <w:lang w:eastAsia="en-AU"/>
              </w:rPr>
              <w:t>South West Healthcare</w:t>
            </w:r>
          </w:p>
        </w:tc>
        <w:tc>
          <w:tcPr>
            <w:tcW w:w="3303" w:type="dxa"/>
            <w:shd w:val="clear" w:color="auto" w:fill="auto"/>
            <w:hideMark/>
          </w:tcPr>
          <w:p w14:paraId="4DE5BEFA" w14:textId="364D39CC" w:rsidR="007C7111" w:rsidRPr="007C7111" w:rsidRDefault="007C7111" w:rsidP="004A20FD">
            <w:pPr>
              <w:spacing w:after="0" w:line="240" w:lineRule="auto"/>
              <w:jc w:val="right"/>
              <w:rPr>
                <w:rFonts w:cs="Arial"/>
                <w:color w:val="000000"/>
                <w:sz w:val="16"/>
                <w:szCs w:val="16"/>
                <w:lang w:eastAsia="en-AU"/>
              </w:rPr>
            </w:pPr>
            <w:r w:rsidRPr="007C7111">
              <w:rPr>
                <w:sz w:val="16"/>
                <w:szCs w:val="16"/>
              </w:rPr>
              <w:t>42,646</w:t>
            </w:r>
          </w:p>
        </w:tc>
      </w:tr>
    </w:tbl>
    <w:p w14:paraId="2A3C7AAA" w14:textId="11EB9646" w:rsidR="00F2096A" w:rsidRDefault="004A20FD" w:rsidP="00AE6427">
      <w:pPr>
        <w:pStyle w:val="Body"/>
        <w:spacing w:before="60"/>
      </w:pPr>
      <w:r>
        <w:br w:type="textWrapping" w:clear="all"/>
      </w:r>
      <w:r w:rsidR="00F2096A">
        <w:t xml:space="preserve">Combined </w:t>
      </w:r>
      <w:r w:rsidR="00F2096A" w:rsidRPr="00F2096A">
        <w:t>total</w:t>
      </w:r>
    </w:p>
    <w:tbl>
      <w:tblPr>
        <w:tblStyle w:val="TableGrid1"/>
        <w:tblW w:w="6227" w:type="dxa"/>
        <w:tblLook w:val="04A0" w:firstRow="1" w:lastRow="0" w:firstColumn="1" w:lastColumn="0" w:noHBand="0" w:noVBand="1"/>
      </w:tblPr>
      <w:tblGrid>
        <w:gridCol w:w="3380"/>
        <w:gridCol w:w="2847"/>
      </w:tblGrid>
      <w:tr w:rsidR="000D6B56" w:rsidRPr="000D6B56" w14:paraId="5801310E" w14:textId="77777777" w:rsidTr="00685B35">
        <w:trPr>
          <w:cnfStyle w:val="100000000000" w:firstRow="1" w:lastRow="0" w:firstColumn="0" w:lastColumn="0" w:oddVBand="0" w:evenVBand="0" w:oddHBand="0" w:evenHBand="0" w:firstRowFirstColumn="0" w:firstRowLastColumn="0" w:lastRowFirstColumn="0" w:lastRowLastColumn="0"/>
          <w:trHeight w:val="420"/>
        </w:trPr>
        <w:tc>
          <w:tcPr>
            <w:tcW w:w="0" w:type="dxa"/>
            <w:shd w:val="clear" w:color="auto" w:fill="auto"/>
            <w:hideMark/>
          </w:tcPr>
          <w:p w14:paraId="4982EAF7" w14:textId="7400AFC8" w:rsidR="000D6B56" w:rsidRPr="00685B35" w:rsidRDefault="00D33A03" w:rsidP="00685B35">
            <w:pPr>
              <w:pStyle w:val="Tablecolheadlandscape"/>
              <w:rPr>
                <w:b w:val="0"/>
              </w:rPr>
            </w:pPr>
            <w:bookmarkStart w:id="1251" w:name="_Toc110950079"/>
            <w:bookmarkStart w:id="1252" w:name="_Toc12780679"/>
            <w:bookmarkStart w:id="1253" w:name="_Toc14172320"/>
            <w:bookmarkStart w:id="1254" w:name="_Toc33703994"/>
            <w:bookmarkStart w:id="1255" w:name="_Toc55381182"/>
            <w:bookmarkStart w:id="1256" w:name="_Toc100263386"/>
            <w:bookmarkEnd w:id="1251"/>
            <w:r w:rsidRPr="003E2E75">
              <w:t>Health service</w:t>
            </w:r>
          </w:p>
        </w:tc>
        <w:tc>
          <w:tcPr>
            <w:tcW w:w="0" w:type="dxa"/>
            <w:shd w:val="clear" w:color="auto" w:fill="auto"/>
            <w:hideMark/>
          </w:tcPr>
          <w:p w14:paraId="3E7CE244" w14:textId="77777777" w:rsidR="000D6B56" w:rsidRPr="00685B35" w:rsidRDefault="000D6B56" w:rsidP="00685B35">
            <w:pPr>
              <w:pStyle w:val="Tablecolheadlandscape"/>
              <w:jc w:val="right"/>
              <w:rPr>
                <w:b w:val="0"/>
              </w:rPr>
            </w:pPr>
            <w:r w:rsidRPr="00685B35">
              <w:t>Ambulatory contacts</w:t>
            </w:r>
          </w:p>
        </w:tc>
      </w:tr>
      <w:tr w:rsidR="000D6B56" w:rsidRPr="000D6B56" w14:paraId="3C18DC2D" w14:textId="77777777" w:rsidTr="005826E3">
        <w:trPr>
          <w:trHeight w:val="300"/>
        </w:trPr>
        <w:tc>
          <w:tcPr>
            <w:tcW w:w="3380" w:type="dxa"/>
            <w:hideMark/>
          </w:tcPr>
          <w:p w14:paraId="40C3C492" w14:textId="77777777" w:rsidR="000D6B56" w:rsidRPr="000D6B56" w:rsidRDefault="000D6B56" w:rsidP="000D6B56">
            <w:pPr>
              <w:spacing w:after="0" w:line="240" w:lineRule="auto"/>
              <w:rPr>
                <w:rFonts w:cs="Arial"/>
                <w:b/>
                <w:bCs/>
                <w:color w:val="000000"/>
                <w:sz w:val="16"/>
                <w:szCs w:val="16"/>
                <w:lang w:eastAsia="en-AU"/>
              </w:rPr>
            </w:pPr>
            <w:r w:rsidRPr="000D6B56">
              <w:rPr>
                <w:rFonts w:cs="Arial"/>
                <w:b/>
                <w:bCs/>
                <w:color w:val="000000"/>
                <w:sz w:val="16"/>
                <w:szCs w:val="16"/>
                <w:lang w:eastAsia="en-AU"/>
              </w:rPr>
              <w:t>Total</w:t>
            </w:r>
          </w:p>
        </w:tc>
        <w:tc>
          <w:tcPr>
            <w:tcW w:w="2847" w:type="dxa"/>
            <w:hideMark/>
          </w:tcPr>
          <w:p w14:paraId="3158F0C1" w14:textId="655C9396" w:rsidR="000D6B56" w:rsidRPr="000D6B56" w:rsidRDefault="007978DE" w:rsidP="000D6B56">
            <w:pPr>
              <w:spacing w:after="0" w:line="240" w:lineRule="auto"/>
              <w:jc w:val="right"/>
              <w:rPr>
                <w:rFonts w:cs="Arial"/>
                <w:b/>
                <w:bCs/>
                <w:color w:val="000000"/>
                <w:sz w:val="16"/>
                <w:szCs w:val="16"/>
                <w:lang w:eastAsia="en-AU"/>
              </w:rPr>
            </w:pPr>
            <w:r w:rsidRPr="007978DE">
              <w:rPr>
                <w:rFonts w:cs="Arial"/>
                <w:b/>
                <w:bCs/>
                <w:color w:val="000000"/>
                <w:sz w:val="16"/>
                <w:szCs w:val="16"/>
                <w:lang w:eastAsia="en-AU"/>
              </w:rPr>
              <w:t>1,952,724</w:t>
            </w:r>
          </w:p>
        </w:tc>
      </w:tr>
    </w:tbl>
    <w:p w14:paraId="48D04D82" w14:textId="0CCD8B9C" w:rsidR="000D6B56" w:rsidRPr="000D6B56" w:rsidRDefault="000D6B56" w:rsidP="000D6B56">
      <w:pPr>
        <w:pStyle w:val="Body"/>
        <w:sectPr w:rsidR="000D6B56" w:rsidRPr="000D6B56" w:rsidSect="00E369FC">
          <w:headerReference w:type="even" r:id="rId96"/>
          <w:footerReference w:type="even" r:id="rId97"/>
          <w:pgSz w:w="11906" w:h="16838" w:code="9"/>
          <w:pgMar w:top="1418" w:right="1304" w:bottom="1134" w:left="1304" w:header="680" w:footer="283" w:gutter="0"/>
          <w:cols w:space="340"/>
          <w:docGrid w:linePitch="360"/>
        </w:sectPr>
      </w:pPr>
    </w:p>
    <w:p w14:paraId="42D89133" w14:textId="77CF305E" w:rsidR="000B27B9" w:rsidRDefault="7B0F94E6" w:rsidP="00081936">
      <w:pPr>
        <w:pStyle w:val="Heading3"/>
        <w:numPr>
          <w:ilvl w:val="2"/>
          <w:numId w:val="33"/>
        </w:numPr>
        <w:spacing w:before="0"/>
        <w:ind w:left="1134"/>
      </w:pPr>
      <w:bookmarkStart w:id="1257" w:name="_Toc156569711"/>
      <w:r>
        <w:t xml:space="preserve">Alcohol and </w:t>
      </w:r>
      <w:r w:rsidR="558330CD">
        <w:t>O</w:t>
      </w:r>
      <w:r>
        <w:t xml:space="preserve">ther </w:t>
      </w:r>
      <w:r w:rsidR="558330CD">
        <w:t>D</w:t>
      </w:r>
      <w:r>
        <w:t xml:space="preserve">rugs </w:t>
      </w:r>
      <w:r w:rsidR="558330CD">
        <w:t>O</w:t>
      </w:r>
      <w:r>
        <w:t xml:space="preserve">utput </w:t>
      </w:r>
      <w:r w:rsidR="558330CD">
        <w:t>T</w:t>
      </w:r>
      <w:r>
        <w:t xml:space="preserve">argets </w:t>
      </w:r>
      <w:bookmarkEnd w:id="1252"/>
      <w:bookmarkEnd w:id="1253"/>
      <w:bookmarkEnd w:id="1254"/>
      <w:bookmarkEnd w:id="1255"/>
      <w:r w:rsidR="635881F6">
        <w:t>202</w:t>
      </w:r>
      <w:r w:rsidR="0065661A">
        <w:t>3</w:t>
      </w:r>
      <w:r w:rsidR="68F7D204">
        <w:t>–</w:t>
      </w:r>
      <w:r w:rsidR="635881F6">
        <w:t>2</w:t>
      </w:r>
      <w:r w:rsidR="0065661A">
        <w:t>4</w:t>
      </w:r>
      <w:bookmarkEnd w:id="1256"/>
      <w:bookmarkEnd w:id="1257"/>
    </w:p>
    <w:p w14:paraId="09472BE5" w14:textId="64415626" w:rsidR="000B27B9" w:rsidRDefault="000B27B9" w:rsidP="000E08EF">
      <w:pPr>
        <w:pStyle w:val="Tablecaption"/>
      </w:pPr>
      <w:bookmarkStart w:id="1258" w:name="_Toc14194841"/>
      <w:bookmarkStart w:id="1259" w:name="_Toc33704022"/>
      <w:bookmarkStart w:id="1260" w:name="_Toc109894151"/>
      <w:bookmarkStart w:id="1261" w:name="_Toc156568702"/>
      <w:r>
        <w:t xml:space="preserve">Table </w:t>
      </w:r>
      <w:r>
        <w:fldChar w:fldCharType="begin"/>
      </w:r>
      <w:r>
        <w:instrText>STYLEREF 1 \s</w:instrText>
      </w:r>
      <w:r>
        <w:fldChar w:fldCharType="separate"/>
      </w:r>
      <w:r w:rsidR="00892F13">
        <w:rPr>
          <w:noProof/>
        </w:rPr>
        <w:t>2</w:t>
      </w:r>
      <w:r>
        <w:fldChar w:fldCharType="end"/>
      </w:r>
      <w:r w:rsidR="00742C12">
        <w:t>.</w:t>
      </w:r>
      <w:r>
        <w:fldChar w:fldCharType="begin"/>
      </w:r>
      <w:r>
        <w:instrText>SEQ Table \* ARABIC \s 1</w:instrText>
      </w:r>
      <w:r>
        <w:fldChar w:fldCharType="separate"/>
      </w:r>
      <w:r w:rsidR="007E6861">
        <w:rPr>
          <w:noProof/>
        </w:rPr>
        <w:t>25</w:t>
      </w:r>
      <w:r>
        <w:fldChar w:fldCharType="end"/>
      </w:r>
      <w:r>
        <w:t>: Alcohol and other drugs output targets</w:t>
      </w:r>
      <w:r w:rsidRPr="007A725F">
        <w:t xml:space="preserve"> </w:t>
      </w:r>
      <w:bookmarkEnd w:id="1258"/>
      <w:bookmarkEnd w:id="1259"/>
      <w:r w:rsidR="005D1FCB" w:rsidRPr="00D31096">
        <w:t>202</w:t>
      </w:r>
      <w:r w:rsidR="00F218C7">
        <w:t>3</w:t>
      </w:r>
      <w:r w:rsidR="00DA22EA">
        <w:t>–</w:t>
      </w:r>
      <w:r w:rsidR="005D1FCB" w:rsidRPr="00D31096">
        <w:t>2</w:t>
      </w:r>
      <w:r w:rsidR="00F218C7">
        <w:t>4</w:t>
      </w:r>
      <w:bookmarkEnd w:id="1260"/>
      <w:bookmarkEnd w:id="1261"/>
    </w:p>
    <w:p w14:paraId="01C9BA83" w14:textId="05F6F7A8" w:rsidR="009C67FC" w:rsidRDefault="009C67FC" w:rsidP="009C67FC">
      <w:pPr>
        <w:pStyle w:val="Body"/>
      </w:pPr>
      <w:r>
        <w:t>Metropolitan and regional</w:t>
      </w:r>
    </w:p>
    <w:tbl>
      <w:tblPr>
        <w:tblStyle w:val="TableGrid1"/>
        <w:tblW w:w="14276" w:type="dxa"/>
        <w:tblLayout w:type="fixed"/>
        <w:tblLook w:val="06A0" w:firstRow="1" w:lastRow="0" w:firstColumn="1" w:lastColumn="0" w:noHBand="1" w:noVBand="1"/>
      </w:tblPr>
      <w:tblGrid>
        <w:gridCol w:w="1536"/>
        <w:gridCol w:w="849"/>
        <w:gridCol w:w="849"/>
        <w:gridCol w:w="850"/>
        <w:gridCol w:w="849"/>
        <w:gridCol w:w="849"/>
        <w:gridCol w:w="850"/>
        <w:gridCol w:w="849"/>
        <w:gridCol w:w="849"/>
        <w:gridCol w:w="850"/>
        <w:gridCol w:w="849"/>
        <w:gridCol w:w="849"/>
        <w:gridCol w:w="850"/>
        <w:gridCol w:w="849"/>
        <w:gridCol w:w="849"/>
        <w:gridCol w:w="850"/>
      </w:tblGrid>
      <w:tr w:rsidR="00D33A03" w:rsidRPr="00462A8C" w14:paraId="36190E5E" w14:textId="77777777" w:rsidTr="00974CBE">
        <w:trPr>
          <w:cnfStyle w:val="100000000000" w:firstRow="1" w:lastRow="0" w:firstColumn="0" w:lastColumn="0" w:oddVBand="0" w:evenVBand="0" w:oddHBand="0" w:evenHBand="0" w:firstRowFirstColumn="0" w:firstRowLastColumn="0" w:lastRowFirstColumn="0" w:lastRowLastColumn="0"/>
          <w:trHeight w:val="871"/>
          <w:tblHeader/>
        </w:trPr>
        <w:tc>
          <w:tcPr>
            <w:tcW w:w="1536" w:type="dxa"/>
            <w:shd w:val="clear" w:color="auto" w:fill="auto"/>
            <w:hideMark/>
          </w:tcPr>
          <w:p w14:paraId="57009347" w14:textId="2DC61A02" w:rsidR="00462A8C" w:rsidRPr="00462A8C" w:rsidRDefault="00462A8C" w:rsidP="00685B35">
            <w:pPr>
              <w:pStyle w:val="Tablecolheadlandscape"/>
              <w:rPr>
                <w:lang w:eastAsia="en-AU"/>
              </w:rPr>
            </w:pPr>
            <w:r w:rsidRPr="00462A8C">
              <w:rPr>
                <w:lang w:eastAsia="en-AU"/>
              </w:rPr>
              <w:t xml:space="preserve">Health </w:t>
            </w:r>
            <w:r w:rsidR="00D33A03">
              <w:rPr>
                <w:lang w:eastAsia="en-AU"/>
              </w:rPr>
              <w:t>s</w:t>
            </w:r>
            <w:r w:rsidRPr="00462A8C">
              <w:rPr>
                <w:lang w:eastAsia="en-AU"/>
              </w:rPr>
              <w:t>ervice</w:t>
            </w:r>
          </w:p>
        </w:tc>
        <w:tc>
          <w:tcPr>
            <w:tcW w:w="849" w:type="dxa"/>
            <w:shd w:val="clear" w:color="auto" w:fill="auto"/>
            <w:hideMark/>
          </w:tcPr>
          <w:p w14:paraId="4C1EEBD3" w14:textId="178669E7" w:rsidR="00462A8C" w:rsidRPr="00462A8C" w:rsidRDefault="00462A8C" w:rsidP="00685B35">
            <w:pPr>
              <w:pStyle w:val="Tablecolheadlandscape"/>
              <w:rPr>
                <w:lang w:eastAsia="en-AU"/>
              </w:rPr>
            </w:pPr>
            <w:r w:rsidRPr="00462A8C">
              <w:rPr>
                <w:lang w:eastAsia="en-AU"/>
              </w:rPr>
              <w:t>DT</w:t>
            </w:r>
            <w:r w:rsidR="00062FDF">
              <w:rPr>
                <w:lang w:eastAsia="en-AU"/>
              </w:rPr>
              <w:t>A</w:t>
            </w:r>
            <w:r w:rsidRPr="00462A8C">
              <w:rPr>
                <w:lang w:eastAsia="en-AU"/>
              </w:rPr>
              <w:t xml:space="preserve">U – activity </w:t>
            </w:r>
          </w:p>
        </w:tc>
        <w:tc>
          <w:tcPr>
            <w:tcW w:w="849" w:type="dxa"/>
            <w:shd w:val="clear" w:color="auto" w:fill="auto"/>
            <w:hideMark/>
          </w:tcPr>
          <w:p w14:paraId="5949E01B" w14:textId="77777777" w:rsidR="00462A8C" w:rsidRPr="00462A8C" w:rsidRDefault="00462A8C" w:rsidP="00685B35">
            <w:pPr>
              <w:pStyle w:val="Tablecolheadlandscape"/>
              <w:rPr>
                <w:lang w:eastAsia="en-AU"/>
              </w:rPr>
            </w:pPr>
            <w:r w:rsidRPr="00462A8C">
              <w:rPr>
                <w:lang w:eastAsia="en-AU"/>
              </w:rPr>
              <w:t>DTAU – residential drug withdrawal</w:t>
            </w:r>
          </w:p>
        </w:tc>
        <w:tc>
          <w:tcPr>
            <w:tcW w:w="850" w:type="dxa"/>
            <w:shd w:val="clear" w:color="auto" w:fill="auto"/>
            <w:hideMark/>
          </w:tcPr>
          <w:p w14:paraId="02275F94" w14:textId="3B401C70" w:rsidR="00462A8C" w:rsidRPr="00462A8C" w:rsidRDefault="00462A8C" w:rsidP="00685B35">
            <w:pPr>
              <w:pStyle w:val="Tablecolheadlandscape"/>
              <w:rPr>
                <w:lang w:eastAsia="en-AU"/>
              </w:rPr>
            </w:pPr>
            <w:r w:rsidRPr="00462A8C">
              <w:rPr>
                <w:lang w:eastAsia="en-AU"/>
              </w:rPr>
              <w:t>DTAU – residential rehabilitation</w:t>
            </w:r>
          </w:p>
        </w:tc>
        <w:tc>
          <w:tcPr>
            <w:tcW w:w="849" w:type="dxa"/>
            <w:shd w:val="clear" w:color="auto" w:fill="auto"/>
            <w:hideMark/>
          </w:tcPr>
          <w:p w14:paraId="3B8A563B" w14:textId="77777777" w:rsidR="00462A8C" w:rsidRPr="00462A8C" w:rsidRDefault="00462A8C" w:rsidP="00685B35">
            <w:pPr>
              <w:pStyle w:val="Tablecolheadlandscape"/>
              <w:rPr>
                <w:lang w:eastAsia="en-AU"/>
              </w:rPr>
            </w:pPr>
            <w:r w:rsidRPr="00462A8C">
              <w:rPr>
                <w:lang w:eastAsia="en-AU"/>
              </w:rPr>
              <w:t>DTAU – Intake and assessment</w:t>
            </w:r>
          </w:p>
        </w:tc>
        <w:tc>
          <w:tcPr>
            <w:tcW w:w="849" w:type="dxa"/>
            <w:shd w:val="clear" w:color="auto" w:fill="auto"/>
            <w:hideMark/>
          </w:tcPr>
          <w:p w14:paraId="451AE862" w14:textId="77777777" w:rsidR="00462A8C" w:rsidRPr="00462A8C" w:rsidRDefault="00462A8C" w:rsidP="00685B35">
            <w:pPr>
              <w:pStyle w:val="Tablecolheadlandscape"/>
              <w:rPr>
                <w:lang w:eastAsia="en-AU"/>
              </w:rPr>
            </w:pPr>
            <w:r w:rsidRPr="00462A8C">
              <w:rPr>
                <w:lang w:eastAsia="en-AU"/>
              </w:rPr>
              <w:t>DTAU – Care and recovery coordination</w:t>
            </w:r>
          </w:p>
        </w:tc>
        <w:tc>
          <w:tcPr>
            <w:tcW w:w="850" w:type="dxa"/>
            <w:shd w:val="clear" w:color="auto" w:fill="auto"/>
            <w:hideMark/>
          </w:tcPr>
          <w:p w14:paraId="3451C501" w14:textId="77777777" w:rsidR="00462A8C" w:rsidRPr="00462A8C" w:rsidRDefault="00462A8C" w:rsidP="00685B35">
            <w:pPr>
              <w:pStyle w:val="Tablecolheadlandscape"/>
              <w:rPr>
                <w:lang w:eastAsia="en-AU"/>
              </w:rPr>
            </w:pPr>
            <w:r w:rsidRPr="00462A8C">
              <w:rPr>
                <w:lang w:eastAsia="en-AU"/>
              </w:rPr>
              <w:t>DTAU – counselling</w:t>
            </w:r>
          </w:p>
        </w:tc>
        <w:tc>
          <w:tcPr>
            <w:tcW w:w="849" w:type="dxa"/>
            <w:shd w:val="clear" w:color="auto" w:fill="auto"/>
            <w:hideMark/>
          </w:tcPr>
          <w:p w14:paraId="3FFF8331" w14:textId="77777777" w:rsidR="00462A8C" w:rsidRPr="00462A8C" w:rsidRDefault="00462A8C" w:rsidP="00685B35">
            <w:pPr>
              <w:pStyle w:val="Tablecolheadlandscape"/>
              <w:rPr>
                <w:lang w:eastAsia="en-AU"/>
              </w:rPr>
            </w:pPr>
            <w:r w:rsidRPr="00462A8C">
              <w:rPr>
                <w:lang w:eastAsia="en-AU"/>
              </w:rPr>
              <w:t>Episode of care – Mobile overdose response service</w:t>
            </w:r>
          </w:p>
        </w:tc>
        <w:tc>
          <w:tcPr>
            <w:tcW w:w="849" w:type="dxa"/>
            <w:shd w:val="clear" w:color="auto" w:fill="auto"/>
            <w:hideMark/>
          </w:tcPr>
          <w:p w14:paraId="4858C1BF" w14:textId="77C90D8A" w:rsidR="00462A8C" w:rsidRPr="00462A8C" w:rsidRDefault="00462A8C" w:rsidP="00685B35">
            <w:pPr>
              <w:pStyle w:val="Tablecolheadlandscape"/>
              <w:rPr>
                <w:lang w:eastAsia="en-AU"/>
              </w:rPr>
            </w:pPr>
            <w:r w:rsidRPr="00462A8C">
              <w:rPr>
                <w:lang w:eastAsia="en-AU"/>
              </w:rPr>
              <w:t xml:space="preserve">DTAU – </w:t>
            </w:r>
            <w:r w:rsidR="00C4616E" w:rsidRPr="00462A8C">
              <w:rPr>
                <w:lang w:eastAsia="en-AU"/>
              </w:rPr>
              <w:t>Non-residential</w:t>
            </w:r>
            <w:r w:rsidRPr="00462A8C">
              <w:rPr>
                <w:lang w:eastAsia="en-AU"/>
              </w:rPr>
              <w:t xml:space="preserve"> withdrawal</w:t>
            </w:r>
          </w:p>
        </w:tc>
        <w:tc>
          <w:tcPr>
            <w:tcW w:w="850" w:type="dxa"/>
            <w:shd w:val="clear" w:color="auto" w:fill="auto"/>
            <w:hideMark/>
          </w:tcPr>
          <w:p w14:paraId="100D9927" w14:textId="77777777" w:rsidR="00462A8C" w:rsidRPr="00462A8C" w:rsidRDefault="00462A8C" w:rsidP="00685B35">
            <w:pPr>
              <w:pStyle w:val="Tablecolheadlandscape"/>
              <w:rPr>
                <w:lang w:eastAsia="en-AU"/>
              </w:rPr>
            </w:pPr>
            <w:r w:rsidRPr="00462A8C">
              <w:rPr>
                <w:lang w:eastAsia="en-AU"/>
              </w:rPr>
              <w:t>DTAU – Rural withdrawal</w:t>
            </w:r>
          </w:p>
        </w:tc>
        <w:tc>
          <w:tcPr>
            <w:tcW w:w="849" w:type="dxa"/>
            <w:shd w:val="clear" w:color="auto" w:fill="auto"/>
            <w:hideMark/>
          </w:tcPr>
          <w:p w14:paraId="74B91BB2" w14:textId="3F21807D" w:rsidR="00462A8C" w:rsidRPr="00462A8C" w:rsidRDefault="00462A8C" w:rsidP="00685B35">
            <w:pPr>
              <w:pStyle w:val="Tablecolheadlandscape"/>
              <w:rPr>
                <w:lang w:eastAsia="en-AU"/>
              </w:rPr>
            </w:pPr>
            <w:r w:rsidRPr="00462A8C">
              <w:rPr>
                <w:lang w:eastAsia="en-AU"/>
              </w:rPr>
              <w:t>Episode of care – Specialist Pharmacotherapy</w:t>
            </w:r>
          </w:p>
        </w:tc>
        <w:tc>
          <w:tcPr>
            <w:tcW w:w="849" w:type="dxa"/>
            <w:shd w:val="clear" w:color="auto" w:fill="auto"/>
            <w:hideMark/>
          </w:tcPr>
          <w:p w14:paraId="7C687425" w14:textId="77777777" w:rsidR="00462A8C" w:rsidRPr="00462A8C" w:rsidRDefault="00462A8C" w:rsidP="00685B35">
            <w:pPr>
              <w:pStyle w:val="Tablecolheadlandscape"/>
              <w:rPr>
                <w:lang w:eastAsia="en-AU"/>
              </w:rPr>
            </w:pPr>
            <w:r w:rsidRPr="00462A8C">
              <w:rPr>
                <w:lang w:eastAsia="en-AU"/>
              </w:rPr>
              <w:t>Episode of care – Specialist Pharmacotherapy Service</w:t>
            </w:r>
          </w:p>
        </w:tc>
        <w:tc>
          <w:tcPr>
            <w:tcW w:w="850" w:type="dxa"/>
            <w:shd w:val="clear" w:color="auto" w:fill="auto"/>
            <w:hideMark/>
          </w:tcPr>
          <w:p w14:paraId="4E3CB2A4" w14:textId="23E08A68" w:rsidR="00462A8C" w:rsidRPr="00462A8C" w:rsidRDefault="00462A8C" w:rsidP="00685B35">
            <w:pPr>
              <w:pStyle w:val="Tablecolheadlandscape"/>
              <w:rPr>
                <w:lang w:eastAsia="en-AU"/>
              </w:rPr>
            </w:pPr>
            <w:r w:rsidRPr="00462A8C">
              <w:rPr>
                <w:lang w:eastAsia="en-AU"/>
              </w:rPr>
              <w:t>Episode of care –  Youth A</w:t>
            </w:r>
            <w:r w:rsidR="000D626D">
              <w:rPr>
                <w:lang w:eastAsia="en-AU"/>
              </w:rPr>
              <w:t>O</w:t>
            </w:r>
            <w:r w:rsidRPr="00462A8C">
              <w:rPr>
                <w:lang w:eastAsia="en-AU"/>
              </w:rPr>
              <w:t>D supported accommodation</w:t>
            </w:r>
          </w:p>
        </w:tc>
        <w:tc>
          <w:tcPr>
            <w:tcW w:w="849" w:type="dxa"/>
            <w:shd w:val="clear" w:color="auto" w:fill="auto"/>
            <w:hideMark/>
          </w:tcPr>
          <w:p w14:paraId="099E1985" w14:textId="77777777" w:rsidR="00462A8C" w:rsidRPr="00462A8C" w:rsidRDefault="00462A8C" w:rsidP="00685B35">
            <w:pPr>
              <w:pStyle w:val="Tablecolheadlandscape"/>
              <w:rPr>
                <w:lang w:eastAsia="en-AU"/>
              </w:rPr>
            </w:pPr>
            <w:r w:rsidRPr="00462A8C">
              <w:rPr>
                <w:lang w:eastAsia="en-AU"/>
              </w:rPr>
              <w:t>Episode of care –  Youth A&amp;D supported accommodation rural</w:t>
            </w:r>
          </w:p>
        </w:tc>
        <w:tc>
          <w:tcPr>
            <w:tcW w:w="849" w:type="dxa"/>
            <w:shd w:val="clear" w:color="auto" w:fill="auto"/>
            <w:hideMark/>
          </w:tcPr>
          <w:p w14:paraId="1145B1ED" w14:textId="77777777" w:rsidR="00462A8C" w:rsidRPr="00462A8C" w:rsidRDefault="00462A8C" w:rsidP="00685B35">
            <w:pPr>
              <w:pStyle w:val="Tablecolheadlandscape"/>
              <w:rPr>
                <w:lang w:eastAsia="en-AU"/>
              </w:rPr>
            </w:pPr>
            <w:r w:rsidRPr="00462A8C">
              <w:rPr>
                <w:lang w:eastAsia="en-AU"/>
              </w:rPr>
              <w:t>Episode of care –Youth Outreach</w:t>
            </w:r>
          </w:p>
        </w:tc>
        <w:tc>
          <w:tcPr>
            <w:tcW w:w="850" w:type="dxa"/>
            <w:shd w:val="clear" w:color="auto" w:fill="auto"/>
            <w:hideMark/>
          </w:tcPr>
          <w:p w14:paraId="39C783D3" w14:textId="77777777" w:rsidR="00462A8C" w:rsidRPr="00462A8C" w:rsidRDefault="00462A8C" w:rsidP="00685B35">
            <w:pPr>
              <w:pStyle w:val="Tablecolheadlandscape"/>
              <w:rPr>
                <w:lang w:eastAsia="en-AU"/>
              </w:rPr>
            </w:pPr>
            <w:r w:rsidRPr="00462A8C">
              <w:rPr>
                <w:lang w:eastAsia="en-AU"/>
              </w:rPr>
              <w:t>Total</w:t>
            </w:r>
          </w:p>
        </w:tc>
      </w:tr>
      <w:tr w:rsidR="00462A8C" w:rsidRPr="00462A8C" w14:paraId="19C456E7" w14:textId="77777777" w:rsidTr="00974CBE">
        <w:trPr>
          <w:trHeight w:val="284"/>
        </w:trPr>
        <w:tc>
          <w:tcPr>
            <w:tcW w:w="1536" w:type="dxa"/>
            <w:hideMark/>
          </w:tcPr>
          <w:p w14:paraId="7A490862"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Alfred Health</w:t>
            </w:r>
          </w:p>
        </w:tc>
        <w:tc>
          <w:tcPr>
            <w:tcW w:w="849" w:type="dxa"/>
            <w:noWrap/>
            <w:hideMark/>
          </w:tcPr>
          <w:p w14:paraId="5ED38871"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7426462B"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7B5EC7C5"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7E22BCFC"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15B90975"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76AC955B"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55EACBAE"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2B94A35C"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004BCF67"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776040C3"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42A16856"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140</w:t>
            </w:r>
          </w:p>
        </w:tc>
        <w:tc>
          <w:tcPr>
            <w:tcW w:w="850" w:type="dxa"/>
            <w:noWrap/>
            <w:hideMark/>
          </w:tcPr>
          <w:p w14:paraId="452C77E5"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56005F10"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674BBE9A"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5FDC1952"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140</w:t>
            </w:r>
          </w:p>
        </w:tc>
      </w:tr>
      <w:tr w:rsidR="00462A8C" w:rsidRPr="00462A8C" w14:paraId="7008B9C0" w14:textId="77777777" w:rsidTr="00974CBE">
        <w:trPr>
          <w:trHeight w:val="284"/>
        </w:trPr>
        <w:tc>
          <w:tcPr>
            <w:tcW w:w="1536" w:type="dxa"/>
            <w:hideMark/>
          </w:tcPr>
          <w:p w14:paraId="1C4695EA"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Austin Health</w:t>
            </w:r>
          </w:p>
        </w:tc>
        <w:tc>
          <w:tcPr>
            <w:tcW w:w="849" w:type="dxa"/>
            <w:noWrap/>
            <w:hideMark/>
          </w:tcPr>
          <w:p w14:paraId="5AF1FC1C"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1061B0AA"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0EC33238"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716A3441"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12639E5F"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12BF66A0"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53D0BFDF"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0A5DAD40"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46CC1E8E"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1FBD112B"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33486175"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140</w:t>
            </w:r>
          </w:p>
        </w:tc>
        <w:tc>
          <w:tcPr>
            <w:tcW w:w="850" w:type="dxa"/>
            <w:noWrap/>
            <w:hideMark/>
          </w:tcPr>
          <w:p w14:paraId="7ACFA03D"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0A434318"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517197CE"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0DD99A7F"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140</w:t>
            </w:r>
          </w:p>
        </w:tc>
      </w:tr>
      <w:tr w:rsidR="00462A8C" w:rsidRPr="00462A8C" w14:paraId="2EE08FB8" w14:textId="77777777" w:rsidTr="00974CBE">
        <w:trPr>
          <w:trHeight w:val="284"/>
        </w:trPr>
        <w:tc>
          <w:tcPr>
            <w:tcW w:w="1536" w:type="dxa"/>
            <w:hideMark/>
          </w:tcPr>
          <w:p w14:paraId="19CADCC2"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Barwon Health</w:t>
            </w:r>
          </w:p>
        </w:tc>
        <w:tc>
          <w:tcPr>
            <w:tcW w:w="849" w:type="dxa"/>
            <w:noWrap/>
            <w:hideMark/>
          </w:tcPr>
          <w:p w14:paraId="1683C86F" w14:textId="4902E57A" w:rsidR="00462A8C" w:rsidRPr="00462A8C" w:rsidRDefault="00462A8C" w:rsidP="00462A8C">
            <w:pPr>
              <w:spacing w:after="0" w:line="240" w:lineRule="auto"/>
              <w:jc w:val="right"/>
              <w:rPr>
                <w:rFonts w:cs="Arial"/>
                <w:color w:val="000000"/>
                <w:sz w:val="16"/>
                <w:szCs w:val="16"/>
                <w:lang w:eastAsia="en-AU"/>
              </w:rPr>
            </w:pPr>
          </w:p>
        </w:tc>
        <w:tc>
          <w:tcPr>
            <w:tcW w:w="849" w:type="dxa"/>
            <w:noWrap/>
            <w:hideMark/>
          </w:tcPr>
          <w:p w14:paraId="58AD0883"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012C80A8"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23505233" w14:textId="52C5C184" w:rsidR="00462A8C" w:rsidRPr="00462A8C" w:rsidRDefault="0CE0A70A" w:rsidP="00462A8C">
            <w:pPr>
              <w:spacing w:after="0" w:line="240" w:lineRule="auto"/>
              <w:jc w:val="right"/>
            </w:pPr>
            <w:r w:rsidRPr="656A36FC">
              <w:rPr>
                <w:rFonts w:cs="Arial"/>
                <w:color w:val="000000" w:themeColor="text1"/>
                <w:sz w:val="16"/>
                <w:szCs w:val="16"/>
                <w:lang w:eastAsia="en-AU"/>
              </w:rPr>
              <w:t>705</w:t>
            </w:r>
          </w:p>
        </w:tc>
        <w:tc>
          <w:tcPr>
            <w:tcW w:w="849" w:type="dxa"/>
            <w:noWrap/>
            <w:hideMark/>
          </w:tcPr>
          <w:p w14:paraId="5B6E2599" w14:textId="72C41619" w:rsidR="00462A8C" w:rsidRPr="00462A8C" w:rsidRDefault="0CE0A70A" w:rsidP="00462A8C">
            <w:pPr>
              <w:spacing w:after="0" w:line="240" w:lineRule="auto"/>
              <w:jc w:val="right"/>
              <w:rPr>
                <w:rFonts w:cs="Arial"/>
                <w:color w:val="000000"/>
                <w:sz w:val="16"/>
                <w:szCs w:val="16"/>
                <w:lang w:eastAsia="en-AU"/>
              </w:rPr>
            </w:pPr>
            <w:r w:rsidRPr="656A36FC">
              <w:rPr>
                <w:rFonts w:cs="Arial"/>
                <w:color w:val="000000" w:themeColor="text1"/>
                <w:sz w:val="16"/>
                <w:szCs w:val="16"/>
                <w:lang w:eastAsia="en-AU"/>
              </w:rPr>
              <w:t>263</w:t>
            </w:r>
          </w:p>
        </w:tc>
        <w:tc>
          <w:tcPr>
            <w:tcW w:w="850" w:type="dxa"/>
            <w:noWrap/>
            <w:hideMark/>
          </w:tcPr>
          <w:p w14:paraId="2BA55755" w14:textId="4C81DB05" w:rsidR="00462A8C" w:rsidRPr="00462A8C" w:rsidRDefault="00462A8C" w:rsidP="00462A8C">
            <w:pPr>
              <w:spacing w:after="0" w:line="240" w:lineRule="auto"/>
              <w:rPr>
                <w:rFonts w:cs="Arial"/>
                <w:color w:val="000000"/>
                <w:sz w:val="16"/>
                <w:szCs w:val="16"/>
                <w:lang w:eastAsia="en-AU"/>
              </w:rPr>
            </w:pPr>
            <w:r w:rsidRPr="656A36FC">
              <w:rPr>
                <w:rFonts w:cs="Arial"/>
                <w:color w:val="000000" w:themeColor="text1"/>
                <w:sz w:val="16"/>
                <w:szCs w:val="16"/>
                <w:lang w:eastAsia="en-AU"/>
              </w:rPr>
              <w:t> </w:t>
            </w:r>
            <w:r w:rsidR="276EA7A7" w:rsidRPr="656A36FC">
              <w:rPr>
                <w:rFonts w:cs="Arial"/>
                <w:color w:val="000000" w:themeColor="text1"/>
                <w:sz w:val="16"/>
                <w:szCs w:val="16"/>
                <w:lang w:eastAsia="en-AU"/>
              </w:rPr>
              <w:t>669</w:t>
            </w:r>
          </w:p>
        </w:tc>
        <w:tc>
          <w:tcPr>
            <w:tcW w:w="849" w:type="dxa"/>
            <w:noWrap/>
            <w:hideMark/>
          </w:tcPr>
          <w:p w14:paraId="01141387"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7A3DC5A1" w14:textId="04D265F8" w:rsidR="00462A8C" w:rsidRPr="00462A8C" w:rsidRDefault="00462A8C" w:rsidP="00462A8C">
            <w:pPr>
              <w:spacing w:after="0" w:line="240" w:lineRule="auto"/>
              <w:rPr>
                <w:rFonts w:cs="Arial"/>
                <w:color w:val="000000"/>
                <w:sz w:val="16"/>
                <w:szCs w:val="16"/>
                <w:lang w:eastAsia="en-AU"/>
              </w:rPr>
            </w:pPr>
            <w:r w:rsidRPr="656A36FC">
              <w:rPr>
                <w:rFonts w:cs="Arial"/>
                <w:color w:val="000000" w:themeColor="text1"/>
                <w:sz w:val="16"/>
                <w:szCs w:val="16"/>
                <w:lang w:eastAsia="en-AU"/>
              </w:rPr>
              <w:t> </w:t>
            </w:r>
            <w:r w:rsidR="3A950F7B" w:rsidRPr="656A36FC">
              <w:rPr>
                <w:rFonts w:cs="Arial"/>
                <w:color w:val="000000" w:themeColor="text1"/>
                <w:sz w:val="16"/>
                <w:szCs w:val="16"/>
                <w:lang w:eastAsia="en-AU"/>
              </w:rPr>
              <w:t>304</w:t>
            </w:r>
          </w:p>
        </w:tc>
        <w:tc>
          <w:tcPr>
            <w:tcW w:w="850" w:type="dxa"/>
            <w:noWrap/>
            <w:hideMark/>
          </w:tcPr>
          <w:p w14:paraId="2ED3BC68"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0BEFBE05"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0759904D"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12017C38"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5E072431"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5</w:t>
            </w:r>
          </w:p>
        </w:tc>
        <w:tc>
          <w:tcPr>
            <w:tcW w:w="849" w:type="dxa"/>
            <w:noWrap/>
            <w:hideMark/>
          </w:tcPr>
          <w:p w14:paraId="53046050"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55</w:t>
            </w:r>
          </w:p>
        </w:tc>
        <w:tc>
          <w:tcPr>
            <w:tcW w:w="850" w:type="dxa"/>
            <w:noWrap/>
            <w:hideMark/>
          </w:tcPr>
          <w:p w14:paraId="69EFC835"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2,000</w:t>
            </w:r>
          </w:p>
        </w:tc>
      </w:tr>
      <w:tr w:rsidR="00462A8C" w:rsidRPr="00462A8C" w14:paraId="0FBE4482" w14:textId="77777777" w:rsidTr="00974CBE">
        <w:trPr>
          <w:trHeight w:val="284"/>
        </w:trPr>
        <w:tc>
          <w:tcPr>
            <w:tcW w:w="1536" w:type="dxa"/>
            <w:hideMark/>
          </w:tcPr>
          <w:p w14:paraId="77F63FFC"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Bendigo Health</w:t>
            </w:r>
          </w:p>
        </w:tc>
        <w:tc>
          <w:tcPr>
            <w:tcW w:w="849" w:type="dxa"/>
            <w:noWrap/>
            <w:hideMark/>
          </w:tcPr>
          <w:p w14:paraId="3D01A4F4"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2,391</w:t>
            </w:r>
          </w:p>
        </w:tc>
        <w:tc>
          <w:tcPr>
            <w:tcW w:w="849" w:type="dxa"/>
            <w:noWrap/>
            <w:hideMark/>
          </w:tcPr>
          <w:p w14:paraId="0321E89B"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46E52C1E"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60DA6260"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34FCE7CC"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65555EAA"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171D8CA2"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63A8D367"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5EC30B3B"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7B92B716"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4686D355"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3D6645F6"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1796BF4B"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0D355A52"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52D6A67F"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2,391</w:t>
            </w:r>
          </w:p>
        </w:tc>
      </w:tr>
      <w:tr w:rsidR="00462A8C" w:rsidRPr="00462A8C" w14:paraId="0429E612" w14:textId="77777777" w:rsidTr="00974CBE">
        <w:trPr>
          <w:trHeight w:val="284"/>
        </w:trPr>
        <w:tc>
          <w:tcPr>
            <w:tcW w:w="1536" w:type="dxa"/>
            <w:hideMark/>
          </w:tcPr>
          <w:p w14:paraId="1156F80F"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Eastern Health</w:t>
            </w:r>
          </w:p>
        </w:tc>
        <w:tc>
          <w:tcPr>
            <w:tcW w:w="849" w:type="dxa"/>
            <w:noWrap/>
            <w:hideMark/>
          </w:tcPr>
          <w:p w14:paraId="50772034" w14:textId="5624645B" w:rsidR="00462A8C" w:rsidRPr="00462A8C" w:rsidRDefault="00462A8C" w:rsidP="00462A8C">
            <w:pPr>
              <w:spacing w:after="0" w:line="240" w:lineRule="auto"/>
              <w:jc w:val="right"/>
              <w:rPr>
                <w:rFonts w:cs="Arial"/>
                <w:color w:val="000000" w:themeColor="text1"/>
                <w:sz w:val="16"/>
                <w:szCs w:val="16"/>
                <w:lang w:eastAsia="en-AU"/>
              </w:rPr>
            </w:pPr>
          </w:p>
        </w:tc>
        <w:tc>
          <w:tcPr>
            <w:tcW w:w="849" w:type="dxa"/>
            <w:noWrap/>
            <w:hideMark/>
          </w:tcPr>
          <w:p w14:paraId="051B530B" w14:textId="3E55BE0D" w:rsidR="00462A8C" w:rsidRPr="00462A8C" w:rsidRDefault="00462A8C" w:rsidP="00462A8C">
            <w:pPr>
              <w:spacing w:after="0" w:line="240" w:lineRule="auto"/>
              <w:rPr>
                <w:rFonts w:cs="Arial"/>
                <w:color w:val="000000"/>
                <w:sz w:val="16"/>
                <w:szCs w:val="16"/>
                <w:lang w:eastAsia="en-AU"/>
              </w:rPr>
            </w:pPr>
            <w:r w:rsidRPr="656A36FC">
              <w:rPr>
                <w:rFonts w:cs="Arial"/>
                <w:color w:val="000000" w:themeColor="text1"/>
                <w:sz w:val="16"/>
                <w:szCs w:val="16"/>
                <w:lang w:eastAsia="en-AU"/>
              </w:rPr>
              <w:t> </w:t>
            </w:r>
            <w:r w:rsidR="3AFBCA05" w:rsidRPr="656A36FC">
              <w:rPr>
                <w:rFonts w:cs="Arial"/>
                <w:color w:val="000000" w:themeColor="text1"/>
                <w:sz w:val="16"/>
                <w:szCs w:val="16"/>
                <w:lang w:eastAsia="en-AU"/>
              </w:rPr>
              <w:t>2850</w:t>
            </w:r>
          </w:p>
        </w:tc>
        <w:tc>
          <w:tcPr>
            <w:tcW w:w="850" w:type="dxa"/>
            <w:noWrap/>
            <w:hideMark/>
          </w:tcPr>
          <w:p w14:paraId="044D92E8"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2F0993D1" w14:textId="1DB4AF36" w:rsidR="00462A8C" w:rsidRPr="00462A8C" w:rsidRDefault="351965C3" w:rsidP="00462A8C">
            <w:pPr>
              <w:spacing w:after="0" w:line="240" w:lineRule="auto"/>
              <w:jc w:val="right"/>
              <w:rPr>
                <w:rFonts w:cs="Arial"/>
                <w:color w:val="000000"/>
                <w:sz w:val="16"/>
                <w:szCs w:val="16"/>
                <w:lang w:eastAsia="en-AU"/>
              </w:rPr>
            </w:pPr>
            <w:r w:rsidRPr="656A36FC">
              <w:rPr>
                <w:rFonts w:cs="Arial"/>
                <w:color w:val="000000" w:themeColor="text1"/>
                <w:sz w:val="16"/>
                <w:szCs w:val="16"/>
                <w:lang w:eastAsia="en-AU"/>
              </w:rPr>
              <w:t>1,246</w:t>
            </w:r>
          </w:p>
        </w:tc>
        <w:tc>
          <w:tcPr>
            <w:tcW w:w="849" w:type="dxa"/>
            <w:noWrap/>
            <w:hideMark/>
          </w:tcPr>
          <w:p w14:paraId="1D7881FC" w14:textId="61C82938" w:rsidR="00462A8C" w:rsidRPr="00462A8C" w:rsidRDefault="351965C3" w:rsidP="00462A8C">
            <w:pPr>
              <w:spacing w:after="0" w:line="240" w:lineRule="auto"/>
              <w:jc w:val="right"/>
              <w:rPr>
                <w:rFonts w:cs="Arial"/>
                <w:color w:val="000000"/>
                <w:sz w:val="16"/>
                <w:szCs w:val="16"/>
                <w:lang w:eastAsia="en-AU"/>
              </w:rPr>
            </w:pPr>
            <w:r w:rsidRPr="656A36FC">
              <w:rPr>
                <w:rFonts w:cs="Arial"/>
                <w:color w:val="000000" w:themeColor="text1"/>
                <w:sz w:val="16"/>
                <w:szCs w:val="16"/>
                <w:lang w:eastAsia="en-AU"/>
              </w:rPr>
              <w:t>562</w:t>
            </w:r>
          </w:p>
        </w:tc>
        <w:tc>
          <w:tcPr>
            <w:tcW w:w="850" w:type="dxa"/>
            <w:noWrap/>
            <w:hideMark/>
          </w:tcPr>
          <w:p w14:paraId="331F57D8" w14:textId="474F1FF4" w:rsidR="00462A8C" w:rsidRPr="00462A8C" w:rsidRDefault="00462A8C" w:rsidP="00462A8C">
            <w:pPr>
              <w:spacing w:after="0" w:line="240" w:lineRule="auto"/>
              <w:rPr>
                <w:rFonts w:cs="Arial"/>
                <w:color w:val="000000"/>
                <w:sz w:val="16"/>
                <w:szCs w:val="16"/>
                <w:lang w:eastAsia="en-AU"/>
              </w:rPr>
            </w:pPr>
            <w:r w:rsidRPr="1D2B08F3">
              <w:rPr>
                <w:rFonts w:cs="Arial"/>
                <w:color w:val="000000" w:themeColor="text1"/>
                <w:sz w:val="16"/>
                <w:szCs w:val="16"/>
                <w:lang w:eastAsia="en-AU"/>
              </w:rPr>
              <w:t> </w:t>
            </w:r>
            <w:r w:rsidR="29A2985F" w:rsidRPr="1D2B08F3">
              <w:rPr>
                <w:rFonts w:cs="Arial"/>
                <w:color w:val="000000" w:themeColor="text1"/>
                <w:sz w:val="16"/>
                <w:szCs w:val="16"/>
                <w:lang w:eastAsia="en-AU"/>
              </w:rPr>
              <w:t>1</w:t>
            </w:r>
            <w:r w:rsidR="200202EF" w:rsidRPr="1D2B08F3">
              <w:rPr>
                <w:rFonts w:cs="Arial"/>
                <w:color w:val="000000" w:themeColor="text1"/>
                <w:sz w:val="16"/>
                <w:szCs w:val="16"/>
                <w:lang w:eastAsia="en-AU"/>
              </w:rPr>
              <w:t>,</w:t>
            </w:r>
            <w:r w:rsidR="29A2985F" w:rsidRPr="1D2B08F3">
              <w:rPr>
                <w:rFonts w:cs="Arial"/>
                <w:color w:val="000000" w:themeColor="text1"/>
                <w:sz w:val="16"/>
                <w:szCs w:val="16"/>
                <w:lang w:eastAsia="en-AU"/>
              </w:rPr>
              <w:t>786</w:t>
            </w:r>
          </w:p>
        </w:tc>
        <w:tc>
          <w:tcPr>
            <w:tcW w:w="849" w:type="dxa"/>
            <w:noWrap/>
            <w:hideMark/>
          </w:tcPr>
          <w:p w14:paraId="5479D541"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19</w:t>
            </w:r>
          </w:p>
        </w:tc>
        <w:tc>
          <w:tcPr>
            <w:tcW w:w="849" w:type="dxa"/>
            <w:noWrap/>
            <w:hideMark/>
          </w:tcPr>
          <w:p w14:paraId="60F70C02" w14:textId="614CAB92" w:rsidR="00462A8C" w:rsidRPr="00462A8C" w:rsidRDefault="00462A8C" w:rsidP="00462A8C">
            <w:pPr>
              <w:spacing w:after="0" w:line="240" w:lineRule="auto"/>
              <w:rPr>
                <w:rFonts w:cs="Arial"/>
                <w:color w:val="000000"/>
                <w:sz w:val="16"/>
                <w:szCs w:val="16"/>
                <w:lang w:eastAsia="en-AU"/>
              </w:rPr>
            </w:pPr>
            <w:r w:rsidRPr="656A36FC">
              <w:rPr>
                <w:rFonts w:cs="Arial"/>
                <w:color w:val="000000" w:themeColor="text1"/>
                <w:sz w:val="16"/>
                <w:szCs w:val="16"/>
                <w:lang w:eastAsia="en-AU"/>
              </w:rPr>
              <w:t> </w:t>
            </w:r>
            <w:r w:rsidR="0FDDF2C3" w:rsidRPr="656A36FC">
              <w:rPr>
                <w:rFonts w:cs="Arial"/>
                <w:color w:val="000000" w:themeColor="text1"/>
                <w:sz w:val="16"/>
                <w:szCs w:val="16"/>
                <w:lang w:eastAsia="en-AU"/>
              </w:rPr>
              <w:t>669</w:t>
            </w:r>
          </w:p>
        </w:tc>
        <w:tc>
          <w:tcPr>
            <w:tcW w:w="850" w:type="dxa"/>
            <w:noWrap/>
            <w:hideMark/>
          </w:tcPr>
          <w:p w14:paraId="00948A10"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5D81396A"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100</w:t>
            </w:r>
          </w:p>
        </w:tc>
        <w:tc>
          <w:tcPr>
            <w:tcW w:w="849" w:type="dxa"/>
            <w:noWrap/>
            <w:hideMark/>
          </w:tcPr>
          <w:p w14:paraId="41847ACA" w14:textId="58517D96" w:rsidR="00462A8C" w:rsidRPr="00462A8C" w:rsidRDefault="00462A8C" w:rsidP="00462A8C">
            <w:pPr>
              <w:spacing w:after="0" w:line="240" w:lineRule="auto"/>
              <w:jc w:val="right"/>
              <w:rPr>
                <w:rFonts w:cs="Arial"/>
                <w:color w:val="000000"/>
                <w:sz w:val="16"/>
                <w:szCs w:val="16"/>
                <w:lang w:eastAsia="en-AU"/>
              </w:rPr>
            </w:pPr>
            <w:r w:rsidRPr="0522715F">
              <w:rPr>
                <w:rFonts w:cs="Arial"/>
                <w:color w:val="000000" w:themeColor="text1"/>
                <w:sz w:val="16"/>
                <w:szCs w:val="16"/>
                <w:lang w:eastAsia="en-AU"/>
              </w:rPr>
              <w:t>70</w:t>
            </w:r>
          </w:p>
        </w:tc>
        <w:tc>
          <w:tcPr>
            <w:tcW w:w="850" w:type="dxa"/>
            <w:noWrap/>
            <w:hideMark/>
          </w:tcPr>
          <w:p w14:paraId="1267702D"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25472B31"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3650BD29"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527596E0"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7,302</w:t>
            </w:r>
          </w:p>
        </w:tc>
      </w:tr>
      <w:tr w:rsidR="00462A8C" w:rsidRPr="00462A8C" w14:paraId="59B807E5" w14:textId="77777777" w:rsidTr="00974CBE">
        <w:trPr>
          <w:trHeight w:val="284"/>
        </w:trPr>
        <w:tc>
          <w:tcPr>
            <w:tcW w:w="1536" w:type="dxa"/>
            <w:hideMark/>
          </w:tcPr>
          <w:p w14:paraId="566BFA15"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Goulburn Valley Health</w:t>
            </w:r>
          </w:p>
        </w:tc>
        <w:tc>
          <w:tcPr>
            <w:tcW w:w="849" w:type="dxa"/>
            <w:noWrap/>
            <w:hideMark/>
          </w:tcPr>
          <w:p w14:paraId="0765E4A7" w14:textId="757B7444" w:rsidR="00462A8C" w:rsidRPr="00462A8C" w:rsidRDefault="00462A8C" w:rsidP="00462A8C">
            <w:pPr>
              <w:spacing w:after="0" w:line="240" w:lineRule="auto"/>
              <w:jc w:val="right"/>
              <w:rPr>
                <w:rFonts w:cs="Arial"/>
                <w:color w:val="000000"/>
                <w:sz w:val="16"/>
                <w:szCs w:val="16"/>
                <w:lang w:eastAsia="en-AU"/>
              </w:rPr>
            </w:pPr>
          </w:p>
        </w:tc>
        <w:tc>
          <w:tcPr>
            <w:tcW w:w="849" w:type="dxa"/>
            <w:noWrap/>
            <w:hideMark/>
          </w:tcPr>
          <w:p w14:paraId="6B019928" w14:textId="677F0CC6" w:rsidR="00462A8C" w:rsidRPr="00462A8C" w:rsidRDefault="00462A8C" w:rsidP="00462A8C">
            <w:pPr>
              <w:spacing w:after="0" w:line="240" w:lineRule="auto"/>
              <w:rPr>
                <w:rFonts w:cs="Arial"/>
                <w:color w:val="000000"/>
                <w:sz w:val="16"/>
                <w:szCs w:val="16"/>
                <w:lang w:eastAsia="en-AU"/>
              </w:rPr>
            </w:pPr>
            <w:r w:rsidRPr="656A36FC">
              <w:rPr>
                <w:rFonts w:cs="Arial"/>
                <w:color w:val="000000" w:themeColor="text1"/>
                <w:sz w:val="16"/>
                <w:szCs w:val="16"/>
                <w:lang w:eastAsia="en-AU"/>
              </w:rPr>
              <w:t> </w:t>
            </w:r>
            <w:r w:rsidR="6A32B649" w:rsidRPr="656A36FC">
              <w:rPr>
                <w:rFonts w:cs="Arial"/>
                <w:color w:val="000000" w:themeColor="text1"/>
                <w:sz w:val="16"/>
                <w:szCs w:val="16"/>
                <w:lang w:eastAsia="en-AU"/>
              </w:rPr>
              <w:t>933</w:t>
            </w:r>
          </w:p>
        </w:tc>
        <w:tc>
          <w:tcPr>
            <w:tcW w:w="850" w:type="dxa"/>
            <w:noWrap/>
            <w:hideMark/>
          </w:tcPr>
          <w:p w14:paraId="375D801A"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190846EE" w14:textId="7D8BF13B" w:rsidR="00462A8C" w:rsidRPr="00462A8C" w:rsidRDefault="54AA1CAD" w:rsidP="00462A8C">
            <w:pPr>
              <w:spacing w:after="0" w:line="240" w:lineRule="auto"/>
              <w:jc w:val="right"/>
            </w:pPr>
            <w:r w:rsidRPr="1D2B08F3">
              <w:rPr>
                <w:rFonts w:cs="Arial"/>
                <w:color w:val="000000" w:themeColor="text1"/>
                <w:sz w:val="16"/>
                <w:szCs w:val="16"/>
                <w:lang w:eastAsia="en-AU"/>
              </w:rPr>
              <w:t>237</w:t>
            </w:r>
          </w:p>
        </w:tc>
        <w:tc>
          <w:tcPr>
            <w:tcW w:w="849" w:type="dxa"/>
            <w:noWrap/>
            <w:hideMark/>
          </w:tcPr>
          <w:p w14:paraId="6D95D7FF" w14:textId="0C351CA1" w:rsidR="00462A8C" w:rsidRPr="00462A8C" w:rsidRDefault="54AA1CAD" w:rsidP="00462A8C">
            <w:pPr>
              <w:spacing w:after="0" w:line="240" w:lineRule="auto"/>
              <w:jc w:val="right"/>
              <w:rPr>
                <w:rFonts w:cs="Arial"/>
                <w:color w:val="000000"/>
                <w:sz w:val="16"/>
                <w:szCs w:val="16"/>
                <w:lang w:eastAsia="en-AU"/>
              </w:rPr>
            </w:pPr>
            <w:r w:rsidRPr="1D2B08F3">
              <w:rPr>
                <w:rFonts w:cs="Arial"/>
                <w:color w:val="000000" w:themeColor="text1"/>
                <w:sz w:val="16"/>
                <w:szCs w:val="16"/>
                <w:lang w:eastAsia="en-AU"/>
              </w:rPr>
              <w:t>196</w:t>
            </w:r>
          </w:p>
        </w:tc>
        <w:tc>
          <w:tcPr>
            <w:tcW w:w="850" w:type="dxa"/>
            <w:noWrap/>
            <w:hideMark/>
          </w:tcPr>
          <w:p w14:paraId="288C530A" w14:textId="1D8EF086" w:rsidR="00462A8C" w:rsidRPr="00462A8C" w:rsidRDefault="00462A8C" w:rsidP="00462A8C">
            <w:pPr>
              <w:spacing w:after="0" w:line="240" w:lineRule="auto"/>
              <w:rPr>
                <w:rFonts w:cs="Arial"/>
                <w:color w:val="000000"/>
                <w:sz w:val="16"/>
                <w:szCs w:val="16"/>
                <w:lang w:eastAsia="en-AU"/>
              </w:rPr>
            </w:pPr>
            <w:r w:rsidRPr="1D2B08F3">
              <w:rPr>
                <w:rFonts w:cs="Arial"/>
                <w:color w:val="000000" w:themeColor="text1"/>
                <w:sz w:val="16"/>
                <w:szCs w:val="16"/>
                <w:lang w:eastAsia="en-AU"/>
              </w:rPr>
              <w:t> </w:t>
            </w:r>
            <w:r w:rsidR="410F86E7" w:rsidRPr="1D2B08F3">
              <w:rPr>
                <w:rFonts w:cs="Arial"/>
                <w:color w:val="000000" w:themeColor="text1"/>
                <w:sz w:val="16"/>
                <w:szCs w:val="16"/>
                <w:lang w:eastAsia="en-AU"/>
              </w:rPr>
              <w:t>622</w:t>
            </w:r>
          </w:p>
        </w:tc>
        <w:tc>
          <w:tcPr>
            <w:tcW w:w="849" w:type="dxa"/>
            <w:noWrap/>
            <w:hideMark/>
          </w:tcPr>
          <w:p w14:paraId="2A5A74C9"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6B3F07CD" w14:textId="1059647D" w:rsidR="00462A8C" w:rsidRPr="00462A8C" w:rsidRDefault="00462A8C" w:rsidP="00462A8C">
            <w:pPr>
              <w:spacing w:after="0" w:line="240" w:lineRule="auto"/>
              <w:rPr>
                <w:rFonts w:cs="Arial"/>
                <w:color w:val="000000"/>
                <w:sz w:val="16"/>
                <w:szCs w:val="16"/>
                <w:lang w:eastAsia="en-AU"/>
              </w:rPr>
            </w:pPr>
            <w:r w:rsidRPr="1D2B08F3">
              <w:rPr>
                <w:rFonts w:cs="Arial"/>
                <w:color w:val="000000" w:themeColor="text1"/>
                <w:sz w:val="16"/>
                <w:szCs w:val="16"/>
                <w:lang w:eastAsia="en-AU"/>
              </w:rPr>
              <w:t> </w:t>
            </w:r>
            <w:r w:rsidR="3AE424D5" w:rsidRPr="1D2B08F3">
              <w:rPr>
                <w:rFonts w:cs="Arial"/>
                <w:color w:val="000000" w:themeColor="text1"/>
                <w:sz w:val="16"/>
                <w:szCs w:val="16"/>
                <w:lang w:eastAsia="en-AU"/>
              </w:rPr>
              <w:t>226</w:t>
            </w:r>
          </w:p>
        </w:tc>
        <w:tc>
          <w:tcPr>
            <w:tcW w:w="850" w:type="dxa"/>
            <w:noWrap/>
            <w:hideMark/>
          </w:tcPr>
          <w:p w14:paraId="6C1B39EF"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6B8A6668"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378782DE"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64B44574"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72D965EE"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19283FCB"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38240A9D"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2,213</w:t>
            </w:r>
          </w:p>
        </w:tc>
      </w:tr>
      <w:tr w:rsidR="00462A8C" w:rsidRPr="00462A8C" w14:paraId="387506C3" w14:textId="77777777" w:rsidTr="00974CBE">
        <w:trPr>
          <w:trHeight w:val="284"/>
        </w:trPr>
        <w:tc>
          <w:tcPr>
            <w:tcW w:w="1536" w:type="dxa"/>
            <w:hideMark/>
          </w:tcPr>
          <w:p w14:paraId="0413B463"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Monash Health</w:t>
            </w:r>
          </w:p>
        </w:tc>
        <w:tc>
          <w:tcPr>
            <w:tcW w:w="849" w:type="dxa"/>
            <w:noWrap/>
            <w:hideMark/>
          </w:tcPr>
          <w:p w14:paraId="02FBE56D" w14:textId="6693E870" w:rsidR="00462A8C" w:rsidRPr="00462A8C" w:rsidRDefault="00462A8C" w:rsidP="00462A8C">
            <w:pPr>
              <w:spacing w:after="0" w:line="240" w:lineRule="auto"/>
              <w:jc w:val="right"/>
              <w:rPr>
                <w:rFonts w:cs="Arial"/>
                <w:color w:val="000000"/>
                <w:sz w:val="16"/>
                <w:szCs w:val="16"/>
                <w:lang w:eastAsia="en-AU"/>
              </w:rPr>
            </w:pPr>
          </w:p>
        </w:tc>
        <w:tc>
          <w:tcPr>
            <w:tcW w:w="849" w:type="dxa"/>
            <w:noWrap/>
            <w:hideMark/>
          </w:tcPr>
          <w:p w14:paraId="149D4790" w14:textId="04A9A04E" w:rsidR="00462A8C" w:rsidRPr="00462A8C" w:rsidRDefault="00462A8C" w:rsidP="00462A8C">
            <w:pPr>
              <w:spacing w:after="0" w:line="240" w:lineRule="auto"/>
              <w:rPr>
                <w:rFonts w:cs="Arial"/>
                <w:color w:val="000000"/>
                <w:sz w:val="16"/>
                <w:szCs w:val="16"/>
                <w:lang w:eastAsia="en-AU"/>
              </w:rPr>
            </w:pPr>
            <w:r w:rsidRPr="1D2B08F3">
              <w:rPr>
                <w:rFonts w:cs="Arial"/>
                <w:color w:val="000000" w:themeColor="text1"/>
                <w:sz w:val="16"/>
                <w:szCs w:val="16"/>
                <w:lang w:eastAsia="en-AU"/>
              </w:rPr>
              <w:t> </w:t>
            </w:r>
            <w:r w:rsidR="47B932D9" w:rsidRPr="1D2B08F3">
              <w:rPr>
                <w:rFonts w:cs="Arial"/>
                <w:color w:val="000000" w:themeColor="text1"/>
                <w:sz w:val="16"/>
                <w:szCs w:val="16"/>
                <w:lang w:eastAsia="en-AU"/>
              </w:rPr>
              <w:t>3,113</w:t>
            </w:r>
          </w:p>
        </w:tc>
        <w:tc>
          <w:tcPr>
            <w:tcW w:w="850" w:type="dxa"/>
            <w:noWrap/>
            <w:hideMark/>
          </w:tcPr>
          <w:p w14:paraId="70CF254C"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55D6B81D"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296212C5"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3276C810"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11E5E602" w14:textId="1E94D553" w:rsidR="00462A8C" w:rsidRPr="00462A8C" w:rsidRDefault="00462A8C" w:rsidP="00462A8C">
            <w:pPr>
              <w:spacing w:after="0" w:line="240" w:lineRule="auto"/>
              <w:rPr>
                <w:rFonts w:cs="Arial"/>
                <w:color w:val="000000"/>
                <w:sz w:val="16"/>
                <w:szCs w:val="16"/>
                <w:lang w:eastAsia="en-AU"/>
              </w:rPr>
            </w:pPr>
          </w:p>
        </w:tc>
        <w:tc>
          <w:tcPr>
            <w:tcW w:w="849" w:type="dxa"/>
            <w:noWrap/>
            <w:hideMark/>
          </w:tcPr>
          <w:p w14:paraId="3BB58630"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3DE9A067"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46BB5567"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1BC81CEC"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670A4EAB"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32</w:t>
            </w:r>
          </w:p>
        </w:tc>
        <w:tc>
          <w:tcPr>
            <w:tcW w:w="849" w:type="dxa"/>
            <w:noWrap/>
            <w:hideMark/>
          </w:tcPr>
          <w:p w14:paraId="1178D429"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636FDACC"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28</w:t>
            </w:r>
          </w:p>
        </w:tc>
        <w:tc>
          <w:tcPr>
            <w:tcW w:w="850" w:type="dxa"/>
            <w:noWrap/>
            <w:hideMark/>
          </w:tcPr>
          <w:p w14:paraId="55299CE6"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3,173</w:t>
            </w:r>
          </w:p>
        </w:tc>
      </w:tr>
      <w:tr w:rsidR="00462A8C" w:rsidRPr="00462A8C" w14:paraId="365990E7" w14:textId="77777777" w:rsidTr="00974CBE">
        <w:trPr>
          <w:trHeight w:val="284"/>
        </w:trPr>
        <w:tc>
          <w:tcPr>
            <w:tcW w:w="1536" w:type="dxa"/>
            <w:hideMark/>
          </w:tcPr>
          <w:p w14:paraId="7C912D32"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Peninsula Health</w:t>
            </w:r>
          </w:p>
        </w:tc>
        <w:tc>
          <w:tcPr>
            <w:tcW w:w="849" w:type="dxa"/>
            <w:noWrap/>
            <w:hideMark/>
          </w:tcPr>
          <w:p w14:paraId="687FC681" w14:textId="78EC895D" w:rsidR="00462A8C" w:rsidRPr="00462A8C" w:rsidRDefault="00462A8C" w:rsidP="00462A8C">
            <w:pPr>
              <w:spacing w:after="0" w:line="240" w:lineRule="auto"/>
              <w:jc w:val="right"/>
              <w:rPr>
                <w:rFonts w:cs="Arial"/>
                <w:color w:val="000000" w:themeColor="text1"/>
                <w:sz w:val="16"/>
                <w:szCs w:val="16"/>
                <w:lang w:eastAsia="en-AU"/>
              </w:rPr>
            </w:pPr>
          </w:p>
        </w:tc>
        <w:tc>
          <w:tcPr>
            <w:tcW w:w="849" w:type="dxa"/>
            <w:noWrap/>
            <w:hideMark/>
          </w:tcPr>
          <w:p w14:paraId="08EF4012"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5D79BA05"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21E23699" w14:textId="18392446" w:rsidR="00462A8C" w:rsidRPr="00462A8C" w:rsidRDefault="6F9FDD25" w:rsidP="00462A8C">
            <w:pPr>
              <w:spacing w:after="0" w:line="240" w:lineRule="auto"/>
              <w:jc w:val="right"/>
            </w:pPr>
            <w:r w:rsidRPr="1D2B08F3">
              <w:rPr>
                <w:rFonts w:cs="Arial"/>
                <w:color w:val="000000" w:themeColor="text1"/>
                <w:sz w:val="16"/>
                <w:szCs w:val="16"/>
                <w:lang w:eastAsia="en-AU"/>
              </w:rPr>
              <w:t>516</w:t>
            </w:r>
          </w:p>
        </w:tc>
        <w:tc>
          <w:tcPr>
            <w:tcW w:w="849" w:type="dxa"/>
            <w:noWrap/>
            <w:hideMark/>
          </w:tcPr>
          <w:p w14:paraId="7E554AD1" w14:textId="629FF1CA" w:rsidR="00462A8C" w:rsidRPr="00462A8C" w:rsidRDefault="6F9FDD25" w:rsidP="00462A8C">
            <w:pPr>
              <w:spacing w:after="0" w:line="240" w:lineRule="auto"/>
              <w:jc w:val="right"/>
            </w:pPr>
            <w:r w:rsidRPr="1D2B08F3">
              <w:rPr>
                <w:rFonts w:cs="Arial"/>
                <w:color w:val="000000" w:themeColor="text1"/>
                <w:sz w:val="16"/>
                <w:szCs w:val="16"/>
                <w:lang w:eastAsia="en-AU"/>
              </w:rPr>
              <w:t>140</w:t>
            </w:r>
          </w:p>
        </w:tc>
        <w:tc>
          <w:tcPr>
            <w:tcW w:w="850" w:type="dxa"/>
            <w:noWrap/>
            <w:hideMark/>
          </w:tcPr>
          <w:p w14:paraId="29243FD2" w14:textId="344B704A" w:rsidR="00462A8C" w:rsidRPr="00462A8C" w:rsidRDefault="00462A8C" w:rsidP="00462A8C">
            <w:pPr>
              <w:spacing w:after="0" w:line="240" w:lineRule="auto"/>
              <w:rPr>
                <w:rFonts w:cs="Arial"/>
                <w:color w:val="000000"/>
                <w:sz w:val="16"/>
                <w:szCs w:val="16"/>
                <w:lang w:eastAsia="en-AU"/>
              </w:rPr>
            </w:pPr>
            <w:r w:rsidRPr="1D2B08F3">
              <w:rPr>
                <w:rFonts w:cs="Arial"/>
                <w:color w:val="000000" w:themeColor="text1"/>
                <w:sz w:val="16"/>
                <w:szCs w:val="16"/>
                <w:lang w:eastAsia="en-AU"/>
              </w:rPr>
              <w:t> </w:t>
            </w:r>
            <w:r w:rsidR="76595BB3" w:rsidRPr="1D2B08F3">
              <w:rPr>
                <w:rFonts w:cs="Arial"/>
                <w:color w:val="000000" w:themeColor="text1"/>
                <w:sz w:val="16"/>
                <w:szCs w:val="16"/>
                <w:lang w:eastAsia="en-AU"/>
              </w:rPr>
              <w:t>562</w:t>
            </w:r>
          </w:p>
        </w:tc>
        <w:tc>
          <w:tcPr>
            <w:tcW w:w="849" w:type="dxa"/>
            <w:noWrap/>
            <w:hideMark/>
          </w:tcPr>
          <w:p w14:paraId="6EB1138F" w14:textId="7C991CB2" w:rsidR="00462A8C" w:rsidRPr="00462A8C" w:rsidRDefault="00462A8C" w:rsidP="00462A8C">
            <w:pPr>
              <w:spacing w:after="0" w:line="240" w:lineRule="auto"/>
              <w:rPr>
                <w:rFonts w:cs="Arial"/>
                <w:color w:val="000000"/>
                <w:sz w:val="16"/>
                <w:szCs w:val="16"/>
                <w:lang w:eastAsia="en-AU"/>
              </w:rPr>
            </w:pPr>
          </w:p>
        </w:tc>
        <w:tc>
          <w:tcPr>
            <w:tcW w:w="849" w:type="dxa"/>
            <w:noWrap/>
            <w:hideMark/>
          </w:tcPr>
          <w:p w14:paraId="1A483E9A" w14:textId="5F9E9DFB" w:rsidR="00462A8C" w:rsidRPr="00462A8C" w:rsidRDefault="00462A8C" w:rsidP="00462A8C">
            <w:pPr>
              <w:spacing w:after="0" w:line="240" w:lineRule="auto"/>
              <w:rPr>
                <w:rFonts w:cs="Arial"/>
                <w:color w:val="000000"/>
                <w:sz w:val="16"/>
                <w:szCs w:val="16"/>
                <w:lang w:eastAsia="en-AU"/>
              </w:rPr>
            </w:pPr>
            <w:r w:rsidRPr="1D2B08F3">
              <w:rPr>
                <w:rFonts w:cs="Arial"/>
                <w:color w:val="000000" w:themeColor="text1"/>
                <w:sz w:val="16"/>
                <w:szCs w:val="16"/>
                <w:lang w:eastAsia="en-AU"/>
              </w:rPr>
              <w:t> </w:t>
            </w:r>
            <w:r w:rsidR="53093964" w:rsidRPr="1D2B08F3">
              <w:rPr>
                <w:rFonts w:cs="Arial"/>
                <w:color w:val="000000" w:themeColor="text1"/>
                <w:sz w:val="16"/>
                <w:szCs w:val="16"/>
                <w:lang w:eastAsia="en-AU"/>
              </w:rPr>
              <w:t>253</w:t>
            </w:r>
          </w:p>
        </w:tc>
        <w:tc>
          <w:tcPr>
            <w:tcW w:w="850" w:type="dxa"/>
            <w:noWrap/>
            <w:hideMark/>
          </w:tcPr>
          <w:p w14:paraId="609651EA"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01D17227"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5B14E41C"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4B7FEAE1"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8</w:t>
            </w:r>
          </w:p>
        </w:tc>
        <w:tc>
          <w:tcPr>
            <w:tcW w:w="849" w:type="dxa"/>
            <w:noWrap/>
            <w:hideMark/>
          </w:tcPr>
          <w:p w14:paraId="05628904"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302F18AC"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109</w:t>
            </w:r>
          </w:p>
        </w:tc>
        <w:tc>
          <w:tcPr>
            <w:tcW w:w="850" w:type="dxa"/>
            <w:noWrap/>
            <w:hideMark/>
          </w:tcPr>
          <w:p w14:paraId="19D25D7F"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1,589</w:t>
            </w:r>
          </w:p>
        </w:tc>
      </w:tr>
      <w:tr w:rsidR="00462A8C" w:rsidRPr="00462A8C" w14:paraId="70F05381" w14:textId="77777777" w:rsidTr="00974CBE">
        <w:trPr>
          <w:trHeight w:val="284"/>
        </w:trPr>
        <w:tc>
          <w:tcPr>
            <w:tcW w:w="1536" w:type="dxa"/>
            <w:hideMark/>
          </w:tcPr>
          <w:p w14:paraId="2518B780" w14:textId="25241705"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St Vincent</w:t>
            </w:r>
            <w:r w:rsidR="00586A3B">
              <w:rPr>
                <w:rFonts w:cs="Arial"/>
                <w:color w:val="000000"/>
                <w:sz w:val="16"/>
                <w:szCs w:val="16"/>
                <w:lang w:eastAsia="en-AU"/>
              </w:rPr>
              <w:t>’</w:t>
            </w:r>
            <w:r w:rsidRPr="00462A8C">
              <w:rPr>
                <w:rFonts w:cs="Arial"/>
                <w:color w:val="000000"/>
                <w:sz w:val="16"/>
                <w:szCs w:val="16"/>
                <w:lang w:eastAsia="en-AU"/>
              </w:rPr>
              <w:t>s Hospital Melbourne Limited</w:t>
            </w:r>
          </w:p>
        </w:tc>
        <w:tc>
          <w:tcPr>
            <w:tcW w:w="849" w:type="dxa"/>
            <w:noWrap/>
            <w:hideMark/>
          </w:tcPr>
          <w:p w14:paraId="40446B36" w14:textId="05E6250E" w:rsidR="00462A8C" w:rsidRPr="00462A8C" w:rsidRDefault="00462A8C" w:rsidP="00462A8C">
            <w:pPr>
              <w:spacing w:after="0" w:line="240" w:lineRule="auto"/>
              <w:jc w:val="right"/>
              <w:rPr>
                <w:rFonts w:cs="Arial"/>
                <w:color w:val="000000"/>
                <w:sz w:val="16"/>
                <w:szCs w:val="16"/>
                <w:lang w:eastAsia="en-AU"/>
              </w:rPr>
            </w:pPr>
          </w:p>
        </w:tc>
        <w:tc>
          <w:tcPr>
            <w:tcW w:w="849" w:type="dxa"/>
            <w:noWrap/>
            <w:hideMark/>
          </w:tcPr>
          <w:p w14:paraId="1BD1DBEC" w14:textId="09FB258D" w:rsidR="00462A8C" w:rsidRPr="00462A8C" w:rsidRDefault="00462A8C" w:rsidP="00462A8C">
            <w:pPr>
              <w:spacing w:after="0" w:line="240" w:lineRule="auto"/>
              <w:rPr>
                <w:rFonts w:cs="Arial"/>
                <w:color w:val="000000"/>
                <w:sz w:val="16"/>
                <w:szCs w:val="16"/>
                <w:lang w:eastAsia="en-AU"/>
              </w:rPr>
            </w:pPr>
            <w:r w:rsidRPr="1D2B08F3">
              <w:rPr>
                <w:rFonts w:cs="Arial"/>
                <w:color w:val="000000" w:themeColor="text1"/>
                <w:sz w:val="16"/>
                <w:szCs w:val="16"/>
                <w:lang w:eastAsia="en-AU"/>
              </w:rPr>
              <w:t> </w:t>
            </w:r>
            <w:r w:rsidR="5C5CB6F8" w:rsidRPr="1D2B08F3">
              <w:rPr>
                <w:rFonts w:cs="Arial"/>
                <w:color w:val="000000" w:themeColor="text1"/>
                <w:sz w:val="16"/>
                <w:szCs w:val="16"/>
                <w:lang w:eastAsia="en-AU"/>
              </w:rPr>
              <w:t>2769</w:t>
            </w:r>
          </w:p>
        </w:tc>
        <w:tc>
          <w:tcPr>
            <w:tcW w:w="850" w:type="dxa"/>
            <w:noWrap/>
            <w:hideMark/>
          </w:tcPr>
          <w:p w14:paraId="5CEEB663"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4CD7E302"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112CA4E9"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78BF48AC"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5D53DA01"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74DF4B60"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355B9B1C"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165A571E"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22CCDA7D"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27E6B6EB"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5904101D"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0BEB11F6"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50" w:type="dxa"/>
            <w:noWrap/>
            <w:hideMark/>
          </w:tcPr>
          <w:p w14:paraId="541CD3A5"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2,769</w:t>
            </w:r>
          </w:p>
        </w:tc>
      </w:tr>
      <w:tr w:rsidR="00462A8C" w:rsidRPr="00462A8C" w14:paraId="19203F9B" w14:textId="77777777" w:rsidTr="00974CBE">
        <w:trPr>
          <w:trHeight w:val="284"/>
        </w:trPr>
        <w:tc>
          <w:tcPr>
            <w:tcW w:w="1536" w:type="dxa"/>
            <w:hideMark/>
          </w:tcPr>
          <w:p w14:paraId="4EC071A6"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Western Health</w:t>
            </w:r>
          </w:p>
        </w:tc>
        <w:tc>
          <w:tcPr>
            <w:tcW w:w="849" w:type="dxa"/>
            <w:noWrap/>
            <w:hideMark/>
          </w:tcPr>
          <w:p w14:paraId="47D4DBD3" w14:textId="3D514270" w:rsidR="00462A8C" w:rsidRPr="00462A8C" w:rsidRDefault="19200BE8" w:rsidP="00462A8C">
            <w:pPr>
              <w:spacing w:after="0" w:line="240" w:lineRule="auto"/>
              <w:jc w:val="right"/>
            </w:pPr>
            <w:r w:rsidRPr="1D2B08F3">
              <w:rPr>
                <w:rFonts w:cs="Arial"/>
                <w:color w:val="000000" w:themeColor="text1"/>
                <w:sz w:val="16"/>
                <w:szCs w:val="16"/>
                <w:lang w:eastAsia="en-AU"/>
              </w:rPr>
              <w:t>8,297</w:t>
            </w:r>
          </w:p>
        </w:tc>
        <w:tc>
          <w:tcPr>
            <w:tcW w:w="849" w:type="dxa"/>
            <w:noWrap/>
            <w:hideMark/>
          </w:tcPr>
          <w:p w14:paraId="4C02046B" w14:textId="181EBE7A" w:rsidR="00462A8C" w:rsidRPr="00462A8C" w:rsidRDefault="00462A8C" w:rsidP="00462A8C">
            <w:pPr>
              <w:spacing w:after="0" w:line="240" w:lineRule="auto"/>
              <w:rPr>
                <w:rFonts w:cs="Arial"/>
                <w:color w:val="000000"/>
                <w:sz w:val="16"/>
                <w:szCs w:val="16"/>
                <w:lang w:eastAsia="en-AU"/>
              </w:rPr>
            </w:pPr>
            <w:r w:rsidRPr="1D2B08F3">
              <w:rPr>
                <w:rFonts w:cs="Arial"/>
                <w:color w:val="000000" w:themeColor="text1"/>
                <w:sz w:val="16"/>
                <w:szCs w:val="16"/>
                <w:lang w:eastAsia="en-AU"/>
              </w:rPr>
              <w:t> </w:t>
            </w:r>
            <w:r w:rsidR="23A677EB" w:rsidRPr="1D2B08F3">
              <w:rPr>
                <w:rFonts w:cs="Arial"/>
                <w:color w:val="000000" w:themeColor="text1"/>
                <w:sz w:val="16"/>
                <w:szCs w:val="16"/>
                <w:lang w:eastAsia="en-AU"/>
              </w:rPr>
              <w:t>2765</w:t>
            </w:r>
          </w:p>
        </w:tc>
        <w:tc>
          <w:tcPr>
            <w:tcW w:w="850" w:type="dxa"/>
            <w:noWrap/>
            <w:hideMark/>
          </w:tcPr>
          <w:p w14:paraId="047063C0"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66AF7F49"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497</w:t>
            </w:r>
          </w:p>
        </w:tc>
        <w:tc>
          <w:tcPr>
            <w:tcW w:w="849" w:type="dxa"/>
            <w:noWrap/>
            <w:hideMark/>
          </w:tcPr>
          <w:p w14:paraId="75B2F8BF"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392</w:t>
            </w:r>
          </w:p>
        </w:tc>
        <w:tc>
          <w:tcPr>
            <w:tcW w:w="850" w:type="dxa"/>
            <w:noWrap/>
            <w:hideMark/>
          </w:tcPr>
          <w:p w14:paraId="6DFDA06F" w14:textId="27D91C41" w:rsidR="00462A8C" w:rsidRPr="00462A8C" w:rsidRDefault="00462A8C" w:rsidP="00462A8C">
            <w:pPr>
              <w:spacing w:after="0" w:line="240" w:lineRule="auto"/>
              <w:jc w:val="right"/>
            </w:pPr>
            <w:r w:rsidRPr="1D2B08F3">
              <w:rPr>
                <w:rFonts w:cs="Arial"/>
                <w:color w:val="000000" w:themeColor="text1"/>
                <w:sz w:val="16"/>
                <w:szCs w:val="16"/>
                <w:lang w:eastAsia="en-AU"/>
              </w:rPr>
              <w:t>1,</w:t>
            </w:r>
            <w:r w:rsidR="5D085226" w:rsidRPr="1D2B08F3">
              <w:rPr>
                <w:rFonts w:cs="Arial"/>
                <w:color w:val="000000" w:themeColor="text1"/>
                <w:sz w:val="16"/>
                <w:szCs w:val="16"/>
                <w:lang w:eastAsia="en-AU"/>
              </w:rPr>
              <w:t>583</w:t>
            </w:r>
          </w:p>
        </w:tc>
        <w:tc>
          <w:tcPr>
            <w:tcW w:w="849" w:type="dxa"/>
            <w:noWrap/>
            <w:hideMark/>
          </w:tcPr>
          <w:p w14:paraId="3600B5A4"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54451D08"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578</w:t>
            </w:r>
          </w:p>
        </w:tc>
        <w:tc>
          <w:tcPr>
            <w:tcW w:w="850" w:type="dxa"/>
            <w:noWrap/>
            <w:hideMark/>
          </w:tcPr>
          <w:p w14:paraId="7A77AE8B"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5C700740"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50D30CB9"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140</w:t>
            </w:r>
          </w:p>
        </w:tc>
        <w:tc>
          <w:tcPr>
            <w:tcW w:w="850" w:type="dxa"/>
            <w:noWrap/>
            <w:hideMark/>
          </w:tcPr>
          <w:p w14:paraId="4B9BF351"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38D249A9" w14:textId="77777777" w:rsidR="00462A8C" w:rsidRPr="00462A8C" w:rsidRDefault="00462A8C" w:rsidP="00462A8C">
            <w:pPr>
              <w:spacing w:after="0" w:line="240" w:lineRule="auto"/>
              <w:rPr>
                <w:rFonts w:cs="Arial"/>
                <w:color w:val="000000"/>
                <w:sz w:val="16"/>
                <w:szCs w:val="16"/>
                <w:lang w:eastAsia="en-AU"/>
              </w:rPr>
            </w:pPr>
            <w:r w:rsidRPr="00462A8C">
              <w:rPr>
                <w:rFonts w:cs="Arial"/>
                <w:color w:val="000000"/>
                <w:sz w:val="16"/>
                <w:szCs w:val="16"/>
                <w:lang w:eastAsia="en-AU"/>
              </w:rPr>
              <w:t> </w:t>
            </w:r>
          </w:p>
        </w:tc>
        <w:tc>
          <w:tcPr>
            <w:tcW w:w="849" w:type="dxa"/>
            <w:noWrap/>
            <w:hideMark/>
          </w:tcPr>
          <w:p w14:paraId="7660AD0F"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220</w:t>
            </w:r>
          </w:p>
        </w:tc>
        <w:tc>
          <w:tcPr>
            <w:tcW w:w="850" w:type="dxa"/>
            <w:noWrap/>
            <w:hideMark/>
          </w:tcPr>
          <w:p w14:paraId="75DC2264" w14:textId="77777777" w:rsidR="00462A8C" w:rsidRPr="00462A8C" w:rsidRDefault="00462A8C" w:rsidP="00462A8C">
            <w:pPr>
              <w:spacing w:after="0" w:line="240" w:lineRule="auto"/>
              <w:jc w:val="right"/>
              <w:rPr>
                <w:rFonts w:cs="Arial"/>
                <w:color w:val="000000"/>
                <w:sz w:val="16"/>
                <w:szCs w:val="16"/>
                <w:lang w:eastAsia="en-AU"/>
              </w:rPr>
            </w:pPr>
            <w:r w:rsidRPr="00462A8C">
              <w:rPr>
                <w:rFonts w:cs="Arial"/>
                <w:color w:val="000000"/>
                <w:sz w:val="16"/>
                <w:szCs w:val="16"/>
                <w:lang w:eastAsia="en-AU"/>
              </w:rPr>
              <w:t>14,472</w:t>
            </w:r>
          </w:p>
        </w:tc>
      </w:tr>
    </w:tbl>
    <w:p w14:paraId="2EBA2F1E" w14:textId="25EF51BB" w:rsidR="00350EC9" w:rsidRDefault="00350EC9" w:rsidP="00B92CD4">
      <w:pPr>
        <w:pStyle w:val="Body"/>
      </w:pPr>
    </w:p>
    <w:p w14:paraId="691F4521" w14:textId="77777777" w:rsidR="00350EC9" w:rsidRDefault="00350EC9">
      <w:pPr>
        <w:spacing w:after="0" w:line="240" w:lineRule="auto"/>
        <w:rPr>
          <w:rFonts w:eastAsia="Times"/>
        </w:rPr>
      </w:pPr>
      <w:r>
        <w:br w:type="page"/>
      </w:r>
    </w:p>
    <w:p w14:paraId="2DC627BD" w14:textId="77777777" w:rsidR="00350EC9" w:rsidRDefault="00350EC9" w:rsidP="00B92CD4">
      <w:pPr>
        <w:pStyle w:val="Body"/>
      </w:pPr>
    </w:p>
    <w:p w14:paraId="4D23795B" w14:textId="6CEBD794" w:rsidR="009C67FC" w:rsidRDefault="009C67FC" w:rsidP="00B92CD4">
      <w:pPr>
        <w:pStyle w:val="Body"/>
      </w:pPr>
      <w:r>
        <w:t>Subregional and local</w:t>
      </w:r>
    </w:p>
    <w:tbl>
      <w:tblPr>
        <w:tblStyle w:val="TableGrid1"/>
        <w:tblW w:w="14276" w:type="dxa"/>
        <w:tblLayout w:type="fixed"/>
        <w:tblLook w:val="06A0" w:firstRow="1" w:lastRow="0" w:firstColumn="1" w:lastColumn="0" w:noHBand="1" w:noVBand="1"/>
      </w:tblPr>
      <w:tblGrid>
        <w:gridCol w:w="1536"/>
        <w:gridCol w:w="849"/>
        <w:gridCol w:w="849"/>
        <w:gridCol w:w="850"/>
        <w:gridCol w:w="849"/>
        <w:gridCol w:w="849"/>
        <w:gridCol w:w="850"/>
        <w:gridCol w:w="849"/>
        <w:gridCol w:w="849"/>
        <w:gridCol w:w="850"/>
        <w:gridCol w:w="849"/>
        <w:gridCol w:w="849"/>
        <w:gridCol w:w="850"/>
        <w:gridCol w:w="849"/>
        <w:gridCol w:w="849"/>
        <w:gridCol w:w="850"/>
      </w:tblGrid>
      <w:tr w:rsidR="00D33A03" w:rsidRPr="00A030E3" w14:paraId="32C5A5DB" w14:textId="77777777" w:rsidTr="00974CBE">
        <w:trPr>
          <w:cnfStyle w:val="100000000000" w:firstRow="1" w:lastRow="0" w:firstColumn="0" w:lastColumn="0" w:oddVBand="0" w:evenVBand="0" w:oddHBand="0" w:evenHBand="0" w:firstRowFirstColumn="0" w:firstRowLastColumn="0" w:lastRowFirstColumn="0" w:lastRowLastColumn="0"/>
          <w:cantSplit/>
          <w:trHeight w:val="841"/>
          <w:tblHeader/>
        </w:trPr>
        <w:tc>
          <w:tcPr>
            <w:tcW w:w="1536" w:type="dxa"/>
            <w:shd w:val="clear" w:color="auto" w:fill="auto"/>
            <w:hideMark/>
          </w:tcPr>
          <w:p w14:paraId="5B2620F2" w14:textId="1CED481D" w:rsidR="00FF6B91" w:rsidRPr="00685B35" w:rsidRDefault="00FF6B91" w:rsidP="00685B35">
            <w:pPr>
              <w:pStyle w:val="Tablecolheadlandscape"/>
              <w:rPr>
                <w:b w:val="0"/>
                <w:lang w:eastAsia="en-AU"/>
              </w:rPr>
            </w:pPr>
            <w:r w:rsidRPr="00974CBE">
              <w:rPr>
                <w:lang w:eastAsia="en-AU"/>
              </w:rPr>
              <w:t xml:space="preserve">Health </w:t>
            </w:r>
            <w:r w:rsidR="00D33A03">
              <w:rPr>
                <w:lang w:eastAsia="en-AU"/>
              </w:rPr>
              <w:t>s</w:t>
            </w:r>
            <w:r w:rsidRPr="00974CBE">
              <w:rPr>
                <w:lang w:eastAsia="en-AU"/>
              </w:rPr>
              <w:t>ervice</w:t>
            </w:r>
          </w:p>
        </w:tc>
        <w:tc>
          <w:tcPr>
            <w:tcW w:w="849" w:type="dxa"/>
            <w:shd w:val="clear" w:color="auto" w:fill="auto"/>
            <w:hideMark/>
          </w:tcPr>
          <w:p w14:paraId="60CAC04D" w14:textId="3CE0CF88" w:rsidR="00FF6B91" w:rsidRPr="00974CBE" w:rsidRDefault="00FF6B91" w:rsidP="00974CBE">
            <w:pPr>
              <w:pStyle w:val="Tablecolheadlandscape"/>
              <w:rPr>
                <w:lang w:eastAsia="en-AU"/>
              </w:rPr>
            </w:pPr>
            <w:r w:rsidRPr="00974CBE">
              <w:rPr>
                <w:lang w:eastAsia="en-AU"/>
              </w:rPr>
              <w:t>DT</w:t>
            </w:r>
            <w:r w:rsidR="00062FDF" w:rsidRPr="00974CBE">
              <w:rPr>
                <w:lang w:eastAsia="en-AU"/>
              </w:rPr>
              <w:t>A</w:t>
            </w:r>
            <w:r w:rsidRPr="00974CBE">
              <w:rPr>
                <w:lang w:eastAsia="en-AU"/>
              </w:rPr>
              <w:t xml:space="preserve">U – activity </w:t>
            </w:r>
          </w:p>
        </w:tc>
        <w:tc>
          <w:tcPr>
            <w:tcW w:w="849" w:type="dxa"/>
            <w:shd w:val="clear" w:color="auto" w:fill="auto"/>
            <w:hideMark/>
          </w:tcPr>
          <w:p w14:paraId="5D402263" w14:textId="77777777" w:rsidR="00FF6B91" w:rsidRPr="00974CBE" w:rsidRDefault="00FF6B91" w:rsidP="00974CBE">
            <w:pPr>
              <w:pStyle w:val="Tablecolheadlandscape"/>
              <w:rPr>
                <w:lang w:eastAsia="en-AU"/>
              </w:rPr>
            </w:pPr>
            <w:r w:rsidRPr="00974CBE">
              <w:rPr>
                <w:lang w:eastAsia="en-AU"/>
              </w:rPr>
              <w:t>DTAU – residential drug withdrawal</w:t>
            </w:r>
          </w:p>
        </w:tc>
        <w:tc>
          <w:tcPr>
            <w:tcW w:w="850" w:type="dxa"/>
            <w:shd w:val="clear" w:color="auto" w:fill="auto"/>
            <w:hideMark/>
          </w:tcPr>
          <w:p w14:paraId="007416B2" w14:textId="3318612E" w:rsidR="00FF6B91" w:rsidRPr="00974CBE" w:rsidRDefault="00FF6B91" w:rsidP="00974CBE">
            <w:pPr>
              <w:pStyle w:val="Tablecolheadlandscape"/>
              <w:rPr>
                <w:lang w:eastAsia="en-AU"/>
              </w:rPr>
            </w:pPr>
            <w:r w:rsidRPr="00974CBE">
              <w:rPr>
                <w:lang w:eastAsia="en-AU"/>
              </w:rPr>
              <w:t>DTAU – residential rehabilitation</w:t>
            </w:r>
          </w:p>
        </w:tc>
        <w:tc>
          <w:tcPr>
            <w:tcW w:w="849" w:type="dxa"/>
            <w:shd w:val="clear" w:color="auto" w:fill="auto"/>
            <w:hideMark/>
          </w:tcPr>
          <w:p w14:paraId="00975F45" w14:textId="77777777" w:rsidR="00FF6B91" w:rsidRPr="00974CBE" w:rsidRDefault="00FF6B91" w:rsidP="00974CBE">
            <w:pPr>
              <w:pStyle w:val="Tablecolheadlandscape"/>
              <w:rPr>
                <w:lang w:eastAsia="en-AU"/>
              </w:rPr>
            </w:pPr>
            <w:r w:rsidRPr="00974CBE">
              <w:rPr>
                <w:lang w:eastAsia="en-AU"/>
              </w:rPr>
              <w:t>DTAU – Intake and assessment</w:t>
            </w:r>
          </w:p>
        </w:tc>
        <w:tc>
          <w:tcPr>
            <w:tcW w:w="849" w:type="dxa"/>
            <w:shd w:val="clear" w:color="auto" w:fill="auto"/>
            <w:hideMark/>
          </w:tcPr>
          <w:p w14:paraId="4A2E7AD0" w14:textId="77777777" w:rsidR="00FF6B91" w:rsidRPr="00974CBE" w:rsidRDefault="00FF6B91" w:rsidP="00974CBE">
            <w:pPr>
              <w:pStyle w:val="Tablecolheadlandscape"/>
              <w:rPr>
                <w:lang w:eastAsia="en-AU"/>
              </w:rPr>
            </w:pPr>
            <w:r w:rsidRPr="00974CBE">
              <w:rPr>
                <w:lang w:eastAsia="en-AU"/>
              </w:rPr>
              <w:t>DTAU – Care and recovery coordination</w:t>
            </w:r>
          </w:p>
        </w:tc>
        <w:tc>
          <w:tcPr>
            <w:tcW w:w="850" w:type="dxa"/>
            <w:shd w:val="clear" w:color="auto" w:fill="auto"/>
            <w:hideMark/>
          </w:tcPr>
          <w:p w14:paraId="742A4AFF" w14:textId="77777777" w:rsidR="00FF6B91" w:rsidRPr="00974CBE" w:rsidRDefault="00FF6B91" w:rsidP="00974CBE">
            <w:pPr>
              <w:pStyle w:val="Tablecolheadlandscape"/>
              <w:rPr>
                <w:lang w:eastAsia="en-AU"/>
              </w:rPr>
            </w:pPr>
            <w:r w:rsidRPr="00974CBE">
              <w:rPr>
                <w:lang w:eastAsia="en-AU"/>
              </w:rPr>
              <w:t>DTAU – counselling</w:t>
            </w:r>
          </w:p>
        </w:tc>
        <w:tc>
          <w:tcPr>
            <w:tcW w:w="849" w:type="dxa"/>
            <w:shd w:val="clear" w:color="auto" w:fill="auto"/>
            <w:hideMark/>
          </w:tcPr>
          <w:p w14:paraId="158C0A88" w14:textId="77777777" w:rsidR="00FF6B91" w:rsidRPr="00974CBE" w:rsidRDefault="00FF6B91" w:rsidP="00974CBE">
            <w:pPr>
              <w:pStyle w:val="Tablecolheadlandscape"/>
              <w:rPr>
                <w:lang w:eastAsia="en-AU"/>
              </w:rPr>
            </w:pPr>
            <w:r w:rsidRPr="00974CBE">
              <w:rPr>
                <w:lang w:eastAsia="en-AU"/>
              </w:rPr>
              <w:t>Episode of care – Mobile overdose response service</w:t>
            </w:r>
          </w:p>
        </w:tc>
        <w:tc>
          <w:tcPr>
            <w:tcW w:w="849" w:type="dxa"/>
            <w:shd w:val="clear" w:color="auto" w:fill="auto"/>
            <w:hideMark/>
          </w:tcPr>
          <w:p w14:paraId="387CBA7B" w14:textId="1EC86FA8" w:rsidR="00FF6B91" w:rsidRPr="00974CBE" w:rsidRDefault="00FF6B91" w:rsidP="00974CBE">
            <w:pPr>
              <w:pStyle w:val="Tablecolheadlandscape"/>
              <w:rPr>
                <w:lang w:eastAsia="en-AU"/>
              </w:rPr>
            </w:pPr>
            <w:r w:rsidRPr="00974CBE">
              <w:rPr>
                <w:lang w:eastAsia="en-AU"/>
              </w:rPr>
              <w:t xml:space="preserve">DTAU – </w:t>
            </w:r>
            <w:r w:rsidR="0027369B" w:rsidRPr="00974CBE">
              <w:rPr>
                <w:lang w:eastAsia="en-AU"/>
              </w:rPr>
              <w:t>Non-residential</w:t>
            </w:r>
            <w:r w:rsidRPr="00974CBE">
              <w:rPr>
                <w:lang w:eastAsia="en-AU"/>
              </w:rPr>
              <w:t xml:space="preserve"> withdrawal</w:t>
            </w:r>
          </w:p>
        </w:tc>
        <w:tc>
          <w:tcPr>
            <w:tcW w:w="850" w:type="dxa"/>
            <w:shd w:val="clear" w:color="auto" w:fill="auto"/>
            <w:hideMark/>
          </w:tcPr>
          <w:p w14:paraId="240AC791" w14:textId="77777777" w:rsidR="00FF6B91" w:rsidRPr="00974CBE" w:rsidRDefault="00FF6B91" w:rsidP="00974CBE">
            <w:pPr>
              <w:pStyle w:val="Tablecolheadlandscape"/>
              <w:rPr>
                <w:lang w:eastAsia="en-AU"/>
              </w:rPr>
            </w:pPr>
            <w:r w:rsidRPr="00974CBE">
              <w:rPr>
                <w:lang w:eastAsia="en-AU"/>
              </w:rPr>
              <w:t>DTAU – Rural withdrawal</w:t>
            </w:r>
          </w:p>
        </w:tc>
        <w:tc>
          <w:tcPr>
            <w:tcW w:w="849" w:type="dxa"/>
            <w:shd w:val="clear" w:color="auto" w:fill="auto"/>
            <w:hideMark/>
          </w:tcPr>
          <w:p w14:paraId="4C96D912" w14:textId="28AE321F" w:rsidR="00FF6B91" w:rsidRPr="00974CBE" w:rsidRDefault="00FF6B91" w:rsidP="00974CBE">
            <w:pPr>
              <w:pStyle w:val="Tablecolheadlandscape"/>
              <w:rPr>
                <w:lang w:eastAsia="en-AU"/>
              </w:rPr>
            </w:pPr>
            <w:r w:rsidRPr="00974CBE">
              <w:rPr>
                <w:lang w:eastAsia="en-AU"/>
              </w:rPr>
              <w:t>Episode of care – Specialist Pharmacotherapy</w:t>
            </w:r>
          </w:p>
        </w:tc>
        <w:tc>
          <w:tcPr>
            <w:tcW w:w="849" w:type="dxa"/>
            <w:shd w:val="clear" w:color="auto" w:fill="auto"/>
            <w:hideMark/>
          </w:tcPr>
          <w:p w14:paraId="521267BF" w14:textId="77777777" w:rsidR="00FF6B91" w:rsidRPr="00974CBE" w:rsidRDefault="00FF6B91" w:rsidP="00974CBE">
            <w:pPr>
              <w:pStyle w:val="Tablecolheadlandscape"/>
              <w:rPr>
                <w:lang w:eastAsia="en-AU"/>
              </w:rPr>
            </w:pPr>
            <w:r w:rsidRPr="00974CBE">
              <w:rPr>
                <w:lang w:eastAsia="en-AU"/>
              </w:rPr>
              <w:t>Episode of care – Specialist Pharmacotherapy Service</w:t>
            </w:r>
          </w:p>
        </w:tc>
        <w:tc>
          <w:tcPr>
            <w:tcW w:w="850" w:type="dxa"/>
            <w:shd w:val="clear" w:color="auto" w:fill="auto"/>
            <w:hideMark/>
          </w:tcPr>
          <w:p w14:paraId="2722ECEB" w14:textId="77777777" w:rsidR="00FF6B91" w:rsidRPr="00974CBE" w:rsidRDefault="00FF6B91" w:rsidP="00974CBE">
            <w:pPr>
              <w:pStyle w:val="Tablecolheadlandscape"/>
              <w:rPr>
                <w:lang w:eastAsia="en-AU"/>
              </w:rPr>
            </w:pPr>
            <w:r w:rsidRPr="00974CBE">
              <w:rPr>
                <w:lang w:eastAsia="en-AU"/>
              </w:rPr>
              <w:t>Episode of care –  Youth A&amp;D supported accommodation</w:t>
            </w:r>
          </w:p>
        </w:tc>
        <w:tc>
          <w:tcPr>
            <w:tcW w:w="849" w:type="dxa"/>
            <w:shd w:val="clear" w:color="auto" w:fill="auto"/>
            <w:hideMark/>
          </w:tcPr>
          <w:p w14:paraId="01E7C7BF" w14:textId="77777777" w:rsidR="00FF6B91" w:rsidRPr="00974CBE" w:rsidRDefault="00FF6B91" w:rsidP="00974CBE">
            <w:pPr>
              <w:pStyle w:val="Tablecolheadlandscape"/>
              <w:rPr>
                <w:lang w:eastAsia="en-AU"/>
              </w:rPr>
            </w:pPr>
            <w:r w:rsidRPr="00974CBE">
              <w:rPr>
                <w:lang w:eastAsia="en-AU"/>
              </w:rPr>
              <w:t>Episode of care –  Youth A&amp;D supported accommodation rural</w:t>
            </w:r>
          </w:p>
        </w:tc>
        <w:tc>
          <w:tcPr>
            <w:tcW w:w="849" w:type="dxa"/>
            <w:shd w:val="clear" w:color="auto" w:fill="auto"/>
            <w:hideMark/>
          </w:tcPr>
          <w:p w14:paraId="33E68BBB" w14:textId="77777777" w:rsidR="00FF6B91" w:rsidRPr="00974CBE" w:rsidRDefault="00FF6B91" w:rsidP="00974CBE">
            <w:pPr>
              <w:pStyle w:val="Tablecolheadlandscape"/>
              <w:rPr>
                <w:lang w:eastAsia="en-AU"/>
              </w:rPr>
            </w:pPr>
            <w:r w:rsidRPr="00974CBE">
              <w:rPr>
                <w:lang w:eastAsia="en-AU"/>
              </w:rPr>
              <w:t>Episode of care –Youth Outreach</w:t>
            </w:r>
          </w:p>
        </w:tc>
        <w:tc>
          <w:tcPr>
            <w:tcW w:w="850" w:type="dxa"/>
            <w:shd w:val="clear" w:color="auto" w:fill="auto"/>
            <w:hideMark/>
          </w:tcPr>
          <w:p w14:paraId="2E8B5842" w14:textId="77777777" w:rsidR="00FF6B91" w:rsidRPr="00974CBE" w:rsidRDefault="00FF6B91" w:rsidP="00974CBE">
            <w:pPr>
              <w:pStyle w:val="Tablecolheadlandscape"/>
              <w:rPr>
                <w:lang w:eastAsia="en-AU"/>
              </w:rPr>
            </w:pPr>
            <w:r w:rsidRPr="00974CBE">
              <w:rPr>
                <w:lang w:eastAsia="en-AU"/>
              </w:rPr>
              <w:t>Total</w:t>
            </w:r>
          </w:p>
        </w:tc>
      </w:tr>
      <w:tr w:rsidR="00D33A03" w:rsidRPr="00A030E3" w14:paraId="31C441C5" w14:textId="77777777" w:rsidTr="00974CBE">
        <w:trPr>
          <w:trHeight w:val="311"/>
        </w:trPr>
        <w:tc>
          <w:tcPr>
            <w:tcW w:w="1536" w:type="dxa"/>
            <w:shd w:val="clear" w:color="auto" w:fill="auto"/>
            <w:hideMark/>
          </w:tcPr>
          <w:p w14:paraId="6378A024"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Bairnsdale Regional Health Service</w:t>
            </w:r>
          </w:p>
        </w:tc>
        <w:tc>
          <w:tcPr>
            <w:tcW w:w="849" w:type="dxa"/>
            <w:shd w:val="clear" w:color="auto" w:fill="auto"/>
            <w:noWrap/>
            <w:hideMark/>
          </w:tcPr>
          <w:p w14:paraId="25A48043" w14:textId="00F8A8B1" w:rsidR="00FF6B91" w:rsidRPr="00685B35" w:rsidRDefault="00FF6B91" w:rsidP="00FF6B91">
            <w:pPr>
              <w:spacing w:after="0" w:line="240" w:lineRule="auto"/>
              <w:jc w:val="right"/>
              <w:rPr>
                <w:rFonts w:cs="Arial"/>
                <w:color w:val="000000" w:themeColor="text1"/>
                <w:sz w:val="16"/>
                <w:szCs w:val="16"/>
                <w:lang w:eastAsia="en-AU"/>
              </w:rPr>
            </w:pPr>
          </w:p>
        </w:tc>
        <w:tc>
          <w:tcPr>
            <w:tcW w:w="849" w:type="dxa"/>
            <w:shd w:val="clear" w:color="auto" w:fill="auto"/>
            <w:noWrap/>
            <w:hideMark/>
          </w:tcPr>
          <w:p w14:paraId="32D9557E" w14:textId="6D33E41A"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r w:rsidR="3A66CA59" w:rsidRPr="1D2B08F3">
              <w:rPr>
                <w:rFonts w:cs="Arial"/>
                <w:color w:val="000000" w:themeColor="text1"/>
                <w:sz w:val="16"/>
                <w:szCs w:val="16"/>
                <w:lang w:eastAsia="en-AU"/>
              </w:rPr>
              <w:t>724</w:t>
            </w:r>
          </w:p>
        </w:tc>
        <w:tc>
          <w:tcPr>
            <w:tcW w:w="850" w:type="dxa"/>
            <w:shd w:val="clear" w:color="auto" w:fill="auto"/>
            <w:noWrap/>
            <w:hideMark/>
          </w:tcPr>
          <w:p w14:paraId="56B1A3BB"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77E3186B"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5E2CB8C1"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74B8B5ED"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6D2841ED"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3C76129D"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18B4F212"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70B758A1"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44D00C41"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7C72E583"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5EDBD2DE"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3235674A"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45C85727" w14:textId="77777777" w:rsidR="00FF6B91" w:rsidRPr="00685B35" w:rsidRDefault="00FF6B91" w:rsidP="00FF6B91">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724</w:t>
            </w:r>
          </w:p>
        </w:tc>
      </w:tr>
      <w:tr w:rsidR="00D33A03" w:rsidRPr="00A030E3" w14:paraId="26B60928" w14:textId="77777777" w:rsidTr="00974CBE">
        <w:trPr>
          <w:trHeight w:val="311"/>
        </w:trPr>
        <w:tc>
          <w:tcPr>
            <w:tcW w:w="1536" w:type="dxa"/>
            <w:shd w:val="clear" w:color="auto" w:fill="auto"/>
            <w:hideMark/>
          </w:tcPr>
          <w:p w14:paraId="511BEACC"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Central Gippsland Health Service</w:t>
            </w:r>
          </w:p>
        </w:tc>
        <w:tc>
          <w:tcPr>
            <w:tcW w:w="849" w:type="dxa"/>
            <w:shd w:val="clear" w:color="auto" w:fill="auto"/>
            <w:noWrap/>
            <w:hideMark/>
          </w:tcPr>
          <w:p w14:paraId="370B71D8" w14:textId="28F221D9" w:rsidR="00FF6B91" w:rsidRPr="00685B35" w:rsidRDefault="00FF6B91" w:rsidP="00FF6B91">
            <w:pPr>
              <w:spacing w:after="0" w:line="240" w:lineRule="auto"/>
              <w:jc w:val="right"/>
              <w:rPr>
                <w:rFonts w:cs="Arial"/>
                <w:color w:val="000000" w:themeColor="text1"/>
                <w:sz w:val="16"/>
                <w:szCs w:val="16"/>
                <w:lang w:eastAsia="en-AU"/>
              </w:rPr>
            </w:pPr>
          </w:p>
        </w:tc>
        <w:tc>
          <w:tcPr>
            <w:tcW w:w="849" w:type="dxa"/>
            <w:shd w:val="clear" w:color="auto" w:fill="auto"/>
            <w:noWrap/>
            <w:hideMark/>
          </w:tcPr>
          <w:p w14:paraId="4D1B4E39" w14:textId="3773A744"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r w:rsidR="46F534B6" w:rsidRPr="1D2B08F3">
              <w:rPr>
                <w:rFonts w:cs="Arial"/>
                <w:color w:val="000000" w:themeColor="text1"/>
                <w:sz w:val="16"/>
                <w:szCs w:val="16"/>
                <w:lang w:eastAsia="en-AU"/>
              </w:rPr>
              <w:t>476</w:t>
            </w:r>
          </w:p>
        </w:tc>
        <w:tc>
          <w:tcPr>
            <w:tcW w:w="850" w:type="dxa"/>
            <w:shd w:val="clear" w:color="auto" w:fill="auto"/>
            <w:noWrap/>
            <w:hideMark/>
          </w:tcPr>
          <w:p w14:paraId="2B94C9FC"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061583E5"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02719647"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5A9ECA1A"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18BC3D03"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087D6659"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4DCC1808"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29C2D17C"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31EB4F13"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2B455B41"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1ECA8DCE"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5BAECC5C"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5BE2CBEC" w14:textId="77777777" w:rsidR="00FF6B91" w:rsidRPr="00685B35" w:rsidRDefault="00FF6B91" w:rsidP="00FF6B91">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476</w:t>
            </w:r>
          </w:p>
        </w:tc>
      </w:tr>
      <w:tr w:rsidR="00D33A03" w:rsidRPr="00A030E3" w14:paraId="34CFB5B9" w14:textId="77777777" w:rsidTr="00974CBE">
        <w:trPr>
          <w:trHeight w:val="311"/>
        </w:trPr>
        <w:tc>
          <w:tcPr>
            <w:tcW w:w="1536" w:type="dxa"/>
            <w:shd w:val="clear" w:color="auto" w:fill="auto"/>
            <w:hideMark/>
          </w:tcPr>
          <w:p w14:paraId="308A1701"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Colac Area Health</w:t>
            </w:r>
          </w:p>
        </w:tc>
        <w:tc>
          <w:tcPr>
            <w:tcW w:w="849" w:type="dxa"/>
            <w:shd w:val="clear" w:color="auto" w:fill="auto"/>
            <w:noWrap/>
            <w:hideMark/>
          </w:tcPr>
          <w:p w14:paraId="3CA1422D"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117496C3"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40C86539"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62DFFFE4"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4668B2E8"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39A44965"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6EA07CBC"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1DDE185B"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6C592FCD"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348BB606"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6ED2C30B"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2691660C"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3304A750" w14:textId="77777777" w:rsidR="00FF6B91" w:rsidRPr="00685B35" w:rsidRDefault="00FF6B91" w:rsidP="00FF6B91">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w:t>
            </w:r>
          </w:p>
        </w:tc>
        <w:tc>
          <w:tcPr>
            <w:tcW w:w="849" w:type="dxa"/>
            <w:shd w:val="clear" w:color="auto" w:fill="auto"/>
            <w:noWrap/>
            <w:hideMark/>
          </w:tcPr>
          <w:p w14:paraId="54937071"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374D8AB9" w14:textId="77777777" w:rsidR="00FF6B91" w:rsidRPr="00685B35" w:rsidRDefault="00FF6B91" w:rsidP="00FF6B91">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w:t>
            </w:r>
          </w:p>
        </w:tc>
      </w:tr>
      <w:tr w:rsidR="00D33A03" w:rsidRPr="00A030E3" w14:paraId="2209EE1B" w14:textId="77777777" w:rsidTr="00974CBE">
        <w:trPr>
          <w:trHeight w:val="311"/>
        </w:trPr>
        <w:tc>
          <w:tcPr>
            <w:tcW w:w="1536" w:type="dxa"/>
            <w:shd w:val="clear" w:color="auto" w:fill="auto"/>
            <w:hideMark/>
          </w:tcPr>
          <w:p w14:paraId="1F7B3DDF"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Gippsland Southern Health Service</w:t>
            </w:r>
          </w:p>
        </w:tc>
        <w:tc>
          <w:tcPr>
            <w:tcW w:w="849" w:type="dxa"/>
            <w:shd w:val="clear" w:color="auto" w:fill="auto"/>
            <w:noWrap/>
            <w:hideMark/>
          </w:tcPr>
          <w:p w14:paraId="56014850" w14:textId="6A693DB0" w:rsidR="00FF6B91" w:rsidRPr="00685B35" w:rsidRDefault="00FF6B91" w:rsidP="00FF6B91">
            <w:pPr>
              <w:spacing w:after="0" w:line="240" w:lineRule="auto"/>
              <w:jc w:val="right"/>
              <w:rPr>
                <w:rFonts w:cs="Arial"/>
                <w:color w:val="000000" w:themeColor="text1"/>
                <w:sz w:val="16"/>
                <w:szCs w:val="16"/>
                <w:lang w:eastAsia="en-AU"/>
              </w:rPr>
            </w:pPr>
          </w:p>
        </w:tc>
        <w:tc>
          <w:tcPr>
            <w:tcW w:w="849" w:type="dxa"/>
            <w:shd w:val="clear" w:color="auto" w:fill="auto"/>
            <w:noWrap/>
            <w:hideMark/>
          </w:tcPr>
          <w:p w14:paraId="0A3FF6AA" w14:textId="762F6EF9"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r w:rsidR="45DA3F2A" w:rsidRPr="1D2B08F3">
              <w:rPr>
                <w:rFonts w:cs="Arial"/>
                <w:color w:val="000000" w:themeColor="text1"/>
                <w:sz w:val="16"/>
                <w:szCs w:val="16"/>
                <w:lang w:eastAsia="en-AU"/>
              </w:rPr>
              <w:t>238</w:t>
            </w:r>
          </w:p>
        </w:tc>
        <w:tc>
          <w:tcPr>
            <w:tcW w:w="850" w:type="dxa"/>
            <w:shd w:val="clear" w:color="auto" w:fill="auto"/>
            <w:noWrap/>
            <w:hideMark/>
          </w:tcPr>
          <w:p w14:paraId="52E683D1"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705BBB45"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0A2C37D0"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5D65CFD9"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25E394E5"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26D3DF99"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2935B239"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0C02ECAF"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673E9CFC"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68195E37"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304048AF"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2D314036"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55791AE7" w14:textId="77777777" w:rsidR="00FF6B91" w:rsidRPr="00685B35" w:rsidRDefault="00FF6B91" w:rsidP="00FF6B91">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238</w:t>
            </w:r>
          </w:p>
        </w:tc>
      </w:tr>
      <w:tr w:rsidR="00D33A03" w:rsidRPr="00A030E3" w14:paraId="31DC560C" w14:textId="77777777" w:rsidTr="00974CBE">
        <w:trPr>
          <w:trHeight w:val="311"/>
        </w:trPr>
        <w:tc>
          <w:tcPr>
            <w:tcW w:w="1536" w:type="dxa"/>
            <w:shd w:val="clear" w:color="auto" w:fill="auto"/>
            <w:hideMark/>
          </w:tcPr>
          <w:p w14:paraId="720041A5"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Mildura Base Public Hospital</w:t>
            </w:r>
          </w:p>
        </w:tc>
        <w:tc>
          <w:tcPr>
            <w:tcW w:w="849" w:type="dxa"/>
            <w:shd w:val="clear" w:color="auto" w:fill="auto"/>
            <w:noWrap/>
            <w:hideMark/>
          </w:tcPr>
          <w:p w14:paraId="0EE34DDB" w14:textId="34E99A54" w:rsidR="00FF6B91" w:rsidRPr="00685B35" w:rsidRDefault="00FF6B91" w:rsidP="00FF6B91">
            <w:pPr>
              <w:spacing w:after="0" w:line="240" w:lineRule="auto"/>
              <w:jc w:val="right"/>
              <w:rPr>
                <w:rFonts w:cs="Arial"/>
                <w:color w:val="000000" w:themeColor="text1"/>
                <w:sz w:val="16"/>
                <w:szCs w:val="16"/>
                <w:lang w:eastAsia="en-AU"/>
              </w:rPr>
            </w:pPr>
          </w:p>
        </w:tc>
        <w:tc>
          <w:tcPr>
            <w:tcW w:w="849" w:type="dxa"/>
            <w:shd w:val="clear" w:color="auto" w:fill="auto"/>
            <w:noWrap/>
            <w:hideMark/>
          </w:tcPr>
          <w:p w14:paraId="412E883A" w14:textId="2BC6037F"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r w:rsidR="1FE89760" w:rsidRPr="1D2B08F3">
              <w:rPr>
                <w:rFonts w:cs="Arial"/>
                <w:color w:val="000000" w:themeColor="text1"/>
                <w:sz w:val="16"/>
                <w:szCs w:val="16"/>
                <w:lang w:eastAsia="en-AU"/>
              </w:rPr>
              <w:t>308</w:t>
            </w:r>
          </w:p>
        </w:tc>
        <w:tc>
          <w:tcPr>
            <w:tcW w:w="850" w:type="dxa"/>
            <w:shd w:val="clear" w:color="auto" w:fill="auto"/>
            <w:noWrap/>
            <w:hideMark/>
          </w:tcPr>
          <w:p w14:paraId="312CDF5B"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21816813"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7C825559"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2F113D3B"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4366CAB0"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597A9C00"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4FBF9294"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036704CC"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222FAF19"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1A5D1346"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7FB918F3"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7AFF2F24"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2AC06480" w14:textId="77777777" w:rsidR="00FF6B91" w:rsidRPr="00685B35" w:rsidRDefault="00FF6B91" w:rsidP="00FF6B91">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308</w:t>
            </w:r>
          </w:p>
        </w:tc>
      </w:tr>
      <w:tr w:rsidR="00D33A03" w:rsidRPr="00A030E3" w14:paraId="617AE766" w14:textId="77777777" w:rsidTr="00974CBE">
        <w:trPr>
          <w:trHeight w:val="311"/>
        </w:trPr>
        <w:tc>
          <w:tcPr>
            <w:tcW w:w="1536" w:type="dxa"/>
            <w:shd w:val="clear" w:color="auto" w:fill="auto"/>
            <w:hideMark/>
          </w:tcPr>
          <w:p w14:paraId="6CDDD223"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Portland District Health</w:t>
            </w:r>
          </w:p>
        </w:tc>
        <w:tc>
          <w:tcPr>
            <w:tcW w:w="849" w:type="dxa"/>
            <w:shd w:val="clear" w:color="auto" w:fill="auto"/>
            <w:noWrap/>
            <w:hideMark/>
          </w:tcPr>
          <w:p w14:paraId="14D3895F"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1249B058"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2FFEE79A"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6107CB4C"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030EFFF9"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717EB35E"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24B41B08"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2C7DD275"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71FF9018"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7447CE65"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01C5E544"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1FF91CD3"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32D38A32" w14:textId="77777777" w:rsidR="00FF6B91" w:rsidRPr="00685B35" w:rsidRDefault="00FF6B91" w:rsidP="00FF6B91">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w:t>
            </w:r>
          </w:p>
        </w:tc>
        <w:tc>
          <w:tcPr>
            <w:tcW w:w="849" w:type="dxa"/>
            <w:shd w:val="clear" w:color="auto" w:fill="auto"/>
            <w:noWrap/>
            <w:hideMark/>
          </w:tcPr>
          <w:p w14:paraId="78696BD7"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7F5B0279" w14:textId="77777777" w:rsidR="00FF6B91" w:rsidRPr="00685B35" w:rsidRDefault="00FF6B91" w:rsidP="00FF6B91">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w:t>
            </w:r>
          </w:p>
        </w:tc>
      </w:tr>
      <w:tr w:rsidR="00D33A03" w:rsidRPr="00A030E3" w14:paraId="1828CE1D" w14:textId="77777777" w:rsidTr="00974CBE">
        <w:trPr>
          <w:trHeight w:val="311"/>
        </w:trPr>
        <w:tc>
          <w:tcPr>
            <w:tcW w:w="1536" w:type="dxa"/>
            <w:shd w:val="clear" w:color="auto" w:fill="auto"/>
            <w:hideMark/>
          </w:tcPr>
          <w:p w14:paraId="430C0F3E"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Ramsay Health Care Australia PTY LTD</w:t>
            </w:r>
          </w:p>
        </w:tc>
        <w:tc>
          <w:tcPr>
            <w:tcW w:w="849" w:type="dxa"/>
            <w:shd w:val="clear" w:color="auto" w:fill="auto"/>
            <w:noWrap/>
            <w:hideMark/>
          </w:tcPr>
          <w:p w14:paraId="40B19989" w14:textId="23B2463C" w:rsidR="00FF6B91" w:rsidRPr="00685B35" w:rsidRDefault="00FF6B91" w:rsidP="00FF6B91">
            <w:pPr>
              <w:spacing w:after="0" w:line="240" w:lineRule="auto"/>
              <w:jc w:val="right"/>
              <w:rPr>
                <w:rFonts w:cs="Arial"/>
                <w:color w:val="000000" w:themeColor="text1"/>
                <w:sz w:val="16"/>
                <w:szCs w:val="16"/>
                <w:lang w:eastAsia="en-AU"/>
              </w:rPr>
            </w:pPr>
          </w:p>
        </w:tc>
        <w:tc>
          <w:tcPr>
            <w:tcW w:w="849" w:type="dxa"/>
            <w:shd w:val="clear" w:color="auto" w:fill="auto"/>
            <w:noWrap/>
            <w:hideMark/>
          </w:tcPr>
          <w:p w14:paraId="785BF8B4"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7B610CB8"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5531EE72"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77957223"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3B48AA0B"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6DB02F40"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1B11A07D"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0E46A72B"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4787C23C"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3E3358AE"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52DDDFBB"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24DCDE94"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48539ED8"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4B019E75" w14:textId="4D17C375" w:rsidR="00FF6B91" w:rsidRPr="00685B35" w:rsidRDefault="00FF6B91" w:rsidP="00FF6B91">
            <w:pPr>
              <w:spacing w:after="0" w:line="240" w:lineRule="auto"/>
              <w:jc w:val="right"/>
              <w:rPr>
                <w:rFonts w:cs="Arial"/>
                <w:color w:val="000000" w:themeColor="text1"/>
                <w:sz w:val="16"/>
                <w:szCs w:val="16"/>
                <w:lang w:eastAsia="en-AU"/>
              </w:rPr>
            </w:pPr>
          </w:p>
        </w:tc>
      </w:tr>
      <w:tr w:rsidR="00D33A03" w:rsidRPr="00A030E3" w14:paraId="47CD212F" w14:textId="77777777" w:rsidTr="00974CBE">
        <w:trPr>
          <w:trHeight w:val="311"/>
        </w:trPr>
        <w:tc>
          <w:tcPr>
            <w:tcW w:w="1536" w:type="dxa"/>
            <w:shd w:val="clear" w:color="auto" w:fill="auto"/>
            <w:hideMark/>
          </w:tcPr>
          <w:p w14:paraId="7077FFAE"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South West Healthcare</w:t>
            </w:r>
          </w:p>
        </w:tc>
        <w:tc>
          <w:tcPr>
            <w:tcW w:w="849" w:type="dxa"/>
            <w:shd w:val="clear" w:color="auto" w:fill="auto"/>
            <w:noWrap/>
            <w:hideMark/>
          </w:tcPr>
          <w:p w14:paraId="4698AB8C"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69FA0514"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37A1CDB2"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555D020D"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6C248523"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50147671"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3C10A817"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660D486E"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26A08824" w14:textId="77777777" w:rsidR="00FF6B91" w:rsidRPr="00685B35" w:rsidRDefault="00FF6B91" w:rsidP="00FF6B91">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120</w:t>
            </w:r>
          </w:p>
        </w:tc>
        <w:tc>
          <w:tcPr>
            <w:tcW w:w="849" w:type="dxa"/>
            <w:shd w:val="clear" w:color="auto" w:fill="auto"/>
            <w:noWrap/>
            <w:hideMark/>
          </w:tcPr>
          <w:p w14:paraId="7793A14B"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759FC0BD" w14:textId="77777777" w:rsidR="00FF6B91" w:rsidRPr="00685B35" w:rsidRDefault="00FF6B91" w:rsidP="00FF6B91">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12</w:t>
            </w:r>
          </w:p>
        </w:tc>
        <w:tc>
          <w:tcPr>
            <w:tcW w:w="850" w:type="dxa"/>
            <w:shd w:val="clear" w:color="auto" w:fill="auto"/>
            <w:noWrap/>
            <w:hideMark/>
          </w:tcPr>
          <w:p w14:paraId="0CB214AA"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26CF76EE"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49" w:type="dxa"/>
            <w:shd w:val="clear" w:color="auto" w:fill="auto"/>
            <w:noWrap/>
            <w:hideMark/>
          </w:tcPr>
          <w:p w14:paraId="001252A5" w14:textId="77777777" w:rsidR="00FF6B91" w:rsidRPr="00685B35" w:rsidRDefault="00FF6B91" w:rsidP="00FF6B91">
            <w:pPr>
              <w:spacing w:after="0" w:line="240" w:lineRule="auto"/>
              <w:rPr>
                <w:rFonts w:cs="Arial"/>
                <w:color w:val="000000" w:themeColor="text1"/>
                <w:sz w:val="16"/>
                <w:szCs w:val="16"/>
                <w:lang w:eastAsia="en-AU"/>
              </w:rPr>
            </w:pPr>
            <w:r w:rsidRPr="00685B35">
              <w:rPr>
                <w:rFonts w:cs="Arial"/>
                <w:color w:val="000000" w:themeColor="text1"/>
                <w:sz w:val="16"/>
                <w:szCs w:val="16"/>
                <w:lang w:eastAsia="en-AU"/>
              </w:rPr>
              <w:t> </w:t>
            </w:r>
          </w:p>
        </w:tc>
        <w:tc>
          <w:tcPr>
            <w:tcW w:w="850" w:type="dxa"/>
            <w:shd w:val="clear" w:color="auto" w:fill="auto"/>
            <w:noWrap/>
            <w:hideMark/>
          </w:tcPr>
          <w:p w14:paraId="59F930AC" w14:textId="77777777" w:rsidR="00FF6B91" w:rsidRPr="00685B35" w:rsidRDefault="00FF6B91" w:rsidP="00FF6B91">
            <w:pPr>
              <w:spacing w:after="0" w:line="240" w:lineRule="auto"/>
              <w:jc w:val="right"/>
              <w:rPr>
                <w:rFonts w:cs="Arial"/>
                <w:color w:val="000000" w:themeColor="text1"/>
                <w:sz w:val="16"/>
                <w:szCs w:val="16"/>
                <w:lang w:eastAsia="en-AU"/>
              </w:rPr>
            </w:pPr>
            <w:r w:rsidRPr="00685B35">
              <w:rPr>
                <w:rFonts w:cs="Arial"/>
                <w:color w:val="000000" w:themeColor="text1"/>
                <w:sz w:val="16"/>
                <w:szCs w:val="16"/>
                <w:lang w:eastAsia="en-AU"/>
              </w:rPr>
              <w:t>132</w:t>
            </w:r>
          </w:p>
        </w:tc>
      </w:tr>
    </w:tbl>
    <w:p w14:paraId="45C058EE" w14:textId="77777777" w:rsidR="00974CBE" w:rsidRDefault="00974CBE" w:rsidP="00B92CD4">
      <w:pPr>
        <w:pStyle w:val="Body"/>
      </w:pPr>
    </w:p>
    <w:p w14:paraId="19760DDD" w14:textId="658F4E6B" w:rsidR="00882215" w:rsidRDefault="00882215" w:rsidP="00B92CD4">
      <w:pPr>
        <w:pStyle w:val="Body"/>
      </w:pPr>
      <w:r>
        <w:t>Combined total</w:t>
      </w:r>
    </w:p>
    <w:tbl>
      <w:tblPr>
        <w:tblW w:w="14276" w:type="dxa"/>
        <w:tblLayout w:type="fixed"/>
        <w:tblLook w:val="04A0" w:firstRow="1" w:lastRow="0" w:firstColumn="1" w:lastColumn="0" w:noHBand="0" w:noVBand="1"/>
      </w:tblPr>
      <w:tblGrid>
        <w:gridCol w:w="1536"/>
        <w:gridCol w:w="849"/>
        <w:gridCol w:w="849"/>
        <w:gridCol w:w="850"/>
        <w:gridCol w:w="849"/>
        <w:gridCol w:w="849"/>
        <w:gridCol w:w="850"/>
        <w:gridCol w:w="849"/>
        <w:gridCol w:w="849"/>
        <w:gridCol w:w="850"/>
        <w:gridCol w:w="849"/>
        <w:gridCol w:w="849"/>
        <w:gridCol w:w="850"/>
        <w:gridCol w:w="849"/>
        <w:gridCol w:w="849"/>
        <w:gridCol w:w="850"/>
      </w:tblGrid>
      <w:tr w:rsidR="00D33A03" w:rsidRPr="00A030E3" w14:paraId="33597857" w14:textId="77777777" w:rsidTr="00685B35">
        <w:trPr>
          <w:trHeight w:val="992"/>
        </w:trPr>
        <w:tc>
          <w:tcPr>
            <w:tcW w:w="1536" w:type="dxa"/>
            <w:tcBorders>
              <w:top w:val="single" w:sz="4" w:space="0" w:color="auto"/>
              <w:left w:val="single" w:sz="4" w:space="0" w:color="auto"/>
              <w:bottom w:val="single" w:sz="4" w:space="0" w:color="auto"/>
              <w:right w:val="single" w:sz="4" w:space="0" w:color="auto"/>
            </w:tcBorders>
            <w:shd w:val="clear" w:color="auto" w:fill="auto"/>
            <w:hideMark/>
          </w:tcPr>
          <w:p w14:paraId="037E1262" w14:textId="19BAE137" w:rsidR="004A5138" w:rsidRPr="00685B35" w:rsidRDefault="00D33A03" w:rsidP="00685B35">
            <w:pPr>
              <w:pStyle w:val="Tablecolheadlandscape"/>
              <w:rPr>
                <w:b w:val="0"/>
              </w:rPr>
            </w:pPr>
            <w:r>
              <w:t>Health service</w:t>
            </w:r>
          </w:p>
        </w:tc>
        <w:tc>
          <w:tcPr>
            <w:tcW w:w="849" w:type="dxa"/>
            <w:tcBorders>
              <w:top w:val="single" w:sz="4" w:space="0" w:color="auto"/>
              <w:left w:val="nil"/>
              <w:bottom w:val="single" w:sz="4" w:space="0" w:color="auto"/>
              <w:right w:val="single" w:sz="4" w:space="0" w:color="auto"/>
            </w:tcBorders>
            <w:shd w:val="clear" w:color="auto" w:fill="auto"/>
            <w:hideMark/>
          </w:tcPr>
          <w:p w14:paraId="1693D9C0" w14:textId="1BE953F3" w:rsidR="004A5138" w:rsidRPr="00685B35" w:rsidRDefault="004A5138" w:rsidP="00685B35">
            <w:pPr>
              <w:pStyle w:val="Tablecolheadlandscape"/>
              <w:jc w:val="right"/>
              <w:rPr>
                <w:b w:val="0"/>
              </w:rPr>
            </w:pPr>
            <w:r w:rsidRPr="00685B35">
              <w:t>DT</w:t>
            </w:r>
            <w:r w:rsidR="001A7033">
              <w:t>A</w:t>
            </w:r>
            <w:r w:rsidRPr="00685B35">
              <w:t xml:space="preserve">U – activity </w:t>
            </w:r>
          </w:p>
        </w:tc>
        <w:tc>
          <w:tcPr>
            <w:tcW w:w="849" w:type="dxa"/>
            <w:tcBorders>
              <w:top w:val="single" w:sz="4" w:space="0" w:color="auto"/>
              <w:left w:val="nil"/>
              <w:bottom w:val="single" w:sz="4" w:space="0" w:color="auto"/>
              <w:right w:val="single" w:sz="4" w:space="0" w:color="auto"/>
            </w:tcBorders>
            <w:shd w:val="clear" w:color="auto" w:fill="auto"/>
            <w:hideMark/>
          </w:tcPr>
          <w:p w14:paraId="41154B4E" w14:textId="77777777" w:rsidR="004A5138" w:rsidRPr="00685B35" w:rsidRDefault="004A5138" w:rsidP="00685B35">
            <w:pPr>
              <w:pStyle w:val="Tablecolheadlandscape"/>
              <w:jc w:val="right"/>
              <w:rPr>
                <w:b w:val="0"/>
              </w:rPr>
            </w:pPr>
            <w:r w:rsidRPr="00685B35">
              <w:t>DTAU – residential drug withdrawal</w:t>
            </w:r>
          </w:p>
        </w:tc>
        <w:tc>
          <w:tcPr>
            <w:tcW w:w="850" w:type="dxa"/>
            <w:tcBorders>
              <w:top w:val="single" w:sz="4" w:space="0" w:color="auto"/>
              <w:left w:val="nil"/>
              <w:bottom w:val="single" w:sz="4" w:space="0" w:color="auto"/>
              <w:right w:val="single" w:sz="4" w:space="0" w:color="auto"/>
            </w:tcBorders>
            <w:shd w:val="clear" w:color="auto" w:fill="auto"/>
            <w:hideMark/>
          </w:tcPr>
          <w:p w14:paraId="68F6BDC9" w14:textId="1583CA69" w:rsidR="004A5138" w:rsidRPr="00685B35" w:rsidRDefault="004A5138" w:rsidP="00685B35">
            <w:pPr>
              <w:pStyle w:val="Tablecolheadlandscape"/>
              <w:jc w:val="right"/>
              <w:rPr>
                <w:b w:val="0"/>
              </w:rPr>
            </w:pPr>
            <w:r w:rsidRPr="00685B35">
              <w:t>DTAU – residential rehabilitation</w:t>
            </w:r>
          </w:p>
        </w:tc>
        <w:tc>
          <w:tcPr>
            <w:tcW w:w="849" w:type="dxa"/>
            <w:tcBorders>
              <w:top w:val="single" w:sz="4" w:space="0" w:color="auto"/>
              <w:left w:val="nil"/>
              <w:bottom w:val="single" w:sz="4" w:space="0" w:color="auto"/>
              <w:right w:val="single" w:sz="4" w:space="0" w:color="auto"/>
            </w:tcBorders>
            <w:shd w:val="clear" w:color="auto" w:fill="auto"/>
            <w:hideMark/>
          </w:tcPr>
          <w:p w14:paraId="5CDBA8AD" w14:textId="77777777" w:rsidR="004A5138" w:rsidRPr="00685B35" w:rsidRDefault="004A5138" w:rsidP="00685B35">
            <w:pPr>
              <w:pStyle w:val="Tablecolheadlandscape"/>
              <w:jc w:val="right"/>
              <w:rPr>
                <w:b w:val="0"/>
              </w:rPr>
            </w:pPr>
            <w:r w:rsidRPr="00685B35">
              <w:t>DTAU – Intake and assessment</w:t>
            </w:r>
          </w:p>
        </w:tc>
        <w:tc>
          <w:tcPr>
            <w:tcW w:w="849" w:type="dxa"/>
            <w:tcBorders>
              <w:top w:val="single" w:sz="4" w:space="0" w:color="auto"/>
              <w:left w:val="nil"/>
              <w:bottom w:val="single" w:sz="4" w:space="0" w:color="auto"/>
              <w:right w:val="single" w:sz="4" w:space="0" w:color="auto"/>
            </w:tcBorders>
            <w:shd w:val="clear" w:color="auto" w:fill="auto"/>
            <w:hideMark/>
          </w:tcPr>
          <w:p w14:paraId="71E2DAD3" w14:textId="77777777" w:rsidR="004A5138" w:rsidRPr="00685B35" w:rsidRDefault="004A5138" w:rsidP="00685B35">
            <w:pPr>
              <w:pStyle w:val="Tablecolheadlandscape"/>
              <w:jc w:val="right"/>
              <w:rPr>
                <w:b w:val="0"/>
              </w:rPr>
            </w:pPr>
            <w:r w:rsidRPr="00685B35">
              <w:t>DTAU – Care and recovery coordination</w:t>
            </w:r>
          </w:p>
        </w:tc>
        <w:tc>
          <w:tcPr>
            <w:tcW w:w="850" w:type="dxa"/>
            <w:tcBorders>
              <w:top w:val="single" w:sz="4" w:space="0" w:color="auto"/>
              <w:left w:val="nil"/>
              <w:bottom w:val="single" w:sz="4" w:space="0" w:color="auto"/>
              <w:right w:val="single" w:sz="4" w:space="0" w:color="auto"/>
            </w:tcBorders>
            <w:shd w:val="clear" w:color="auto" w:fill="auto"/>
            <w:hideMark/>
          </w:tcPr>
          <w:p w14:paraId="26F1B2A9" w14:textId="77777777" w:rsidR="004A5138" w:rsidRPr="00685B35" w:rsidRDefault="004A5138" w:rsidP="00685B35">
            <w:pPr>
              <w:pStyle w:val="Tablecolheadlandscape"/>
              <w:jc w:val="right"/>
              <w:rPr>
                <w:b w:val="0"/>
              </w:rPr>
            </w:pPr>
            <w:r w:rsidRPr="00685B35">
              <w:t>DTAU – counselling</w:t>
            </w:r>
          </w:p>
        </w:tc>
        <w:tc>
          <w:tcPr>
            <w:tcW w:w="849" w:type="dxa"/>
            <w:tcBorders>
              <w:top w:val="single" w:sz="4" w:space="0" w:color="auto"/>
              <w:left w:val="nil"/>
              <w:bottom w:val="single" w:sz="4" w:space="0" w:color="auto"/>
              <w:right w:val="single" w:sz="4" w:space="0" w:color="auto"/>
            </w:tcBorders>
            <w:shd w:val="clear" w:color="auto" w:fill="auto"/>
            <w:hideMark/>
          </w:tcPr>
          <w:p w14:paraId="215FC75A" w14:textId="77777777" w:rsidR="004A5138" w:rsidRPr="00685B35" w:rsidRDefault="004A5138" w:rsidP="00685B35">
            <w:pPr>
              <w:pStyle w:val="Tablecolheadlandscape"/>
              <w:jc w:val="right"/>
              <w:rPr>
                <w:b w:val="0"/>
              </w:rPr>
            </w:pPr>
            <w:r w:rsidRPr="00685B35">
              <w:t>Episode of care – Mobile overdose response service</w:t>
            </w:r>
          </w:p>
        </w:tc>
        <w:tc>
          <w:tcPr>
            <w:tcW w:w="849" w:type="dxa"/>
            <w:tcBorders>
              <w:top w:val="single" w:sz="4" w:space="0" w:color="auto"/>
              <w:left w:val="nil"/>
              <w:bottom w:val="single" w:sz="4" w:space="0" w:color="auto"/>
              <w:right w:val="single" w:sz="4" w:space="0" w:color="auto"/>
            </w:tcBorders>
            <w:shd w:val="clear" w:color="auto" w:fill="auto"/>
            <w:hideMark/>
          </w:tcPr>
          <w:p w14:paraId="726F85E2" w14:textId="78E1C5E1" w:rsidR="004A5138" w:rsidRPr="00685B35" w:rsidRDefault="004A5138" w:rsidP="00685B35">
            <w:pPr>
              <w:pStyle w:val="Tablecolheadlandscape"/>
              <w:jc w:val="right"/>
              <w:rPr>
                <w:b w:val="0"/>
              </w:rPr>
            </w:pPr>
            <w:r w:rsidRPr="00685B35">
              <w:t>DTAU – Non-residential withdrawal</w:t>
            </w:r>
          </w:p>
        </w:tc>
        <w:tc>
          <w:tcPr>
            <w:tcW w:w="850" w:type="dxa"/>
            <w:tcBorders>
              <w:top w:val="single" w:sz="4" w:space="0" w:color="auto"/>
              <w:left w:val="nil"/>
              <w:bottom w:val="single" w:sz="4" w:space="0" w:color="auto"/>
              <w:right w:val="single" w:sz="4" w:space="0" w:color="auto"/>
            </w:tcBorders>
            <w:shd w:val="clear" w:color="auto" w:fill="auto"/>
            <w:hideMark/>
          </w:tcPr>
          <w:p w14:paraId="3B70262A" w14:textId="77777777" w:rsidR="004A5138" w:rsidRPr="00685B35" w:rsidRDefault="004A5138" w:rsidP="00685B35">
            <w:pPr>
              <w:pStyle w:val="Tablecolheadlandscape"/>
              <w:jc w:val="right"/>
              <w:rPr>
                <w:b w:val="0"/>
              </w:rPr>
            </w:pPr>
            <w:r w:rsidRPr="00685B35">
              <w:t>DTAU – Rural withdrawal</w:t>
            </w:r>
          </w:p>
        </w:tc>
        <w:tc>
          <w:tcPr>
            <w:tcW w:w="849" w:type="dxa"/>
            <w:tcBorders>
              <w:top w:val="single" w:sz="4" w:space="0" w:color="auto"/>
              <w:left w:val="nil"/>
              <w:bottom w:val="single" w:sz="4" w:space="0" w:color="auto"/>
              <w:right w:val="single" w:sz="4" w:space="0" w:color="auto"/>
            </w:tcBorders>
            <w:shd w:val="clear" w:color="auto" w:fill="auto"/>
            <w:hideMark/>
          </w:tcPr>
          <w:p w14:paraId="5874E4DC" w14:textId="63624DFD" w:rsidR="004A5138" w:rsidRPr="00685B35" w:rsidRDefault="004A5138" w:rsidP="00685B35">
            <w:pPr>
              <w:pStyle w:val="Tablecolheadlandscape"/>
              <w:jc w:val="right"/>
              <w:rPr>
                <w:b w:val="0"/>
              </w:rPr>
            </w:pPr>
            <w:r w:rsidRPr="00685B35">
              <w:t>Episode of care – Specialist Pharmacotherapy</w:t>
            </w:r>
          </w:p>
        </w:tc>
        <w:tc>
          <w:tcPr>
            <w:tcW w:w="849" w:type="dxa"/>
            <w:tcBorders>
              <w:top w:val="single" w:sz="4" w:space="0" w:color="auto"/>
              <w:left w:val="nil"/>
              <w:bottom w:val="single" w:sz="4" w:space="0" w:color="auto"/>
              <w:right w:val="single" w:sz="4" w:space="0" w:color="auto"/>
            </w:tcBorders>
            <w:shd w:val="clear" w:color="auto" w:fill="auto"/>
            <w:hideMark/>
          </w:tcPr>
          <w:p w14:paraId="177CB054" w14:textId="77777777" w:rsidR="004A5138" w:rsidRPr="00685B35" w:rsidRDefault="004A5138" w:rsidP="00685B35">
            <w:pPr>
              <w:pStyle w:val="Tablecolheadlandscape"/>
              <w:jc w:val="right"/>
              <w:rPr>
                <w:b w:val="0"/>
              </w:rPr>
            </w:pPr>
            <w:r w:rsidRPr="00685B35">
              <w:t>Episode of care – Specialist Pharmacotherapy Service</w:t>
            </w:r>
          </w:p>
        </w:tc>
        <w:tc>
          <w:tcPr>
            <w:tcW w:w="850" w:type="dxa"/>
            <w:tcBorders>
              <w:top w:val="single" w:sz="4" w:space="0" w:color="auto"/>
              <w:left w:val="nil"/>
              <w:bottom w:val="single" w:sz="4" w:space="0" w:color="auto"/>
              <w:right w:val="single" w:sz="4" w:space="0" w:color="auto"/>
            </w:tcBorders>
            <w:shd w:val="clear" w:color="auto" w:fill="auto"/>
            <w:hideMark/>
          </w:tcPr>
          <w:p w14:paraId="25854947" w14:textId="77777777" w:rsidR="004A5138" w:rsidRPr="00685B35" w:rsidRDefault="004A5138" w:rsidP="00685B35">
            <w:pPr>
              <w:pStyle w:val="Tablecolheadlandscape"/>
              <w:jc w:val="right"/>
              <w:rPr>
                <w:b w:val="0"/>
              </w:rPr>
            </w:pPr>
            <w:r w:rsidRPr="00685B35">
              <w:t>Episode of care –  Youth A&amp;D supported accommodation</w:t>
            </w:r>
          </w:p>
        </w:tc>
        <w:tc>
          <w:tcPr>
            <w:tcW w:w="849" w:type="dxa"/>
            <w:tcBorders>
              <w:top w:val="single" w:sz="4" w:space="0" w:color="auto"/>
              <w:left w:val="nil"/>
              <w:bottom w:val="single" w:sz="4" w:space="0" w:color="auto"/>
              <w:right w:val="single" w:sz="4" w:space="0" w:color="auto"/>
            </w:tcBorders>
            <w:shd w:val="clear" w:color="auto" w:fill="auto"/>
            <w:hideMark/>
          </w:tcPr>
          <w:p w14:paraId="0558FC91" w14:textId="77777777" w:rsidR="004A5138" w:rsidRPr="00685B35" w:rsidRDefault="004A5138" w:rsidP="00685B35">
            <w:pPr>
              <w:pStyle w:val="Tablecolheadlandscape"/>
              <w:jc w:val="right"/>
              <w:rPr>
                <w:b w:val="0"/>
              </w:rPr>
            </w:pPr>
            <w:r w:rsidRPr="00685B35">
              <w:t>Episode of care –  Youth A&amp;D supported accommodation rural</w:t>
            </w:r>
          </w:p>
        </w:tc>
        <w:tc>
          <w:tcPr>
            <w:tcW w:w="849" w:type="dxa"/>
            <w:tcBorders>
              <w:top w:val="single" w:sz="4" w:space="0" w:color="auto"/>
              <w:left w:val="nil"/>
              <w:bottom w:val="single" w:sz="4" w:space="0" w:color="auto"/>
              <w:right w:val="single" w:sz="4" w:space="0" w:color="auto"/>
            </w:tcBorders>
            <w:shd w:val="clear" w:color="auto" w:fill="auto"/>
            <w:hideMark/>
          </w:tcPr>
          <w:p w14:paraId="41DDFD00" w14:textId="77777777" w:rsidR="004A5138" w:rsidRPr="00685B35" w:rsidRDefault="004A5138" w:rsidP="00685B35">
            <w:pPr>
              <w:pStyle w:val="Tablecolheadlandscape"/>
              <w:jc w:val="right"/>
              <w:rPr>
                <w:b w:val="0"/>
              </w:rPr>
            </w:pPr>
            <w:r w:rsidRPr="00685B35">
              <w:t>Episode of care –Youth Outreach</w:t>
            </w:r>
          </w:p>
        </w:tc>
        <w:tc>
          <w:tcPr>
            <w:tcW w:w="850" w:type="dxa"/>
            <w:tcBorders>
              <w:top w:val="single" w:sz="4" w:space="0" w:color="auto"/>
              <w:left w:val="nil"/>
              <w:bottom w:val="single" w:sz="4" w:space="0" w:color="auto"/>
              <w:right w:val="single" w:sz="4" w:space="0" w:color="auto"/>
            </w:tcBorders>
            <w:shd w:val="clear" w:color="auto" w:fill="auto"/>
            <w:hideMark/>
          </w:tcPr>
          <w:p w14:paraId="7C3FB6EC" w14:textId="77777777" w:rsidR="004A5138" w:rsidRPr="00685B35" w:rsidRDefault="004A5138" w:rsidP="00685B35">
            <w:pPr>
              <w:pStyle w:val="Tablecolheadlandscape"/>
              <w:jc w:val="right"/>
              <w:rPr>
                <w:b w:val="0"/>
              </w:rPr>
            </w:pPr>
            <w:r w:rsidRPr="00685B35">
              <w:t>Total</w:t>
            </w:r>
          </w:p>
        </w:tc>
      </w:tr>
      <w:tr w:rsidR="00D33A03" w:rsidRPr="00A030E3" w14:paraId="095C1CE7" w14:textId="77777777" w:rsidTr="00D33A03">
        <w:trPr>
          <w:trHeight w:val="291"/>
        </w:trPr>
        <w:tc>
          <w:tcPr>
            <w:tcW w:w="1536" w:type="dxa"/>
            <w:tcBorders>
              <w:top w:val="nil"/>
              <w:left w:val="single" w:sz="4" w:space="0" w:color="auto"/>
              <w:bottom w:val="single" w:sz="4" w:space="0" w:color="auto"/>
              <w:right w:val="single" w:sz="4" w:space="0" w:color="auto"/>
            </w:tcBorders>
            <w:shd w:val="clear" w:color="auto" w:fill="auto"/>
            <w:vAlign w:val="bottom"/>
            <w:hideMark/>
          </w:tcPr>
          <w:p w14:paraId="0A6A7E25" w14:textId="69587B2C" w:rsidR="004A5138" w:rsidRPr="00685B35" w:rsidRDefault="004A5138" w:rsidP="004A5138">
            <w:pPr>
              <w:spacing w:after="0" w:line="240" w:lineRule="auto"/>
              <w:rPr>
                <w:rFonts w:cs="Arial"/>
                <w:b/>
                <w:bCs/>
                <w:color w:val="000000" w:themeColor="text1"/>
                <w:sz w:val="16"/>
                <w:szCs w:val="16"/>
                <w:lang w:eastAsia="en-AU"/>
              </w:rPr>
            </w:pPr>
            <w:r w:rsidRPr="00685B35">
              <w:rPr>
                <w:rFonts w:cs="Arial"/>
                <w:b/>
                <w:bCs/>
                <w:color w:val="000000" w:themeColor="text1"/>
                <w:sz w:val="16"/>
                <w:szCs w:val="16"/>
                <w:lang w:eastAsia="en-AU"/>
              </w:rPr>
              <w:t>Total</w:t>
            </w:r>
          </w:p>
        </w:tc>
        <w:tc>
          <w:tcPr>
            <w:tcW w:w="849" w:type="dxa"/>
            <w:tcBorders>
              <w:top w:val="nil"/>
              <w:left w:val="nil"/>
              <w:bottom w:val="single" w:sz="4" w:space="0" w:color="auto"/>
              <w:right w:val="single" w:sz="4" w:space="0" w:color="auto"/>
            </w:tcBorders>
            <w:shd w:val="clear" w:color="auto" w:fill="auto"/>
            <w:vAlign w:val="bottom"/>
            <w:hideMark/>
          </w:tcPr>
          <w:p w14:paraId="3276116E" w14:textId="34612E23" w:rsidR="004A5138" w:rsidRPr="00685B35" w:rsidRDefault="4E5C5FA6" w:rsidP="004A5138">
            <w:pPr>
              <w:spacing w:after="0" w:line="240" w:lineRule="auto"/>
              <w:jc w:val="right"/>
            </w:pPr>
            <w:r w:rsidRPr="1D2B08F3">
              <w:rPr>
                <w:rFonts w:cs="Arial"/>
                <w:b/>
                <w:bCs/>
                <w:color w:val="000000" w:themeColor="text1"/>
                <w:sz w:val="16"/>
                <w:szCs w:val="16"/>
                <w:lang w:eastAsia="en-AU"/>
              </w:rPr>
              <w:t>10,688</w:t>
            </w:r>
          </w:p>
        </w:tc>
        <w:tc>
          <w:tcPr>
            <w:tcW w:w="849" w:type="dxa"/>
            <w:tcBorders>
              <w:top w:val="nil"/>
              <w:left w:val="nil"/>
              <w:bottom w:val="single" w:sz="4" w:space="0" w:color="auto"/>
              <w:right w:val="single" w:sz="4" w:space="0" w:color="auto"/>
            </w:tcBorders>
            <w:shd w:val="clear" w:color="auto" w:fill="auto"/>
            <w:vAlign w:val="bottom"/>
            <w:hideMark/>
          </w:tcPr>
          <w:p w14:paraId="76878771" w14:textId="08E52266" w:rsidR="004A5138" w:rsidRPr="00685B35" w:rsidRDefault="05024711" w:rsidP="004A5138">
            <w:pPr>
              <w:spacing w:after="0" w:line="240" w:lineRule="auto"/>
              <w:jc w:val="right"/>
            </w:pPr>
            <w:r w:rsidRPr="1D2B08F3">
              <w:rPr>
                <w:rFonts w:cs="Arial"/>
                <w:b/>
                <w:bCs/>
                <w:color w:val="000000" w:themeColor="text1"/>
                <w:sz w:val="16"/>
                <w:szCs w:val="16"/>
                <w:lang w:eastAsia="en-AU"/>
              </w:rPr>
              <w:t>14,176</w:t>
            </w:r>
          </w:p>
        </w:tc>
        <w:tc>
          <w:tcPr>
            <w:tcW w:w="850" w:type="dxa"/>
            <w:tcBorders>
              <w:top w:val="nil"/>
              <w:left w:val="nil"/>
              <w:bottom w:val="single" w:sz="4" w:space="0" w:color="auto"/>
              <w:right w:val="single" w:sz="4" w:space="0" w:color="auto"/>
            </w:tcBorders>
            <w:shd w:val="clear" w:color="auto" w:fill="auto"/>
            <w:vAlign w:val="bottom"/>
            <w:hideMark/>
          </w:tcPr>
          <w:p w14:paraId="4863FC20" w14:textId="51E5695B" w:rsidR="004A5138" w:rsidRPr="00685B35" w:rsidRDefault="004A5138" w:rsidP="004A5138">
            <w:pPr>
              <w:spacing w:after="0" w:line="240" w:lineRule="auto"/>
              <w:jc w:val="right"/>
              <w:rPr>
                <w:rFonts w:cs="Arial"/>
                <w:b/>
                <w:bCs/>
                <w:color w:val="000000" w:themeColor="text1"/>
                <w:sz w:val="16"/>
                <w:szCs w:val="16"/>
                <w:lang w:eastAsia="en-AU"/>
              </w:rPr>
            </w:pPr>
          </w:p>
        </w:tc>
        <w:tc>
          <w:tcPr>
            <w:tcW w:w="849" w:type="dxa"/>
            <w:tcBorders>
              <w:top w:val="nil"/>
              <w:left w:val="nil"/>
              <w:bottom w:val="single" w:sz="4" w:space="0" w:color="auto"/>
              <w:right w:val="single" w:sz="4" w:space="0" w:color="auto"/>
            </w:tcBorders>
            <w:shd w:val="clear" w:color="auto" w:fill="auto"/>
            <w:vAlign w:val="bottom"/>
            <w:hideMark/>
          </w:tcPr>
          <w:p w14:paraId="3ECC3E0D" w14:textId="4AB46202" w:rsidR="004A5138" w:rsidRPr="00685B35" w:rsidRDefault="05024711" w:rsidP="004A5138">
            <w:pPr>
              <w:spacing w:after="0" w:line="240" w:lineRule="auto"/>
              <w:jc w:val="right"/>
            </w:pPr>
            <w:r w:rsidRPr="1D2B08F3">
              <w:rPr>
                <w:rFonts w:cs="Arial"/>
                <w:b/>
                <w:bCs/>
                <w:color w:val="000000" w:themeColor="text1"/>
                <w:sz w:val="16"/>
                <w:szCs w:val="16"/>
                <w:lang w:eastAsia="en-AU"/>
              </w:rPr>
              <w:t>3,201</w:t>
            </w:r>
          </w:p>
        </w:tc>
        <w:tc>
          <w:tcPr>
            <w:tcW w:w="849" w:type="dxa"/>
            <w:tcBorders>
              <w:top w:val="nil"/>
              <w:left w:val="nil"/>
              <w:bottom w:val="single" w:sz="4" w:space="0" w:color="auto"/>
              <w:right w:val="single" w:sz="4" w:space="0" w:color="auto"/>
            </w:tcBorders>
            <w:shd w:val="clear" w:color="auto" w:fill="auto"/>
            <w:vAlign w:val="bottom"/>
            <w:hideMark/>
          </w:tcPr>
          <w:p w14:paraId="3C755E2D" w14:textId="06C6937B" w:rsidR="004A5138" w:rsidRPr="00685B35" w:rsidRDefault="05024711" w:rsidP="004A5138">
            <w:pPr>
              <w:spacing w:after="0" w:line="240" w:lineRule="auto"/>
              <w:jc w:val="right"/>
            </w:pPr>
            <w:r w:rsidRPr="1D2B08F3">
              <w:rPr>
                <w:rFonts w:cs="Arial"/>
                <w:b/>
                <w:bCs/>
                <w:color w:val="000000" w:themeColor="text1"/>
                <w:sz w:val="16"/>
                <w:szCs w:val="16"/>
                <w:lang w:eastAsia="en-AU"/>
              </w:rPr>
              <w:t>1,553</w:t>
            </w:r>
          </w:p>
        </w:tc>
        <w:tc>
          <w:tcPr>
            <w:tcW w:w="850" w:type="dxa"/>
            <w:tcBorders>
              <w:top w:val="nil"/>
              <w:left w:val="nil"/>
              <w:bottom w:val="single" w:sz="4" w:space="0" w:color="auto"/>
              <w:right w:val="single" w:sz="4" w:space="0" w:color="auto"/>
            </w:tcBorders>
            <w:shd w:val="clear" w:color="auto" w:fill="auto"/>
            <w:vAlign w:val="bottom"/>
            <w:hideMark/>
          </w:tcPr>
          <w:p w14:paraId="7DAABBEF" w14:textId="42929880" w:rsidR="004A5138" w:rsidRPr="00685B35" w:rsidRDefault="0C579A8D" w:rsidP="004A5138">
            <w:pPr>
              <w:spacing w:after="0" w:line="240" w:lineRule="auto"/>
              <w:jc w:val="right"/>
            </w:pPr>
            <w:r w:rsidRPr="1D2B08F3">
              <w:rPr>
                <w:rFonts w:cs="Arial"/>
                <w:b/>
                <w:bCs/>
                <w:color w:val="000000" w:themeColor="text1"/>
                <w:sz w:val="16"/>
                <w:szCs w:val="16"/>
                <w:lang w:eastAsia="en-AU"/>
              </w:rPr>
              <w:t>5,222</w:t>
            </w:r>
          </w:p>
        </w:tc>
        <w:tc>
          <w:tcPr>
            <w:tcW w:w="849" w:type="dxa"/>
            <w:tcBorders>
              <w:top w:val="nil"/>
              <w:left w:val="nil"/>
              <w:bottom w:val="single" w:sz="4" w:space="0" w:color="auto"/>
              <w:right w:val="single" w:sz="4" w:space="0" w:color="auto"/>
            </w:tcBorders>
            <w:shd w:val="clear" w:color="auto" w:fill="auto"/>
            <w:vAlign w:val="bottom"/>
            <w:hideMark/>
          </w:tcPr>
          <w:p w14:paraId="19F8CCFE" w14:textId="30115E2D" w:rsidR="004A5138" w:rsidRPr="00685B35" w:rsidRDefault="0C579A8D" w:rsidP="004A5138">
            <w:pPr>
              <w:spacing w:after="0" w:line="240" w:lineRule="auto"/>
              <w:jc w:val="right"/>
              <w:rPr>
                <w:rFonts w:cs="Arial"/>
                <w:b/>
                <w:bCs/>
                <w:color w:val="000000" w:themeColor="text1"/>
                <w:sz w:val="16"/>
                <w:szCs w:val="16"/>
                <w:lang w:eastAsia="en-AU"/>
              </w:rPr>
            </w:pPr>
            <w:r w:rsidRPr="1D2B08F3">
              <w:rPr>
                <w:rFonts w:cs="Arial"/>
                <w:b/>
                <w:bCs/>
                <w:color w:val="000000" w:themeColor="text1"/>
                <w:sz w:val="16"/>
                <w:szCs w:val="16"/>
                <w:lang w:eastAsia="en-AU"/>
              </w:rPr>
              <w:t>19</w:t>
            </w:r>
          </w:p>
        </w:tc>
        <w:tc>
          <w:tcPr>
            <w:tcW w:w="849" w:type="dxa"/>
            <w:tcBorders>
              <w:top w:val="nil"/>
              <w:left w:val="nil"/>
              <w:bottom w:val="single" w:sz="4" w:space="0" w:color="auto"/>
              <w:right w:val="single" w:sz="4" w:space="0" w:color="auto"/>
            </w:tcBorders>
            <w:shd w:val="clear" w:color="auto" w:fill="auto"/>
            <w:vAlign w:val="bottom"/>
            <w:hideMark/>
          </w:tcPr>
          <w:p w14:paraId="78DCE7D7" w14:textId="0AFC3F7B" w:rsidR="004A5138" w:rsidRPr="00685B35" w:rsidRDefault="685B4ADD" w:rsidP="004A5138">
            <w:pPr>
              <w:spacing w:after="0" w:line="240" w:lineRule="auto"/>
              <w:jc w:val="right"/>
            </w:pPr>
            <w:r w:rsidRPr="1D2B08F3">
              <w:rPr>
                <w:rFonts w:cs="Arial"/>
                <w:b/>
                <w:bCs/>
                <w:color w:val="000000" w:themeColor="text1"/>
                <w:sz w:val="16"/>
                <w:szCs w:val="16"/>
                <w:lang w:eastAsia="en-AU"/>
              </w:rPr>
              <w:t>2030</w:t>
            </w:r>
          </w:p>
        </w:tc>
        <w:tc>
          <w:tcPr>
            <w:tcW w:w="850" w:type="dxa"/>
            <w:tcBorders>
              <w:top w:val="nil"/>
              <w:left w:val="nil"/>
              <w:bottom w:val="single" w:sz="4" w:space="0" w:color="auto"/>
              <w:right w:val="single" w:sz="4" w:space="0" w:color="auto"/>
            </w:tcBorders>
            <w:shd w:val="clear" w:color="auto" w:fill="auto"/>
            <w:vAlign w:val="bottom"/>
            <w:hideMark/>
          </w:tcPr>
          <w:p w14:paraId="4DB70C74" w14:textId="77777777" w:rsidR="004A5138" w:rsidRPr="00685B35" w:rsidRDefault="004A5138" w:rsidP="004A5138">
            <w:pPr>
              <w:spacing w:after="0" w:line="240" w:lineRule="auto"/>
              <w:jc w:val="right"/>
              <w:rPr>
                <w:rFonts w:cs="Arial"/>
                <w:b/>
                <w:bCs/>
                <w:color w:val="000000" w:themeColor="text1"/>
                <w:sz w:val="16"/>
                <w:szCs w:val="16"/>
                <w:lang w:eastAsia="en-AU"/>
              </w:rPr>
            </w:pPr>
            <w:r w:rsidRPr="00685B35">
              <w:rPr>
                <w:rFonts w:cs="Arial"/>
                <w:b/>
                <w:bCs/>
                <w:color w:val="000000" w:themeColor="text1"/>
                <w:sz w:val="16"/>
                <w:szCs w:val="16"/>
                <w:lang w:eastAsia="en-AU"/>
              </w:rPr>
              <w:t>120</w:t>
            </w:r>
          </w:p>
        </w:tc>
        <w:tc>
          <w:tcPr>
            <w:tcW w:w="849" w:type="dxa"/>
            <w:tcBorders>
              <w:top w:val="nil"/>
              <w:left w:val="nil"/>
              <w:bottom w:val="single" w:sz="4" w:space="0" w:color="auto"/>
              <w:right w:val="single" w:sz="4" w:space="0" w:color="auto"/>
            </w:tcBorders>
            <w:shd w:val="clear" w:color="auto" w:fill="auto"/>
            <w:vAlign w:val="bottom"/>
            <w:hideMark/>
          </w:tcPr>
          <w:p w14:paraId="0265A6F8" w14:textId="77777777" w:rsidR="004A5138" w:rsidRPr="00685B35" w:rsidRDefault="004A5138" w:rsidP="004A5138">
            <w:pPr>
              <w:spacing w:after="0" w:line="240" w:lineRule="auto"/>
              <w:jc w:val="right"/>
              <w:rPr>
                <w:rFonts w:cs="Arial"/>
                <w:b/>
                <w:bCs/>
                <w:color w:val="000000" w:themeColor="text1"/>
                <w:sz w:val="16"/>
                <w:szCs w:val="16"/>
                <w:lang w:eastAsia="en-AU"/>
              </w:rPr>
            </w:pPr>
            <w:r w:rsidRPr="00685B35">
              <w:rPr>
                <w:rFonts w:cs="Arial"/>
                <w:b/>
                <w:bCs/>
                <w:color w:val="000000" w:themeColor="text1"/>
                <w:sz w:val="16"/>
                <w:szCs w:val="16"/>
                <w:lang w:eastAsia="en-AU"/>
              </w:rPr>
              <w:t>100</w:t>
            </w:r>
          </w:p>
        </w:tc>
        <w:tc>
          <w:tcPr>
            <w:tcW w:w="849" w:type="dxa"/>
            <w:tcBorders>
              <w:top w:val="nil"/>
              <w:left w:val="nil"/>
              <w:bottom w:val="single" w:sz="4" w:space="0" w:color="auto"/>
              <w:right w:val="single" w:sz="4" w:space="0" w:color="auto"/>
            </w:tcBorders>
            <w:shd w:val="clear" w:color="auto" w:fill="auto"/>
            <w:vAlign w:val="bottom"/>
            <w:hideMark/>
          </w:tcPr>
          <w:p w14:paraId="10C32FFE" w14:textId="5174B1D6" w:rsidR="004A5138" w:rsidRPr="00685B35" w:rsidRDefault="004A5138" w:rsidP="004A5138">
            <w:pPr>
              <w:spacing w:after="0" w:line="240" w:lineRule="auto"/>
              <w:jc w:val="right"/>
              <w:rPr>
                <w:rFonts w:cs="Arial"/>
                <w:b/>
                <w:bCs/>
                <w:color w:val="000000" w:themeColor="text1"/>
                <w:sz w:val="16"/>
                <w:szCs w:val="16"/>
                <w:lang w:eastAsia="en-AU"/>
              </w:rPr>
            </w:pPr>
            <w:r w:rsidRPr="00685B35">
              <w:rPr>
                <w:rFonts w:cs="Arial"/>
                <w:b/>
                <w:bCs/>
                <w:color w:val="000000" w:themeColor="text1"/>
                <w:sz w:val="16"/>
                <w:szCs w:val="16"/>
                <w:lang w:eastAsia="en-AU"/>
              </w:rPr>
              <w:t>502</w:t>
            </w:r>
          </w:p>
        </w:tc>
        <w:tc>
          <w:tcPr>
            <w:tcW w:w="850" w:type="dxa"/>
            <w:tcBorders>
              <w:top w:val="nil"/>
              <w:left w:val="nil"/>
              <w:bottom w:val="single" w:sz="4" w:space="0" w:color="auto"/>
              <w:right w:val="single" w:sz="4" w:space="0" w:color="auto"/>
            </w:tcBorders>
            <w:shd w:val="clear" w:color="auto" w:fill="auto"/>
            <w:vAlign w:val="bottom"/>
            <w:hideMark/>
          </w:tcPr>
          <w:p w14:paraId="2B14EA16" w14:textId="77777777" w:rsidR="004A5138" w:rsidRPr="00685B35" w:rsidRDefault="004A5138" w:rsidP="004A5138">
            <w:pPr>
              <w:spacing w:after="0" w:line="240" w:lineRule="auto"/>
              <w:jc w:val="right"/>
              <w:rPr>
                <w:rFonts w:cs="Arial"/>
                <w:b/>
                <w:bCs/>
                <w:color w:val="000000" w:themeColor="text1"/>
                <w:sz w:val="16"/>
                <w:szCs w:val="16"/>
                <w:lang w:eastAsia="en-AU"/>
              </w:rPr>
            </w:pPr>
            <w:r w:rsidRPr="00685B35">
              <w:rPr>
                <w:rFonts w:cs="Arial"/>
                <w:b/>
                <w:bCs/>
                <w:color w:val="000000" w:themeColor="text1"/>
                <w:sz w:val="16"/>
                <w:szCs w:val="16"/>
                <w:lang w:eastAsia="en-AU"/>
              </w:rPr>
              <w:t>40</w:t>
            </w:r>
          </w:p>
        </w:tc>
        <w:tc>
          <w:tcPr>
            <w:tcW w:w="849" w:type="dxa"/>
            <w:tcBorders>
              <w:top w:val="nil"/>
              <w:left w:val="nil"/>
              <w:bottom w:val="single" w:sz="4" w:space="0" w:color="auto"/>
              <w:right w:val="single" w:sz="4" w:space="0" w:color="auto"/>
            </w:tcBorders>
            <w:shd w:val="clear" w:color="auto" w:fill="auto"/>
            <w:vAlign w:val="bottom"/>
            <w:hideMark/>
          </w:tcPr>
          <w:p w14:paraId="5C650B0F" w14:textId="77777777" w:rsidR="004A5138" w:rsidRPr="00685B35" w:rsidRDefault="004A5138" w:rsidP="004A5138">
            <w:pPr>
              <w:spacing w:after="0" w:line="240" w:lineRule="auto"/>
              <w:jc w:val="right"/>
              <w:rPr>
                <w:rFonts w:cs="Arial"/>
                <w:b/>
                <w:bCs/>
                <w:color w:val="000000" w:themeColor="text1"/>
                <w:sz w:val="16"/>
                <w:szCs w:val="16"/>
                <w:lang w:eastAsia="en-AU"/>
              </w:rPr>
            </w:pPr>
            <w:r w:rsidRPr="00685B35">
              <w:rPr>
                <w:rFonts w:cs="Arial"/>
                <w:b/>
                <w:bCs/>
                <w:color w:val="000000" w:themeColor="text1"/>
                <w:sz w:val="16"/>
                <w:szCs w:val="16"/>
                <w:lang w:eastAsia="en-AU"/>
              </w:rPr>
              <w:t>7</w:t>
            </w:r>
          </w:p>
        </w:tc>
        <w:tc>
          <w:tcPr>
            <w:tcW w:w="849" w:type="dxa"/>
            <w:tcBorders>
              <w:top w:val="nil"/>
              <w:left w:val="nil"/>
              <w:bottom w:val="single" w:sz="4" w:space="0" w:color="auto"/>
              <w:right w:val="single" w:sz="4" w:space="0" w:color="auto"/>
            </w:tcBorders>
            <w:shd w:val="clear" w:color="auto" w:fill="auto"/>
            <w:vAlign w:val="bottom"/>
            <w:hideMark/>
          </w:tcPr>
          <w:p w14:paraId="2B6619B7" w14:textId="77777777" w:rsidR="004A5138" w:rsidRPr="00685B35" w:rsidRDefault="004A5138" w:rsidP="004A5138">
            <w:pPr>
              <w:spacing w:after="0" w:line="240" w:lineRule="auto"/>
              <w:jc w:val="right"/>
              <w:rPr>
                <w:rFonts w:cs="Arial"/>
                <w:b/>
                <w:bCs/>
                <w:color w:val="000000" w:themeColor="text1"/>
                <w:sz w:val="16"/>
                <w:szCs w:val="16"/>
                <w:lang w:eastAsia="en-AU"/>
              </w:rPr>
            </w:pPr>
            <w:r w:rsidRPr="00685B35">
              <w:rPr>
                <w:rFonts w:cs="Arial"/>
                <w:b/>
                <w:bCs/>
                <w:color w:val="000000" w:themeColor="text1"/>
                <w:sz w:val="16"/>
                <w:szCs w:val="16"/>
                <w:lang w:eastAsia="en-AU"/>
              </w:rPr>
              <w:t>412</w:t>
            </w:r>
          </w:p>
        </w:tc>
        <w:tc>
          <w:tcPr>
            <w:tcW w:w="850" w:type="dxa"/>
            <w:tcBorders>
              <w:top w:val="nil"/>
              <w:left w:val="nil"/>
              <w:bottom w:val="single" w:sz="4" w:space="0" w:color="auto"/>
              <w:right w:val="single" w:sz="4" w:space="0" w:color="auto"/>
            </w:tcBorders>
            <w:shd w:val="clear" w:color="auto" w:fill="auto"/>
            <w:vAlign w:val="bottom"/>
            <w:hideMark/>
          </w:tcPr>
          <w:p w14:paraId="06F53E1A" w14:textId="77777777" w:rsidR="004A5138" w:rsidRPr="00685B35" w:rsidRDefault="004A5138" w:rsidP="004A5138">
            <w:pPr>
              <w:spacing w:after="0" w:line="240" w:lineRule="auto"/>
              <w:jc w:val="right"/>
              <w:rPr>
                <w:rFonts w:cs="Arial"/>
                <w:b/>
                <w:bCs/>
                <w:color w:val="000000" w:themeColor="text1"/>
                <w:sz w:val="16"/>
                <w:szCs w:val="16"/>
                <w:lang w:eastAsia="en-AU"/>
              </w:rPr>
            </w:pPr>
            <w:r w:rsidRPr="00685B35">
              <w:rPr>
                <w:rFonts w:cs="Arial"/>
                <w:b/>
                <w:bCs/>
                <w:color w:val="000000" w:themeColor="text1"/>
                <w:sz w:val="16"/>
                <w:szCs w:val="16"/>
                <w:lang w:eastAsia="en-AU"/>
              </w:rPr>
              <w:t>38,069</w:t>
            </w:r>
          </w:p>
        </w:tc>
      </w:tr>
    </w:tbl>
    <w:p w14:paraId="04EB01F1" w14:textId="77777777" w:rsidR="00C4616E" w:rsidRDefault="00C4616E" w:rsidP="00B92CD4">
      <w:pPr>
        <w:pStyle w:val="Body"/>
        <w:sectPr w:rsidR="00C4616E" w:rsidSect="0031305A">
          <w:pgSz w:w="16838" w:h="11906" w:orient="landscape" w:code="9"/>
          <w:pgMar w:top="1304" w:right="1418" w:bottom="1304" w:left="1134" w:header="680" w:footer="283" w:gutter="0"/>
          <w:cols w:space="340"/>
          <w:docGrid w:linePitch="360"/>
        </w:sectPr>
      </w:pPr>
    </w:p>
    <w:p w14:paraId="4CF207C2" w14:textId="315EC5D6" w:rsidR="000B27B9" w:rsidRDefault="000B27B9" w:rsidP="002705DA">
      <w:pPr>
        <w:pStyle w:val="Heading1"/>
        <w:numPr>
          <w:ilvl w:val="0"/>
          <w:numId w:val="0"/>
        </w:numPr>
        <w:spacing w:before="0"/>
      </w:pPr>
      <w:bookmarkStart w:id="1262" w:name="_Toc100263387"/>
      <w:bookmarkStart w:id="1263" w:name="_Toc156569712"/>
      <w:bookmarkStart w:id="1264" w:name="_Toc55381183"/>
      <w:bookmarkEnd w:id="974"/>
      <w:bookmarkEnd w:id="975"/>
      <w:r>
        <w:t xml:space="preserve">List of </w:t>
      </w:r>
      <w:r w:rsidR="004810BD">
        <w:t>t</w:t>
      </w:r>
      <w:r>
        <w:t>ables</w:t>
      </w:r>
      <w:bookmarkEnd w:id="976"/>
      <w:bookmarkEnd w:id="1262"/>
      <w:bookmarkEnd w:id="1263"/>
      <w:r>
        <w:t xml:space="preserve"> </w:t>
      </w:r>
      <w:bookmarkEnd w:id="1264"/>
    </w:p>
    <w:p w14:paraId="640D91FA" w14:textId="75F1EA80" w:rsidR="007E6861" w:rsidRDefault="000B27B9">
      <w:pPr>
        <w:pStyle w:val="TOC4"/>
        <w:rPr>
          <w:rFonts w:asciiTheme="minorHAnsi" w:eastAsiaTheme="minorEastAsia" w:hAnsiTheme="minorHAnsi" w:cstheme="minorBidi"/>
          <w:noProof/>
          <w:sz w:val="22"/>
          <w:szCs w:val="22"/>
          <w:lang w:eastAsia="en-AU"/>
        </w:rPr>
      </w:pPr>
      <w:r w:rsidRPr="00F02E93">
        <w:rPr>
          <w:noProof/>
          <w:sz w:val="18"/>
          <w:szCs w:val="18"/>
        </w:rPr>
        <w:fldChar w:fldCharType="begin"/>
      </w:r>
      <w:r w:rsidRPr="00F02E93">
        <w:rPr>
          <w:sz w:val="18"/>
          <w:szCs w:val="18"/>
        </w:rPr>
        <w:instrText xml:space="preserve"> TOC \h \z \t "</w:instrText>
      </w:r>
      <w:r w:rsidR="00DA113D" w:rsidRPr="00F02E93">
        <w:rPr>
          <w:sz w:val="18"/>
          <w:szCs w:val="18"/>
        </w:rPr>
        <w:instrText>Table caption</w:instrText>
      </w:r>
      <w:r w:rsidRPr="00F02E93">
        <w:rPr>
          <w:sz w:val="18"/>
          <w:szCs w:val="18"/>
        </w:rPr>
        <w:instrText xml:space="preserve">,4" </w:instrText>
      </w:r>
      <w:r w:rsidRPr="00F02E93">
        <w:rPr>
          <w:noProof/>
          <w:sz w:val="18"/>
          <w:szCs w:val="18"/>
        </w:rPr>
        <w:fldChar w:fldCharType="separate"/>
      </w:r>
      <w:hyperlink w:anchor="_Toc156568644" w:history="1">
        <w:r w:rsidR="007E6861" w:rsidRPr="00DC0009">
          <w:rPr>
            <w:rStyle w:val="Hyperlink"/>
            <w:noProof/>
          </w:rPr>
          <w:t>Table 1.1: Victorian State Budget 2023–24 by output group</w:t>
        </w:r>
        <w:r w:rsidR="007E6861">
          <w:rPr>
            <w:noProof/>
            <w:webHidden/>
          </w:rPr>
          <w:tab/>
        </w:r>
        <w:r w:rsidR="007E6861">
          <w:rPr>
            <w:noProof/>
            <w:webHidden/>
          </w:rPr>
          <w:fldChar w:fldCharType="begin"/>
        </w:r>
        <w:r w:rsidR="007E6861">
          <w:rPr>
            <w:noProof/>
            <w:webHidden/>
          </w:rPr>
          <w:instrText xml:space="preserve"> PAGEREF _Toc156568644 \h </w:instrText>
        </w:r>
        <w:r w:rsidR="007E6861">
          <w:rPr>
            <w:noProof/>
            <w:webHidden/>
          </w:rPr>
        </w:r>
        <w:r w:rsidR="007E6861">
          <w:rPr>
            <w:noProof/>
            <w:webHidden/>
          </w:rPr>
          <w:fldChar w:fldCharType="separate"/>
        </w:r>
        <w:r w:rsidR="007E6861">
          <w:rPr>
            <w:noProof/>
            <w:webHidden/>
          </w:rPr>
          <w:t>4</w:t>
        </w:r>
        <w:r w:rsidR="007E6861">
          <w:rPr>
            <w:noProof/>
            <w:webHidden/>
          </w:rPr>
          <w:fldChar w:fldCharType="end"/>
        </w:r>
      </w:hyperlink>
    </w:p>
    <w:p w14:paraId="77A615EF" w14:textId="18C265CE" w:rsidR="007E6861" w:rsidRDefault="00000000">
      <w:pPr>
        <w:pStyle w:val="TOC4"/>
        <w:rPr>
          <w:rFonts w:asciiTheme="minorHAnsi" w:eastAsiaTheme="minorEastAsia" w:hAnsiTheme="minorHAnsi" w:cstheme="minorBidi"/>
          <w:noProof/>
          <w:sz w:val="22"/>
          <w:szCs w:val="22"/>
          <w:lang w:eastAsia="en-AU"/>
        </w:rPr>
      </w:pPr>
      <w:hyperlink w:anchor="_Toc156568645" w:history="1">
        <w:r w:rsidR="007E6861" w:rsidRPr="00DC0009">
          <w:rPr>
            <w:rStyle w:val="Hyperlink"/>
            <w:noProof/>
          </w:rPr>
          <w:t>Table 1.2: Funding for asset initiatives – acute health</w:t>
        </w:r>
        <w:r w:rsidR="007E6861">
          <w:rPr>
            <w:noProof/>
            <w:webHidden/>
          </w:rPr>
          <w:tab/>
        </w:r>
        <w:r w:rsidR="007E6861">
          <w:rPr>
            <w:noProof/>
            <w:webHidden/>
          </w:rPr>
          <w:fldChar w:fldCharType="begin"/>
        </w:r>
        <w:r w:rsidR="007E6861">
          <w:rPr>
            <w:noProof/>
            <w:webHidden/>
          </w:rPr>
          <w:instrText xml:space="preserve"> PAGEREF _Toc156568645 \h </w:instrText>
        </w:r>
        <w:r w:rsidR="007E6861">
          <w:rPr>
            <w:noProof/>
            <w:webHidden/>
          </w:rPr>
        </w:r>
        <w:r w:rsidR="007E6861">
          <w:rPr>
            <w:noProof/>
            <w:webHidden/>
          </w:rPr>
          <w:fldChar w:fldCharType="separate"/>
        </w:r>
        <w:r w:rsidR="007E6861">
          <w:rPr>
            <w:noProof/>
            <w:webHidden/>
          </w:rPr>
          <w:t>11</w:t>
        </w:r>
        <w:r w:rsidR="007E6861">
          <w:rPr>
            <w:noProof/>
            <w:webHidden/>
          </w:rPr>
          <w:fldChar w:fldCharType="end"/>
        </w:r>
      </w:hyperlink>
    </w:p>
    <w:p w14:paraId="39A4642A" w14:textId="720278F9" w:rsidR="007E6861" w:rsidRDefault="00000000">
      <w:pPr>
        <w:pStyle w:val="TOC4"/>
        <w:rPr>
          <w:rFonts w:asciiTheme="minorHAnsi" w:eastAsiaTheme="minorEastAsia" w:hAnsiTheme="minorHAnsi" w:cstheme="minorBidi"/>
          <w:noProof/>
          <w:sz w:val="22"/>
          <w:szCs w:val="22"/>
          <w:lang w:eastAsia="en-AU"/>
        </w:rPr>
      </w:pPr>
      <w:hyperlink w:anchor="_Toc156568646" w:history="1">
        <w:r w:rsidR="007E6861" w:rsidRPr="00DC0009">
          <w:rPr>
            <w:rStyle w:val="Hyperlink"/>
            <w:noProof/>
          </w:rPr>
          <w:t>Table 1.3: Funding for asset initiatives – ageing, aged and home care</w:t>
        </w:r>
        <w:r w:rsidR="007E6861">
          <w:rPr>
            <w:noProof/>
            <w:webHidden/>
          </w:rPr>
          <w:tab/>
        </w:r>
        <w:r w:rsidR="007E6861">
          <w:rPr>
            <w:noProof/>
            <w:webHidden/>
          </w:rPr>
          <w:fldChar w:fldCharType="begin"/>
        </w:r>
        <w:r w:rsidR="007E6861">
          <w:rPr>
            <w:noProof/>
            <w:webHidden/>
          </w:rPr>
          <w:instrText xml:space="preserve"> PAGEREF _Toc156568646 \h </w:instrText>
        </w:r>
        <w:r w:rsidR="007E6861">
          <w:rPr>
            <w:noProof/>
            <w:webHidden/>
          </w:rPr>
        </w:r>
        <w:r w:rsidR="007E6861">
          <w:rPr>
            <w:noProof/>
            <w:webHidden/>
          </w:rPr>
          <w:fldChar w:fldCharType="separate"/>
        </w:r>
        <w:r w:rsidR="007E6861">
          <w:rPr>
            <w:noProof/>
            <w:webHidden/>
          </w:rPr>
          <w:t>12</w:t>
        </w:r>
        <w:r w:rsidR="007E6861">
          <w:rPr>
            <w:noProof/>
            <w:webHidden/>
          </w:rPr>
          <w:fldChar w:fldCharType="end"/>
        </w:r>
      </w:hyperlink>
    </w:p>
    <w:p w14:paraId="72A3804A" w14:textId="6D4D1CA6" w:rsidR="007E6861" w:rsidRDefault="00000000">
      <w:pPr>
        <w:pStyle w:val="TOC4"/>
        <w:rPr>
          <w:rFonts w:asciiTheme="minorHAnsi" w:eastAsiaTheme="minorEastAsia" w:hAnsiTheme="minorHAnsi" w:cstheme="minorBidi"/>
          <w:noProof/>
          <w:sz w:val="22"/>
          <w:szCs w:val="22"/>
          <w:lang w:eastAsia="en-AU"/>
        </w:rPr>
      </w:pPr>
      <w:hyperlink w:anchor="_Toc156568647" w:history="1">
        <w:r w:rsidR="007E6861" w:rsidRPr="00DC0009">
          <w:rPr>
            <w:rStyle w:val="Hyperlink"/>
            <w:noProof/>
          </w:rPr>
          <w:t>Table 1.4: Funding for asset initiatives – mental health</w:t>
        </w:r>
        <w:r w:rsidR="007E6861">
          <w:rPr>
            <w:noProof/>
            <w:webHidden/>
          </w:rPr>
          <w:tab/>
        </w:r>
        <w:r w:rsidR="007E6861">
          <w:rPr>
            <w:noProof/>
            <w:webHidden/>
          </w:rPr>
          <w:fldChar w:fldCharType="begin"/>
        </w:r>
        <w:r w:rsidR="007E6861">
          <w:rPr>
            <w:noProof/>
            <w:webHidden/>
          </w:rPr>
          <w:instrText xml:space="preserve"> PAGEREF _Toc156568647 \h </w:instrText>
        </w:r>
        <w:r w:rsidR="007E6861">
          <w:rPr>
            <w:noProof/>
            <w:webHidden/>
          </w:rPr>
        </w:r>
        <w:r w:rsidR="007E6861">
          <w:rPr>
            <w:noProof/>
            <w:webHidden/>
          </w:rPr>
          <w:fldChar w:fldCharType="separate"/>
        </w:r>
        <w:r w:rsidR="007E6861">
          <w:rPr>
            <w:noProof/>
            <w:webHidden/>
          </w:rPr>
          <w:t>13</w:t>
        </w:r>
        <w:r w:rsidR="007E6861">
          <w:rPr>
            <w:noProof/>
            <w:webHidden/>
          </w:rPr>
          <w:fldChar w:fldCharType="end"/>
        </w:r>
      </w:hyperlink>
    </w:p>
    <w:p w14:paraId="057D7958" w14:textId="67A69397" w:rsidR="007E6861" w:rsidRDefault="00000000">
      <w:pPr>
        <w:pStyle w:val="TOC4"/>
        <w:rPr>
          <w:rFonts w:asciiTheme="minorHAnsi" w:eastAsiaTheme="minorEastAsia" w:hAnsiTheme="minorHAnsi" w:cstheme="minorBidi"/>
          <w:noProof/>
          <w:sz w:val="22"/>
          <w:szCs w:val="22"/>
          <w:lang w:eastAsia="en-AU"/>
        </w:rPr>
      </w:pPr>
      <w:hyperlink w:anchor="_Toc156568648" w:history="1">
        <w:r w:rsidR="007E6861" w:rsidRPr="00DC0009">
          <w:rPr>
            <w:rStyle w:val="Hyperlink"/>
            <w:noProof/>
          </w:rPr>
          <w:t>Table 1.5: LPHU cost centres</w:t>
        </w:r>
        <w:r w:rsidR="007E6861">
          <w:rPr>
            <w:noProof/>
            <w:webHidden/>
          </w:rPr>
          <w:tab/>
        </w:r>
        <w:r w:rsidR="007E6861">
          <w:rPr>
            <w:noProof/>
            <w:webHidden/>
          </w:rPr>
          <w:fldChar w:fldCharType="begin"/>
        </w:r>
        <w:r w:rsidR="007E6861">
          <w:rPr>
            <w:noProof/>
            <w:webHidden/>
          </w:rPr>
          <w:instrText xml:space="preserve"> PAGEREF _Toc156568648 \h </w:instrText>
        </w:r>
        <w:r w:rsidR="007E6861">
          <w:rPr>
            <w:noProof/>
            <w:webHidden/>
          </w:rPr>
        </w:r>
        <w:r w:rsidR="007E6861">
          <w:rPr>
            <w:noProof/>
            <w:webHidden/>
          </w:rPr>
          <w:fldChar w:fldCharType="separate"/>
        </w:r>
        <w:r w:rsidR="007E6861">
          <w:rPr>
            <w:noProof/>
            <w:webHidden/>
          </w:rPr>
          <w:t>51</w:t>
        </w:r>
        <w:r w:rsidR="007E6861">
          <w:rPr>
            <w:noProof/>
            <w:webHidden/>
          </w:rPr>
          <w:fldChar w:fldCharType="end"/>
        </w:r>
      </w:hyperlink>
    </w:p>
    <w:p w14:paraId="39A4CC28" w14:textId="47CCA4AD" w:rsidR="007E6861" w:rsidRDefault="00000000">
      <w:pPr>
        <w:pStyle w:val="TOC4"/>
        <w:rPr>
          <w:rFonts w:asciiTheme="minorHAnsi" w:eastAsiaTheme="minorEastAsia" w:hAnsiTheme="minorHAnsi" w:cstheme="minorBidi"/>
          <w:noProof/>
          <w:sz w:val="22"/>
          <w:szCs w:val="22"/>
          <w:lang w:eastAsia="en-AU"/>
        </w:rPr>
      </w:pPr>
      <w:hyperlink w:anchor="_Toc156568649" w:history="1">
        <w:r w:rsidR="007E6861" w:rsidRPr="00DC0009">
          <w:rPr>
            <w:rStyle w:val="Hyperlink"/>
            <w:noProof/>
          </w:rPr>
          <w:t>Table 1.6: Victorian funding recall rates 2023–24</w:t>
        </w:r>
        <w:r w:rsidR="007E6861">
          <w:rPr>
            <w:noProof/>
            <w:webHidden/>
          </w:rPr>
          <w:tab/>
        </w:r>
        <w:r w:rsidR="007E6861">
          <w:rPr>
            <w:noProof/>
            <w:webHidden/>
          </w:rPr>
          <w:fldChar w:fldCharType="begin"/>
        </w:r>
        <w:r w:rsidR="007E6861">
          <w:rPr>
            <w:noProof/>
            <w:webHidden/>
          </w:rPr>
          <w:instrText xml:space="preserve"> PAGEREF _Toc156568649 \h </w:instrText>
        </w:r>
        <w:r w:rsidR="007E6861">
          <w:rPr>
            <w:noProof/>
            <w:webHidden/>
          </w:rPr>
        </w:r>
        <w:r w:rsidR="007E6861">
          <w:rPr>
            <w:noProof/>
            <w:webHidden/>
          </w:rPr>
          <w:fldChar w:fldCharType="separate"/>
        </w:r>
        <w:r w:rsidR="007E6861">
          <w:rPr>
            <w:noProof/>
            <w:webHidden/>
          </w:rPr>
          <w:t>55</w:t>
        </w:r>
        <w:r w:rsidR="007E6861">
          <w:rPr>
            <w:noProof/>
            <w:webHidden/>
          </w:rPr>
          <w:fldChar w:fldCharType="end"/>
        </w:r>
      </w:hyperlink>
    </w:p>
    <w:p w14:paraId="0238F44D" w14:textId="07EBF80D" w:rsidR="007E6861" w:rsidRDefault="00000000">
      <w:pPr>
        <w:pStyle w:val="TOC4"/>
        <w:rPr>
          <w:rFonts w:asciiTheme="minorHAnsi" w:eastAsiaTheme="minorEastAsia" w:hAnsiTheme="minorHAnsi" w:cstheme="minorBidi"/>
          <w:noProof/>
          <w:sz w:val="22"/>
          <w:szCs w:val="22"/>
          <w:lang w:eastAsia="en-AU"/>
        </w:rPr>
      </w:pPr>
      <w:hyperlink w:anchor="_Toc156568650" w:history="1">
        <w:r w:rsidR="007E6861" w:rsidRPr="00DC0009">
          <w:rPr>
            <w:rStyle w:val="Hyperlink"/>
            <w:noProof/>
          </w:rPr>
          <w:t>Table 1.7: Funding for throughput above target 2023–24</w:t>
        </w:r>
        <w:r w:rsidR="007E6861">
          <w:rPr>
            <w:noProof/>
            <w:webHidden/>
          </w:rPr>
          <w:tab/>
        </w:r>
        <w:r w:rsidR="007E6861">
          <w:rPr>
            <w:noProof/>
            <w:webHidden/>
          </w:rPr>
          <w:fldChar w:fldCharType="begin"/>
        </w:r>
        <w:r w:rsidR="007E6861">
          <w:rPr>
            <w:noProof/>
            <w:webHidden/>
          </w:rPr>
          <w:instrText xml:space="preserve"> PAGEREF _Toc156568650 \h </w:instrText>
        </w:r>
        <w:r w:rsidR="007E6861">
          <w:rPr>
            <w:noProof/>
            <w:webHidden/>
          </w:rPr>
        </w:r>
        <w:r w:rsidR="007E6861">
          <w:rPr>
            <w:noProof/>
            <w:webHidden/>
          </w:rPr>
          <w:fldChar w:fldCharType="separate"/>
        </w:r>
        <w:r w:rsidR="007E6861">
          <w:rPr>
            <w:noProof/>
            <w:webHidden/>
          </w:rPr>
          <w:t>57</w:t>
        </w:r>
        <w:r w:rsidR="007E6861">
          <w:rPr>
            <w:noProof/>
            <w:webHidden/>
          </w:rPr>
          <w:fldChar w:fldCharType="end"/>
        </w:r>
      </w:hyperlink>
    </w:p>
    <w:p w14:paraId="5E00D250" w14:textId="266ECFCA" w:rsidR="007E6861" w:rsidRDefault="00000000">
      <w:pPr>
        <w:pStyle w:val="TOC4"/>
        <w:rPr>
          <w:rFonts w:asciiTheme="minorHAnsi" w:eastAsiaTheme="minorEastAsia" w:hAnsiTheme="minorHAnsi" w:cstheme="minorBidi"/>
          <w:noProof/>
          <w:sz w:val="22"/>
          <w:szCs w:val="22"/>
          <w:lang w:eastAsia="en-AU"/>
        </w:rPr>
      </w:pPr>
      <w:hyperlink w:anchor="_Toc156568651" w:history="1">
        <w:r w:rsidR="007E6861" w:rsidRPr="00DC0009">
          <w:rPr>
            <w:rStyle w:val="Hyperlink"/>
            <w:noProof/>
          </w:rPr>
          <w:t>Table 1.8: Elective surgery recall policy 2023–24</w:t>
        </w:r>
        <w:r w:rsidR="007E6861">
          <w:rPr>
            <w:noProof/>
            <w:webHidden/>
          </w:rPr>
          <w:tab/>
        </w:r>
        <w:r w:rsidR="007E6861">
          <w:rPr>
            <w:noProof/>
            <w:webHidden/>
          </w:rPr>
          <w:fldChar w:fldCharType="begin"/>
        </w:r>
        <w:r w:rsidR="007E6861">
          <w:rPr>
            <w:noProof/>
            <w:webHidden/>
          </w:rPr>
          <w:instrText xml:space="preserve"> PAGEREF _Toc156568651 \h </w:instrText>
        </w:r>
        <w:r w:rsidR="007E6861">
          <w:rPr>
            <w:noProof/>
            <w:webHidden/>
          </w:rPr>
        </w:r>
        <w:r w:rsidR="007E6861">
          <w:rPr>
            <w:noProof/>
            <w:webHidden/>
          </w:rPr>
          <w:fldChar w:fldCharType="separate"/>
        </w:r>
        <w:r w:rsidR="007E6861">
          <w:rPr>
            <w:noProof/>
            <w:webHidden/>
          </w:rPr>
          <w:t>60</w:t>
        </w:r>
        <w:r w:rsidR="007E6861">
          <w:rPr>
            <w:noProof/>
            <w:webHidden/>
          </w:rPr>
          <w:fldChar w:fldCharType="end"/>
        </w:r>
      </w:hyperlink>
    </w:p>
    <w:p w14:paraId="60912493" w14:textId="1BBB355E" w:rsidR="007E6861" w:rsidRDefault="00000000">
      <w:pPr>
        <w:pStyle w:val="TOC4"/>
        <w:rPr>
          <w:rFonts w:asciiTheme="minorHAnsi" w:eastAsiaTheme="minorEastAsia" w:hAnsiTheme="minorHAnsi" w:cstheme="minorBidi"/>
          <w:noProof/>
          <w:sz w:val="22"/>
          <w:szCs w:val="22"/>
          <w:lang w:eastAsia="en-AU"/>
        </w:rPr>
      </w:pPr>
      <w:hyperlink w:anchor="_Toc156568652" w:history="1">
        <w:r w:rsidR="007E6861" w:rsidRPr="00DC0009">
          <w:rPr>
            <w:rStyle w:val="Hyperlink"/>
            <w:noProof/>
          </w:rPr>
          <w:t>Table 1.9: Funding arrangements for Department of Veterans’ Affairs patients</w:t>
        </w:r>
        <w:r w:rsidR="007E6861">
          <w:rPr>
            <w:noProof/>
            <w:webHidden/>
          </w:rPr>
          <w:tab/>
        </w:r>
        <w:r w:rsidR="007E6861">
          <w:rPr>
            <w:noProof/>
            <w:webHidden/>
          </w:rPr>
          <w:fldChar w:fldCharType="begin"/>
        </w:r>
        <w:r w:rsidR="007E6861">
          <w:rPr>
            <w:noProof/>
            <w:webHidden/>
          </w:rPr>
          <w:instrText xml:space="preserve"> PAGEREF _Toc156568652 \h </w:instrText>
        </w:r>
        <w:r w:rsidR="007E6861">
          <w:rPr>
            <w:noProof/>
            <w:webHidden/>
          </w:rPr>
        </w:r>
        <w:r w:rsidR="007E6861">
          <w:rPr>
            <w:noProof/>
            <w:webHidden/>
          </w:rPr>
          <w:fldChar w:fldCharType="separate"/>
        </w:r>
        <w:r w:rsidR="007E6861">
          <w:rPr>
            <w:noProof/>
            <w:webHidden/>
          </w:rPr>
          <w:t>68</w:t>
        </w:r>
        <w:r w:rsidR="007E6861">
          <w:rPr>
            <w:noProof/>
            <w:webHidden/>
          </w:rPr>
          <w:fldChar w:fldCharType="end"/>
        </w:r>
      </w:hyperlink>
    </w:p>
    <w:p w14:paraId="3B350042" w14:textId="2EBE1F49" w:rsidR="007E6861" w:rsidRDefault="00000000">
      <w:pPr>
        <w:pStyle w:val="TOC4"/>
        <w:rPr>
          <w:rFonts w:asciiTheme="minorHAnsi" w:eastAsiaTheme="minorEastAsia" w:hAnsiTheme="minorHAnsi" w:cstheme="minorBidi"/>
          <w:noProof/>
          <w:sz w:val="22"/>
          <w:szCs w:val="22"/>
          <w:lang w:eastAsia="en-AU"/>
        </w:rPr>
      </w:pPr>
      <w:hyperlink w:anchor="_Toc156568653" w:history="1">
        <w:r w:rsidR="007E6861" w:rsidRPr="00DC0009">
          <w:rPr>
            <w:rStyle w:val="Hyperlink"/>
            <w:noProof/>
          </w:rPr>
          <w:t>Table 1.10: NWAU VEP for growth 2023–24</w:t>
        </w:r>
        <w:r w:rsidR="007E6861">
          <w:rPr>
            <w:noProof/>
            <w:webHidden/>
          </w:rPr>
          <w:tab/>
        </w:r>
        <w:r w:rsidR="007E6861">
          <w:rPr>
            <w:noProof/>
            <w:webHidden/>
          </w:rPr>
          <w:fldChar w:fldCharType="begin"/>
        </w:r>
        <w:r w:rsidR="007E6861">
          <w:rPr>
            <w:noProof/>
            <w:webHidden/>
          </w:rPr>
          <w:instrText xml:space="preserve"> PAGEREF _Toc156568653 \h </w:instrText>
        </w:r>
        <w:r w:rsidR="007E6861">
          <w:rPr>
            <w:noProof/>
            <w:webHidden/>
          </w:rPr>
        </w:r>
        <w:r w:rsidR="007E6861">
          <w:rPr>
            <w:noProof/>
            <w:webHidden/>
          </w:rPr>
          <w:fldChar w:fldCharType="separate"/>
        </w:r>
        <w:r w:rsidR="007E6861">
          <w:rPr>
            <w:noProof/>
            <w:webHidden/>
          </w:rPr>
          <w:t>78</w:t>
        </w:r>
        <w:r w:rsidR="007E6861">
          <w:rPr>
            <w:noProof/>
            <w:webHidden/>
          </w:rPr>
          <w:fldChar w:fldCharType="end"/>
        </w:r>
      </w:hyperlink>
    </w:p>
    <w:p w14:paraId="7B57AA2E" w14:textId="53FAB04B" w:rsidR="007E6861" w:rsidRDefault="00000000">
      <w:pPr>
        <w:pStyle w:val="TOC4"/>
        <w:rPr>
          <w:rFonts w:asciiTheme="minorHAnsi" w:eastAsiaTheme="minorEastAsia" w:hAnsiTheme="minorHAnsi" w:cstheme="minorBidi"/>
          <w:noProof/>
          <w:sz w:val="22"/>
          <w:szCs w:val="22"/>
          <w:lang w:eastAsia="en-AU"/>
        </w:rPr>
      </w:pPr>
      <w:hyperlink w:anchor="_Toc156568654" w:history="1">
        <w:r w:rsidR="007E6861" w:rsidRPr="00DC0009">
          <w:rPr>
            <w:rStyle w:val="Hyperlink"/>
            <w:noProof/>
          </w:rPr>
          <w:t>Table 1.11: NWAU compensable price rates 2023–24</w:t>
        </w:r>
        <w:r w:rsidR="007E6861">
          <w:rPr>
            <w:noProof/>
            <w:webHidden/>
          </w:rPr>
          <w:tab/>
        </w:r>
        <w:r w:rsidR="007E6861">
          <w:rPr>
            <w:noProof/>
            <w:webHidden/>
          </w:rPr>
          <w:fldChar w:fldCharType="begin"/>
        </w:r>
        <w:r w:rsidR="007E6861">
          <w:rPr>
            <w:noProof/>
            <w:webHidden/>
          </w:rPr>
          <w:instrText xml:space="preserve"> PAGEREF _Toc156568654 \h </w:instrText>
        </w:r>
        <w:r w:rsidR="007E6861">
          <w:rPr>
            <w:noProof/>
            <w:webHidden/>
          </w:rPr>
        </w:r>
        <w:r w:rsidR="007E6861">
          <w:rPr>
            <w:noProof/>
            <w:webHidden/>
          </w:rPr>
          <w:fldChar w:fldCharType="separate"/>
        </w:r>
        <w:r w:rsidR="007E6861">
          <w:rPr>
            <w:noProof/>
            <w:webHidden/>
          </w:rPr>
          <w:t>78</w:t>
        </w:r>
        <w:r w:rsidR="007E6861">
          <w:rPr>
            <w:noProof/>
            <w:webHidden/>
          </w:rPr>
          <w:fldChar w:fldCharType="end"/>
        </w:r>
      </w:hyperlink>
    </w:p>
    <w:p w14:paraId="6D28AE7B" w14:textId="4E49A90C" w:rsidR="007E6861" w:rsidRDefault="00000000">
      <w:pPr>
        <w:pStyle w:val="TOC4"/>
        <w:rPr>
          <w:rFonts w:asciiTheme="minorHAnsi" w:eastAsiaTheme="minorEastAsia" w:hAnsiTheme="minorHAnsi" w:cstheme="minorBidi"/>
          <w:noProof/>
          <w:sz w:val="22"/>
          <w:szCs w:val="22"/>
          <w:lang w:eastAsia="en-AU"/>
        </w:rPr>
      </w:pPr>
      <w:hyperlink w:anchor="_Toc156568655" w:history="1">
        <w:r w:rsidR="007E6861" w:rsidRPr="00DC0009">
          <w:rPr>
            <w:rStyle w:val="Hyperlink"/>
            <w:noProof/>
          </w:rPr>
          <w:t>Table 1.12: Transitional Care Program 2023–24</w:t>
        </w:r>
        <w:r w:rsidR="007E6861">
          <w:rPr>
            <w:noProof/>
            <w:webHidden/>
          </w:rPr>
          <w:tab/>
        </w:r>
        <w:r w:rsidR="007E6861">
          <w:rPr>
            <w:noProof/>
            <w:webHidden/>
          </w:rPr>
          <w:fldChar w:fldCharType="begin"/>
        </w:r>
        <w:r w:rsidR="007E6861">
          <w:rPr>
            <w:noProof/>
            <w:webHidden/>
          </w:rPr>
          <w:instrText xml:space="preserve"> PAGEREF _Toc156568655 \h </w:instrText>
        </w:r>
        <w:r w:rsidR="007E6861">
          <w:rPr>
            <w:noProof/>
            <w:webHidden/>
          </w:rPr>
        </w:r>
        <w:r w:rsidR="007E6861">
          <w:rPr>
            <w:noProof/>
            <w:webHidden/>
          </w:rPr>
          <w:fldChar w:fldCharType="separate"/>
        </w:r>
        <w:r w:rsidR="007E6861">
          <w:rPr>
            <w:noProof/>
            <w:webHidden/>
          </w:rPr>
          <w:t>78</w:t>
        </w:r>
        <w:r w:rsidR="007E6861">
          <w:rPr>
            <w:noProof/>
            <w:webHidden/>
          </w:rPr>
          <w:fldChar w:fldCharType="end"/>
        </w:r>
      </w:hyperlink>
    </w:p>
    <w:p w14:paraId="4CBA839E" w14:textId="6BB5D753" w:rsidR="007E6861" w:rsidRDefault="00000000">
      <w:pPr>
        <w:pStyle w:val="TOC4"/>
        <w:rPr>
          <w:rFonts w:asciiTheme="minorHAnsi" w:eastAsiaTheme="minorEastAsia" w:hAnsiTheme="minorHAnsi" w:cstheme="minorBidi"/>
          <w:noProof/>
          <w:sz w:val="22"/>
          <w:szCs w:val="22"/>
          <w:lang w:eastAsia="en-AU"/>
        </w:rPr>
      </w:pPr>
      <w:hyperlink w:anchor="_Toc156568656" w:history="1">
        <w:r w:rsidR="007E6861" w:rsidRPr="00DC0009">
          <w:rPr>
            <w:rStyle w:val="Hyperlink"/>
            <w:noProof/>
          </w:rPr>
          <w:t>Table 1.13: Non-admitted radiotherapy 2023–24</w:t>
        </w:r>
        <w:r w:rsidR="007E6861">
          <w:rPr>
            <w:noProof/>
            <w:webHidden/>
          </w:rPr>
          <w:tab/>
        </w:r>
        <w:r w:rsidR="007E6861">
          <w:rPr>
            <w:noProof/>
            <w:webHidden/>
          </w:rPr>
          <w:fldChar w:fldCharType="begin"/>
        </w:r>
        <w:r w:rsidR="007E6861">
          <w:rPr>
            <w:noProof/>
            <w:webHidden/>
          </w:rPr>
          <w:instrText xml:space="preserve"> PAGEREF _Toc156568656 \h </w:instrText>
        </w:r>
        <w:r w:rsidR="007E6861">
          <w:rPr>
            <w:noProof/>
            <w:webHidden/>
          </w:rPr>
        </w:r>
        <w:r w:rsidR="007E6861">
          <w:rPr>
            <w:noProof/>
            <w:webHidden/>
          </w:rPr>
          <w:fldChar w:fldCharType="separate"/>
        </w:r>
        <w:r w:rsidR="007E6861">
          <w:rPr>
            <w:noProof/>
            <w:webHidden/>
          </w:rPr>
          <w:t>78</w:t>
        </w:r>
        <w:r w:rsidR="007E6861">
          <w:rPr>
            <w:noProof/>
            <w:webHidden/>
          </w:rPr>
          <w:fldChar w:fldCharType="end"/>
        </w:r>
      </w:hyperlink>
    </w:p>
    <w:p w14:paraId="2A5823A2" w14:textId="5B823B0B" w:rsidR="007E6861" w:rsidRDefault="00000000">
      <w:pPr>
        <w:pStyle w:val="TOC4"/>
        <w:rPr>
          <w:rFonts w:asciiTheme="minorHAnsi" w:eastAsiaTheme="minorEastAsia" w:hAnsiTheme="minorHAnsi" w:cstheme="minorBidi"/>
          <w:noProof/>
          <w:sz w:val="22"/>
          <w:szCs w:val="22"/>
          <w:lang w:eastAsia="en-AU"/>
        </w:rPr>
      </w:pPr>
      <w:hyperlink w:anchor="_Toc156568657" w:history="1">
        <w:r w:rsidR="007E6861" w:rsidRPr="00DC0009">
          <w:rPr>
            <w:rStyle w:val="Hyperlink"/>
            <w:noProof/>
          </w:rPr>
          <w:t>Table 1.14: Nationally Funded Centres Program 2023–24</w:t>
        </w:r>
        <w:r w:rsidR="007E6861">
          <w:rPr>
            <w:noProof/>
            <w:webHidden/>
          </w:rPr>
          <w:tab/>
        </w:r>
        <w:r w:rsidR="007E6861">
          <w:rPr>
            <w:noProof/>
            <w:webHidden/>
          </w:rPr>
          <w:fldChar w:fldCharType="begin"/>
        </w:r>
        <w:r w:rsidR="007E6861">
          <w:rPr>
            <w:noProof/>
            <w:webHidden/>
          </w:rPr>
          <w:instrText xml:space="preserve"> PAGEREF _Toc156568657 \h </w:instrText>
        </w:r>
        <w:r w:rsidR="007E6861">
          <w:rPr>
            <w:noProof/>
            <w:webHidden/>
          </w:rPr>
        </w:r>
        <w:r w:rsidR="007E6861">
          <w:rPr>
            <w:noProof/>
            <w:webHidden/>
          </w:rPr>
          <w:fldChar w:fldCharType="separate"/>
        </w:r>
        <w:r w:rsidR="007E6861">
          <w:rPr>
            <w:noProof/>
            <w:webHidden/>
          </w:rPr>
          <w:t>78</w:t>
        </w:r>
        <w:r w:rsidR="007E6861">
          <w:rPr>
            <w:noProof/>
            <w:webHidden/>
          </w:rPr>
          <w:fldChar w:fldCharType="end"/>
        </w:r>
      </w:hyperlink>
    </w:p>
    <w:p w14:paraId="125BD286" w14:textId="3CCC8097" w:rsidR="007E6861" w:rsidRDefault="00000000">
      <w:pPr>
        <w:pStyle w:val="TOC4"/>
        <w:rPr>
          <w:rFonts w:asciiTheme="minorHAnsi" w:eastAsiaTheme="minorEastAsia" w:hAnsiTheme="minorHAnsi" w:cstheme="minorBidi"/>
          <w:noProof/>
          <w:sz w:val="22"/>
          <w:szCs w:val="22"/>
          <w:lang w:eastAsia="en-AU"/>
        </w:rPr>
      </w:pPr>
      <w:hyperlink w:anchor="_Toc156568658" w:history="1">
        <w:r w:rsidR="007E6861" w:rsidRPr="00DC0009">
          <w:rPr>
            <w:rStyle w:val="Hyperlink"/>
            <w:noProof/>
          </w:rPr>
          <w:t>Table 1.15: Mental health – funded units applicable to clinical bed-based services 2023–24 – a</w:t>
        </w:r>
        <w:r w:rsidR="007E6861" w:rsidRPr="00DC0009">
          <w:rPr>
            <w:rStyle w:val="Hyperlink"/>
            <w:noProof/>
            <w:lang w:eastAsia="en-AU"/>
          </w:rPr>
          <w:t>dmitted care</w:t>
        </w:r>
        <w:r w:rsidR="007E6861">
          <w:rPr>
            <w:noProof/>
            <w:webHidden/>
          </w:rPr>
          <w:tab/>
        </w:r>
        <w:r w:rsidR="007E6861">
          <w:rPr>
            <w:noProof/>
            <w:webHidden/>
          </w:rPr>
          <w:fldChar w:fldCharType="begin"/>
        </w:r>
        <w:r w:rsidR="007E6861">
          <w:rPr>
            <w:noProof/>
            <w:webHidden/>
          </w:rPr>
          <w:instrText xml:space="preserve"> PAGEREF _Toc156568658 \h </w:instrText>
        </w:r>
        <w:r w:rsidR="007E6861">
          <w:rPr>
            <w:noProof/>
            <w:webHidden/>
          </w:rPr>
        </w:r>
        <w:r w:rsidR="007E6861">
          <w:rPr>
            <w:noProof/>
            <w:webHidden/>
          </w:rPr>
          <w:fldChar w:fldCharType="separate"/>
        </w:r>
        <w:r w:rsidR="007E6861">
          <w:rPr>
            <w:noProof/>
            <w:webHidden/>
          </w:rPr>
          <w:t>79</w:t>
        </w:r>
        <w:r w:rsidR="007E6861">
          <w:rPr>
            <w:noProof/>
            <w:webHidden/>
          </w:rPr>
          <w:fldChar w:fldCharType="end"/>
        </w:r>
      </w:hyperlink>
    </w:p>
    <w:p w14:paraId="67A81BE5" w14:textId="2E211603" w:rsidR="007E6861" w:rsidRDefault="00000000">
      <w:pPr>
        <w:pStyle w:val="TOC4"/>
        <w:rPr>
          <w:rFonts w:asciiTheme="minorHAnsi" w:eastAsiaTheme="minorEastAsia" w:hAnsiTheme="minorHAnsi" w:cstheme="minorBidi"/>
          <w:noProof/>
          <w:sz w:val="22"/>
          <w:szCs w:val="22"/>
          <w:lang w:eastAsia="en-AU"/>
        </w:rPr>
      </w:pPr>
      <w:hyperlink w:anchor="_Toc156568659" w:history="1">
        <w:r w:rsidR="007E6861" w:rsidRPr="00DC0009">
          <w:rPr>
            <w:rStyle w:val="Hyperlink"/>
            <w:noProof/>
          </w:rPr>
          <w:t>Table 1.16: Mental health – funded units applicable to clinical bed-based services 2023–24 – n</w:t>
        </w:r>
        <w:r w:rsidR="007E6861" w:rsidRPr="00DC0009">
          <w:rPr>
            <w:rStyle w:val="Hyperlink"/>
            <w:noProof/>
            <w:lang w:eastAsia="en-AU"/>
          </w:rPr>
          <w:t>on-admitted care</w:t>
        </w:r>
        <w:r w:rsidR="007E6861">
          <w:rPr>
            <w:noProof/>
            <w:webHidden/>
          </w:rPr>
          <w:tab/>
        </w:r>
        <w:r w:rsidR="007E6861">
          <w:rPr>
            <w:noProof/>
            <w:webHidden/>
          </w:rPr>
          <w:fldChar w:fldCharType="begin"/>
        </w:r>
        <w:r w:rsidR="007E6861">
          <w:rPr>
            <w:noProof/>
            <w:webHidden/>
          </w:rPr>
          <w:instrText xml:space="preserve"> PAGEREF _Toc156568659 \h </w:instrText>
        </w:r>
        <w:r w:rsidR="007E6861">
          <w:rPr>
            <w:noProof/>
            <w:webHidden/>
          </w:rPr>
        </w:r>
        <w:r w:rsidR="007E6861">
          <w:rPr>
            <w:noProof/>
            <w:webHidden/>
          </w:rPr>
          <w:fldChar w:fldCharType="separate"/>
        </w:r>
        <w:r w:rsidR="007E6861">
          <w:rPr>
            <w:noProof/>
            <w:webHidden/>
          </w:rPr>
          <w:t>79</w:t>
        </w:r>
        <w:r w:rsidR="007E6861">
          <w:rPr>
            <w:noProof/>
            <w:webHidden/>
          </w:rPr>
          <w:fldChar w:fldCharType="end"/>
        </w:r>
      </w:hyperlink>
    </w:p>
    <w:p w14:paraId="37430964" w14:textId="6C2B956D" w:rsidR="007E6861" w:rsidRDefault="00000000">
      <w:pPr>
        <w:pStyle w:val="TOC4"/>
        <w:rPr>
          <w:rFonts w:asciiTheme="minorHAnsi" w:eastAsiaTheme="minorEastAsia" w:hAnsiTheme="minorHAnsi" w:cstheme="minorBidi"/>
          <w:noProof/>
          <w:sz w:val="22"/>
          <w:szCs w:val="22"/>
          <w:lang w:eastAsia="en-AU"/>
        </w:rPr>
      </w:pPr>
      <w:hyperlink w:anchor="_Toc156568660" w:history="1">
        <w:r w:rsidR="007E6861" w:rsidRPr="00DC0009">
          <w:rPr>
            <w:rStyle w:val="Hyperlink"/>
            <w:noProof/>
          </w:rPr>
          <w:t>Table 1.17: Mental health – funded units applicable to clinical bed-based services 2023–24 – c</w:t>
        </w:r>
        <w:r w:rsidR="007E6861" w:rsidRPr="00DC0009">
          <w:rPr>
            <w:rStyle w:val="Hyperlink"/>
            <w:noProof/>
            <w:lang w:eastAsia="en-AU"/>
          </w:rPr>
          <w:t xml:space="preserve">linical </w:t>
        </w:r>
        <w:r w:rsidR="007E6861" w:rsidRPr="00DC0009">
          <w:rPr>
            <w:rStyle w:val="Hyperlink"/>
            <w:noProof/>
          </w:rPr>
          <w:t>community</w:t>
        </w:r>
        <w:r w:rsidR="007E6861" w:rsidRPr="00DC0009">
          <w:rPr>
            <w:rStyle w:val="Hyperlink"/>
            <w:noProof/>
            <w:lang w:eastAsia="en-AU"/>
          </w:rPr>
          <w:t xml:space="preserve"> care</w:t>
        </w:r>
        <w:r w:rsidR="007E6861">
          <w:rPr>
            <w:noProof/>
            <w:webHidden/>
          </w:rPr>
          <w:tab/>
        </w:r>
        <w:r w:rsidR="007E6861">
          <w:rPr>
            <w:noProof/>
            <w:webHidden/>
          </w:rPr>
          <w:fldChar w:fldCharType="begin"/>
        </w:r>
        <w:r w:rsidR="007E6861">
          <w:rPr>
            <w:noProof/>
            <w:webHidden/>
          </w:rPr>
          <w:instrText xml:space="preserve"> PAGEREF _Toc156568660 \h </w:instrText>
        </w:r>
        <w:r w:rsidR="007E6861">
          <w:rPr>
            <w:noProof/>
            <w:webHidden/>
          </w:rPr>
        </w:r>
        <w:r w:rsidR="007E6861">
          <w:rPr>
            <w:noProof/>
            <w:webHidden/>
          </w:rPr>
          <w:fldChar w:fldCharType="separate"/>
        </w:r>
        <w:r w:rsidR="007E6861">
          <w:rPr>
            <w:noProof/>
            <w:webHidden/>
          </w:rPr>
          <w:t>79</w:t>
        </w:r>
        <w:r w:rsidR="007E6861">
          <w:rPr>
            <w:noProof/>
            <w:webHidden/>
          </w:rPr>
          <w:fldChar w:fldCharType="end"/>
        </w:r>
      </w:hyperlink>
    </w:p>
    <w:p w14:paraId="21CC1C12" w14:textId="6F8DCDF7" w:rsidR="007E6861" w:rsidRDefault="00000000">
      <w:pPr>
        <w:pStyle w:val="TOC4"/>
        <w:rPr>
          <w:rFonts w:asciiTheme="minorHAnsi" w:eastAsiaTheme="minorEastAsia" w:hAnsiTheme="minorHAnsi" w:cstheme="minorBidi"/>
          <w:noProof/>
          <w:sz w:val="22"/>
          <w:szCs w:val="22"/>
          <w:lang w:eastAsia="en-AU"/>
        </w:rPr>
      </w:pPr>
      <w:hyperlink w:anchor="_Toc156568661" w:history="1">
        <w:r w:rsidR="007E6861" w:rsidRPr="00DC0009">
          <w:rPr>
            <w:rStyle w:val="Hyperlink"/>
            <w:noProof/>
          </w:rPr>
          <w:t>Table 1.18: Mental health community support services unit prices 2023–24 – community</w:t>
        </w:r>
        <w:r w:rsidR="007E6861" w:rsidRPr="00DC0009">
          <w:rPr>
            <w:rStyle w:val="Hyperlink"/>
            <w:noProof/>
            <w:lang w:eastAsia="en-AU"/>
          </w:rPr>
          <w:t xml:space="preserve"> support services</w:t>
        </w:r>
        <w:r w:rsidR="007E6861">
          <w:rPr>
            <w:noProof/>
            <w:webHidden/>
          </w:rPr>
          <w:tab/>
        </w:r>
        <w:r w:rsidR="007E6861">
          <w:rPr>
            <w:noProof/>
            <w:webHidden/>
          </w:rPr>
          <w:fldChar w:fldCharType="begin"/>
        </w:r>
        <w:r w:rsidR="007E6861">
          <w:rPr>
            <w:noProof/>
            <w:webHidden/>
          </w:rPr>
          <w:instrText xml:space="preserve"> PAGEREF _Toc156568661 \h </w:instrText>
        </w:r>
        <w:r w:rsidR="007E6861">
          <w:rPr>
            <w:noProof/>
            <w:webHidden/>
          </w:rPr>
        </w:r>
        <w:r w:rsidR="007E6861">
          <w:rPr>
            <w:noProof/>
            <w:webHidden/>
          </w:rPr>
          <w:fldChar w:fldCharType="separate"/>
        </w:r>
        <w:r w:rsidR="007E6861">
          <w:rPr>
            <w:noProof/>
            <w:webHidden/>
          </w:rPr>
          <w:t>79</w:t>
        </w:r>
        <w:r w:rsidR="007E6861">
          <w:rPr>
            <w:noProof/>
            <w:webHidden/>
          </w:rPr>
          <w:fldChar w:fldCharType="end"/>
        </w:r>
      </w:hyperlink>
    </w:p>
    <w:p w14:paraId="2E5D90BE" w14:textId="347200C4" w:rsidR="007E6861" w:rsidRDefault="00000000">
      <w:pPr>
        <w:pStyle w:val="TOC4"/>
        <w:rPr>
          <w:rFonts w:asciiTheme="minorHAnsi" w:eastAsiaTheme="minorEastAsia" w:hAnsiTheme="minorHAnsi" w:cstheme="minorBidi"/>
          <w:noProof/>
          <w:sz w:val="22"/>
          <w:szCs w:val="22"/>
          <w:lang w:eastAsia="en-AU"/>
        </w:rPr>
      </w:pPr>
      <w:hyperlink w:anchor="_Toc156568662" w:history="1">
        <w:r w:rsidR="007E6861" w:rsidRPr="00DC0009">
          <w:rPr>
            <w:rStyle w:val="Hyperlink"/>
            <w:noProof/>
          </w:rPr>
          <w:t>Table 1.19: Mental health community support services unit prices 2023–24 – m</w:t>
        </w:r>
        <w:r w:rsidR="007E6861" w:rsidRPr="00DC0009">
          <w:rPr>
            <w:rStyle w:val="Hyperlink"/>
            <w:noProof/>
            <w:lang w:eastAsia="en-AU"/>
          </w:rPr>
          <w:t>utual support and self-help services</w:t>
        </w:r>
        <w:r w:rsidR="007E6861">
          <w:rPr>
            <w:noProof/>
            <w:webHidden/>
          </w:rPr>
          <w:tab/>
        </w:r>
        <w:r w:rsidR="007E6861">
          <w:rPr>
            <w:noProof/>
            <w:webHidden/>
          </w:rPr>
          <w:fldChar w:fldCharType="begin"/>
        </w:r>
        <w:r w:rsidR="007E6861">
          <w:rPr>
            <w:noProof/>
            <w:webHidden/>
          </w:rPr>
          <w:instrText xml:space="preserve"> PAGEREF _Toc156568662 \h </w:instrText>
        </w:r>
        <w:r w:rsidR="007E6861">
          <w:rPr>
            <w:noProof/>
            <w:webHidden/>
          </w:rPr>
        </w:r>
        <w:r w:rsidR="007E6861">
          <w:rPr>
            <w:noProof/>
            <w:webHidden/>
          </w:rPr>
          <w:fldChar w:fldCharType="separate"/>
        </w:r>
        <w:r w:rsidR="007E6861">
          <w:rPr>
            <w:noProof/>
            <w:webHidden/>
          </w:rPr>
          <w:t>80</w:t>
        </w:r>
        <w:r w:rsidR="007E6861">
          <w:rPr>
            <w:noProof/>
            <w:webHidden/>
          </w:rPr>
          <w:fldChar w:fldCharType="end"/>
        </w:r>
      </w:hyperlink>
    </w:p>
    <w:p w14:paraId="56869753" w14:textId="275C5758" w:rsidR="007E6861" w:rsidRDefault="00000000">
      <w:pPr>
        <w:pStyle w:val="TOC4"/>
        <w:rPr>
          <w:rFonts w:asciiTheme="minorHAnsi" w:eastAsiaTheme="minorEastAsia" w:hAnsiTheme="minorHAnsi" w:cstheme="minorBidi"/>
          <w:noProof/>
          <w:sz w:val="22"/>
          <w:szCs w:val="22"/>
          <w:lang w:eastAsia="en-AU"/>
        </w:rPr>
      </w:pPr>
      <w:hyperlink w:anchor="_Toc156568663" w:history="1">
        <w:r w:rsidR="007E6861" w:rsidRPr="00DC0009">
          <w:rPr>
            <w:rStyle w:val="Hyperlink"/>
            <w:noProof/>
          </w:rPr>
          <w:t>Table 1.20: Mental health community support services unit prices 2023–24 – planned respite</w:t>
        </w:r>
        <w:r w:rsidR="007E6861">
          <w:rPr>
            <w:noProof/>
            <w:webHidden/>
          </w:rPr>
          <w:tab/>
        </w:r>
        <w:r w:rsidR="007E6861">
          <w:rPr>
            <w:noProof/>
            <w:webHidden/>
          </w:rPr>
          <w:fldChar w:fldCharType="begin"/>
        </w:r>
        <w:r w:rsidR="007E6861">
          <w:rPr>
            <w:noProof/>
            <w:webHidden/>
          </w:rPr>
          <w:instrText xml:space="preserve"> PAGEREF _Toc156568663 \h </w:instrText>
        </w:r>
        <w:r w:rsidR="007E6861">
          <w:rPr>
            <w:noProof/>
            <w:webHidden/>
          </w:rPr>
        </w:r>
        <w:r w:rsidR="007E6861">
          <w:rPr>
            <w:noProof/>
            <w:webHidden/>
          </w:rPr>
          <w:fldChar w:fldCharType="separate"/>
        </w:r>
        <w:r w:rsidR="007E6861">
          <w:rPr>
            <w:noProof/>
            <w:webHidden/>
          </w:rPr>
          <w:t>80</w:t>
        </w:r>
        <w:r w:rsidR="007E6861">
          <w:rPr>
            <w:noProof/>
            <w:webHidden/>
          </w:rPr>
          <w:fldChar w:fldCharType="end"/>
        </w:r>
      </w:hyperlink>
    </w:p>
    <w:p w14:paraId="04681DE1" w14:textId="7ABC6A8E" w:rsidR="007E6861" w:rsidRDefault="00000000">
      <w:pPr>
        <w:pStyle w:val="TOC4"/>
        <w:rPr>
          <w:rFonts w:asciiTheme="minorHAnsi" w:eastAsiaTheme="minorEastAsia" w:hAnsiTheme="minorHAnsi" w:cstheme="minorBidi"/>
          <w:noProof/>
          <w:sz w:val="22"/>
          <w:szCs w:val="22"/>
          <w:lang w:eastAsia="en-AU"/>
        </w:rPr>
      </w:pPr>
      <w:hyperlink w:anchor="_Toc156568664" w:history="1">
        <w:r w:rsidR="007E6861" w:rsidRPr="00DC0009">
          <w:rPr>
            <w:rStyle w:val="Hyperlink"/>
            <w:noProof/>
          </w:rPr>
          <w:t>Table 1.21: Mental health community support services unit prices 2023–24 – supported accommodation</w:t>
        </w:r>
        <w:r w:rsidR="007E6861">
          <w:rPr>
            <w:noProof/>
            <w:webHidden/>
          </w:rPr>
          <w:tab/>
        </w:r>
        <w:r w:rsidR="007E6861">
          <w:rPr>
            <w:noProof/>
            <w:webHidden/>
          </w:rPr>
          <w:fldChar w:fldCharType="begin"/>
        </w:r>
        <w:r w:rsidR="007E6861">
          <w:rPr>
            <w:noProof/>
            <w:webHidden/>
          </w:rPr>
          <w:instrText xml:space="preserve"> PAGEREF _Toc156568664 \h </w:instrText>
        </w:r>
        <w:r w:rsidR="007E6861">
          <w:rPr>
            <w:noProof/>
            <w:webHidden/>
          </w:rPr>
        </w:r>
        <w:r w:rsidR="007E6861">
          <w:rPr>
            <w:noProof/>
            <w:webHidden/>
          </w:rPr>
          <w:fldChar w:fldCharType="separate"/>
        </w:r>
        <w:r w:rsidR="007E6861">
          <w:rPr>
            <w:noProof/>
            <w:webHidden/>
          </w:rPr>
          <w:t>80</w:t>
        </w:r>
        <w:r w:rsidR="007E6861">
          <w:rPr>
            <w:noProof/>
            <w:webHidden/>
          </w:rPr>
          <w:fldChar w:fldCharType="end"/>
        </w:r>
      </w:hyperlink>
    </w:p>
    <w:p w14:paraId="294EE23C" w14:textId="2BAB362A" w:rsidR="007E6861" w:rsidRDefault="00000000">
      <w:pPr>
        <w:pStyle w:val="TOC4"/>
        <w:rPr>
          <w:rFonts w:asciiTheme="minorHAnsi" w:eastAsiaTheme="minorEastAsia" w:hAnsiTheme="minorHAnsi" w:cstheme="minorBidi"/>
          <w:noProof/>
          <w:sz w:val="22"/>
          <w:szCs w:val="22"/>
          <w:lang w:eastAsia="en-AU"/>
        </w:rPr>
      </w:pPr>
      <w:hyperlink w:anchor="_Toc156568665" w:history="1">
        <w:r w:rsidR="007E6861" w:rsidRPr="00DC0009">
          <w:rPr>
            <w:rStyle w:val="Hyperlink"/>
            <w:noProof/>
          </w:rPr>
          <w:t>Table 1.22: Drug services – unit prices 2023–24</w:t>
        </w:r>
        <w:r w:rsidR="007E6861">
          <w:rPr>
            <w:noProof/>
            <w:webHidden/>
          </w:rPr>
          <w:tab/>
        </w:r>
        <w:r w:rsidR="007E6861">
          <w:rPr>
            <w:noProof/>
            <w:webHidden/>
          </w:rPr>
          <w:fldChar w:fldCharType="begin"/>
        </w:r>
        <w:r w:rsidR="007E6861">
          <w:rPr>
            <w:noProof/>
            <w:webHidden/>
          </w:rPr>
          <w:instrText xml:space="preserve"> PAGEREF _Toc156568665 \h </w:instrText>
        </w:r>
        <w:r w:rsidR="007E6861">
          <w:rPr>
            <w:noProof/>
            <w:webHidden/>
          </w:rPr>
        </w:r>
        <w:r w:rsidR="007E6861">
          <w:rPr>
            <w:noProof/>
            <w:webHidden/>
          </w:rPr>
          <w:fldChar w:fldCharType="separate"/>
        </w:r>
        <w:r w:rsidR="007E6861">
          <w:rPr>
            <w:noProof/>
            <w:webHidden/>
          </w:rPr>
          <w:t>80</w:t>
        </w:r>
        <w:r w:rsidR="007E6861">
          <w:rPr>
            <w:noProof/>
            <w:webHidden/>
          </w:rPr>
          <w:fldChar w:fldCharType="end"/>
        </w:r>
      </w:hyperlink>
    </w:p>
    <w:p w14:paraId="5249D2B1" w14:textId="4462A289" w:rsidR="007E6861" w:rsidRDefault="00000000">
      <w:pPr>
        <w:pStyle w:val="TOC4"/>
        <w:rPr>
          <w:rFonts w:asciiTheme="minorHAnsi" w:eastAsiaTheme="minorEastAsia" w:hAnsiTheme="minorHAnsi" w:cstheme="minorBidi"/>
          <w:noProof/>
          <w:sz w:val="22"/>
          <w:szCs w:val="22"/>
          <w:lang w:eastAsia="en-AU"/>
        </w:rPr>
      </w:pPr>
      <w:hyperlink w:anchor="_Toc156568666" w:history="1">
        <w:r w:rsidR="007E6861" w:rsidRPr="00DC0009">
          <w:rPr>
            <w:rStyle w:val="Hyperlink"/>
            <w:noProof/>
          </w:rPr>
          <w:t>Table 1.23: Ageing, aged and home care 2023–24</w:t>
        </w:r>
        <w:r w:rsidR="007E6861">
          <w:rPr>
            <w:noProof/>
            <w:webHidden/>
          </w:rPr>
          <w:tab/>
        </w:r>
        <w:r w:rsidR="007E6861">
          <w:rPr>
            <w:noProof/>
            <w:webHidden/>
          </w:rPr>
          <w:fldChar w:fldCharType="begin"/>
        </w:r>
        <w:r w:rsidR="007E6861">
          <w:rPr>
            <w:noProof/>
            <w:webHidden/>
          </w:rPr>
          <w:instrText xml:space="preserve"> PAGEREF _Toc156568666 \h </w:instrText>
        </w:r>
        <w:r w:rsidR="007E6861">
          <w:rPr>
            <w:noProof/>
            <w:webHidden/>
          </w:rPr>
        </w:r>
        <w:r w:rsidR="007E6861">
          <w:rPr>
            <w:noProof/>
            <w:webHidden/>
          </w:rPr>
          <w:fldChar w:fldCharType="separate"/>
        </w:r>
        <w:r w:rsidR="007E6861">
          <w:rPr>
            <w:noProof/>
            <w:webHidden/>
          </w:rPr>
          <w:t>81</w:t>
        </w:r>
        <w:r w:rsidR="007E6861">
          <w:rPr>
            <w:noProof/>
            <w:webHidden/>
          </w:rPr>
          <w:fldChar w:fldCharType="end"/>
        </w:r>
      </w:hyperlink>
    </w:p>
    <w:p w14:paraId="7524A14C" w14:textId="121AA378" w:rsidR="007E6861" w:rsidRDefault="00000000">
      <w:pPr>
        <w:pStyle w:val="TOC4"/>
        <w:rPr>
          <w:rFonts w:asciiTheme="minorHAnsi" w:eastAsiaTheme="minorEastAsia" w:hAnsiTheme="minorHAnsi" w:cstheme="minorBidi"/>
          <w:noProof/>
          <w:sz w:val="22"/>
          <w:szCs w:val="22"/>
          <w:lang w:eastAsia="en-AU"/>
        </w:rPr>
      </w:pPr>
      <w:hyperlink w:anchor="_Toc156568667" w:history="1">
        <w:r w:rsidR="007E6861" w:rsidRPr="00DC0009">
          <w:rPr>
            <w:rStyle w:val="Hyperlink"/>
            <w:noProof/>
          </w:rPr>
          <w:t>Table 1.24: Small Rural Health Services – 2023–24</w:t>
        </w:r>
        <w:r w:rsidR="007E6861">
          <w:rPr>
            <w:noProof/>
            <w:webHidden/>
          </w:rPr>
          <w:tab/>
        </w:r>
        <w:r w:rsidR="007E6861">
          <w:rPr>
            <w:noProof/>
            <w:webHidden/>
          </w:rPr>
          <w:fldChar w:fldCharType="begin"/>
        </w:r>
        <w:r w:rsidR="007E6861">
          <w:rPr>
            <w:noProof/>
            <w:webHidden/>
          </w:rPr>
          <w:instrText xml:space="preserve"> PAGEREF _Toc156568667 \h </w:instrText>
        </w:r>
        <w:r w:rsidR="007E6861">
          <w:rPr>
            <w:noProof/>
            <w:webHidden/>
          </w:rPr>
        </w:r>
        <w:r w:rsidR="007E6861">
          <w:rPr>
            <w:noProof/>
            <w:webHidden/>
          </w:rPr>
          <w:fldChar w:fldCharType="separate"/>
        </w:r>
        <w:r w:rsidR="007E6861">
          <w:rPr>
            <w:noProof/>
            <w:webHidden/>
          </w:rPr>
          <w:t>83</w:t>
        </w:r>
        <w:r w:rsidR="007E6861">
          <w:rPr>
            <w:noProof/>
            <w:webHidden/>
          </w:rPr>
          <w:fldChar w:fldCharType="end"/>
        </w:r>
      </w:hyperlink>
    </w:p>
    <w:p w14:paraId="194CC803" w14:textId="0C44B783" w:rsidR="007E6861" w:rsidRDefault="00000000">
      <w:pPr>
        <w:pStyle w:val="TOC4"/>
        <w:rPr>
          <w:rFonts w:asciiTheme="minorHAnsi" w:eastAsiaTheme="minorEastAsia" w:hAnsiTheme="minorHAnsi" w:cstheme="minorBidi"/>
          <w:noProof/>
          <w:sz w:val="22"/>
          <w:szCs w:val="22"/>
          <w:lang w:eastAsia="en-AU"/>
        </w:rPr>
      </w:pPr>
      <w:hyperlink w:anchor="_Toc156568668" w:history="1">
        <w:r w:rsidR="007E6861" w:rsidRPr="00DC0009">
          <w:rPr>
            <w:rStyle w:val="Hyperlink"/>
            <w:noProof/>
          </w:rPr>
          <w:t>Table 1.25: Community Health care output 2023–24</w:t>
        </w:r>
        <w:r w:rsidR="007E6861">
          <w:rPr>
            <w:noProof/>
            <w:webHidden/>
          </w:rPr>
          <w:tab/>
        </w:r>
        <w:r w:rsidR="007E6861">
          <w:rPr>
            <w:noProof/>
            <w:webHidden/>
          </w:rPr>
          <w:fldChar w:fldCharType="begin"/>
        </w:r>
        <w:r w:rsidR="007E6861">
          <w:rPr>
            <w:noProof/>
            <w:webHidden/>
          </w:rPr>
          <w:instrText xml:space="preserve"> PAGEREF _Toc156568668 \h </w:instrText>
        </w:r>
        <w:r w:rsidR="007E6861">
          <w:rPr>
            <w:noProof/>
            <w:webHidden/>
          </w:rPr>
        </w:r>
        <w:r w:rsidR="007E6861">
          <w:rPr>
            <w:noProof/>
            <w:webHidden/>
          </w:rPr>
          <w:fldChar w:fldCharType="separate"/>
        </w:r>
        <w:r w:rsidR="007E6861">
          <w:rPr>
            <w:noProof/>
            <w:webHidden/>
          </w:rPr>
          <w:t>84</w:t>
        </w:r>
        <w:r w:rsidR="007E6861">
          <w:rPr>
            <w:noProof/>
            <w:webHidden/>
          </w:rPr>
          <w:fldChar w:fldCharType="end"/>
        </w:r>
      </w:hyperlink>
    </w:p>
    <w:p w14:paraId="31A1E80B" w14:textId="39D5A4F6" w:rsidR="007E6861" w:rsidRDefault="00000000">
      <w:pPr>
        <w:pStyle w:val="TOC4"/>
        <w:rPr>
          <w:rFonts w:asciiTheme="minorHAnsi" w:eastAsiaTheme="minorEastAsia" w:hAnsiTheme="minorHAnsi" w:cstheme="minorBidi"/>
          <w:noProof/>
          <w:sz w:val="22"/>
          <w:szCs w:val="22"/>
          <w:lang w:eastAsia="en-AU"/>
        </w:rPr>
      </w:pPr>
      <w:hyperlink w:anchor="_Toc156568669" w:history="1">
        <w:r w:rsidR="007E6861" w:rsidRPr="00DC0009">
          <w:rPr>
            <w:rStyle w:val="Hyperlink"/>
            <w:noProof/>
          </w:rPr>
          <w:t>Table 1.26: Training and development funding rates in 2023–24</w:t>
        </w:r>
        <w:r w:rsidR="007E6861">
          <w:rPr>
            <w:noProof/>
            <w:webHidden/>
          </w:rPr>
          <w:tab/>
        </w:r>
        <w:r w:rsidR="007E6861">
          <w:rPr>
            <w:noProof/>
            <w:webHidden/>
          </w:rPr>
          <w:fldChar w:fldCharType="begin"/>
        </w:r>
        <w:r w:rsidR="007E6861">
          <w:rPr>
            <w:noProof/>
            <w:webHidden/>
          </w:rPr>
          <w:instrText xml:space="preserve"> PAGEREF _Toc156568669 \h </w:instrText>
        </w:r>
        <w:r w:rsidR="007E6861">
          <w:rPr>
            <w:noProof/>
            <w:webHidden/>
          </w:rPr>
        </w:r>
        <w:r w:rsidR="007E6861">
          <w:rPr>
            <w:noProof/>
            <w:webHidden/>
          </w:rPr>
          <w:fldChar w:fldCharType="separate"/>
        </w:r>
        <w:r w:rsidR="007E6861">
          <w:rPr>
            <w:noProof/>
            <w:webHidden/>
          </w:rPr>
          <w:t>85</w:t>
        </w:r>
        <w:r w:rsidR="007E6861">
          <w:rPr>
            <w:noProof/>
            <w:webHidden/>
          </w:rPr>
          <w:fldChar w:fldCharType="end"/>
        </w:r>
      </w:hyperlink>
    </w:p>
    <w:p w14:paraId="2B4FB661" w14:textId="0087EC90" w:rsidR="007E6861" w:rsidRDefault="00000000">
      <w:pPr>
        <w:pStyle w:val="TOC4"/>
        <w:rPr>
          <w:rFonts w:asciiTheme="minorHAnsi" w:eastAsiaTheme="minorEastAsia" w:hAnsiTheme="minorHAnsi" w:cstheme="minorBidi"/>
          <w:noProof/>
          <w:sz w:val="22"/>
          <w:szCs w:val="22"/>
          <w:lang w:eastAsia="en-AU"/>
        </w:rPr>
      </w:pPr>
      <w:hyperlink w:anchor="_Toc156568670" w:history="1">
        <w:r w:rsidR="007E6861" w:rsidRPr="00DC0009">
          <w:rPr>
            <w:rStyle w:val="Hyperlink"/>
            <w:noProof/>
          </w:rPr>
          <w:t>Table 1.27: Price groups for NWAU purposes</w:t>
        </w:r>
        <w:r w:rsidR="007E6861">
          <w:rPr>
            <w:noProof/>
            <w:webHidden/>
          </w:rPr>
          <w:tab/>
        </w:r>
        <w:r w:rsidR="007E6861">
          <w:rPr>
            <w:noProof/>
            <w:webHidden/>
          </w:rPr>
          <w:fldChar w:fldCharType="begin"/>
        </w:r>
        <w:r w:rsidR="007E6861">
          <w:rPr>
            <w:noProof/>
            <w:webHidden/>
          </w:rPr>
          <w:instrText xml:space="preserve"> PAGEREF _Toc156568670 \h </w:instrText>
        </w:r>
        <w:r w:rsidR="007E6861">
          <w:rPr>
            <w:noProof/>
            <w:webHidden/>
          </w:rPr>
        </w:r>
        <w:r w:rsidR="007E6861">
          <w:rPr>
            <w:noProof/>
            <w:webHidden/>
          </w:rPr>
          <w:fldChar w:fldCharType="separate"/>
        </w:r>
        <w:r w:rsidR="007E6861">
          <w:rPr>
            <w:noProof/>
            <w:webHidden/>
          </w:rPr>
          <w:t>86</w:t>
        </w:r>
        <w:r w:rsidR="007E6861">
          <w:rPr>
            <w:noProof/>
            <w:webHidden/>
          </w:rPr>
          <w:fldChar w:fldCharType="end"/>
        </w:r>
      </w:hyperlink>
    </w:p>
    <w:p w14:paraId="2C146C8C" w14:textId="6458215C" w:rsidR="007E6861" w:rsidRDefault="00000000">
      <w:pPr>
        <w:pStyle w:val="TOC4"/>
        <w:rPr>
          <w:rFonts w:asciiTheme="minorHAnsi" w:eastAsiaTheme="minorEastAsia" w:hAnsiTheme="minorHAnsi" w:cstheme="minorBidi"/>
          <w:noProof/>
          <w:sz w:val="22"/>
          <w:szCs w:val="22"/>
          <w:lang w:eastAsia="en-AU"/>
        </w:rPr>
      </w:pPr>
      <w:hyperlink w:anchor="_Toc156568671" w:history="1">
        <w:r w:rsidR="007E6861" w:rsidRPr="00DC0009">
          <w:rPr>
            <w:rStyle w:val="Hyperlink"/>
            <w:noProof/>
          </w:rPr>
          <w:t>Table 1.28: Mental health – outputs and activities: clinical care 2023–24</w:t>
        </w:r>
        <w:r w:rsidR="007E6861">
          <w:rPr>
            <w:noProof/>
            <w:webHidden/>
          </w:rPr>
          <w:tab/>
        </w:r>
        <w:r w:rsidR="007E6861">
          <w:rPr>
            <w:noProof/>
            <w:webHidden/>
          </w:rPr>
          <w:fldChar w:fldCharType="begin"/>
        </w:r>
        <w:r w:rsidR="007E6861">
          <w:rPr>
            <w:noProof/>
            <w:webHidden/>
          </w:rPr>
          <w:instrText xml:space="preserve"> PAGEREF _Toc156568671 \h </w:instrText>
        </w:r>
        <w:r w:rsidR="007E6861">
          <w:rPr>
            <w:noProof/>
            <w:webHidden/>
          </w:rPr>
        </w:r>
        <w:r w:rsidR="007E6861">
          <w:rPr>
            <w:noProof/>
            <w:webHidden/>
          </w:rPr>
          <w:fldChar w:fldCharType="separate"/>
        </w:r>
        <w:r w:rsidR="007E6861">
          <w:rPr>
            <w:noProof/>
            <w:webHidden/>
          </w:rPr>
          <w:t>88</w:t>
        </w:r>
        <w:r w:rsidR="007E6861">
          <w:rPr>
            <w:noProof/>
            <w:webHidden/>
          </w:rPr>
          <w:fldChar w:fldCharType="end"/>
        </w:r>
      </w:hyperlink>
    </w:p>
    <w:p w14:paraId="26951160" w14:textId="389213B4" w:rsidR="007E6861" w:rsidRDefault="00000000">
      <w:pPr>
        <w:pStyle w:val="TOC4"/>
        <w:rPr>
          <w:rFonts w:asciiTheme="minorHAnsi" w:eastAsiaTheme="minorEastAsia" w:hAnsiTheme="minorHAnsi" w:cstheme="minorBidi"/>
          <w:noProof/>
          <w:sz w:val="22"/>
          <w:szCs w:val="22"/>
          <w:lang w:eastAsia="en-AU"/>
        </w:rPr>
      </w:pPr>
      <w:hyperlink w:anchor="_Toc156568672" w:history="1">
        <w:r w:rsidR="007E6861" w:rsidRPr="00DC0009">
          <w:rPr>
            <w:rStyle w:val="Hyperlink"/>
            <w:noProof/>
          </w:rPr>
          <w:t>Table 1.29: Mental health community support services – outputs and activities 2023–24</w:t>
        </w:r>
        <w:r w:rsidR="007E6861">
          <w:rPr>
            <w:noProof/>
            <w:webHidden/>
          </w:rPr>
          <w:tab/>
        </w:r>
        <w:r w:rsidR="007E6861">
          <w:rPr>
            <w:noProof/>
            <w:webHidden/>
          </w:rPr>
          <w:fldChar w:fldCharType="begin"/>
        </w:r>
        <w:r w:rsidR="007E6861">
          <w:rPr>
            <w:noProof/>
            <w:webHidden/>
          </w:rPr>
          <w:instrText xml:space="preserve"> PAGEREF _Toc156568672 \h </w:instrText>
        </w:r>
        <w:r w:rsidR="007E6861">
          <w:rPr>
            <w:noProof/>
            <w:webHidden/>
          </w:rPr>
        </w:r>
        <w:r w:rsidR="007E6861">
          <w:rPr>
            <w:noProof/>
            <w:webHidden/>
          </w:rPr>
          <w:fldChar w:fldCharType="separate"/>
        </w:r>
        <w:r w:rsidR="007E6861">
          <w:rPr>
            <w:noProof/>
            <w:webHidden/>
          </w:rPr>
          <w:t>92</w:t>
        </w:r>
        <w:r w:rsidR="007E6861">
          <w:rPr>
            <w:noProof/>
            <w:webHidden/>
          </w:rPr>
          <w:fldChar w:fldCharType="end"/>
        </w:r>
      </w:hyperlink>
    </w:p>
    <w:p w14:paraId="3FC85389" w14:textId="3C007729" w:rsidR="007E6861" w:rsidRDefault="00000000">
      <w:pPr>
        <w:pStyle w:val="TOC4"/>
        <w:rPr>
          <w:rFonts w:asciiTheme="minorHAnsi" w:eastAsiaTheme="minorEastAsia" w:hAnsiTheme="minorHAnsi" w:cstheme="minorBidi"/>
          <w:noProof/>
          <w:sz w:val="22"/>
          <w:szCs w:val="22"/>
          <w:lang w:eastAsia="en-AU"/>
        </w:rPr>
      </w:pPr>
      <w:hyperlink w:anchor="_Toc156568673" w:history="1">
        <w:r w:rsidR="007E6861" w:rsidRPr="00DC0009">
          <w:rPr>
            <w:rStyle w:val="Hyperlink"/>
            <w:noProof/>
          </w:rPr>
          <w:t>Table 1.30: Drug services – outputs and activities: drug prevention and control 2023–24</w:t>
        </w:r>
        <w:r w:rsidR="007E6861">
          <w:rPr>
            <w:noProof/>
            <w:webHidden/>
          </w:rPr>
          <w:tab/>
        </w:r>
        <w:r w:rsidR="007E6861">
          <w:rPr>
            <w:noProof/>
            <w:webHidden/>
          </w:rPr>
          <w:fldChar w:fldCharType="begin"/>
        </w:r>
        <w:r w:rsidR="007E6861">
          <w:rPr>
            <w:noProof/>
            <w:webHidden/>
          </w:rPr>
          <w:instrText xml:space="preserve"> PAGEREF _Toc156568673 \h </w:instrText>
        </w:r>
        <w:r w:rsidR="007E6861">
          <w:rPr>
            <w:noProof/>
            <w:webHidden/>
          </w:rPr>
        </w:r>
        <w:r w:rsidR="007E6861">
          <w:rPr>
            <w:noProof/>
            <w:webHidden/>
          </w:rPr>
          <w:fldChar w:fldCharType="separate"/>
        </w:r>
        <w:r w:rsidR="007E6861">
          <w:rPr>
            <w:noProof/>
            <w:webHidden/>
          </w:rPr>
          <w:t>94</w:t>
        </w:r>
        <w:r w:rsidR="007E6861">
          <w:rPr>
            <w:noProof/>
            <w:webHidden/>
          </w:rPr>
          <w:fldChar w:fldCharType="end"/>
        </w:r>
      </w:hyperlink>
    </w:p>
    <w:p w14:paraId="03398970" w14:textId="7E44CF58" w:rsidR="007E6861" w:rsidRDefault="00000000">
      <w:pPr>
        <w:pStyle w:val="TOC4"/>
        <w:rPr>
          <w:rFonts w:asciiTheme="minorHAnsi" w:eastAsiaTheme="minorEastAsia" w:hAnsiTheme="minorHAnsi" w:cstheme="minorBidi"/>
          <w:noProof/>
          <w:sz w:val="22"/>
          <w:szCs w:val="22"/>
          <w:lang w:eastAsia="en-AU"/>
        </w:rPr>
      </w:pPr>
      <w:hyperlink w:anchor="_Toc156568674" w:history="1">
        <w:r w:rsidR="007E6861" w:rsidRPr="00DC0009">
          <w:rPr>
            <w:rStyle w:val="Hyperlink"/>
            <w:noProof/>
          </w:rPr>
          <w:t>Table 1.31: Drug services – outputs and activities: drug treatment and rehabilitation 2023–24</w:t>
        </w:r>
        <w:r w:rsidR="007E6861">
          <w:rPr>
            <w:noProof/>
            <w:webHidden/>
          </w:rPr>
          <w:tab/>
        </w:r>
        <w:r w:rsidR="007E6861">
          <w:rPr>
            <w:noProof/>
            <w:webHidden/>
          </w:rPr>
          <w:fldChar w:fldCharType="begin"/>
        </w:r>
        <w:r w:rsidR="007E6861">
          <w:rPr>
            <w:noProof/>
            <w:webHidden/>
          </w:rPr>
          <w:instrText xml:space="preserve"> PAGEREF _Toc156568674 \h </w:instrText>
        </w:r>
        <w:r w:rsidR="007E6861">
          <w:rPr>
            <w:noProof/>
            <w:webHidden/>
          </w:rPr>
        </w:r>
        <w:r w:rsidR="007E6861">
          <w:rPr>
            <w:noProof/>
            <w:webHidden/>
          </w:rPr>
          <w:fldChar w:fldCharType="separate"/>
        </w:r>
        <w:r w:rsidR="007E6861">
          <w:rPr>
            <w:noProof/>
            <w:webHidden/>
          </w:rPr>
          <w:t>95</w:t>
        </w:r>
        <w:r w:rsidR="007E6861">
          <w:rPr>
            <w:noProof/>
            <w:webHidden/>
          </w:rPr>
          <w:fldChar w:fldCharType="end"/>
        </w:r>
      </w:hyperlink>
    </w:p>
    <w:p w14:paraId="515A38EC" w14:textId="11CFC3F4" w:rsidR="007E6861" w:rsidRDefault="00000000">
      <w:pPr>
        <w:pStyle w:val="TOC4"/>
        <w:rPr>
          <w:rFonts w:asciiTheme="minorHAnsi" w:eastAsiaTheme="minorEastAsia" w:hAnsiTheme="minorHAnsi" w:cstheme="minorBidi"/>
          <w:noProof/>
          <w:sz w:val="22"/>
          <w:szCs w:val="22"/>
          <w:lang w:eastAsia="en-AU"/>
        </w:rPr>
      </w:pPr>
      <w:hyperlink w:anchor="_Toc156568675" w:history="1">
        <w:r w:rsidR="007E6861" w:rsidRPr="00DC0009">
          <w:rPr>
            <w:rStyle w:val="Hyperlink"/>
            <w:noProof/>
          </w:rPr>
          <w:t>Table 1.32: Small rural health services – outputs and activities 2023–24</w:t>
        </w:r>
        <w:r w:rsidR="007E6861">
          <w:rPr>
            <w:noProof/>
            <w:webHidden/>
          </w:rPr>
          <w:tab/>
        </w:r>
        <w:r w:rsidR="007E6861">
          <w:rPr>
            <w:noProof/>
            <w:webHidden/>
          </w:rPr>
          <w:fldChar w:fldCharType="begin"/>
        </w:r>
        <w:r w:rsidR="007E6861">
          <w:rPr>
            <w:noProof/>
            <w:webHidden/>
          </w:rPr>
          <w:instrText xml:space="preserve"> PAGEREF _Toc156568675 \h </w:instrText>
        </w:r>
        <w:r w:rsidR="007E6861">
          <w:rPr>
            <w:noProof/>
            <w:webHidden/>
          </w:rPr>
        </w:r>
        <w:r w:rsidR="007E6861">
          <w:rPr>
            <w:noProof/>
            <w:webHidden/>
          </w:rPr>
          <w:fldChar w:fldCharType="separate"/>
        </w:r>
        <w:r w:rsidR="007E6861">
          <w:rPr>
            <w:noProof/>
            <w:webHidden/>
          </w:rPr>
          <w:t>99</w:t>
        </w:r>
        <w:r w:rsidR="007E6861">
          <w:rPr>
            <w:noProof/>
            <w:webHidden/>
          </w:rPr>
          <w:fldChar w:fldCharType="end"/>
        </w:r>
      </w:hyperlink>
    </w:p>
    <w:p w14:paraId="0D468829" w14:textId="4F9714AE" w:rsidR="007E6861" w:rsidRDefault="00000000">
      <w:pPr>
        <w:pStyle w:val="TOC4"/>
        <w:rPr>
          <w:rFonts w:asciiTheme="minorHAnsi" w:eastAsiaTheme="minorEastAsia" w:hAnsiTheme="minorHAnsi" w:cstheme="minorBidi"/>
          <w:noProof/>
          <w:sz w:val="22"/>
          <w:szCs w:val="22"/>
          <w:lang w:eastAsia="en-AU"/>
        </w:rPr>
      </w:pPr>
      <w:hyperlink w:anchor="_Toc156568676" w:history="1">
        <w:r w:rsidR="007E6861" w:rsidRPr="00DC0009">
          <w:rPr>
            <w:rStyle w:val="Hyperlink"/>
            <w:noProof/>
          </w:rPr>
          <w:t>Table 1.33: Aged and home care – outputs and activities 2023–24</w:t>
        </w:r>
        <w:r w:rsidR="007E6861">
          <w:rPr>
            <w:noProof/>
            <w:webHidden/>
          </w:rPr>
          <w:tab/>
        </w:r>
        <w:r w:rsidR="007E6861">
          <w:rPr>
            <w:noProof/>
            <w:webHidden/>
          </w:rPr>
          <w:fldChar w:fldCharType="begin"/>
        </w:r>
        <w:r w:rsidR="007E6861">
          <w:rPr>
            <w:noProof/>
            <w:webHidden/>
          </w:rPr>
          <w:instrText xml:space="preserve"> PAGEREF _Toc156568676 \h </w:instrText>
        </w:r>
        <w:r w:rsidR="007E6861">
          <w:rPr>
            <w:noProof/>
            <w:webHidden/>
          </w:rPr>
        </w:r>
        <w:r w:rsidR="007E6861">
          <w:rPr>
            <w:noProof/>
            <w:webHidden/>
          </w:rPr>
          <w:fldChar w:fldCharType="separate"/>
        </w:r>
        <w:r w:rsidR="007E6861">
          <w:rPr>
            <w:noProof/>
            <w:webHidden/>
          </w:rPr>
          <w:t>100</w:t>
        </w:r>
        <w:r w:rsidR="007E6861">
          <w:rPr>
            <w:noProof/>
            <w:webHidden/>
          </w:rPr>
          <w:fldChar w:fldCharType="end"/>
        </w:r>
      </w:hyperlink>
    </w:p>
    <w:p w14:paraId="65E24FE1" w14:textId="1D11005F" w:rsidR="007E6861" w:rsidRDefault="00000000">
      <w:pPr>
        <w:pStyle w:val="TOC4"/>
        <w:rPr>
          <w:rFonts w:asciiTheme="minorHAnsi" w:eastAsiaTheme="minorEastAsia" w:hAnsiTheme="minorHAnsi" w:cstheme="minorBidi"/>
          <w:noProof/>
          <w:sz w:val="22"/>
          <w:szCs w:val="22"/>
          <w:lang w:eastAsia="en-AU"/>
        </w:rPr>
      </w:pPr>
      <w:hyperlink w:anchor="_Toc156568677" w:history="1">
        <w:r w:rsidR="007E6861" w:rsidRPr="00DC0009">
          <w:rPr>
            <w:rStyle w:val="Hyperlink"/>
            <w:noProof/>
          </w:rPr>
          <w:t>Table 1.34: Public health – outputs and activities 2023–24</w:t>
        </w:r>
        <w:r w:rsidR="007E6861">
          <w:rPr>
            <w:noProof/>
            <w:webHidden/>
          </w:rPr>
          <w:tab/>
        </w:r>
        <w:r w:rsidR="007E6861">
          <w:rPr>
            <w:noProof/>
            <w:webHidden/>
          </w:rPr>
          <w:fldChar w:fldCharType="begin"/>
        </w:r>
        <w:r w:rsidR="007E6861">
          <w:rPr>
            <w:noProof/>
            <w:webHidden/>
          </w:rPr>
          <w:instrText xml:space="preserve"> PAGEREF _Toc156568677 \h </w:instrText>
        </w:r>
        <w:r w:rsidR="007E6861">
          <w:rPr>
            <w:noProof/>
            <w:webHidden/>
          </w:rPr>
        </w:r>
        <w:r w:rsidR="007E6861">
          <w:rPr>
            <w:noProof/>
            <w:webHidden/>
          </w:rPr>
          <w:fldChar w:fldCharType="separate"/>
        </w:r>
        <w:r w:rsidR="007E6861">
          <w:rPr>
            <w:noProof/>
            <w:webHidden/>
          </w:rPr>
          <w:t>104</w:t>
        </w:r>
        <w:r w:rsidR="007E6861">
          <w:rPr>
            <w:noProof/>
            <w:webHidden/>
          </w:rPr>
          <w:fldChar w:fldCharType="end"/>
        </w:r>
      </w:hyperlink>
    </w:p>
    <w:p w14:paraId="361F536A" w14:textId="397C4252" w:rsidR="007E6861" w:rsidRDefault="00000000">
      <w:pPr>
        <w:pStyle w:val="TOC4"/>
        <w:rPr>
          <w:rFonts w:asciiTheme="minorHAnsi" w:eastAsiaTheme="minorEastAsia" w:hAnsiTheme="minorHAnsi" w:cstheme="minorBidi"/>
          <w:noProof/>
          <w:sz w:val="22"/>
          <w:szCs w:val="22"/>
          <w:lang w:eastAsia="en-AU"/>
        </w:rPr>
      </w:pPr>
      <w:hyperlink w:anchor="_Toc156568678" w:history="1">
        <w:r w:rsidR="007E6861" w:rsidRPr="00DC0009">
          <w:rPr>
            <w:rStyle w:val="Hyperlink"/>
            <w:noProof/>
          </w:rPr>
          <w:t>Table 2.1: Expenditure budgets 2022–23 and 2023–24</w:t>
        </w:r>
        <w:r w:rsidR="007E6861">
          <w:rPr>
            <w:noProof/>
            <w:webHidden/>
          </w:rPr>
          <w:tab/>
        </w:r>
        <w:r w:rsidR="007E6861">
          <w:rPr>
            <w:noProof/>
            <w:webHidden/>
          </w:rPr>
          <w:fldChar w:fldCharType="begin"/>
        </w:r>
        <w:r w:rsidR="007E6861">
          <w:rPr>
            <w:noProof/>
            <w:webHidden/>
          </w:rPr>
          <w:instrText xml:space="preserve"> PAGEREF _Toc156568678 \h </w:instrText>
        </w:r>
        <w:r w:rsidR="007E6861">
          <w:rPr>
            <w:noProof/>
            <w:webHidden/>
          </w:rPr>
        </w:r>
        <w:r w:rsidR="007E6861">
          <w:rPr>
            <w:noProof/>
            <w:webHidden/>
          </w:rPr>
          <w:fldChar w:fldCharType="separate"/>
        </w:r>
        <w:r w:rsidR="007E6861">
          <w:rPr>
            <w:noProof/>
            <w:webHidden/>
          </w:rPr>
          <w:t>109</w:t>
        </w:r>
        <w:r w:rsidR="007E6861">
          <w:rPr>
            <w:noProof/>
            <w:webHidden/>
          </w:rPr>
          <w:fldChar w:fldCharType="end"/>
        </w:r>
      </w:hyperlink>
    </w:p>
    <w:p w14:paraId="6ACFD9D4" w14:textId="0EAF4260" w:rsidR="007E6861" w:rsidRDefault="00000000">
      <w:pPr>
        <w:pStyle w:val="TOC4"/>
        <w:rPr>
          <w:rFonts w:asciiTheme="minorHAnsi" w:eastAsiaTheme="minorEastAsia" w:hAnsiTheme="minorHAnsi" w:cstheme="minorBidi"/>
          <w:noProof/>
          <w:sz w:val="22"/>
          <w:szCs w:val="22"/>
          <w:lang w:eastAsia="en-AU"/>
        </w:rPr>
      </w:pPr>
      <w:hyperlink w:anchor="_Toc156568679" w:history="1">
        <w:r w:rsidR="007E6861" w:rsidRPr="00DC0009">
          <w:rPr>
            <w:rStyle w:val="Hyperlink"/>
            <w:noProof/>
          </w:rPr>
          <w:t>Table 2.2: Small rural health services expenditure budgets 2022–23 and 2023–24 – $’000s</w:t>
        </w:r>
        <w:r w:rsidR="007E6861">
          <w:rPr>
            <w:noProof/>
            <w:webHidden/>
          </w:rPr>
          <w:tab/>
        </w:r>
        <w:r w:rsidR="007E6861">
          <w:rPr>
            <w:noProof/>
            <w:webHidden/>
          </w:rPr>
          <w:fldChar w:fldCharType="begin"/>
        </w:r>
        <w:r w:rsidR="007E6861">
          <w:rPr>
            <w:noProof/>
            <w:webHidden/>
          </w:rPr>
          <w:instrText xml:space="preserve"> PAGEREF _Toc156568679 \h </w:instrText>
        </w:r>
        <w:r w:rsidR="007E6861">
          <w:rPr>
            <w:noProof/>
            <w:webHidden/>
          </w:rPr>
        </w:r>
        <w:r w:rsidR="007E6861">
          <w:rPr>
            <w:noProof/>
            <w:webHidden/>
          </w:rPr>
          <w:fldChar w:fldCharType="separate"/>
        </w:r>
        <w:r w:rsidR="007E6861">
          <w:rPr>
            <w:noProof/>
            <w:webHidden/>
          </w:rPr>
          <w:t>112</w:t>
        </w:r>
        <w:r w:rsidR="007E6861">
          <w:rPr>
            <w:noProof/>
            <w:webHidden/>
          </w:rPr>
          <w:fldChar w:fldCharType="end"/>
        </w:r>
      </w:hyperlink>
    </w:p>
    <w:p w14:paraId="42E48F6E" w14:textId="50C490EA" w:rsidR="007E6861" w:rsidRDefault="00000000">
      <w:pPr>
        <w:pStyle w:val="TOC4"/>
        <w:rPr>
          <w:rFonts w:asciiTheme="minorHAnsi" w:eastAsiaTheme="minorEastAsia" w:hAnsiTheme="minorHAnsi" w:cstheme="minorBidi"/>
          <w:noProof/>
          <w:sz w:val="22"/>
          <w:szCs w:val="22"/>
          <w:lang w:eastAsia="en-AU"/>
        </w:rPr>
      </w:pPr>
      <w:hyperlink w:anchor="_Toc156568680" w:history="1">
        <w:r w:rsidR="007E6861" w:rsidRPr="00DC0009">
          <w:rPr>
            <w:rStyle w:val="Hyperlink"/>
            <w:noProof/>
          </w:rPr>
          <w:t>Table 2.3: Activity-based funding: Health service expenditure budgets 2022–23 and 2023–24 by service category</w:t>
        </w:r>
        <w:r w:rsidR="007E6861">
          <w:rPr>
            <w:noProof/>
            <w:webHidden/>
          </w:rPr>
          <w:tab/>
        </w:r>
        <w:r w:rsidR="007E6861">
          <w:rPr>
            <w:noProof/>
            <w:webHidden/>
          </w:rPr>
          <w:fldChar w:fldCharType="begin"/>
        </w:r>
        <w:r w:rsidR="007E6861">
          <w:rPr>
            <w:noProof/>
            <w:webHidden/>
          </w:rPr>
          <w:instrText xml:space="preserve"> PAGEREF _Toc156568680 \h </w:instrText>
        </w:r>
        <w:r w:rsidR="007E6861">
          <w:rPr>
            <w:noProof/>
            <w:webHidden/>
          </w:rPr>
        </w:r>
        <w:r w:rsidR="007E6861">
          <w:rPr>
            <w:noProof/>
            <w:webHidden/>
          </w:rPr>
          <w:fldChar w:fldCharType="separate"/>
        </w:r>
        <w:r w:rsidR="007E6861">
          <w:rPr>
            <w:noProof/>
            <w:webHidden/>
          </w:rPr>
          <w:t>114</w:t>
        </w:r>
        <w:r w:rsidR="007E6861">
          <w:rPr>
            <w:noProof/>
            <w:webHidden/>
          </w:rPr>
          <w:fldChar w:fldCharType="end"/>
        </w:r>
      </w:hyperlink>
    </w:p>
    <w:p w14:paraId="555F3AB6" w14:textId="635E3187" w:rsidR="007E6861" w:rsidRDefault="00000000">
      <w:pPr>
        <w:pStyle w:val="TOC4"/>
        <w:rPr>
          <w:rFonts w:asciiTheme="minorHAnsi" w:eastAsiaTheme="minorEastAsia" w:hAnsiTheme="minorHAnsi" w:cstheme="minorBidi"/>
          <w:noProof/>
          <w:sz w:val="22"/>
          <w:szCs w:val="22"/>
          <w:lang w:eastAsia="en-AU"/>
        </w:rPr>
      </w:pPr>
      <w:hyperlink w:anchor="_Toc156568681" w:history="1">
        <w:r w:rsidR="007E6861" w:rsidRPr="00DC0009">
          <w:rPr>
            <w:rStyle w:val="Hyperlink"/>
            <w:noProof/>
          </w:rPr>
          <w:t>Table 2.4: Mental health expenditure budgets 2022–23 and 2023–24 by service type</w:t>
        </w:r>
        <w:r w:rsidR="007E6861">
          <w:rPr>
            <w:noProof/>
            <w:webHidden/>
          </w:rPr>
          <w:tab/>
        </w:r>
        <w:r w:rsidR="007E6861">
          <w:rPr>
            <w:noProof/>
            <w:webHidden/>
          </w:rPr>
          <w:fldChar w:fldCharType="begin"/>
        </w:r>
        <w:r w:rsidR="007E6861">
          <w:rPr>
            <w:noProof/>
            <w:webHidden/>
          </w:rPr>
          <w:instrText xml:space="preserve"> PAGEREF _Toc156568681 \h </w:instrText>
        </w:r>
        <w:r w:rsidR="007E6861">
          <w:rPr>
            <w:noProof/>
            <w:webHidden/>
          </w:rPr>
        </w:r>
        <w:r w:rsidR="007E6861">
          <w:rPr>
            <w:noProof/>
            <w:webHidden/>
          </w:rPr>
          <w:fldChar w:fldCharType="separate"/>
        </w:r>
        <w:r w:rsidR="007E6861">
          <w:rPr>
            <w:noProof/>
            <w:webHidden/>
          </w:rPr>
          <w:t>117</w:t>
        </w:r>
        <w:r w:rsidR="007E6861">
          <w:rPr>
            <w:noProof/>
            <w:webHidden/>
          </w:rPr>
          <w:fldChar w:fldCharType="end"/>
        </w:r>
      </w:hyperlink>
    </w:p>
    <w:p w14:paraId="415C4A75" w14:textId="521F3C9C" w:rsidR="007E6861" w:rsidRDefault="00000000">
      <w:pPr>
        <w:pStyle w:val="TOC4"/>
        <w:rPr>
          <w:rFonts w:asciiTheme="minorHAnsi" w:eastAsiaTheme="minorEastAsia" w:hAnsiTheme="minorHAnsi" w:cstheme="minorBidi"/>
          <w:noProof/>
          <w:sz w:val="22"/>
          <w:szCs w:val="22"/>
          <w:lang w:eastAsia="en-AU"/>
        </w:rPr>
      </w:pPr>
      <w:hyperlink w:anchor="_Toc156568682" w:history="1">
        <w:r w:rsidR="007E6861" w:rsidRPr="00DC0009">
          <w:rPr>
            <w:rStyle w:val="Hyperlink"/>
            <w:noProof/>
          </w:rPr>
          <w:t>Table 2.5: Registered community expenditure budgets 2022–23 and 2023–24 – $’000s</w:t>
        </w:r>
        <w:r w:rsidR="007E6861">
          <w:rPr>
            <w:noProof/>
            <w:webHidden/>
          </w:rPr>
          <w:tab/>
        </w:r>
        <w:r w:rsidR="007E6861">
          <w:rPr>
            <w:noProof/>
            <w:webHidden/>
          </w:rPr>
          <w:fldChar w:fldCharType="begin"/>
        </w:r>
        <w:r w:rsidR="007E6861">
          <w:rPr>
            <w:noProof/>
            <w:webHidden/>
          </w:rPr>
          <w:instrText xml:space="preserve"> PAGEREF _Toc156568682 \h </w:instrText>
        </w:r>
        <w:r w:rsidR="007E6861">
          <w:rPr>
            <w:noProof/>
            <w:webHidden/>
          </w:rPr>
        </w:r>
        <w:r w:rsidR="007E6861">
          <w:rPr>
            <w:noProof/>
            <w:webHidden/>
          </w:rPr>
          <w:fldChar w:fldCharType="separate"/>
        </w:r>
        <w:r w:rsidR="007E6861">
          <w:rPr>
            <w:noProof/>
            <w:webHidden/>
          </w:rPr>
          <w:t>120</w:t>
        </w:r>
        <w:r w:rsidR="007E6861">
          <w:rPr>
            <w:noProof/>
            <w:webHidden/>
          </w:rPr>
          <w:fldChar w:fldCharType="end"/>
        </w:r>
      </w:hyperlink>
    </w:p>
    <w:p w14:paraId="0CA14B64" w14:textId="637E85FA" w:rsidR="007E6861" w:rsidRDefault="00000000">
      <w:pPr>
        <w:pStyle w:val="TOC4"/>
        <w:rPr>
          <w:rFonts w:asciiTheme="minorHAnsi" w:eastAsiaTheme="minorEastAsia" w:hAnsiTheme="minorHAnsi" w:cstheme="minorBidi"/>
          <w:noProof/>
          <w:sz w:val="22"/>
          <w:szCs w:val="22"/>
          <w:lang w:eastAsia="en-AU"/>
        </w:rPr>
      </w:pPr>
      <w:hyperlink w:anchor="_Toc156568683" w:history="1">
        <w:r w:rsidR="007E6861" w:rsidRPr="00DC0009">
          <w:rPr>
            <w:rStyle w:val="Hyperlink"/>
            <w:noProof/>
          </w:rPr>
          <w:t>Table 2.6: Local government authorities 2022–23 and 2023–24 – $’000s</w:t>
        </w:r>
        <w:r w:rsidR="007E6861">
          <w:rPr>
            <w:noProof/>
            <w:webHidden/>
          </w:rPr>
          <w:tab/>
        </w:r>
        <w:r w:rsidR="007E6861">
          <w:rPr>
            <w:noProof/>
            <w:webHidden/>
          </w:rPr>
          <w:fldChar w:fldCharType="begin"/>
        </w:r>
        <w:r w:rsidR="007E6861">
          <w:rPr>
            <w:noProof/>
            <w:webHidden/>
          </w:rPr>
          <w:instrText xml:space="preserve"> PAGEREF _Toc156568683 \h </w:instrText>
        </w:r>
        <w:r w:rsidR="007E6861">
          <w:rPr>
            <w:noProof/>
            <w:webHidden/>
          </w:rPr>
        </w:r>
        <w:r w:rsidR="007E6861">
          <w:rPr>
            <w:noProof/>
            <w:webHidden/>
          </w:rPr>
          <w:fldChar w:fldCharType="separate"/>
        </w:r>
        <w:r w:rsidR="007E6861">
          <w:rPr>
            <w:noProof/>
            <w:webHidden/>
          </w:rPr>
          <w:t>122</w:t>
        </w:r>
        <w:r w:rsidR="007E6861">
          <w:rPr>
            <w:noProof/>
            <w:webHidden/>
          </w:rPr>
          <w:fldChar w:fldCharType="end"/>
        </w:r>
      </w:hyperlink>
    </w:p>
    <w:p w14:paraId="22D5E97C" w14:textId="1F88A4C6" w:rsidR="007E6861" w:rsidRDefault="00000000">
      <w:pPr>
        <w:pStyle w:val="TOC4"/>
        <w:rPr>
          <w:rFonts w:asciiTheme="minorHAnsi" w:eastAsiaTheme="minorEastAsia" w:hAnsiTheme="minorHAnsi" w:cstheme="minorBidi"/>
          <w:noProof/>
          <w:sz w:val="22"/>
          <w:szCs w:val="22"/>
          <w:lang w:eastAsia="en-AU"/>
        </w:rPr>
      </w:pPr>
      <w:hyperlink w:anchor="_Toc156568684" w:history="1">
        <w:r w:rsidR="007E6861" w:rsidRPr="00DC0009">
          <w:rPr>
            <w:rStyle w:val="Hyperlink"/>
            <w:noProof/>
          </w:rPr>
          <w:t>Table 2.7: Non-government providers 2022–23 and 2023–24 – $’000s</w:t>
        </w:r>
        <w:r w:rsidR="007E6861">
          <w:rPr>
            <w:noProof/>
            <w:webHidden/>
          </w:rPr>
          <w:tab/>
        </w:r>
        <w:r w:rsidR="007E6861">
          <w:rPr>
            <w:noProof/>
            <w:webHidden/>
          </w:rPr>
          <w:fldChar w:fldCharType="begin"/>
        </w:r>
        <w:r w:rsidR="007E6861">
          <w:rPr>
            <w:noProof/>
            <w:webHidden/>
          </w:rPr>
          <w:instrText xml:space="preserve"> PAGEREF _Toc156568684 \h </w:instrText>
        </w:r>
        <w:r w:rsidR="007E6861">
          <w:rPr>
            <w:noProof/>
            <w:webHidden/>
          </w:rPr>
        </w:r>
        <w:r w:rsidR="007E6861">
          <w:rPr>
            <w:noProof/>
            <w:webHidden/>
          </w:rPr>
          <w:fldChar w:fldCharType="separate"/>
        </w:r>
        <w:r w:rsidR="007E6861">
          <w:rPr>
            <w:noProof/>
            <w:webHidden/>
          </w:rPr>
          <w:t>124</w:t>
        </w:r>
        <w:r w:rsidR="007E6861">
          <w:rPr>
            <w:noProof/>
            <w:webHidden/>
          </w:rPr>
          <w:fldChar w:fldCharType="end"/>
        </w:r>
      </w:hyperlink>
    </w:p>
    <w:p w14:paraId="036B0FB2" w14:textId="6D324E83" w:rsidR="007E6861" w:rsidRDefault="00000000">
      <w:pPr>
        <w:pStyle w:val="TOC4"/>
        <w:rPr>
          <w:rFonts w:asciiTheme="minorHAnsi" w:eastAsiaTheme="minorEastAsia" w:hAnsiTheme="minorHAnsi" w:cstheme="minorBidi"/>
          <w:noProof/>
          <w:sz w:val="22"/>
          <w:szCs w:val="22"/>
          <w:lang w:eastAsia="en-AU"/>
        </w:rPr>
      </w:pPr>
      <w:hyperlink w:anchor="_Toc156568685" w:history="1">
        <w:r w:rsidR="007E6861" w:rsidRPr="00DC0009">
          <w:rPr>
            <w:rStyle w:val="Hyperlink"/>
            <w:noProof/>
          </w:rPr>
          <w:t>Table 2.8: Other funded organisations expenditure budgets 2022–23 and 2023–24 – $’000s</w:t>
        </w:r>
        <w:r w:rsidR="007E6861">
          <w:rPr>
            <w:noProof/>
            <w:webHidden/>
          </w:rPr>
          <w:tab/>
        </w:r>
        <w:r w:rsidR="007E6861">
          <w:rPr>
            <w:noProof/>
            <w:webHidden/>
          </w:rPr>
          <w:fldChar w:fldCharType="begin"/>
        </w:r>
        <w:r w:rsidR="007E6861">
          <w:rPr>
            <w:noProof/>
            <w:webHidden/>
          </w:rPr>
          <w:instrText xml:space="preserve"> PAGEREF _Toc156568685 \h </w:instrText>
        </w:r>
        <w:r w:rsidR="007E6861">
          <w:rPr>
            <w:noProof/>
            <w:webHidden/>
          </w:rPr>
        </w:r>
        <w:r w:rsidR="007E6861">
          <w:rPr>
            <w:noProof/>
            <w:webHidden/>
          </w:rPr>
          <w:fldChar w:fldCharType="separate"/>
        </w:r>
        <w:r w:rsidR="007E6861">
          <w:rPr>
            <w:noProof/>
            <w:webHidden/>
          </w:rPr>
          <w:t>129</w:t>
        </w:r>
        <w:r w:rsidR="007E6861">
          <w:rPr>
            <w:noProof/>
            <w:webHidden/>
          </w:rPr>
          <w:fldChar w:fldCharType="end"/>
        </w:r>
      </w:hyperlink>
    </w:p>
    <w:p w14:paraId="3D45C461" w14:textId="4BB8CDCC" w:rsidR="007E6861" w:rsidRDefault="00000000">
      <w:pPr>
        <w:pStyle w:val="TOC4"/>
        <w:rPr>
          <w:rFonts w:asciiTheme="minorHAnsi" w:eastAsiaTheme="minorEastAsia" w:hAnsiTheme="minorHAnsi" w:cstheme="minorBidi"/>
          <w:noProof/>
          <w:sz w:val="22"/>
          <w:szCs w:val="22"/>
          <w:lang w:eastAsia="en-AU"/>
        </w:rPr>
      </w:pPr>
      <w:hyperlink w:anchor="_Toc156568686" w:history="1">
        <w:r w:rsidR="007E6861" w:rsidRPr="00DC0009">
          <w:rPr>
            <w:rStyle w:val="Hyperlink"/>
            <w:noProof/>
          </w:rPr>
          <w:t>Table 2.9: Health operations expenditure budgets 2022–23 and 2023–24 – $’000s</w:t>
        </w:r>
        <w:r w:rsidR="007E6861">
          <w:rPr>
            <w:noProof/>
            <w:webHidden/>
          </w:rPr>
          <w:tab/>
        </w:r>
        <w:r w:rsidR="007E6861">
          <w:rPr>
            <w:noProof/>
            <w:webHidden/>
          </w:rPr>
          <w:fldChar w:fldCharType="begin"/>
        </w:r>
        <w:r w:rsidR="007E6861">
          <w:rPr>
            <w:noProof/>
            <w:webHidden/>
          </w:rPr>
          <w:instrText xml:space="preserve"> PAGEREF _Toc156568686 \h </w:instrText>
        </w:r>
        <w:r w:rsidR="007E6861">
          <w:rPr>
            <w:noProof/>
            <w:webHidden/>
          </w:rPr>
        </w:r>
        <w:r w:rsidR="007E6861">
          <w:rPr>
            <w:noProof/>
            <w:webHidden/>
          </w:rPr>
          <w:fldChar w:fldCharType="separate"/>
        </w:r>
        <w:r w:rsidR="007E6861">
          <w:rPr>
            <w:noProof/>
            <w:webHidden/>
          </w:rPr>
          <w:t>132</w:t>
        </w:r>
        <w:r w:rsidR="007E6861">
          <w:rPr>
            <w:noProof/>
            <w:webHidden/>
          </w:rPr>
          <w:fldChar w:fldCharType="end"/>
        </w:r>
      </w:hyperlink>
    </w:p>
    <w:p w14:paraId="388B973A" w14:textId="13BC44A3" w:rsidR="007E6861" w:rsidRDefault="00000000">
      <w:pPr>
        <w:pStyle w:val="TOC4"/>
        <w:rPr>
          <w:rFonts w:asciiTheme="minorHAnsi" w:eastAsiaTheme="minorEastAsia" w:hAnsiTheme="minorHAnsi" w:cstheme="minorBidi"/>
          <w:noProof/>
          <w:sz w:val="22"/>
          <w:szCs w:val="22"/>
          <w:lang w:eastAsia="en-AU"/>
        </w:rPr>
      </w:pPr>
      <w:hyperlink w:anchor="_Toc156568687" w:history="1">
        <w:r w:rsidR="007E6861" w:rsidRPr="00DC0009">
          <w:rPr>
            <w:rStyle w:val="Hyperlink"/>
            <w:noProof/>
          </w:rPr>
          <w:t>Table 2.10: Victorian activity targets (NWAU) 2023–24</w:t>
        </w:r>
        <w:r w:rsidR="007E6861">
          <w:rPr>
            <w:noProof/>
            <w:webHidden/>
          </w:rPr>
          <w:tab/>
        </w:r>
        <w:r w:rsidR="007E6861">
          <w:rPr>
            <w:noProof/>
            <w:webHidden/>
          </w:rPr>
          <w:fldChar w:fldCharType="begin"/>
        </w:r>
        <w:r w:rsidR="007E6861">
          <w:rPr>
            <w:noProof/>
            <w:webHidden/>
          </w:rPr>
          <w:instrText xml:space="preserve"> PAGEREF _Toc156568687 \h </w:instrText>
        </w:r>
        <w:r w:rsidR="007E6861">
          <w:rPr>
            <w:noProof/>
            <w:webHidden/>
          </w:rPr>
        </w:r>
        <w:r w:rsidR="007E6861">
          <w:rPr>
            <w:noProof/>
            <w:webHidden/>
          </w:rPr>
          <w:fldChar w:fldCharType="separate"/>
        </w:r>
        <w:r w:rsidR="007E6861">
          <w:rPr>
            <w:noProof/>
            <w:webHidden/>
          </w:rPr>
          <w:t>133</w:t>
        </w:r>
        <w:r w:rsidR="007E6861">
          <w:rPr>
            <w:noProof/>
            <w:webHidden/>
          </w:rPr>
          <w:fldChar w:fldCharType="end"/>
        </w:r>
      </w:hyperlink>
    </w:p>
    <w:p w14:paraId="5E356BAD" w14:textId="6F6AA9A7" w:rsidR="007E6861" w:rsidRDefault="00000000">
      <w:pPr>
        <w:pStyle w:val="TOC4"/>
        <w:rPr>
          <w:rFonts w:asciiTheme="minorHAnsi" w:eastAsiaTheme="minorEastAsia" w:hAnsiTheme="minorHAnsi" w:cstheme="minorBidi"/>
          <w:noProof/>
          <w:sz w:val="22"/>
          <w:szCs w:val="22"/>
          <w:lang w:eastAsia="en-AU"/>
        </w:rPr>
      </w:pPr>
      <w:hyperlink w:anchor="_Toc156568688" w:history="1">
        <w:r w:rsidR="007E6861" w:rsidRPr="00DC0009">
          <w:rPr>
            <w:rStyle w:val="Hyperlink"/>
            <w:noProof/>
          </w:rPr>
          <w:t>Table 2.11: Indicative level of the HAC NWAU adjustment in 2023–24</w:t>
        </w:r>
        <w:r w:rsidR="007E6861">
          <w:rPr>
            <w:noProof/>
            <w:webHidden/>
          </w:rPr>
          <w:tab/>
        </w:r>
        <w:r w:rsidR="007E6861">
          <w:rPr>
            <w:noProof/>
            <w:webHidden/>
          </w:rPr>
          <w:fldChar w:fldCharType="begin"/>
        </w:r>
        <w:r w:rsidR="007E6861">
          <w:rPr>
            <w:noProof/>
            <w:webHidden/>
          </w:rPr>
          <w:instrText xml:space="preserve"> PAGEREF _Toc156568688 \h </w:instrText>
        </w:r>
        <w:r w:rsidR="007E6861">
          <w:rPr>
            <w:noProof/>
            <w:webHidden/>
          </w:rPr>
        </w:r>
        <w:r w:rsidR="007E6861">
          <w:rPr>
            <w:noProof/>
            <w:webHidden/>
          </w:rPr>
          <w:fldChar w:fldCharType="separate"/>
        </w:r>
        <w:r w:rsidR="007E6861">
          <w:rPr>
            <w:noProof/>
            <w:webHidden/>
          </w:rPr>
          <w:t>134</w:t>
        </w:r>
        <w:r w:rsidR="007E6861">
          <w:rPr>
            <w:noProof/>
            <w:webHidden/>
          </w:rPr>
          <w:fldChar w:fldCharType="end"/>
        </w:r>
      </w:hyperlink>
    </w:p>
    <w:p w14:paraId="4270C35C" w14:textId="275880C3" w:rsidR="007E6861" w:rsidRDefault="00000000">
      <w:pPr>
        <w:pStyle w:val="TOC4"/>
        <w:rPr>
          <w:rFonts w:asciiTheme="minorHAnsi" w:eastAsiaTheme="minorEastAsia" w:hAnsiTheme="minorHAnsi" w:cstheme="minorBidi"/>
          <w:noProof/>
          <w:sz w:val="22"/>
          <w:szCs w:val="22"/>
          <w:lang w:eastAsia="en-AU"/>
        </w:rPr>
      </w:pPr>
      <w:hyperlink w:anchor="_Toc156568689" w:history="1">
        <w:r w:rsidR="007E6861" w:rsidRPr="00DC0009">
          <w:rPr>
            <w:rStyle w:val="Hyperlink"/>
            <w:noProof/>
          </w:rPr>
          <w:t>Table 2.12: Victorian small rural health service activity targets 2023–24</w:t>
        </w:r>
        <w:r w:rsidR="007E6861">
          <w:rPr>
            <w:noProof/>
            <w:webHidden/>
          </w:rPr>
          <w:tab/>
        </w:r>
        <w:r w:rsidR="007E6861">
          <w:rPr>
            <w:noProof/>
            <w:webHidden/>
          </w:rPr>
          <w:fldChar w:fldCharType="begin"/>
        </w:r>
        <w:r w:rsidR="007E6861">
          <w:rPr>
            <w:noProof/>
            <w:webHidden/>
          </w:rPr>
          <w:instrText xml:space="preserve"> PAGEREF _Toc156568689 \h </w:instrText>
        </w:r>
        <w:r w:rsidR="007E6861">
          <w:rPr>
            <w:noProof/>
            <w:webHidden/>
          </w:rPr>
        </w:r>
        <w:r w:rsidR="007E6861">
          <w:rPr>
            <w:noProof/>
            <w:webHidden/>
          </w:rPr>
          <w:fldChar w:fldCharType="separate"/>
        </w:r>
        <w:r w:rsidR="007E6861">
          <w:rPr>
            <w:noProof/>
            <w:webHidden/>
          </w:rPr>
          <w:t>135</w:t>
        </w:r>
        <w:r w:rsidR="007E6861">
          <w:rPr>
            <w:noProof/>
            <w:webHidden/>
          </w:rPr>
          <w:fldChar w:fldCharType="end"/>
        </w:r>
      </w:hyperlink>
    </w:p>
    <w:p w14:paraId="7B036F65" w14:textId="67546321" w:rsidR="007E6861" w:rsidRDefault="00000000">
      <w:pPr>
        <w:pStyle w:val="TOC4"/>
        <w:rPr>
          <w:rFonts w:asciiTheme="minorHAnsi" w:eastAsiaTheme="minorEastAsia" w:hAnsiTheme="minorHAnsi" w:cstheme="minorBidi"/>
          <w:noProof/>
          <w:sz w:val="22"/>
          <w:szCs w:val="22"/>
          <w:lang w:eastAsia="en-AU"/>
        </w:rPr>
      </w:pPr>
      <w:hyperlink w:anchor="_Toc156568690" w:history="1">
        <w:r w:rsidR="007E6861" w:rsidRPr="00DC0009">
          <w:rPr>
            <w:rStyle w:val="Hyperlink"/>
            <w:noProof/>
          </w:rPr>
          <w:t>Table 2.13: Non-admitted radiotherapy activity targets 2023–24</w:t>
        </w:r>
        <w:r w:rsidR="007E6861">
          <w:rPr>
            <w:noProof/>
            <w:webHidden/>
          </w:rPr>
          <w:tab/>
        </w:r>
        <w:r w:rsidR="007E6861">
          <w:rPr>
            <w:noProof/>
            <w:webHidden/>
          </w:rPr>
          <w:fldChar w:fldCharType="begin"/>
        </w:r>
        <w:r w:rsidR="007E6861">
          <w:rPr>
            <w:noProof/>
            <w:webHidden/>
          </w:rPr>
          <w:instrText xml:space="preserve"> PAGEREF _Toc156568690 \h </w:instrText>
        </w:r>
        <w:r w:rsidR="007E6861">
          <w:rPr>
            <w:noProof/>
            <w:webHidden/>
          </w:rPr>
        </w:r>
        <w:r w:rsidR="007E6861">
          <w:rPr>
            <w:noProof/>
            <w:webHidden/>
          </w:rPr>
          <w:fldChar w:fldCharType="separate"/>
        </w:r>
        <w:r w:rsidR="007E6861">
          <w:rPr>
            <w:noProof/>
            <w:webHidden/>
          </w:rPr>
          <w:t>137</w:t>
        </w:r>
        <w:r w:rsidR="007E6861">
          <w:rPr>
            <w:noProof/>
            <w:webHidden/>
          </w:rPr>
          <w:fldChar w:fldCharType="end"/>
        </w:r>
      </w:hyperlink>
    </w:p>
    <w:p w14:paraId="4DD560C3" w14:textId="11DB4A76" w:rsidR="007E6861" w:rsidRDefault="00000000">
      <w:pPr>
        <w:pStyle w:val="TOC4"/>
        <w:rPr>
          <w:rFonts w:asciiTheme="minorHAnsi" w:eastAsiaTheme="minorEastAsia" w:hAnsiTheme="minorHAnsi" w:cstheme="minorBidi"/>
          <w:noProof/>
          <w:sz w:val="22"/>
          <w:szCs w:val="22"/>
          <w:lang w:eastAsia="en-AU"/>
        </w:rPr>
      </w:pPr>
      <w:hyperlink w:anchor="_Toc156568691" w:history="1">
        <w:r w:rsidR="007E6861" w:rsidRPr="00DC0009">
          <w:rPr>
            <w:rStyle w:val="Hyperlink"/>
            <w:noProof/>
          </w:rPr>
          <w:t>Table 2.14: Shared care radiotherapy activity targets 2023–24</w:t>
        </w:r>
        <w:r w:rsidR="007E6861">
          <w:rPr>
            <w:noProof/>
            <w:webHidden/>
          </w:rPr>
          <w:tab/>
        </w:r>
        <w:r w:rsidR="007E6861">
          <w:rPr>
            <w:noProof/>
            <w:webHidden/>
          </w:rPr>
          <w:fldChar w:fldCharType="begin"/>
        </w:r>
        <w:r w:rsidR="007E6861">
          <w:rPr>
            <w:noProof/>
            <w:webHidden/>
          </w:rPr>
          <w:instrText xml:space="preserve"> PAGEREF _Toc156568691 \h </w:instrText>
        </w:r>
        <w:r w:rsidR="007E6861">
          <w:rPr>
            <w:noProof/>
            <w:webHidden/>
          </w:rPr>
        </w:r>
        <w:r w:rsidR="007E6861">
          <w:rPr>
            <w:noProof/>
            <w:webHidden/>
          </w:rPr>
          <w:fldChar w:fldCharType="separate"/>
        </w:r>
        <w:r w:rsidR="007E6861">
          <w:rPr>
            <w:noProof/>
            <w:webHidden/>
          </w:rPr>
          <w:t>137</w:t>
        </w:r>
        <w:r w:rsidR="007E6861">
          <w:rPr>
            <w:noProof/>
            <w:webHidden/>
          </w:rPr>
          <w:fldChar w:fldCharType="end"/>
        </w:r>
      </w:hyperlink>
    </w:p>
    <w:p w14:paraId="0DEE0869" w14:textId="699E8E8B" w:rsidR="007E6861" w:rsidRDefault="00000000">
      <w:pPr>
        <w:pStyle w:val="TOC4"/>
        <w:rPr>
          <w:rFonts w:asciiTheme="minorHAnsi" w:eastAsiaTheme="minorEastAsia" w:hAnsiTheme="minorHAnsi" w:cstheme="minorBidi"/>
          <w:noProof/>
          <w:sz w:val="22"/>
          <w:szCs w:val="22"/>
          <w:lang w:eastAsia="en-AU"/>
        </w:rPr>
      </w:pPr>
      <w:hyperlink w:anchor="_Toc156568692" w:history="1">
        <w:r w:rsidR="007E6861" w:rsidRPr="00DC0009">
          <w:rPr>
            <w:rStyle w:val="Hyperlink"/>
            <w:noProof/>
          </w:rPr>
          <w:t>Table 2.15: Transition Care Program targets 2023–24</w:t>
        </w:r>
        <w:r w:rsidR="007E6861">
          <w:rPr>
            <w:noProof/>
            <w:webHidden/>
          </w:rPr>
          <w:tab/>
        </w:r>
        <w:r w:rsidR="007E6861">
          <w:rPr>
            <w:noProof/>
            <w:webHidden/>
          </w:rPr>
          <w:fldChar w:fldCharType="begin"/>
        </w:r>
        <w:r w:rsidR="007E6861">
          <w:rPr>
            <w:noProof/>
            <w:webHidden/>
          </w:rPr>
          <w:instrText xml:space="preserve"> PAGEREF _Toc156568692 \h </w:instrText>
        </w:r>
        <w:r w:rsidR="007E6861">
          <w:rPr>
            <w:noProof/>
            <w:webHidden/>
          </w:rPr>
        </w:r>
        <w:r w:rsidR="007E6861">
          <w:rPr>
            <w:noProof/>
            <w:webHidden/>
          </w:rPr>
          <w:fldChar w:fldCharType="separate"/>
        </w:r>
        <w:r w:rsidR="007E6861">
          <w:rPr>
            <w:noProof/>
            <w:webHidden/>
          </w:rPr>
          <w:t>137</w:t>
        </w:r>
        <w:r w:rsidR="007E6861">
          <w:rPr>
            <w:noProof/>
            <w:webHidden/>
          </w:rPr>
          <w:fldChar w:fldCharType="end"/>
        </w:r>
      </w:hyperlink>
    </w:p>
    <w:p w14:paraId="7FC56960" w14:textId="02414043" w:rsidR="007E6861" w:rsidRDefault="00000000">
      <w:pPr>
        <w:pStyle w:val="TOC4"/>
        <w:rPr>
          <w:rFonts w:asciiTheme="minorHAnsi" w:eastAsiaTheme="minorEastAsia" w:hAnsiTheme="minorHAnsi" w:cstheme="minorBidi"/>
          <w:noProof/>
          <w:sz w:val="22"/>
          <w:szCs w:val="22"/>
          <w:lang w:eastAsia="en-AU"/>
        </w:rPr>
      </w:pPr>
      <w:hyperlink w:anchor="_Toc156568693" w:history="1">
        <w:r w:rsidR="007E6861" w:rsidRPr="00DC0009">
          <w:rPr>
            <w:rStyle w:val="Hyperlink"/>
            <w:noProof/>
          </w:rPr>
          <w:t>Table 2.16: Total parenteral nutrition activity targets (NWAU) 2023</w:t>
        </w:r>
        <w:r w:rsidR="007E6861" w:rsidRPr="00DC0009">
          <w:rPr>
            <w:rStyle w:val="Hyperlink"/>
            <w:bCs/>
            <w:noProof/>
            <w:lang w:eastAsia="en-AU"/>
          </w:rPr>
          <w:t>–</w:t>
        </w:r>
        <w:r w:rsidR="007E6861" w:rsidRPr="00DC0009">
          <w:rPr>
            <w:rStyle w:val="Hyperlink"/>
            <w:noProof/>
          </w:rPr>
          <w:t>24</w:t>
        </w:r>
        <w:r w:rsidR="007E6861">
          <w:rPr>
            <w:noProof/>
            <w:webHidden/>
          </w:rPr>
          <w:tab/>
        </w:r>
        <w:r w:rsidR="007E6861">
          <w:rPr>
            <w:noProof/>
            <w:webHidden/>
          </w:rPr>
          <w:fldChar w:fldCharType="begin"/>
        </w:r>
        <w:r w:rsidR="007E6861">
          <w:rPr>
            <w:noProof/>
            <w:webHidden/>
          </w:rPr>
          <w:instrText xml:space="preserve"> PAGEREF _Toc156568693 \h </w:instrText>
        </w:r>
        <w:r w:rsidR="007E6861">
          <w:rPr>
            <w:noProof/>
            <w:webHidden/>
          </w:rPr>
        </w:r>
        <w:r w:rsidR="007E6861">
          <w:rPr>
            <w:noProof/>
            <w:webHidden/>
          </w:rPr>
          <w:fldChar w:fldCharType="separate"/>
        </w:r>
        <w:r w:rsidR="007E6861">
          <w:rPr>
            <w:noProof/>
            <w:webHidden/>
          </w:rPr>
          <w:t>138</w:t>
        </w:r>
        <w:r w:rsidR="007E6861">
          <w:rPr>
            <w:noProof/>
            <w:webHidden/>
          </w:rPr>
          <w:fldChar w:fldCharType="end"/>
        </w:r>
      </w:hyperlink>
    </w:p>
    <w:p w14:paraId="536881C8" w14:textId="0CE4BE94" w:rsidR="007E6861" w:rsidRDefault="00000000">
      <w:pPr>
        <w:pStyle w:val="TOC4"/>
        <w:rPr>
          <w:rFonts w:asciiTheme="minorHAnsi" w:eastAsiaTheme="minorEastAsia" w:hAnsiTheme="minorHAnsi" w:cstheme="minorBidi"/>
          <w:noProof/>
          <w:sz w:val="22"/>
          <w:szCs w:val="22"/>
          <w:lang w:eastAsia="en-AU"/>
        </w:rPr>
      </w:pPr>
      <w:hyperlink w:anchor="_Toc156568694" w:history="1">
        <w:r w:rsidR="007E6861" w:rsidRPr="00DC0009">
          <w:rPr>
            <w:rStyle w:val="Hyperlink"/>
            <w:noProof/>
          </w:rPr>
          <w:t>Table 2.17: Home enteral nutrition activity targets (NWAU) 2023–24</w:t>
        </w:r>
        <w:r w:rsidR="007E6861">
          <w:rPr>
            <w:noProof/>
            <w:webHidden/>
          </w:rPr>
          <w:tab/>
        </w:r>
        <w:r w:rsidR="007E6861">
          <w:rPr>
            <w:noProof/>
            <w:webHidden/>
          </w:rPr>
          <w:fldChar w:fldCharType="begin"/>
        </w:r>
        <w:r w:rsidR="007E6861">
          <w:rPr>
            <w:noProof/>
            <w:webHidden/>
          </w:rPr>
          <w:instrText xml:space="preserve"> PAGEREF _Toc156568694 \h </w:instrText>
        </w:r>
        <w:r w:rsidR="007E6861">
          <w:rPr>
            <w:noProof/>
            <w:webHidden/>
          </w:rPr>
        </w:r>
        <w:r w:rsidR="007E6861">
          <w:rPr>
            <w:noProof/>
            <w:webHidden/>
          </w:rPr>
          <w:fldChar w:fldCharType="separate"/>
        </w:r>
        <w:r w:rsidR="007E6861">
          <w:rPr>
            <w:noProof/>
            <w:webHidden/>
          </w:rPr>
          <w:t>138</w:t>
        </w:r>
        <w:r w:rsidR="007E6861">
          <w:rPr>
            <w:noProof/>
            <w:webHidden/>
          </w:rPr>
          <w:fldChar w:fldCharType="end"/>
        </w:r>
      </w:hyperlink>
    </w:p>
    <w:p w14:paraId="6B47C3E0" w14:textId="303C87B9" w:rsidR="007E6861" w:rsidRDefault="00000000">
      <w:pPr>
        <w:pStyle w:val="TOC4"/>
        <w:rPr>
          <w:rFonts w:asciiTheme="minorHAnsi" w:eastAsiaTheme="minorEastAsia" w:hAnsiTheme="minorHAnsi" w:cstheme="minorBidi"/>
          <w:noProof/>
          <w:sz w:val="22"/>
          <w:szCs w:val="22"/>
          <w:lang w:eastAsia="en-AU"/>
        </w:rPr>
      </w:pPr>
      <w:hyperlink w:anchor="_Toc156568695" w:history="1">
        <w:r w:rsidR="007E6861" w:rsidRPr="00DC0009">
          <w:rPr>
            <w:rStyle w:val="Hyperlink"/>
            <w:noProof/>
          </w:rPr>
          <w:t>Table 2.18: Home renal dialysis targets 2023–24</w:t>
        </w:r>
        <w:r w:rsidR="007E6861">
          <w:rPr>
            <w:noProof/>
            <w:webHidden/>
          </w:rPr>
          <w:tab/>
        </w:r>
        <w:r w:rsidR="007E6861">
          <w:rPr>
            <w:noProof/>
            <w:webHidden/>
          </w:rPr>
          <w:fldChar w:fldCharType="begin"/>
        </w:r>
        <w:r w:rsidR="007E6861">
          <w:rPr>
            <w:noProof/>
            <w:webHidden/>
          </w:rPr>
          <w:instrText xml:space="preserve"> PAGEREF _Toc156568695 \h </w:instrText>
        </w:r>
        <w:r w:rsidR="007E6861">
          <w:rPr>
            <w:noProof/>
            <w:webHidden/>
          </w:rPr>
        </w:r>
        <w:r w:rsidR="007E6861">
          <w:rPr>
            <w:noProof/>
            <w:webHidden/>
          </w:rPr>
          <w:fldChar w:fldCharType="separate"/>
        </w:r>
        <w:r w:rsidR="007E6861">
          <w:rPr>
            <w:noProof/>
            <w:webHidden/>
          </w:rPr>
          <w:t>140</w:t>
        </w:r>
        <w:r w:rsidR="007E6861">
          <w:rPr>
            <w:noProof/>
            <w:webHidden/>
          </w:rPr>
          <w:fldChar w:fldCharType="end"/>
        </w:r>
      </w:hyperlink>
    </w:p>
    <w:p w14:paraId="3B3249A2" w14:textId="03904506" w:rsidR="007E6861" w:rsidRDefault="00000000">
      <w:pPr>
        <w:pStyle w:val="TOC4"/>
        <w:rPr>
          <w:rFonts w:asciiTheme="minorHAnsi" w:eastAsiaTheme="minorEastAsia" w:hAnsiTheme="minorHAnsi" w:cstheme="minorBidi"/>
          <w:noProof/>
          <w:sz w:val="22"/>
          <w:szCs w:val="22"/>
          <w:lang w:eastAsia="en-AU"/>
        </w:rPr>
      </w:pPr>
      <w:hyperlink w:anchor="_Toc156568696" w:history="1">
        <w:r w:rsidR="007E6861" w:rsidRPr="00DC0009">
          <w:rPr>
            <w:rStyle w:val="Hyperlink"/>
            <w:noProof/>
          </w:rPr>
          <w:t>Table 2.19: Community palliative care – new episodes for distinct clients 2023–24</w:t>
        </w:r>
        <w:r w:rsidR="007E6861">
          <w:rPr>
            <w:noProof/>
            <w:webHidden/>
          </w:rPr>
          <w:tab/>
        </w:r>
        <w:r w:rsidR="007E6861">
          <w:rPr>
            <w:noProof/>
            <w:webHidden/>
          </w:rPr>
          <w:fldChar w:fldCharType="begin"/>
        </w:r>
        <w:r w:rsidR="007E6861">
          <w:rPr>
            <w:noProof/>
            <w:webHidden/>
          </w:rPr>
          <w:instrText xml:space="preserve"> PAGEREF _Toc156568696 \h </w:instrText>
        </w:r>
        <w:r w:rsidR="007E6861">
          <w:rPr>
            <w:noProof/>
            <w:webHidden/>
          </w:rPr>
        </w:r>
        <w:r w:rsidR="007E6861">
          <w:rPr>
            <w:noProof/>
            <w:webHidden/>
          </w:rPr>
          <w:fldChar w:fldCharType="separate"/>
        </w:r>
        <w:r w:rsidR="007E6861">
          <w:rPr>
            <w:noProof/>
            <w:webHidden/>
          </w:rPr>
          <w:t>140</w:t>
        </w:r>
        <w:r w:rsidR="007E6861">
          <w:rPr>
            <w:noProof/>
            <w:webHidden/>
          </w:rPr>
          <w:fldChar w:fldCharType="end"/>
        </w:r>
      </w:hyperlink>
    </w:p>
    <w:p w14:paraId="133F9D01" w14:textId="5A6AA567" w:rsidR="007E6861" w:rsidRDefault="00000000">
      <w:pPr>
        <w:pStyle w:val="TOC4"/>
        <w:rPr>
          <w:rFonts w:asciiTheme="minorHAnsi" w:eastAsiaTheme="minorEastAsia" w:hAnsiTheme="minorHAnsi" w:cstheme="minorBidi"/>
          <w:noProof/>
          <w:sz w:val="22"/>
          <w:szCs w:val="22"/>
          <w:lang w:eastAsia="en-AU"/>
        </w:rPr>
      </w:pPr>
      <w:hyperlink w:anchor="_Toc156568697" w:history="1">
        <w:r w:rsidR="007E6861" w:rsidRPr="00DC0009">
          <w:rPr>
            <w:rStyle w:val="Hyperlink"/>
            <w:noProof/>
          </w:rPr>
          <w:t>Table 2.20: Nationally Funded Centres Program targets 2023–24</w:t>
        </w:r>
        <w:r w:rsidR="007E6861">
          <w:rPr>
            <w:noProof/>
            <w:webHidden/>
          </w:rPr>
          <w:tab/>
        </w:r>
        <w:r w:rsidR="007E6861">
          <w:rPr>
            <w:noProof/>
            <w:webHidden/>
          </w:rPr>
          <w:fldChar w:fldCharType="begin"/>
        </w:r>
        <w:r w:rsidR="007E6861">
          <w:rPr>
            <w:noProof/>
            <w:webHidden/>
          </w:rPr>
          <w:instrText xml:space="preserve"> PAGEREF _Toc156568697 \h </w:instrText>
        </w:r>
        <w:r w:rsidR="007E6861">
          <w:rPr>
            <w:noProof/>
            <w:webHidden/>
          </w:rPr>
        </w:r>
        <w:r w:rsidR="007E6861">
          <w:rPr>
            <w:noProof/>
            <w:webHidden/>
          </w:rPr>
          <w:fldChar w:fldCharType="separate"/>
        </w:r>
        <w:r w:rsidR="007E6861">
          <w:rPr>
            <w:noProof/>
            <w:webHidden/>
          </w:rPr>
          <w:t>141</w:t>
        </w:r>
        <w:r w:rsidR="007E6861">
          <w:rPr>
            <w:noProof/>
            <w:webHidden/>
          </w:rPr>
          <w:fldChar w:fldCharType="end"/>
        </w:r>
      </w:hyperlink>
    </w:p>
    <w:p w14:paraId="0A76D7FA" w14:textId="1E8B0CC9" w:rsidR="007E6861" w:rsidRDefault="00000000">
      <w:pPr>
        <w:pStyle w:val="TOC4"/>
        <w:rPr>
          <w:rFonts w:asciiTheme="minorHAnsi" w:eastAsiaTheme="minorEastAsia" w:hAnsiTheme="minorHAnsi" w:cstheme="minorBidi"/>
          <w:noProof/>
          <w:sz w:val="22"/>
          <w:szCs w:val="22"/>
          <w:lang w:eastAsia="en-AU"/>
        </w:rPr>
      </w:pPr>
      <w:hyperlink w:anchor="_Toc156568698" w:history="1">
        <w:r w:rsidR="007E6861" w:rsidRPr="00DC0009">
          <w:rPr>
            <w:rStyle w:val="Hyperlink"/>
            <w:noProof/>
          </w:rPr>
          <w:t>Table 2.21: Mental health acute available beds 2023–24</w:t>
        </w:r>
        <w:r w:rsidR="007E6861">
          <w:rPr>
            <w:noProof/>
            <w:webHidden/>
          </w:rPr>
          <w:tab/>
        </w:r>
        <w:r w:rsidR="007E6861">
          <w:rPr>
            <w:noProof/>
            <w:webHidden/>
          </w:rPr>
          <w:fldChar w:fldCharType="begin"/>
        </w:r>
        <w:r w:rsidR="007E6861">
          <w:rPr>
            <w:noProof/>
            <w:webHidden/>
          </w:rPr>
          <w:instrText xml:space="preserve"> PAGEREF _Toc156568698 \h </w:instrText>
        </w:r>
        <w:r w:rsidR="007E6861">
          <w:rPr>
            <w:noProof/>
            <w:webHidden/>
          </w:rPr>
        </w:r>
        <w:r w:rsidR="007E6861">
          <w:rPr>
            <w:noProof/>
            <w:webHidden/>
          </w:rPr>
          <w:fldChar w:fldCharType="separate"/>
        </w:r>
        <w:r w:rsidR="007E6861">
          <w:rPr>
            <w:noProof/>
            <w:webHidden/>
          </w:rPr>
          <w:t>142</w:t>
        </w:r>
        <w:r w:rsidR="007E6861">
          <w:rPr>
            <w:noProof/>
            <w:webHidden/>
          </w:rPr>
          <w:fldChar w:fldCharType="end"/>
        </w:r>
      </w:hyperlink>
    </w:p>
    <w:p w14:paraId="0C485688" w14:textId="5FE720B6" w:rsidR="007E6861" w:rsidRDefault="00000000">
      <w:pPr>
        <w:pStyle w:val="TOC4"/>
        <w:rPr>
          <w:rFonts w:asciiTheme="minorHAnsi" w:eastAsiaTheme="minorEastAsia" w:hAnsiTheme="minorHAnsi" w:cstheme="minorBidi"/>
          <w:noProof/>
          <w:sz w:val="22"/>
          <w:szCs w:val="22"/>
          <w:lang w:eastAsia="en-AU"/>
        </w:rPr>
      </w:pPr>
      <w:hyperlink w:anchor="_Toc156568699" w:history="1">
        <w:r w:rsidR="007E6861" w:rsidRPr="00DC0009">
          <w:rPr>
            <w:rStyle w:val="Hyperlink"/>
            <w:noProof/>
          </w:rPr>
          <w:t>Table 2.22: Mental health non-acute, subacute and residential available beds 2023–24</w:t>
        </w:r>
        <w:r w:rsidR="007E6861">
          <w:rPr>
            <w:noProof/>
            <w:webHidden/>
          </w:rPr>
          <w:tab/>
        </w:r>
        <w:r w:rsidR="007E6861">
          <w:rPr>
            <w:noProof/>
            <w:webHidden/>
          </w:rPr>
          <w:fldChar w:fldCharType="begin"/>
        </w:r>
        <w:r w:rsidR="007E6861">
          <w:rPr>
            <w:noProof/>
            <w:webHidden/>
          </w:rPr>
          <w:instrText xml:space="preserve"> PAGEREF _Toc156568699 \h </w:instrText>
        </w:r>
        <w:r w:rsidR="007E6861">
          <w:rPr>
            <w:noProof/>
            <w:webHidden/>
          </w:rPr>
        </w:r>
        <w:r w:rsidR="007E6861">
          <w:rPr>
            <w:noProof/>
            <w:webHidden/>
          </w:rPr>
          <w:fldChar w:fldCharType="separate"/>
        </w:r>
        <w:r w:rsidR="007E6861">
          <w:rPr>
            <w:noProof/>
            <w:webHidden/>
          </w:rPr>
          <w:t>143</w:t>
        </w:r>
        <w:r w:rsidR="007E6861">
          <w:rPr>
            <w:noProof/>
            <w:webHidden/>
          </w:rPr>
          <w:fldChar w:fldCharType="end"/>
        </w:r>
      </w:hyperlink>
    </w:p>
    <w:p w14:paraId="4E2C6889" w14:textId="2AB4C5B9" w:rsidR="007E6861" w:rsidRDefault="00000000">
      <w:pPr>
        <w:pStyle w:val="TOC4"/>
        <w:rPr>
          <w:rFonts w:asciiTheme="minorHAnsi" w:eastAsiaTheme="minorEastAsia" w:hAnsiTheme="minorHAnsi" w:cstheme="minorBidi"/>
          <w:noProof/>
          <w:sz w:val="22"/>
          <w:szCs w:val="22"/>
          <w:lang w:eastAsia="en-AU"/>
        </w:rPr>
      </w:pPr>
      <w:hyperlink w:anchor="_Toc156568700" w:history="1">
        <w:r w:rsidR="007E6861" w:rsidRPr="00DC0009">
          <w:rPr>
            <w:rStyle w:val="Hyperlink"/>
            <w:noProof/>
          </w:rPr>
          <w:t>Table 2.23: Mental health total acute, non-acute, subacute and residential available beds and available bed days 2023–24</w:t>
        </w:r>
        <w:r w:rsidR="007E6861">
          <w:rPr>
            <w:noProof/>
            <w:webHidden/>
          </w:rPr>
          <w:tab/>
        </w:r>
        <w:r w:rsidR="007E6861">
          <w:rPr>
            <w:noProof/>
            <w:webHidden/>
          </w:rPr>
          <w:fldChar w:fldCharType="begin"/>
        </w:r>
        <w:r w:rsidR="007E6861">
          <w:rPr>
            <w:noProof/>
            <w:webHidden/>
          </w:rPr>
          <w:instrText xml:space="preserve"> PAGEREF _Toc156568700 \h </w:instrText>
        </w:r>
        <w:r w:rsidR="007E6861">
          <w:rPr>
            <w:noProof/>
            <w:webHidden/>
          </w:rPr>
        </w:r>
        <w:r w:rsidR="007E6861">
          <w:rPr>
            <w:noProof/>
            <w:webHidden/>
          </w:rPr>
          <w:fldChar w:fldCharType="separate"/>
        </w:r>
        <w:r w:rsidR="007E6861">
          <w:rPr>
            <w:noProof/>
            <w:webHidden/>
          </w:rPr>
          <w:t>145</w:t>
        </w:r>
        <w:r w:rsidR="007E6861">
          <w:rPr>
            <w:noProof/>
            <w:webHidden/>
          </w:rPr>
          <w:fldChar w:fldCharType="end"/>
        </w:r>
      </w:hyperlink>
    </w:p>
    <w:p w14:paraId="18B33467" w14:textId="3D0D9BA9" w:rsidR="007E6861" w:rsidRDefault="00000000">
      <w:pPr>
        <w:pStyle w:val="TOC4"/>
        <w:rPr>
          <w:rFonts w:asciiTheme="minorHAnsi" w:eastAsiaTheme="minorEastAsia" w:hAnsiTheme="minorHAnsi" w:cstheme="minorBidi"/>
          <w:noProof/>
          <w:sz w:val="22"/>
          <w:szCs w:val="22"/>
          <w:lang w:eastAsia="en-AU"/>
        </w:rPr>
      </w:pPr>
      <w:hyperlink w:anchor="_Toc156568701" w:history="1">
        <w:r w:rsidR="007E6861" w:rsidRPr="00DC0009">
          <w:rPr>
            <w:rStyle w:val="Hyperlink"/>
            <w:noProof/>
          </w:rPr>
          <w:t>Table 2.24: Mental health acute, non-acute, subacute and residential service hour targets 2023–24</w:t>
        </w:r>
        <w:r w:rsidR="007E6861">
          <w:rPr>
            <w:noProof/>
            <w:webHidden/>
          </w:rPr>
          <w:tab/>
        </w:r>
        <w:r w:rsidR="007E6861">
          <w:rPr>
            <w:noProof/>
            <w:webHidden/>
          </w:rPr>
          <w:fldChar w:fldCharType="begin"/>
        </w:r>
        <w:r w:rsidR="007E6861">
          <w:rPr>
            <w:noProof/>
            <w:webHidden/>
          </w:rPr>
          <w:instrText xml:space="preserve"> PAGEREF _Toc156568701 \h </w:instrText>
        </w:r>
        <w:r w:rsidR="007E6861">
          <w:rPr>
            <w:noProof/>
            <w:webHidden/>
          </w:rPr>
        </w:r>
        <w:r w:rsidR="007E6861">
          <w:rPr>
            <w:noProof/>
            <w:webHidden/>
          </w:rPr>
          <w:fldChar w:fldCharType="separate"/>
        </w:r>
        <w:r w:rsidR="007E6861">
          <w:rPr>
            <w:noProof/>
            <w:webHidden/>
          </w:rPr>
          <w:t>147</w:t>
        </w:r>
        <w:r w:rsidR="007E6861">
          <w:rPr>
            <w:noProof/>
            <w:webHidden/>
          </w:rPr>
          <w:fldChar w:fldCharType="end"/>
        </w:r>
      </w:hyperlink>
    </w:p>
    <w:p w14:paraId="2DEE04B9" w14:textId="65453322" w:rsidR="007E6861" w:rsidRDefault="00000000">
      <w:pPr>
        <w:pStyle w:val="TOC4"/>
        <w:rPr>
          <w:rFonts w:asciiTheme="minorHAnsi" w:eastAsiaTheme="minorEastAsia" w:hAnsiTheme="minorHAnsi" w:cstheme="minorBidi"/>
          <w:noProof/>
          <w:sz w:val="22"/>
          <w:szCs w:val="22"/>
          <w:lang w:eastAsia="en-AU"/>
        </w:rPr>
      </w:pPr>
      <w:hyperlink w:anchor="_Toc156568702" w:history="1">
        <w:r w:rsidR="007E6861" w:rsidRPr="00DC0009">
          <w:rPr>
            <w:rStyle w:val="Hyperlink"/>
            <w:noProof/>
          </w:rPr>
          <w:t>Table 2.25: Alcohol and other drugs output targets 2023–24</w:t>
        </w:r>
        <w:r w:rsidR="007E6861">
          <w:rPr>
            <w:noProof/>
            <w:webHidden/>
          </w:rPr>
          <w:tab/>
        </w:r>
        <w:r w:rsidR="007E6861">
          <w:rPr>
            <w:noProof/>
            <w:webHidden/>
          </w:rPr>
          <w:fldChar w:fldCharType="begin"/>
        </w:r>
        <w:r w:rsidR="007E6861">
          <w:rPr>
            <w:noProof/>
            <w:webHidden/>
          </w:rPr>
          <w:instrText xml:space="preserve"> PAGEREF _Toc156568702 \h </w:instrText>
        </w:r>
        <w:r w:rsidR="007E6861">
          <w:rPr>
            <w:noProof/>
            <w:webHidden/>
          </w:rPr>
        </w:r>
        <w:r w:rsidR="007E6861">
          <w:rPr>
            <w:noProof/>
            <w:webHidden/>
          </w:rPr>
          <w:fldChar w:fldCharType="separate"/>
        </w:r>
        <w:r w:rsidR="007E6861">
          <w:rPr>
            <w:noProof/>
            <w:webHidden/>
          </w:rPr>
          <w:t>148</w:t>
        </w:r>
        <w:r w:rsidR="007E6861">
          <w:rPr>
            <w:noProof/>
            <w:webHidden/>
          </w:rPr>
          <w:fldChar w:fldCharType="end"/>
        </w:r>
      </w:hyperlink>
    </w:p>
    <w:p w14:paraId="734C8455" w14:textId="1F37F49E" w:rsidR="00283607" w:rsidRDefault="000B27B9" w:rsidP="00685B35">
      <w:pPr>
        <w:pStyle w:val="Body"/>
        <w:tabs>
          <w:tab w:val="right" w:leader="dot" w:pos="9214"/>
        </w:tabs>
        <w:ind w:left="1134" w:right="509" w:hanging="1134"/>
        <w:rPr>
          <w:sz w:val="18"/>
          <w:szCs w:val="18"/>
        </w:rPr>
        <w:sectPr w:rsidR="00283607" w:rsidSect="00AE5B04">
          <w:headerReference w:type="even" r:id="rId98"/>
          <w:headerReference w:type="default" r:id="rId99"/>
          <w:footerReference w:type="even" r:id="rId100"/>
          <w:footerReference w:type="default" r:id="rId101"/>
          <w:pgSz w:w="11906" w:h="16838" w:code="9"/>
          <w:pgMar w:top="1418" w:right="1304" w:bottom="1134" w:left="1304" w:header="680" w:footer="567" w:gutter="0"/>
          <w:cols w:space="340"/>
          <w:docGrid w:linePitch="360"/>
        </w:sectPr>
      </w:pPr>
      <w:r w:rsidRPr="00F02E93">
        <w:rPr>
          <w:sz w:val="18"/>
          <w:szCs w:val="18"/>
        </w:rPr>
        <w:fldChar w:fldCharType="end"/>
      </w:r>
      <w:bookmarkStart w:id="1265" w:name="_Toc12780681"/>
      <w:bookmarkStart w:id="1266" w:name="_Toc14172322"/>
      <w:bookmarkStart w:id="1267" w:name="_Toc55381184"/>
      <w:bookmarkStart w:id="1268" w:name="_Toc100263388"/>
    </w:p>
    <w:p w14:paraId="5D437A30" w14:textId="1BD85A0C" w:rsidR="000B27B9" w:rsidRDefault="000B27B9" w:rsidP="00AD357B">
      <w:pPr>
        <w:pStyle w:val="Heading1"/>
        <w:numPr>
          <w:ilvl w:val="0"/>
          <w:numId w:val="0"/>
        </w:numPr>
      </w:pPr>
      <w:bookmarkStart w:id="1269" w:name="_Toc156569713"/>
      <w:r w:rsidRPr="008302DD">
        <w:t xml:space="preserve">Acronyms and </w:t>
      </w:r>
      <w:bookmarkEnd w:id="1265"/>
      <w:bookmarkEnd w:id="1266"/>
      <w:bookmarkEnd w:id="1267"/>
      <w:bookmarkEnd w:id="1268"/>
      <w:r w:rsidR="00FB621A">
        <w:t>a</w:t>
      </w:r>
      <w:r w:rsidR="00FB621A" w:rsidRPr="008302DD">
        <w:t>bbreviations</w:t>
      </w:r>
      <w:bookmarkEnd w:id="1269"/>
    </w:p>
    <w:p w14:paraId="00B36A18" w14:textId="0C96F678" w:rsidR="000B27B9" w:rsidRPr="002E3429" w:rsidRDefault="000B27B9" w:rsidP="0064265C">
      <w:pPr>
        <w:pStyle w:val="Acronym"/>
      </w:pPr>
      <w:r w:rsidRPr="002E3429">
        <w:t>ABO</w:t>
      </w:r>
      <w:r>
        <w:tab/>
        <w:t>b</w:t>
      </w:r>
      <w:r w:rsidRPr="002E3429">
        <w:t>lood group system</w:t>
      </w:r>
    </w:p>
    <w:p w14:paraId="3A3475DE" w14:textId="7E4197E4" w:rsidR="005C5A8E" w:rsidRDefault="005C5A8E" w:rsidP="0064265C">
      <w:pPr>
        <w:pStyle w:val="Acronym"/>
      </w:pPr>
      <w:r>
        <w:t>ABF</w:t>
      </w:r>
      <w:r>
        <w:tab/>
      </w:r>
      <w:r w:rsidR="00DF21BD" w:rsidRPr="00DF21BD">
        <w:t>activity-based funding</w:t>
      </w:r>
    </w:p>
    <w:p w14:paraId="18044D3E" w14:textId="5B9390A5" w:rsidR="0074173F" w:rsidRPr="002E3429" w:rsidRDefault="0074173F" w:rsidP="0064265C">
      <w:pPr>
        <w:pStyle w:val="Acronym"/>
      </w:pPr>
      <w:r w:rsidRPr="0074173F">
        <w:t>ACAS</w:t>
      </w:r>
      <w:r w:rsidRPr="0074173F">
        <w:tab/>
        <w:t>Aged Care Assessment Service</w:t>
      </w:r>
    </w:p>
    <w:p w14:paraId="7DF9C859" w14:textId="77777777" w:rsidR="000B27B9" w:rsidRPr="002E3429" w:rsidRDefault="000B27B9" w:rsidP="0064265C">
      <w:pPr>
        <w:pStyle w:val="Acronym"/>
      </w:pPr>
      <w:r w:rsidRPr="002E3429">
        <w:t>ACCO</w:t>
      </w:r>
      <w:r>
        <w:tab/>
      </w:r>
      <w:r w:rsidRPr="002E3429">
        <w:t>Aboriginal community-controlled organisations</w:t>
      </w:r>
    </w:p>
    <w:p w14:paraId="7287EFEC" w14:textId="77777777" w:rsidR="000B27B9" w:rsidRPr="002E3429" w:rsidRDefault="000B27B9" w:rsidP="0064265C">
      <w:pPr>
        <w:pStyle w:val="Acronym"/>
      </w:pPr>
      <w:r w:rsidRPr="002E3429">
        <w:t>ACHI</w:t>
      </w:r>
      <w:r>
        <w:tab/>
      </w:r>
      <w:r w:rsidRPr="002E3429">
        <w:t>Australian Classification of Health Interventions</w:t>
      </w:r>
    </w:p>
    <w:p w14:paraId="640C2432" w14:textId="77777777" w:rsidR="000B27B9" w:rsidRPr="002E3429" w:rsidRDefault="000B27B9" w:rsidP="0064265C">
      <w:pPr>
        <w:pStyle w:val="Acronym"/>
      </w:pPr>
      <w:r w:rsidRPr="002E3429">
        <w:t>ACS</w:t>
      </w:r>
      <w:r>
        <w:tab/>
      </w:r>
      <w:r w:rsidRPr="002E3429">
        <w:t>Australian Coding Standard</w:t>
      </w:r>
    </w:p>
    <w:p w14:paraId="7CFDE520" w14:textId="3D7F88D8" w:rsidR="00963907" w:rsidRDefault="00963907" w:rsidP="0064265C">
      <w:pPr>
        <w:pStyle w:val="Acronym"/>
      </w:pPr>
      <w:r>
        <w:t>AECC</w:t>
      </w:r>
      <w:r>
        <w:tab/>
      </w:r>
      <w:r w:rsidR="00EB7FF5">
        <w:t>Australian Emergency Care Classification</w:t>
      </w:r>
    </w:p>
    <w:p w14:paraId="40D58EEC" w14:textId="246CCCEA" w:rsidR="000B27B9" w:rsidRPr="002E3429" w:rsidRDefault="000B27B9" w:rsidP="0064265C">
      <w:pPr>
        <w:pStyle w:val="Acronym"/>
      </w:pPr>
      <w:r w:rsidRPr="002E3429">
        <w:t>AIDS</w:t>
      </w:r>
      <w:r>
        <w:tab/>
        <w:t>a</w:t>
      </w:r>
      <w:r w:rsidRPr="002E3429">
        <w:t>cquired immune deficiency syndrome</w:t>
      </w:r>
    </w:p>
    <w:p w14:paraId="5BD8B7C5" w14:textId="77777777" w:rsidR="000B27B9" w:rsidRPr="002E3429" w:rsidRDefault="000B27B9" w:rsidP="0064265C">
      <w:pPr>
        <w:pStyle w:val="Acronym"/>
      </w:pPr>
      <w:r w:rsidRPr="002E3429">
        <w:t>AIMS</w:t>
      </w:r>
      <w:r>
        <w:tab/>
      </w:r>
      <w:r w:rsidRPr="002E3429">
        <w:t>Agency Information Management System</w:t>
      </w:r>
    </w:p>
    <w:p w14:paraId="68761E1B" w14:textId="77777777" w:rsidR="000B27B9" w:rsidRPr="002E3429" w:rsidRDefault="000B27B9" w:rsidP="0064265C">
      <w:pPr>
        <w:pStyle w:val="Acronym"/>
      </w:pPr>
      <w:r w:rsidRPr="002E3429">
        <w:t>AN-SNAP</w:t>
      </w:r>
      <w:r w:rsidRPr="002E3429">
        <w:tab/>
        <w:t>Australian National Subacute and Non-Acute Patient</w:t>
      </w:r>
    </w:p>
    <w:p w14:paraId="166DEC78" w14:textId="77777777" w:rsidR="000B27B9" w:rsidRPr="002E3429" w:rsidRDefault="000B27B9" w:rsidP="0064265C">
      <w:pPr>
        <w:pStyle w:val="Acronym"/>
      </w:pPr>
      <w:r w:rsidRPr="002E3429">
        <w:t>AOD</w:t>
      </w:r>
      <w:r>
        <w:tab/>
        <w:t>a</w:t>
      </w:r>
      <w:r w:rsidRPr="002E3429">
        <w:t>lcohol and other drugs</w:t>
      </w:r>
    </w:p>
    <w:p w14:paraId="12157856" w14:textId="5EEF6546" w:rsidR="000B27B9" w:rsidRPr="002E3429" w:rsidRDefault="000B27B9" w:rsidP="0064265C">
      <w:pPr>
        <w:pStyle w:val="Acronym"/>
      </w:pPr>
      <w:r w:rsidRPr="002E3429">
        <w:t>AR-DRG</w:t>
      </w:r>
      <w:r w:rsidRPr="002E3429">
        <w:tab/>
        <w:t>Australian Refined Diagnosis</w:t>
      </w:r>
      <w:r w:rsidR="00240DAF">
        <w:t>-</w:t>
      </w:r>
      <w:r w:rsidRPr="002E3429">
        <w:t>Related Groups</w:t>
      </w:r>
    </w:p>
    <w:p w14:paraId="32023F27" w14:textId="48DA600C" w:rsidR="0074173F" w:rsidRPr="00B80E55" w:rsidRDefault="0010625B" w:rsidP="0064265C">
      <w:pPr>
        <w:pStyle w:val="Acronym"/>
        <w:rPr>
          <w:rFonts w:cs="Arial"/>
          <w:color w:val="4D5156"/>
          <w:shd w:val="clear" w:color="auto" w:fill="FFFFFF"/>
        </w:rPr>
      </w:pPr>
      <w:r w:rsidRPr="00B80E55">
        <w:rPr>
          <w:rFonts w:cs="Arial"/>
          <w:color w:val="4D5156"/>
          <w:shd w:val="clear" w:color="auto" w:fill="FFFFFF"/>
        </w:rPr>
        <w:t>ARCVic</w:t>
      </w:r>
      <w:r w:rsidRPr="00B80E55">
        <w:rPr>
          <w:rFonts w:cs="Arial"/>
          <w:color w:val="4D5156"/>
          <w:shd w:val="clear" w:color="auto" w:fill="FFFFFF"/>
        </w:rPr>
        <w:tab/>
        <w:t>Anxiety Recovery Centre Victoria</w:t>
      </w:r>
    </w:p>
    <w:p w14:paraId="0FDACCF6" w14:textId="30839C06" w:rsidR="00AD1E61" w:rsidRPr="00B80E55" w:rsidRDefault="000B3DE4" w:rsidP="0064265C">
      <w:pPr>
        <w:pStyle w:val="Acronym"/>
      </w:pPr>
      <w:r w:rsidRPr="00B80E55">
        <w:rPr>
          <w:rFonts w:cs="Arial"/>
          <w:color w:val="4D5156"/>
          <w:sz w:val="21"/>
          <w:szCs w:val="21"/>
          <w:shd w:val="clear" w:color="auto" w:fill="FFFFFF"/>
        </w:rPr>
        <w:t>BBV</w:t>
      </w:r>
      <w:r w:rsidRPr="00B80E55">
        <w:rPr>
          <w:rFonts w:cs="Arial"/>
          <w:color w:val="4D5156"/>
          <w:sz w:val="21"/>
          <w:szCs w:val="21"/>
          <w:shd w:val="clear" w:color="auto" w:fill="FFFFFF"/>
        </w:rPr>
        <w:tab/>
      </w:r>
      <w:r w:rsidRPr="00B80E55">
        <w:t>blood-borne viruses</w:t>
      </w:r>
    </w:p>
    <w:p w14:paraId="53CF1EA7" w14:textId="210D1D1A" w:rsidR="000B27B9" w:rsidRPr="002E3429" w:rsidRDefault="000B27B9" w:rsidP="0064265C">
      <w:pPr>
        <w:pStyle w:val="Acronym"/>
      </w:pPr>
      <w:r w:rsidRPr="002E3429">
        <w:t xml:space="preserve">CCU </w:t>
      </w:r>
      <w:r>
        <w:tab/>
      </w:r>
      <w:r w:rsidR="00DA22EA" w:rsidRPr="002E3429">
        <w:t>critical care unit</w:t>
      </w:r>
    </w:p>
    <w:p w14:paraId="3259DEB5" w14:textId="2D1CF9A8" w:rsidR="000B27B9" w:rsidRPr="002E3429" w:rsidRDefault="000B27B9" w:rsidP="0064265C">
      <w:pPr>
        <w:pStyle w:val="Acronym"/>
      </w:pPr>
      <w:r w:rsidRPr="002E3429">
        <w:t xml:space="preserve">CSO </w:t>
      </w:r>
      <w:r>
        <w:tab/>
      </w:r>
      <w:r w:rsidR="00DA22EA">
        <w:t>c</w:t>
      </w:r>
      <w:r w:rsidR="00DA22EA" w:rsidRPr="002E3429">
        <w:t>ommunity service organisation</w:t>
      </w:r>
    </w:p>
    <w:p w14:paraId="3CC18F1C" w14:textId="77777777" w:rsidR="000B27B9" w:rsidRPr="002E3429" w:rsidRDefault="000B27B9" w:rsidP="0064265C">
      <w:pPr>
        <w:pStyle w:val="Acronym"/>
      </w:pPr>
      <w:r w:rsidRPr="002E3429">
        <w:t xml:space="preserve">DRG </w:t>
      </w:r>
      <w:r>
        <w:tab/>
      </w:r>
      <w:r w:rsidRPr="002E3429">
        <w:t>diagnosis-related group</w:t>
      </w:r>
    </w:p>
    <w:p w14:paraId="4911A8DC" w14:textId="63EB2D52" w:rsidR="00170F78" w:rsidRPr="002E3429" w:rsidRDefault="004E1EAC" w:rsidP="0064265C">
      <w:pPr>
        <w:pStyle w:val="Acronym"/>
      </w:pPr>
      <w:r w:rsidRPr="004E1EAC">
        <w:t>DVA</w:t>
      </w:r>
      <w:r w:rsidRPr="004E1EAC">
        <w:tab/>
        <w:t>Department of Veterans' Affairs</w:t>
      </w:r>
    </w:p>
    <w:p w14:paraId="689BF857" w14:textId="77777777" w:rsidR="000B27B9" w:rsidRPr="002E3429" w:rsidRDefault="000B27B9" w:rsidP="0064265C">
      <w:pPr>
        <w:pStyle w:val="Acronym"/>
      </w:pPr>
      <w:r w:rsidRPr="002E3429">
        <w:t>EBA</w:t>
      </w:r>
      <w:r>
        <w:tab/>
      </w:r>
      <w:r w:rsidRPr="002E3429">
        <w:t>enterprise bargaining agreements</w:t>
      </w:r>
    </w:p>
    <w:p w14:paraId="1F572CF6" w14:textId="77777777" w:rsidR="000B27B9" w:rsidRPr="002E3429" w:rsidRDefault="000B27B9" w:rsidP="0064265C">
      <w:pPr>
        <w:pStyle w:val="Acronym"/>
      </w:pPr>
      <w:r w:rsidRPr="002E3429">
        <w:t>ED</w:t>
      </w:r>
      <w:r>
        <w:tab/>
      </w:r>
      <w:r w:rsidRPr="002E3429">
        <w:t>emergency department</w:t>
      </w:r>
    </w:p>
    <w:p w14:paraId="029ED078" w14:textId="568871B3" w:rsidR="000D3CAF" w:rsidRPr="002E3429" w:rsidRDefault="000D3CAF" w:rsidP="0064265C">
      <w:pPr>
        <w:pStyle w:val="Acronym"/>
      </w:pPr>
      <w:r w:rsidRPr="000D3CAF">
        <w:t>ES</w:t>
      </w:r>
      <w:r w:rsidRPr="000D3CAF">
        <w:tab/>
        <w:t>elective surgery</w:t>
      </w:r>
    </w:p>
    <w:p w14:paraId="273ED54F" w14:textId="77777777" w:rsidR="000B27B9" w:rsidRDefault="000B27B9" w:rsidP="0064265C">
      <w:pPr>
        <w:pStyle w:val="Acronym"/>
      </w:pPr>
      <w:r>
        <w:t>FCP</w:t>
      </w:r>
      <w:r>
        <w:tab/>
        <w:t>Family Choice Program</w:t>
      </w:r>
    </w:p>
    <w:p w14:paraId="3089FC43" w14:textId="763D45A9" w:rsidR="000B27B9" w:rsidRPr="002E3429" w:rsidRDefault="000B27B9" w:rsidP="0064265C">
      <w:pPr>
        <w:pStyle w:val="Acronym"/>
      </w:pPr>
      <w:r w:rsidRPr="002E3429">
        <w:t>FIM</w:t>
      </w:r>
      <w:r w:rsidRPr="002E3429">
        <w:rPr>
          <w:lang w:eastAsia="en-AU"/>
        </w:rPr>
        <w:t>™</w:t>
      </w:r>
      <w:r>
        <w:tab/>
      </w:r>
      <w:r w:rsidRPr="002E3429">
        <w:t>Functional Independence Measure</w:t>
      </w:r>
    </w:p>
    <w:p w14:paraId="389F5189" w14:textId="77777777" w:rsidR="000B27B9" w:rsidRPr="002E3429" w:rsidRDefault="000B27B9" w:rsidP="0064265C">
      <w:pPr>
        <w:pStyle w:val="Acronym"/>
      </w:pPr>
      <w:r w:rsidRPr="002E3429">
        <w:t>GEM</w:t>
      </w:r>
      <w:r>
        <w:tab/>
      </w:r>
      <w:r w:rsidRPr="002E3429">
        <w:t>geriatric evaluation and management</w:t>
      </w:r>
    </w:p>
    <w:p w14:paraId="5307BB47" w14:textId="77777777" w:rsidR="000B27B9" w:rsidRDefault="000B27B9" w:rsidP="0064265C">
      <w:pPr>
        <w:pStyle w:val="Acronym"/>
      </w:pPr>
      <w:r w:rsidRPr="002E3429">
        <w:t>HACC</w:t>
      </w:r>
      <w:r>
        <w:tab/>
      </w:r>
      <w:r w:rsidRPr="002E3429">
        <w:t>Home and Community Care</w:t>
      </w:r>
    </w:p>
    <w:p w14:paraId="6AA869B5" w14:textId="77777777" w:rsidR="000B27B9" w:rsidRDefault="000B27B9" w:rsidP="0064265C">
      <w:pPr>
        <w:pStyle w:val="Acronym"/>
      </w:pPr>
      <w:r>
        <w:t xml:space="preserve">HACC-PYP </w:t>
      </w:r>
      <w:r>
        <w:tab/>
        <w:t>Home and Community Care Program Younger People</w:t>
      </w:r>
    </w:p>
    <w:p w14:paraId="213BB2DC" w14:textId="6D3291EC" w:rsidR="000B27B9" w:rsidRPr="002E3429" w:rsidRDefault="000B27B9" w:rsidP="0064265C">
      <w:pPr>
        <w:pStyle w:val="Acronym"/>
      </w:pPr>
      <w:r w:rsidRPr="002E3429">
        <w:t>HEN</w:t>
      </w:r>
      <w:r>
        <w:tab/>
      </w:r>
      <w:r w:rsidR="00DA22EA" w:rsidRPr="002E3429">
        <w:t>home enteral nutrition</w:t>
      </w:r>
    </w:p>
    <w:p w14:paraId="0A495D92" w14:textId="77777777" w:rsidR="000B27B9" w:rsidRPr="002E3429" w:rsidRDefault="000B27B9" w:rsidP="0064265C">
      <w:pPr>
        <w:pStyle w:val="Acronym"/>
      </w:pPr>
      <w:r w:rsidRPr="002E3429">
        <w:t>HITH</w:t>
      </w:r>
      <w:r>
        <w:tab/>
      </w:r>
      <w:r w:rsidRPr="002E3429">
        <w:t>Hospital in the Home</w:t>
      </w:r>
    </w:p>
    <w:p w14:paraId="3B974DA1" w14:textId="77777777" w:rsidR="000B27B9" w:rsidRPr="002E3429" w:rsidRDefault="000B27B9" w:rsidP="0064265C">
      <w:pPr>
        <w:pStyle w:val="Acronym"/>
      </w:pPr>
      <w:r w:rsidRPr="002E3429">
        <w:t>HIV</w:t>
      </w:r>
      <w:r>
        <w:tab/>
      </w:r>
      <w:r w:rsidRPr="002E3429">
        <w:t>human immunodeficiency virus</w:t>
      </w:r>
    </w:p>
    <w:p w14:paraId="3689FE0B" w14:textId="77777777" w:rsidR="000B27B9" w:rsidRPr="002E3429" w:rsidRDefault="000B27B9" w:rsidP="0064265C">
      <w:pPr>
        <w:pStyle w:val="Acronym"/>
      </w:pPr>
      <w:r w:rsidRPr="00D07AFA">
        <w:t>ICT</w:t>
      </w:r>
      <w:r>
        <w:tab/>
      </w:r>
      <w:r w:rsidRPr="00D07AFA">
        <w:t>information communication technology</w:t>
      </w:r>
    </w:p>
    <w:p w14:paraId="66E3BCB1" w14:textId="77777777" w:rsidR="000B27B9" w:rsidRPr="002E3429" w:rsidRDefault="000B27B9" w:rsidP="0064265C">
      <w:pPr>
        <w:pStyle w:val="Acronym"/>
      </w:pPr>
      <w:r w:rsidRPr="002E3429">
        <w:t>ICU</w:t>
      </w:r>
      <w:r>
        <w:tab/>
      </w:r>
      <w:r w:rsidRPr="002E3429">
        <w:t>intensive care unit</w:t>
      </w:r>
    </w:p>
    <w:p w14:paraId="49CAC431" w14:textId="3599658C" w:rsidR="000B27B9" w:rsidRPr="002E3429" w:rsidRDefault="000B27B9" w:rsidP="0064265C">
      <w:pPr>
        <w:pStyle w:val="Acronym"/>
      </w:pPr>
      <w:r w:rsidRPr="002E3429">
        <w:t>IH</w:t>
      </w:r>
      <w:r w:rsidR="006548D4">
        <w:t>AC</w:t>
      </w:r>
      <w:r w:rsidRPr="002E3429">
        <w:t>PA</w:t>
      </w:r>
      <w:r>
        <w:tab/>
      </w:r>
      <w:r w:rsidRPr="002E3429">
        <w:t>Independent H</w:t>
      </w:r>
      <w:r w:rsidR="00A913CA">
        <w:t>ealth</w:t>
      </w:r>
      <w:r w:rsidR="006548D4">
        <w:t xml:space="preserve"> and Aged Care</w:t>
      </w:r>
      <w:r w:rsidRPr="002E3429">
        <w:t xml:space="preserve"> Pricing Authority</w:t>
      </w:r>
    </w:p>
    <w:p w14:paraId="68FB5E2F" w14:textId="1BC7190A" w:rsidR="00A22399" w:rsidRPr="002E3429" w:rsidRDefault="00A22399" w:rsidP="0064265C">
      <w:pPr>
        <w:pStyle w:val="Acronym"/>
      </w:pPr>
      <w:r w:rsidRPr="00A22399">
        <w:t>IHCS</w:t>
      </w:r>
      <w:r w:rsidRPr="00A22399">
        <w:tab/>
        <w:t>Integrated Hepatitis C Service</w:t>
      </w:r>
    </w:p>
    <w:p w14:paraId="7014277F" w14:textId="495D35A5" w:rsidR="00CE3410" w:rsidRPr="002E3429" w:rsidRDefault="000B27B9" w:rsidP="0064265C">
      <w:pPr>
        <w:pStyle w:val="Acronym"/>
      </w:pPr>
      <w:r w:rsidRPr="002E3429">
        <w:t>LOS</w:t>
      </w:r>
      <w:r>
        <w:tab/>
      </w:r>
      <w:r w:rsidRPr="002E3429">
        <w:t>length of stay</w:t>
      </w:r>
      <w:r w:rsidR="00CE3410">
        <w:br/>
        <w:t>LPHU</w:t>
      </w:r>
      <w:r w:rsidR="00CE3410">
        <w:tab/>
      </w:r>
      <w:r w:rsidR="00CE3410" w:rsidRPr="00CE3410">
        <w:t>Local Public Health Unit</w:t>
      </w:r>
    </w:p>
    <w:p w14:paraId="5033100B" w14:textId="77777777" w:rsidR="000B27B9" w:rsidRPr="002E3429" w:rsidRDefault="000B27B9" w:rsidP="0064265C">
      <w:pPr>
        <w:pStyle w:val="Acronym"/>
      </w:pPr>
      <w:r w:rsidRPr="002E3429">
        <w:t>MDS</w:t>
      </w:r>
      <w:r>
        <w:tab/>
      </w:r>
      <w:r w:rsidRPr="002E3429">
        <w:t>Hospital Minimum Payroll and Workforce Employee Dataset</w:t>
      </w:r>
    </w:p>
    <w:p w14:paraId="51FB4965" w14:textId="77777777" w:rsidR="000B27B9" w:rsidRPr="002E3429" w:rsidRDefault="000B27B9" w:rsidP="0064265C">
      <w:pPr>
        <w:pStyle w:val="Acronym"/>
      </w:pPr>
      <w:r w:rsidRPr="002E3429">
        <w:t>MHCSS</w:t>
      </w:r>
      <w:r w:rsidRPr="002E3429">
        <w:tab/>
        <w:t>mental health community support services</w:t>
      </w:r>
    </w:p>
    <w:p w14:paraId="303B788A" w14:textId="4814EEB0" w:rsidR="000B27B9" w:rsidRPr="002E3429" w:rsidRDefault="000B27B9" w:rsidP="0064265C">
      <w:pPr>
        <w:pStyle w:val="Acronym"/>
      </w:pPr>
      <w:r w:rsidRPr="002E3429">
        <w:t>MICA</w:t>
      </w:r>
      <w:r>
        <w:tab/>
      </w:r>
      <w:r w:rsidR="00DA22EA" w:rsidRPr="002E3429">
        <w:t>mobile intensive care ambulance</w:t>
      </w:r>
    </w:p>
    <w:p w14:paraId="617A1B7C" w14:textId="765CEFA1" w:rsidR="002538D5" w:rsidRDefault="002538D5" w:rsidP="0064265C">
      <w:pPr>
        <w:pStyle w:val="Acronym"/>
      </w:pPr>
      <w:r>
        <w:t>NADC</w:t>
      </w:r>
      <w:r>
        <w:tab/>
        <w:t>Non Admitted Data Collection</w:t>
      </w:r>
    </w:p>
    <w:p w14:paraId="22EFC540" w14:textId="77777777" w:rsidR="000C7B8B" w:rsidRPr="000C7B8B" w:rsidRDefault="000C7B8B" w:rsidP="000C7B8B">
      <w:pPr>
        <w:pStyle w:val="Acronym"/>
        <w:rPr>
          <w:rFonts w:cs="Arial"/>
          <w:color w:val="000000" w:themeColor="text1"/>
          <w:shd w:val="clear" w:color="auto" w:fill="FFFFFF"/>
        </w:rPr>
      </w:pPr>
      <w:r w:rsidRPr="000C7B8B">
        <w:rPr>
          <w:rFonts w:cs="Arial"/>
          <w:color w:val="000000" w:themeColor="text1"/>
          <w:shd w:val="clear" w:color="auto" w:fill="FFFFFF"/>
        </w:rPr>
        <w:t>NAESG</w:t>
      </w:r>
      <w:r w:rsidRPr="000C7B8B">
        <w:rPr>
          <w:rFonts w:cs="Arial"/>
          <w:color w:val="000000" w:themeColor="text1"/>
          <w:shd w:val="clear" w:color="auto" w:fill="FFFFFF"/>
        </w:rPr>
        <w:tab/>
        <w:t>Non-Admitted Emergency Services Grant</w:t>
      </w:r>
    </w:p>
    <w:p w14:paraId="571C3367" w14:textId="6091EBB8" w:rsidR="000C7B8B" w:rsidRPr="000C7B8B" w:rsidRDefault="000C7B8B" w:rsidP="0064265C">
      <w:pPr>
        <w:pStyle w:val="Acronym"/>
        <w:rPr>
          <w:color w:val="000000" w:themeColor="text1"/>
        </w:rPr>
      </w:pPr>
      <w:r w:rsidRPr="000C7B8B">
        <w:rPr>
          <w:rFonts w:cs="Arial"/>
          <w:color w:val="000000" w:themeColor="text1"/>
          <w:shd w:val="clear" w:color="auto" w:fill="FFFFFF"/>
        </w:rPr>
        <w:t>NACMS</w:t>
      </w:r>
      <w:r w:rsidRPr="000C7B8B">
        <w:rPr>
          <w:rFonts w:cs="Arial"/>
          <w:color w:val="000000" w:themeColor="text1"/>
          <w:shd w:val="clear" w:color="auto" w:fill="FFFFFF"/>
        </w:rPr>
        <w:tab/>
      </w:r>
      <w:r w:rsidRPr="000C7B8B">
        <w:rPr>
          <w:color w:val="000000" w:themeColor="text1"/>
        </w:rPr>
        <w:t>Non-Admitted Clinic Management System</w:t>
      </w:r>
    </w:p>
    <w:p w14:paraId="748C1F98" w14:textId="0D7F234E" w:rsidR="000B27B9" w:rsidRPr="002E3429" w:rsidRDefault="000B27B9" w:rsidP="0064265C">
      <w:pPr>
        <w:pStyle w:val="Acronym"/>
      </w:pPr>
      <w:r w:rsidRPr="002E3429">
        <w:t>NBCSP</w:t>
      </w:r>
      <w:r>
        <w:tab/>
      </w:r>
      <w:r w:rsidRPr="002E3429">
        <w:t>National Bowel Cancer Screening Program</w:t>
      </w:r>
    </w:p>
    <w:p w14:paraId="43108D79" w14:textId="77777777" w:rsidR="004706B7" w:rsidRPr="004510CB" w:rsidRDefault="004706B7" w:rsidP="004706B7">
      <w:pPr>
        <w:pStyle w:val="Acronym"/>
      </w:pPr>
      <w:r w:rsidRPr="004510CB">
        <w:t>NEC</w:t>
      </w:r>
      <w:r w:rsidRPr="004510CB">
        <w:tab/>
        <w:t>National Efficient Cost</w:t>
      </w:r>
    </w:p>
    <w:p w14:paraId="41678B1E" w14:textId="0BBCD315" w:rsidR="002A7380" w:rsidRPr="002E3429" w:rsidRDefault="004706B7" w:rsidP="0064265C">
      <w:pPr>
        <w:pStyle w:val="Acronym"/>
      </w:pPr>
      <w:r w:rsidRPr="004706B7">
        <w:t>NEP</w:t>
      </w:r>
      <w:r w:rsidRPr="004706B7">
        <w:tab/>
        <w:t>National Efficient Price</w:t>
      </w:r>
    </w:p>
    <w:p w14:paraId="3EA505C7" w14:textId="77777777" w:rsidR="000B27B9" w:rsidRPr="002E3429" w:rsidRDefault="000B27B9" w:rsidP="0064265C">
      <w:pPr>
        <w:pStyle w:val="Acronym"/>
      </w:pPr>
      <w:r w:rsidRPr="00D07AFA">
        <w:t>NGO</w:t>
      </w:r>
      <w:r>
        <w:tab/>
      </w:r>
      <w:r w:rsidRPr="00D07AFA">
        <w:t>non-government organisation</w:t>
      </w:r>
    </w:p>
    <w:p w14:paraId="410CDAE9" w14:textId="68B77352" w:rsidR="00FE321F" w:rsidRPr="002E3429" w:rsidRDefault="00FE321F" w:rsidP="0064265C">
      <w:pPr>
        <w:pStyle w:val="Acronym"/>
      </w:pPr>
      <w:r w:rsidRPr="00FE321F">
        <w:t>NHCDC</w:t>
      </w:r>
      <w:r w:rsidRPr="00FE321F">
        <w:tab/>
        <w:t>National Hospital Cost Data Collection</w:t>
      </w:r>
    </w:p>
    <w:p w14:paraId="5BDB6AFF" w14:textId="77777777" w:rsidR="000B27B9" w:rsidRPr="002E3429" w:rsidRDefault="000B27B9" w:rsidP="0064265C">
      <w:pPr>
        <w:pStyle w:val="Acronym"/>
      </w:pPr>
      <w:r w:rsidRPr="002E3429">
        <w:t>NHT</w:t>
      </w:r>
      <w:r>
        <w:tab/>
      </w:r>
      <w:r w:rsidRPr="002E3429">
        <w:t>nursing home type</w:t>
      </w:r>
    </w:p>
    <w:p w14:paraId="0BA4B253" w14:textId="77777777" w:rsidR="000B27B9" w:rsidRPr="002E3429" w:rsidRDefault="000B27B9" w:rsidP="0064265C">
      <w:pPr>
        <w:pStyle w:val="Acronym"/>
      </w:pPr>
      <w:r w:rsidRPr="002E3429">
        <w:t xml:space="preserve">NFC </w:t>
      </w:r>
      <w:r>
        <w:tab/>
      </w:r>
      <w:r w:rsidRPr="002E3429">
        <w:t>Nationally Funded Centres</w:t>
      </w:r>
    </w:p>
    <w:p w14:paraId="4859CD07" w14:textId="77777777" w:rsidR="000B27B9" w:rsidRPr="002E3429" w:rsidRDefault="000B27B9" w:rsidP="0064265C">
      <w:pPr>
        <w:pStyle w:val="Acronym"/>
      </w:pPr>
      <w:r w:rsidRPr="002E3429">
        <w:t xml:space="preserve">NHRA </w:t>
      </w:r>
      <w:r>
        <w:tab/>
      </w:r>
      <w:r w:rsidRPr="002E3429">
        <w:t>National Health Reform Agreement</w:t>
      </w:r>
    </w:p>
    <w:p w14:paraId="26295178" w14:textId="6AD12245" w:rsidR="0058149C" w:rsidRPr="002E3429" w:rsidRDefault="0058149C" w:rsidP="0058149C">
      <w:pPr>
        <w:pStyle w:val="Acronym"/>
      </w:pPr>
      <w:r>
        <w:t>NWAU</w:t>
      </w:r>
      <w:r w:rsidRPr="002E3429">
        <w:t xml:space="preserve"> </w:t>
      </w:r>
      <w:r>
        <w:tab/>
      </w:r>
      <w:r w:rsidR="00DA22EA" w:rsidRPr="002E3429">
        <w:t xml:space="preserve">national </w:t>
      </w:r>
      <w:r w:rsidR="00DA22EA">
        <w:t>weighted activity unit</w:t>
      </w:r>
    </w:p>
    <w:p w14:paraId="381B6C32" w14:textId="447D5387" w:rsidR="000B27B9" w:rsidRDefault="000B27B9" w:rsidP="0064265C">
      <w:pPr>
        <w:pStyle w:val="Acronym"/>
      </w:pPr>
      <w:r>
        <w:t>OP</w:t>
      </w:r>
      <w:r>
        <w:tab/>
      </w:r>
      <w:r w:rsidR="00DA22EA">
        <w:t>specialist (outpatient) clinics</w:t>
      </w:r>
    </w:p>
    <w:p w14:paraId="55E4861F" w14:textId="77777777" w:rsidR="000B27B9" w:rsidRPr="002E3429" w:rsidRDefault="000B27B9" w:rsidP="0064265C">
      <w:pPr>
        <w:pStyle w:val="Acronym"/>
      </w:pPr>
      <w:r w:rsidRPr="002E3429">
        <w:t xml:space="preserve">PARC </w:t>
      </w:r>
      <w:r>
        <w:tab/>
      </w:r>
      <w:r w:rsidRPr="002E3429">
        <w:t>prevention and recovery care</w:t>
      </w:r>
    </w:p>
    <w:p w14:paraId="7E5FC942" w14:textId="77777777" w:rsidR="00296D5A" w:rsidRPr="00296D5A" w:rsidRDefault="00296D5A" w:rsidP="00296D5A">
      <w:pPr>
        <w:pStyle w:val="Acronym"/>
      </w:pPr>
      <w:r w:rsidRPr="00296D5A">
        <w:t xml:space="preserve">PRISM </w:t>
      </w:r>
      <w:r w:rsidRPr="00296D5A">
        <w:tab/>
        <w:t>program report for integrated service monitoring</w:t>
      </w:r>
    </w:p>
    <w:p w14:paraId="4359488A" w14:textId="5344B907" w:rsidR="00296D5A" w:rsidRDefault="00296D5A" w:rsidP="0064265C">
      <w:pPr>
        <w:pStyle w:val="Acronym"/>
      </w:pPr>
      <w:r w:rsidRPr="00296D5A">
        <w:t>PRNI</w:t>
      </w:r>
      <w:r w:rsidRPr="00296D5A">
        <w:tab/>
        <w:t>Privately Referred Non-Inpatient</w:t>
      </w:r>
      <w:r w:rsidRPr="004510CB">
        <w:t xml:space="preserve"> </w:t>
      </w:r>
    </w:p>
    <w:p w14:paraId="2CBD77CE" w14:textId="77777777" w:rsidR="000B27B9" w:rsidRPr="002E3429" w:rsidRDefault="000B27B9" w:rsidP="0064265C">
      <w:pPr>
        <w:pStyle w:val="Acronym"/>
      </w:pPr>
      <w:r w:rsidRPr="002E3429">
        <w:t>PSRACS</w:t>
      </w:r>
      <w:r w:rsidRPr="002E3429">
        <w:tab/>
        <w:t>public sector residential aged care service</w:t>
      </w:r>
    </w:p>
    <w:p w14:paraId="7BA9EBBB" w14:textId="77777777" w:rsidR="000B27B9" w:rsidRDefault="000B27B9" w:rsidP="0064265C">
      <w:pPr>
        <w:pStyle w:val="Acronym"/>
      </w:pPr>
      <w:r>
        <w:t>RIR</w:t>
      </w:r>
      <w:r>
        <w:tab/>
        <w:t>residential in-reach</w:t>
      </w:r>
    </w:p>
    <w:p w14:paraId="40C5533A" w14:textId="17708BA0" w:rsidR="000B27B9" w:rsidRDefault="000B27B9" w:rsidP="0064265C">
      <w:pPr>
        <w:pStyle w:val="Acronym"/>
      </w:pPr>
      <w:r>
        <w:t>SACS</w:t>
      </w:r>
      <w:r>
        <w:tab/>
      </w:r>
      <w:r w:rsidR="00DA22EA">
        <w:t>subacute ambulatory care services</w:t>
      </w:r>
    </w:p>
    <w:p w14:paraId="6D16C04B" w14:textId="366327DA" w:rsidR="000B27B9" w:rsidRDefault="000B27B9" w:rsidP="0064265C">
      <w:pPr>
        <w:pStyle w:val="Acronym"/>
      </w:pPr>
      <w:r>
        <w:t>SMF</w:t>
      </w:r>
      <w:r>
        <w:tab/>
      </w:r>
      <w:r w:rsidR="006B4DBF">
        <w:t>State-Managed Fund</w:t>
      </w:r>
    </w:p>
    <w:p w14:paraId="1CDBF07D" w14:textId="77777777" w:rsidR="000B27B9" w:rsidRPr="002E3429" w:rsidRDefault="000B27B9" w:rsidP="0064265C">
      <w:pPr>
        <w:pStyle w:val="Acronym"/>
      </w:pPr>
      <w:r w:rsidRPr="002E3429">
        <w:t>S</w:t>
      </w:r>
      <w:r>
        <w:t>O</w:t>
      </w:r>
      <w:r w:rsidRPr="002E3429">
        <w:t xml:space="preserve">P </w:t>
      </w:r>
      <w:r>
        <w:tab/>
      </w:r>
      <w:r w:rsidRPr="002E3429">
        <w:t>Statement of Priorities</w:t>
      </w:r>
    </w:p>
    <w:p w14:paraId="3CA5ACF9" w14:textId="77777777" w:rsidR="000B27B9" w:rsidRDefault="000B27B9" w:rsidP="0064265C">
      <w:pPr>
        <w:pStyle w:val="Acronym"/>
      </w:pPr>
      <w:r w:rsidRPr="002E3429">
        <w:t>STI</w:t>
      </w:r>
      <w:r>
        <w:tab/>
      </w:r>
      <w:r w:rsidRPr="002E3429">
        <w:t>sexually transmissible infections</w:t>
      </w:r>
    </w:p>
    <w:p w14:paraId="3AE9A3D3" w14:textId="77777777" w:rsidR="000B27B9" w:rsidRPr="002E3429" w:rsidRDefault="000B27B9" w:rsidP="0064265C">
      <w:pPr>
        <w:pStyle w:val="Acronym"/>
      </w:pPr>
      <w:r w:rsidRPr="002E3429">
        <w:t xml:space="preserve">TAC </w:t>
      </w:r>
      <w:r>
        <w:tab/>
      </w:r>
      <w:r w:rsidRPr="002E3429">
        <w:t>Transport Accident Commission</w:t>
      </w:r>
    </w:p>
    <w:p w14:paraId="303EA78D" w14:textId="77777777" w:rsidR="000B27B9" w:rsidRPr="002E3429" w:rsidRDefault="000B27B9" w:rsidP="0064265C">
      <w:pPr>
        <w:pStyle w:val="Acronym"/>
      </w:pPr>
      <w:r w:rsidRPr="002E3429">
        <w:t>TCP</w:t>
      </w:r>
      <w:r>
        <w:tab/>
      </w:r>
      <w:r w:rsidRPr="002E3429">
        <w:t>Transition Care Program</w:t>
      </w:r>
    </w:p>
    <w:p w14:paraId="6EAE9427" w14:textId="77777777" w:rsidR="000B27B9" w:rsidRPr="002E3429" w:rsidRDefault="000B27B9" w:rsidP="0064265C">
      <w:pPr>
        <w:pStyle w:val="Acronym"/>
      </w:pPr>
      <w:r w:rsidRPr="002E3429">
        <w:t>TPN</w:t>
      </w:r>
      <w:r>
        <w:tab/>
      </w:r>
      <w:r w:rsidRPr="002E3429">
        <w:t>total parenteral nutrition</w:t>
      </w:r>
    </w:p>
    <w:p w14:paraId="2BA898DC" w14:textId="1F1A15AE" w:rsidR="0067005F" w:rsidRDefault="0067005F" w:rsidP="0064265C">
      <w:pPr>
        <w:pStyle w:val="Acronym"/>
      </w:pPr>
      <w:r>
        <w:t>UDG</w:t>
      </w:r>
      <w:r>
        <w:tab/>
        <w:t>Urgency Disposition Groups Classification</w:t>
      </w:r>
    </w:p>
    <w:p w14:paraId="5F9B8735" w14:textId="5C100769" w:rsidR="004B18E9" w:rsidRDefault="004B18E9" w:rsidP="0064265C">
      <w:pPr>
        <w:pStyle w:val="Acronym"/>
      </w:pPr>
      <w:r w:rsidRPr="004B18E9">
        <w:t>UCC</w:t>
      </w:r>
      <w:r w:rsidRPr="004B18E9">
        <w:tab/>
        <w:t>ur</w:t>
      </w:r>
      <w:r w:rsidRPr="004B18E9">
        <w:rPr>
          <w:rFonts w:eastAsia="Arial" w:cs="Arial"/>
        </w:rPr>
        <w:t>gent care centre</w:t>
      </w:r>
    </w:p>
    <w:p w14:paraId="6FC1E3A4" w14:textId="77777777" w:rsidR="000B27B9" w:rsidRPr="002E3429" w:rsidRDefault="000B27B9" w:rsidP="0064265C">
      <w:pPr>
        <w:pStyle w:val="Acronym"/>
      </w:pPr>
      <w:r w:rsidRPr="002E3429">
        <w:t>VAED</w:t>
      </w:r>
      <w:r>
        <w:tab/>
      </w:r>
      <w:r w:rsidRPr="002E3429">
        <w:t>Victorian Admitted Episodes Dataset</w:t>
      </w:r>
    </w:p>
    <w:p w14:paraId="7C46F952" w14:textId="77777777" w:rsidR="000B27B9" w:rsidRPr="002E3429" w:rsidRDefault="000B27B9" w:rsidP="0064265C">
      <w:pPr>
        <w:pStyle w:val="Acronym"/>
      </w:pPr>
      <w:r w:rsidRPr="002E3429">
        <w:t>VCDC</w:t>
      </w:r>
      <w:r>
        <w:tab/>
      </w:r>
      <w:r w:rsidRPr="002E3429">
        <w:t>Victorian Cost Data Collection</w:t>
      </w:r>
    </w:p>
    <w:p w14:paraId="1563ED4C" w14:textId="14FCB1E9" w:rsidR="0058149C" w:rsidRPr="002E3429" w:rsidRDefault="0058149C" w:rsidP="0058149C">
      <w:pPr>
        <w:pStyle w:val="Acronym"/>
      </w:pPr>
      <w:r>
        <w:t>VEP</w:t>
      </w:r>
      <w:r>
        <w:tab/>
      </w:r>
      <w:r w:rsidRPr="002E3429">
        <w:t xml:space="preserve">Victorian </w:t>
      </w:r>
      <w:r w:rsidR="00DA22EA">
        <w:t>efficient price</w:t>
      </w:r>
    </w:p>
    <w:p w14:paraId="0ABFCE38" w14:textId="0569D45B" w:rsidR="00D62151" w:rsidRPr="002E3429" w:rsidRDefault="00D62151" w:rsidP="0058149C">
      <w:pPr>
        <w:pStyle w:val="Acronym"/>
      </w:pPr>
      <w:r w:rsidRPr="00D62151">
        <w:t>VEMD</w:t>
      </w:r>
      <w:r w:rsidRPr="00D62151">
        <w:tab/>
        <w:t>Emergency Minimum Dataset</w:t>
      </w:r>
      <w:r w:rsidRPr="004510CB">
        <w:t xml:space="preserve"> </w:t>
      </w:r>
    </w:p>
    <w:p w14:paraId="71B90B32" w14:textId="77777777" w:rsidR="000B27B9" w:rsidRPr="002E3429" w:rsidRDefault="000B27B9" w:rsidP="0064265C">
      <w:pPr>
        <w:pStyle w:val="Acronym"/>
      </w:pPr>
      <w:r w:rsidRPr="002E3429">
        <w:t>ViCTOR</w:t>
      </w:r>
      <w:r w:rsidRPr="002E3429">
        <w:tab/>
        <w:t>Victorian Children’s Tool for Observation and Response</w:t>
      </w:r>
    </w:p>
    <w:p w14:paraId="62EF65E9" w14:textId="26C8C035" w:rsidR="000B27B9" w:rsidRPr="002E3429" w:rsidRDefault="000B27B9" w:rsidP="0064265C">
      <w:pPr>
        <w:pStyle w:val="Acronym"/>
      </w:pPr>
      <w:r w:rsidRPr="002E3429">
        <w:t>VINAH</w:t>
      </w:r>
      <w:r>
        <w:tab/>
      </w:r>
      <w:r w:rsidRPr="002E3429">
        <w:t>Victorian Integrated Non-Admitted Health</w:t>
      </w:r>
      <w:r w:rsidR="58CE1596">
        <w:t xml:space="preserve"> minimum dataset</w:t>
      </w:r>
    </w:p>
    <w:p w14:paraId="15259974" w14:textId="77777777" w:rsidR="000B27B9" w:rsidRPr="002E3429" w:rsidRDefault="000B27B9" w:rsidP="0064265C">
      <w:pPr>
        <w:pStyle w:val="Acronym"/>
      </w:pPr>
      <w:r w:rsidRPr="002E3429">
        <w:t>VRSS</w:t>
      </w:r>
      <w:r>
        <w:tab/>
      </w:r>
      <w:r w:rsidRPr="002E3429">
        <w:t>Victorian Respiratory Support Service</w:t>
      </w:r>
    </w:p>
    <w:p w14:paraId="25949147" w14:textId="7B6B81D9" w:rsidR="00CF7AAF" w:rsidRPr="002E3429" w:rsidRDefault="00CF7AAF" w:rsidP="0064265C">
      <w:pPr>
        <w:pStyle w:val="Acronym"/>
      </w:pPr>
      <w:r w:rsidRPr="00CF7AAF">
        <w:t>VVED</w:t>
      </w:r>
      <w:r w:rsidRPr="00CF7AAF">
        <w:tab/>
        <w:t>Victorian Virtual Emergency Department</w:t>
      </w:r>
    </w:p>
    <w:p w14:paraId="5E7CA9A4" w14:textId="7E8288D7" w:rsidR="000B27B9" w:rsidRPr="002E3429" w:rsidRDefault="000B27B9" w:rsidP="0064265C">
      <w:pPr>
        <w:pStyle w:val="Acronym"/>
      </w:pPr>
      <w:r w:rsidRPr="002E3429">
        <w:t xml:space="preserve">WASE </w:t>
      </w:r>
      <w:r>
        <w:tab/>
      </w:r>
      <w:r w:rsidR="00DA22EA" w:rsidRPr="002E3429">
        <w:t>weighted ambulatory service event</w:t>
      </w:r>
    </w:p>
    <w:p w14:paraId="6F84E2C0" w14:textId="77777777" w:rsidR="000B27B9" w:rsidRPr="002E3429" w:rsidRDefault="000B27B9" w:rsidP="0064265C">
      <w:pPr>
        <w:pStyle w:val="Acronym"/>
      </w:pPr>
      <w:r w:rsidRPr="002E3429">
        <w:t xml:space="preserve">WAU </w:t>
      </w:r>
      <w:r>
        <w:tab/>
      </w:r>
      <w:r w:rsidRPr="002E3429">
        <w:t>weighted activity unit</w:t>
      </w:r>
    </w:p>
    <w:p w14:paraId="076A08B6" w14:textId="2575FAD4" w:rsidR="00FB1F6E" w:rsidRDefault="000B27B9" w:rsidP="000B27B9">
      <w:pPr>
        <w:pStyle w:val="Acronym"/>
      </w:pPr>
      <w:r w:rsidRPr="002E3429">
        <w:t xml:space="preserve">WIES </w:t>
      </w:r>
      <w:r>
        <w:tab/>
      </w:r>
      <w:r w:rsidRPr="002E3429">
        <w:t>weighted inlier equivalent separation</w:t>
      </w:r>
    </w:p>
    <w:sectPr w:rsidR="00FB1F6E" w:rsidSect="00AE5B04">
      <w:headerReference w:type="even" r:id="rId102"/>
      <w:headerReference w:type="default" r:id="rId103"/>
      <w:pgSz w:w="11906" w:h="16838" w:code="9"/>
      <w:pgMar w:top="1418" w:right="1304" w:bottom="1134"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D9DF0" w14:textId="77777777" w:rsidR="00FF12BD" w:rsidRDefault="00FF12BD">
      <w:r>
        <w:separator/>
      </w:r>
    </w:p>
    <w:p w14:paraId="4681087B" w14:textId="77777777" w:rsidR="00FF12BD" w:rsidRDefault="00FF12BD"/>
  </w:endnote>
  <w:endnote w:type="continuationSeparator" w:id="0">
    <w:p w14:paraId="32BB3B74" w14:textId="77777777" w:rsidR="00FF12BD" w:rsidRDefault="00FF12BD">
      <w:r>
        <w:continuationSeparator/>
      </w:r>
    </w:p>
    <w:p w14:paraId="53E49D58" w14:textId="77777777" w:rsidR="00FF12BD" w:rsidRDefault="00FF12BD"/>
  </w:endnote>
  <w:endnote w:type="continuationNotice" w:id="1">
    <w:p w14:paraId="18CFD2DA" w14:textId="77777777" w:rsidR="00FF12BD" w:rsidRDefault="00FF12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porateSBQ-Med">
    <w:charset w:val="00"/>
    <w:family w:val="auto"/>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orporateSBQ-Regular">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pitch w:val="variable"/>
    <w:sig w:usb0="00000003" w:usb1="00000000" w:usb2="00000000" w:usb3="00000000" w:csb0="00000001" w:csb1="00000000"/>
  </w:font>
  <w:font w:name="Arial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488CF219" w:rsidR="00E24EF9" w:rsidRDefault="00615FFC" w:rsidP="007E543F">
    <w:pPr>
      <w:pStyle w:val="DHHSfooter"/>
    </w:pPr>
    <w:r>
      <w:rPr>
        <w:noProof/>
        <w:lang w:eastAsia="en-AU"/>
      </w:rPr>
      <mc:AlternateContent>
        <mc:Choice Requires="wps">
          <w:drawing>
            <wp:anchor distT="0" distB="0" distL="114300" distR="114300" simplePos="0" relativeHeight="251661332" behindDoc="0" locked="0" layoutInCell="0" allowOverlap="1" wp14:anchorId="623095E0" wp14:editId="5DAA3F69">
              <wp:simplePos x="0" y="0"/>
              <wp:positionH relativeFrom="page">
                <wp:align>center</wp:align>
              </wp:positionH>
              <wp:positionV relativeFrom="page">
                <wp:align>bottom</wp:align>
              </wp:positionV>
              <wp:extent cx="7772400" cy="502285"/>
              <wp:effectExtent l="0" t="0" r="0" b="12065"/>
              <wp:wrapNone/>
              <wp:docPr id="21" name="MSIPCMdd7f43c2b35d359f60a92140"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576DA8" w14:textId="3C10BAAF" w:rsidR="00615FFC" w:rsidRPr="004E38BA" w:rsidRDefault="004E38BA" w:rsidP="004E38BA">
                          <w:pPr>
                            <w:spacing w:after="0"/>
                            <w:jc w:val="center"/>
                            <w:rPr>
                              <w:rFonts w:ascii="Arial Black" w:hAnsi="Arial Black"/>
                              <w:color w:val="000000"/>
                              <w:sz w:val="20"/>
                            </w:rPr>
                          </w:pPr>
                          <w:r w:rsidRPr="004E38B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23095E0" id="_x0000_t202" coordsize="21600,21600" o:spt="202" path="m,l,21600r21600,l21600,xe">
              <v:stroke joinstyle="miter"/>
              <v:path gradientshapeok="t" o:connecttype="rect"/>
            </v:shapetype>
            <v:shape id="MSIPCMdd7f43c2b35d359f60a92140" o:spid="_x0000_s1026" type="#_x0000_t202" alt="{&quot;HashCode&quot;:904758361,&quot;Height&quot;:9999999.0,&quot;Width&quot;:9999999.0,&quot;Placement&quot;:&quot;Footer&quot;,&quot;Index&quot;:&quot;OddAndEven&quot;,&quot;Section&quot;:1,&quot;Top&quot;:0.0,&quot;Left&quot;:0.0}" style="position:absolute;margin-left:0;margin-top:0;width:612pt;height:39.55pt;z-index:25166133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62576DA8" w14:textId="3C10BAAF" w:rsidR="00615FFC" w:rsidRPr="004E38BA" w:rsidRDefault="004E38BA" w:rsidP="004E38BA">
                    <w:pPr>
                      <w:spacing w:after="0"/>
                      <w:jc w:val="center"/>
                      <w:rPr>
                        <w:rFonts w:ascii="Arial Black" w:hAnsi="Arial Black"/>
                        <w:color w:val="000000"/>
                        <w:sz w:val="20"/>
                      </w:rPr>
                    </w:pPr>
                    <w:r w:rsidRPr="004E38BA">
                      <w:rPr>
                        <w:rFonts w:ascii="Arial Black" w:hAnsi="Arial Black"/>
                        <w:color w:val="000000"/>
                        <w:sz w:val="20"/>
                      </w:rPr>
                      <w:t>OFFICIAL</w:t>
                    </w:r>
                  </w:p>
                </w:txbxContent>
              </v:textbox>
              <w10:wrap anchorx="page" anchory="page"/>
            </v:shape>
          </w:pict>
        </mc:Fallback>
      </mc:AlternateContent>
    </w:r>
    <w:r w:rsidR="004A20FD">
      <w:rPr>
        <w:noProof/>
        <w:lang w:eastAsia="en-AU"/>
      </w:rPr>
      <mc:AlternateContent>
        <mc:Choice Requires="wps">
          <w:drawing>
            <wp:anchor distT="0" distB="0" distL="114300" distR="114300" simplePos="0" relativeHeight="251658258" behindDoc="0" locked="0" layoutInCell="0" allowOverlap="1" wp14:anchorId="6E79C424" wp14:editId="70B83986">
              <wp:simplePos x="0" y="0"/>
              <wp:positionH relativeFrom="page">
                <wp:align>center</wp:align>
              </wp:positionH>
              <wp:positionV relativeFrom="page">
                <wp:align>bottom</wp:align>
              </wp:positionV>
              <wp:extent cx="7772400" cy="502285"/>
              <wp:effectExtent l="0" t="0" r="0" b="12065"/>
              <wp:wrapNone/>
              <wp:docPr id="18" name="Text Box 18"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D17C4C" w14:textId="25D056DA" w:rsidR="004A20FD" w:rsidRPr="004A20FD" w:rsidRDefault="004A20FD" w:rsidP="00191CE9">
                          <w:pPr>
                            <w:spacing w:after="0"/>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E79C424" id="Text Box 18" o:spid="_x0000_s1027" type="#_x0000_t202" alt="{&quot;HashCode&quot;:904758361,&quot;Height&quot;:9999999.0,&quot;Width&quot;:9999999.0,&quot;Placement&quot;:&quot;Footer&quot;,&quot;Index&quot;:&quot;OddAndEven&quot;,&quot;Section&quot;:1,&quot;Top&quot;:0.0,&quot;Left&quot;:0.0}" style="position:absolute;margin-left:0;margin-top:0;width:612pt;height:39.55pt;z-index:25165825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74D17C4C" w14:textId="25D056DA" w:rsidR="004A20FD" w:rsidRPr="004A20FD" w:rsidRDefault="004A20FD" w:rsidP="00191CE9">
                    <w:pPr>
                      <w:spacing w:after="0"/>
                      <w:rPr>
                        <w:rFonts w:ascii="Arial Black" w:hAnsi="Arial Black"/>
                        <w:color w:val="000000"/>
                        <w:sz w:val="20"/>
                      </w:rPr>
                    </w:pPr>
                  </w:p>
                </w:txbxContent>
              </v:textbox>
              <w10:wrap anchorx="page" anchory="page"/>
            </v:shape>
          </w:pict>
        </mc:Fallback>
      </mc:AlternateContent>
    </w:r>
    <w:r w:rsidR="002E4A3F">
      <w:rPr>
        <w:noProof/>
        <w:lang w:eastAsia="en-AU"/>
      </w:rPr>
      <mc:AlternateContent>
        <mc:Choice Requires="wps">
          <w:drawing>
            <wp:anchor distT="0" distB="0" distL="114300" distR="114300" simplePos="0" relativeHeight="251658251" behindDoc="0" locked="0" layoutInCell="0" allowOverlap="1" wp14:anchorId="04630234" wp14:editId="5D5017C9">
              <wp:simplePos x="0" y="0"/>
              <wp:positionH relativeFrom="page">
                <wp:align>center</wp:align>
              </wp:positionH>
              <wp:positionV relativeFrom="page">
                <wp:align>bottom</wp:align>
              </wp:positionV>
              <wp:extent cx="7772400" cy="502285"/>
              <wp:effectExtent l="0" t="0" r="0" b="12065"/>
              <wp:wrapNone/>
              <wp:docPr id="11" name="Text Box 11"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C7D40C" w14:textId="3CB372E1" w:rsidR="002E4A3F" w:rsidRPr="00EF2E8F" w:rsidRDefault="002E4A3F" w:rsidP="00EF2E8F">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4630234" id="Text Box 11" o:spid="_x0000_s1028" type="#_x0000_t202" alt="{&quot;HashCode&quot;:904758361,&quot;Height&quot;:9999999.0,&quot;Width&quot;:9999999.0,&quot;Placement&quot;:&quot;Footer&quot;,&quot;Index&quot;:&quot;OddAndEven&quot;,&quot;Section&quot;:1,&quot;Top&quot;:0.0,&quot;Left&quot;:0.0}" style="position:absolute;margin-left:0;margin-top:0;width:612pt;height:39.55pt;z-index:2516582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18C7D40C" w14:textId="3CB372E1" w:rsidR="002E4A3F" w:rsidRPr="00EF2E8F" w:rsidRDefault="002E4A3F" w:rsidP="00EF2E8F">
                    <w:pPr>
                      <w:spacing w:after="0"/>
                      <w:jc w:val="center"/>
                      <w:rPr>
                        <w:rFonts w:ascii="Arial Black" w:hAnsi="Arial Black"/>
                        <w:color w:val="000000"/>
                        <w:sz w:val="20"/>
                      </w:rPr>
                    </w:pPr>
                  </w:p>
                </w:txbxContent>
              </v:textbox>
              <w10:wrap anchorx="page" anchory="page"/>
            </v:shape>
          </w:pict>
        </mc:Fallback>
      </mc:AlternateContent>
    </w:r>
    <w:r w:rsidR="00A8578B">
      <w:rPr>
        <w:noProof/>
        <w:lang w:eastAsia="en-AU"/>
      </w:rPr>
      <mc:AlternateContent>
        <mc:Choice Requires="wps">
          <w:drawing>
            <wp:anchor distT="0" distB="0" distL="114300" distR="114300" simplePos="0" relativeHeight="251658240" behindDoc="0" locked="0" layoutInCell="0" allowOverlap="1" wp14:anchorId="3B772BC9" wp14:editId="5DC1A7E1">
              <wp:simplePos x="0" y="0"/>
              <wp:positionH relativeFrom="page">
                <wp:posOffset>0</wp:posOffset>
              </wp:positionH>
              <wp:positionV relativeFrom="page">
                <wp:posOffset>10210800</wp:posOffset>
              </wp:positionV>
              <wp:extent cx="7560310" cy="190500"/>
              <wp:effectExtent l="0" t="0" r="0" b="0"/>
              <wp:wrapNone/>
              <wp:docPr id="6" name="Text Box 6"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E24EF9" w:rsidRPr="002C5B7C" w:rsidRDefault="00E24EF9"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3B772BC9" id="Text Box 6" o:spid="_x0000_s1029" type="#_x0000_t202" alt="{&quot;HashCode&quot;:904758361,&quot;Height&quot;:841.0,&quot;Width&quot;:595.0,&quot;Placement&quot;:&quot;Footer&quot;,&quot;Index&quot;:&quot;OddAndEven&quot;,&quot;Section&quot;:3,&quot;Top&quot;:0.0,&quot;Left&quot;:0.0}" style="position:absolute;margin-left:0;margin-top:804pt;width:595.3pt;height:15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" o:allowincell="f" filled="f" stroked="f" strokeweight=".5pt">
              <v:textbox inset=",0,,0">
                <w:txbxContent>
                  <w:p w14:paraId="187CC088" w14:textId="35729B6B" w:rsidR="00E24EF9" w:rsidRPr="002C5B7C" w:rsidRDefault="00E24EF9"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2123" w14:textId="79210B88" w:rsidR="00D00A67" w:rsidRPr="0031305A" w:rsidRDefault="00695D13" w:rsidP="001923F4">
    <w:pPr>
      <w:pStyle w:val="Header"/>
      <w:spacing w:after="0"/>
      <w:rPr>
        <w:b w:val="0"/>
        <w:bCs/>
        <w:color w:val="auto"/>
      </w:rPr>
    </w:pPr>
    <w:r>
      <w:rPr>
        <w:noProof/>
        <w:lang w:eastAsia="en-AU"/>
      </w:rPr>
      <mc:AlternateContent>
        <mc:Choice Requires="wps">
          <w:drawing>
            <wp:anchor distT="0" distB="0" distL="114300" distR="114300" simplePos="0" relativeHeight="251658248" behindDoc="0" locked="0" layoutInCell="0" allowOverlap="1" wp14:anchorId="51A324C6" wp14:editId="03C44976">
              <wp:simplePos x="0" y="0"/>
              <wp:positionH relativeFrom="page">
                <wp:posOffset>-4166</wp:posOffset>
              </wp:positionH>
              <wp:positionV relativeFrom="page">
                <wp:posOffset>10236302</wp:posOffset>
              </wp:positionV>
              <wp:extent cx="7560310" cy="190500"/>
              <wp:effectExtent l="0" t="0" r="0" b="0"/>
              <wp:wrapNone/>
              <wp:docPr id="13" name="Text Box 13"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BDC64D" w14:textId="77777777" w:rsidR="00695D13" w:rsidRPr="002C5B7C" w:rsidRDefault="00695D13" w:rsidP="00695D13">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1A324C6" id="_x0000_t202" coordsize="21600,21600" o:spt="202" path="m,l,21600r21600,l21600,xe">
              <v:stroke joinstyle="miter"/>
              <v:path gradientshapeok="t" o:connecttype="rect"/>
            </v:shapetype>
            <v:shape id="Text Box 13" o:spid="_x0000_s1045" type="#_x0000_t202" alt="{&quot;HashCode&quot;:904758361,&quot;Height&quot;:841.0,&quot;Width&quot;:595.0,&quot;Placement&quot;:&quot;Footer&quot;,&quot;Index&quot;:&quot;OddAndEven&quot;,&quot;Section&quot;:3,&quot;Top&quot;:0.0,&quot;Left&quot;:0.0}" style="position:absolute;margin-left:-.35pt;margin-top:806pt;width:595.3pt;height:15pt;z-index:25165824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" o:allowincell="f" filled="f" stroked="f" strokeweight=".5pt">
              <v:textbox inset=",0,,0">
                <w:txbxContent>
                  <w:p w14:paraId="61BDC64D" w14:textId="77777777" w:rsidR="00695D13" w:rsidRPr="002C5B7C" w:rsidRDefault="00695D13" w:rsidP="00695D13">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6CC1" w14:textId="5CEB7513" w:rsidR="003262DA" w:rsidRDefault="003262DA" w:rsidP="00AE6427">
    <w:pPr>
      <w:pStyle w:val="DHHSfooter"/>
      <w:tabs>
        <w:tab w:val="clear" w:pos="9299"/>
        <w:tab w:val="right" w:pos="14175"/>
      </w:tabs>
      <w:jc w:val="both"/>
    </w:pPr>
    <w:r>
      <w:rPr>
        <w:noProof/>
        <w:lang w:eastAsia="en-AU"/>
      </w:rPr>
      <mc:AlternateContent>
        <mc:Choice Requires="wps">
          <w:drawing>
            <wp:anchor distT="0" distB="0" distL="114300" distR="114300" simplePos="0" relativeHeight="251658255" behindDoc="0" locked="0" layoutInCell="0" allowOverlap="1" wp14:anchorId="1DCB794E" wp14:editId="7F3895A2">
              <wp:simplePos x="0" y="0"/>
              <wp:positionH relativeFrom="margin">
                <wp:posOffset>1570990</wp:posOffset>
              </wp:positionH>
              <wp:positionV relativeFrom="page">
                <wp:posOffset>10245126</wp:posOffset>
              </wp:positionV>
              <wp:extent cx="2762250" cy="266700"/>
              <wp:effectExtent l="0" t="0" r="0" b="0"/>
              <wp:wrapNone/>
              <wp:docPr id="22" name="Text Box 22"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276225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1345D" w14:textId="77777777" w:rsidR="003262DA" w:rsidRPr="002C5B7C" w:rsidRDefault="003262DA"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B794E" id="_x0000_t202" coordsize="21600,21600" o:spt="202" path="m,l,21600r21600,l21600,xe">
              <v:stroke joinstyle="miter"/>
              <v:path gradientshapeok="t" o:connecttype="rect"/>
            </v:shapetype>
            <v:shape id="Text Box 22" o:spid="_x0000_s1046" type="#_x0000_t202" alt="{&quot;HashCode&quot;:904758361,&quot;Height&quot;:841.0,&quot;Width&quot;:595.0,&quot;Placement&quot;:&quot;Footer&quot;,&quot;Index&quot;:&quot;OddAndEven&quot;,&quot;Section&quot;:3,&quot;Top&quot;:0.0,&quot;Left&quot;:0.0}" style="position:absolute;left:0;text-align:left;margin-left:123.7pt;margin-top:806.7pt;width:217.5pt;height:21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" o:allowincell="f" filled="f" stroked="f" strokeweight=".5pt">
              <v:textbox inset=",0,,0">
                <w:txbxContent>
                  <w:p w14:paraId="3591345D" w14:textId="77777777" w:rsidR="003262DA" w:rsidRPr="002C5B7C" w:rsidRDefault="003262DA"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margin"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AC0F" w14:textId="4684C471" w:rsidR="00E10A76" w:rsidRDefault="00E10A76" w:rsidP="00AE6427">
    <w:pPr>
      <w:pStyle w:val="DHHSfooter"/>
      <w:jc w:val="both"/>
    </w:pPr>
    <w:r>
      <w:rPr>
        <w:noProof/>
        <w:lang w:eastAsia="en-AU"/>
      </w:rPr>
      <mc:AlternateContent>
        <mc:Choice Requires="wps">
          <w:drawing>
            <wp:anchor distT="0" distB="0" distL="114300" distR="114300" simplePos="0" relativeHeight="251658242" behindDoc="0" locked="0" layoutInCell="0" allowOverlap="1" wp14:anchorId="33629B82" wp14:editId="7590C803">
              <wp:simplePos x="0" y="0"/>
              <wp:positionH relativeFrom="margin">
                <wp:posOffset>1526540</wp:posOffset>
              </wp:positionH>
              <wp:positionV relativeFrom="page">
                <wp:posOffset>10113747</wp:posOffset>
              </wp:positionV>
              <wp:extent cx="2762250" cy="266700"/>
              <wp:effectExtent l="0" t="0" r="0" b="0"/>
              <wp:wrapNone/>
              <wp:docPr id="26" name="Text Box 26"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276225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243AD4" w14:textId="77777777" w:rsidR="00E10A76" w:rsidRPr="002C5B7C" w:rsidRDefault="00E10A76"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29B82" id="_x0000_t202" coordsize="21600,21600" o:spt="202" path="m,l,21600r21600,l21600,xe">
              <v:stroke joinstyle="miter"/>
              <v:path gradientshapeok="t" o:connecttype="rect"/>
            </v:shapetype>
            <v:shape id="Text Box 26" o:spid="_x0000_s1047" type="#_x0000_t202" alt="{&quot;HashCode&quot;:904758361,&quot;Height&quot;:841.0,&quot;Width&quot;:595.0,&quot;Placement&quot;:&quot;Footer&quot;,&quot;Index&quot;:&quot;OddAndEven&quot;,&quot;Section&quot;:3,&quot;Top&quot;:0.0,&quot;Left&quot;:0.0}" style="position:absolute;left:0;text-align:left;margin-left:120.2pt;margin-top:796.35pt;width:217.5pt;height:2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" o:allowincell="f" filled="f" stroked="f" strokeweight=".5pt">
              <v:textbox inset=",0,,0">
                <w:txbxContent>
                  <w:p w14:paraId="31243AD4" w14:textId="77777777" w:rsidR="00E10A76" w:rsidRPr="002C5B7C" w:rsidRDefault="00E10A76"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margin"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573A" w14:textId="2157C5E3" w:rsidR="00695D13" w:rsidRPr="0031305A" w:rsidRDefault="00695D13" w:rsidP="001923F4">
    <w:pPr>
      <w:pStyle w:val="Header"/>
      <w:spacing w:after="0"/>
      <w:rPr>
        <w:b w:val="0"/>
        <w:bCs/>
        <w:color w:val="auto"/>
      </w:rPr>
    </w:pPr>
    <w:r>
      <w:rPr>
        <w:noProof/>
        <w:lang w:eastAsia="en-AU"/>
      </w:rPr>
      <mc:AlternateContent>
        <mc:Choice Requires="wps">
          <w:drawing>
            <wp:anchor distT="0" distB="0" distL="114300" distR="114300" simplePos="0" relativeHeight="251658245" behindDoc="0" locked="0" layoutInCell="0" allowOverlap="1" wp14:anchorId="26F8FE33" wp14:editId="4E561141">
              <wp:simplePos x="0" y="0"/>
              <wp:positionH relativeFrom="page">
                <wp:posOffset>-4166</wp:posOffset>
              </wp:positionH>
              <wp:positionV relativeFrom="page">
                <wp:posOffset>10236302</wp:posOffset>
              </wp:positionV>
              <wp:extent cx="7560310" cy="190500"/>
              <wp:effectExtent l="0" t="0" r="0" b="0"/>
              <wp:wrapNone/>
              <wp:docPr id="15" name="Text Box 15"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1F6458" w14:textId="77777777" w:rsidR="00695D13" w:rsidRPr="002C5B7C" w:rsidRDefault="00695D13" w:rsidP="00695D13">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6F8FE33" id="_x0000_t202" coordsize="21600,21600" o:spt="202" path="m,l,21600r21600,l21600,xe">
              <v:stroke joinstyle="miter"/>
              <v:path gradientshapeok="t" o:connecttype="rect"/>
            </v:shapetype>
            <v:shape id="Text Box 15" o:spid="_x0000_s1048" type="#_x0000_t202" alt="{&quot;HashCode&quot;:904758361,&quot;Height&quot;:841.0,&quot;Width&quot;:595.0,&quot;Placement&quot;:&quot;Footer&quot;,&quot;Index&quot;:&quot;OddAndEven&quot;,&quot;Section&quot;:3,&quot;Top&quot;:0.0,&quot;Left&quot;:0.0}" style="position:absolute;margin-left:-.35pt;margin-top:806pt;width:595.3pt;height:15pt;z-index:251658245;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" o:allowincell="f" filled="f" stroked="f" strokeweight=".5pt">
              <v:textbox inset=",0,,0">
                <w:txbxContent>
                  <w:p w14:paraId="131F6458" w14:textId="77777777" w:rsidR="00695D13" w:rsidRPr="002C5B7C" w:rsidRDefault="00695D13" w:rsidP="00695D13">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6F1D4DFC" w:rsidR="00E24EF9" w:rsidRPr="00BC3B9D" w:rsidRDefault="00615FFC" w:rsidP="00B00C58">
    <w:pPr>
      <w:pStyle w:val="Header"/>
      <w:spacing w:after="0"/>
      <w:rPr>
        <w:b w:val="0"/>
        <w:bCs/>
        <w:color w:val="auto"/>
      </w:rPr>
    </w:pPr>
    <w:r>
      <w:rPr>
        <w:b w:val="0"/>
        <w:bCs/>
        <w:noProof/>
        <w:color w:val="auto"/>
      </w:rPr>
      <mc:AlternateContent>
        <mc:Choice Requires="wps">
          <w:drawing>
            <wp:anchor distT="0" distB="0" distL="114300" distR="114300" simplePos="0" relativeHeight="251661329" behindDoc="0" locked="0" layoutInCell="0" allowOverlap="1" wp14:anchorId="5245C058" wp14:editId="638C934D">
              <wp:simplePos x="0" y="0"/>
              <wp:positionH relativeFrom="page">
                <wp:align>center</wp:align>
              </wp:positionH>
              <wp:positionV relativeFrom="page">
                <wp:align>bottom</wp:align>
              </wp:positionV>
              <wp:extent cx="7772400" cy="502285"/>
              <wp:effectExtent l="0" t="0" r="0" b="12065"/>
              <wp:wrapNone/>
              <wp:docPr id="5" name="MSIPCM57fd4b189700768eb33eeb05"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D55EFA" w14:textId="11864CDA" w:rsidR="00615FFC" w:rsidRPr="004E38BA" w:rsidRDefault="004E38BA" w:rsidP="004E38BA">
                          <w:pPr>
                            <w:spacing w:after="0"/>
                            <w:jc w:val="center"/>
                            <w:rPr>
                              <w:rFonts w:ascii="Arial Black" w:hAnsi="Arial Black"/>
                              <w:color w:val="000000"/>
                              <w:sz w:val="20"/>
                            </w:rPr>
                          </w:pPr>
                          <w:r w:rsidRPr="004E38B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245C058" id="_x0000_t202" coordsize="21600,21600" o:spt="202" path="m,l,21600r21600,l21600,xe">
              <v:stroke joinstyle="miter"/>
              <v:path gradientshapeok="t" o:connecttype="rect"/>
            </v:shapetype>
            <v:shape id="MSIPCM57fd4b189700768eb33eeb05" o:spid="_x0000_s1030" type="#_x0000_t202" alt="{&quot;HashCode&quot;:904758361,&quot;Height&quot;:9999999.0,&quot;Width&quot;:9999999.0,&quot;Placement&quot;:&quot;Footer&quot;,&quot;Index&quot;:&quot;Primary&quot;,&quot;Section&quot;:1,&quot;Top&quot;:0.0,&quot;Left&quot;:0.0}" style="position:absolute;margin-left:0;margin-top:0;width:612pt;height:39.55pt;z-index:25166132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0BD55EFA" w14:textId="11864CDA" w:rsidR="00615FFC" w:rsidRPr="004E38BA" w:rsidRDefault="004E38BA" w:rsidP="004E38BA">
                    <w:pPr>
                      <w:spacing w:after="0"/>
                      <w:jc w:val="center"/>
                      <w:rPr>
                        <w:rFonts w:ascii="Arial Black" w:hAnsi="Arial Black"/>
                        <w:color w:val="000000"/>
                        <w:sz w:val="20"/>
                      </w:rPr>
                    </w:pPr>
                    <w:r w:rsidRPr="004E38BA">
                      <w:rPr>
                        <w:rFonts w:ascii="Arial Black" w:hAnsi="Arial Black"/>
                        <w:color w:val="000000"/>
                        <w:sz w:val="20"/>
                      </w:rPr>
                      <w:t>OFFICIAL</w:t>
                    </w:r>
                  </w:p>
                </w:txbxContent>
              </v:textbox>
              <w10:wrap anchorx="page" anchory="page"/>
            </v:shape>
          </w:pict>
        </mc:Fallback>
      </mc:AlternateContent>
    </w:r>
    <w:r w:rsidR="004A20FD">
      <w:rPr>
        <w:b w:val="0"/>
        <w:bCs/>
        <w:noProof/>
        <w:color w:val="auto"/>
      </w:rPr>
      <mc:AlternateContent>
        <mc:Choice Requires="wps">
          <w:drawing>
            <wp:anchor distT="0" distB="0" distL="114300" distR="114300" simplePos="0" relativeHeight="251658256" behindDoc="0" locked="0" layoutInCell="0" allowOverlap="1" wp14:anchorId="3C015F04" wp14:editId="0C9A4F57">
              <wp:simplePos x="0" y="0"/>
              <wp:positionH relativeFrom="page">
                <wp:align>center</wp:align>
              </wp:positionH>
              <wp:positionV relativeFrom="page">
                <wp:align>bottom</wp:align>
              </wp:positionV>
              <wp:extent cx="7772400" cy="502285"/>
              <wp:effectExtent l="0" t="0" r="0" b="12065"/>
              <wp:wrapNone/>
              <wp:docPr id="4" name="Text Box 4"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69E1B4" w14:textId="1E1CE9B2" w:rsidR="004A20FD" w:rsidRPr="004A20FD" w:rsidRDefault="004A20FD" w:rsidP="004A20FD">
                          <w:pPr>
                            <w:spacing w:after="0"/>
                            <w:jc w:val="center"/>
                            <w:rPr>
                              <w:rFonts w:ascii="Arial Black" w:hAnsi="Arial Black"/>
                              <w:color w:val="000000"/>
                              <w:sz w:val="20"/>
                            </w:rPr>
                          </w:pPr>
                          <w:r w:rsidRPr="004A20F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C015F04" id="Text Box 4" o:spid="_x0000_s1031" type="#_x0000_t202" alt="{&quot;HashCode&quot;:904758361,&quot;Height&quot;:9999999.0,&quot;Width&quot;:9999999.0,&quot;Placement&quot;:&quot;Footer&quot;,&quot;Index&quot;:&quot;Primary&quot;,&quot;Section&quot;:1,&quot;Top&quot;:0.0,&quot;Left&quot;:0.0}" style="position:absolute;margin-left:0;margin-top:0;width:612pt;height:39.55pt;z-index:2516582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1869E1B4" w14:textId="1E1CE9B2" w:rsidR="004A20FD" w:rsidRPr="004A20FD" w:rsidRDefault="004A20FD" w:rsidP="004A20FD">
                    <w:pPr>
                      <w:spacing w:after="0"/>
                      <w:jc w:val="center"/>
                      <w:rPr>
                        <w:rFonts w:ascii="Arial Black" w:hAnsi="Arial Black"/>
                        <w:color w:val="000000"/>
                        <w:sz w:val="20"/>
                      </w:rPr>
                    </w:pPr>
                    <w:r w:rsidRPr="004A20FD">
                      <w:rPr>
                        <w:rFonts w:ascii="Arial Black" w:hAnsi="Arial Black"/>
                        <w:color w:val="000000"/>
                        <w:sz w:val="20"/>
                      </w:rPr>
                      <w:t>OFFICIAL</w:t>
                    </w:r>
                  </w:p>
                </w:txbxContent>
              </v:textbox>
              <w10:wrap anchorx="page" anchory="page"/>
            </v:shape>
          </w:pict>
        </mc:Fallback>
      </mc:AlternateContent>
    </w:r>
    <w:r w:rsidR="002E4A3F">
      <w:rPr>
        <w:b w:val="0"/>
        <w:bCs/>
        <w:noProof/>
        <w:color w:val="auto"/>
      </w:rPr>
      <mc:AlternateContent>
        <mc:Choice Requires="wps">
          <w:drawing>
            <wp:anchor distT="0" distB="0" distL="114300" distR="114300" simplePos="0" relativeHeight="251658250" behindDoc="0" locked="0" layoutInCell="0" allowOverlap="1" wp14:anchorId="602A094B" wp14:editId="69524591">
              <wp:simplePos x="0" y="0"/>
              <wp:positionH relativeFrom="page">
                <wp:align>center</wp:align>
              </wp:positionH>
              <wp:positionV relativeFrom="page">
                <wp:align>bottom</wp:align>
              </wp:positionV>
              <wp:extent cx="7772400" cy="502285"/>
              <wp:effectExtent l="0" t="0" r="0" b="12065"/>
              <wp:wrapNone/>
              <wp:docPr id="1" name="Text Box 1"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A4BE7D" w14:textId="0A764C16" w:rsidR="002E4A3F" w:rsidRPr="00EF2E8F" w:rsidRDefault="00EF2E8F" w:rsidP="00EF2E8F">
                          <w:pPr>
                            <w:spacing w:after="0"/>
                            <w:jc w:val="center"/>
                            <w:rPr>
                              <w:rFonts w:ascii="Arial Black" w:hAnsi="Arial Black"/>
                              <w:color w:val="000000"/>
                              <w:sz w:val="20"/>
                            </w:rPr>
                          </w:pPr>
                          <w:r w:rsidRPr="00EF2E8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02A094B" id="Text Box 1" o:spid="_x0000_s1032" type="#_x0000_t202" alt="{&quot;HashCode&quot;:904758361,&quot;Height&quot;:9999999.0,&quot;Width&quot;:9999999.0,&quot;Placement&quot;:&quot;Footer&quot;,&quot;Index&quot;:&quot;Primary&quot;,&quot;Section&quot;:1,&quot;Top&quot;:0.0,&quot;Left&quot;:0.0}" style="position:absolute;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2AA4BE7D" w14:textId="0A764C16" w:rsidR="002E4A3F" w:rsidRPr="00EF2E8F" w:rsidRDefault="00EF2E8F" w:rsidP="00EF2E8F">
                    <w:pPr>
                      <w:spacing w:after="0"/>
                      <w:jc w:val="center"/>
                      <w:rPr>
                        <w:rFonts w:ascii="Arial Black" w:hAnsi="Arial Black"/>
                        <w:color w:val="000000"/>
                        <w:sz w:val="20"/>
                      </w:rPr>
                    </w:pPr>
                    <w:r w:rsidRPr="00EF2E8F">
                      <w:rPr>
                        <w:rFonts w:ascii="Arial Black" w:hAnsi="Arial Black"/>
                        <w:color w:val="000000"/>
                        <w:sz w:val="20"/>
                      </w:rPr>
                      <w:t>OFFICIAL</w:t>
                    </w:r>
                  </w:p>
                </w:txbxContent>
              </v:textbox>
              <w10:wrap anchorx="page" anchory="page"/>
            </v:shape>
          </w:pict>
        </mc:Fallback>
      </mc:AlternateContent>
    </w:r>
    <w:r w:rsidR="00B87388">
      <w:rPr>
        <w:b w:val="0"/>
        <w:bCs/>
        <w:noProof/>
        <w:color w:val="auto"/>
      </w:rPr>
      <mc:AlternateContent>
        <mc:Choice Requires="wps">
          <w:drawing>
            <wp:anchor distT="0" distB="0" distL="114300" distR="114300" simplePos="0" relativeHeight="251658249" behindDoc="0" locked="0" layoutInCell="0" allowOverlap="1" wp14:anchorId="7B5A68BA" wp14:editId="1443BBEC">
              <wp:simplePos x="0" y="0"/>
              <wp:positionH relativeFrom="page">
                <wp:align>center</wp:align>
              </wp:positionH>
              <wp:positionV relativeFrom="page">
                <wp:align>bottom</wp:align>
              </wp:positionV>
              <wp:extent cx="7772400" cy="502285"/>
              <wp:effectExtent l="0" t="0" r="0" b="12065"/>
              <wp:wrapNone/>
              <wp:docPr id="7" name="Text Box 7"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ECFF2E" w14:textId="0F367650" w:rsidR="00B87388" w:rsidRPr="000E27D1" w:rsidRDefault="000E27D1" w:rsidP="000E27D1">
                          <w:pPr>
                            <w:spacing w:after="0"/>
                            <w:jc w:val="center"/>
                            <w:rPr>
                              <w:rFonts w:ascii="Arial Black" w:hAnsi="Arial Black"/>
                              <w:color w:val="000000"/>
                              <w:sz w:val="20"/>
                            </w:rPr>
                          </w:pPr>
                          <w:r w:rsidRPr="000E2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B5A68BA" id="Text Box 7" o:spid="_x0000_s1033" type="#_x0000_t202" alt="{&quot;HashCode&quot;:904758361,&quot;Height&quot;:9999999.0,&quot;Width&quot;:9999999.0,&quot;Placement&quot;:&quot;Footer&quot;,&quot;Index&quot;:&quot;Primary&quot;,&quot;Section&quot;:2,&quot;Top&quot;:0.0,&quot;Left&quot;:0.0}" style="position:absolute;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38ECFF2E" w14:textId="0F367650" w:rsidR="00B87388" w:rsidRPr="000E27D1" w:rsidRDefault="000E27D1" w:rsidP="000E27D1">
                    <w:pPr>
                      <w:spacing w:after="0"/>
                      <w:jc w:val="center"/>
                      <w:rPr>
                        <w:rFonts w:ascii="Arial Black" w:hAnsi="Arial Black"/>
                        <w:color w:val="000000"/>
                        <w:sz w:val="20"/>
                      </w:rPr>
                    </w:pPr>
                    <w:r w:rsidRPr="000E27D1">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E0BF" w14:textId="36501BE7" w:rsidR="002E4A3F" w:rsidRDefault="00615FFC">
    <w:pPr>
      <w:pStyle w:val="Footer"/>
    </w:pPr>
    <w:r>
      <w:rPr>
        <w:noProof/>
      </w:rPr>
      <mc:AlternateContent>
        <mc:Choice Requires="wps">
          <w:drawing>
            <wp:anchor distT="0" distB="0" distL="114300" distR="114300" simplePos="0" relativeHeight="251661330" behindDoc="0" locked="0" layoutInCell="0" allowOverlap="1" wp14:anchorId="3A4B39CC" wp14:editId="7B6EACC3">
              <wp:simplePos x="0" y="0"/>
              <wp:positionH relativeFrom="page">
                <wp:align>center</wp:align>
              </wp:positionH>
              <wp:positionV relativeFrom="page">
                <wp:align>bottom</wp:align>
              </wp:positionV>
              <wp:extent cx="7772400" cy="502285"/>
              <wp:effectExtent l="0" t="0" r="0" b="12065"/>
              <wp:wrapNone/>
              <wp:docPr id="17" name="MSIPCM4036439bb0cdf1099c4b8ad6"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40FA4F" w14:textId="1F7E52B0" w:rsidR="00615FFC" w:rsidRPr="004E38BA" w:rsidRDefault="004E38BA" w:rsidP="004E38BA">
                          <w:pPr>
                            <w:spacing w:after="0"/>
                            <w:jc w:val="center"/>
                            <w:rPr>
                              <w:rFonts w:ascii="Arial Black" w:hAnsi="Arial Black"/>
                              <w:color w:val="000000"/>
                              <w:sz w:val="20"/>
                            </w:rPr>
                          </w:pPr>
                          <w:r w:rsidRPr="004E38B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A4B39CC" id="_x0000_t202" coordsize="21600,21600" o:spt="202" path="m,l,21600r21600,l21600,xe">
              <v:stroke joinstyle="miter"/>
              <v:path gradientshapeok="t" o:connecttype="rect"/>
            </v:shapetype>
            <v:shape id="MSIPCM4036439bb0cdf1099c4b8ad6" o:spid="_x0000_s1034"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133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7840FA4F" w14:textId="1F7E52B0" w:rsidR="00615FFC" w:rsidRPr="004E38BA" w:rsidRDefault="004E38BA" w:rsidP="004E38BA">
                    <w:pPr>
                      <w:spacing w:after="0"/>
                      <w:jc w:val="center"/>
                      <w:rPr>
                        <w:rFonts w:ascii="Arial Black" w:hAnsi="Arial Black"/>
                        <w:color w:val="000000"/>
                        <w:sz w:val="20"/>
                      </w:rPr>
                    </w:pPr>
                    <w:r w:rsidRPr="004E38BA">
                      <w:rPr>
                        <w:rFonts w:ascii="Arial Black" w:hAnsi="Arial Black"/>
                        <w:color w:val="000000"/>
                        <w:sz w:val="20"/>
                      </w:rPr>
                      <w:t>OFFICIAL</w:t>
                    </w:r>
                  </w:p>
                </w:txbxContent>
              </v:textbox>
              <w10:wrap anchorx="page" anchory="page"/>
            </v:shape>
          </w:pict>
        </mc:Fallback>
      </mc:AlternateContent>
    </w:r>
    <w:r w:rsidR="004A20FD">
      <w:rPr>
        <w:noProof/>
      </w:rPr>
      <mc:AlternateContent>
        <mc:Choice Requires="wps">
          <w:drawing>
            <wp:anchor distT="0" distB="0" distL="114300" distR="114300" simplePos="0" relativeHeight="251658257" behindDoc="0" locked="0" layoutInCell="0" allowOverlap="1" wp14:anchorId="33EB9423" wp14:editId="149C5718">
              <wp:simplePos x="0" y="0"/>
              <wp:positionH relativeFrom="page">
                <wp:align>center</wp:align>
              </wp:positionH>
              <wp:positionV relativeFrom="page">
                <wp:align>bottom</wp:align>
              </wp:positionV>
              <wp:extent cx="7772400" cy="502285"/>
              <wp:effectExtent l="0" t="0" r="0" b="12065"/>
              <wp:wrapNone/>
              <wp:docPr id="10" name="Text Box 10"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797E24" w14:textId="5E6FDF26" w:rsidR="004A20FD" w:rsidRPr="004A20FD" w:rsidRDefault="004A20FD" w:rsidP="004A20FD">
                          <w:pPr>
                            <w:spacing w:after="0"/>
                            <w:jc w:val="center"/>
                            <w:rPr>
                              <w:rFonts w:ascii="Arial Black" w:hAnsi="Arial Black"/>
                              <w:color w:val="000000"/>
                              <w:sz w:val="20"/>
                            </w:rPr>
                          </w:pPr>
                          <w:r w:rsidRPr="004A20F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3EB9423" id="Text Box 10" o:spid="_x0000_s1035"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5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2C797E24" w14:textId="5E6FDF26" w:rsidR="004A20FD" w:rsidRPr="004A20FD" w:rsidRDefault="004A20FD" w:rsidP="004A20FD">
                    <w:pPr>
                      <w:spacing w:after="0"/>
                      <w:jc w:val="center"/>
                      <w:rPr>
                        <w:rFonts w:ascii="Arial Black" w:hAnsi="Arial Black"/>
                        <w:color w:val="000000"/>
                        <w:sz w:val="20"/>
                      </w:rPr>
                    </w:pPr>
                    <w:r w:rsidRPr="004A20FD">
                      <w:rPr>
                        <w:rFonts w:ascii="Arial Black" w:hAnsi="Arial Black"/>
                        <w:color w:val="000000"/>
                        <w:sz w:val="20"/>
                      </w:rPr>
                      <w:t>OFFICIAL</w:t>
                    </w:r>
                  </w:p>
                </w:txbxContent>
              </v:textbox>
              <w10:wrap anchorx="page" anchory="page"/>
            </v:shape>
          </w:pict>
        </mc:Fallback>
      </mc:AlternateContent>
    </w:r>
    <w:r w:rsidR="002E4A3F">
      <w:rPr>
        <w:noProof/>
      </w:rPr>
      <mc:AlternateContent>
        <mc:Choice Requires="wps">
          <w:drawing>
            <wp:anchor distT="0" distB="0" distL="114300" distR="114300" simplePos="0" relativeHeight="251658253" behindDoc="0" locked="0" layoutInCell="0" allowOverlap="1" wp14:anchorId="450FB4FF" wp14:editId="3F0FEF60">
              <wp:simplePos x="0" y="0"/>
              <wp:positionH relativeFrom="page">
                <wp:align>center</wp:align>
              </wp:positionH>
              <wp:positionV relativeFrom="page">
                <wp:align>bottom</wp:align>
              </wp:positionV>
              <wp:extent cx="7772400" cy="502285"/>
              <wp:effectExtent l="0" t="0" r="0" b="12065"/>
              <wp:wrapNone/>
              <wp:docPr id="2" name="Text Box 2"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02E2FD" w14:textId="46462C0E" w:rsidR="002E4A3F" w:rsidRPr="00EF2E8F" w:rsidRDefault="00EF2E8F" w:rsidP="00EF2E8F">
                          <w:pPr>
                            <w:spacing w:after="0"/>
                            <w:jc w:val="center"/>
                            <w:rPr>
                              <w:rFonts w:ascii="Arial Black" w:hAnsi="Arial Black"/>
                              <w:color w:val="000000"/>
                              <w:sz w:val="20"/>
                            </w:rPr>
                          </w:pPr>
                          <w:r w:rsidRPr="00EF2E8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50FB4FF" id="Text Box 2" o:spid="_x0000_s1036"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5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1D02E2FD" w14:textId="46462C0E" w:rsidR="002E4A3F" w:rsidRPr="00EF2E8F" w:rsidRDefault="00EF2E8F" w:rsidP="00EF2E8F">
                    <w:pPr>
                      <w:spacing w:after="0"/>
                      <w:jc w:val="center"/>
                      <w:rPr>
                        <w:rFonts w:ascii="Arial Black" w:hAnsi="Arial Black"/>
                        <w:color w:val="000000"/>
                        <w:sz w:val="20"/>
                      </w:rPr>
                    </w:pPr>
                    <w:r w:rsidRPr="00EF2E8F">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D25F" w14:textId="77777777" w:rsidR="003D51BE" w:rsidRDefault="003D51BE" w:rsidP="007E543F">
    <w:pPr>
      <w:pStyle w:val="DHHSfooter"/>
    </w:pPr>
    <w:r>
      <w:rPr>
        <w:noProof/>
        <w:lang w:eastAsia="en-AU"/>
      </w:rPr>
      <mc:AlternateContent>
        <mc:Choice Requires="wps">
          <w:drawing>
            <wp:anchor distT="0" distB="0" distL="114300" distR="114300" simplePos="0" relativeHeight="251658252" behindDoc="0" locked="0" layoutInCell="0" allowOverlap="1" wp14:anchorId="2EDE3256" wp14:editId="1D3DE80F">
              <wp:simplePos x="0" y="0"/>
              <wp:positionH relativeFrom="page">
                <wp:posOffset>0</wp:posOffset>
              </wp:positionH>
              <wp:positionV relativeFrom="page">
                <wp:posOffset>10210800</wp:posOffset>
              </wp:positionV>
              <wp:extent cx="7560310" cy="190500"/>
              <wp:effectExtent l="0" t="0" r="0" b="0"/>
              <wp:wrapNone/>
              <wp:docPr id="20" name="Text Box 20"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51564F" w14:textId="77777777" w:rsidR="003D51BE" w:rsidRPr="002C5B7C" w:rsidRDefault="003D51BE"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EDE3256" id="_x0000_t202" coordsize="21600,21600" o:spt="202" path="m,l,21600r21600,l21600,xe">
              <v:stroke joinstyle="miter"/>
              <v:path gradientshapeok="t" o:connecttype="rect"/>
            </v:shapetype>
            <v:shape id="Text Box 20" o:spid="_x0000_s1037" type="#_x0000_t202" alt="{&quot;HashCode&quot;:904758361,&quot;Height&quot;:841.0,&quot;Width&quot;:595.0,&quot;Placement&quot;:&quot;Footer&quot;,&quot;Index&quot;:&quot;OddAndEven&quot;,&quot;Section&quot;:3,&quot;Top&quot;:0.0,&quot;Left&quot;:0.0}" style="position:absolute;margin-left:0;margin-top:804pt;width:595.3pt;height:15pt;z-index:25165825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" o:allowincell="f" filled="f" stroked="f" strokeweight=".5pt">
              <v:textbox inset=",0,,0">
                <w:txbxContent>
                  <w:p w14:paraId="1851564F" w14:textId="77777777" w:rsidR="003D51BE" w:rsidRPr="002C5B7C" w:rsidRDefault="003D51BE"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ADB3" w14:textId="4526EFF8" w:rsidR="00D00A67" w:rsidRPr="00112A3C" w:rsidRDefault="00342BA9" w:rsidP="00112A3C">
    <w:pPr>
      <w:pStyle w:val="Header"/>
      <w:rPr>
        <w:b w:val="0"/>
        <w:bCs/>
        <w:color w:val="auto"/>
      </w:rPr>
    </w:pPr>
    <w:r>
      <w:rPr>
        <w:noProof/>
        <w:lang w:eastAsia="en-AU"/>
      </w:rPr>
      <mc:AlternateContent>
        <mc:Choice Requires="wps">
          <w:drawing>
            <wp:anchor distT="0" distB="0" distL="114300" distR="114300" simplePos="0" relativeHeight="251658246" behindDoc="0" locked="0" layoutInCell="0" allowOverlap="1" wp14:anchorId="68EB0E25" wp14:editId="58BE9C96">
              <wp:simplePos x="0" y="0"/>
              <wp:positionH relativeFrom="page">
                <wp:posOffset>0</wp:posOffset>
              </wp:positionH>
              <wp:positionV relativeFrom="page">
                <wp:posOffset>10182225</wp:posOffset>
              </wp:positionV>
              <wp:extent cx="7560310" cy="241199"/>
              <wp:effectExtent l="0" t="0" r="0" b="635"/>
              <wp:wrapNone/>
              <wp:docPr id="19" name="Text Box 1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4119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183DCD" w14:textId="77777777" w:rsidR="00394B19" w:rsidRPr="002C5B7C" w:rsidRDefault="00394B19" w:rsidP="00394B19">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68EB0E25" id="_x0000_t202" coordsize="21600,21600" o:spt="202" path="m,l,21600r21600,l21600,xe">
              <v:stroke joinstyle="miter"/>
              <v:path gradientshapeok="t" o:connecttype="rect"/>
            </v:shapetype>
            <v:shape id="Text Box 19" o:spid="_x0000_s1038" type="#_x0000_t202" alt="{&quot;HashCode&quot;:904758361,&quot;Height&quot;:841.0,&quot;Width&quot;:595.0,&quot;Placement&quot;:&quot;Footer&quot;,&quot;Index&quot;:&quot;OddAndEven&quot;,&quot;Section&quot;:3,&quot;Top&quot;:0.0,&quot;Left&quot;:0.0}" style="position:absolute;margin-left:0;margin-top:801.75pt;width:595.3pt;height:19pt;z-index:25165824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" o:allowincell="f" filled="f" stroked="f" strokeweight=".5pt">
              <v:textbox inset=",0,,0">
                <w:txbxContent>
                  <w:p w14:paraId="43183DCD" w14:textId="77777777" w:rsidR="00394B19" w:rsidRPr="002C5B7C" w:rsidRDefault="00394B19" w:rsidP="00394B19">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sidR="00695D13" w:rsidRPr="00BC3B9D" w:rsidDel="00695D13">
      <w:rPr>
        <w:b w:val="0"/>
        <w:bCs/>
        <w:color w:val="auto"/>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3B52" w14:textId="1979FB1D" w:rsidR="00D00A67" w:rsidRDefault="004558BD" w:rsidP="00432751">
    <w:pPr>
      <w:pStyle w:val="DHHSfooter"/>
    </w:pPr>
    <w:r>
      <w:rPr>
        <w:noProof/>
        <w:lang w:eastAsia="en-AU"/>
      </w:rPr>
      <mc:AlternateContent>
        <mc:Choice Requires="wps">
          <w:drawing>
            <wp:anchor distT="0" distB="0" distL="114300" distR="114300" simplePos="0" relativeHeight="251658259" behindDoc="0" locked="0" layoutInCell="0" allowOverlap="1" wp14:anchorId="0C71C18D" wp14:editId="031B027D">
              <wp:simplePos x="0" y="0"/>
              <wp:positionH relativeFrom="margin">
                <wp:posOffset>0</wp:posOffset>
              </wp:positionH>
              <wp:positionV relativeFrom="page">
                <wp:posOffset>7068820</wp:posOffset>
              </wp:positionV>
              <wp:extent cx="9569669" cy="190500"/>
              <wp:effectExtent l="0" t="0" r="0" b="0"/>
              <wp:wrapNone/>
              <wp:docPr id="25" name="Text Box 25"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9569669"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FC86B" w14:textId="77777777" w:rsidR="004558BD" w:rsidRPr="002C5B7C" w:rsidRDefault="004558BD" w:rsidP="004558BD">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1C18D" id="_x0000_t202" coordsize="21600,21600" o:spt="202" path="m,l,21600r21600,l21600,xe">
              <v:stroke joinstyle="miter"/>
              <v:path gradientshapeok="t" o:connecttype="rect"/>
            </v:shapetype>
            <v:shape id="Text Box 25" o:spid="_x0000_s1039" type="#_x0000_t202" alt="{&quot;HashCode&quot;:904758361,&quot;Height&quot;:841.0,&quot;Width&quot;:595.0,&quot;Placement&quot;:&quot;Footer&quot;,&quot;Index&quot;:&quot;OddAndEven&quot;,&quot;Section&quot;:3,&quot;Top&quot;:0.0,&quot;Left&quot;:0.0}" style="position:absolute;margin-left:0;margin-top:556.6pt;width:753.5pt;height:1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" o:allowincell="f" filled="f" stroked="f" strokeweight=".5pt">
              <v:textbox inset=",0,,0">
                <w:txbxContent>
                  <w:p w14:paraId="34EFC86B" w14:textId="77777777" w:rsidR="004558BD" w:rsidRPr="002C5B7C" w:rsidRDefault="004558BD" w:rsidP="004558BD">
                    <w:pPr>
                      <w:spacing w:after="0"/>
                      <w:jc w:val="center"/>
                      <w:rPr>
                        <w:rFonts w:ascii="Arial Black" w:hAnsi="Arial Black"/>
                        <w:color w:val="000000"/>
                        <w:sz w:val="20"/>
                      </w:rPr>
                    </w:pPr>
                    <w:r>
                      <w:rPr>
                        <w:rFonts w:ascii="Arial Black" w:hAnsi="Arial Black"/>
                        <w:color w:val="000000"/>
                        <w:sz w:val="20"/>
                      </w:rPr>
                      <w:t>OFFICIAL</w:t>
                    </w:r>
                  </w:p>
                </w:txbxContent>
              </v:textbox>
              <w10:wrap anchorx="margin" anchory="page"/>
            </v:shape>
          </w:pict>
        </mc:Fallback>
      </mc:AlternateContent>
    </w:r>
    <w:r w:rsidR="00B54045">
      <w:rPr>
        <w:noProof/>
        <w:lang w:eastAsia="en-AU"/>
      </w:rPr>
      <mc:AlternateContent>
        <mc:Choice Requires="wps">
          <w:drawing>
            <wp:anchor distT="0" distB="0" distL="114300" distR="114300" simplePos="0" relativeHeight="251658243" behindDoc="0" locked="0" layoutInCell="0" allowOverlap="1" wp14:anchorId="53169B52" wp14:editId="19BC1FE0">
              <wp:simplePos x="0" y="0"/>
              <wp:positionH relativeFrom="page">
                <wp:align>right</wp:align>
              </wp:positionH>
              <wp:positionV relativeFrom="page">
                <wp:posOffset>10401300</wp:posOffset>
              </wp:positionV>
              <wp:extent cx="7560310" cy="190500"/>
              <wp:effectExtent l="0" t="0" r="0" b="0"/>
              <wp:wrapNone/>
              <wp:docPr id="12" name="Text Box 12"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84B332" w14:textId="77777777" w:rsidR="00B54045" w:rsidRPr="002C5B7C" w:rsidRDefault="00B54045"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53169B52" id="Text Box 12" o:spid="_x0000_s1040" type="#_x0000_t202" alt="{&quot;HashCode&quot;:904758361,&quot;Height&quot;:841.0,&quot;Width&quot;:595.0,&quot;Placement&quot;:&quot;Footer&quot;,&quot;Index&quot;:&quot;OddAndEven&quot;,&quot;Section&quot;:3,&quot;Top&quot;:0.0,&quot;Left&quot;:0.0}" style="position:absolute;margin-left:544.1pt;margin-top:819pt;width:595.3pt;height:15pt;z-index:251658243;visibility:visible;mso-wrap-style:square;mso-height-percent:0;mso-wrap-distance-left:9pt;mso-wrap-distance-top:0;mso-wrap-distance-right:9pt;mso-wrap-distance-bottom:0;mso-position-horizontal:righ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" o:allowincell="f" filled="f" stroked="f" strokeweight=".5pt">
              <v:textbox inset=",0,,0">
                <w:txbxContent>
                  <w:p w14:paraId="2E84B332" w14:textId="77777777" w:rsidR="00B54045" w:rsidRPr="002C5B7C" w:rsidRDefault="00B54045"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1736" w14:textId="138D70EC" w:rsidR="00D00A67" w:rsidRDefault="00B54045" w:rsidP="00A93481">
    <w:pPr>
      <w:pStyle w:val="DHHSfooter"/>
    </w:pPr>
    <w:r>
      <w:rPr>
        <w:noProof/>
        <w:lang w:eastAsia="en-AU"/>
      </w:rPr>
      <mc:AlternateContent>
        <mc:Choice Requires="wps">
          <w:drawing>
            <wp:anchor distT="0" distB="0" distL="114300" distR="114300" simplePos="0" relativeHeight="251658244" behindDoc="0" locked="0" layoutInCell="0" allowOverlap="1" wp14:anchorId="260353A7" wp14:editId="370A6125">
              <wp:simplePos x="0" y="0"/>
              <wp:positionH relativeFrom="page">
                <wp:posOffset>0</wp:posOffset>
              </wp:positionH>
              <wp:positionV relativeFrom="page">
                <wp:posOffset>10202342</wp:posOffset>
              </wp:positionV>
              <wp:extent cx="7560310" cy="190500"/>
              <wp:effectExtent l="0" t="0" r="0" b="0"/>
              <wp:wrapNone/>
              <wp:docPr id="14" name="Text Box 1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7D626" w14:textId="77777777" w:rsidR="00B54045" w:rsidRPr="002C5B7C" w:rsidRDefault="00B54045"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60353A7" id="_x0000_t202" coordsize="21600,21600" o:spt="202" path="m,l,21600r21600,l21600,xe">
              <v:stroke joinstyle="miter"/>
              <v:path gradientshapeok="t" o:connecttype="rect"/>
            </v:shapetype>
            <v:shape id="Text Box 14" o:spid="_x0000_s1041" type="#_x0000_t202" alt="{&quot;HashCode&quot;:904758361,&quot;Height&quot;:841.0,&quot;Width&quot;:595.0,&quot;Placement&quot;:&quot;Footer&quot;,&quot;Index&quot;:&quot;OddAndEven&quot;,&quot;Section&quot;:3,&quot;Top&quot;:0.0,&quot;Left&quot;:0.0}" style="position:absolute;margin-left:0;margin-top:803.35pt;width:595.3pt;height:15pt;z-index:2516582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" o:allowincell="f" filled="f" stroked="f" strokeweight=".5pt">
              <v:textbox inset=",0,,0">
                <w:txbxContent>
                  <w:p w14:paraId="7C57D626" w14:textId="77777777" w:rsidR="00B54045" w:rsidRPr="002C5B7C" w:rsidRDefault="00B54045"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FFAD" w14:textId="4C2BAAE5" w:rsidR="00D00A67" w:rsidRPr="00C47A25" w:rsidRDefault="00695D13" w:rsidP="00C47A25">
    <w:pPr>
      <w:pStyle w:val="Header"/>
      <w:rPr>
        <w:b w:val="0"/>
        <w:bCs/>
        <w:color w:val="auto"/>
      </w:rPr>
    </w:pPr>
    <w:r>
      <w:rPr>
        <w:noProof/>
        <w:lang w:eastAsia="en-AU"/>
      </w:rPr>
      <mc:AlternateContent>
        <mc:Choice Requires="wps">
          <w:drawing>
            <wp:anchor distT="0" distB="0" distL="114300" distR="114300" simplePos="0" relativeHeight="251658247" behindDoc="0" locked="0" layoutInCell="0" allowOverlap="1" wp14:anchorId="618A5796" wp14:editId="64B69F2B">
              <wp:simplePos x="0" y="0"/>
              <wp:positionH relativeFrom="page">
                <wp:posOffset>1422</wp:posOffset>
              </wp:positionH>
              <wp:positionV relativeFrom="page">
                <wp:posOffset>10156444</wp:posOffset>
              </wp:positionV>
              <wp:extent cx="7560310" cy="190500"/>
              <wp:effectExtent l="0" t="0" r="0" b="0"/>
              <wp:wrapNone/>
              <wp:docPr id="8" name="Text Box 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040648" w14:textId="77777777" w:rsidR="00695D13" w:rsidRPr="002C5B7C" w:rsidRDefault="00695D13" w:rsidP="00695D13">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618A5796" id="_x0000_t202" coordsize="21600,21600" o:spt="202" path="m,l,21600r21600,l21600,xe">
              <v:stroke joinstyle="miter"/>
              <v:path gradientshapeok="t" o:connecttype="rect"/>
            </v:shapetype>
            <v:shape id="Text Box 8" o:spid="_x0000_s1042" type="#_x0000_t202" alt="{&quot;HashCode&quot;:904758361,&quot;Height&quot;:841.0,&quot;Width&quot;:595.0,&quot;Placement&quot;:&quot;Footer&quot;,&quot;Index&quot;:&quot;OddAndEven&quot;,&quot;Section&quot;:3,&quot;Top&quot;:0.0,&quot;Left&quot;:0.0}" style="position:absolute;margin-left:.1pt;margin-top:799.7pt;width:595.3pt;height:15pt;z-index:251658247;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" o:allowincell="f" filled="f" stroked="f" strokeweight=".5pt">
              <v:textbox inset=",0,,0">
                <w:txbxContent>
                  <w:p w14:paraId="0B040648" w14:textId="77777777" w:rsidR="00695D13" w:rsidRPr="002C5B7C" w:rsidRDefault="00695D13" w:rsidP="00695D13">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1BF1" w14:textId="747BB2D9" w:rsidR="00D00A67" w:rsidRDefault="003262DA" w:rsidP="00AE6427">
    <w:pPr>
      <w:pStyle w:val="DHHSfooter"/>
      <w:tabs>
        <w:tab w:val="clear" w:pos="9299"/>
        <w:tab w:val="right" w:pos="14175"/>
      </w:tabs>
      <w:jc w:val="both"/>
    </w:pPr>
    <w:r>
      <w:rPr>
        <w:noProof/>
        <w:lang w:eastAsia="en-AU"/>
      </w:rPr>
      <mc:AlternateContent>
        <mc:Choice Requires="wps">
          <w:drawing>
            <wp:anchor distT="0" distB="0" distL="114300" distR="114300" simplePos="0" relativeHeight="251658254" behindDoc="0" locked="0" layoutInCell="0" allowOverlap="1" wp14:anchorId="488919D4" wp14:editId="230B1F3D">
              <wp:simplePos x="0" y="0"/>
              <wp:positionH relativeFrom="page">
                <wp:posOffset>1513325</wp:posOffset>
              </wp:positionH>
              <wp:positionV relativeFrom="page">
                <wp:posOffset>7197402</wp:posOffset>
              </wp:positionV>
              <wp:extent cx="7560310" cy="190500"/>
              <wp:effectExtent l="0" t="0" r="0" b="0"/>
              <wp:wrapNone/>
              <wp:docPr id="16" name="Text Box 16"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76BF1C" w14:textId="77777777" w:rsidR="003262DA" w:rsidRPr="002C5B7C" w:rsidRDefault="003262DA" w:rsidP="003262DA">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488919D4" id="_x0000_t202" coordsize="21600,21600" o:spt="202" path="m,l,21600r21600,l21600,xe">
              <v:stroke joinstyle="miter"/>
              <v:path gradientshapeok="t" o:connecttype="rect"/>
            </v:shapetype>
            <v:shape id="Text Box 16" o:spid="_x0000_s1043" type="#_x0000_t202" alt="{&quot;HashCode&quot;:904758361,&quot;Height&quot;:841.0,&quot;Width&quot;:595.0,&quot;Placement&quot;:&quot;Footer&quot;,&quot;Index&quot;:&quot;OddAndEven&quot;,&quot;Section&quot;:3,&quot;Top&quot;:0.0,&quot;Left&quot;:0.0}" style="position:absolute;left:0;text-align:left;margin-left:119.15pt;margin-top:566.7pt;width:595.3pt;height:15pt;z-index:25165825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" o:allowincell="f" filled="f" stroked="f" strokeweight=".5pt">
              <v:textbox inset=",0,,0">
                <w:txbxContent>
                  <w:p w14:paraId="7076BF1C" w14:textId="77777777" w:rsidR="003262DA" w:rsidRPr="002C5B7C" w:rsidRDefault="003262DA" w:rsidP="003262DA">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sidR="001923F4">
      <w:rPr>
        <w:noProof/>
        <w:lang w:eastAsia="en-AU"/>
      </w:rPr>
      <mc:AlternateContent>
        <mc:Choice Requires="wps">
          <w:drawing>
            <wp:anchor distT="0" distB="0" distL="114300" distR="114300" simplePos="0" relativeHeight="251658241" behindDoc="0" locked="0" layoutInCell="0" allowOverlap="1" wp14:anchorId="5002BB60" wp14:editId="5B5AA34C">
              <wp:simplePos x="0" y="0"/>
              <wp:positionH relativeFrom="margin">
                <wp:align>center</wp:align>
              </wp:positionH>
              <wp:positionV relativeFrom="page">
                <wp:posOffset>10391775</wp:posOffset>
              </wp:positionV>
              <wp:extent cx="2762250" cy="266700"/>
              <wp:effectExtent l="0" t="0" r="0" b="0"/>
              <wp:wrapNone/>
              <wp:docPr id="9" name="Text Box 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276225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C085ED" w14:textId="77777777" w:rsidR="007404CC" w:rsidRPr="002C5B7C" w:rsidRDefault="007404C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2BB60" id="Text Box 9" o:spid="_x0000_s1044" type="#_x0000_t202" alt="{&quot;HashCode&quot;:904758361,&quot;Height&quot;:841.0,&quot;Width&quot;:595.0,&quot;Placement&quot;:&quot;Footer&quot;,&quot;Index&quot;:&quot;OddAndEven&quot;,&quot;Section&quot;:3,&quot;Top&quot;:0.0,&quot;Left&quot;:0.0}" style="position:absolute;left:0;text-align:left;margin-left:0;margin-top:818.25pt;width:217.5pt;height:21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" o:allowincell="f" filled="f" stroked="f" strokeweight=".5pt">
              <v:textbox inset=",0,,0">
                <w:txbxContent>
                  <w:p w14:paraId="52C085ED" w14:textId="77777777" w:rsidR="007404CC" w:rsidRPr="002C5B7C" w:rsidRDefault="007404C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DA684" w14:textId="77777777" w:rsidR="00FF12BD" w:rsidRDefault="00FF12BD" w:rsidP="00207717">
      <w:pPr>
        <w:spacing w:before="120"/>
      </w:pPr>
      <w:r>
        <w:separator/>
      </w:r>
    </w:p>
  </w:footnote>
  <w:footnote w:type="continuationSeparator" w:id="0">
    <w:p w14:paraId="7D668FD7" w14:textId="77777777" w:rsidR="00FF12BD" w:rsidRDefault="00FF12BD">
      <w:r>
        <w:continuationSeparator/>
      </w:r>
    </w:p>
    <w:p w14:paraId="62A92ED4" w14:textId="77777777" w:rsidR="00FF12BD" w:rsidRDefault="00FF12BD"/>
  </w:footnote>
  <w:footnote w:type="continuationNotice" w:id="1">
    <w:p w14:paraId="4B851181" w14:textId="77777777" w:rsidR="00FF12BD" w:rsidRDefault="00FF12BD">
      <w:pPr>
        <w:spacing w:after="0" w:line="240" w:lineRule="auto"/>
      </w:pPr>
    </w:p>
  </w:footnote>
  <w:footnote w:id="2">
    <w:p w14:paraId="61389A86" w14:textId="10E87F93" w:rsidR="00F36CD8" w:rsidRDefault="00F36CD8" w:rsidP="00F36CD8">
      <w:pPr>
        <w:pStyle w:val="FootnoteText"/>
      </w:pPr>
      <w:r>
        <w:rPr>
          <w:rStyle w:val="FootnoteReference"/>
        </w:rPr>
        <w:footnoteRef/>
      </w:r>
      <w:r>
        <w:t xml:space="preserve"> Youth Mental Health and Wellbeing Victoria will be operational in </w:t>
      </w:r>
      <w:r w:rsidR="00503AD3">
        <w:t>2024</w:t>
      </w:r>
      <w:r>
        <w:t xml:space="preserve">. </w:t>
      </w:r>
    </w:p>
  </w:footnote>
  <w:footnote w:id="3">
    <w:p w14:paraId="5DFBB9DC" w14:textId="77777777" w:rsidR="00E12A69" w:rsidRDefault="00E12A69" w:rsidP="00251E95">
      <w:pPr>
        <w:pStyle w:val="FootnoteText"/>
      </w:pPr>
      <w:r w:rsidRPr="00171B3C">
        <w:rPr>
          <w:rStyle w:val="FootnoteReference"/>
        </w:rPr>
        <w:footnoteRef/>
      </w:r>
      <w:r>
        <w:t xml:space="preserve"> Urgent care centres also provide minor injury/illness service</w:t>
      </w:r>
      <w:r w:rsidRPr="219655F1">
        <w:t xml:space="preserve">s after hours when </w:t>
      </w:r>
      <w:r>
        <w:rPr>
          <w:rFonts w:eastAsia="MS Mincho"/>
        </w:rPr>
        <w:t xml:space="preserve">general practitioner </w:t>
      </w:r>
      <w:r w:rsidRPr="219655F1">
        <w:t>ser</w:t>
      </w:r>
      <w:r w:rsidRPr="6EBD175B">
        <w:t>vi</w:t>
      </w:r>
      <w:r w:rsidRPr="219655F1">
        <w:t>ces are not available.</w:t>
      </w:r>
    </w:p>
  </w:footnote>
  <w:footnote w:id="4">
    <w:p w14:paraId="769481C2" w14:textId="67C47D22" w:rsidR="00E24EF9" w:rsidRDefault="00E24EF9">
      <w:pPr>
        <w:pStyle w:val="FootnoteText"/>
      </w:pPr>
      <w:r>
        <w:rPr>
          <w:rStyle w:val="FootnoteReference"/>
        </w:rPr>
        <w:footnoteRef/>
      </w:r>
      <w:r>
        <w:t xml:space="preserve"> A registered account with login and password is required to access the portal. </w:t>
      </w:r>
    </w:p>
  </w:footnote>
  <w:footnote w:id="5">
    <w:p w14:paraId="305434D8" w14:textId="4A324052" w:rsidR="00E24EF9" w:rsidRDefault="00E24EF9">
      <w:pPr>
        <w:pStyle w:val="FootnoteText"/>
      </w:pPr>
      <w:r>
        <w:rPr>
          <w:rStyle w:val="FootnoteReference"/>
        </w:rPr>
        <w:footnoteRef/>
      </w:r>
      <w:r>
        <w:t xml:space="preserve"> </w:t>
      </w:r>
      <w:r w:rsidR="006C0E7D">
        <w:t>Portal requires a</w:t>
      </w:r>
      <w:r>
        <w:t xml:space="preserve"> registered account with login and password.</w:t>
      </w:r>
    </w:p>
  </w:footnote>
  <w:footnote w:id="6">
    <w:p w14:paraId="09A969EB" w14:textId="7C746168" w:rsidR="00AD74CD" w:rsidRDefault="00AD74CD" w:rsidP="00AD74CD">
      <w:pPr>
        <w:pStyle w:val="FootnoteText"/>
      </w:pPr>
      <w:r>
        <w:rPr>
          <w:rStyle w:val="FootnoteReference"/>
        </w:rPr>
        <w:footnoteRef/>
      </w:r>
      <w:r w:rsidR="00B20B99">
        <w:t xml:space="preserve"> Further work will be undertaken on leave event measures terminology that better captures patient experience and Aboriginal community’s holistic understanding of health and wellbeing.</w:t>
      </w:r>
      <w:r>
        <w:t xml:space="preserve"> </w:t>
      </w:r>
    </w:p>
  </w:footnote>
  <w:footnote w:id="7">
    <w:p w14:paraId="5C17A9C7" w14:textId="4731260D" w:rsidR="005A4D8B" w:rsidRDefault="005A4D8B">
      <w:pPr>
        <w:pStyle w:val="FootnoteText"/>
      </w:pPr>
      <w:r>
        <w:rPr>
          <w:rStyle w:val="FootnoteReference"/>
        </w:rPr>
        <w:footnoteRef/>
      </w:r>
      <w:r>
        <w:t xml:space="preserve"> </w:t>
      </w:r>
      <w:r w:rsidR="00580C84">
        <w:t>Distributed</w:t>
      </w:r>
      <w:r>
        <w:t xml:space="preserve"> to relevant health services.</w:t>
      </w:r>
    </w:p>
  </w:footnote>
  <w:footnote w:id="8">
    <w:p w14:paraId="5FEB7CA4" w14:textId="77777777" w:rsidR="00B53A8B" w:rsidRDefault="00B53A8B" w:rsidP="00B53A8B">
      <w:pPr>
        <w:pStyle w:val="FootnoteText"/>
        <w:rPr>
          <w:lang w:val="en-US"/>
        </w:rPr>
      </w:pPr>
      <w:r>
        <w:rPr>
          <w:rStyle w:val="FootnoteReference"/>
        </w:rPr>
        <w:footnoteRef/>
      </w:r>
      <w:r>
        <w:t xml:space="preserve"> </w:t>
      </w:r>
      <w:r>
        <w:rPr>
          <w:rFonts w:eastAsia="Arial"/>
        </w:rPr>
        <w:t>State component only.</w:t>
      </w:r>
    </w:p>
  </w:footnote>
  <w:footnote w:id="9">
    <w:p w14:paraId="5B59B034" w14:textId="77777777" w:rsidR="00340749" w:rsidRPr="00B00930" w:rsidRDefault="00340749" w:rsidP="00340749">
      <w:pPr>
        <w:pStyle w:val="FootnoteText"/>
      </w:pPr>
      <w:r w:rsidRPr="00B46238">
        <w:rPr>
          <w:vertAlign w:val="superscript"/>
        </w:rPr>
        <w:footnoteRef/>
      </w:r>
      <w:r w:rsidRPr="0048769F">
        <w:t xml:space="preserve"> </w:t>
      </w:r>
      <w:r w:rsidRPr="00B00930">
        <w:t>Where ‘HACC’ is referred to, the service relates to the Home and Community Care Program for Younger People (HACC-PYP).</w:t>
      </w:r>
    </w:p>
  </w:footnote>
  <w:footnote w:id="10">
    <w:p w14:paraId="3A217588" w14:textId="77777777" w:rsidR="00340749" w:rsidRDefault="00340749" w:rsidP="00340749">
      <w:pPr>
        <w:pStyle w:val="FootnoteText"/>
      </w:pPr>
      <w:r>
        <w:rPr>
          <w:rStyle w:val="FootnoteReference"/>
        </w:rPr>
        <w:footnoteRef/>
      </w:r>
      <w:r>
        <w:t xml:space="preserve"> Annual funding is generally calculated as follows:</w:t>
      </w:r>
    </w:p>
    <w:p w14:paraId="30A6ABC3" w14:textId="77777777" w:rsidR="00340749" w:rsidRDefault="00340749" w:rsidP="00340749">
      <w:pPr>
        <w:pStyle w:val="FootnoteText"/>
        <w:ind w:left="170"/>
      </w:pPr>
      <w:r>
        <w:t>Number of operational places × 365.25 days per year × 99% occupancy factor × relevant unit price. Places that are not operational (for a time-limited period or ongoing), or used for any other purpose, will not attract state government PSRACS supplements.</w:t>
      </w:r>
    </w:p>
  </w:footnote>
  <w:footnote w:id="11">
    <w:p w14:paraId="628E2F7E" w14:textId="77777777" w:rsidR="002E0941" w:rsidRDefault="002E0941" w:rsidP="002E0941">
      <w:pPr>
        <w:pStyle w:val="FootnoteText"/>
      </w:pPr>
      <w:r>
        <w:rPr>
          <w:rStyle w:val="FootnoteReference"/>
        </w:rPr>
        <w:footnoteRef/>
      </w:r>
      <w:r>
        <w:t xml:space="preserve"> This supplement was previously referred to as HSUA 1 EBA – hostel.</w:t>
      </w:r>
    </w:p>
  </w:footnote>
  <w:footnote w:id="12">
    <w:p w14:paraId="6469141A" w14:textId="77777777" w:rsidR="009A1786" w:rsidRDefault="009A1786" w:rsidP="009A1786">
      <w:pPr>
        <w:pStyle w:val="FootnoteText"/>
      </w:pPr>
      <w:r>
        <w:rPr>
          <w:rStyle w:val="FootnoteReference"/>
        </w:rPr>
        <w:footnoteRef/>
      </w:r>
      <w:r>
        <w:t xml:space="preserve"> Annual funding is generally calculated as follows:</w:t>
      </w:r>
    </w:p>
    <w:p w14:paraId="2E350ADA" w14:textId="289F2BA4" w:rsidR="009A1786" w:rsidRDefault="009A1786" w:rsidP="009A1786">
      <w:pPr>
        <w:pStyle w:val="FootnoteText"/>
        <w:ind w:left="170"/>
      </w:pPr>
      <w:r>
        <w:t>Number of operational places × 365.25 days per year × 99</w:t>
      </w:r>
      <w:r w:rsidR="002027F2">
        <w:t xml:space="preserve">% </w:t>
      </w:r>
      <w:r>
        <w:t>occupancy factor × relevant unit price. Places that are not operational (for a time-limited period or ongoing), or used for any other purpose, will not attract state government PSRACS supplements.</w:t>
      </w:r>
    </w:p>
  </w:footnote>
  <w:footnote w:id="13">
    <w:p w14:paraId="43EE2C21" w14:textId="77777777" w:rsidR="009A1786" w:rsidRDefault="009A1786" w:rsidP="009A1786">
      <w:pPr>
        <w:pStyle w:val="FootnoteText"/>
      </w:pPr>
      <w:r>
        <w:rPr>
          <w:rStyle w:val="FootnoteReference"/>
        </w:rPr>
        <w:footnoteRef/>
      </w:r>
      <w:r>
        <w:t xml:space="preserve"> This supplement was previously referred to as HSUA 1 EBA – hostel.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573CD21" w:rsidR="00E24EF9" w:rsidRPr="00AE6427" w:rsidRDefault="00342BA9" w:rsidP="00AE6427">
    <w:pPr>
      <w:pStyle w:val="Header"/>
      <w:tabs>
        <w:tab w:val="left" w:pos="8931"/>
      </w:tabs>
    </w:pPr>
    <w:r w:rsidRPr="00342BA9">
      <w:t xml:space="preserve">Policy and </w:t>
    </w:r>
    <w:r w:rsidR="009F261E">
      <w:t>f</w:t>
    </w:r>
    <w:r w:rsidRPr="00342BA9">
      <w:t xml:space="preserve">unding </w:t>
    </w:r>
    <w:r w:rsidR="009F261E">
      <w:t>g</w:t>
    </w:r>
    <w:r w:rsidR="009F261E" w:rsidRPr="00342BA9">
      <w:t xml:space="preserve">uidelines </w:t>
    </w:r>
    <w:r w:rsidRPr="00342BA9">
      <w:t>202</w:t>
    </w:r>
    <w:r w:rsidR="003B5ABF">
      <w:t>3</w:t>
    </w:r>
    <w:r w:rsidRPr="00342BA9">
      <w:t>–2</w:t>
    </w:r>
    <w:r w:rsidR="003B5ABF">
      <w:t>4</w:t>
    </w:r>
    <w:r w:rsidRPr="00342BA9">
      <w:t xml:space="preserve">: </w:t>
    </w:r>
    <w:r w:rsidR="009F261E">
      <w:t>f</w:t>
    </w:r>
    <w:r w:rsidR="009F261E" w:rsidRPr="00342BA9">
      <w:t xml:space="preserve">unding </w:t>
    </w:r>
    <w:r w:rsidR="009F261E">
      <w:t>r</w:t>
    </w:r>
    <w:r w:rsidR="009F261E" w:rsidRPr="00342BA9">
      <w:t>ules</w:t>
    </w:r>
    <w:r>
      <w:tab/>
    </w:r>
    <w:r w:rsidRPr="00AE6427">
      <w:fldChar w:fldCharType="begin"/>
    </w:r>
    <w:r w:rsidRPr="00AE6427">
      <w:instrText xml:space="preserve"> PAGE </w:instrText>
    </w:r>
    <w:r w:rsidRPr="00AE6427">
      <w:fldChar w:fldCharType="separate"/>
    </w:r>
    <w:r w:rsidRPr="00AE6427">
      <w:t>105</w:t>
    </w:r>
    <w:r w:rsidRPr="00AE6427">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EBC1" w14:textId="60763903" w:rsidR="00695D13" w:rsidRPr="0037564B" w:rsidRDefault="00695D13" w:rsidP="00685B35">
    <w:pPr>
      <w:pStyle w:val="Header"/>
      <w:tabs>
        <w:tab w:val="left" w:pos="13892"/>
      </w:tabs>
      <w:rPr>
        <w:b w:val="0"/>
        <w:color w:val="auto"/>
      </w:rPr>
    </w:pPr>
    <w:r w:rsidRPr="007B446A">
      <w:t>Policy and funding guidelines 202</w:t>
    </w:r>
    <w:r w:rsidR="003014C8">
      <w:t>3</w:t>
    </w:r>
    <w:r w:rsidRPr="007B446A">
      <w:t>–2</w:t>
    </w:r>
    <w:r w:rsidR="003014C8">
      <w:t>4</w:t>
    </w:r>
    <w:r w:rsidRPr="007B446A">
      <w:t xml:space="preserve">: Funding </w:t>
    </w:r>
    <w:r w:rsidR="003D39E9">
      <w:t>R</w:t>
    </w:r>
    <w:r w:rsidRPr="007B446A">
      <w:t>ules</w:t>
    </w:r>
    <w:r w:rsidR="009463CA">
      <w:tab/>
    </w:r>
    <w:r w:rsidR="003D39E9">
      <w:t xml:space="preserve"> </w:t>
    </w:r>
    <w:r w:rsidRPr="00DE6C85">
      <w:rPr>
        <w:b w:val="0"/>
        <w:bCs/>
      </w:rPr>
      <w:fldChar w:fldCharType="begin"/>
    </w:r>
    <w:r w:rsidRPr="00DE6C85">
      <w:rPr>
        <w:bCs/>
      </w:rPr>
      <w:instrText xml:space="preserve"> PAGE </w:instrText>
    </w:r>
    <w:r w:rsidRPr="00DE6C85">
      <w:rPr>
        <w:b w:val="0"/>
        <w:bCs/>
      </w:rPr>
      <w:fldChar w:fldCharType="separate"/>
    </w:r>
    <w:r>
      <w:rPr>
        <w:b w:val="0"/>
        <w:bCs/>
      </w:rPr>
      <w:t>142</w:t>
    </w:r>
    <w:r w:rsidRPr="00DE6C85">
      <w:rPr>
        <w:b w:val="0"/>
        <w:bCs/>
      </w:rPr>
      <w:fldChar w:fldCharType="end"/>
    </w:r>
    <w:r w:rsidR="009463CA">
      <w:rPr>
        <w:b w:val="0"/>
        <w:bCs/>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B08C" w14:textId="753A6D5C" w:rsidR="003262DA" w:rsidRDefault="003262DA" w:rsidP="00685B35">
    <w:pPr>
      <w:pStyle w:val="Header"/>
      <w:tabs>
        <w:tab w:val="left" w:pos="8931"/>
      </w:tabs>
    </w:pPr>
    <w:r w:rsidRPr="00695D13">
      <w:t xml:space="preserve">Policy and </w:t>
    </w:r>
    <w:r>
      <w:t>f</w:t>
    </w:r>
    <w:r w:rsidRPr="00695D13">
      <w:t xml:space="preserve">unding </w:t>
    </w:r>
    <w:r>
      <w:t>g</w:t>
    </w:r>
    <w:r w:rsidRPr="00695D13">
      <w:t>uidelines 202</w:t>
    </w:r>
    <w:r w:rsidR="003014C8">
      <w:t>3</w:t>
    </w:r>
    <w:r w:rsidRPr="00695D13">
      <w:t>–2</w:t>
    </w:r>
    <w:r w:rsidR="003014C8">
      <w:t>4</w:t>
    </w:r>
    <w:r w:rsidRPr="00695D13">
      <w:t xml:space="preserve">: funding </w:t>
    </w:r>
    <w:r>
      <w:t>r</w:t>
    </w:r>
    <w:r w:rsidRPr="00695D13">
      <w:t>ules</w:t>
    </w:r>
    <w:r>
      <w:tab/>
    </w:r>
    <w:r w:rsidRPr="006C3D9A">
      <w:fldChar w:fldCharType="begin"/>
    </w:r>
    <w:r w:rsidRPr="006C3D9A">
      <w:instrText xml:space="preserve"> PAGE </w:instrText>
    </w:r>
    <w:r w:rsidRPr="006C3D9A">
      <w:fldChar w:fldCharType="separate"/>
    </w:r>
    <w:r w:rsidRPr="006C3D9A">
      <w:t>7</w:t>
    </w:r>
    <w:r w:rsidRPr="006C3D9A">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FD75" w14:textId="5D826ACA" w:rsidR="002C4DD5" w:rsidRPr="002705DA" w:rsidRDefault="00695D13" w:rsidP="00AE6427">
    <w:pPr>
      <w:pStyle w:val="Header"/>
      <w:tabs>
        <w:tab w:val="left" w:pos="8931"/>
        <w:tab w:val="left" w:pos="13750"/>
        <w:tab w:val="left" w:pos="13892"/>
      </w:tabs>
    </w:pPr>
    <w:r w:rsidRPr="007B446A">
      <w:t>Policy and funding guidelines 202</w:t>
    </w:r>
    <w:r w:rsidR="003014C8">
      <w:t>3</w:t>
    </w:r>
    <w:r w:rsidRPr="007B446A">
      <w:t>2–2</w:t>
    </w:r>
    <w:r w:rsidR="003014C8">
      <w:t>4</w:t>
    </w:r>
    <w:r w:rsidRPr="007B446A">
      <w:t>: Funding rules – Part 2: Funding and activity levels</w:t>
    </w:r>
    <w:r>
      <w:rPr>
        <w:color w:val="auto"/>
      </w:rPr>
      <w:tab/>
    </w:r>
    <w:r w:rsidRPr="00DE6C85">
      <w:rPr>
        <w:b w:val="0"/>
        <w:bCs/>
      </w:rPr>
      <w:fldChar w:fldCharType="begin"/>
    </w:r>
    <w:r w:rsidRPr="00DE6C85">
      <w:rPr>
        <w:bCs/>
      </w:rPr>
      <w:instrText xml:space="preserve"> PAGE </w:instrText>
    </w:r>
    <w:r w:rsidRPr="00DE6C85">
      <w:rPr>
        <w:b w:val="0"/>
        <w:bCs/>
      </w:rPr>
      <w:fldChar w:fldCharType="separate"/>
    </w:r>
    <w:r>
      <w:rPr>
        <w:b w:val="0"/>
        <w:bCs/>
      </w:rPr>
      <w:t>151</w:t>
    </w:r>
    <w:r w:rsidRPr="00DE6C85">
      <w:rPr>
        <w:b w:val="0"/>
        <w:bC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41439" w14:textId="2D5F3295" w:rsidR="00AC6620" w:rsidRPr="00732DE2" w:rsidRDefault="00695D13" w:rsidP="00AE6427">
    <w:pPr>
      <w:pStyle w:val="Header"/>
      <w:tabs>
        <w:tab w:val="left" w:pos="8931"/>
      </w:tabs>
    </w:pPr>
    <w:r w:rsidRPr="007B446A">
      <w:t>Policy and funding guidelines 202</w:t>
    </w:r>
    <w:r w:rsidR="003014C8">
      <w:t>3</w:t>
    </w:r>
    <w:r w:rsidRPr="007B446A">
      <w:t>–2</w:t>
    </w:r>
    <w:r w:rsidR="003014C8">
      <w:t>4</w:t>
    </w:r>
    <w:r w:rsidRPr="007B446A">
      <w:t xml:space="preserve">: </w:t>
    </w:r>
    <w:r w:rsidR="004810BD">
      <w:t>f</w:t>
    </w:r>
    <w:r w:rsidR="004810BD" w:rsidRPr="007B446A">
      <w:t xml:space="preserve">unding </w:t>
    </w:r>
    <w:r w:rsidRPr="007B446A">
      <w:t>rules</w:t>
    </w:r>
    <w:r>
      <w:rPr>
        <w:color w:val="auto"/>
      </w:rPr>
      <w:tab/>
    </w:r>
    <w:r w:rsidRPr="00DE6C85">
      <w:rPr>
        <w:bCs/>
      </w:rPr>
      <w:fldChar w:fldCharType="begin"/>
    </w:r>
    <w:r w:rsidRPr="00DE6C85">
      <w:rPr>
        <w:bCs/>
      </w:rPr>
      <w:instrText xml:space="preserve"> PAGE </w:instrText>
    </w:r>
    <w:r w:rsidRPr="00DE6C85">
      <w:rPr>
        <w:bCs/>
      </w:rPr>
      <w:fldChar w:fldCharType="separate"/>
    </w:r>
    <w:r>
      <w:rPr>
        <w:b w:val="0"/>
        <w:bCs/>
      </w:rPr>
      <w:t>152</w:t>
    </w:r>
    <w:r w:rsidRPr="00DE6C85">
      <w:rPr>
        <w:bC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5B45" w14:textId="13302034" w:rsidR="00D00A67" w:rsidRDefault="00695D13" w:rsidP="00AE6427">
    <w:pPr>
      <w:pStyle w:val="Header"/>
      <w:tabs>
        <w:tab w:val="left" w:pos="8931"/>
      </w:tabs>
    </w:pPr>
    <w:r w:rsidRPr="007B446A">
      <w:t>Policy and funding guidelines 202</w:t>
    </w:r>
    <w:r w:rsidR="0089627A">
      <w:t>3</w:t>
    </w:r>
    <w:r w:rsidRPr="007B446A">
      <w:t>–2</w:t>
    </w:r>
    <w:r w:rsidR="0089627A">
      <w:t>4</w:t>
    </w:r>
    <w:r w:rsidRPr="007B446A">
      <w:t>: Funding rules – Part 2: Funding and activity levels</w:t>
    </w:r>
    <w:r>
      <w:rPr>
        <w:color w:val="auto"/>
      </w:rPr>
      <w:tab/>
    </w:r>
    <w:r w:rsidRPr="00DE6C85">
      <w:rPr>
        <w:b w:val="0"/>
        <w:bCs/>
      </w:rPr>
      <w:fldChar w:fldCharType="begin"/>
    </w:r>
    <w:r w:rsidRPr="00DE6C85">
      <w:rPr>
        <w:bCs/>
      </w:rPr>
      <w:instrText xml:space="preserve"> PAGE </w:instrText>
    </w:r>
    <w:r w:rsidRPr="00DE6C85">
      <w:rPr>
        <w:b w:val="0"/>
        <w:bCs/>
      </w:rPr>
      <w:fldChar w:fldCharType="separate"/>
    </w:r>
    <w:r>
      <w:rPr>
        <w:b w:val="0"/>
        <w:bCs/>
      </w:rPr>
      <w:t>153</w:t>
    </w:r>
    <w:r w:rsidRPr="00DE6C85">
      <w:rPr>
        <w:b w:val="0"/>
        <w:bC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2E44" w14:textId="5964F20B" w:rsidR="00D00A67" w:rsidRDefault="00695D13" w:rsidP="00AE6427">
    <w:pPr>
      <w:pStyle w:val="Header"/>
      <w:tabs>
        <w:tab w:val="left" w:pos="8931"/>
      </w:tabs>
    </w:pPr>
    <w:r w:rsidRPr="007B446A">
      <w:t>Policy and funding guidelines 202</w:t>
    </w:r>
    <w:r w:rsidR="0089627A">
      <w:t>3</w:t>
    </w:r>
    <w:r w:rsidRPr="007B446A">
      <w:t>–2</w:t>
    </w:r>
    <w:r w:rsidR="0089627A">
      <w:t>4</w:t>
    </w:r>
    <w:r w:rsidRPr="007B446A">
      <w:t xml:space="preserve">: </w:t>
    </w:r>
    <w:r w:rsidR="00FB621A">
      <w:t>f</w:t>
    </w:r>
    <w:r w:rsidRPr="007B446A">
      <w:t>unding rules</w:t>
    </w:r>
    <w:r>
      <w:rPr>
        <w:color w:val="auto"/>
      </w:rPr>
      <w:tab/>
    </w:r>
    <w:r w:rsidRPr="00DE6C85">
      <w:rPr>
        <w:bCs/>
      </w:rPr>
      <w:fldChar w:fldCharType="begin"/>
    </w:r>
    <w:r w:rsidRPr="00DE6C85">
      <w:rPr>
        <w:bCs/>
      </w:rPr>
      <w:instrText xml:space="preserve"> PAGE </w:instrText>
    </w:r>
    <w:r w:rsidRPr="00DE6C85">
      <w:rPr>
        <w:bCs/>
      </w:rPr>
      <w:fldChar w:fldCharType="separate"/>
    </w:r>
    <w:r>
      <w:rPr>
        <w:b w:val="0"/>
        <w:bCs/>
      </w:rPr>
      <w:t>153</w:t>
    </w:r>
    <w:r w:rsidRPr="00DE6C85">
      <w:rPr>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47EF5D2C" w:rsidR="00E24EF9" w:rsidRPr="00815E2D" w:rsidRDefault="00342BA9" w:rsidP="00AE6427">
    <w:pPr>
      <w:pStyle w:val="Header"/>
      <w:tabs>
        <w:tab w:val="left" w:pos="8931"/>
      </w:tabs>
      <w:rPr>
        <w:b w:val="0"/>
        <w:bCs/>
        <w:color w:val="auto"/>
      </w:rPr>
    </w:pPr>
    <w:r w:rsidRPr="00342BA9">
      <w:t xml:space="preserve">Policy and </w:t>
    </w:r>
    <w:r w:rsidR="004274BC">
      <w:t>f</w:t>
    </w:r>
    <w:r w:rsidRPr="00342BA9">
      <w:t xml:space="preserve">unding </w:t>
    </w:r>
    <w:r w:rsidR="004274BC">
      <w:t>g</w:t>
    </w:r>
    <w:r w:rsidR="004274BC" w:rsidRPr="00342BA9">
      <w:t xml:space="preserve">uidelines </w:t>
    </w:r>
    <w:r w:rsidRPr="00342BA9">
      <w:t>202</w:t>
    </w:r>
    <w:r w:rsidR="009E5C90">
      <w:t>3</w:t>
    </w:r>
    <w:r w:rsidR="004274BC">
      <w:t>–</w:t>
    </w:r>
    <w:r w:rsidR="009E5C90">
      <w:t>24</w:t>
    </w:r>
    <w:r w:rsidRPr="00342BA9">
      <w:t xml:space="preserve">: </w:t>
    </w:r>
    <w:r w:rsidR="004274BC">
      <w:t>f</w:t>
    </w:r>
    <w:r w:rsidRPr="00342BA9">
      <w:t xml:space="preserve">unding </w:t>
    </w:r>
    <w:r w:rsidR="004274BC">
      <w:t>r</w:t>
    </w:r>
    <w:r w:rsidRPr="00342BA9">
      <w:t>ules</w:t>
    </w:r>
    <w:r>
      <w:tab/>
    </w:r>
    <w:r w:rsidRPr="00AE6427">
      <w:fldChar w:fldCharType="begin"/>
    </w:r>
    <w:r w:rsidRPr="00AE6427">
      <w:instrText xml:space="preserve"> PAGE </w:instrText>
    </w:r>
    <w:r w:rsidRPr="00AE6427">
      <w:fldChar w:fldCharType="separate"/>
    </w:r>
    <w:r w:rsidRPr="00AE6427">
      <w:t>106</w:t>
    </w:r>
    <w:r w:rsidRPr="00AE642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3ADE" w14:textId="77777777" w:rsidR="004E38BA" w:rsidRDefault="004E38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D326" w14:textId="2793B105" w:rsidR="00D00A67" w:rsidRDefault="00333328" w:rsidP="00685B35">
    <w:pPr>
      <w:pStyle w:val="Header"/>
      <w:tabs>
        <w:tab w:val="left" w:pos="8931"/>
      </w:tabs>
    </w:pPr>
    <w:r w:rsidRPr="00342BA9">
      <w:t xml:space="preserve">Policy and </w:t>
    </w:r>
    <w:r>
      <w:t>f</w:t>
    </w:r>
    <w:r w:rsidRPr="00342BA9">
      <w:t xml:space="preserve">unding </w:t>
    </w:r>
    <w:r>
      <w:t>g</w:t>
    </w:r>
    <w:r w:rsidRPr="00342BA9">
      <w:t>uidelines 202</w:t>
    </w:r>
    <w:r>
      <w:t>3–24</w:t>
    </w:r>
    <w:r w:rsidRPr="00342BA9">
      <w:t xml:space="preserve">: </w:t>
    </w:r>
    <w:r>
      <w:t>f</w:t>
    </w:r>
    <w:r w:rsidRPr="00342BA9">
      <w:t xml:space="preserve">unding </w:t>
    </w:r>
    <w:r>
      <w:t>r</w:t>
    </w:r>
    <w:r w:rsidRPr="00342BA9">
      <w:t>ules</w:t>
    </w:r>
    <w:r>
      <w:tab/>
    </w:r>
    <w:r w:rsidRPr="00AE6427">
      <w:fldChar w:fldCharType="begin"/>
    </w:r>
    <w:r w:rsidRPr="00AE6427">
      <w:instrText xml:space="preserve"> PAGE </w:instrText>
    </w:r>
    <w:r w:rsidRPr="00AE6427">
      <w:fldChar w:fldCharType="separate"/>
    </w:r>
    <w:r>
      <w:t>91</w:t>
    </w:r>
    <w:r w:rsidRPr="00AE6427">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F8D2" w14:textId="6B25509B" w:rsidR="00D00A67" w:rsidRPr="00333328" w:rsidRDefault="00333328" w:rsidP="00685B35">
    <w:pPr>
      <w:pStyle w:val="Header"/>
      <w:tabs>
        <w:tab w:val="left" w:pos="8931"/>
      </w:tabs>
      <w:rPr>
        <w:b w:val="0"/>
        <w:bCs/>
        <w:color w:val="auto"/>
      </w:rPr>
    </w:pPr>
    <w:r w:rsidRPr="00342BA9">
      <w:t xml:space="preserve">Policy and </w:t>
    </w:r>
    <w:r>
      <w:t>f</w:t>
    </w:r>
    <w:r w:rsidRPr="00342BA9">
      <w:t xml:space="preserve">unding </w:t>
    </w:r>
    <w:r>
      <w:t>g</w:t>
    </w:r>
    <w:r w:rsidRPr="00342BA9">
      <w:t>uidelines 202</w:t>
    </w:r>
    <w:r>
      <w:t>3–24</w:t>
    </w:r>
    <w:r w:rsidRPr="00342BA9">
      <w:t xml:space="preserve">: </w:t>
    </w:r>
    <w:r>
      <w:t>f</w:t>
    </w:r>
    <w:r w:rsidRPr="00342BA9">
      <w:t xml:space="preserve">unding </w:t>
    </w:r>
    <w:r>
      <w:t>r</w:t>
    </w:r>
    <w:r w:rsidRPr="00342BA9">
      <w:t>ules</w:t>
    </w:r>
    <w:r>
      <w:tab/>
    </w:r>
    <w:r w:rsidRPr="00AE6427">
      <w:fldChar w:fldCharType="begin"/>
    </w:r>
    <w:r w:rsidRPr="00AE6427">
      <w:instrText xml:space="preserve"> PAGE </w:instrText>
    </w:r>
    <w:r w:rsidRPr="00AE6427">
      <w:fldChar w:fldCharType="separate"/>
    </w:r>
    <w:r>
      <w:t>91</w:t>
    </w:r>
    <w:r w:rsidRPr="00AE6427">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A5AD" w14:textId="14940050" w:rsidR="00D00A67" w:rsidRDefault="00695D13" w:rsidP="00AE6427">
    <w:pPr>
      <w:pStyle w:val="Header"/>
      <w:tabs>
        <w:tab w:val="left" w:pos="8931"/>
        <w:tab w:val="left" w:pos="13892"/>
      </w:tabs>
    </w:pPr>
    <w:r w:rsidRPr="00695D13">
      <w:t>Policy and funding guidelines 202</w:t>
    </w:r>
    <w:r w:rsidR="0016433E">
      <w:t>3</w:t>
    </w:r>
    <w:r w:rsidRPr="00695D13">
      <w:t>–2</w:t>
    </w:r>
    <w:r w:rsidR="0016433E">
      <w:t>4</w:t>
    </w:r>
    <w:r w:rsidRPr="00695D13">
      <w:t xml:space="preserve">: </w:t>
    </w:r>
    <w:r w:rsidR="001D5765">
      <w:t>f</w:t>
    </w:r>
    <w:r w:rsidRPr="00695D13">
      <w:t>unding rules</w:t>
    </w:r>
    <w:r>
      <w:rPr>
        <w:color w:val="auto"/>
      </w:rPr>
      <w:tab/>
    </w:r>
    <w:r>
      <w:rPr>
        <w:color w:val="auto"/>
      </w:rPr>
      <w:tab/>
    </w:r>
    <w:r w:rsidRPr="00DE6C85">
      <w:rPr>
        <w:b w:val="0"/>
        <w:bCs/>
      </w:rPr>
      <w:fldChar w:fldCharType="begin"/>
    </w:r>
    <w:r w:rsidRPr="00DE6C85">
      <w:rPr>
        <w:bCs/>
      </w:rPr>
      <w:instrText xml:space="preserve"> PAGE </w:instrText>
    </w:r>
    <w:r w:rsidRPr="00DE6C85">
      <w:rPr>
        <w:b w:val="0"/>
        <w:bCs/>
      </w:rPr>
      <w:fldChar w:fldCharType="separate"/>
    </w:r>
    <w:r>
      <w:rPr>
        <w:b w:val="0"/>
        <w:bCs/>
      </w:rPr>
      <w:t>7</w:t>
    </w:r>
    <w:r w:rsidRPr="00DE6C85">
      <w:rPr>
        <w:b w:val="0"/>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FF8E" w14:textId="412717F5" w:rsidR="00D00A67" w:rsidRPr="0037564B" w:rsidRDefault="00695D13" w:rsidP="00685B35">
    <w:pPr>
      <w:pStyle w:val="Header"/>
      <w:tabs>
        <w:tab w:val="left" w:pos="13750"/>
        <w:tab w:val="left" w:pos="13892"/>
        <w:tab w:val="left" w:pos="14034"/>
      </w:tabs>
      <w:rPr>
        <w:b w:val="0"/>
        <w:color w:val="auto"/>
      </w:rPr>
    </w:pPr>
    <w:r w:rsidRPr="007B446A">
      <w:t xml:space="preserve">Policy and </w:t>
    </w:r>
    <w:r w:rsidR="001D5765">
      <w:t>f</w:t>
    </w:r>
    <w:r w:rsidRPr="007B446A">
      <w:t xml:space="preserve">unding </w:t>
    </w:r>
    <w:r w:rsidR="001D5765">
      <w:t>g</w:t>
    </w:r>
    <w:r w:rsidR="001D5765" w:rsidRPr="007B446A">
      <w:t xml:space="preserve">uidelines </w:t>
    </w:r>
    <w:r w:rsidRPr="007B446A">
      <w:t xml:space="preserve">2022–23: </w:t>
    </w:r>
    <w:r w:rsidR="001D5765">
      <w:t>f</w:t>
    </w:r>
    <w:r w:rsidR="001D5765" w:rsidRPr="007B446A">
      <w:t xml:space="preserve">unding </w:t>
    </w:r>
    <w:r w:rsidR="001D5765">
      <w:t>r</w:t>
    </w:r>
    <w:r w:rsidR="001D5765" w:rsidRPr="007B446A">
      <w:t>ules</w:t>
    </w:r>
    <w:r>
      <w:rPr>
        <w:color w:val="auto"/>
      </w:rPr>
      <w:tab/>
    </w:r>
    <w:r w:rsidRPr="00DE6C85">
      <w:rPr>
        <w:b w:val="0"/>
        <w:bCs/>
      </w:rPr>
      <w:fldChar w:fldCharType="begin"/>
    </w:r>
    <w:r w:rsidRPr="00DE6C85">
      <w:rPr>
        <w:bCs/>
      </w:rPr>
      <w:instrText xml:space="preserve"> PAGE </w:instrText>
    </w:r>
    <w:r w:rsidRPr="00DE6C85">
      <w:rPr>
        <w:b w:val="0"/>
        <w:bCs/>
      </w:rPr>
      <w:fldChar w:fldCharType="separate"/>
    </w:r>
    <w:r>
      <w:rPr>
        <w:b w:val="0"/>
        <w:bCs/>
      </w:rPr>
      <w:t>142</w:t>
    </w:r>
    <w:r w:rsidRPr="00DE6C85">
      <w:rPr>
        <w:b w:val="0"/>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4E6D" w14:textId="423AB5A7" w:rsidR="00695D13" w:rsidRDefault="00695D13" w:rsidP="00685B35">
    <w:pPr>
      <w:pStyle w:val="Header"/>
      <w:tabs>
        <w:tab w:val="left" w:pos="8931"/>
      </w:tabs>
    </w:pPr>
    <w:r w:rsidRPr="00695D13">
      <w:t xml:space="preserve">Policy and </w:t>
    </w:r>
    <w:r w:rsidR="00D60B7E">
      <w:t>f</w:t>
    </w:r>
    <w:r w:rsidR="00D60B7E" w:rsidRPr="00695D13">
      <w:t xml:space="preserve">unding </w:t>
    </w:r>
    <w:r w:rsidR="00D60B7E">
      <w:t>g</w:t>
    </w:r>
    <w:r w:rsidR="00D60B7E" w:rsidRPr="00695D13">
      <w:t>uidelines 202</w:t>
    </w:r>
    <w:r w:rsidR="003014C8">
      <w:t>3</w:t>
    </w:r>
    <w:r w:rsidR="00D60B7E" w:rsidRPr="00695D13">
      <w:t>–2</w:t>
    </w:r>
    <w:r w:rsidR="003014C8">
      <w:t>4</w:t>
    </w:r>
    <w:r w:rsidR="00D60B7E" w:rsidRPr="00695D13">
      <w:t xml:space="preserve">: funding </w:t>
    </w:r>
    <w:r w:rsidR="00D60B7E">
      <w:t>r</w:t>
    </w:r>
    <w:r w:rsidR="00D60B7E" w:rsidRPr="00695D13">
      <w:t>ules</w:t>
    </w:r>
    <w:r w:rsidR="00D60B7E">
      <w:tab/>
    </w:r>
    <w:r w:rsidRPr="006C3D9A">
      <w:fldChar w:fldCharType="begin"/>
    </w:r>
    <w:r w:rsidRPr="006C3D9A">
      <w:instrText xml:space="preserve"> PAGE </w:instrText>
    </w:r>
    <w:r w:rsidRPr="006C3D9A">
      <w:fldChar w:fldCharType="separate"/>
    </w:r>
    <w:r w:rsidRPr="006C3D9A">
      <w:t>7</w:t>
    </w:r>
    <w:r w:rsidRPr="006C3D9A">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A82F" w14:textId="7A0CA7B2" w:rsidR="0007058C" w:rsidRPr="0037564B" w:rsidRDefault="0007058C" w:rsidP="00AE6427">
    <w:pPr>
      <w:pStyle w:val="Header"/>
      <w:tabs>
        <w:tab w:val="left" w:pos="8789"/>
        <w:tab w:val="left" w:pos="9072"/>
        <w:tab w:val="left" w:pos="13750"/>
        <w:tab w:val="left" w:pos="13892"/>
      </w:tabs>
      <w:rPr>
        <w:b w:val="0"/>
        <w:color w:val="auto"/>
      </w:rPr>
    </w:pPr>
    <w:r w:rsidRPr="007B446A">
      <w:t xml:space="preserve">Policy and </w:t>
    </w:r>
    <w:r>
      <w:t>f</w:t>
    </w:r>
    <w:r w:rsidRPr="007B446A">
      <w:t xml:space="preserve">unding </w:t>
    </w:r>
    <w:r>
      <w:t>g</w:t>
    </w:r>
    <w:r w:rsidRPr="007B446A">
      <w:t>uidelines 202</w:t>
    </w:r>
    <w:r w:rsidR="003014C8">
      <w:t>3</w:t>
    </w:r>
    <w:r w:rsidRPr="007B446A">
      <w:t>–2</w:t>
    </w:r>
    <w:r w:rsidR="003014C8">
      <w:t>4</w:t>
    </w:r>
    <w:r w:rsidRPr="007B446A">
      <w:t xml:space="preserve">: </w:t>
    </w:r>
    <w:r>
      <w:t>f</w:t>
    </w:r>
    <w:r w:rsidRPr="007B446A">
      <w:t xml:space="preserve">unding </w:t>
    </w:r>
    <w:r>
      <w:t>r</w:t>
    </w:r>
    <w:r w:rsidRPr="007B446A">
      <w:t>ules</w:t>
    </w:r>
    <w:r>
      <w:rPr>
        <w:color w:val="auto"/>
      </w:rPr>
      <w:tab/>
    </w:r>
    <w:r w:rsidRPr="00DE6C85">
      <w:rPr>
        <w:b w:val="0"/>
        <w:bCs/>
      </w:rPr>
      <w:fldChar w:fldCharType="begin"/>
    </w:r>
    <w:r w:rsidRPr="00DE6C85">
      <w:rPr>
        <w:bCs/>
      </w:rPr>
      <w:instrText xml:space="preserve"> PAGE </w:instrText>
    </w:r>
    <w:r w:rsidRPr="00DE6C85">
      <w:rPr>
        <w:b w:val="0"/>
        <w:bCs/>
      </w:rPr>
      <w:fldChar w:fldCharType="separate"/>
    </w:r>
    <w:r>
      <w:rPr>
        <w:b w:val="0"/>
        <w:bCs/>
      </w:rPr>
      <w:t>142</w:t>
    </w:r>
    <w:r w:rsidRPr="00DE6C85">
      <w:rPr>
        <w:b w:val="0"/>
        <w:bCs/>
      </w:rPr>
      <w:fldChar w:fldCharType="end"/>
    </w:r>
  </w:p>
</w:hdr>
</file>

<file path=word/intelligence.xml><?xml version="1.0" encoding="utf-8"?>
<int:Intelligence xmlns:int="http://schemas.microsoft.com/office/intelligence/2019/intelligence">
  <int:IntelligenceSettings/>
  <int:Manifest>
    <int:ParagraphRange paragraphId="908910515" textId="1645894392" start="19" length="9" invalidationStart="19" invalidationLength="9" id="N5AyTPfN"/>
  </int:Manifest>
  <int:Observations>
    <int:Content id="N5AyTPf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styleLink w:val="ZZBoxnumbersroman"/>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51768AE"/>
    <w:multiLevelType w:val="multilevel"/>
    <w:tmpl w:val="CB80740C"/>
    <w:lvl w:ilvl="0">
      <w:start w:val="1"/>
      <w:numFmt w:val="lowerRoman"/>
      <w:lvlText w:val="%1."/>
      <w:lvlJc w:val="left"/>
      <w:pPr>
        <w:tabs>
          <w:tab w:val="num" w:pos="397"/>
        </w:tabs>
        <w:ind w:left="397" w:hanging="397"/>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33475D"/>
    <w:multiLevelType w:val="multilevel"/>
    <w:tmpl w:val="98E63D10"/>
    <w:lvl w:ilvl="0">
      <w:start w:val="1"/>
      <w:numFmt w:val="lowerRoman"/>
      <w:pStyle w:val="Boxnumberroman"/>
      <w:lvlText w:val="%1."/>
      <w:lvlJc w:val="left"/>
      <w:pPr>
        <w:ind w:left="397" w:hanging="397"/>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B8D43DB"/>
    <w:multiLevelType w:val="multilevel"/>
    <w:tmpl w:val="8A86A6B0"/>
    <w:styleLink w:val="1111111"/>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BAD2E30"/>
    <w:multiLevelType w:val="multilevel"/>
    <w:tmpl w:val="08D8B31C"/>
    <w:styleLink w:val="ZZNumberedheadingsaddendums"/>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0C583BE1"/>
    <w:multiLevelType w:val="multilevel"/>
    <w:tmpl w:val="CB80740C"/>
    <w:lvl w:ilvl="0">
      <w:start w:val="1"/>
      <w:numFmt w:val="lowerRoman"/>
      <w:lvlText w:val="%1."/>
      <w:lvlJc w:val="left"/>
      <w:pPr>
        <w:tabs>
          <w:tab w:val="num" w:pos="397"/>
        </w:tabs>
        <w:ind w:left="397" w:hanging="397"/>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D5064E3"/>
    <w:multiLevelType w:val="hybridMultilevel"/>
    <w:tmpl w:val="CB80740C"/>
    <w:lvl w:ilvl="0" w:tplc="37E231C0">
      <w:start w:val="1"/>
      <w:numFmt w:val="lowerRoman"/>
      <w:lvlText w:val="%1."/>
      <w:lvlJc w:val="left"/>
      <w:pPr>
        <w:tabs>
          <w:tab w:val="num" w:pos="397"/>
        </w:tabs>
        <w:ind w:left="397" w:hanging="397"/>
      </w:pPr>
      <w:rPr>
        <w:rFonts w:hint="default"/>
      </w:rPr>
    </w:lvl>
    <w:lvl w:ilvl="1" w:tplc="1C4606A6">
      <w:start w:val="1"/>
      <w:numFmt w:val="none"/>
      <w:lvlRestart w:val="0"/>
      <w:lvlText w:val=""/>
      <w:lvlJc w:val="left"/>
      <w:pPr>
        <w:ind w:left="0" w:firstLine="0"/>
      </w:pPr>
      <w:rPr>
        <w:rFonts w:hint="default"/>
      </w:rPr>
    </w:lvl>
    <w:lvl w:ilvl="2" w:tplc="822671B6">
      <w:start w:val="1"/>
      <w:numFmt w:val="none"/>
      <w:lvlRestart w:val="0"/>
      <w:lvlText w:val=""/>
      <w:lvlJc w:val="left"/>
      <w:pPr>
        <w:ind w:left="0" w:firstLine="0"/>
      </w:pPr>
      <w:rPr>
        <w:rFonts w:hint="default"/>
      </w:rPr>
    </w:lvl>
    <w:lvl w:ilvl="3" w:tplc="EB2699F4">
      <w:start w:val="1"/>
      <w:numFmt w:val="none"/>
      <w:lvlRestart w:val="0"/>
      <w:lvlText w:val=""/>
      <w:lvlJc w:val="left"/>
      <w:pPr>
        <w:ind w:left="0" w:firstLine="0"/>
      </w:pPr>
      <w:rPr>
        <w:rFonts w:hint="default"/>
      </w:rPr>
    </w:lvl>
    <w:lvl w:ilvl="4" w:tplc="96AE3716">
      <w:start w:val="1"/>
      <w:numFmt w:val="none"/>
      <w:lvlRestart w:val="0"/>
      <w:lvlText w:val=""/>
      <w:lvlJc w:val="left"/>
      <w:pPr>
        <w:ind w:left="0" w:firstLine="0"/>
      </w:pPr>
      <w:rPr>
        <w:rFonts w:hint="default"/>
      </w:rPr>
    </w:lvl>
    <w:lvl w:ilvl="5" w:tplc="D85CE09A">
      <w:start w:val="1"/>
      <w:numFmt w:val="none"/>
      <w:lvlRestart w:val="0"/>
      <w:lvlText w:val=""/>
      <w:lvlJc w:val="left"/>
      <w:pPr>
        <w:ind w:left="0" w:firstLine="0"/>
      </w:pPr>
      <w:rPr>
        <w:rFonts w:hint="default"/>
      </w:rPr>
    </w:lvl>
    <w:lvl w:ilvl="6" w:tplc="F0C0B2E4">
      <w:start w:val="1"/>
      <w:numFmt w:val="none"/>
      <w:lvlRestart w:val="0"/>
      <w:lvlText w:val=""/>
      <w:lvlJc w:val="left"/>
      <w:pPr>
        <w:ind w:left="0" w:firstLine="0"/>
      </w:pPr>
      <w:rPr>
        <w:rFonts w:hint="default"/>
      </w:rPr>
    </w:lvl>
    <w:lvl w:ilvl="7" w:tplc="49AA5176">
      <w:start w:val="1"/>
      <w:numFmt w:val="none"/>
      <w:lvlRestart w:val="0"/>
      <w:lvlText w:val=""/>
      <w:lvlJc w:val="left"/>
      <w:pPr>
        <w:ind w:left="0" w:firstLine="0"/>
      </w:pPr>
      <w:rPr>
        <w:rFonts w:hint="default"/>
      </w:rPr>
    </w:lvl>
    <w:lvl w:ilvl="8" w:tplc="89BEA340">
      <w:start w:val="1"/>
      <w:numFmt w:val="none"/>
      <w:lvlRestart w:val="0"/>
      <w:lvlText w:val=""/>
      <w:lvlJc w:val="left"/>
      <w:pPr>
        <w:ind w:left="0" w:firstLine="0"/>
      </w:pPr>
      <w:rPr>
        <w:rFonts w:hint="default"/>
      </w:rPr>
    </w:lvl>
  </w:abstractNum>
  <w:abstractNum w:abstractNumId="7" w15:restartNumberingAfterBreak="0">
    <w:nsid w:val="0E6A3DA8"/>
    <w:multiLevelType w:val="multilevel"/>
    <w:tmpl w:val="4468D6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836" w:hanging="1134"/>
      </w:pPr>
      <w:rPr>
        <w:rFonts w:hint="default"/>
      </w:rPr>
    </w:lvl>
    <w:lvl w:ilvl="3">
      <w:start w:val="1"/>
      <w:numFmt w:val="decimal"/>
      <w:pStyle w:val="Heading4"/>
      <w:lvlText w:val="%1.%2.%3.%4"/>
      <w:lvlJc w:val="left"/>
      <w:pPr>
        <w:ind w:left="964" w:hanging="964"/>
      </w:pPr>
      <w:rPr>
        <w:rFonts w:hint="default"/>
      </w:rPr>
    </w:lvl>
    <w:lvl w:ilvl="4">
      <w:start w:val="1"/>
      <w:numFmt w:val="decimal"/>
      <w:pStyle w:val="Heading5"/>
      <w:lvlText w:val="%1.%2.%3.%4.%5"/>
      <w:lvlJc w:val="left"/>
      <w:pPr>
        <w:ind w:left="964" w:hanging="964"/>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0F073EDA"/>
    <w:multiLevelType w:val="multilevel"/>
    <w:tmpl w:val="B2D87F10"/>
    <w:styleLink w:val="ZZBullets"/>
    <w:lvl w:ilvl="0">
      <w:start w:val="1"/>
      <w:numFmt w:val="decimal"/>
      <w:pStyle w:val="Heading2Addendums"/>
      <w:suff w:val="space"/>
      <w:lvlText w:val="Addendum 1.%1:"/>
      <w:lvlJc w:val="left"/>
      <w:pPr>
        <w:ind w:left="0" w:firstLine="0"/>
      </w:pPr>
      <w:rPr>
        <w:rFonts w:hint="default"/>
      </w:rPr>
    </w:lvl>
    <w:lvl w:ilvl="1">
      <w:start w:val="1"/>
      <w:numFmt w:val="decimal"/>
      <w:pStyle w:val="Heading3Addendums"/>
      <w:lvlText w:val="A1.%1.%2"/>
      <w:lvlJc w:val="left"/>
      <w:pPr>
        <w:tabs>
          <w:tab w:val="num" w:pos="1361"/>
        </w:tabs>
        <w:ind w:left="1361" w:hanging="1361"/>
      </w:pPr>
      <w:rPr>
        <w:rFonts w:hint="default"/>
      </w:rPr>
    </w:lvl>
    <w:lvl w:ilvl="2">
      <w:start w:val="1"/>
      <w:numFmt w:val="decimal"/>
      <w:pStyle w:val="Heading4Addendums"/>
      <w:lvlText w:val="A1.%1.%2.%3"/>
      <w:lvlJc w:val="left"/>
      <w:pPr>
        <w:tabs>
          <w:tab w:val="num" w:pos="1361"/>
        </w:tabs>
        <w:ind w:left="1361" w:hanging="1361"/>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07D3252"/>
    <w:multiLevelType w:val="hybridMultilevel"/>
    <w:tmpl w:val="CB80740C"/>
    <w:lvl w:ilvl="0" w:tplc="79F8C2E6">
      <w:start w:val="1"/>
      <w:numFmt w:val="lowerRoman"/>
      <w:lvlText w:val="%1."/>
      <w:lvlJc w:val="left"/>
      <w:pPr>
        <w:tabs>
          <w:tab w:val="num" w:pos="397"/>
        </w:tabs>
        <w:ind w:left="397" w:hanging="397"/>
      </w:pPr>
      <w:rPr>
        <w:rFonts w:hint="default"/>
      </w:rPr>
    </w:lvl>
    <w:lvl w:ilvl="1" w:tplc="A782B744">
      <w:start w:val="1"/>
      <w:numFmt w:val="none"/>
      <w:lvlRestart w:val="0"/>
      <w:lvlText w:val=""/>
      <w:lvlJc w:val="left"/>
      <w:pPr>
        <w:ind w:left="0" w:firstLine="0"/>
      </w:pPr>
      <w:rPr>
        <w:rFonts w:hint="default"/>
      </w:rPr>
    </w:lvl>
    <w:lvl w:ilvl="2" w:tplc="60AC19D6">
      <w:start w:val="1"/>
      <w:numFmt w:val="none"/>
      <w:lvlRestart w:val="0"/>
      <w:lvlText w:val=""/>
      <w:lvlJc w:val="left"/>
      <w:pPr>
        <w:ind w:left="0" w:firstLine="0"/>
      </w:pPr>
      <w:rPr>
        <w:rFonts w:hint="default"/>
      </w:rPr>
    </w:lvl>
    <w:lvl w:ilvl="3" w:tplc="86CE221C">
      <w:start w:val="1"/>
      <w:numFmt w:val="none"/>
      <w:lvlRestart w:val="0"/>
      <w:lvlText w:val=""/>
      <w:lvlJc w:val="left"/>
      <w:pPr>
        <w:ind w:left="0" w:firstLine="0"/>
      </w:pPr>
      <w:rPr>
        <w:rFonts w:hint="default"/>
      </w:rPr>
    </w:lvl>
    <w:lvl w:ilvl="4" w:tplc="F43667D2">
      <w:start w:val="1"/>
      <w:numFmt w:val="none"/>
      <w:lvlRestart w:val="0"/>
      <w:lvlText w:val=""/>
      <w:lvlJc w:val="left"/>
      <w:pPr>
        <w:ind w:left="0" w:firstLine="0"/>
      </w:pPr>
      <w:rPr>
        <w:rFonts w:hint="default"/>
      </w:rPr>
    </w:lvl>
    <w:lvl w:ilvl="5" w:tplc="4ACCD0F6">
      <w:start w:val="1"/>
      <w:numFmt w:val="none"/>
      <w:lvlRestart w:val="0"/>
      <w:lvlText w:val=""/>
      <w:lvlJc w:val="left"/>
      <w:pPr>
        <w:ind w:left="0" w:firstLine="0"/>
      </w:pPr>
      <w:rPr>
        <w:rFonts w:hint="default"/>
      </w:rPr>
    </w:lvl>
    <w:lvl w:ilvl="6" w:tplc="1A20A432">
      <w:start w:val="1"/>
      <w:numFmt w:val="none"/>
      <w:lvlRestart w:val="0"/>
      <w:lvlText w:val=""/>
      <w:lvlJc w:val="left"/>
      <w:pPr>
        <w:ind w:left="0" w:firstLine="0"/>
      </w:pPr>
      <w:rPr>
        <w:rFonts w:hint="default"/>
      </w:rPr>
    </w:lvl>
    <w:lvl w:ilvl="7" w:tplc="89E6E0D8">
      <w:start w:val="1"/>
      <w:numFmt w:val="none"/>
      <w:lvlRestart w:val="0"/>
      <w:lvlText w:val=""/>
      <w:lvlJc w:val="left"/>
      <w:pPr>
        <w:ind w:left="0" w:firstLine="0"/>
      </w:pPr>
      <w:rPr>
        <w:rFonts w:hint="default"/>
      </w:rPr>
    </w:lvl>
    <w:lvl w:ilvl="8" w:tplc="6B480F8C">
      <w:start w:val="1"/>
      <w:numFmt w:val="none"/>
      <w:lvlRestart w:val="0"/>
      <w:lvlText w:val=""/>
      <w:lvlJc w:val="left"/>
      <w:pPr>
        <w:ind w:left="0" w:firstLine="0"/>
      </w:pPr>
      <w:rPr>
        <w:rFonts w:hint="default"/>
      </w:rPr>
    </w:lvl>
  </w:abstractNum>
  <w:abstractNum w:abstractNumId="10" w15:restartNumberingAfterBreak="0">
    <w:nsid w:val="14AA7129"/>
    <w:multiLevelType w:val="multilevel"/>
    <w:tmpl w:val="54468906"/>
    <w:styleLink w:val="ZZBoxbullets"/>
    <w:lvl w:ilvl="0">
      <w:start w:val="1"/>
      <w:numFmt w:val="bullet"/>
      <w:pStyle w:val="Boxbullet1"/>
      <w:lvlText w:val="•"/>
      <w:lvlJc w:val="left"/>
      <w:pPr>
        <w:ind w:left="227" w:hanging="227"/>
      </w:pPr>
      <w:rPr>
        <w:rFonts w:ascii="Calibri" w:hAnsi="Calibri" w:hint="default"/>
      </w:rPr>
    </w:lvl>
    <w:lvl w:ilvl="1">
      <w:start w:val="1"/>
      <w:numFmt w:val="bullet"/>
      <w:lvlRestart w:val="0"/>
      <w:pStyle w:val="Boxbullet2"/>
      <w:lvlText w:val="–"/>
      <w:lvlJc w:val="left"/>
      <w:pPr>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8DF82D3"/>
    <w:multiLevelType w:val="multilevel"/>
    <w:tmpl w:val="FFFFFFFF"/>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B642F1"/>
    <w:multiLevelType w:val="multilevel"/>
    <w:tmpl w:val="DDC6AC54"/>
    <w:styleLink w:val="ZZTablebullets105pt"/>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8AA2B11"/>
    <w:multiLevelType w:val="hybridMultilevel"/>
    <w:tmpl w:val="8A94ED12"/>
    <w:lvl w:ilvl="0" w:tplc="3E06BF8C">
      <w:start w:val="1"/>
      <w:numFmt w:val="decimal"/>
      <w:suff w:val="nothing"/>
      <w:lvlText w:val=""/>
      <w:lvlJc w:val="left"/>
      <w:pPr>
        <w:ind w:left="0" w:firstLine="0"/>
      </w:pPr>
    </w:lvl>
    <w:lvl w:ilvl="1" w:tplc="FE36FEAC">
      <w:start w:val="1"/>
      <w:numFmt w:val="bullet"/>
      <w:lvlRestart w:val="0"/>
      <w:lvlText w:val="•"/>
      <w:lvlJc w:val="left"/>
      <w:pPr>
        <w:ind w:left="284" w:hanging="284"/>
      </w:pPr>
      <w:rPr>
        <w:rFonts w:hint="default"/>
      </w:rPr>
    </w:lvl>
    <w:lvl w:ilvl="2" w:tplc="92CAF36A">
      <w:start w:val="1"/>
      <w:numFmt w:val="decimal"/>
      <w:lvlRestart w:val="1"/>
      <w:lvlText w:val="%3."/>
      <w:lvlJc w:val="left"/>
      <w:pPr>
        <w:tabs>
          <w:tab w:val="num" w:pos="397"/>
        </w:tabs>
        <w:ind w:left="397" w:hanging="397"/>
      </w:pPr>
    </w:lvl>
    <w:lvl w:ilvl="3" w:tplc="B1DE03C4">
      <w:start w:val="1"/>
      <w:numFmt w:val="lowerRoman"/>
      <w:lvlRestart w:val="1"/>
      <w:lvlText w:val="%4."/>
      <w:lvlJc w:val="left"/>
      <w:pPr>
        <w:tabs>
          <w:tab w:val="num" w:pos="397"/>
        </w:tabs>
        <w:ind w:left="397" w:hanging="397"/>
      </w:pPr>
    </w:lvl>
    <w:lvl w:ilvl="4" w:tplc="C9BCA8F8">
      <w:start w:val="1"/>
      <w:numFmt w:val="decimal"/>
      <w:lvlRestart w:val="0"/>
      <w:lvlText w:val=""/>
      <w:lvlJc w:val="left"/>
      <w:pPr>
        <w:ind w:left="0" w:firstLine="0"/>
      </w:pPr>
    </w:lvl>
    <w:lvl w:ilvl="5" w:tplc="B02E8214">
      <w:start w:val="1"/>
      <w:numFmt w:val="decimal"/>
      <w:lvlRestart w:val="0"/>
      <w:lvlText w:val=""/>
      <w:lvlJc w:val="left"/>
      <w:pPr>
        <w:ind w:left="0" w:firstLine="0"/>
      </w:pPr>
    </w:lvl>
    <w:lvl w:ilvl="6" w:tplc="9E163FBA">
      <w:start w:val="1"/>
      <w:numFmt w:val="decimal"/>
      <w:lvlRestart w:val="0"/>
      <w:lvlText w:val=""/>
      <w:lvlJc w:val="left"/>
      <w:pPr>
        <w:ind w:left="0" w:firstLine="0"/>
      </w:pPr>
    </w:lvl>
    <w:lvl w:ilvl="7" w:tplc="40BE326A">
      <w:start w:val="1"/>
      <w:numFmt w:val="decimal"/>
      <w:lvlRestart w:val="0"/>
      <w:lvlText w:val=""/>
      <w:lvlJc w:val="left"/>
      <w:pPr>
        <w:ind w:left="0" w:firstLine="0"/>
      </w:pPr>
    </w:lvl>
    <w:lvl w:ilvl="8" w:tplc="59081CD0">
      <w:start w:val="1"/>
      <w:numFmt w:val="decimal"/>
      <w:lvlRestart w:val="0"/>
      <w:lvlText w:val=""/>
      <w:lvlJc w:val="left"/>
      <w:pPr>
        <w:ind w:left="0" w:firstLine="0"/>
      </w:pPr>
    </w:lvl>
  </w:abstractNum>
  <w:abstractNum w:abstractNumId="14" w15:restartNumberingAfterBreak="0">
    <w:nsid w:val="311C39EA"/>
    <w:multiLevelType w:val="multilevel"/>
    <w:tmpl w:val="CB80740C"/>
    <w:lvl w:ilvl="0">
      <w:start w:val="1"/>
      <w:numFmt w:val="lowerRoman"/>
      <w:lvlText w:val="%1."/>
      <w:lvlJc w:val="left"/>
      <w:pPr>
        <w:tabs>
          <w:tab w:val="num" w:pos="397"/>
        </w:tabs>
        <w:ind w:left="397" w:hanging="397"/>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1537D2D"/>
    <w:multiLevelType w:val="multilevel"/>
    <w:tmpl w:val="CB80740C"/>
    <w:lvl w:ilvl="0">
      <w:start w:val="1"/>
      <w:numFmt w:val="lowerRoman"/>
      <w:lvlText w:val="%1."/>
      <w:lvlJc w:val="left"/>
      <w:pPr>
        <w:tabs>
          <w:tab w:val="num" w:pos="397"/>
        </w:tabs>
        <w:ind w:left="397" w:hanging="397"/>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32AA5FA9"/>
    <w:multiLevelType w:val="multilevel"/>
    <w:tmpl w:val="CB80740C"/>
    <w:lvl w:ilvl="0">
      <w:start w:val="1"/>
      <w:numFmt w:val="lowerRoman"/>
      <w:lvlText w:val="%1."/>
      <w:lvlJc w:val="left"/>
      <w:pPr>
        <w:tabs>
          <w:tab w:val="num" w:pos="397"/>
        </w:tabs>
        <w:ind w:left="397" w:hanging="397"/>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2B34794"/>
    <w:multiLevelType w:val="hybridMultilevel"/>
    <w:tmpl w:val="82ACA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6C68D4"/>
    <w:multiLevelType w:val="multilevel"/>
    <w:tmpl w:val="B33A2DBC"/>
    <w:styleLink w:val="ZZTablebullets"/>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3D44A9FC"/>
    <w:styleLink w:val="ZZQuotebullets"/>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12B548A"/>
    <w:multiLevelType w:val="multilevel"/>
    <w:tmpl w:val="CB80740C"/>
    <w:lvl w:ilvl="0">
      <w:start w:val="1"/>
      <w:numFmt w:val="lowerRoman"/>
      <w:lvlText w:val="%1."/>
      <w:lvlJc w:val="left"/>
      <w:pPr>
        <w:tabs>
          <w:tab w:val="num" w:pos="397"/>
        </w:tabs>
        <w:ind w:left="397" w:hanging="397"/>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2A742DA"/>
    <w:multiLevelType w:val="hybridMultilevel"/>
    <w:tmpl w:val="4B22ADE6"/>
    <w:styleLink w:val="1ai1"/>
    <w:lvl w:ilvl="0" w:tplc="69041426">
      <w:start w:val="1"/>
      <w:numFmt w:val="bullet"/>
      <w:lvlText w:val="•"/>
      <w:lvlJc w:val="left"/>
      <w:pPr>
        <w:tabs>
          <w:tab w:val="num" w:pos="0"/>
        </w:tabs>
        <w:ind w:left="284" w:hanging="284"/>
      </w:pPr>
      <w:rPr>
        <w:rFonts w:ascii="Times New Roman" w:hAnsi="Times New Roman" w:hint="default"/>
        <w:b w:val="0"/>
        <w:i w:val="0"/>
        <w:color w:val="auto"/>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014613B"/>
    <w:multiLevelType w:val="hybridMultilevel"/>
    <w:tmpl w:val="B8EA57BE"/>
    <w:lvl w:ilvl="0" w:tplc="B61AB36C">
      <w:start w:val="1"/>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9C29AB"/>
    <w:multiLevelType w:val="multilevel"/>
    <w:tmpl w:val="CB80740C"/>
    <w:styleLink w:val="CurrentList1"/>
    <w:lvl w:ilvl="0">
      <w:start w:val="1"/>
      <w:numFmt w:val="lowerRoman"/>
      <w:lvlText w:val="%1."/>
      <w:lvlJc w:val="left"/>
      <w:pPr>
        <w:tabs>
          <w:tab w:val="num" w:pos="397"/>
        </w:tabs>
        <w:ind w:left="397" w:hanging="397"/>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111111"/>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AB1142E"/>
    <w:multiLevelType w:val="hybridMultilevel"/>
    <w:tmpl w:val="C1F8E890"/>
    <w:lvl w:ilvl="0" w:tplc="DC729974">
      <w:start w:val="1"/>
      <w:numFmt w:val="bullet"/>
      <w:pStyle w:val="TableFotternotewith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CF2CBD"/>
    <w:multiLevelType w:val="hybridMultilevel"/>
    <w:tmpl w:val="8A94ED12"/>
    <w:lvl w:ilvl="0" w:tplc="3E06BF8C">
      <w:start w:val="1"/>
      <w:numFmt w:val="decimal"/>
      <w:suff w:val="nothing"/>
      <w:lvlText w:val=""/>
      <w:lvlJc w:val="left"/>
      <w:pPr>
        <w:ind w:left="0" w:firstLine="0"/>
      </w:pPr>
    </w:lvl>
    <w:lvl w:ilvl="1" w:tplc="FE36FEAC">
      <w:start w:val="1"/>
      <w:numFmt w:val="bullet"/>
      <w:lvlRestart w:val="0"/>
      <w:lvlText w:val="•"/>
      <w:lvlJc w:val="left"/>
      <w:pPr>
        <w:ind w:left="284" w:hanging="284"/>
      </w:pPr>
      <w:rPr>
        <w:rFonts w:hint="default"/>
      </w:rPr>
    </w:lvl>
    <w:lvl w:ilvl="2" w:tplc="92CAF36A">
      <w:start w:val="1"/>
      <w:numFmt w:val="decimal"/>
      <w:lvlRestart w:val="1"/>
      <w:lvlText w:val="%3."/>
      <w:lvlJc w:val="left"/>
      <w:pPr>
        <w:tabs>
          <w:tab w:val="num" w:pos="397"/>
        </w:tabs>
        <w:ind w:left="397" w:hanging="397"/>
      </w:pPr>
    </w:lvl>
    <w:lvl w:ilvl="3" w:tplc="B1DE03C4">
      <w:start w:val="1"/>
      <w:numFmt w:val="lowerRoman"/>
      <w:lvlRestart w:val="1"/>
      <w:lvlText w:val="%4."/>
      <w:lvlJc w:val="left"/>
      <w:pPr>
        <w:tabs>
          <w:tab w:val="num" w:pos="397"/>
        </w:tabs>
        <w:ind w:left="397" w:hanging="397"/>
      </w:pPr>
    </w:lvl>
    <w:lvl w:ilvl="4" w:tplc="C9BCA8F8">
      <w:start w:val="1"/>
      <w:numFmt w:val="decimal"/>
      <w:lvlRestart w:val="0"/>
      <w:lvlText w:val=""/>
      <w:lvlJc w:val="left"/>
      <w:pPr>
        <w:ind w:left="0" w:firstLine="0"/>
      </w:pPr>
    </w:lvl>
    <w:lvl w:ilvl="5" w:tplc="B02E8214">
      <w:start w:val="1"/>
      <w:numFmt w:val="decimal"/>
      <w:lvlRestart w:val="0"/>
      <w:lvlText w:val=""/>
      <w:lvlJc w:val="left"/>
      <w:pPr>
        <w:ind w:left="0" w:firstLine="0"/>
      </w:pPr>
    </w:lvl>
    <w:lvl w:ilvl="6" w:tplc="9E163FBA">
      <w:start w:val="1"/>
      <w:numFmt w:val="decimal"/>
      <w:lvlRestart w:val="0"/>
      <w:lvlText w:val=""/>
      <w:lvlJc w:val="left"/>
      <w:pPr>
        <w:ind w:left="0" w:firstLine="0"/>
      </w:pPr>
    </w:lvl>
    <w:lvl w:ilvl="7" w:tplc="40BE326A">
      <w:start w:val="1"/>
      <w:numFmt w:val="decimal"/>
      <w:lvlRestart w:val="0"/>
      <w:lvlText w:val=""/>
      <w:lvlJc w:val="left"/>
      <w:pPr>
        <w:ind w:left="0" w:firstLine="0"/>
      </w:pPr>
    </w:lvl>
    <w:lvl w:ilvl="8" w:tplc="59081CD0">
      <w:start w:val="1"/>
      <w:numFmt w:val="decimal"/>
      <w:lvlRestart w:val="0"/>
      <w:lvlText w:val=""/>
      <w:lvlJc w:val="left"/>
      <w:pPr>
        <w:ind w:left="0" w:firstLine="0"/>
      </w:pPr>
    </w:lvl>
  </w:abstractNum>
  <w:abstractNum w:abstractNumId="27" w15:restartNumberingAfterBreak="0">
    <w:nsid w:val="5E782F99"/>
    <w:multiLevelType w:val="hybridMultilevel"/>
    <w:tmpl w:val="FFFFFFFF"/>
    <w:lvl w:ilvl="0" w:tplc="D2E64ADE">
      <w:start w:val="1"/>
      <w:numFmt w:val="bullet"/>
      <w:lvlText w:val=""/>
      <w:lvlJc w:val="left"/>
      <w:pPr>
        <w:ind w:left="720" w:hanging="360"/>
      </w:pPr>
      <w:rPr>
        <w:rFonts w:ascii="Symbol" w:hAnsi="Symbol" w:hint="default"/>
      </w:rPr>
    </w:lvl>
    <w:lvl w:ilvl="1" w:tplc="908CD230">
      <w:start w:val="1"/>
      <w:numFmt w:val="bullet"/>
      <w:lvlText w:val="o"/>
      <w:lvlJc w:val="left"/>
      <w:pPr>
        <w:ind w:left="1440" w:hanging="360"/>
      </w:pPr>
      <w:rPr>
        <w:rFonts w:ascii="Courier New" w:hAnsi="Courier New" w:hint="default"/>
      </w:rPr>
    </w:lvl>
    <w:lvl w:ilvl="2" w:tplc="02FCCF10">
      <w:start w:val="1"/>
      <w:numFmt w:val="bullet"/>
      <w:lvlText w:val=""/>
      <w:lvlJc w:val="left"/>
      <w:pPr>
        <w:ind w:left="2160" w:hanging="360"/>
      </w:pPr>
      <w:rPr>
        <w:rFonts w:ascii="Wingdings" w:hAnsi="Wingdings" w:hint="default"/>
      </w:rPr>
    </w:lvl>
    <w:lvl w:ilvl="3" w:tplc="11A89754">
      <w:start w:val="1"/>
      <w:numFmt w:val="bullet"/>
      <w:lvlText w:val=""/>
      <w:lvlJc w:val="left"/>
      <w:pPr>
        <w:ind w:left="2880" w:hanging="360"/>
      </w:pPr>
      <w:rPr>
        <w:rFonts w:ascii="Symbol" w:hAnsi="Symbol" w:hint="default"/>
      </w:rPr>
    </w:lvl>
    <w:lvl w:ilvl="4" w:tplc="164CC638">
      <w:start w:val="1"/>
      <w:numFmt w:val="bullet"/>
      <w:lvlText w:val="o"/>
      <w:lvlJc w:val="left"/>
      <w:pPr>
        <w:ind w:left="3600" w:hanging="360"/>
      </w:pPr>
      <w:rPr>
        <w:rFonts w:ascii="Courier New" w:hAnsi="Courier New" w:hint="default"/>
      </w:rPr>
    </w:lvl>
    <w:lvl w:ilvl="5" w:tplc="06543872">
      <w:start w:val="1"/>
      <w:numFmt w:val="bullet"/>
      <w:lvlText w:val=""/>
      <w:lvlJc w:val="left"/>
      <w:pPr>
        <w:ind w:left="4320" w:hanging="360"/>
      </w:pPr>
      <w:rPr>
        <w:rFonts w:ascii="Wingdings" w:hAnsi="Wingdings" w:hint="default"/>
      </w:rPr>
    </w:lvl>
    <w:lvl w:ilvl="6" w:tplc="B76AF484">
      <w:start w:val="1"/>
      <w:numFmt w:val="bullet"/>
      <w:lvlText w:val=""/>
      <w:lvlJc w:val="left"/>
      <w:pPr>
        <w:ind w:left="5040" w:hanging="360"/>
      </w:pPr>
      <w:rPr>
        <w:rFonts w:ascii="Symbol" w:hAnsi="Symbol" w:hint="default"/>
      </w:rPr>
    </w:lvl>
    <w:lvl w:ilvl="7" w:tplc="FB3E1800">
      <w:start w:val="1"/>
      <w:numFmt w:val="bullet"/>
      <w:lvlText w:val="o"/>
      <w:lvlJc w:val="left"/>
      <w:pPr>
        <w:ind w:left="5760" w:hanging="360"/>
      </w:pPr>
      <w:rPr>
        <w:rFonts w:ascii="Courier New" w:hAnsi="Courier New" w:hint="default"/>
      </w:rPr>
    </w:lvl>
    <w:lvl w:ilvl="8" w:tplc="354A9E6C">
      <w:start w:val="1"/>
      <w:numFmt w:val="bullet"/>
      <w:lvlText w:val=""/>
      <w:lvlJc w:val="left"/>
      <w:pPr>
        <w:ind w:left="6480" w:hanging="360"/>
      </w:pPr>
      <w:rPr>
        <w:rFonts w:ascii="Wingdings" w:hAnsi="Wingdings" w:hint="default"/>
      </w:rPr>
    </w:lvl>
  </w:abstractNum>
  <w:abstractNum w:abstractNumId="28" w15:restartNumberingAfterBreak="0">
    <w:nsid w:val="6309259F"/>
    <w:multiLevelType w:val="multilevel"/>
    <w:tmpl w:val="46C4612E"/>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824692"/>
    <w:multiLevelType w:val="hybridMultilevel"/>
    <w:tmpl w:val="CB80740C"/>
    <w:lvl w:ilvl="0" w:tplc="9E44193A">
      <w:start w:val="1"/>
      <w:numFmt w:val="lowerRoman"/>
      <w:lvlText w:val="%1."/>
      <w:lvlJc w:val="left"/>
      <w:pPr>
        <w:tabs>
          <w:tab w:val="num" w:pos="397"/>
        </w:tabs>
        <w:ind w:left="397" w:hanging="397"/>
      </w:pPr>
      <w:rPr>
        <w:rFonts w:hint="default"/>
      </w:rPr>
    </w:lvl>
    <w:lvl w:ilvl="1" w:tplc="04F81F48">
      <w:start w:val="1"/>
      <w:numFmt w:val="none"/>
      <w:lvlRestart w:val="0"/>
      <w:lvlText w:val=""/>
      <w:lvlJc w:val="left"/>
      <w:pPr>
        <w:ind w:left="0" w:firstLine="0"/>
      </w:pPr>
      <w:rPr>
        <w:rFonts w:hint="default"/>
      </w:rPr>
    </w:lvl>
    <w:lvl w:ilvl="2" w:tplc="5C6CF822">
      <w:start w:val="1"/>
      <w:numFmt w:val="none"/>
      <w:lvlRestart w:val="0"/>
      <w:lvlText w:val=""/>
      <w:lvlJc w:val="left"/>
      <w:pPr>
        <w:ind w:left="0" w:firstLine="0"/>
      </w:pPr>
      <w:rPr>
        <w:rFonts w:hint="default"/>
      </w:rPr>
    </w:lvl>
    <w:lvl w:ilvl="3" w:tplc="B5028B04">
      <w:start w:val="1"/>
      <w:numFmt w:val="none"/>
      <w:lvlRestart w:val="0"/>
      <w:lvlText w:val=""/>
      <w:lvlJc w:val="left"/>
      <w:pPr>
        <w:ind w:left="0" w:firstLine="0"/>
      </w:pPr>
      <w:rPr>
        <w:rFonts w:hint="default"/>
      </w:rPr>
    </w:lvl>
    <w:lvl w:ilvl="4" w:tplc="7ECAA206">
      <w:start w:val="1"/>
      <w:numFmt w:val="none"/>
      <w:lvlRestart w:val="0"/>
      <w:lvlText w:val=""/>
      <w:lvlJc w:val="left"/>
      <w:pPr>
        <w:ind w:left="0" w:firstLine="0"/>
      </w:pPr>
      <w:rPr>
        <w:rFonts w:hint="default"/>
      </w:rPr>
    </w:lvl>
    <w:lvl w:ilvl="5" w:tplc="316EC4BA">
      <w:start w:val="1"/>
      <w:numFmt w:val="none"/>
      <w:lvlRestart w:val="0"/>
      <w:lvlText w:val=""/>
      <w:lvlJc w:val="left"/>
      <w:pPr>
        <w:ind w:left="0" w:firstLine="0"/>
      </w:pPr>
      <w:rPr>
        <w:rFonts w:hint="default"/>
      </w:rPr>
    </w:lvl>
    <w:lvl w:ilvl="6" w:tplc="8F7E4B76">
      <w:start w:val="1"/>
      <w:numFmt w:val="none"/>
      <w:lvlRestart w:val="0"/>
      <w:lvlText w:val=""/>
      <w:lvlJc w:val="left"/>
      <w:pPr>
        <w:ind w:left="0" w:firstLine="0"/>
      </w:pPr>
      <w:rPr>
        <w:rFonts w:hint="default"/>
      </w:rPr>
    </w:lvl>
    <w:lvl w:ilvl="7" w:tplc="75A6F528">
      <w:start w:val="1"/>
      <w:numFmt w:val="none"/>
      <w:lvlRestart w:val="0"/>
      <w:lvlText w:val=""/>
      <w:lvlJc w:val="left"/>
      <w:pPr>
        <w:ind w:left="0" w:firstLine="0"/>
      </w:pPr>
      <w:rPr>
        <w:rFonts w:hint="default"/>
      </w:rPr>
    </w:lvl>
    <w:lvl w:ilvl="8" w:tplc="89DAE1B4">
      <w:start w:val="1"/>
      <w:numFmt w:val="none"/>
      <w:lvlRestart w:val="0"/>
      <w:lvlText w:val=""/>
      <w:lvlJc w:val="left"/>
      <w:pPr>
        <w:ind w:left="0" w:firstLine="0"/>
      </w:pPr>
      <w:rPr>
        <w:rFonts w:hint="default"/>
      </w:rPr>
    </w:lvl>
  </w:abstractNum>
  <w:abstractNum w:abstractNumId="30" w15:restartNumberingAfterBreak="0">
    <w:nsid w:val="6C62394B"/>
    <w:multiLevelType w:val="multilevel"/>
    <w:tmpl w:val="7EFC19EC"/>
    <w:lvl w:ilvl="0">
      <w:start w:val="1"/>
      <w:numFmt w:val="decimal"/>
      <w:pStyle w:val="BriefingPa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0247698"/>
    <w:multiLevelType w:val="hybridMultilevel"/>
    <w:tmpl w:val="1398EF24"/>
    <w:lvl w:ilvl="0" w:tplc="55C258B0">
      <w:start w:val="1"/>
      <w:numFmt w:val="bullet"/>
      <w:pStyle w:val="Tablebullet9pt"/>
      <w:lvlText w:val="•"/>
      <w:lvlJc w:val="left"/>
      <w:pPr>
        <w:ind w:left="227" w:hanging="227"/>
      </w:pPr>
      <w:rPr>
        <w:rFonts w:ascii="Calibri" w:hAnsi="Calibri" w:hint="default"/>
      </w:rPr>
    </w:lvl>
    <w:lvl w:ilvl="1" w:tplc="BC20A024">
      <w:start w:val="1"/>
      <w:numFmt w:val="decimal"/>
      <w:lvlRestart w:val="0"/>
      <w:lvlText w:val=""/>
      <w:lvlJc w:val="left"/>
      <w:pPr>
        <w:ind w:left="0" w:firstLine="0"/>
      </w:pPr>
    </w:lvl>
    <w:lvl w:ilvl="2" w:tplc="06F078C0">
      <w:start w:val="1"/>
      <w:numFmt w:val="decimal"/>
      <w:lvlRestart w:val="0"/>
      <w:lvlText w:val=""/>
      <w:lvlJc w:val="left"/>
      <w:pPr>
        <w:ind w:left="0" w:firstLine="0"/>
      </w:pPr>
    </w:lvl>
    <w:lvl w:ilvl="3" w:tplc="C1C2E074">
      <w:start w:val="1"/>
      <w:numFmt w:val="decimal"/>
      <w:lvlRestart w:val="0"/>
      <w:lvlText w:val=""/>
      <w:lvlJc w:val="left"/>
      <w:pPr>
        <w:ind w:left="0" w:firstLine="0"/>
      </w:pPr>
    </w:lvl>
    <w:lvl w:ilvl="4" w:tplc="5A12BDC2">
      <w:start w:val="1"/>
      <w:numFmt w:val="decimal"/>
      <w:lvlRestart w:val="0"/>
      <w:lvlText w:val=""/>
      <w:lvlJc w:val="left"/>
      <w:pPr>
        <w:ind w:left="0" w:firstLine="0"/>
      </w:pPr>
    </w:lvl>
    <w:lvl w:ilvl="5" w:tplc="40FC5E4A">
      <w:start w:val="1"/>
      <w:numFmt w:val="decimal"/>
      <w:lvlRestart w:val="0"/>
      <w:lvlText w:val=""/>
      <w:lvlJc w:val="left"/>
      <w:pPr>
        <w:ind w:left="0" w:firstLine="0"/>
      </w:pPr>
    </w:lvl>
    <w:lvl w:ilvl="6" w:tplc="91747F7E">
      <w:start w:val="1"/>
      <w:numFmt w:val="decimal"/>
      <w:lvlRestart w:val="0"/>
      <w:lvlText w:val=""/>
      <w:lvlJc w:val="left"/>
      <w:pPr>
        <w:ind w:left="0" w:firstLine="0"/>
      </w:pPr>
    </w:lvl>
    <w:lvl w:ilvl="7" w:tplc="9E465B2E">
      <w:start w:val="1"/>
      <w:numFmt w:val="decimal"/>
      <w:lvlRestart w:val="0"/>
      <w:lvlText w:val=""/>
      <w:lvlJc w:val="left"/>
      <w:pPr>
        <w:ind w:left="0" w:firstLine="0"/>
      </w:pPr>
    </w:lvl>
    <w:lvl w:ilvl="8" w:tplc="4A3C4388">
      <w:start w:val="1"/>
      <w:numFmt w:val="decimal"/>
      <w:lvlRestart w:val="0"/>
      <w:lvlText w:val=""/>
      <w:lvlJc w:val="left"/>
      <w:pPr>
        <w:ind w:left="0" w:firstLine="0"/>
      </w:pPr>
    </w:lvl>
  </w:abstractNum>
  <w:abstractNum w:abstractNumId="32" w15:restartNumberingAfterBreak="0">
    <w:nsid w:val="703E4E57"/>
    <w:multiLevelType w:val="multilevel"/>
    <w:tmpl w:val="809ED530"/>
    <w:styleLink w:val="ZZTablenoteroman"/>
    <w:lvl w:ilvl="0">
      <w:start w:val="1"/>
      <w:numFmt w:val="lowerRoman"/>
      <w:pStyle w:val="Tablenoteroman"/>
      <w:lvlText w:val="%1."/>
      <w:lvlJc w:val="left"/>
      <w:pPr>
        <w:tabs>
          <w:tab w:val="num" w:pos="397"/>
        </w:tabs>
        <w:ind w:left="397" w:hanging="397"/>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93C4C7B"/>
    <w:multiLevelType w:val="hybridMultilevel"/>
    <w:tmpl w:val="BEFEB83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31742570">
    <w:abstractNumId w:val="11"/>
  </w:num>
  <w:num w:numId="2" w16cid:durableId="849837120">
    <w:abstractNumId w:val="12"/>
  </w:num>
  <w:num w:numId="3" w16cid:durableId="1144472789">
    <w:abstractNumId w:val="25"/>
  </w:num>
  <w:num w:numId="4" w16cid:durableId="114373276">
    <w:abstractNumId w:val="14"/>
  </w:num>
  <w:num w:numId="5" w16cid:durableId="175537732">
    <w:abstractNumId w:val="15"/>
  </w:num>
  <w:num w:numId="6" w16cid:durableId="1083717710">
    <w:abstractNumId w:val="5"/>
  </w:num>
  <w:num w:numId="7" w16cid:durableId="1588924766">
    <w:abstractNumId w:val="29"/>
  </w:num>
  <w:num w:numId="8" w16cid:durableId="1989700118">
    <w:abstractNumId w:val="16"/>
  </w:num>
  <w:num w:numId="9" w16cid:durableId="1864780678">
    <w:abstractNumId w:val="1"/>
  </w:num>
  <w:num w:numId="10" w16cid:durableId="2000496870">
    <w:abstractNumId w:val="20"/>
  </w:num>
  <w:num w:numId="11" w16cid:durableId="1894540776">
    <w:abstractNumId w:val="9"/>
  </w:num>
  <w:num w:numId="12" w16cid:durableId="1318068750">
    <w:abstractNumId w:val="6"/>
  </w:num>
  <w:num w:numId="13" w16cid:durableId="2141536474">
    <w:abstractNumId w:val="10"/>
  </w:num>
  <w:num w:numId="14" w16cid:durableId="1530492008">
    <w:abstractNumId w:val="2"/>
  </w:num>
  <w:num w:numId="15" w16cid:durableId="803043767">
    <w:abstractNumId w:val="0"/>
  </w:num>
  <w:num w:numId="16" w16cid:durableId="1840536388">
    <w:abstractNumId w:val="3"/>
  </w:num>
  <w:num w:numId="17" w16cid:durableId="1209338515">
    <w:abstractNumId w:val="21"/>
  </w:num>
  <w:num w:numId="18" w16cid:durableId="873037218">
    <w:abstractNumId w:val="24"/>
  </w:num>
  <w:num w:numId="19" w16cid:durableId="1271933411">
    <w:abstractNumId w:val="8"/>
  </w:num>
  <w:num w:numId="20" w16cid:durableId="1561289049">
    <w:abstractNumId w:val="4"/>
  </w:num>
  <w:num w:numId="21" w16cid:durableId="207887534">
    <w:abstractNumId w:val="28"/>
  </w:num>
  <w:num w:numId="22" w16cid:durableId="2046903037">
    <w:abstractNumId w:val="19"/>
  </w:num>
  <w:num w:numId="23" w16cid:durableId="2315005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0568343">
    <w:abstractNumId w:val="8"/>
    <w:lvlOverride w:ilvl="0">
      <w:lvl w:ilvl="0">
        <w:start w:val="1"/>
        <w:numFmt w:val="decimal"/>
        <w:pStyle w:val="Heading2Addendums"/>
        <w:suff w:val="space"/>
        <w:lvlText w:val="Addendum 1.%1:"/>
        <w:lvlJc w:val="left"/>
        <w:pPr>
          <w:ind w:left="0" w:firstLine="0"/>
        </w:pPr>
        <w:rPr>
          <w:rFonts w:hint="default"/>
        </w:rPr>
      </w:lvl>
    </w:lvlOverride>
  </w:num>
  <w:num w:numId="25" w16cid:durableId="202821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703587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03924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6396118">
    <w:abstractNumId w:val="26"/>
  </w:num>
  <w:num w:numId="29" w16cid:durableId="165860550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12752432">
    <w:abstractNumId w:val="27"/>
  </w:num>
  <w:num w:numId="31" w16cid:durableId="716272578">
    <w:abstractNumId w:val="18"/>
  </w:num>
  <w:num w:numId="32" w16cid:durableId="1065299483">
    <w:abstractNumId w:val="23"/>
  </w:num>
  <w:num w:numId="33" w16cid:durableId="1618677651">
    <w:abstractNumId w:val="7"/>
  </w:num>
  <w:num w:numId="34" w16cid:durableId="10665641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8270053">
    <w:abstractNumId w:val="33"/>
  </w:num>
  <w:num w:numId="36" w16cid:durableId="623076964">
    <w:abstractNumId w:val="17"/>
  </w:num>
  <w:num w:numId="37" w16cid:durableId="1324072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084807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220203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57807814">
    <w:abstractNumId w:val="31"/>
  </w:num>
  <w:num w:numId="41" w16cid:durableId="1433621815">
    <w:abstractNumId w:val="30"/>
  </w:num>
  <w:num w:numId="42" w16cid:durableId="228728581">
    <w:abstractNumId w:val="22"/>
  </w:num>
  <w:num w:numId="43" w16cid:durableId="790129217">
    <w:abstractNumId w:val="32"/>
  </w:num>
  <w:num w:numId="44" w16cid:durableId="2113164945">
    <w:abstractNumId w:val="24"/>
  </w:num>
  <w:num w:numId="45" w16cid:durableId="835654499">
    <w:abstractNumId w:val="24"/>
  </w:num>
  <w:num w:numId="46" w16cid:durableId="169874241">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comments" w:formatting="1"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3NTOzNLIwMTYyMjRS0lEKTi0uzszPAykwrgUAf9o8qSwAAAA="/>
  </w:docVars>
  <w:rsids>
    <w:rsidRoot w:val="001A6272"/>
    <w:rsid w:val="000002E7"/>
    <w:rsid w:val="0000036D"/>
    <w:rsid w:val="0000042A"/>
    <w:rsid w:val="00000555"/>
    <w:rsid w:val="00000719"/>
    <w:rsid w:val="00000848"/>
    <w:rsid w:val="00000971"/>
    <w:rsid w:val="00000DA0"/>
    <w:rsid w:val="000012F8"/>
    <w:rsid w:val="00001319"/>
    <w:rsid w:val="00001367"/>
    <w:rsid w:val="00001572"/>
    <w:rsid w:val="0000184E"/>
    <w:rsid w:val="00001B32"/>
    <w:rsid w:val="00001C48"/>
    <w:rsid w:val="00001D4A"/>
    <w:rsid w:val="00001DA2"/>
    <w:rsid w:val="00001DC1"/>
    <w:rsid w:val="00001E24"/>
    <w:rsid w:val="00002057"/>
    <w:rsid w:val="000021A3"/>
    <w:rsid w:val="00002540"/>
    <w:rsid w:val="00002CFD"/>
    <w:rsid w:val="00002D68"/>
    <w:rsid w:val="00002F47"/>
    <w:rsid w:val="000031C3"/>
    <w:rsid w:val="00003355"/>
    <w:rsid w:val="000033F7"/>
    <w:rsid w:val="00003403"/>
    <w:rsid w:val="000034EC"/>
    <w:rsid w:val="000039C1"/>
    <w:rsid w:val="00003D7E"/>
    <w:rsid w:val="0000435A"/>
    <w:rsid w:val="0000444F"/>
    <w:rsid w:val="000048B2"/>
    <w:rsid w:val="00004DC6"/>
    <w:rsid w:val="000050F7"/>
    <w:rsid w:val="00005267"/>
    <w:rsid w:val="00005347"/>
    <w:rsid w:val="0000549E"/>
    <w:rsid w:val="0000558A"/>
    <w:rsid w:val="00005911"/>
    <w:rsid w:val="00005A07"/>
    <w:rsid w:val="00005D56"/>
    <w:rsid w:val="00005E4B"/>
    <w:rsid w:val="00005EC0"/>
    <w:rsid w:val="00005F5D"/>
    <w:rsid w:val="00006086"/>
    <w:rsid w:val="00006089"/>
    <w:rsid w:val="0000617B"/>
    <w:rsid w:val="00006250"/>
    <w:rsid w:val="000063B2"/>
    <w:rsid w:val="000063FF"/>
    <w:rsid w:val="000064B3"/>
    <w:rsid w:val="000064FF"/>
    <w:rsid w:val="000065EC"/>
    <w:rsid w:val="000069DC"/>
    <w:rsid w:val="00006A56"/>
    <w:rsid w:val="00006F9B"/>
    <w:rsid w:val="0000717D"/>
    <w:rsid w:val="000071C6"/>
    <w:rsid w:val="000072B6"/>
    <w:rsid w:val="00007561"/>
    <w:rsid w:val="0000756E"/>
    <w:rsid w:val="000075CE"/>
    <w:rsid w:val="000075E4"/>
    <w:rsid w:val="0000796A"/>
    <w:rsid w:val="00007A5B"/>
    <w:rsid w:val="00007AF6"/>
    <w:rsid w:val="00007C6C"/>
    <w:rsid w:val="00007D11"/>
    <w:rsid w:val="00007E42"/>
    <w:rsid w:val="00007F6F"/>
    <w:rsid w:val="0001021B"/>
    <w:rsid w:val="00010294"/>
    <w:rsid w:val="0001029C"/>
    <w:rsid w:val="000104B0"/>
    <w:rsid w:val="0001051E"/>
    <w:rsid w:val="00010817"/>
    <w:rsid w:val="000109C3"/>
    <w:rsid w:val="00010B19"/>
    <w:rsid w:val="00010BCC"/>
    <w:rsid w:val="00010C77"/>
    <w:rsid w:val="00010CC7"/>
    <w:rsid w:val="00010D2D"/>
    <w:rsid w:val="00010D39"/>
    <w:rsid w:val="00010F57"/>
    <w:rsid w:val="0001107E"/>
    <w:rsid w:val="000110A1"/>
    <w:rsid w:val="00011671"/>
    <w:rsid w:val="000117B9"/>
    <w:rsid w:val="000117CB"/>
    <w:rsid w:val="00011818"/>
    <w:rsid w:val="0001194D"/>
    <w:rsid w:val="00011C5E"/>
    <w:rsid w:val="00011D89"/>
    <w:rsid w:val="00011FEB"/>
    <w:rsid w:val="00012353"/>
    <w:rsid w:val="000124B7"/>
    <w:rsid w:val="0001272F"/>
    <w:rsid w:val="00012B2C"/>
    <w:rsid w:val="00012BA5"/>
    <w:rsid w:val="00012EB7"/>
    <w:rsid w:val="00012FE6"/>
    <w:rsid w:val="000130C5"/>
    <w:rsid w:val="000132AF"/>
    <w:rsid w:val="0001337B"/>
    <w:rsid w:val="00013450"/>
    <w:rsid w:val="00013554"/>
    <w:rsid w:val="000137C5"/>
    <w:rsid w:val="00013835"/>
    <w:rsid w:val="00013856"/>
    <w:rsid w:val="00013B42"/>
    <w:rsid w:val="00013D4D"/>
    <w:rsid w:val="00013D5D"/>
    <w:rsid w:val="00014917"/>
    <w:rsid w:val="0001492A"/>
    <w:rsid w:val="00014A3F"/>
    <w:rsid w:val="00014A6A"/>
    <w:rsid w:val="00014BB2"/>
    <w:rsid w:val="00014C39"/>
    <w:rsid w:val="00014D0C"/>
    <w:rsid w:val="00014D31"/>
    <w:rsid w:val="000153FE"/>
    <w:rsid w:val="000154D2"/>
    <w:rsid w:val="000154FD"/>
    <w:rsid w:val="0001570E"/>
    <w:rsid w:val="0001578B"/>
    <w:rsid w:val="00015BCA"/>
    <w:rsid w:val="00015F7D"/>
    <w:rsid w:val="00016158"/>
    <w:rsid w:val="000163B7"/>
    <w:rsid w:val="00016517"/>
    <w:rsid w:val="00016836"/>
    <w:rsid w:val="00016A79"/>
    <w:rsid w:val="00016A88"/>
    <w:rsid w:val="00016B16"/>
    <w:rsid w:val="00016B4D"/>
    <w:rsid w:val="00017140"/>
    <w:rsid w:val="00017277"/>
    <w:rsid w:val="000175BB"/>
    <w:rsid w:val="00017BE0"/>
    <w:rsid w:val="00017CFD"/>
    <w:rsid w:val="00017FFC"/>
    <w:rsid w:val="000201A6"/>
    <w:rsid w:val="000201BC"/>
    <w:rsid w:val="0002020A"/>
    <w:rsid w:val="00020A6E"/>
    <w:rsid w:val="00020B5A"/>
    <w:rsid w:val="00020D84"/>
    <w:rsid w:val="00021245"/>
    <w:rsid w:val="00021963"/>
    <w:rsid w:val="00021D43"/>
    <w:rsid w:val="0002212C"/>
    <w:rsid w:val="00022271"/>
    <w:rsid w:val="00022376"/>
    <w:rsid w:val="000226D9"/>
    <w:rsid w:val="000228A3"/>
    <w:rsid w:val="00022AA2"/>
    <w:rsid w:val="00022B6A"/>
    <w:rsid w:val="00022CE2"/>
    <w:rsid w:val="00022E57"/>
    <w:rsid w:val="00022E60"/>
    <w:rsid w:val="000231EB"/>
    <w:rsid w:val="000235E8"/>
    <w:rsid w:val="00023AF1"/>
    <w:rsid w:val="00023C65"/>
    <w:rsid w:val="00023D38"/>
    <w:rsid w:val="00023D60"/>
    <w:rsid w:val="00023D85"/>
    <w:rsid w:val="00023DA5"/>
    <w:rsid w:val="00023ED0"/>
    <w:rsid w:val="00024079"/>
    <w:rsid w:val="0002415D"/>
    <w:rsid w:val="000246E8"/>
    <w:rsid w:val="000247A6"/>
    <w:rsid w:val="000247C3"/>
    <w:rsid w:val="00024D89"/>
    <w:rsid w:val="000250B6"/>
    <w:rsid w:val="0002519E"/>
    <w:rsid w:val="000256A0"/>
    <w:rsid w:val="000258D0"/>
    <w:rsid w:val="00025EB9"/>
    <w:rsid w:val="00025FB2"/>
    <w:rsid w:val="0002613C"/>
    <w:rsid w:val="00026630"/>
    <w:rsid w:val="0002664B"/>
    <w:rsid w:val="0002684A"/>
    <w:rsid w:val="000269FA"/>
    <w:rsid w:val="00026CD8"/>
    <w:rsid w:val="000272E4"/>
    <w:rsid w:val="0002760C"/>
    <w:rsid w:val="00027D33"/>
    <w:rsid w:val="00027E41"/>
    <w:rsid w:val="00030065"/>
    <w:rsid w:val="0003007E"/>
    <w:rsid w:val="000302CB"/>
    <w:rsid w:val="000307BC"/>
    <w:rsid w:val="0003082B"/>
    <w:rsid w:val="000308BD"/>
    <w:rsid w:val="000308FF"/>
    <w:rsid w:val="00030CDD"/>
    <w:rsid w:val="00030D75"/>
    <w:rsid w:val="00030E59"/>
    <w:rsid w:val="00030F06"/>
    <w:rsid w:val="00031117"/>
    <w:rsid w:val="000311A4"/>
    <w:rsid w:val="00031323"/>
    <w:rsid w:val="000313EE"/>
    <w:rsid w:val="000316F8"/>
    <w:rsid w:val="00032759"/>
    <w:rsid w:val="00032803"/>
    <w:rsid w:val="00032A26"/>
    <w:rsid w:val="000332B2"/>
    <w:rsid w:val="00033860"/>
    <w:rsid w:val="00033A28"/>
    <w:rsid w:val="00033D81"/>
    <w:rsid w:val="00033DC9"/>
    <w:rsid w:val="00033F8B"/>
    <w:rsid w:val="000342A8"/>
    <w:rsid w:val="0003441E"/>
    <w:rsid w:val="00034497"/>
    <w:rsid w:val="00034981"/>
    <w:rsid w:val="00034B74"/>
    <w:rsid w:val="00034BFB"/>
    <w:rsid w:val="00034CA2"/>
    <w:rsid w:val="00034ECA"/>
    <w:rsid w:val="00034FD5"/>
    <w:rsid w:val="000350A2"/>
    <w:rsid w:val="0003517F"/>
    <w:rsid w:val="000352BF"/>
    <w:rsid w:val="000354FE"/>
    <w:rsid w:val="00036378"/>
    <w:rsid w:val="00036878"/>
    <w:rsid w:val="000369AF"/>
    <w:rsid w:val="00036AB6"/>
    <w:rsid w:val="00036AC1"/>
    <w:rsid w:val="00036AE8"/>
    <w:rsid w:val="00036F13"/>
    <w:rsid w:val="00036F32"/>
    <w:rsid w:val="000370C0"/>
    <w:rsid w:val="00037326"/>
    <w:rsid w:val="00037366"/>
    <w:rsid w:val="000373A1"/>
    <w:rsid w:val="000375F7"/>
    <w:rsid w:val="000379CA"/>
    <w:rsid w:val="00037AC8"/>
    <w:rsid w:val="00037B77"/>
    <w:rsid w:val="00037D8B"/>
    <w:rsid w:val="00037E11"/>
    <w:rsid w:val="00040714"/>
    <w:rsid w:val="00040E54"/>
    <w:rsid w:val="00041433"/>
    <w:rsid w:val="00041BF0"/>
    <w:rsid w:val="00041D4B"/>
    <w:rsid w:val="00042001"/>
    <w:rsid w:val="000421A8"/>
    <w:rsid w:val="000425A1"/>
    <w:rsid w:val="0004276C"/>
    <w:rsid w:val="0004278D"/>
    <w:rsid w:val="00042833"/>
    <w:rsid w:val="0004285C"/>
    <w:rsid w:val="000428FF"/>
    <w:rsid w:val="00042954"/>
    <w:rsid w:val="00042BA9"/>
    <w:rsid w:val="00042C8A"/>
    <w:rsid w:val="00042EF0"/>
    <w:rsid w:val="000433C6"/>
    <w:rsid w:val="000434EB"/>
    <w:rsid w:val="000439B4"/>
    <w:rsid w:val="000439E5"/>
    <w:rsid w:val="00043ACD"/>
    <w:rsid w:val="00043CAC"/>
    <w:rsid w:val="00044326"/>
    <w:rsid w:val="00044542"/>
    <w:rsid w:val="00044943"/>
    <w:rsid w:val="00044A31"/>
    <w:rsid w:val="00044D47"/>
    <w:rsid w:val="00044FEB"/>
    <w:rsid w:val="0004536B"/>
    <w:rsid w:val="00045492"/>
    <w:rsid w:val="000454CC"/>
    <w:rsid w:val="000456C7"/>
    <w:rsid w:val="00045A97"/>
    <w:rsid w:val="00046256"/>
    <w:rsid w:val="000462CF"/>
    <w:rsid w:val="000466A2"/>
    <w:rsid w:val="00046B68"/>
    <w:rsid w:val="00046FAB"/>
    <w:rsid w:val="0004700C"/>
    <w:rsid w:val="000471E2"/>
    <w:rsid w:val="000473FF"/>
    <w:rsid w:val="00047503"/>
    <w:rsid w:val="0004767F"/>
    <w:rsid w:val="00047A7E"/>
    <w:rsid w:val="00047F83"/>
    <w:rsid w:val="00047FFC"/>
    <w:rsid w:val="0005068D"/>
    <w:rsid w:val="00050809"/>
    <w:rsid w:val="00050838"/>
    <w:rsid w:val="000509C6"/>
    <w:rsid w:val="00050DD4"/>
    <w:rsid w:val="00050E4C"/>
    <w:rsid w:val="00050EE4"/>
    <w:rsid w:val="000510DC"/>
    <w:rsid w:val="000511A4"/>
    <w:rsid w:val="00051D28"/>
    <w:rsid w:val="00051D2D"/>
    <w:rsid w:val="0005217F"/>
    <w:rsid w:val="000522FF"/>
    <w:rsid w:val="0005242D"/>
    <w:rsid w:val="000527DD"/>
    <w:rsid w:val="000528E1"/>
    <w:rsid w:val="00052B11"/>
    <w:rsid w:val="00052FE7"/>
    <w:rsid w:val="00053484"/>
    <w:rsid w:val="00053F8A"/>
    <w:rsid w:val="0005411E"/>
    <w:rsid w:val="0005436F"/>
    <w:rsid w:val="0005458E"/>
    <w:rsid w:val="00054683"/>
    <w:rsid w:val="000547E6"/>
    <w:rsid w:val="000547EB"/>
    <w:rsid w:val="000549DE"/>
    <w:rsid w:val="00054A38"/>
    <w:rsid w:val="00054BA7"/>
    <w:rsid w:val="00054DDD"/>
    <w:rsid w:val="00054DDE"/>
    <w:rsid w:val="00054F39"/>
    <w:rsid w:val="0005584E"/>
    <w:rsid w:val="00055B51"/>
    <w:rsid w:val="00055C34"/>
    <w:rsid w:val="00055CD4"/>
    <w:rsid w:val="00055FD1"/>
    <w:rsid w:val="0005617B"/>
    <w:rsid w:val="00056B13"/>
    <w:rsid w:val="00056C01"/>
    <w:rsid w:val="00056EAA"/>
    <w:rsid w:val="00056EC4"/>
    <w:rsid w:val="00056FCE"/>
    <w:rsid w:val="00057200"/>
    <w:rsid w:val="000576A8"/>
    <w:rsid w:val="000578B2"/>
    <w:rsid w:val="00057AC5"/>
    <w:rsid w:val="00057CBB"/>
    <w:rsid w:val="00057DC4"/>
    <w:rsid w:val="0006039C"/>
    <w:rsid w:val="0006049D"/>
    <w:rsid w:val="00060565"/>
    <w:rsid w:val="0006081C"/>
    <w:rsid w:val="00060959"/>
    <w:rsid w:val="00060989"/>
    <w:rsid w:val="00060C8F"/>
    <w:rsid w:val="00060E48"/>
    <w:rsid w:val="0006113D"/>
    <w:rsid w:val="0006142C"/>
    <w:rsid w:val="000614FC"/>
    <w:rsid w:val="00061E7D"/>
    <w:rsid w:val="00061EE0"/>
    <w:rsid w:val="00062169"/>
    <w:rsid w:val="0006264F"/>
    <w:rsid w:val="000627E5"/>
    <w:rsid w:val="0006298A"/>
    <w:rsid w:val="00062C01"/>
    <w:rsid w:val="00062DBC"/>
    <w:rsid w:val="00062FDF"/>
    <w:rsid w:val="00063415"/>
    <w:rsid w:val="00063519"/>
    <w:rsid w:val="0006352D"/>
    <w:rsid w:val="00063594"/>
    <w:rsid w:val="00064249"/>
    <w:rsid w:val="00064369"/>
    <w:rsid w:val="00064641"/>
    <w:rsid w:val="0006470C"/>
    <w:rsid w:val="000647B8"/>
    <w:rsid w:val="0006482F"/>
    <w:rsid w:val="000648BF"/>
    <w:rsid w:val="00064942"/>
    <w:rsid w:val="00064A50"/>
    <w:rsid w:val="00064EEC"/>
    <w:rsid w:val="00064F06"/>
    <w:rsid w:val="00065719"/>
    <w:rsid w:val="00065900"/>
    <w:rsid w:val="00065AB9"/>
    <w:rsid w:val="00065C57"/>
    <w:rsid w:val="00065D05"/>
    <w:rsid w:val="000663CD"/>
    <w:rsid w:val="0006693E"/>
    <w:rsid w:val="00066A7D"/>
    <w:rsid w:val="00066C4A"/>
    <w:rsid w:val="00066E06"/>
    <w:rsid w:val="000672BA"/>
    <w:rsid w:val="000673C8"/>
    <w:rsid w:val="0006740D"/>
    <w:rsid w:val="0006764A"/>
    <w:rsid w:val="0006776B"/>
    <w:rsid w:val="000679EF"/>
    <w:rsid w:val="00067B76"/>
    <w:rsid w:val="00067D45"/>
    <w:rsid w:val="00067E35"/>
    <w:rsid w:val="00067F1D"/>
    <w:rsid w:val="00067FC5"/>
    <w:rsid w:val="00070419"/>
    <w:rsid w:val="00070546"/>
    <w:rsid w:val="0007058C"/>
    <w:rsid w:val="0007093D"/>
    <w:rsid w:val="000709F3"/>
    <w:rsid w:val="00070CC3"/>
    <w:rsid w:val="00070DA7"/>
    <w:rsid w:val="0007106A"/>
    <w:rsid w:val="00071424"/>
    <w:rsid w:val="00071518"/>
    <w:rsid w:val="000716C4"/>
    <w:rsid w:val="00071A45"/>
    <w:rsid w:val="00071BF0"/>
    <w:rsid w:val="00071BF5"/>
    <w:rsid w:val="00071E0E"/>
    <w:rsid w:val="00071E68"/>
    <w:rsid w:val="00071EB4"/>
    <w:rsid w:val="00071F97"/>
    <w:rsid w:val="0007200A"/>
    <w:rsid w:val="000720B1"/>
    <w:rsid w:val="0007216C"/>
    <w:rsid w:val="00072351"/>
    <w:rsid w:val="0007248C"/>
    <w:rsid w:val="00072543"/>
    <w:rsid w:val="00072747"/>
    <w:rsid w:val="000727BF"/>
    <w:rsid w:val="00072B67"/>
    <w:rsid w:val="00073096"/>
    <w:rsid w:val="000733FE"/>
    <w:rsid w:val="000734F8"/>
    <w:rsid w:val="0007399A"/>
    <w:rsid w:val="00073CFE"/>
    <w:rsid w:val="00073D0A"/>
    <w:rsid w:val="00073D11"/>
    <w:rsid w:val="00073D90"/>
    <w:rsid w:val="00073DB4"/>
    <w:rsid w:val="00073E0B"/>
    <w:rsid w:val="00074219"/>
    <w:rsid w:val="00074A17"/>
    <w:rsid w:val="00074CBC"/>
    <w:rsid w:val="00074DE3"/>
    <w:rsid w:val="00074ED5"/>
    <w:rsid w:val="00074FF3"/>
    <w:rsid w:val="0007536B"/>
    <w:rsid w:val="00075444"/>
    <w:rsid w:val="00075672"/>
    <w:rsid w:val="000756DD"/>
    <w:rsid w:val="000758A9"/>
    <w:rsid w:val="00075C38"/>
    <w:rsid w:val="00076036"/>
    <w:rsid w:val="00076133"/>
    <w:rsid w:val="0007647A"/>
    <w:rsid w:val="000769E8"/>
    <w:rsid w:val="00076AD2"/>
    <w:rsid w:val="0007719C"/>
    <w:rsid w:val="000771F2"/>
    <w:rsid w:val="00077745"/>
    <w:rsid w:val="00077746"/>
    <w:rsid w:val="00077A62"/>
    <w:rsid w:val="00077FFD"/>
    <w:rsid w:val="0008053C"/>
    <w:rsid w:val="0008075C"/>
    <w:rsid w:val="00080DD0"/>
    <w:rsid w:val="000813FB"/>
    <w:rsid w:val="0008143A"/>
    <w:rsid w:val="0008177A"/>
    <w:rsid w:val="00081936"/>
    <w:rsid w:val="00081962"/>
    <w:rsid w:val="00081A9E"/>
    <w:rsid w:val="00081AED"/>
    <w:rsid w:val="00081D50"/>
    <w:rsid w:val="0008204A"/>
    <w:rsid w:val="0008206B"/>
    <w:rsid w:val="00082483"/>
    <w:rsid w:val="000826BA"/>
    <w:rsid w:val="00082F60"/>
    <w:rsid w:val="00083174"/>
    <w:rsid w:val="000832ED"/>
    <w:rsid w:val="00083E95"/>
    <w:rsid w:val="00083F1A"/>
    <w:rsid w:val="00084061"/>
    <w:rsid w:val="00084336"/>
    <w:rsid w:val="00084698"/>
    <w:rsid w:val="000846CB"/>
    <w:rsid w:val="00084706"/>
    <w:rsid w:val="0008479B"/>
    <w:rsid w:val="000849B7"/>
    <w:rsid w:val="00084A83"/>
    <w:rsid w:val="00084BB6"/>
    <w:rsid w:val="00084C01"/>
    <w:rsid w:val="00084C04"/>
    <w:rsid w:val="0008508E"/>
    <w:rsid w:val="000859C8"/>
    <w:rsid w:val="00085BD4"/>
    <w:rsid w:val="00085C0F"/>
    <w:rsid w:val="00085C3D"/>
    <w:rsid w:val="000868DC"/>
    <w:rsid w:val="00086F3E"/>
    <w:rsid w:val="00086F57"/>
    <w:rsid w:val="0008726A"/>
    <w:rsid w:val="000878F4"/>
    <w:rsid w:val="00087951"/>
    <w:rsid w:val="0009021A"/>
    <w:rsid w:val="000902B6"/>
    <w:rsid w:val="00090391"/>
    <w:rsid w:val="000907BE"/>
    <w:rsid w:val="00090A48"/>
    <w:rsid w:val="0009113B"/>
    <w:rsid w:val="0009124B"/>
    <w:rsid w:val="00091651"/>
    <w:rsid w:val="000916E2"/>
    <w:rsid w:val="0009182F"/>
    <w:rsid w:val="00091B24"/>
    <w:rsid w:val="0009202A"/>
    <w:rsid w:val="0009230A"/>
    <w:rsid w:val="00092420"/>
    <w:rsid w:val="0009246A"/>
    <w:rsid w:val="00092576"/>
    <w:rsid w:val="000929D7"/>
    <w:rsid w:val="000929DC"/>
    <w:rsid w:val="00092BA4"/>
    <w:rsid w:val="00092C46"/>
    <w:rsid w:val="00092D83"/>
    <w:rsid w:val="00092DC6"/>
    <w:rsid w:val="00092F0D"/>
    <w:rsid w:val="00093033"/>
    <w:rsid w:val="0009332A"/>
    <w:rsid w:val="00093343"/>
    <w:rsid w:val="00093402"/>
    <w:rsid w:val="0009345C"/>
    <w:rsid w:val="0009371E"/>
    <w:rsid w:val="000937E5"/>
    <w:rsid w:val="00093D1E"/>
    <w:rsid w:val="00093DBC"/>
    <w:rsid w:val="00094898"/>
    <w:rsid w:val="000949F9"/>
    <w:rsid w:val="00094C50"/>
    <w:rsid w:val="00094CAA"/>
    <w:rsid w:val="00094DA3"/>
    <w:rsid w:val="00094DD2"/>
    <w:rsid w:val="00095518"/>
    <w:rsid w:val="00095875"/>
    <w:rsid w:val="000958F2"/>
    <w:rsid w:val="00095B24"/>
    <w:rsid w:val="00095B8D"/>
    <w:rsid w:val="00095E3C"/>
    <w:rsid w:val="0009618A"/>
    <w:rsid w:val="00096230"/>
    <w:rsid w:val="000963E5"/>
    <w:rsid w:val="0009682C"/>
    <w:rsid w:val="00096B07"/>
    <w:rsid w:val="00096B23"/>
    <w:rsid w:val="00096C7B"/>
    <w:rsid w:val="00096CD1"/>
    <w:rsid w:val="00096F19"/>
    <w:rsid w:val="00096F35"/>
    <w:rsid w:val="00097056"/>
    <w:rsid w:val="000973C9"/>
    <w:rsid w:val="00097967"/>
    <w:rsid w:val="0009801D"/>
    <w:rsid w:val="000A012C"/>
    <w:rsid w:val="000A032E"/>
    <w:rsid w:val="000A087A"/>
    <w:rsid w:val="000A0969"/>
    <w:rsid w:val="000A0C56"/>
    <w:rsid w:val="000A0DAE"/>
    <w:rsid w:val="000A0EB9"/>
    <w:rsid w:val="000A1269"/>
    <w:rsid w:val="000A14AB"/>
    <w:rsid w:val="000A1523"/>
    <w:rsid w:val="000A1790"/>
    <w:rsid w:val="000A186C"/>
    <w:rsid w:val="000A1B77"/>
    <w:rsid w:val="000A1BBC"/>
    <w:rsid w:val="000A1E90"/>
    <w:rsid w:val="000A1EA4"/>
    <w:rsid w:val="000A2355"/>
    <w:rsid w:val="000A2476"/>
    <w:rsid w:val="000A2602"/>
    <w:rsid w:val="000A295E"/>
    <w:rsid w:val="000A29E3"/>
    <w:rsid w:val="000A2E87"/>
    <w:rsid w:val="000A3132"/>
    <w:rsid w:val="000A354B"/>
    <w:rsid w:val="000A355B"/>
    <w:rsid w:val="000A3D3C"/>
    <w:rsid w:val="000A3FB3"/>
    <w:rsid w:val="000A4606"/>
    <w:rsid w:val="000A46B4"/>
    <w:rsid w:val="000A4786"/>
    <w:rsid w:val="000A4C88"/>
    <w:rsid w:val="000A4C93"/>
    <w:rsid w:val="000A4DD0"/>
    <w:rsid w:val="000A4DD2"/>
    <w:rsid w:val="000A5053"/>
    <w:rsid w:val="000A51EB"/>
    <w:rsid w:val="000A54D9"/>
    <w:rsid w:val="000A5750"/>
    <w:rsid w:val="000A5EE6"/>
    <w:rsid w:val="000A5F11"/>
    <w:rsid w:val="000A5F49"/>
    <w:rsid w:val="000A5F56"/>
    <w:rsid w:val="000A6328"/>
    <w:rsid w:val="000A641A"/>
    <w:rsid w:val="000A64DB"/>
    <w:rsid w:val="000A653F"/>
    <w:rsid w:val="000A67A5"/>
    <w:rsid w:val="000A68F2"/>
    <w:rsid w:val="000A6BCD"/>
    <w:rsid w:val="000A6E00"/>
    <w:rsid w:val="000A6FD6"/>
    <w:rsid w:val="000A740B"/>
    <w:rsid w:val="000A76B6"/>
    <w:rsid w:val="000A76BC"/>
    <w:rsid w:val="000B0164"/>
    <w:rsid w:val="000B0656"/>
    <w:rsid w:val="000B0BAB"/>
    <w:rsid w:val="000B1705"/>
    <w:rsid w:val="000B1A75"/>
    <w:rsid w:val="000B1C45"/>
    <w:rsid w:val="000B1EDE"/>
    <w:rsid w:val="000B206A"/>
    <w:rsid w:val="000B2226"/>
    <w:rsid w:val="000B24CA"/>
    <w:rsid w:val="000B262A"/>
    <w:rsid w:val="000B26F5"/>
    <w:rsid w:val="000B2771"/>
    <w:rsid w:val="000B27B9"/>
    <w:rsid w:val="000B2822"/>
    <w:rsid w:val="000B2EC7"/>
    <w:rsid w:val="000B2F9A"/>
    <w:rsid w:val="000B3002"/>
    <w:rsid w:val="000B30E0"/>
    <w:rsid w:val="000B30F7"/>
    <w:rsid w:val="000B34DF"/>
    <w:rsid w:val="000B35B7"/>
    <w:rsid w:val="000B35F3"/>
    <w:rsid w:val="000B3831"/>
    <w:rsid w:val="000B3DE4"/>
    <w:rsid w:val="000B3EDB"/>
    <w:rsid w:val="000B3F10"/>
    <w:rsid w:val="000B4241"/>
    <w:rsid w:val="000B42AF"/>
    <w:rsid w:val="000B4ADC"/>
    <w:rsid w:val="000B4B67"/>
    <w:rsid w:val="000B4F26"/>
    <w:rsid w:val="000B4F2D"/>
    <w:rsid w:val="000B537D"/>
    <w:rsid w:val="000B543D"/>
    <w:rsid w:val="000B55F9"/>
    <w:rsid w:val="000B575F"/>
    <w:rsid w:val="000B58D6"/>
    <w:rsid w:val="000B5A61"/>
    <w:rsid w:val="000B5A64"/>
    <w:rsid w:val="000B5BF7"/>
    <w:rsid w:val="000B6307"/>
    <w:rsid w:val="000B6461"/>
    <w:rsid w:val="000B66C0"/>
    <w:rsid w:val="000B6BC8"/>
    <w:rsid w:val="000B7900"/>
    <w:rsid w:val="000B7932"/>
    <w:rsid w:val="000B79A0"/>
    <w:rsid w:val="000B7CD2"/>
    <w:rsid w:val="000C00F2"/>
    <w:rsid w:val="000C0129"/>
    <w:rsid w:val="000C0303"/>
    <w:rsid w:val="000C03F7"/>
    <w:rsid w:val="000C0478"/>
    <w:rsid w:val="000C0539"/>
    <w:rsid w:val="000C085D"/>
    <w:rsid w:val="000C08C6"/>
    <w:rsid w:val="000C08E3"/>
    <w:rsid w:val="000C08E7"/>
    <w:rsid w:val="000C0A55"/>
    <w:rsid w:val="000C158A"/>
    <w:rsid w:val="000C1724"/>
    <w:rsid w:val="000C1AC8"/>
    <w:rsid w:val="000C1F61"/>
    <w:rsid w:val="000C2E7E"/>
    <w:rsid w:val="000C30D4"/>
    <w:rsid w:val="000C3167"/>
    <w:rsid w:val="000C324B"/>
    <w:rsid w:val="000C3267"/>
    <w:rsid w:val="000C34BF"/>
    <w:rsid w:val="000C387C"/>
    <w:rsid w:val="000C3C4F"/>
    <w:rsid w:val="000C3CC0"/>
    <w:rsid w:val="000C42EA"/>
    <w:rsid w:val="000C4546"/>
    <w:rsid w:val="000C4670"/>
    <w:rsid w:val="000C47FC"/>
    <w:rsid w:val="000C4B29"/>
    <w:rsid w:val="000C4B40"/>
    <w:rsid w:val="000C4D27"/>
    <w:rsid w:val="000C5186"/>
    <w:rsid w:val="000C5270"/>
    <w:rsid w:val="000C5322"/>
    <w:rsid w:val="000C5392"/>
    <w:rsid w:val="000C54E9"/>
    <w:rsid w:val="000C5551"/>
    <w:rsid w:val="000C565E"/>
    <w:rsid w:val="000C577B"/>
    <w:rsid w:val="000C57F2"/>
    <w:rsid w:val="000C5C30"/>
    <w:rsid w:val="000C621B"/>
    <w:rsid w:val="000C62D8"/>
    <w:rsid w:val="000C63B0"/>
    <w:rsid w:val="000C6B20"/>
    <w:rsid w:val="000C6C41"/>
    <w:rsid w:val="000C6F02"/>
    <w:rsid w:val="000C7701"/>
    <w:rsid w:val="000C78C2"/>
    <w:rsid w:val="000C7B58"/>
    <w:rsid w:val="000C7B8B"/>
    <w:rsid w:val="000D024D"/>
    <w:rsid w:val="000D02B0"/>
    <w:rsid w:val="000D02FE"/>
    <w:rsid w:val="000D0419"/>
    <w:rsid w:val="000D055B"/>
    <w:rsid w:val="000D0C82"/>
    <w:rsid w:val="000D0D29"/>
    <w:rsid w:val="000D0E3A"/>
    <w:rsid w:val="000D102D"/>
    <w:rsid w:val="000D11F9"/>
    <w:rsid w:val="000D1242"/>
    <w:rsid w:val="000D142C"/>
    <w:rsid w:val="000D1504"/>
    <w:rsid w:val="000D177D"/>
    <w:rsid w:val="000D1B3D"/>
    <w:rsid w:val="000D1E5B"/>
    <w:rsid w:val="000D1F2C"/>
    <w:rsid w:val="000D202A"/>
    <w:rsid w:val="000D22F8"/>
    <w:rsid w:val="000D2375"/>
    <w:rsid w:val="000D24E8"/>
    <w:rsid w:val="000D276B"/>
    <w:rsid w:val="000D286E"/>
    <w:rsid w:val="000D2ABA"/>
    <w:rsid w:val="000D2E3D"/>
    <w:rsid w:val="000D2F76"/>
    <w:rsid w:val="000D3718"/>
    <w:rsid w:val="000D379A"/>
    <w:rsid w:val="000D384E"/>
    <w:rsid w:val="000D3B0D"/>
    <w:rsid w:val="000D3CAF"/>
    <w:rsid w:val="000D4205"/>
    <w:rsid w:val="000D4437"/>
    <w:rsid w:val="000D467A"/>
    <w:rsid w:val="000D4832"/>
    <w:rsid w:val="000D4B62"/>
    <w:rsid w:val="000D501F"/>
    <w:rsid w:val="000D525C"/>
    <w:rsid w:val="000D53CF"/>
    <w:rsid w:val="000D5756"/>
    <w:rsid w:val="000D5C9A"/>
    <w:rsid w:val="000D60A2"/>
    <w:rsid w:val="000D626D"/>
    <w:rsid w:val="000D6507"/>
    <w:rsid w:val="000D65D1"/>
    <w:rsid w:val="000D664B"/>
    <w:rsid w:val="000D6836"/>
    <w:rsid w:val="000D6A18"/>
    <w:rsid w:val="000D6B56"/>
    <w:rsid w:val="000D6E36"/>
    <w:rsid w:val="000D7C5E"/>
    <w:rsid w:val="000D7F1B"/>
    <w:rsid w:val="000E0280"/>
    <w:rsid w:val="000E088E"/>
    <w:rsid w:val="000E08EF"/>
    <w:rsid w:val="000E0970"/>
    <w:rsid w:val="000E0B1C"/>
    <w:rsid w:val="000E0B5C"/>
    <w:rsid w:val="000E0E8F"/>
    <w:rsid w:val="000E0F40"/>
    <w:rsid w:val="000E12A2"/>
    <w:rsid w:val="000E14A8"/>
    <w:rsid w:val="000E169E"/>
    <w:rsid w:val="000E1EB9"/>
    <w:rsid w:val="000E226D"/>
    <w:rsid w:val="000E2325"/>
    <w:rsid w:val="000E26A0"/>
    <w:rsid w:val="000E2727"/>
    <w:rsid w:val="000E27D1"/>
    <w:rsid w:val="000E3126"/>
    <w:rsid w:val="000E31D2"/>
    <w:rsid w:val="000E3563"/>
    <w:rsid w:val="000E364F"/>
    <w:rsid w:val="000E3722"/>
    <w:rsid w:val="000E3846"/>
    <w:rsid w:val="000E38BF"/>
    <w:rsid w:val="000E3B87"/>
    <w:rsid w:val="000E3CC7"/>
    <w:rsid w:val="000E3D98"/>
    <w:rsid w:val="000E43AF"/>
    <w:rsid w:val="000E4AD0"/>
    <w:rsid w:val="000E4B38"/>
    <w:rsid w:val="000E4B56"/>
    <w:rsid w:val="000E4E48"/>
    <w:rsid w:val="000E4ED2"/>
    <w:rsid w:val="000E52B1"/>
    <w:rsid w:val="000E5A1E"/>
    <w:rsid w:val="000E5ABF"/>
    <w:rsid w:val="000E5DDF"/>
    <w:rsid w:val="000E606C"/>
    <w:rsid w:val="000E63FC"/>
    <w:rsid w:val="000E6474"/>
    <w:rsid w:val="000E64EB"/>
    <w:rsid w:val="000E6563"/>
    <w:rsid w:val="000E66F1"/>
    <w:rsid w:val="000E6BD4"/>
    <w:rsid w:val="000E6D26"/>
    <w:rsid w:val="000E6D6D"/>
    <w:rsid w:val="000E7309"/>
    <w:rsid w:val="000E765C"/>
    <w:rsid w:val="000E7915"/>
    <w:rsid w:val="000E7929"/>
    <w:rsid w:val="000F009C"/>
    <w:rsid w:val="000F02CD"/>
    <w:rsid w:val="000F0470"/>
    <w:rsid w:val="000F0F36"/>
    <w:rsid w:val="000F11AE"/>
    <w:rsid w:val="000F1413"/>
    <w:rsid w:val="000F1556"/>
    <w:rsid w:val="000F1A24"/>
    <w:rsid w:val="000F1AC3"/>
    <w:rsid w:val="000F1F1E"/>
    <w:rsid w:val="000F2055"/>
    <w:rsid w:val="000F2259"/>
    <w:rsid w:val="000F2283"/>
    <w:rsid w:val="000F22A3"/>
    <w:rsid w:val="000F24C4"/>
    <w:rsid w:val="000F292C"/>
    <w:rsid w:val="000F2DDA"/>
    <w:rsid w:val="000F2EA0"/>
    <w:rsid w:val="000F2ECB"/>
    <w:rsid w:val="000F2F14"/>
    <w:rsid w:val="000F30AD"/>
    <w:rsid w:val="000F3347"/>
    <w:rsid w:val="000F3996"/>
    <w:rsid w:val="000F3F71"/>
    <w:rsid w:val="000F3F7F"/>
    <w:rsid w:val="000F4468"/>
    <w:rsid w:val="000F471E"/>
    <w:rsid w:val="000F4860"/>
    <w:rsid w:val="000F4C79"/>
    <w:rsid w:val="000F5213"/>
    <w:rsid w:val="000F56A6"/>
    <w:rsid w:val="000F5964"/>
    <w:rsid w:val="000F5A38"/>
    <w:rsid w:val="000F5AB6"/>
    <w:rsid w:val="000F5C8C"/>
    <w:rsid w:val="000F5E28"/>
    <w:rsid w:val="000F62B9"/>
    <w:rsid w:val="000F68BB"/>
    <w:rsid w:val="000F6A5B"/>
    <w:rsid w:val="000F6E8E"/>
    <w:rsid w:val="000F70FB"/>
    <w:rsid w:val="000F75D0"/>
    <w:rsid w:val="000F762B"/>
    <w:rsid w:val="000F7780"/>
    <w:rsid w:val="000F7A15"/>
    <w:rsid w:val="000F7AE4"/>
    <w:rsid w:val="000F7B63"/>
    <w:rsid w:val="000F7DD7"/>
    <w:rsid w:val="000F7E66"/>
    <w:rsid w:val="00100090"/>
    <w:rsid w:val="00100394"/>
    <w:rsid w:val="001003C5"/>
    <w:rsid w:val="0010068D"/>
    <w:rsid w:val="001006B0"/>
    <w:rsid w:val="001007D9"/>
    <w:rsid w:val="00100C3A"/>
    <w:rsid w:val="00100CA0"/>
    <w:rsid w:val="00100DFA"/>
    <w:rsid w:val="00101001"/>
    <w:rsid w:val="0010100B"/>
    <w:rsid w:val="001010C0"/>
    <w:rsid w:val="00101239"/>
    <w:rsid w:val="001014F8"/>
    <w:rsid w:val="00101528"/>
    <w:rsid w:val="0010171C"/>
    <w:rsid w:val="001018E6"/>
    <w:rsid w:val="00101D9E"/>
    <w:rsid w:val="00101E2C"/>
    <w:rsid w:val="00102220"/>
    <w:rsid w:val="0010260A"/>
    <w:rsid w:val="00102619"/>
    <w:rsid w:val="00102B9A"/>
    <w:rsid w:val="00102BAB"/>
    <w:rsid w:val="00102C07"/>
    <w:rsid w:val="00102D4B"/>
    <w:rsid w:val="00103103"/>
    <w:rsid w:val="00103276"/>
    <w:rsid w:val="001034AF"/>
    <w:rsid w:val="0010392D"/>
    <w:rsid w:val="00103D2D"/>
    <w:rsid w:val="0010432E"/>
    <w:rsid w:val="00104428"/>
    <w:rsid w:val="00104479"/>
    <w:rsid w:val="0010447F"/>
    <w:rsid w:val="001045BD"/>
    <w:rsid w:val="001046B6"/>
    <w:rsid w:val="00104730"/>
    <w:rsid w:val="001049C0"/>
    <w:rsid w:val="001049D5"/>
    <w:rsid w:val="00104C08"/>
    <w:rsid w:val="00104ECF"/>
    <w:rsid w:val="00104FE3"/>
    <w:rsid w:val="001051D8"/>
    <w:rsid w:val="001053B5"/>
    <w:rsid w:val="00105459"/>
    <w:rsid w:val="0010549D"/>
    <w:rsid w:val="00105642"/>
    <w:rsid w:val="001056EE"/>
    <w:rsid w:val="001057AF"/>
    <w:rsid w:val="00105D16"/>
    <w:rsid w:val="00105FB4"/>
    <w:rsid w:val="0010625B"/>
    <w:rsid w:val="0010646E"/>
    <w:rsid w:val="001066C1"/>
    <w:rsid w:val="00106DED"/>
    <w:rsid w:val="00106F91"/>
    <w:rsid w:val="00107030"/>
    <w:rsid w:val="0010714F"/>
    <w:rsid w:val="0010740F"/>
    <w:rsid w:val="00107636"/>
    <w:rsid w:val="00107809"/>
    <w:rsid w:val="00107EC5"/>
    <w:rsid w:val="00110642"/>
    <w:rsid w:val="0011096D"/>
    <w:rsid w:val="00110BD8"/>
    <w:rsid w:val="00110D8D"/>
    <w:rsid w:val="00110E15"/>
    <w:rsid w:val="00111749"/>
    <w:rsid w:val="001119AC"/>
    <w:rsid w:val="00111AC6"/>
    <w:rsid w:val="00111D81"/>
    <w:rsid w:val="00111F1B"/>
    <w:rsid w:val="00112096"/>
    <w:rsid w:val="001120C5"/>
    <w:rsid w:val="001122F2"/>
    <w:rsid w:val="00112472"/>
    <w:rsid w:val="001125E7"/>
    <w:rsid w:val="00112A3C"/>
    <w:rsid w:val="00112C99"/>
    <w:rsid w:val="00112E45"/>
    <w:rsid w:val="00113128"/>
    <w:rsid w:val="0011316D"/>
    <w:rsid w:val="001131C8"/>
    <w:rsid w:val="0011331B"/>
    <w:rsid w:val="00113956"/>
    <w:rsid w:val="00113C5E"/>
    <w:rsid w:val="00114467"/>
    <w:rsid w:val="0011473D"/>
    <w:rsid w:val="00114C42"/>
    <w:rsid w:val="00114CB0"/>
    <w:rsid w:val="00114DBB"/>
    <w:rsid w:val="0011506A"/>
    <w:rsid w:val="00115126"/>
    <w:rsid w:val="001152AC"/>
    <w:rsid w:val="00115409"/>
    <w:rsid w:val="001159E1"/>
    <w:rsid w:val="001159EA"/>
    <w:rsid w:val="00115C01"/>
    <w:rsid w:val="00115C96"/>
    <w:rsid w:val="00116027"/>
    <w:rsid w:val="0011603E"/>
    <w:rsid w:val="00116546"/>
    <w:rsid w:val="00116696"/>
    <w:rsid w:val="00116799"/>
    <w:rsid w:val="0011696C"/>
    <w:rsid w:val="001169BF"/>
    <w:rsid w:val="00116B3B"/>
    <w:rsid w:val="001170F3"/>
    <w:rsid w:val="001172B5"/>
    <w:rsid w:val="00117767"/>
    <w:rsid w:val="00117F65"/>
    <w:rsid w:val="00120115"/>
    <w:rsid w:val="001201FA"/>
    <w:rsid w:val="00120692"/>
    <w:rsid w:val="0012072D"/>
    <w:rsid w:val="00120741"/>
    <w:rsid w:val="001208E4"/>
    <w:rsid w:val="00120BD3"/>
    <w:rsid w:val="00120CCF"/>
    <w:rsid w:val="00120D92"/>
    <w:rsid w:val="00120EF5"/>
    <w:rsid w:val="00120FC8"/>
    <w:rsid w:val="00121438"/>
    <w:rsid w:val="0012146E"/>
    <w:rsid w:val="0012165D"/>
    <w:rsid w:val="00121C3E"/>
    <w:rsid w:val="00121F7F"/>
    <w:rsid w:val="00122137"/>
    <w:rsid w:val="00122AE4"/>
    <w:rsid w:val="00122E68"/>
    <w:rsid w:val="00122FEA"/>
    <w:rsid w:val="001232BD"/>
    <w:rsid w:val="001235B8"/>
    <w:rsid w:val="001236DC"/>
    <w:rsid w:val="001237E5"/>
    <w:rsid w:val="00123850"/>
    <w:rsid w:val="00123B04"/>
    <w:rsid w:val="00123B40"/>
    <w:rsid w:val="0012469A"/>
    <w:rsid w:val="001248C4"/>
    <w:rsid w:val="00124B71"/>
    <w:rsid w:val="00124E75"/>
    <w:rsid w:val="00124ED5"/>
    <w:rsid w:val="00124FB1"/>
    <w:rsid w:val="001250D8"/>
    <w:rsid w:val="0012521C"/>
    <w:rsid w:val="001252D5"/>
    <w:rsid w:val="001255D8"/>
    <w:rsid w:val="0012560D"/>
    <w:rsid w:val="001258AE"/>
    <w:rsid w:val="00125DAF"/>
    <w:rsid w:val="00125E99"/>
    <w:rsid w:val="00126017"/>
    <w:rsid w:val="001260B5"/>
    <w:rsid w:val="00126107"/>
    <w:rsid w:val="00126313"/>
    <w:rsid w:val="00126809"/>
    <w:rsid w:val="00126C1D"/>
    <w:rsid w:val="00126E1F"/>
    <w:rsid w:val="00126EE4"/>
    <w:rsid w:val="0012704E"/>
    <w:rsid w:val="00127360"/>
    <w:rsid w:val="001275FD"/>
    <w:rsid w:val="001276FA"/>
    <w:rsid w:val="001278DA"/>
    <w:rsid w:val="00127A3A"/>
    <w:rsid w:val="00127D63"/>
    <w:rsid w:val="00130012"/>
    <w:rsid w:val="001302C0"/>
    <w:rsid w:val="001303CB"/>
    <w:rsid w:val="00130AC0"/>
    <w:rsid w:val="00130D99"/>
    <w:rsid w:val="00130E6F"/>
    <w:rsid w:val="00130FBF"/>
    <w:rsid w:val="00131201"/>
    <w:rsid w:val="001315CE"/>
    <w:rsid w:val="00131B99"/>
    <w:rsid w:val="00132119"/>
    <w:rsid w:val="00132551"/>
    <w:rsid w:val="0013261D"/>
    <w:rsid w:val="00132855"/>
    <w:rsid w:val="00132882"/>
    <w:rsid w:val="001328EA"/>
    <w:rsid w:val="001329F9"/>
    <w:rsid w:val="00132A1B"/>
    <w:rsid w:val="00132AAC"/>
    <w:rsid w:val="00133167"/>
    <w:rsid w:val="001332E8"/>
    <w:rsid w:val="001338CC"/>
    <w:rsid w:val="00133927"/>
    <w:rsid w:val="00133AE2"/>
    <w:rsid w:val="00133B1E"/>
    <w:rsid w:val="00133E3A"/>
    <w:rsid w:val="00133EF1"/>
    <w:rsid w:val="00134417"/>
    <w:rsid w:val="00134837"/>
    <w:rsid w:val="00134DF1"/>
    <w:rsid w:val="00134F50"/>
    <w:rsid w:val="00135290"/>
    <w:rsid w:val="001353F9"/>
    <w:rsid w:val="0013550D"/>
    <w:rsid w:val="00135A05"/>
    <w:rsid w:val="00135F65"/>
    <w:rsid w:val="00135FA5"/>
    <w:rsid w:val="00135FE9"/>
    <w:rsid w:val="00136032"/>
    <w:rsid w:val="0013611D"/>
    <w:rsid w:val="00136306"/>
    <w:rsid w:val="00136407"/>
    <w:rsid w:val="00136420"/>
    <w:rsid w:val="00136567"/>
    <w:rsid w:val="001370CC"/>
    <w:rsid w:val="001371E6"/>
    <w:rsid w:val="001371F2"/>
    <w:rsid w:val="001373D5"/>
    <w:rsid w:val="00137583"/>
    <w:rsid w:val="001377EC"/>
    <w:rsid w:val="00137C34"/>
    <w:rsid w:val="00137DE2"/>
    <w:rsid w:val="00137E5A"/>
    <w:rsid w:val="00140257"/>
    <w:rsid w:val="001407F7"/>
    <w:rsid w:val="0014080A"/>
    <w:rsid w:val="0014086E"/>
    <w:rsid w:val="00140C93"/>
    <w:rsid w:val="00140E01"/>
    <w:rsid w:val="00140E35"/>
    <w:rsid w:val="00140E54"/>
    <w:rsid w:val="001411BC"/>
    <w:rsid w:val="0014156B"/>
    <w:rsid w:val="00141618"/>
    <w:rsid w:val="001416D1"/>
    <w:rsid w:val="0014173D"/>
    <w:rsid w:val="001419A7"/>
    <w:rsid w:val="001419FF"/>
    <w:rsid w:val="00141FC3"/>
    <w:rsid w:val="00142085"/>
    <w:rsid w:val="001421E0"/>
    <w:rsid w:val="001425D7"/>
    <w:rsid w:val="00142805"/>
    <w:rsid w:val="00142953"/>
    <w:rsid w:val="00142BBA"/>
    <w:rsid w:val="00143269"/>
    <w:rsid w:val="0014347E"/>
    <w:rsid w:val="00143740"/>
    <w:rsid w:val="0014375E"/>
    <w:rsid w:val="0014389D"/>
    <w:rsid w:val="001438B7"/>
    <w:rsid w:val="00143B9C"/>
    <w:rsid w:val="00143BEB"/>
    <w:rsid w:val="00143C65"/>
    <w:rsid w:val="00143CB6"/>
    <w:rsid w:val="00143ED9"/>
    <w:rsid w:val="00143F87"/>
    <w:rsid w:val="00144147"/>
    <w:rsid w:val="001443A1"/>
    <w:rsid w:val="00144478"/>
    <w:rsid w:val="001446E3"/>
    <w:rsid w:val="001447B3"/>
    <w:rsid w:val="00144965"/>
    <w:rsid w:val="00144E89"/>
    <w:rsid w:val="00145131"/>
    <w:rsid w:val="001452F5"/>
    <w:rsid w:val="001456F1"/>
    <w:rsid w:val="00145971"/>
    <w:rsid w:val="00145DB2"/>
    <w:rsid w:val="00145E82"/>
    <w:rsid w:val="00146149"/>
    <w:rsid w:val="001461F5"/>
    <w:rsid w:val="00146282"/>
    <w:rsid w:val="0014658E"/>
    <w:rsid w:val="001465F9"/>
    <w:rsid w:val="0014693F"/>
    <w:rsid w:val="00146B11"/>
    <w:rsid w:val="00146CD1"/>
    <w:rsid w:val="00146E0D"/>
    <w:rsid w:val="001472D4"/>
    <w:rsid w:val="001472D5"/>
    <w:rsid w:val="00147325"/>
    <w:rsid w:val="00147327"/>
    <w:rsid w:val="001473CE"/>
    <w:rsid w:val="00147711"/>
    <w:rsid w:val="00147992"/>
    <w:rsid w:val="00147CDF"/>
    <w:rsid w:val="00147EF8"/>
    <w:rsid w:val="00147FD0"/>
    <w:rsid w:val="00150720"/>
    <w:rsid w:val="0015079F"/>
    <w:rsid w:val="00150818"/>
    <w:rsid w:val="00150A58"/>
    <w:rsid w:val="00150B01"/>
    <w:rsid w:val="00150C00"/>
    <w:rsid w:val="00150D8B"/>
    <w:rsid w:val="00150DC3"/>
    <w:rsid w:val="001510E6"/>
    <w:rsid w:val="00151355"/>
    <w:rsid w:val="001518C2"/>
    <w:rsid w:val="00151CAE"/>
    <w:rsid w:val="00151D08"/>
    <w:rsid w:val="00151D36"/>
    <w:rsid w:val="00152071"/>
    <w:rsid w:val="00152073"/>
    <w:rsid w:val="00152329"/>
    <w:rsid w:val="00152A68"/>
    <w:rsid w:val="00152D1F"/>
    <w:rsid w:val="00152DD0"/>
    <w:rsid w:val="00153365"/>
    <w:rsid w:val="00153874"/>
    <w:rsid w:val="0015391B"/>
    <w:rsid w:val="00153C85"/>
    <w:rsid w:val="00154457"/>
    <w:rsid w:val="0015463B"/>
    <w:rsid w:val="001546C7"/>
    <w:rsid w:val="00154DDC"/>
    <w:rsid w:val="00154ECC"/>
    <w:rsid w:val="00154FED"/>
    <w:rsid w:val="001550D8"/>
    <w:rsid w:val="001553C9"/>
    <w:rsid w:val="0015561E"/>
    <w:rsid w:val="00155961"/>
    <w:rsid w:val="00155D92"/>
    <w:rsid w:val="00155F15"/>
    <w:rsid w:val="00155F54"/>
    <w:rsid w:val="001561B0"/>
    <w:rsid w:val="0015630B"/>
    <w:rsid w:val="00156598"/>
    <w:rsid w:val="001568D7"/>
    <w:rsid w:val="00156926"/>
    <w:rsid w:val="00156A93"/>
    <w:rsid w:val="00156F5D"/>
    <w:rsid w:val="0015706B"/>
    <w:rsid w:val="001572AE"/>
    <w:rsid w:val="00157682"/>
    <w:rsid w:val="0015770C"/>
    <w:rsid w:val="00157963"/>
    <w:rsid w:val="0015796F"/>
    <w:rsid w:val="00157C86"/>
    <w:rsid w:val="00157E22"/>
    <w:rsid w:val="00157EED"/>
    <w:rsid w:val="0016001F"/>
    <w:rsid w:val="00160148"/>
    <w:rsid w:val="001601CE"/>
    <w:rsid w:val="001605B9"/>
    <w:rsid w:val="00160814"/>
    <w:rsid w:val="001608A1"/>
    <w:rsid w:val="001611D9"/>
    <w:rsid w:val="001613ED"/>
    <w:rsid w:val="001614BB"/>
    <w:rsid w:val="001615B9"/>
    <w:rsid w:val="001615F5"/>
    <w:rsid w:val="001616DA"/>
    <w:rsid w:val="0016171C"/>
    <w:rsid w:val="00161819"/>
    <w:rsid w:val="00161939"/>
    <w:rsid w:val="00161AA0"/>
    <w:rsid w:val="00161D2E"/>
    <w:rsid w:val="00161F3E"/>
    <w:rsid w:val="00162093"/>
    <w:rsid w:val="0016213E"/>
    <w:rsid w:val="001626B5"/>
    <w:rsid w:val="00162779"/>
    <w:rsid w:val="00162CA9"/>
    <w:rsid w:val="00162E7D"/>
    <w:rsid w:val="00163038"/>
    <w:rsid w:val="00163497"/>
    <w:rsid w:val="001637EA"/>
    <w:rsid w:val="00163CD0"/>
    <w:rsid w:val="00163ED1"/>
    <w:rsid w:val="0016433E"/>
    <w:rsid w:val="0016459D"/>
    <w:rsid w:val="00164C3C"/>
    <w:rsid w:val="00164F1A"/>
    <w:rsid w:val="001652EC"/>
    <w:rsid w:val="00165314"/>
    <w:rsid w:val="00165459"/>
    <w:rsid w:val="0016553E"/>
    <w:rsid w:val="00165735"/>
    <w:rsid w:val="001657CC"/>
    <w:rsid w:val="00165A49"/>
    <w:rsid w:val="00165A57"/>
    <w:rsid w:val="00165D8D"/>
    <w:rsid w:val="001661FE"/>
    <w:rsid w:val="00166591"/>
    <w:rsid w:val="00166653"/>
    <w:rsid w:val="0016699E"/>
    <w:rsid w:val="00166A68"/>
    <w:rsid w:val="00166B85"/>
    <w:rsid w:val="00166C62"/>
    <w:rsid w:val="00167017"/>
    <w:rsid w:val="00167196"/>
    <w:rsid w:val="00167198"/>
    <w:rsid w:val="00167496"/>
    <w:rsid w:val="001674C7"/>
    <w:rsid w:val="00167509"/>
    <w:rsid w:val="00167734"/>
    <w:rsid w:val="00167867"/>
    <w:rsid w:val="00167A87"/>
    <w:rsid w:val="00167AEE"/>
    <w:rsid w:val="00167C47"/>
    <w:rsid w:val="00167EAD"/>
    <w:rsid w:val="00167F6B"/>
    <w:rsid w:val="001691ED"/>
    <w:rsid w:val="001703E5"/>
    <w:rsid w:val="00170523"/>
    <w:rsid w:val="001706A0"/>
    <w:rsid w:val="00170AE5"/>
    <w:rsid w:val="00170B68"/>
    <w:rsid w:val="00170CEB"/>
    <w:rsid w:val="00170F78"/>
    <w:rsid w:val="00171229"/>
    <w:rsid w:val="00171292"/>
    <w:rsid w:val="001712C2"/>
    <w:rsid w:val="0017140F"/>
    <w:rsid w:val="0017194D"/>
    <w:rsid w:val="00171A1A"/>
    <w:rsid w:val="00171AD8"/>
    <w:rsid w:val="00171D50"/>
    <w:rsid w:val="00171DCC"/>
    <w:rsid w:val="00171E10"/>
    <w:rsid w:val="00171F51"/>
    <w:rsid w:val="001721DF"/>
    <w:rsid w:val="00172535"/>
    <w:rsid w:val="001725DF"/>
    <w:rsid w:val="00172BAF"/>
    <w:rsid w:val="00172BBB"/>
    <w:rsid w:val="00172C51"/>
    <w:rsid w:val="00172DAF"/>
    <w:rsid w:val="00173167"/>
    <w:rsid w:val="001734BF"/>
    <w:rsid w:val="001738AC"/>
    <w:rsid w:val="00173D2A"/>
    <w:rsid w:val="00173ECB"/>
    <w:rsid w:val="00173F2B"/>
    <w:rsid w:val="0017448E"/>
    <w:rsid w:val="001746CC"/>
    <w:rsid w:val="001748BC"/>
    <w:rsid w:val="00174905"/>
    <w:rsid w:val="00175162"/>
    <w:rsid w:val="00175272"/>
    <w:rsid w:val="00175388"/>
    <w:rsid w:val="0017599B"/>
    <w:rsid w:val="00175A8F"/>
    <w:rsid w:val="00175B50"/>
    <w:rsid w:val="00175B9E"/>
    <w:rsid w:val="00175E2D"/>
    <w:rsid w:val="00175F68"/>
    <w:rsid w:val="00176240"/>
    <w:rsid w:val="0017674D"/>
    <w:rsid w:val="0017678F"/>
    <w:rsid w:val="00176862"/>
    <w:rsid w:val="00176CED"/>
    <w:rsid w:val="00176DF3"/>
    <w:rsid w:val="00177074"/>
    <w:rsid w:val="001771DD"/>
    <w:rsid w:val="0017728C"/>
    <w:rsid w:val="001774CC"/>
    <w:rsid w:val="001777C8"/>
    <w:rsid w:val="0017788F"/>
    <w:rsid w:val="00177894"/>
    <w:rsid w:val="0017796D"/>
    <w:rsid w:val="00177995"/>
    <w:rsid w:val="00177A8C"/>
    <w:rsid w:val="00177E48"/>
    <w:rsid w:val="00177F64"/>
    <w:rsid w:val="00180B1A"/>
    <w:rsid w:val="00180E97"/>
    <w:rsid w:val="00180EE4"/>
    <w:rsid w:val="00180EF2"/>
    <w:rsid w:val="00181663"/>
    <w:rsid w:val="00181686"/>
    <w:rsid w:val="0018180B"/>
    <w:rsid w:val="0018188A"/>
    <w:rsid w:val="001818B6"/>
    <w:rsid w:val="00181DA2"/>
    <w:rsid w:val="00181F29"/>
    <w:rsid w:val="001822CC"/>
    <w:rsid w:val="001823ED"/>
    <w:rsid w:val="00182444"/>
    <w:rsid w:val="0018244E"/>
    <w:rsid w:val="001825B8"/>
    <w:rsid w:val="001829BD"/>
    <w:rsid w:val="00182A78"/>
    <w:rsid w:val="00182B30"/>
    <w:rsid w:val="00182BDA"/>
    <w:rsid w:val="00182D3B"/>
    <w:rsid w:val="00182D66"/>
    <w:rsid w:val="00182DCC"/>
    <w:rsid w:val="00183146"/>
    <w:rsid w:val="00183312"/>
    <w:rsid w:val="00183733"/>
    <w:rsid w:val="00183746"/>
    <w:rsid w:val="00183810"/>
    <w:rsid w:val="00183A34"/>
    <w:rsid w:val="00183C35"/>
    <w:rsid w:val="00183C74"/>
    <w:rsid w:val="00183DC4"/>
    <w:rsid w:val="00183DD8"/>
    <w:rsid w:val="001840EE"/>
    <w:rsid w:val="001841EE"/>
    <w:rsid w:val="001845F2"/>
    <w:rsid w:val="001846E4"/>
    <w:rsid w:val="00184749"/>
    <w:rsid w:val="00184838"/>
    <w:rsid w:val="00184A67"/>
    <w:rsid w:val="00184D47"/>
    <w:rsid w:val="00184E1E"/>
    <w:rsid w:val="001850BE"/>
    <w:rsid w:val="00185524"/>
    <w:rsid w:val="0018575C"/>
    <w:rsid w:val="00185C7B"/>
    <w:rsid w:val="00185DAF"/>
    <w:rsid w:val="00185E2D"/>
    <w:rsid w:val="00185E39"/>
    <w:rsid w:val="0018634F"/>
    <w:rsid w:val="0018678D"/>
    <w:rsid w:val="00186B33"/>
    <w:rsid w:val="00186BC8"/>
    <w:rsid w:val="00186CE2"/>
    <w:rsid w:val="00187242"/>
    <w:rsid w:val="001874FE"/>
    <w:rsid w:val="001875F6"/>
    <w:rsid w:val="00187704"/>
    <w:rsid w:val="00187755"/>
    <w:rsid w:val="001879E3"/>
    <w:rsid w:val="00187BEB"/>
    <w:rsid w:val="00187E8C"/>
    <w:rsid w:val="001900E5"/>
    <w:rsid w:val="00190282"/>
    <w:rsid w:val="001904C7"/>
    <w:rsid w:val="00190830"/>
    <w:rsid w:val="00190B0B"/>
    <w:rsid w:val="00190E7E"/>
    <w:rsid w:val="001910CD"/>
    <w:rsid w:val="00191B62"/>
    <w:rsid w:val="00191B87"/>
    <w:rsid w:val="00191BD9"/>
    <w:rsid w:val="00191CE9"/>
    <w:rsid w:val="00191DAC"/>
    <w:rsid w:val="00191E0E"/>
    <w:rsid w:val="001923E7"/>
    <w:rsid w:val="001923F4"/>
    <w:rsid w:val="001925AA"/>
    <w:rsid w:val="001926FC"/>
    <w:rsid w:val="0019291B"/>
    <w:rsid w:val="00192AA6"/>
    <w:rsid w:val="00192C7C"/>
    <w:rsid w:val="00192C88"/>
    <w:rsid w:val="00192EBF"/>
    <w:rsid w:val="00192F9D"/>
    <w:rsid w:val="0019326D"/>
    <w:rsid w:val="00193592"/>
    <w:rsid w:val="00193D98"/>
    <w:rsid w:val="00193F45"/>
    <w:rsid w:val="00193FE4"/>
    <w:rsid w:val="001946B1"/>
    <w:rsid w:val="00194F05"/>
    <w:rsid w:val="00195048"/>
    <w:rsid w:val="001955BB"/>
    <w:rsid w:val="001957E6"/>
    <w:rsid w:val="00195923"/>
    <w:rsid w:val="00195A81"/>
    <w:rsid w:val="00196A67"/>
    <w:rsid w:val="00196C74"/>
    <w:rsid w:val="00196EB8"/>
    <w:rsid w:val="00196EFB"/>
    <w:rsid w:val="001978D7"/>
    <w:rsid w:val="0019791D"/>
    <w:rsid w:val="001979FF"/>
    <w:rsid w:val="00197B17"/>
    <w:rsid w:val="00197BEE"/>
    <w:rsid w:val="00197EA3"/>
    <w:rsid w:val="00197F9E"/>
    <w:rsid w:val="001A042A"/>
    <w:rsid w:val="001A04A1"/>
    <w:rsid w:val="001A066A"/>
    <w:rsid w:val="001A0A50"/>
    <w:rsid w:val="001A0EAF"/>
    <w:rsid w:val="001A1535"/>
    <w:rsid w:val="001A18B7"/>
    <w:rsid w:val="001A192A"/>
    <w:rsid w:val="001A1950"/>
    <w:rsid w:val="001A1A2B"/>
    <w:rsid w:val="001A1B30"/>
    <w:rsid w:val="001A1C54"/>
    <w:rsid w:val="001A1D74"/>
    <w:rsid w:val="001A1F4B"/>
    <w:rsid w:val="001A224E"/>
    <w:rsid w:val="001A247B"/>
    <w:rsid w:val="001A2506"/>
    <w:rsid w:val="001A284F"/>
    <w:rsid w:val="001A29AF"/>
    <w:rsid w:val="001A29B0"/>
    <w:rsid w:val="001A29ED"/>
    <w:rsid w:val="001A2CA8"/>
    <w:rsid w:val="001A30B0"/>
    <w:rsid w:val="001A31AC"/>
    <w:rsid w:val="001A355C"/>
    <w:rsid w:val="001A38A1"/>
    <w:rsid w:val="001A3ACE"/>
    <w:rsid w:val="001A3BA3"/>
    <w:rsid w:val="001A3DDC"/>
    <w:rsid w:val="001A404A"/>
    <w:rsid w:val="001A421D"/>
    <w:rsid w:val="001A466F"/>
    <w:rsid w:val="001A4731"/>
    <w:rsid w:val="001A4A54"/>
    <w:rsid w:val="001A4C81"/>
    <w:rsid w:val="001A5AA4"/>
    <w:rsid w:val="001A60FA"/>
    <w:rsid w:val="001A6123"/>
    <w:rsid w:val="001A6272"/>
    <w:rsid w:val="001A6520"/>
    <w:rsid w:val="001A666A"/>
    <w:rsid w:val="001A6787"/>
    <w:rsid w:val="001A68D4"/>
    <w:rsid w:val="001A69AE"/>
    <w:rsid w:val="001A6E19"/>
    <w:rsid w:val="001A6F9A"/>
    <w:rsid w:val="001A7033"/>
    <w:rsid w:val="001A7217"/>
    <w:rsid w:val="001A728B"/>
    <w:rsid w:val="001A7743"/>
    <w:rsid w:val="001A774E"/>
    <w:rsid w:val="001A7840"/>
    <w:rsid w:val="001A7F89"/>
    <w:rsid w:val="001AEB0E"/>
    <w:rsid w:val="001B0113"/>
    <w:rsid w:val="001B0410"/>
    <w:rsid w:val="001B0489"/>
    <w:rsid w:val="001B058F"/>
    <w:rsid w:val="001B059A"/>
    <w:rsid w:val="001B0DFC"/>
    <w:rsid w:val="001B0E42"/>
    <w:rsid w:val="001B0FEE"/>
    <w:rsid w:val="001B111E"/>
    <w:rsid w:val="001B12BC"/>
    <w:rsid w:val="001B1577"/>
    <w:rsid w:val="001B175A"/>
    <w:rsid w:val="001B1D1A"/>
    <w:rsid w:val="001B1D6D"/>
    <w:rsid w:val="001B1E46"/>
    <w:rsid w:val="001B201B"/>
    <w:rsid w:val="001B21CF"/>
    <w:rsid w:val="001B255B"/>
    <w:rsid w:val="001B25EF"/>
    <w:rsid w:val="001B264E"/>
    <w:rsid w:val="001B270F"/>
    <w:rsid w:val="001B2729"/>
    <w:rsid w:val="001B27E5"/>
    <w:rsid w:val="001B2C30"/>
    <w:rsid w:val="001B2F83"/>
    <w:rsid w:val="001B302D"/>
    <w:rsid w:val="001B3281"/>
    <w:rsid w:val="001B33EC"/>
    <w:rsid w:val="001B377E"/>
    <w:rsid w:val="001B38D6"/>
    <w:rsid w:val="001B3924"/>
    <w:rsid w:val="001B4272"/>
    <w:rsid w:val="001B42AF"/>
    <w:rsid w:val="001B436A"/>
    <w:rsid w:val="001B44D2"/>
    <w:rsid w:val="001B44F9"/>
    <w:rsid w:val="001B45ED"/>
    <w:rsid w:val="001B4767"/>
    <w:rsid w:val="001B542D"/>
    <w:rsid w:val="001B56E2"/>
    <w:rsid w:val="001B572D"/>
    <w:rsid w:val="001B5AF2"/>
    <w:rsid w:val="001B5D9E"/>
    <w:rsid w:val="001B5F64"/>
    <w:rsid w:val="001B6020"/>
    <w:rsid w:val="001B614F"/>
    <w:rsid w:val="001B6237"/>
    <w:rsid w:val="001B658E"/>
    <w:rsid w:val="001B65FE"/>
    <w:rsid w:val="001B6B96"/>
    <w:rsid w:val="001B6BAB"/>
    <w:rsid w:val="001B6CAD"/>
    <w:rsid w:val="001B6DE0"/>
    <w:rsid w:val="001B7029"/>
    <w:rsid w:val="001B738B"/>
    <w:rsid w:val="001B74E8"/>
    <w:rsid w:val="001B755F"/>
    <w:rsid w:val="001B787B"/>
    <w:rsid w:val="001B799D"/>
    <w:rsid w:val="001B7A04"/>
    <w:rsid w:val="001B7CF6"/>
    <w:rsid w:val="001B7E92"/>
    <w:rsid w:val="001C01E0"/>
    <w:rsid w:val="001C031F"/>
    <w:rsid w:val="001C0363"/>
    <w:rsid w:val="001C040F"/>
    <w:rsid w:val="001C0678"/>
    <w:rsid w:val="001C07F8"/>
    <w:rsid w:val="001C0821"/>
    <w:rsid w:val="001C089A"/>
    <w:rsid w:val="001C09DB"/>
    <w:rsid w:val="001C0E0D"/>
    <w:rsid w:val="001C1056"/>
    <w:rsid w:val="001C1091"/>
    <w:rsid w:val="001C1543"/>
    <w:rsid w:val="001C182D"/>
    <w:rsid w:val="001C1AE3"/>
    <w:rsid w:val="001C1E65"/>
    <w:rsid w:val="001C20DE"/>
    <w:rsid w:val="001C20EF"/>
    <w:rsid w:val="001C21DD"/>
    <w:rsid w:val="001C223B"/>
    <w:rsid w:val="001C2354"/>
    <w:rsid w:val="001C2597"/>
    <w:rsid w:val="001C26CC"/>
    <w:rsid w:val="001C277E"/>
    <w:rsid w:val="001C2A72"/>
    <w:rsid w:val="001C2CCC"/>
    <w:rsid w:val="001C2D11"/>
    <w:rsid w:val="001C30D8"/>
    <w:rsid w:val="001C31B7"/>
    <w:rsid w:val="001C36E3"/>
    <w:rsid w:val="001C3A49"/>
    <w:rsid w:val="001C3A4A"/>
    <w:rsid w:val="001C3AD4"/>
    <w:rsid w:val="001C4183"/>
    <w:rsid w:val="001C4394"/>
    <w:rsid w:val="001C47E4"/>
    <w:rsid w:val="001C4865"/>
    <w:rsid w:val="001C4A10"/>
    <w:rsid w:val="001C57C4"/>
    <w:rsid w:val="001C59A8"/>
    <w:rsid w:val="001C5B57"/>
    <w:rsid w:val="001C5B62"/>
    <w:rsid w:val="001C5C09"/>
    <w:rsid w:val="001C5C33"/>
    <w:rsid w:val="001C5D0F"/>
    <w:rsid w:val="001C6095"/>
    <w:rsid w:val="001C652B"/>
    <w:rsid w:val="001C664D"/>
    <w:rsid w:val="001C6785"/>
    <w:rsid w:val="001C6940"/>
    <w:rsid w:val="001C698F"/>
    <w:rsid w:val="001C6A24"/>
    <w:rsid w:val="001C6C25"/>
    <w:rsid w:val="001C6C57"/>
    <w:rsid w:val="001C6F8A"/>
    <w:rsid w:val="001C7022"/>
    <w:rsid w:val="001C7143"/>
    <w:rsid w:val="001C7531"/>
    <w:rsid w:val="001C768D"/>
    <w:rsid w:val="001C79DD"/>
    <w:rsid w:val="001C79ED"/>
    <w:rsid w:val="001C7A40"/>
    <w:rsid w:val="001C7AA3"/>
    <w:rsid w:val="001C7ABA"/>
    <w:rsid w:val="001C7F66"/>
    <w:rsid w:val="001C7F8D"/>
    <w:rsid w:val="001D0021"/>
    <w:rsid w:val="001D0B75"/>
    <w:rsid w:val="001D0D79"/>
    <w:rsid w:val="001D0D9A"/>
    <w:rsid w:val="001D0FF2"/>
    <w:rsid w:val="001D10B4"/>
    <w:rsid w:val="001D1509"/>
    <w:rsid w:val="001D1791"/>
    <w:rsid w:val="001D1AA1"/>
    <w:rsid w:val="001D1D13"/>
    <w:rsid w:val="001D1DF1"/>
    <w:rsid w:val="001D1F9F"/>
    <w:rsid w:val="001D2128"/>
    <w:rsid w:val="001D2232"/>
    <w:rsid w:val="001D2384"/>
    <w:rsid w:val="001D2727"/>
    <w:rsid w:val="001D289E"/>
    <w:rsid w:val="001D2AD0"/>
    <w:rsid w:val="001D2C1E"/>
    <w:rsid w:val="001D33BF"/>
    <w:rsid w:val="001D379D"/>
    <w:rsid w:val="001D39A5"/>
    <w:rsid w:val="001D3AB5"/>
    <w:rsid w:val="001D3BA6"/>
    <w:rsid w:val="001D3C09"/>
    <w:rsid w:val="001D3D93"/>
    <w:rsid w:val="001D3E03"/>
    <w:rsid w:val="001D3E55"/>
    <w:rsid w:val="001D4315"/>
    <w:rsid w:val="001D44C2"/>
    <w:rsid w:val="001D44E8"/>
    <w:rsid w:val="001D4615"/>
    <w:rsid w:val="001D490B"/>
    <w:rsid w:val="001D4B6C"/>
    <w:rsid w:val="001D4EC6"/>
    <w:rsid w:val="001D4FAB"/>
    <w:rsid w:val="001D537D"/>
    <w:rsid w:val="001D5650"/>
    <w:rsid w:val="001D5765"/>
    <w:rsid w:val="001D577F"/>
    <w:rsid w:val="001D5818"/>
    <w:rsid w:val="001D5D89"/>
    <w:rsid w:val="001D5DF8"/>
    <w:rsid w:val="001D5E1B"/>
    <w:rsid w:val="001D5E87"/>
    <w:rsid w:val="001D5EAA"/>
    <w:rsid w:val="001D60EC"/>
    <w:rsid w:val="001D6456"/>
    <w:rsid w:val="001D6580"/>
    <w:rsid w:val="001D6C0F"/>
    <w:rsid w:val="001D6C49"/>
    <w:rsid w:val="001D6F59"/>
    <w:rsid w:val="001D722E"/>
    <w:rsid w:val="001D72F3"/>
    <w:rsid w:val="001D73DB"/>
    <w:rsid w:val="001D756D"/>
    <w:rsid w:val="001D76E8"/>
    <w:rsid w:val="001D7808"/>
    <w:rsid w:val="001D780D"/>
    <w:rsid w:val="001D7A36"/>
    <w:rsid w:val="001D7A56"/>
    <w:rsid w:val="001D7B84"/>
    <w:rsid w:val="001D7CBD"/>
    <w:rsid w:val="001D7E98"/>
    <w:rsid w:val="001E0008"/>
    <w:rsid w:val="001E0159"/>
    <w:rsid w:val="001E020D"/>
    <w:rsid w:val="001E0230"/>
    <w:rsid w:val="001E05D2"/>
    <w:rsid w:val="001E0674"/>
    <w:rsid w:val="001E0708"/>
    <w:rsid w:val="001E0732"/>
    <w:rsid w:val="001E0765"/>
    <w:rsid w:val="001E0814"/>
    <w:rsid w:val="001E0B7F"/>
    <w:rsid w:val="001E0C37"/>
    <w:rsid w:val="001E0EC5"/>
    <w:rsid w:val="001E115A"/>
    <w:rsid w:val="001E117F"/>
    <w:rsid w:val="001E1A3C"/>
    <w:rsid w:val="001E1D78"/>
    <w:rsid w:val="001E1EEA"/>
    <w:rsid w:val="001E1F5E"/>
    <w:rsid w:val="001E240B"/>
    <w:rsid w:val="001E27D1"/>
    <w:rsid w:val="001E2C97"/>
    <w:rsid w:val="001E2EC1"/>
    <w:rsid w:val="001E2EE3"/>
    <w:rsid w:val="001E2F87"/>
    <w:rsid w:val="001E2FDA"/>
    <w:rsid w:val="001E2FE7"/>
    <w:rsid w:val="001E303A"/>
    <w:rsid w:val="001E31A2"/>
    <w:rsid w:val="001E31CC"/>
    <w:rsid w:val="001E3225"/>
    <w:rsid w:val="001E3300"/>
    <w:rsid w:val="001E345D"/>
    <w:rsid w:val="001E428C"/>
    <w:rsid w:val="001E44DF"/>
    <w:rsid w:val="001E4754"/>
    <w:rsid w:val="001E4A8C"/>
    <w:rsid w:val="001E4BA6"/>
    <w:rsid w:val="001E4F4A"/>
    <w:rsid w:val="001E4F6F"/>
    <w:rsid w:val="001E525E"/>
    <w:rsid w:val="001E544D"/>
    <w:rsid w:val="001E54DC"/>
    <w:rsid w:val="001E57DA"/>
    <w:rsid w:val="001E594D"/>
    <w:rsid w:val="001E59D5"/>
    <w:rsid w:val="001E5A83"/>
    <w:rsid w:val="001E5C64"/>
    <w:rsid w:val="001E5D45"/>
    <w:rsid w:val="001E614F"/>
    <w:rsid w:val="001E64A5"/>
    <w:rsid w:val="001E663D"/>
    <w:rsid w:val="001E68A5"/>
    <w:rsid w:val="001E6B23"/>
    <w:rsid w:val="001E6BB0"/>
    <w:rsid w:val="001E711E"/>
    <w:rsid w:val="001E7282"/>
    <w:rsid w:val="001E7984"/>
    <w:rsid w:val="001E7B02"/>
    <w:rsid w:val="001F002E"/>
    <w:rsid w:val="001F01AD"/>
    <w:rsid w:val="001F04FA"/>
    <w:rsid w:val="001F07B3"/>
    <w:rsid w:val="001F0E76"/>
    <w:rsid w:val="001F0ECC"/>
    <w:rsid w:val="001F11D5"/>
    <w:rsid w:val="001F1275"/>
    <w:rsid w:val="001F12A0"/>
    <w:rsid w:val="001F155D"/>
    <w:rsid w:val="001F1698"/>
    <w:rsid w:val="001F184B"/>
    <w:rsid w:val="001F18DD"/>
    <w:rsid w:val="001F1A70"/>
    <w:rsid w:val="001F1AE4"/>
    <w:rsid w:val="001F1E6A"/>
    <w:rsid w:val="001F1F73"/>
    <w:rsid w:val="001F2645"/>
    <w:rsid w:val="001F28A1"/>
    <w:rsid w:val="001F2C44"/>
    <w:rsid w:val="001F2D87"/>
    <w:rsid w:val="001F2DD3"/>
    <w:rsid w:val="001F30D0"/>
    <w:rsid w:val="001F3142"/>
    <w:rsid w:val="001F3569"/>
    <w:rsid w:val="001F35E7"/>
    <w:rsid w:val="001F365E"/>
    <w:rsid w:val="001F3826"/>
    <w:rsid w:val="001F3968"/>
    <w:rsid w:val="001F3A6E"/>
    <w:rsid w:val="001F3E9F"/>
    <w:rsid w:val="001F3F44"/>
    <w:rsid w:val="001F4069"/>
    <w:rsid w:val="001F43D7"/>
    <w:rsid w:val="001F4DA4"/>
    <w:rsid w:val="001F505A"/>
    <w:rsid w:val="001F51D8"/>
    <w:rsid w:val="001F5307"/>
    <w:rsid w:val="001F532C"/>
    <w:rsid w:val="001F53F1"/>
    <w:rsid w:val="001F549C"/>
    <w:rsid w:val="001F5773"/>
    <w:rsid w:val="001F5ACC"/>
    <w:rsid w:val="001F5AEF"/>
    <w:rsid w:val="001F5EDA"/>
    <w:rsid w:val="001F5EE4"/>
    <w:rsid w:val="001F6028"/>
    <w:rsid w:val="001F628C"/>
    <w:rsid w:val="001F6734"/>
    <w:rsid w:val="001F679D"/>
    <w:rsid w:val="001F6C0C"/>
    <w:rsid w:val="001F6C30"/>
    <w:rsid w:val="001F6CFA"/>
    <w:rsid w:val="001F6E46"/>
    <w:rsid w:val="001F72E0"/>
    <w:rsid w:val="001F74CE"/>
    <w:rsid w:val="001F75FE"/>
    <w:rsid w:val="001F788A"/>
    <w:rsid w:val="001F794C"/>
    <w:rsid w:val="001F797E"/>
    <w:rsid w:val="001F79AD"/>
    <w:rsid w:val="001F7B7D"/>
    <w:rsid w:val="001F7C91"/>
    <w:rsid w:val="001F7CEF"/>
    <w:rsid w:val="001F7D20"/>
    <w:rsid w:val="001F7DAA"/>
    <w:rsid w:val="001F7E2C"/>
    <w:rsid w:val="001F7F23"/>
    <w:rsid w:val="0020004D"/>
    <w:rsid w:val="002000DD"/>
    <w:rsid w:val="0020029B"/>
    <w:rsid w:val="002002B1"/>
    <w:rsid w:val="0020034C"/>
    <w:rsid w:val="00200E08"/>
    <w:rsid w:val="00200E0D"/>
    <w:rsid w:val="0020132C"/>
    <w:rsid w:val="002017EC"/>
    <w:rsid w:val="00201952"/>
    <w:rsid w:val="00201DBE"/>
    <w:rsid w:val="00202050"/>
    <w:rsid w:val="0020206B"/>
    <w:rsid w:val="002027F2"/>
    <w:rsid w:val="00202934"/>
    <w:rsid w:val="00202E99"/>
    <w:rsid w:val="00202FD8"/>
    <w:rsid w:val="00202FFD"/>
    <w:rsid w:val="00203137"/>
    <w:rsid w:val="0020323C"/>
    <w:rsid w:val="002033B7"/>
    <w:rsid w:val="0020371D"/>
    <w:rsid w:val="00203975"/>
    <w:rsid w:val="002039D5"/>
    <w:rsid w:val="00203A56"/>
    <w:rsid w:val="00203A5A"/>
    <w:rsid w:val="00203B0C"/>
    <w:rsid w:val="00203CAE"/>
    <w:rsid w:val="00204021"/>
    <w:rsid w:val="002040B3"/>
    <w:rsid w:val="00204374"/>
    <w:rsid w:val="00204416"/>
    <w:rsid w:val="002046D3"/>
    <w:rsid w:val="00204BA0"/>
    <w:rsid w:val="00204F27"/>
    <w:rsid w:val="00205400"/>
    <w:rsid w:val="00205BE9"/>
    <w:rsid w:val="002061EB"/>
    <w:rsid w:val="00206463"/>
    <w:rsid w:val="002064F6"/>
    <w:rsid w:val="00206678"/>
    <w:rsid w:val="0020684A"/>
    <w:rsid w:val="002068DB"/>
    <w:rsid w:val="00206B4D"/>
    <w:rsid w:val="00206F2F"/>
    <w:rsid w:val="002071CD"/>
    <w:rsid w:val="00207717"/>
    <w:rsid w:val="00207AB6"/>
    <w:rsid w:val="00207B33"/>
    <w:rsid w:val="00207C86"/>
    <w:rsid w:val="00207EE3"/>
    <w:rsid w:val="00207F3E"/>
    <w:rsid w:val="00207FDA"/>
    <w:rsid w:val="00210046"/>
    <w:rsid w:val="002100FD"/>
    <w:rsid w:val="0021028F"/>
    <w:rsid w:val="0021053D"/>
    <w:rsid w:val="002109DC"/>
    <w:rsid w:val="00210A92"/>
    <w:rsid w:val="00210B38"/>
    <w:rsid w:val="00210B7D"/>
    <w:rsid w:val="00210E1A"/>
    <w:rsid w:val="002112B0"/>
    <w:rsid w:val="0021165E"/>
    <w:rsid w:val="002119EC"/>
    <w:rsid w:val="00211B07"/>
    <w:rsid w:val="00211BF6"/>
    <w:rsid w:val="00211CC7"/>
    <w:rsid w:val="00211FAA"/>
    <w:rsid w:val="0021229E"/>
    <w:rsid w:val="00212B95"/>
    <w:rsid w:val="00212BC7"/>
    <w:rsid w:val="00212D33"/>
    <w:rsid w:val="00212D86"/>
    <w:rsid w:val="0021307C"/>
    <w:rsid w:val="00213411"/>
    <w:rsid w:val="002134F0"/>
    <w:rsid w:val="00213539"/>
    <w:rsid w:val="002135FA"/>
    <w:rsid w:val="00213666"/>
    <w:rsid w:val="002138B2"/>
    <w:rsid w:val="00213BDB"/>
    <w:rsid w:val="00213C3F"/>
    <w:rsid w:val="00213D0B"/>
    <w:rsid w:val="00213E15"/>
    <w:rsid w:val="00213F1E"/>
    <w:rsid w:val="00214266"/>
    <w:rsid w:val="00214546"/>
    <w:rsid w:val="00214647"/>
    <w:rsid w:val="0021474E"/>
    <w:rsid w:val="00214956"/>
    <w:rsid w:val="00214993"/>
    <w:rsid w:val="00214AEC"/>
    <w:rsid w:val="00214C2F"/>
    <w:rsid w:val="00215020"/>
    <w:rsid w:val="00215127"/>
    <w:rsid w:val="00215150"/>
    <w:rsid w:val="00215478"/>
    <w:rsid w:val="002154E1"/>
    <w:rsid w:val="00215537"/>
    <w:rsid w:val="002155F5"/>
    <w:rsid w:val="00215C2C"/>
    <w:rsid w:val="00215CC8"/>
    <w:rsid w:val="0021623D"/>
    <w:rsid w:val="002162F2"/>
    <w:rsid w:val="00216340"/>
    <w:rsid w:val="002164BA"/>
    <w:rsid w:val="002168C0"/>
    <w:rsid w:val="00216A2F"/>
    <w:rsid w:val="00216C03"/>
    <w:rsid w:val="00216EF2"/>
    <w:rsid w:val="002173E7"/>
    <w:rsid w:val="0021758C"/>
    <w:rsid w:val="002177FC"/>
    <w:rsid w:val="0021788C"/>
    <w:rsid w:val="002204C0"/>
    <w:rsid w:val="00220900"/>
    <w:rsid w:val="002209C1"/>
    <w:rsid w:val="00220A1A"/>
    <w:rsid w:val="00220C04"/>
    <w:rsid w:val="00220E98"/>
    <w:rsid w:val="00221031"/>
    <w:rsid w:val="00221056"/>
    <w:rsid w:val="00221201"/>
    <w:rsid w:val="00221A6E"/>
    <w:rsid w:val="00222353"/>
    <w:rsid w:val="002225DC"/>
    <w:rsid w:val="002225F9"/>
    <w:rsid w:val="0022278D"/>
    <w:rsid w:val="00222BC8"/>
    <w:rsid w:val="00222EBC"/>
    <w:rsid w:val="00223119"/>
    <w:rsid w:val="002233AB"/>
    <w:rsid w:val="0022392F"/>
    <w:rsid w:val="00223AB0"/>
    <w:rsid w:val="0022418D"/>
    <w:rsid w:val="00224217"/>
    <w:rsid w:val="00224248"/>
    <w:rsid w:val="00224445"/>
    <w:rsid w:val="002247A2"/>
    <w:rsid w:val="002247BD"/>
    <w:rsid w:val="002249BA"/>
    <w:rsid w:val="00224BA6"/>
    <w:rsid w:val="00224D90"/>
    <w:rsid w:val="00224E3D"/>
    <w:rsid w:val="00225202"/>
    <w:rsid w:val="00225572"/>
    <w:rsid w:val="00225596"/>
    <w:rsid w:val="002256A9"/>
    <w:rsid w:val="0022592F"/>
    <w:rsid w:val="00225AB4"/>
    <w:rsid w:val="00226059"/>
    <w:rsid w:val="002261D4"/>
    <w:rsid w:val="002264F7"/>
    <w:rsid w:val="0022667E"/>
    <w:rsid w:val="00226775"/>
    <w:rsid w:val="002268F6"/>
    <w:rsid w:val="00226D8A"/>
    <w:rsid w:val="0022701F"/>
    <w:rsid w:val="002273CC"/>
    <w:rsid w:val="0022767F"/>
    <w:rsid w:val="00227C2E"/>
    <w:rsid w:val="00227C39"/>
    <w:rsid w:val="00227C68"/>
    <w:rsid w:val="00227DD8"/>
    <w:rsid w:val="00227E14"/>
    <w:rsid w:val="00227E7D"/>
    <w:rsid w:val="00227EAF"/>
    <w:rsid w:val="00227F52"/>
    <w:rsid w:val="00230095"/>
    <w:rsid w:val="00230171"/>
    <w:rsid w:val="00230593"/>
    <w:rsid w:val="002305C5"/>
    <w:rsid w:val="00230B72"/>
    <w:rsid w:val="00230C32"/>
    <w:rsid w:val="00230D6A"/>
    <w:rsid w:val="00230E55"/>
    <w:rsid w:val="00230E90"/>
    <w:rsid w:val="00231242"/>
    <w:rsid w:val="002313C8"/>
    <w:rsid w:val="00231684"/>
    <w:rsid w:val="00231ACA"/>
    <w:rsid w:val="00231B6D"/>
    <w:rsid w:val="00231BB6"/>
    <w:rsid w:val="00231EC1"/>
    <w:rsid w:val="00231FFF"/>
    <w:rsid w:val="00232179"/>
    <w:rsid w:val="00232395"/>
    <w:rsid w:val="002323E9"/>
    <w:rsid w:val="002323FA"/>
    <w:rsid w:val="00232570"/>
    <w:rsid w:val="0023284B"/>
    <w:rsid w:val="00232B31"/>
    <w:rsid w:val="00232C0C"/>
    <w:rsid w:val="00232EA0"/>
    <w:rsid w:val="002330D3"/>
    <w:rsid w:val="002333F5"/>
    <w:rsid w:val="00233552"/>
    <w:rsid w:val="0023369D"/>
    <w:rsid w:val="00233724"/>
    <w:rsid w:val="00233DA1"/>
    <w:rsid w:val="00233E9A"/>
    <w:rsid w:val="00233F66"/>
    <w:rsid w:val="002346F0"/>
    <w:rsid w:val="00234C51"/>
    <w:rsid w:val="00234DC8"/>
    <w:rsid w:val="00234E2A"/>
    <w:rsid w:val="0023511B"/>
    <w:rsid w:val="00235155"/>
    <w:rsid w:val="002355CB"/>
    <w:rsid w:val="002355E8"/>
    <w:rsid w:val="00235B2F"/>
    <w:rsid w:val="00235B67"/>
    <w:rsid w:val="0023608A"/>
    <w:rsid w:val="00236199"/>
    <w:rsid w:val="002363EC"/>
    <w:rsid w:val="002365B4"/>
    <w:rsid w:val="002367EB"/>
    <w:rsid w:val="00236947"/>
    <w:rsid w:val="00236CD8"/>
    <w:rsid w:val="00236F10"/>
    <w:rsid w:val="00236FDC"/>
    <w:rsid w:val="002370C8"/>
    <w:rsid w:val="00237797"/>
    <w:rsid w:val="002378F5"/>
    <w:rsid w:val="00237BBC"/>
    <w:rsid w:val="00237D72"/>
    <w:rsid w:val="00240590"/>
    <w:rsid w:val="00240691"/>
    <w:rsid w:val="002406C5"/>
    <w:rsid w:val="00240833"/>
    <w:rsid w:val="00240881"/>
    <w:rsid w:val="00240891"/>
    <w:rsid w:val="002409AF"/>
    <w:rsid w:val="00240C3C"/>
    <w:rsid w:val="00240C6B"/>
    <w:rsid w:val="00240DAF"/>
    <w:rsid w:val="00240DDF"/>
    <w:rsid w:val="00240DF0"/>
    <w:rsid w:val="002411D2"/>
    <w:rsid w:val="002415F6"/>
    <w:rsid w:val="00241B9C"/>
    <w:rsid w:val="00241E01"/>
    <w:rsid w:val="0024230E"/>
    <w:rsid w:val="002425C7"/>
    <w:rsid w:val="00242782"/>
    <w:rsid w:val="00242952"/>
    <w:rsid w:val="00243291"/>
    <w:rsid w:val="002432E1"/>
    <w:rsid w:val="00243622"/>
    <w:rsid w:val="00243BF7"/>
    <w:rsid w:val="00243E3C"/>
    <w:rsid w:val="00243F11"/>
    <w:rsid w:val="0024400B"/>
    <w:rsid w:val="00244369"/>
    <w:rsid w:val="0024443E"/>
    <w:rsid w:val="0024477A"/>
    <w:rsid w:val="0024490C"/>
    <w:rsid w:val="00244D1B"/>
    <w:rsid w:val="00244DE2"/>
    <w:rsid w:val="00244FFE"/>
    <w:rsid w:val="0024549E"/>
    <w:rsid w:val="002459D9"/>
    <w:rsid w:val="00245AB2"/>
    <w:rsid w:val="00245D8E"/>
    <w:rsid w:val="00245F07"/>
    <w:rsid w:val="00246165"/>
    <w:rsid w:val="00246207"/>
    <w:rsid w:val="00246276"/>
    <w:rsid w:val="002464A2"/>
    <w:rsid w:val="002464B6"/>
    <w:rsid w:val="0024656D"/>
    <w:rsid w:val="00246A1D"/>
    <w:rsid w:val="00246C04"/>
    <w:rsid w:val="00246C5E"/>
    <w:rsid w:val="00246D78"/>
    <w:rsid w:val="00246D7C"/>
    <w:rsid w:val="0024714B"/>
    <w:rsid w:val="00247382"/>
    <w:rsid w:val="0024742A"/>
    <w:rsid w:val="002475E5"/>
    <w:rsid w:val="002477F4"/>
    <w:rsid w:val="00247925"/>
    <w:rsid w:val="00247B71"/>
    <w:rsid w:val="00247C9C"/>
    <w:rsid w:val="00247EA7"/>
    <w:rsid w:val="0024A492"/>
    <w:rsid w:val="0025042F"/>
    <w:rsid w:val="0025070D"/>
    <w:rsid w:val="00250720"/>
    <w:rsid w:val="002507A6"/>
    <w:rsid w:val="0025093C"/>
    <w:rsid w:val="00250960"/>
    <w:rsid w:val="0025099D"/>
    <w:rsid w:val="00250BAA"/>
    <w:rsid w:val="00250C69"/>
    <w:rsid w:val="00250E3A"/>
    <w:rsid w:val="00251029"/>
    <w:rsid w:val="00251343"/>
    <w:rsid w:val="00251725"/>
    <w:rsid w:val="00251756"/>
    <w:rsid w:val="00251766"/>
    <w:rsid w:val="0025189A"/>
    <w:rsid w:val="00251A30"/>
    <w:rsid w:val="00251E95"/>
    <w:rsid w:val="002521AC"/>
    <w:rsid w:val="002525E6"/>
    <w:rsid w:val="002528DC"/>
    <w:rsid w:val="0025291B"/>
    <w:rsid w:val="00252924"/>
    <w:rsid w:val="00252A31"/>
    <w:rsid w:val="00252FCF"/>
    <w:rsid w:val="0025325A"/>
    <w:rsid w:val="002532BD"/>
    <w:rsid w:val="00253491"/>
    <w:rsid w:val="002536A4"/>
    <w:rsid w:val="002537E4"/>
    <w:rsid w:val="002538D5"/>
    <w:rsid w:val="00253C33"/>
    <w:rsid w:val="0025422C"/>
    <w:rsid w:val="0025423F"/>
    <w:rsid w:val="002545A3"/>
    <w:rsid w:val="002546F9"/>
    <w:rsid w:val="002549C7"/>
    <w:rsid w:val="00254B41"/>
    <w:rsid w:val="00254F58"/>
    <w:rsid w:val="002551ED"/>
    <w:rsid w:val="00255424"/>
    <w:rsid w:val="00255582"/>
    <w:rsid w:val="0025559E"/>
    <w:rsid w:val="0025567C"/>
    <w:rsid w:val="00255920"/>
    <w:rsid w:val="002559F6"/>
    <w:rsid w:val="00255A9F"/>
    <w:rsid w:val="00255B51"/>
    <w:rsid w:val="00255D84"/>
    <w:rsid w:val="00255F7A"/>
    <w:rsid w:val="002563EA"/>
    <w:rsid w:val="002563F0"/>
    <w:rsid w:val="00256432"/>
    <w:rsid w:val="0025653D"/>
    <w:rsid w:val="002565E6"/>
    <w:rsid w:val="0025668E"/>
    <w:rsid w:val="00256702"/>
    <w:rsid w:val="002569F7"/>
    <w:rsid w:val="00256C61"/>
    <w:rsid w:val="00256CE2"/>
    <w:rsid w:val="00257147"/>
    <w:rsid w:val="002572D3"/>
    <w:rsid w:val="0025731D"/>
    <w:rsid w:val="0025743C"/>
    <w:rsid w:val="00257603"/>
    <w:rsid w:val="0025790D"/>
    <w:rsid w:val="00257C9A"/>
    <w:rsid w:val="00257F84"/>
    <w:rsid w:val="00257FE4"/>
    <w:rsid w:val="0026006A"/>
    <w:rsid w:val="002606B6"/>
    <w:rsid w:val="00260844"/>
    <w:rsid w:val="002608ED"/>
    <w:rsid w:val="00260ACF"/>
    <w:rsid w:val="00260B10"/>
    <w:rsid w:val="00260E70"/>
    <w:rsid w:val="00260F93"/>
    <w:rsid w:val="00261282"/>
    <w:rsid w:val="00261420"/>
    <w:rsid w:val="002614BD"/>
    <w:rsid w:val="0026155E"/>
    <w:rsid w:val="0026186C"/>
    <w:rsid w:val="00261887"/>
    <w:rsid w:val="002618FB"/>
    <w:rsid w:val="00261AEA"/>
    <w:rsid w:val="00261D76"/>
    <w:rsid w:val="00261E45"/>
    <w:rsid w:val="00261F02"/>
    <w:rsid w:val="00261FD3"/>
    <w:rsid w:val="002620BC"/>
    <w:rsid w:val="002623CB"/>
    <w:rsid w:val="0026258C"/>
    <w:rsid w:val="0026260A"/>
    <w:rsid w:val="002627C7"/>
    <w:rsid w:val="00262802"/>
    <w:rsid w:val="00262999"/>
    <w:rsid w:val="00262ABA"/>
    <w:rsid w:val="00262F36"/>
    <w:rsid w:val="00263193"/>
    <w:rsid w:val="0026321F"/>
    <w:rsid w:val="0026338A"/>
    <w:rsid w:val="00263605"/>
    <w:rsid w:val="00263646"/>
    <w:rsid w:val="0026387A"/>
    <w:rsid w:val="002638A9"/>
    <w:rsid w:val="00263A8B"/>
    <w:rsid w:val="00263A90"/>
    <w:rsid w:val="00263B85"/>
    <w:rsid w:val="00263DAB"/>
    <w:rsid w:val="0026408B"/>
    <w:rsid w:val="002647C0"/>
    <w:rsid w:val="00264FE4"/>
    <w:rsid w:val="002650CA"/>
    <w:rsid w:val="002650D2"/>
    <w:rsid w:val="00265553"/>
    <w:rsid w:val="002655A4"/>
    <w:rsid w:val="002657EB"/>
    <w:rsid w:val="00265A6A"/>
    <w:rsid w:val="00265A9D"/>
    <w:rsid w:val="00265D4E"/>
    <w:rsid w:val="00266325"/>
    <w:rsid w:val="002664F2"/>
    <w:rsid w:val="00266524"/>
    <w:rsid w:val="0026664C"/>
    <w:rsid w:val="002669A9"/>
    <w:rsid w:val="00266A92"/>
    <w:rsid w:val="00266E87"/>
    <w:rsid w:val="00266E99"/>
    <w:rsid w:val="00266F26"/>
    <w:rsid w:val="0026721D"/>
    <w:rsid w:val="00267510"/>
    <w:rsid w:val="0026757E"/>
    <w:rsid w:val="0026759D"/>
    <w:rsid w:val="002676CB"/>
    <w:rsid w:val="00267A24"/>
    <w:rsid w:val="00267C3E"/>
    <w:rsid w:val="00267E32"/>
    <w:rsid w:val="00270394"/>
    <w:rsid w:val="002705DA"/>
    <w:rsid w:val="00270684"/>
    <w:rsid w:val="002706E3"/>
    <w:rsid w:val="002709BB"/>
    <w:rsid w:val="002709C6"/>
    <w:rsid w:val="00270E55"/>
    <w:rsid w:val="00270F15"/>
    <w:rsid w:val="0027131C"/>
    <w:rsid w:val="00271A82"/>
    <w:rsid w:val="00271D4A"/>
    <w:rsid w:val="00271D90"/>
    <w:rsid w:val="00272351"/>
    <w:rsid w:val="002723F7"/>
    <w:rsid w:val="00272D99"/>
    <w:rsid w:val="0027308D"/>
    <w:rsid w:val="0027325D"/>
    <w:rsid w:val="002732D5"/>
    <w:rsid w:val="002732F9"/>
    <w:rsid w:val="0027369B"/>
    <w:rsid w:val="002736DD"/>
    <w:rsid w:val="002736E2"/>
    <w:rsid w:val="00273727"/>
    <w:rsid w:val="0027374A"/>
    <w:rsid w:val="00273A06"/>
    <w:rsid w:val="00273AD5"/>
    <w:rsid w:val="00273BAC"/>
    <w:rsid w:val="00273D0A"/>
    <w:rsid w:val="00273D4C"/>
    <w:rsid w:val="00273EDB"/>
    <w:rsid w:val="00273F3C"/>
    <w:rsid w:val="002742A5"/>
    <w:rsid w:val="00274406"/>
    <w:rsid w:val="0027449B"/>
    <w:rsid w:val="002745C0"/>
    <w:rsid w:val="00274C2E"/>
    <w:rsid w:val="00274DA1"/>
    <w:rsid w:val="00274E37"/>
    <w:rsid w:val="00274E98"/>
    <w:rsid w:val="00274EAD"/>
    <w:rsid w:val="002753F3"/>
    <w:rsid w:val="00275432"/>
    <w:rsid w:val="00275782"/>
    <w:rsid w:val="002757D7"/>
    <w:rsid w:val="002758F6"/>
    <w:rsid w:val="00275D8E"/>
    <w:rsid w:val="00275F03"/>
    <w:rsid w:val="00276004"/>
    <w:rsid w:val="0027608F"/>
    <w:rsid w:val="002763B3"/>
    <w:rsid w:val="002768F2"/>
    <w:rsid w:val="00276B24"/>
    <w:rsid w:val="00276C7C"/>
    <w:rsid w:val="00276F16"/>
    <w:rsid w:val="002777F8"/>
    <w:rsid w:val="00277932"/>
    <w:rsid w:val="00277A44"/>
    <w:rsid w:val="00277CB5"/>
    <w:rsid w:val="00277E23"/>
    <w:rsid w:val="00277E36"/>
    <w:rsid w:val="00280004"/>
    <w:rsid w:val="002802A3"/>
    <w:rsid w:val="002802E3"/>
    <w:rsid w:val="00280372"/>
    <w:rsid w:val="002803CC"/>
    <w:rsid w:val="00280947"/>
    <w:rsid w:val="00280AC9"/>
    <w:rsid w:val="00280D50"/>
    <w:rsid w:val="0028106A"/>
    <w:rsid w:val="00281239"/>
    <w:rsid w:val="002812F8"/>
    <w:rsid w:val="00281318"/>
    <w:rsid w:val="002813F5"/>
    <w:rsid w:val="0028153E"/>
    <w:rsid w:val="00281A4A"/>
    <w:rsid w:val="00281B9E"/>
    <w:rsid w:val="00281C85"/>
    <w:rsid w:val="002820D3"/>
    <w:rsid w:val="0028213D"/>
    <w:rsid w:val="0028231D"/>
    <w:rsid w:val="00282976"/>
    <w:rsid w:val="00282E65"/>
    <w:rsid w:val="002830B5"/>
    <w:rsid w:val="002832C6"/>
    <w:rsid w:val="0028351D"/>
    <w:rsid w:val="00283607"/>
    <w:rsid w:val="00283772"/>
    <w:rsid w:val="002837D7"/>
    <w:rsid w:val="002838F0"/>
    <w:rsid w:val="00283F49"/>
    <w:rsid w:val="00284238"/>
    <w:rsid w:val="0028453C"/>
    <w:rsid w:val="00284832"/>
    <w:rsid w:val="00284D4D"/>
    <w:rsid w:val="0028508D"/>
    <w:rsid w:val="002850DD"/>
    <w:rsid w:val="002852A2"/>
    <w:rsid w:val="00285665"/>
    <w:rsid w:val="00285667"/>
    <w:rsid w:val="00285B63"/>
    <w:rsid w:val="00285E8F"/>
    <w:rsid w:val="00285F0A"/>
    <w:rsid w:val="00286113"/>
    <w:rsid w:val="00286149"/>
    <w:rsid w:val="002862F1"/>
    <w:rsid w:val="002864DA"/>
    <w:rsid w:val="00286BF0"/>
    <w:rsid w:val="00286D9B"/>
    <w:rsid w:val="00287195"/>
    <w:rsid w:val="002871BE"/>
    <w:rsid w:val="0028720A"/>
    <w:rsid w:val="00287747"/>
    <w:rsid w:val="0028782C"/>
    <w:rsid w:val="0028783A"/>
    <w:rsid w:val="00287A58"/>
    <w:rsid w:val="00287BB3"/>
    <w:rsid w:val="00290126"/>
    <w:rsid w:val="00290272"/>
    <w:rsid w:val="00290388"/>
    <w:rsid w:val="00290512"/>
    <w:rsid w:val="00290680"/>
    <w:rsid w:val="002907B9"/>
    <w:rsid w:val="002908FC"/>
    <w:rsid w:val="0029090C"/>
    <w:rsid w:val="00290958"/>
    <w:rsid w:val="00290AB6"/>
    <w:rsid w:val="00290D27"/>
    <w:rsid w:val="0029125C"/>
    <w:rsid w:val="00291287"/>
    <w:rsid w:val="00291373"/>
    <w:rsid w:val="002915ED"/>
    <w:rsid w:val="00291849"/>
    <w:rsid w:val="00291887"/>
    <w:rsid w:val="0029215B"/>
    <w:rsid w:val="00292987"/>
    <w:rsid w:val="00292D91"/>
    <w:rsid w:val="00292EFD"/>
    <w:rsid w:val="0029300D"/>
    <w:rsid w:val="00293098"/>
    <w:rsid w:val="00293429"/>
    <w:rsid w:val="002938B7"/>
    <w:rsid w:val="00293AC0"/>
    <w:rsid w:val="00293C9F"/>
    <w:rsid w:val="00293EC4"/>
    <w:rsid w:val="00293F5E"/>
    <w:rsid w:val="0029426E"/>
    <w:rsid w:val="00294286"/>
    <w:rsid w:val="0029439D"/>
    <w:rsid w:val="002943AF"/>
    <w:rsid w:val="00294F0A"/>
    <w:rsid w:val="0029528D"/>
    <w:rsid w:val="002953AE"/>
    <w:rsid w:val="002953EA"/>
    <w:rsid w:val="00295439"/>
    <w:rsid w:val="0029557C"/>
    <w:rsid w:val="0029562E"/>
    <w:rsid w:val="00295822"/>
    <w:rsid w:val="0029597D"/>
    <w:rsid w:val="00295A3E"/>
    <w:rsid w:val="00295F71"/>
    <w:rsid w:val="0029627A"/>
    <w:rsid w:val="002962C3"/>
    <w:rsid w:val="00296999"/>
    <w:rsid w:val="00296B6B"/>
    <w:rsid w:val="00296C16"/>
    <w:rsid w:val="00296C26"/>
    <w:rsid w:val="00296D5A"/>
    <w:rsid w:val="00297367"/>
    <w:rsid w:val="002973B5"/>
    <w:rsid w:val="0029752B"/>
    <w:rsid w:val="0029780D"/>
    <w:rsid w:val="0029788F"/>
    <w:rsid w:val="00297DDA"/>
    <w:rsid w:val="00297F15"/>
    <w:rsid w:val="002A0A9C"/>
    <w:rsid w:val="002A1365"/>
    <w:rsid w:val="002A13A8"/>
    <w:rsid w:val="002A14CC"/>
    <w:rsid w:val="002A17DD"/>
    <w:rsid w:val="002A18C0"/>
    <w:rsid w:val="002A1965"/>
    <w:rsid w:val="002A25D5"/>
    <w:rsid w:val="002A287C"/>
    <w:rsid w:val="002A2B7D"/>
    <w:rsid w:val="002A2C65"/>
    <w:rsid w:val="002A2FFF"/>
    <w:rsid w:val="002A305D"/>
    <w:rsid w:val="002A3094"/>
    <w:rsid w:val="002A30A5"/>
    <w:rsid w:val="002A326A"/>
    <w:rsid w:val="002A3368"/>
    <w:rsid w:val="002A3373"/>
    <w:rsid w:val="002A3470"/>
    <w:rsid w:val="002A38F4"/>
    <w:rsid w:val="002A3907"/>
    <w:rsid w:val="002A3C59"/>
    <w:rsid w:val="002A3CBB"/>
    <w:rsid w:val="002A3D69"/>
    <w:rsid w:val="002A3D75"/>
    <w:rsid w:val="002A4466"/>
    <w:rsid w:val="002A483C"/>
    <w:rsid w:val="002A49F3"/>
    <w:rsid w:val="002A4B19"/>
    <w:rsid w:val="002A4F62"/>
    <w:rsid w:val="002A4F80"/>
    <w:rsid w:val="002A517C"/>
    <w:rsid w:val="002A5375"/>
    <w:rsid w:val="002A53EE"/>
    <w:rsid w:val="002A549D"/>
    <w:rsid w:val="002A54F5"/>
    <w:rsid w:val="002A551A"/>
    <w:rsid w:val="002A5529"/>
    <w:rsid w:val="002A56AF"/>
    <w:rsid w:val="002A58B8"/>
    <w:rsid w:val="002A5AD7"/>
    <w:rsid w:val="002A6007"/>
    <w:rsid w:val="002A6123"/>
    <w:rsid w:val="002A621C"/>
    <w:rsid w:val="002A673E"/>
    <w:rsid w:val="002A7380"/>
    <w:rsid w:val="002A7588"/>
    <w:rsid w:val="002A7707"/>
    <w:rsid w:val="002A7A5F"/>
    <w:rsid w:val="002A7ACE"/>
    <w:rsid w:val="002A7B73"/>
    <w:rsid w:val="002A7B81"/>
    <w:rsid w:val="002B0135"/>
    <w:rsid w:val="002B0228"/>
    <w:rsid w:val="002B02FE"/>
    <w:rsid w:val="002B043F"/>
    <w:rsid w:val="002B08D0"/>
    <w:rsid w:val="002B08FB"/>
    <w:rsid w:val="002B0C7C"/>
    <w:rsid w:val="002B0E4E"/>
    <w:rsid w:val="002B10A2"/>
    <w:rsid w:val="002B1205"/>
    <w:rsid w:val="002B165A"/>
    <w:rsid w:val="002B1725"/>
    <w:rsid w:val="002B1729"/>
    <w:rsid w:val="002B1939"/>
    <w:rsid w:val="002B1D16"/>
    <w:rsid w:val="002B1F1B"/>
    <w:rsid w:val="002B2616"/>
    <w:rsid w:val="002B26D3"/>
    <w:rsid w:val="002B2701"/>
    <w:rsid w:val="002B29E7"/>
    <w:rsid w:val="002B3066"/>
    <w:rsid w:val="002B30D8"/>
    <w:rsid w:val="002B3332"/>
    <w:rsid w:val="002B361A"/>
    <w:rsid w:val="002B36AD"/>
    <w:rsid w:val="002B36C7"/>
    <w:rsid w:val="002B36DF"/>
    <w:rsid w:val="002B3713"/>
    <w:rsid w:val="002B4047"/>
    <w:rsid w:val="002B4374"/>
    <w:rsid w:val="002B4603"/>
    <w:rsid w:val="002B468C"/>
    <w:rsid w:val="002B46EE"/>
    <w:rsid w:val="002B48E9"/>
    <w:rsid w:val="002B4C10"/>
    <w:rsid w:val="002B4DD4"/>
    <w:rsid w:val="002B4E38"/>
    <w:rsid w:val="002B5277"/>
    <w:rsid w:val="002B5375"/>
    <w:rsid w:val="002B59DB"/>
    <w:rsid w:val="002B5B1C"/>
    <w:rsid w:val="002B5CB8"/>
    <w:rsid w:val="002B5EEB"/>
    <w:rsid w:val="002B6089"/>
    <w:rsid w:val="002B638F"/>
    <w:rsid w:val="002B63C7"/>
    <w:rsid w:val="002B65B5"/>
    <w:rsid w:val="002B6659"/>
    <w:rsid w:val="002B66B0"/>
    <w:rsid w:val="002B6987"/>
    <w:rsid w:val="002B6A78"/>
    <w:rsid w:val="002B6AFB"/>
    <w:rsid w:val="002B6CD8"/>
    <w:rsid w:val="002B6EE5"/>
    <w:rsid w:val="002B6F96"/>
    <w:rsid w:val="002B70C6"/>
    <w:rsid w:val="002B70FC"/>
    <w:rsid w:val="002B71E2"/>
    <w:rsid w:val="002B77C1"/>
    <w:rsid w:val="002B7965"/>
    <w:rsid w:val="002B7B24"/>
    <w:rsid w:val="002B7BCB"/>
    <w:rsid w:val="002B7F08"/>
    <w:rsid w:val="002B7F8F"/>
    <w:rsid w:val="002C01DA"/>
    <w:rsid w:val="002C0373"/>
    <w:rsid w:val="002C05C9"/>
    <w:rsid w:val="002C0894"/>
    <w:rsid w:val="002C08DF"/>
    <w:rsid w:val="002C0A93"/>
    <w:rsid w:val="002C0ECE"/>
    <w:rsid w:val="002C0ED7"/>
    <w:rsid w:val="002C0FB0"/>
    <w:rsid w:val="002C12A3"/>
    <w:rsid w:val="002C185F"/>
    <w:rsid w:val="002C1C7A"/>
    <w:rsid w:val="002C2001"/>
    <w:rsid w:val="002C21DF"/>
    <w:rsid w:val="002C2328"/>
    <w:rsid w:val="002C2728"/>
    <w:rsid w:val="002C2B2D"/>
    <w:rsid w:val="002C2FF4"/>
    <w:rsid w:val="002C328E"/>
    <w:rsid w:val="002C343D"/>
    <w:rsid w:val="002C35B9"/>
    <w:rsid w:val="002C37D6"/>
    <w:rsid w:val="002C387D"/>
    <w:rsid w:val="002C38DC"/>
    <w:rsid w:val="002C3993"/>
    <w:rsid w:val="002C3A92"/>
    <w:rsid w:val="002C3D3F"/>
    <w:rsid w:val="002C3F39"/>
    <w:rsid w:val="002C3FF0"/>
    <w:rsid w:val="002C42B4"/>
    <w:rsid w:val="002C475C"/>
    <w:rsid w:val="002C48C5"/>
    <w:rsid w:val="002C4AB5"/>
    <w:rsid w:val="002C4AF7"/>
    <w:rsid w:val="002C4DD5"/>
    <w:rsid w:val="002C518A"/>
    <w:rsid w:val="002C5205"/>
    <w:rsid w:val="002C5725"/>
    <w:rsid w:val="002C5B7C"/>
    <w:rsid w:val="002C5C46"/>
    <w:rsid w:val="002C5C63"/>
    <w:rsid w:val="002C5E2A"/>
    <w:rsid w:val="002C5F95"/>
    <w:rsid w:val="002C5FA9"/>
    <w:rsid w:val="002C622B"/>
    <w:rsid w:val="002C63F8"/>
    <w:rsid w:val="002C64C5"/>
    <w:rsid w:val="002C6621"/>
    <w:rsid w:val="002C6D26"/>
    <w:rsid w:val="002C731C"/>
    <w:rsid w:val="002C7919"/>
    <w:rsid w:val="002C7A11"/>
    <w:rsid w:val="002C7BCE"/>
    <w:rsid w:val="002D046A"/>
    <w:rsid w:val="002D06BA"/>
    <w:rsid w:val="002D0720"/>
    <w:rsid w:val="002D0734"/>
    <w:rsid w:val="002D0A01"/>
    <w:rsid w:val="002D0C80"/>
    <w:rsid w:val="002D0FA0"/>
    <w:rsid w:val="002D0FC8"/>
    <w:rsid w:val="002D0FF2"/>
    <w:rsid w:val="002D12FF"/>
    <w:rsid w:val="002D19A5"/>
    <w:rsid w:val="002D1E0D"/>
    <w:rsid w:val="002D1EE6"/>
    <w:rsid w:val="002D24A7"/>
    <w:rsid w:val="002D276E"/>
    <w:rsid w:val="002D2CF9"/>
    <w:rsid w:val="002D2DD7"/>
    <w:rsid w:val="002D31AF"/>
    <w:rsid w:val="002D35AC"/>
    <w:rsid w:val="002D36AF"/>
    <w:rsid w:val="002D36CA"/>
    <w:rsid w:val="002D377E"/>
    <w:rsid w:val="002D3CE9"/>
    <w:rsid w:val="002D401B"/>
    <w:rsid w:val="002D419A"/>
    <w:rsid w:val="002D4604"/>
    <w:rsid w:val="002D4932"/>
    <w:rsid w:val="002D4A4B"/>
    <w:rsid w:val="002D5006"/>
    <w:rsid w:val="002D552B"/>
    <w:rsid w:val="002D5673"/>
    <w:rsid w:val="002D5873"/>
    <w:rsid w:val="002D5880"/>
    <w:rsid w:val="002D58D7"/>
    <w:rsid w:val="002D5D79"/>
    <w:rsid w:val="002D6655"/>
    <w:rsid w:val="002D6A3E"/>
    <w:rsid w:val="002D6C42"/>
    <w:rsid w:val="002D6F62"/>
    <w:rsid w:val="002D7049"/>
    <w:rsid w:val="002D71E9"/>
    <w:rsid w:val="002D7302"/>
    <w:rsid w:val="002D735F"/>
    <w:rsid w:val="002D7363"/>
    <w:rsid w:val="002D741E"/>
    <w:rsid w:val="002D7940"/>
    <w:rsid w:val="002D7B49"/>
    <w:rsid w:val="002D7B67"/>
    <w:rsid w:val="002D7C15"/>
    <w:rsid w:val="002D7C61"/>
    <w:rsid w:val="002D7C85"/>
    <w:rsid w:val="002D7FED"/>
    <w:rsid w:val="002D7FEE"/>
    <w:rsid w:val="002E01D0"/>
    <w:rsid w:val="002E056E"/>
    <w:rsid w:val="002E05C9"/>
    <w:rsid w:val="002E06AE"/>
    <w:rsid w:val="002E06EA"/>
    <w:rsid w:val="002E0941"/>
    <w:rsid w:val="002E0970"/>
    <w:rsid w:val="002E0AD6"/>
    <w:rsid w:val="002E1137"/>
    <w:rsid w:val="002E13F7"/>
    <w:rsid w:val="002E147F"/>
    <w:rsid w:val="002E158A"/>
    <w:rsid w:val="002E15EE"/>
    <w:rsid w:val="002E161D"/>
    <w:rsid w:val="002E177B"/>
    <w:rsid w:val="002E1861"/>
    <w:rsid w:val="002E19C9"/>
    <w:rsid w:val="002E1A38"/>
    <w:rsid w:val="002E1B15"/>
    <w:rsid w:val="002E1D3A"/>
    <w:rsid w:val="002E2193"/>
    <w:rsid w:val="002E24E1"/>
    <w:rsid w:val="002E2516"/>
    <w:rsid w:val="002E265C"/>
    <w:rsid w:val="002E268D"/>
    <w:rsid w:val="002E27BF"/>
    <w:rsid w:val="002E28A2"/>
    <w:rsid w:val="002E2B42"/>
    <w:rsid w:val="002E2B5A"/>
    <w:rsid w:val="002E2B96"/>
    <w:rsid w:val="002E30CF"/>
    <w:rsid w:val="002E3100"/>
    <w:rsid w:val="002E392A"/>
    <w:rsid w:val="002E3B05"/>
    <w:rsid w:val="002E3C22"/>
    <w:rsid w:val="002E3DDA"/>
    <w:rsid w:val="002E43ED"/>
    <w:rsid w:val="002E4446"/>
    <w:rsid w:val="002E4A3F"/>
    <w:rsid w:val="002E4A9F"/>
    <w:rsid w:val="002E4AA5"/>
    <w:rsid w:val="002E4E7F"/>
    <w:rsid w:val="002E5054"/>
    <w:rsid w:val="002E51FC"/>
    <w:rsid w:val="002E54C3"/>
    <w:rsid w:val="002E5680"/>
    <w:rsid w:val="002E5AA4"/>
    <w:rsid w:val="002E5C06"/>
    <w:rsid w:val="002E5EDE"/>
    <w:rsid w:val="002E60BC"/>
    <w:rsid w:val="002E6427"/>
    <w:rsid w:val="002E6A95"/>
    <w:rsid w:val="002E6B07"/>
    <w:rsid w:val="002E6C95"/>
    <w:rsid w:val="002E6E27"/>
    <w:rsid w:val="002E6E4A"/>
    <w:rsid w:val="002E7276"/>
    <w:rsid w:val="002E730A"/>
    <w:rsid w:val="002E751F"/>
    <w:rsid w:val="002E75CC"/>
    <w:rsid w:val="002E7AB6"/>
    <w:rsid w:val="002E7C36"/>
    <w:rsid w:val="002E7C54"/>
    <w:rsid w:val="002E7C8A"/>
    <w:rsid w:val="002E7EEF"/>
    <w:rsid w:val="002E7FEB"/>
    <w:rsid w:val="002F002C"/>
    <w:rsid w:val="002F01E4"/>
    <w:rsid w:val="002F02BD"/>
    <w:rsid w:val="002F0D42"/>
    <w:rsid w:val="002F0F9C"/>
    <w:rsid w:val="002F1040"/>
    <w:rsid w:val="002F1287"/>
    <w:rsid w:val="002F1331"/>
    <w:rsid w:val="002F13D0"/>
    <w:rsid w:val="002F13E3"/>
    <w:rsid w:val="002F197F"/>
    <w:rsid w:val="002F1A18"/>
    <w:rsid w:val="002F1A19"/>
    <w:rsid w:val="002F1B60"/>
    <w:rsid w:val="002F1DDE"/>
    <w:rsid w:val="002F1F0B"/>
    <w:rsid w:val="002F204E"/>
    <w:rsid w:val="002F20C9"/>
    <w:rsid w:val="002F2326"/>
    <w:rsid w:val="002F232E"/>
    <w:rsid w:val="002F2517"/>
    <w:rsid w:val="002F266D"/>
    <w:rsid w:val="002F2685"/>
    <w:rsid w:val="002F284E"/>
    <w:rsid w:val="002F2959"/>
    <w:rsid w:val="002F2A6F"/>
    <w:rsid w:val="002F2B2B"/>
    <w:rsid w:val="002F306D"/>
    <w:rsid w:val="002F3362"/>
    <w:rsid w:val="002F34C5"/>
    <w:rsid w:val="002F35A1"/>
    <w:rsid w:val="002F3811"/>
    <w:rsid w:val="002F39E6"/>
    <w:rsid w:val="002F3A2A"/>
    <w:rsid w:val="002F3D28"/>
    <w:rsid w:val="002F3D32"/>
    <w:rsid w:val="002F3F46"/>
    <w:rsid w:val="002F3FA8"/>
    <w:rsid w:val="002F4295"/>
    <w:rsid w:val="002F446F"/>
    <w:rsid w:val="002F45CA"/>
    <w:rsid w:val="002F4861"/>
    <w:rsid w:val="002F4D1D"/>
    <w:rsid w:val="002F5216"/>
    <w:rsid w:val="002F5632"/>
    <w:rsid w:val="002F5885"/>
    <w:rsid w:val="002F5A58"/>
    <w:rsid w:val="002F5D34"/>
    <w:rsid w:val="002F5D61"/>
    <w:rsid w:val="002F5F31"/>
    <w:rsid w:val="002F5F46"/>
    <w:rsid w:val="002F5FA3"/>
    <w:rsid w:val="002F6357"/>
    <w:rsid w:val="002F68C0"/>
    <w:rsid w:val="002F6CE9"/>
    <w:rsid w:val="002F6DB9"/>
    <w:rsid w:val="002F7064"/>
    <w:rsid w:val="002F797C"/>
    <w:rsid w:val="002F7A10"/>
    <w:rsid w:val="002F7D58"/>
    <w:rsid w:val="002F7F48"/>
    <w:rsid w:val="002F7F4A"/>
    <w:rsid w:val="003004D0"/>
    <w:rsid w:val="003005DC"/>
    <w:rsid w:val="0030087F"/>
    <w:rsid w:val="00300AD4"/>
    <w:rsid w:val="00300C83"/>
    <w:rsid w:val="00301203"/>
    <w:rsid w:val="003014C8"/>
    <w:rsid w:val="00301733"/>
    <w:rsid w:val="00301909"/>
    <w:rsid w:val="003019FE"/>
    <w:rsid w:val="00301C93"/>
    <w:rsid w:val="00301E60"/>
    <w:rsid w:val="00301E9B"/>
    <w:rsid w:val="003021B9"/>
    <w:rsid w:val="00302216"/>
    <w:rsid w:val="00302267"/>
    <w:rsid w:val="003025E9"/>
    <w:rsid w:val="003026DC"/>
    <w:rsid w:val="003027FF"/>
    <w:rsid w:val="00302A58"/>
    <w:rsid w:val="00302A90"/>
    <w:rsid w:val="00302A94"/>
    <w:rsid w:val="00302D3D"/>
    <w:rsid w:val="003033DB"/>
    <w:rsid w:val="00303635"/>
    <w:rsid w:val="00303693"/>
    <w:rsid w:val="00303B89"/>
    <w:rsid w:val="00303B94"/>
    <w:rsid w:val="00303C1D"/>
    <w:rsid w:val="00303E53"/>
    <w:rsid w:val="00303ED6"/>
    <w:rsid w:val="00304522"/>
    <w:rsid w:val="00304930"/>
    <w:rsid w:val="003049C7"/>
    <w:rsid w:val="00304A07"/>
    <w:rsid w:val="00304B81"/>
    <w:rsid w:val="00304E77"/>
    <w:rsid w:val="0030508F"/>
    <w:rsid w:val="0030543A"/>
    <w:rsid w:val="0030548A"/>
    <w:rsid w:val="00305690"/>
    <w:rsid w:val="00305793"/>
    <w:rsid w:val="0030584C"/>
    <w:rsid w:val="0030594D"/>
    <w:rsid w:val="00305963"/>
    <w:rsid w:val="00305A7B"/>
    <w:rsid w:val="00305CC1"/>
    <w:rsid w:val="00305E88"/>
    <w:rsid w:val="00305EED"/>
    <w:rsid w:val="00305FB2"/>
    <w:rsid w:val="00306202"/>
    <w:rsid w:val="003063BF"/>
    <w:rsid w:val="0030675F"/>
    <w:rsid w:val="00306BCD"/>
    <w:rsid w:val="00306C25"/>
    <w:rsid w:val="00306E5F"/>
    <w:rsid w:val="00307332"/>
    <w:rsid w:val="0030763C"/>
    <w:rsid w:val="00307684"/>
    <w:rsid w:val="003079C7"/>
    <w:rsid w:val="00307D89"/>
    <w:rsid w:val="00307D99"/>
    <w:rsid w:val="00307E14"/>
    <w:rsid w:val="00307E72"/>
    <w:rsid w:val="00310130"/>
    <w:rsid w:val="00310174"/>
    <w:rsid w:val="00310241"/>
    <w:rsid w:val="00310297"/>
    <w:rsid w:val="003106FC"/>
    <w:rsid w:val="003107E5"/>
    <w:rsid w:val="00310887"/>
    <w:rsid w:val="003108BA"/>
    <w:rsid w:val="00310A1E"/>
    <w:rsid w:val="00310BCB"/>
    <w:rsid w:val="00310E6B"/>
    <w:rsid w:val="0031114F"/>
    <w:rsid w:val="00311226"/>
    <w:rsid w:val="00311335"/>
    <w:rsid w:val="003113F5"/>
    <w:rsid w:val="0031142B"/>
    <w:rsid w:val="003114BF"/>
    <w:rsid w:val="003119E1"/>
    <w:rsid w:val="003119F6"/>
    <w:rsid w:val="00311A75"/>
    <w:rsid w:val="00311B42"/>
    <w:rsid w:val="00311E74"/>
    <w:rsid w:val="00312012"/>
    <w:rsid w:val="00312332"/>
    <w:rsid w:val="003123C3"/>
    <w:rsid w:val="0031264C"/>
    <w:rsid w:val="00312FD0"/>
    <w:rsid w:val="0031305A"/>
    <w:rsid w:val="00313142"/>
    <w:rsid w:val="00314054"/>
    <w:rsid w:val="0031408C"/>
    <w:rsid w:val="00314093"/>
    <w:rsid w:val="003141E9"/>
    <w:rsid w:val="003142F2"/>
    <w:rsid w:val="00314492"/>
    <w:rsid w:val="003145F8"/>
    <w:rsid w:val="0031480B"/>
    <w:rsid w:val="003148AE"/>
    <w:rsid w:val="0031498D"/>
    <w:rsid w:val="00314A49"/>
    <w:rsid w:val="00314C5A"/>
    <w:rsid w:val="00314E17"/>
    <w:rsid w:val="00315017"/>
    <w:rsid w:val="00315340"/>
    <w:rsid w:val="00315766"/>
    <w:rsid w:val="0031604C"/>
    <w:rsid w:val="00316055"/>
    <w:rsid w:val="0031610F"/>
    <w:rsid w:val="0031656F"/>
    <w:rsid w:val="00316A66"/>
    <w:rsid w:val="00316AD9"/>
    <w:rsid w:val="00316B58"/>
    <w:rsid w:val="00316B77"/>
    <w:rsid w:val="00316F27"/>
    <w:rsid w:val="00316F64"/>
    <w:rsid w:val="00316FF2"/>
    <w:rsid w:val="0031749E"/>
    <w:rsid w:val="0031766F"/>
    <w:rsid w:val="003176D0"/>
    <w:rsid w:val="00317805"/>
    <w:rsid w:val="003178DF"/>
    <w:rsid w:val="00317A32"/>
    <w:rsid w:val="00317B10"/>
    <w:rsid w:val="00320D5A"/>
    <w:rsid w:val="00320EB4"/>
    <w:rsid w:val="003214F1"/>
    <w:rsid w:val="00321503"/>
    <w:rsid w:val="0032161C"/>
    <w:rsid w:val="003216DE"/>
    <w:rsid w:val="003218BC"/>
    <w:rsid w:val="003218C7"/>
    <w:rsid w:val="00321B13"/>
    <w:rsid w:val="00321BB4"/>
    <w:rsid w:val="00321ECB"/>
    <w:rsid w:val="00322070"/>
    <w:rsid w:val="003222AC"/>
    <w:rsid w:val="0032265C"/>
    <w:rsid w:val="003226AC"/>
    <w:rsid w:val="00322DDA"/>
    <w:rsid w:val="00322E4B"/>
    <w:rsid w:val="003230BC"/>
    <w:rsid w:val="00323171"/>
    <w:rsid w:val="00323179"/>
    <w:rsid w:val="003231B1"/>
    <w:rsid w:val="003232D2"/>
    <w:rsid w:val="0032371A"/>
    <w:rsid w:val="003239C4"/>
    <w:rsid w:val="00323EC8"/>
    <w:rsid w:val="00324770"/>
    <w:rsid w:val="003247D7"/>
    <w:rsid w:val="00324835"/>
    <w:rsid w:val="00324C15"/>
    <w:rsid w:val="00324F38"/>
    <w:rsid w:val="00324FA8"/>
    <w:rsid w:val="00325263"/>
    <w:rsid w:val="003252B5"/>
    <w:rsid w:val="003254B2"/>
    <w:rsid w:val="003255E7"/>
    <w:rsid w:val="0032565E"/>
    <w:rsid w:val="00325CD9"/>
    <w:rsid w:val="00325FC5"/>
    <w:rsid w:val="0032600D"/>
    <w:rsid w:val="00326134"/>
    <w:rsid w:val="00326253"/>
    <w:rsid w:val="003262DA"/>
    <w:rsid w:val="00326500"/>
    <w:rsid w:val="00326ABC"/>
    <w:rsid w:val="003273AC"/>
    <w:rsid w:val="003276E7"/>
    <w:rsid w:val="00327870"/>
    <w:rsid w:val="0032792F"/>
    <w:rsid w:val="00327952"/>
    <w:rsid w:val="00327C5F"/>
    <w:rsid w:val="003302C7"/>
    <w:rsid w:val="003307A5"/>
    <w:rsid w:val="003307B4"/>
    <w:rsid w:val="003309EF"/>
    <w:rsid w:val="00330B4F"/>
    <w:rsid w:val="00330D5B"/>
    <w:rsid w:val="00330DCB"/>
    <w:rsid w:val="00330EF3"/>
    <w:rsid w:val="00330F70"/>
    <w:rsid w:val="00331102"/>
    <w:rsid w:val="00331D5D"/>
    <w:rsid w:val="00331E68"/>
    <w:rsid w:val="00331ECF"/>
    <w:rsid w:val="00331F37"/>
    <w:rsid w:val="00331FAB"/>
    <w:rsid w:val="003320FC"/>
    <w:rsid w:val="0033259D"/>
    <w:rsid w:val="0033266D"/>
    <w:rsid w:val="00332C4E"/>
    <w:rsid w:val="00332DDB"/>
    <w:rsid w:val="003330E2"/>
    <w:rsid w:val="0033320E"/>
    <w:rsid w:val="00333328"/>
    <w:rsid w:val="00333357"/>
    <w:rsid w:val="003333D2"/>
    <w:rsid w:val="003334F7"/>
    <w:rsid w:val="00333526"/>
    <w:rsid w:val="00333941"/>
    <w:rsid w:val="00333995"/>
    <w:rsid w:val="00333E45"/>
    <w:rsid w:val="00334240"/>
    <w:rsid w:val="003342F3"/>
    <w:rsid w:val="0033444A"/>
    <w:rsid w:val="003344E1"/>
    <w:rsid w:val="00334659"/>
    <w:rsid w:val="00334686"/>
    <w:rsid w:val="00334EFA"/>
    <w:rsid w:val="003350EA"/>
    <w:rsid w:val="00335136"/>
    <w:rsid w:val="00335213"/>
    <w:rsid w:val="00335242"/>
    <w:rsid w:val="003353D8"/>
    <w:rsid w:val="00335525"/>
    <w:rsid w:val="00335CF6"/>
    <w:rsid w:val="00335E9C"/>
    <w:rsid w:val="00335EA4"/>
    <w:rsid w:val="00336058"/>
    <w:rsid w:val="00336102"/>
    <w:rsid w:val="003366A0"/>
    <w:rsid w:val="0033682C"/>
    <w:rsid w:val="0033695C"/>
    <w:rsid w:val="00336A56"/>
    <w:rsid w:val="00336D9E"/>
    <w:rsid w:val="00337339"/>
    <w:rsid w:val="0033769B"/>
    <w:rsid w:val="00337802"/>
    <w:rsid w:val="0034010A"/>
    <w:rsid w:val="00340345"/>
    <w:rsid w:val="0034059D"/>
    <w:rsid w:val="003405D2"/>
    <w:rsid w:val="003406C6"/>
    <w:rsid w:val="00340749"/>
    <w:rsid w:val="00340815"/>
    <w:rsid w:val="00340B41"/>
    <w:rsid w:val="00340CC1"/>
    <w:rsid w:val="00340E3C"/>
    <w:rsid w:val="00340EBE"/>
    <w:rsid w:val="00340FA7"/>
    <w:rsid w:val="003411EF"/>
    <w:rsid w:val="00341407"/>
    <w:rsid w:val="00341418"/>
    <w:rsid w:val="003418CC"/>
    <w:rsid w:val="00341DE7"/>
    <w:rsid w:val="003421A5"/>
    <w:rsid w:val="00342777"/>
    <w:rsid w:val="0034284D"/>
    <w:rsid w:val="00342BA9"/>
    <w:rsid w:val="00342E1C"/>
    <w:rsid w:val="00342F4A"/>
    <w:rsid w:val="0034306F"/>
    <w:rsid w:val="00343293"/>
    <w:rsid w:val="003432C4"/>
    <w:rsid w:val="003434EE"/>
    <w:rsid w:val="0034364C"/>
    <w:rsid w:val="00343BC8"/>
    <w:rsid w:val="00343E42"/>
    <w:rsid w:val="00343E4F"/>
    <w:rsid w:val="003440C1"/>
    <w:rsid w:val="003440CF"/>
    <w:rsid w:val="00344552"/>
    <w:rsid w:val="0034463D"/>
    <w:rsid w:val="003447BF"/>
    <w:rsid w:val="00344AC1"/>
    <w:rsid w:val="00345337"/>
    <w:rsid w:val="003453BF"/>
    <w:rsid w:val="003454F7"/>
    <w:rsid w:val="003459BD"/>
    <w:rsid w:val="00345ADA"/>
    <w:rsid w:val="00345AF8"/>
    <w:rsid w:val="00345BE1"/>
    <w:rsid w:val="003460B7"/>
    <w:rsid w:val="00346328"/>
    <w:rsid w:val="0034685B"/>
    <w:rsid w:val="00346C58"/>
    <w:rsid w:val="00346E4D"/>
    <w:rsid w:val="00347144"/>
    <w:rsid w:val="0034731D"/>
    <w:rsid w:val="0034782A"/>
    <w:rsid w:val="00347A71"/>
    <w:rsid w:val="00347B2D"/>
    <w:rsid w:val="00347BE9"/>
    <w:rsid w:val="00347EDC"/>
    <w:rsid w:val="00347F3F"/>
    <w:rsid w:val="0035032D"/>
    <w:rsid w:val="003504D0"/>
    <w:rsid w:val="003504D1"/>
    <w:rsid w:val="00350B15"/>
    <w:rsid w:val="00350D38"/>
    <w:rsid w:val="00350E94"/>
    <w:rsid w:val="00350EA5"/>
    <w:rsid w:val="00350EC9"/>
    <w:rsid w:val="0035141D"/>
    <w:rsid w:val="003517E5"/>
    <w:rsid w:val="00351A8C"/>
    <w:rsid w:val="00351B36"/>
    <w:rsid w:val="00351E3E"/>
    <w:rsid w:val="00352213"/>
    <w:rsid w:val="00352320"/>
    <w:rsid w:val="003526EC"/>
    <w:rsid w:val="00352709"/>
    <w:rsid w:val="00352785"/>
    <w:rsid w:val="00352A87"/>
    <w:rsid w:val="00352B64"/>
    <w:rsid w:val="00352EC1"/>
    <w:rsid w:val="00352F72"/>
    <w:rsid w:val="003534EC"/>
    <w:rsid w:val="003538E8"/>
    <w:rsid w:val="003540C1"/>
    <w:rsid w:val="00354280"/>
    <w:rsid w:val="003544D0"/>
    <w:rsid w:val="0035453F"/>
    <w:rsid w:val="00354A67"/>
    <w:rsid w:val="00354E23"/>
    <w:rsid w:val="00354EE0"/>
    <w:rsid w:val="00354EF2"/>
    <w:rsid w:val="00355011"/>
    <w:rsid w:val="003550DF"/>
    <w:rsid w:val="003552CB"/>
    <w:rsid w:val="00355381"/>
    <w:rsid w:val="003554D9"/>
    <w:rsid w:val="0035575C"/>
    <w:rsid w:val="003558E5"/>
    <w:rsid w:val="00355DE5"/>
    <w:rsid w:val="00355DEE"/>
    <w:rsid w:val="00355E65"/>
    <w:rsid w:val="003562C7"/>
    <w:rsid w:val="00356328"/>
    <w:rsid w:val="00356496"/>
    <w:rsid w:val="00356515"/>
    <w:rsid w:val="003567AC"/>
    <w:rsid w:val="00356925"/>
    <w:rsid w:val="00356BC6"/>
    <w:rsid w:val="00356BE6"/>
    <w:rsid w:val="003570AC"/>
    <w:rsid w:val="00357291"/>
    <w:rsid w:val="0035794F"/>
    <w:rsid w:val="00357964"/>
    <w:rsid w:val="00357B4E"/>
    <w:rsid w:val="00357E0B"/>
    <w:rsid w:val="003607C5"/>
    <w:rsid w:val="00360C38"/>
    <w:rsid w:val="00360C3A"/>
    <w:rsid w:val="00360E0C"/>
    <w:rsid w:val="00360EFF"/>
    <w:rsid w:val="003613BF"/>
    <w:rsid w:val="00361CAC"/>
    <w:rsid w:val="003620CB"/>
    <w:rsid w:val="00362525"/>
    <w:rsid w:val="0036252F"/>
    <w:rsid w:val="00362928"/>
    <w:rsid w:val="003631C5"/>
    <w:rsid w:val="00363234"/>
    <w:rsid w:val="003632B9"/>
    <w:rsid w:val="003632BE"/>
    <w:rsid w:val="00363762"/>
    <w:rsid w:val="00363933"/>
    <w:rsid w:val="00363E2F"/>
    <w:rsid w:val="00363ED1"/>
    <w:rsid w:val="003640F3"/>
    <w:rsid w:val="003641AA"/>
    <w:rsid w:val="003645D5"/>
    <w:rsid w:val="003645F1"/>
    <w:rsid w:val="00364A1D"/>
    <w:rsid w:val="00364AFF"/>
    <w:rsid w:val="00364EBD"/>
    <w:rsid w:val="003650CF"/>
    <w:rsid w:val="003651B1"/>
    <w:rsid w:val="003656CF"/>
    <w:rsid w:val="003658EA"/>
    <w:rsid w:val="003659F2"/>
    <w:rsid w:val="00365AD2"/>
    <w:rsid w:val="00365EA6"/>
    <w:rsid w:val="00366046"/>
    <w:rsid w:val="00366AC9"/>
    <w:rsid w:val="00366EAD"/>
    <w:rsid w:val="00367047"/>
    <w:rsid w:val="003677CC"/>
    <w:rsid w:val="00367A3C"/>
    <w:rsid w:val="00367BE7"/>
    <w:rsid w:val="00367EAA"/>
    <w:rsid w:val="00367EBD"/>
    <w:rsid w:val="00367F85"/>
    <w:rsid w:val="0037004D"/>
    <w:rsid w:val="003704C6"/>
    <w:rsid w:val="0037059E"/>
    <w:rsid w:val="0037062D"/>
    <w:rsid w:val="003708E6"/>
    <w:rsid w:val="0037095A"/>
    <w:rsid w:val="00370A03"/>
    <w:rsid w:val="00370A86"/>
    <w:rsid w:val="00370A8C"/>
    <w:rsid w:val="00370B5F"/>
    <w:rsid w:val="00370D1C"/>
    <w:rsid w:val="00370D33"/>
    <w:rsid w:val="003712D4"/>
    <w:rsid w:val="00371427"/>
    <w:rsid w:val="003716FD"/>
    <w:rsid w:val="003717C2"/>
    <w:rsid w:val="00371F30"/>
    <w:rsid w:val="0037204B"/>
    <w:rsid w:val="00372287"/>
    <w:rsid w:val="00372368"/>
    <w:rsid w:val="003727A6"/>
    <w:rsid w:val="003728B4"/>
    <w:rsid w:val="00372948"/>
    <w:rsid w:val="00372C1C"/>
    <w:rsid w:val="00372F24"/>
    <w:rsid w:val="00373188"/>
    <w:rsid w:val="0037341C"/>
    <w:rsid w:val="0037342F"/>
    <w:rsid w:val="003738CC"/>
    <w:rsid w:val="00373C44"/>
    <w:rsid w:val="00374296"/>
    <w:rsid w:val="00374345"/>
    <w:rsid w:val="003743C8"/>
    <w:rsid w:val="003744CF"/>
    <w:rsid w:val="00374660"/>
    <w:rsid w:val="003746C9"/>
    <w:rsid w:val="00374717"/>
    <w:rsid w:val="003749C1"/>
    <w:rsid w:val="00374F9F"/>
    <w:rsid w:val="00374FE2"/>
    <w:rsid w:val="0037501F"/>
    <w:rsid w:val="003751E8"/>
    <w:rsid w:val="003752F7"/>
    <w:rsid w:val="00375371"/>
    <w:rsid w:val="003755AE"/>
    <w:rsid w:val="0037563A"/>
    <w:rsid w:val="0037564B"/>
    <w:rsid w:val="00375A41"/>
    <w:rsid w:val="00375B05"/>
    <w:rsid w:val="00375F6D"/>
    <w:rsid w:val="00376291"/>
    <w:rsid w:val="0037676C"/>
    <w:rsid w:val="0037698D"/>
    <w:rsid w:val="00376AC7"/>
    <w:rsid w:val="00376D7A"/>
    <w:rsid w:val="00377100"/>
    <w:rsid w:val="00377536"/>
    <w:rsid w:val="0037755D"/>
    <w:rsid w:val="00377762"/>
    <w:rsid w:val="00377B14"/>
    <w:rsid w:val="00377DD5"/>
    <w:rsid w:val="00377F2B"/>
    <w:rsid w:val="0038018F"/>
    <w:rsid w:val="003803D3"/>
    <w:rsid w:val="00380486"/>
    <w:rsid w:val="00380569"/>
    <w:rsid w:val="00380658"/>
    <w:rsid w:val="00380721"/>
    <w:rsid w:val="00380F27"/>
    <w:rsid w:val="00380FC5"/>
    <w:rsid w:val="00381043"/>
    <w:rsid w:val="00381257"/>
    <w:rsid w:val="003815B6"/>
    <w:rsid w:val="00381711"/>
    <w:rsid w:val="0038274C"/>
    <w:rsid w:val="0038297A"/>
    <w:rsid w:val="003829E5"/>
    <w:rsid w:val="00382CFB"/>
    <w:rsid w:val="00382F90"/>
    <w:rsid w:val="00383318"/>
    <w:rsid w:val="00383368"/>
    <w:rsid w:val="003833F1"/>
    <w:rsid w:val="003834C4"/>
    <w:rsid w:val="003835A2"/>
    <w:rsid w:val="00383716"/>
    <w:rsid w:val="00383B29"/>
    <w:rsid w:val="00383D31"/>
    <w:rsid w:val="00383EE3"/>
    <w:rsid w:val="00383F07"/>
    <w:rsid w:val="00384204"/>
    <w:rsid w:val="00384489"/>
    <w:rsid w:val="00384746"/>
    <w:rsid w:val="00384761"/>
    <w:rsid w:val="0038485A"/>
    <w:rsid w:val="00384C80"/>
    <w:rsid w:val="00384F5E"/>
    <w:rsid w:val="0038509A"/>
    <w:rsid w:val="003850D9"/>
    <w:rsid w:val="00385AC3"/>
    <w:rsid w:val="00385B8F"/>
    <w:rsid w:val="00385F3D"/>
    <w:rsid w:val="00386109"/>
    <w:rsid w:val="00386117"/>
    <w:rsid w:val="00386256"/>
    <w:rsid w:val="0038665F"/>
    <w:rsid w:val="0038671F"/>
    <w:rsid w:val="00386873"/>
    <w:rsid w:val="0038691C"/>
    <w:rsid w:val="00386944"/>
    <w:rsid w:val="00386A57"/>
    <w:rsid w:val="00386BA9"/>
    <w:rsid w:val="00386C83"/>
    <w:rsid w:val="00386DB5"/>
    <w:rsid w:val="0038738A"/>
    <w:rsid w:val="0038752D"/>
    <w:rsid w:val="003875B7"/>
    <w:rsid w:val="003875E2"/>
    <w:rsid w:val="003876EB"/>
    <w:rsid w:val="00387A7C"/>
    <w:rsid w:val="00387FDA"/>
    <w:rsid w:val="00389A50"/>
    <w:rsid w:val="00390072"/>
    <w:rsid w:val="0039019B"/>
    <w:rsid w:val="00390214"/>
    <w:rsid w:val="00390309"/>
    <w:rsid w:val="00390414"/>
    <w:rsid w:val="00390895"/>
    <w:rsid w:val="00390EAF"/>
    <w:rsid w:val="00391009"/>
    <w:rsid w:val="003912C4"/>
    <w:rsid w:val="00391491"/>
    <w:rsid w:val="003914B9"/>
    <w:rsid w:val="0039156E"/>
    <w:rsid w:val="00391AA1"/>
    <w:rsid w:val="00391AFC"/>
    <w:rsid w:val="00391F74"/>
    <w:rsid w:val="00392162"/>
    <w:rsid w:val="003922A8"/>
    <w:rsid w:val="00392BAB"/>
    <w:rsid w:val="00392D39"/>
    <w:rsid w:val="00392E2D"/>
    <w:rsid w:val="00392EF1"/>
    <w:rsid w:val="00393224"/>
    <w:rsid w:val="003933AB"/>
    <w:rsid w:val="003935B9"/>
    <w:rsid w:val="003940C2"/>
    <w:rsid w:val="00394161"/>
    <w:rsid w:val="00394218"/>
    <w:rsid w:val="00394379"/>
    <w:rsid w:val="0039444D"/>
    <w:rsid w:val="0039467C"/>
    <w:rsid w:val="00394739"/>
    <w:rsid w:val="0039480A"/>
    <w:rsid w:val="00394870"/>
    <w:rsid w:val="00394A78"/>
    <w:rsid w:val="00394B19"/>
    <w:rsid w:val="00394B3C"/>
    <w:rsid w:val="00394C01"/>
    <w:rsid w:val="00394D47"/>
    <w:rsid w:val="00395464"/>
    <w:rsid w:val="00395600"/>
    <w:rsid w:val="003956AF"/>
    <w:rsid w:val="003956CC"/>
    <w:rsid w:val="003957A4"/>
    <w:rsid w:val="00395BE2"/>
    <w:rsid w:val="00395C0C"/>
    <w:rsid w:val="00395C9A"/>
    <w:rsid w:val="003964AA"/>
    <w:rsid w:val="003966F8"/>
    <w:rsid w:val="0039670C"/>
    <w:rsid w:val="00396869"/>
    <w:rsid w:val="003968B1"/>
    <w:rsid w:val="00396BB0"/>
    <w:rsid w:val="00396EA4"/>
    <w:rsid w:val="00397171"/>
    <w:rsid w:val="0039760F"/>
    <w:rsid w:val="003977A6"/>
    <w:rsid w:val="003977D1"/>
    <w:rsid w:val="003979DA"/>
    <w:rsid w:val="00397CCF"/>
    <w:rsid w:val="00397EFD"/>
    <w:rsid w:val="00397F1F"/>
    <w:rsid w:val="003A00F6"/>
    <w:rsid w:val="003A072A"/>
    <w:rsid w:val="003A079F"/>
    <w:rsid w:val="003A0853"/>
    <w:rsid w:val="003A1276"/>
    <w:rsid w:val="003A15BC"/>
    <w:rsid w:val="003A1677"/>
    <w:rsid w:val="003A1E38"/>
    <w:rsid w:val="003A20EC"/>
    <w:rsid w:val="003A210E"/>
    <w:rsid w:val="003A22DB"/>
    <w:rsid w:val="003A27C7"/>
    <w:rsid w:val="003A2948"/>
    <w:rsid w:val="003A2A05"/>
    <w:rsid w:val="003A2A52"/>
    <w:rsid w:val="003A2C78"/>
    <w:rsid w:val="003A2C98"/>
    <w:rsid w:val="003A30F9"/>
    <w:rsid w:val="003A313D"/>
    <w:rsid w:val="003A355C"/>
    <w:rsid w:val="003A359D"/>
    <w:rsid w:val="003A37F9"/>
    <w:rsid w:val="003A38A7"/>
    <w:rsid w:val="003A3AB0"/>
    <w:rsid w:val="003A3D5F"/>
    <w:rsid w:val="003A3E30"/>
    <w:rsid w:val="003A462B"/>
    <w:rsid w:val="003A478C"/>
    <w:rsid w:val="003A47E9"/>
    <w:rsid w:val="003A491E"/>
    <w:rsid w:val="003A49F8"/>
    <w:rsid w:val="003A4BE9"/>
    <w:rsid w:val="003A516F"/>
    <w:rsid w:val="003A5598"/>
    <w:rsid w:val="003A57CA"/>
    <w:rsid w:val="003A58C0"/>
    <w:rsid w:val="003A5AF1"/>
    <w:rsid w:val="003A5C3D"/>
    <w:rsid w:val="003A5C3F"/>
    <w:rsid w:val="003A61F3"/>
    <w:rsid w:val="003A634F"/>
    <w:rsid w:val="003A6399"/>
    <w:rsid w:val="003A657E"/>
    <w:rsid w:val="003A68DA"/>
    <w:rsid w:val="003A6910"/>
    <w:rsid w:val="003A6B67"/>
    <w:rsid w:val="003A7073"/>
    <w:rsid w:val="003A72A6"/>
    <w:rsid w:val="003A7413"/>
    <w:rsid w:val="003A7936"/>
    <w:rsid w:val="003A7B49"/>
    <w:rsid w:val="003A7ED8"/>
    <w:rsid w:val="003B013D"/>
    <w:rsid w:val="003B018F"/>
    <w:rsid w:val="003B02C3"/>
    <w:rsid w:val="003B051E"/>
    <w:rsid w:val="003B09AE"/>
    <w:rsid w:val="003B0DFD"/>
    <w:rsid w:val="003B0E3B"/>
    <w:rsid w:val="003B0E84"/>
    <w:rsid w:val="003B0F8B"/>
    <w:rsid w:val="003B11DE"/>
    <w:rsid w:val="003B13B6"/>
    <w:rsid w:val="003B142F"/>
    <w:rsid w:val="003B14C3"/>
    <w:rsid w:val="003B14D4"/>
    <w:rsid w:val="003B15E6"/>
    <w:rsid w:val="003B1EED"/>
    <w:rsid w:val="003B2035"/>
    <w:rsid w:val="003B2257"/>
    <w:rsid w:val="003B22EF"/>
    <w:rsid w:val="003B236C"/>
    <w:rsid w:val="003B237D"/>
    <w:rsid w:val="003B23B2"/>
    <w:rsid w:val="003B23FC"/>
    <w:rsid w:val="003B25B1"/>
    <w:rsid w:val="003B2AD7"/>
    <w:rsid w:val="003B2CE4"/>
    <w:rsid w:val="003B2DB4"/>
    <w:rsid w:val="003B3180"/>
    <w:rsid w:val="003B33F5"/>
    <w:rsid w:val="003B3F70"/>
    <w:rsid w:val="003B408A"/>
    <w:rsid w:val="003B40B1"/>
    <w:rsid w:val="003B41EF"/>
    <w:rsid w:val="003B4434"/>
    <w:rsid w:val="003B4436"/>
    <w:rsid w:val="003B4563"/>
    <w:rsid w:val="003B4718"/>
    <w:rsid w:val="003B4936"/>
    <w:rsid w:val="003B4CE3"/>
    <w:rsid w:val="003B5014"/>
    <w:rsid w:val="003B50A6"/>
    <w:rsid w:val="003B5170"/>
    <w:rsid w:val="003B53F7"/>
    <w:rsid w:val="003B59D4"/>
    <w:rsid w:val="003B5ABF"/>
    <w:rsid w:val="003B5FC9"/>
    <w:rsid w:val="003B6207"/>
    <w:rsid w:val="003B63B3"/>
    <w:rsid w:val="003B694F"/>
    <w:rsid w:val="003B6BAB"/>
    <w:rsid w:val="003B6C0C"/>
    <w:rsid w:val="003B6D0C"/>
    <w:rsid w:val="003B7174"/>
    <w:rsid w:val="003B71CF"/>
    <w:rsid w:val="003B7458"/>
    <w:rsid w:val="003B75B9"/>
    <w:rsid w:val="003B78CC"/>
    <w:rsid w:val="003B7D4B"/>
    <w:rsid w:val="003B841A"/>
    <w:rsid w:val="003C004B"/>
    <w:rsid w:val="003C0158"/>
    <w:rsid w:val="003C01AD"/>
    <w:rsid w:val="003C08A2"/>
    <w:rsid w:val="003C098E"/>
    <w:rsid w:val="003C0B8F"/>
    <w:rsid w:val="003C0C83"/>
    <w:rsid w:val="003C0EE5"/>
    <w:rsid w:val="003C13E5"/>
    <w:rsid w:val="003C1501"/>
    <w:rsid w:val="003C18E5"/>
    <w:rsid w:val="003C1A08"/>
    <w:rsid w:val="003C1A26"/>
    <w:rsid w:val="003C1AD9"/>
    <w:rsid w:val="003C1AED"/>
    <w:rsid w:val="003C2045"/>
    <w:rsid w:val="003C21DB"/>
    <w:rsid w:val="003C223D"/>
    <w:rsid w:val="003C24B0"/>
    <w:rsid w:val="003C2504"/>
    <w:rsid w:val="003C28F9"/>
    <w:rsid w:val="003C2953"/>
    <w:rsid w:val="003C298A"/>
    <w:rsid w:val="003C2B16"/>
    <w:rsid w:val="003C2BD8"/>
    <w:rsid w:val="003C2F1D"/>
    <w:rsid w:val="003C2FEF"/>
    <w:rsid w:val="003C344B"/>
    <w:rsid w:val="003C3500"/>
    <w:rsid w:val="003C36F6"/>
    <w:rsid w:val="003C39D3"/>
    <w:rsid w:val="003C3C92"/>
    <w:rsid w:val="003C3E6F"/>
    <w:rsid w:val="003C43A1"/>
    <w:rsid w:val="003C487B"/>
    <w:rsid w:val="003C4FC0"/>
    <w:rsid w:val="003C510E"/>
    <w:rsid w:val="003C52C1"/>
    <w:rsid w:val="003C55F4"/>
    <w:rsid w:val="003C5876"/>
    <w:rsid w:val="003C5A24"/>
    <w:rsid w:val="003C5C55"/>
    <w:rsid w:val="003C5C9F"/>
    <w:rsid w:val="003C605E"/>
    <w:rsid w:val="003C6491"/>
    <w:rsid w:val="003C65E0"/>
    <w:rsid w:val="003C6ADE"/>
    <w:rsid w:val="003C7138"/>
    <w:rsid w:val="003C71F1"/>
    <w:rsid w:val="003C7757"/>
    <w:rsid w:val="003C7782"/>
    <w:rsid w:val="003C7897"/>
    <w:rsid w:val="003C7A3F"/>
    <w:rsid w:val="003C7AAC"/>
    <w:rsid w:val="003C7B66"/>
    <w:rsid w:val="003C7CBA"/>
    <w:rsid w:val="003C7CFF"/>
    <w:rsid w:val="003C7D7C"/>
    <w:rsid w:val="003C7E40"/>
    <w:rsid w:val="003C7F1F"/>
    <w:rsid w:val="003D0237"/>
    <w:rsid w:val="003D0EDD"/>
    <w:rsid w:val="003D1465"/>
    <w:rsid w:val="003D182A"/>
    <w:rsid w:val="003D1879"/>
    <w:rsid w:val="003D1BA8"/>
    <w:rsid w:val="003D1E4E"/>
    <w:rsid w:val="003D2519"/>
    <w:rsid w:val="003D2766"/>
    <w:rsid w:val="003D29B7"/>
    <w:rsid w:val="003D2A74"/>
    <w:rsid w:val="003D2D4E"/>
    <w:rsid w:val="003D2FD9"/>
    <w:rsid w:val="003D31AC"/>
    <w:rsid w:val="003D3441"/>
    <w:rsid w:val="003D35A9"/>
    <w:rsid w:val="003D39E9"/>
    <w:rsid w:val="003D39EF"/>
    <w:rsid w:val="003D3A82"/>
    <w:rsid w:val="003D3BF5"/>
    <w:rsid w:val="003D3D88"/>
    <w:rsid w:val="003D3E8F"/>
    <w:rsid w:val="003D3F7A"/>
    <w:rsid w:val="003D3FF1"/>
    <w:rsid w:val="003D404F"/>
    <w:rsid w:val="003D42EA"/>
    <w:rsid w:val="003D433E"/>
    <w:rsid w:val="003D4D1E"/>
    <w:rsid w:val="003D4DF0"/>
    <w:rsid w:val="003D504F"/>
    <w:rsid w:val="003D518F"/>
    <w:rsid w:val="003D51BE"/>
    <w:rsid w:val="003D51C1"/>
    <w:rsid w:val="003D5A77"/>
    <w:rsid w:val="003D5EDC"/>
    <w:rsid w:val="003D608B"/>
    <w:rsid w:val="003D60F3"/>
    <w:rsid w:val="003D62E5"/>
    <w:rsid w:val="003D6381"/>
    <w:rsid w:val="003D63C2"/>
    <w:rsid w:val="003D645F"/>
    <w:rsid w:val="003D6475"/>
    <w:rsid w:val="003D6568"/>
    <w:rsid w:val="003D68D1"/>
    <w:rsid w:val="003D6ACF"/>
    <w:rsid w:val="003D6D6B"/>
    <w:rsid w:val="003D6EE6"/>
    <w:rsid w:val="003D6EEE"/>
    <w:rsid w:val="003D7087"/>
    <w:rsid w:val="003D7299"/>
    <w:rsid w:val="003D7A2C"/>
    <w:rsid w:val="003D7F9E"/>
    <w:rsid w:val="003E026E"/>
    <w:rsid w:val="003E0563"/>
    <w:rsid w:val="003E0576"/>
    <w:rsid w:val="003E0B2C"/>
    <w:rsid w:val="003E0CCD"/>
    <w:rsid w:val="003E0DDC"/>
    <w:rsid w:val="003E0E28"/>
    <w:rsid w:val="003E1061"/>
    <w:rsid w:val="003E1291"/>
    <w:rsid w:val="003E12F4"/>
    <w:rsid w:val="003E1E6B"/>
    <w:rsid w:val="003E1F53"/>
    <w:rsid w:val="003E1F8F"/>
    <w:rsid w:val="003E20C8"/>
    <w:rsid w:val="003E2330"/>
    <w:rsid w:val="003E27C4"/>
    <w:rsid w:val="003E27FE"/>
    <w:rsid w:val="003E2848"/>
    <w:rsid w:val="003E2B6D"/>
    <w:rsid w:val="003E2D1A"/>
    <w:rsid w:val="003E2F3B"/>
    <w:rsid w:val="003E312C"/>
    <w:rsid w:val="003E361D"/>
    <w:rsid w:val="003E375C"/>
    <w:rsid w:val="003E3829"/>
    <w:rsid w:val="003E38ED"/>
    <w:rsid w:val="003E3BA1"/>
    <w:rsid w:val="003E3E56"/>
    <w:rsid w:val="003E4086"/>
    <w:rsid w:val="003E408F"/>
    <w:rsid w:val="003E43B2"/>
    <w:rsid w:val="003E49B3"/>
    <w:rsid w:val="003E4B9E"/>
    <w:rsid w:val="003E4BD9"/>
    <w:rsid w:val="003E4C34"/>
    <w:rsid w:val="003E53E2"/>
    <w:rsid w:val="003E5522"/>
    <w:rsid w:val="003E56D6"/>
    <w:rsid w:val="003E5805"/>
    <w:rsid w:val="003E5A36"/>
    <w:rsid w:val="003E5C49"/>
    <w:rsid w:val="003E5C67"/>
    <w:rsid w:val="003E5CE6"/>
    <w:rsid w:val="003E5D37"/>
    <w:rsid w:val="003E5DF9"/>
    <w:rsid w:val="003E5E4F"/>
    <w:rsid w:val="003E612C"/>
    <w:rsid w:val="003E639E"/>
    <w:rsid w:val="003E65B5"/>
    <w:rsid w:val="003E6704"/>
    <w:rsid w:val="003E6974"/>
    <w:rsid w:val="003E6D8F"/>
    <w:rsid w:val="003E6F87"/>
    <w:rsid w:val="003E6FC0"/>
    <w:rsid w:val="003E6FCA"/>
    <w:rsid w:val="003E711C"/>
    <w:rsid w:val="003E71E5"/>
    <w:rsid w:val="003E72C4"/>
    <w:rsid w:val="003E760A"/>
    <w:rsid w:val="003E7729"/>
    <w:rsid w:val="003E781B"/>
    <w:rsid w:val="003E7D28"/>
    <w:rsid w:val="003F0445"/>
    <w:rsid w:val="003F049C"/>
    <w:rsid w:val="003F04CD"/>
    <w:rsid w:val="003F053F"/>
    <w:rsid w:val="003F0649"/>
    <w:rsid w:val="003F0676"/>
    <w:rsid w:val="003F0788"/>
    <w:rsid w:val="003F0816"/>
    <w:rsid w:val="003F0CF0"/>
    <w:rsid w:val="003F0D8E"/>
    <w:rsid w:val="003F107B"/>
    <w:rsid w:val="003F11EC"/>
    <w:rsid w:val="003F12A0"/>
    <w:rsid w:val="003F13E1"/>
    <w:rsid w:val="003F14B1"/>
    <w:rsid w:val="003F1587"/>
    <w:rsid w:val="003F18CA"/>
    <w:rsid w:val="003F1920"/>
    <w:rsid w:val="003F19DD"/>
    <w:rsid w:val="003F1A1D"/>
    <w:rsid w:val="003F1AF1"/>
    <w:rsid w:val="003F1F10"/>
    <w:rsid w:val="003F2312"/>
    <w:rsid w:val="003F2881"/>
    <w:rsid w:val="003F2B20"/>
    <w:rsid w:val="003F2E55"/>
    <w:rsid w:val="003F307A"/>
    <w:rsid w:val="003F3289"/>
    <w:rsid w:val="003F35E2"/>
    <w:rsid w:val="003F3690"/>
    <w:rsid w:val="003F3A9E"/>
    <w:rsid w:val="003F3AF0"/>
    <w:rsid w:val="003F3AFD"/>
    <w:rsid w:val="003F3B29"/>
    <w:rsid w:val="003F3B5E"/>
    <w:rsid w:val="003F3C62"/>
    <w:rsid w:val="003F3D40"/>
    <w:rsid w:val="003F3F5A"/>
    <w:rsid w:val="003F3FF3"/>
    <w:rsid w:val="003F42C6"/>
    <w:rsid w:val="003F4940"/>
    <w:rsid w:val="003F4A40"/>
    <w:rsid w:val="003F4C23"/>
    <w:rsid w:val="003F4C5C"/>
    <w:rsid w:val="003F4CD8"/>
    <w:rsid w:val="003F4F03"/>
    <w:rsid w:val="003F4FD8"/>
    <w:rsid w:val="003F5189"/>
    <w:rsid w:val="003F51C1"/>
    <w:rsid w:val="003F51DF"/>
    <w:rsid w:val="003F53C6"/>
    <w:rsid w:val="003F55D5"/>
    <w:rsid w:val="003F5CB9"/>
    <w:rsid w:val="003F5D9D"/>
    <w:rsid w:val="003F5E7A"/>
    <w:rsid w:val="003F60DB"/>
    <w:rsid w:val="003F629C"/>
    <w:rsid w:val="003F65A2"/>
    <w:rsid w:val="003F6663"/>
    <w:rsid w:val="003F68B5"/>
    <w:rsid w:val="003F6B38"/>
    <w:rsid w:val="003F6E4D"/>
    <w:rsid w:val="003F73EF"/>
    <w:rsid w:val="003F7C8B"/>
    <w:rsid w:val="003F7E2F"/>
    <w:rsid w:val="003F7EBE"/>
    <w:rsid w:val="00400157"/>
    <w:rsid w:val="0040044A"/>
    <w:rsid w:val="004006B1"/>
    <w:rsid w:val="0040078F"/>
    <w:rsid w:val="00400C0B"/>
    <w:rsid w:val="00400D3A"/>
    <w:rsid w:val="00400D89"/>
    <w:rsid w:val="00400FF8"/>
    <w:rsid w:val="00401054"/>
    <w:rsid w:val="00401152"/>
    <w:rsid w:val="004013C7"/>
    <w:rsid w:val="004014F6"/>
    <w:rsid w:val="0040168F"/>
    <w:rsid w:val="00401FCF"/>
    <w:rsid w:val="00402072"/>
    <w:rsid w:val="00402176"/>
    <w:rsid w:val="004026BD"/>
    <w:rsid w:val="00402788"/>
    <w:rsid w:val="00402B22"/>
    <w:rsid w:val="00402BF3"/>
    <w:rsid w:val="00402D96"/>
    <w:rsid w:val="00402EEC"/>
    <w:rsid w:val="00403212"/>
    <w:rsid w:val="00403449"/>
    <w:rsid w:val="004034E8"/>
    <w:rsid w:val="00403694"/>
    <w:rsid w:val="00403DC3"/>
    <w:rsid w:val="00403F3F"/>
    <w:rsid w:val="004046B5"/>
    <w:rsid w:val="00404755"/>
    <w:rsid w:val="00404A1B"/>
    <w:rsid w:val="00404E71"/>
    <w:rsid w:val="00405381"/>
    <w:rsid w:val="00406190"/>
    <w:rsid w:val="00406285"/>
    <w:rsid w:val="0040643C"/>
    <w:rsid w:val="00406456"/>
    <w:rsid w:val="00406467"/>
    <w:rsid w:val="00406689"/>
    <w:rsid w:val="004069B0"/>
    <w:rsid w:val="00406B3F"/>
    <w:rsid w:val="00406C7E"/>
    <w:rsid w:val="004071F7"/>
    <w:rsid w:val="00407504"/>
    <w:rsid w:val="00407720"/>
    <w:rsid w:val="004077B1"/>
    <w:rsid w:val="00407A39"/>
    <w:rsid w:val="00407DDE"/>
    <w:rsid w:val="0041004F"/>
    <w:rsid w:val="004105E1"/>
    <w:rsid w:val="00410E71"/>
    <w:rsid w:val="0041102E"/>
    <w:rsid w:val="004112A6"/>
    <w:rsid w:val="0041139E"/>
    <w:rsid w:val="004114C3"/>
    <w:rsid w:val="004115A2"/>
    <w:rsid w:val="004117CA"/>
    <w:rsid w:val="00411C89"/>
    <w:rsid w:val="00411E89"/>
    <w:rsid w:val="00411FEC"/>
    <w:rsid w:val="00412193"/>
    <w:rsid w:val="00412435"/>
    <w:rsid w:val="00412644"/>
    <w:rsid w:val="00412730"/>
    <w:rsid w:val="00412A40"/>
    <w:rsid w:val="00412C0F"/>
    <w:rsid w:val="00413293"/>
    <w:rsid w:val="004136E3"/>
    <w:rsid w:val="0041380A"/>
    <w:rsid w:val="00413893"/>
    <w:rsid w:val="00413FD5"/>
    <w:rsid w:val="00413FEF"/>
    <w:rsid w:val="00414110"/>
    <w:rsid w:val="004145CF"/>
    <w:rsid w:val="00414681"/>
    <w:rsid w:val="004148F9"/>
    <w:rsid w:val="00414939"/>
    <w:rsid w:val="00414CE0"/>
    <w:rsid w:val="00414E4B"/>
    <w:rsid w:val="00414F21"/>
    <w:rsid w:val="00415060"/>
    <w:rsid w:val="004151BE"/>
    <w:rsid w:val="00415241"/>
    <w:rsid w:val="004152ED"/>
    <w:rsid w:val="0041533C"/>
    <w:rsid w:val="00415B6F"/>
    <w:rsid w:val="00415C85"/>
    <w:rsid w:val="0041652B"/>
    <w:rsid w:val="004166E9"/>
    <w:rsid w:val="004168DC"/>
    <w:rsid w:val="00416A28"/>
    <w:rsid w:val="00416B12"/>
    <w:rsid w:val="00416C13"/>
    <w:rsid w:val="00416E07"/>
    <w:rsid w:val="00416E53"/>
    <w:rsid w:val="00417477"/>
    <w:rsid w:val="00417933"/>
    <w:rsid w:val="00417CC6"/>
    <w:rsid w:val="004206F3"/>
    <w:rsid w:val="004207DC"/>
    <w:rsid w:val="0042084E"/>
    <w:rsid w:val="004209A3"/>
    <w:rsid w:val="00420BE7"/>
    <w:rsid w:val="00420D06"/>
    <w:rsid w:val="00420D42"/>
    <w:rsid w:val="00421954"/>
    <w:rsid w:val="00421C45"/>
    <w:rsid w:val="00421EEF"/>
    <w:rsid w:val="0042213B"/>
    <w:rsid w:val="004221CC"/>
    <w:rsid w:val="004222E2"/>
    <w:rsid w:val="0042251A"/>
    <w:rsid w:val="0042257E"/>
    <w:rsid w:val="004228D6"/>
    <w:rsid w:val="00422D5E"/>
    <w:rsid w:val="004237EC"/>
    <w:rsid w:val="00423AF0"/>
    <w:rsid w:val="00423EBC"/>
    <w:rsid w:val="00424468"/>
    <w:rsid w:val="0042456B"/>
    <w:rsid w:val="004245C1"/>
    <w:rsid w:val="004246D8"/>
    <w:rsid w:val="00424D65"/>
    <w:rsid w:val="00424DEC"/>
    <w:rsid w:val="00424F92"/>
    <w:rsid w:val="004258A0"/>
    <w:rsid w:val="00425978"/>
    <w:rsid w:val="00425984"/>
    <w:rsid w:val="004259C0"/>
    <w:rsid w:val="00425B0D"/>
    <w:rsid w:val="00425B49"/>
    <w:rsid w:val="00425C59"/>
    <w:rsid w:val="00425D30"/>
    <w:rsid w:val="00426367"/>
    <w:rsid w:val="00426546"/>
    <w:rsid w:val="00426C95"/>
    <w:rsid w:val="00426E39"/>
    <w:rsid w:val="00426FB9"/>
    <w:rsid w:val="00427052"/>
    <w:rsid w:val="004272F2"/>
    <w:rsid w:val="004274BC"/>
    <w:rsid w:val="0042753C"/>
    <w:rsid w:val="00427732"/>
    <w:rsid w:val="00427CA4"/>
    <w:rsid w:val="00427D29"/>
    <w:rsid w:val="00427DB2"/>
    <w:rsid w:val="00427FCC"/>
    <w:rsid w:val="00430112"/>
    <w:rsid w:val="00430393"/>
    <w:rsid w:val="004306D8"/>
    <w:rsid w:val="004308F5"/>
    <w:rsid w:val="004309D7"/>
    <w:rsid w:val="00430B30"/>
    <w:rsid w:val="00430D8C"/>
    <w:rsid w:val="004316E8"/>
    <w:rsid w:val="004317DF"/>
    <w:rsid w:val="00431806"/>
    <w:rsid w:val="00431908"/>
    <w:rsid w:val="00431A70"/>
    <w:rsid w:val="00431B88"/>
    <w:rsid w:val="00431EA3"/>
    <w:rsid w:val="00431F42"/>
    <w:rsid w:val="004322A6"/>
    <w:rsid w:val="0043230A"/>
    <w:rsid w:val="00432751"/>
    <w:rsid w:val="00432A8A"/>
    <w:rsid w:val="00432D49"/>
    <w:rsid w:val="00432E76"/>
    <w:rsid w:val="00432ED5"/>
    <w:rsid w:val="0043307B"/>
    <w:rsid w:val="0043312A"/>
    <w:rsid w:val="0043315F"/>
    <w:rsid w:val="004331BD"/>
    <w:rsid w:val="004332C1"/>
    <w:rsid w:val="004334AE"/>
    <w:rsid w:val="00433E31"/>
    <w:rsid w:val="00433F8A"/>
    <w:rsid w:val="00433FE6"/>
    <w:rsid w:val="004342F8"/>
    <w:rsid w:val="00434458"/>
    <w:rsid w:val="00434512"/>
    <w:rsid w:val="00434589"/>
    <w:rsid w:val="00434925"/>
    <w:rsid w:val="00434B21"/>
    <w:rsid w:val="00434EF8"/>
    <w:rsid w:val="00435043"/>
    <w:rsid w:val="0043531E"/>
    <w:rsid w:val="00435383"/>
    <w:rsid w:val="004354B6"/>
    <w:rsid w:val="004359E4"/>
    <w:rsid w:val="0043625D"/>
    <w:rsid w:val="0043627E"/>
    <w:rsid w:val="004368A6"/>
    <w:rsid w:val="00436A9D"/>
    <w:rsid w:val="00436CE6"/>
    <w:rsid w:val="004374A2"/>
    <w:rsid w:val="004379D4"/>
    <w:rsid w:val="00437BFF"/>
    <w:rsid w:val="00437CB3"/>
    <w:rsid w:val="004404AF"/>
    <w:rsid w:val="004404C8"/>
    <w:rsid w:val="00440892"/>
    <w:rsid w:val="00440B43"/>
    <w:rsid w:val="00440D95"/>
    <w:rsid w:val="00440F1B"/>
    <w:rsid w:val="00440F60"/>
    <w:rsid w:val="004413AC"/>
    <w:rsid w:val="004416DA"/>
    <w:rsid w:val="00441702"/>
    <w:rsid w:val="0044173C"/>
    <w:rsid w:val="004417A7"/>
    <w:rsid w:val="004417B5"/>
    <w:rsid w:val="004419E9"/>
    <w:rsid w:val="004421E6"/>
    <w:rsid w:val="00442423"/>
    <w:rsid w:val="00442652"/>
    <w:rsid w:val="00442C6C"/>
    <w:rsid w:val="00442D3E"/>
    <w:rsid w:val="00442D58"/>
    <w:rsid w:val="00442E04"/>
    <w:rsid w:val="00442E0E"/>
    <w:rsid w:val="00442F4D"/>
    <w:rsid w:val="00442FD1"/>
    <w:rsid w:val="0044300B"/>
    <w:rsid w:val="00443252"/>
    <w:rsid w:val="0044334C"/>
    <w:rsid w:val="0044344F"/>
    <w:rsid w:val="0044350E"/>
    <w:rsid w:val="004435AA"/>
    <w:rsid w:val="00443A94"/>
    <w:rsid w:val="00443C36"/>
    <w:rsid w:val="00443CBE"/>
    <w:rsid w:val="00443E8A"/>
    <w:rsid w:val="004441BC"/>
    <w:rsid w:val="00444208"/>
    <w:rsid w:val="004442E2"/>
    <w:rsid w:val="004449C9"/>
    <w:rsid w:val="00444CE6"/>
    <w:rsid w:val="00444F24"/>
    <w:rsid w:val="00445330"/>
    <w:rsid w:val="004454CA"/>
    <w:rsid w:val="004457CD"/>
    <w:rsid w:val="004457FE"/>
    <w:rsid w:val="00445885"/>
    <w:rsid w:val="00445EF7"/>
    <w:rsid w:val="004460FC"/>
    <w:rsid w:val="0044622C"/>
    <w:rsid w:val="00446284"/>
    <w:rsid w:val="0044644E"/>
    <w:rsid w:val="00446482"/>
    <w:rsid w:val="00446665"/>
    <w:rsid w:val="0044667B"/>
    <w:rsid w:val="0044684B"/>
    <w:rsid w:val="0044689C"/>
    <w:rsid w:val="004468B4"/>
    <w:rsid w:val="00446D86"/>
    <w:rsid w:val="00447618"/>
    <w:rsid w:val="0045013F"/>
    <w:rsid w:val="0045041D"/>
    <w:rsid w:val="00450E07"/>
    <w:rsid w:val="00450EA6"/>
    <w:rsid w:val="00450ED8"/>
    <w:rsid w:val="0045105B"/>
    <w:rsid w:val="0045112F"/>
    <w:rsid w:val="00451329"/>
    <w:rsid w:val="004518F6"/>
    <w:rsid w:val="00451AF1"/>
    <w:rsid w:val="00451C46"/>
    <w:rsid w:val="00451C85"/>
    <w:rsid w:val="00451C9B"/>
    <w:rsid w:val="004522A9"/>
    <w:rsid w:val="0045230A"/>
    <w:rsid w:val="0045238A"/>
    <w:rsid w:val="004526B0"/>
    <w:rsid w:val="00452708"/>
    <w:rsid w:val="00452849"/>
    <w:rsid w:val="0045298B"/>
    <w:rsid w:val="00452D9A"/>
    <w:rsid w:val="00453320"/>
    <w:rsid w:val="004536FC"/>
    <w:rsid w:val="0045385B"/>
    <w:rsid w:val="00453A94"/>
    <w:rsid w:val="00453CFA"/>
    <w:rsid w:val="00453DD3"/>
    <w:rsid w:val="00453FD4"/>
    <w:rsid w:val="00454121"/>
    <w:rsid w:val="004541BE"/>
    <w:rsid w:val="004546D3"/>
    <w:rsid w:val="004546F4"/>
    <w:rsid w:val="0045477D"/>
    <w:rsid w:val="004547FE"/>
    <w:rsid w:val="0045487E"/>
    <w:rsid w:val="00454A7D"/>
    <w:rsid w:val="00454AA1"/>
    <w:rsid w:val="00454AD0"/>
    <w:rsid w:val="00454E50"/>
    <w:rsid w:val="00455345"/>
    <w:rsid w:val="004554A9"/>
    <w:rsid w:val="004558BD"/>
    <w:rsid w:val="00455B83"/>
    <w:rsid w:val="00455F8E"/>
    <w:rsid w:val="004560B2"/>
    <w:rsid w:val="004560EC"/>
    <w:rsid w:val="0045624A"/>
    <w:rsid w:val="00456354"/>
    <w:rsid w:val="00456435"/>
    <w:rsid w:val="0045655C"/>
    <w:rsid w:val="004568FD"/>
    <w:rsid w:val="00456C6E"/>
    <w:rsid w:val="00456F18"/>
    <w:rsid w:val="00457055"/>
    <w:rsid w:val="004572C0"/>
    <w:rsid w:val="00457337"/>
    <w:rsid w:val="0045784A"/>
    <w:rsid w:val="004578C2"/>
    <w:rsid w:val="00457C0E"/>
    <w:rsid w:val="00460100"/>
    <w:rsid w:val="0046019E"/>
    <w:rsid w:val="004603A7"/>
    <w:rsid w:val="00460597"/>
    <w:rsid w:val="0046087D"/>
    <w:rsid w:val="004609B6"/>
    <w:rsid w:val="00460C32"/>
    <w:rsid w:val="00460D7E"/>
    <w:rsid w:val="004611CC"/>
    <w:rsid w:val="00461AB3"/>
    <w:rsid w:val="00461E69"/>
    <w:rsid w:val="00461F11"/>
    <w:rsid w:val="00462338"/>
    <w:rsid w:val="00462345"/>
    <w:rsid w:val="0046267B"/>
    <w:rsid w:val="00462770"/>
    <w:rsid w:val="00462A8C"/>
    <w:rsid w:val="00462E3D"/>
    <w:rsid w:val="00463033"/>
    <w:rsid w:val="00463317"/>
    <w:rsid w:val="00463496"/>
    <w:rsid w:val="00463710"/>
    <w:rsid w:val="00463AA5"/>
    <w:rsid w:val="004641EC"/>
    <w:rsid w:val="00464230"/>
    <w:rsid w:val="004648B9"/>
    <w:rsid w:val="00464A9B"/>
    <w:rsid w:val="00464B7E"/>
    <w:rsid w:val="00464D64"/>
    <w:rsid w:val="004651A9"/>
    <w:rsid w:val="00465832"/>
    <w:rsid w:val="0046599D"/>
    <w:rsid w:val="004659A1"/>
    <w:rsid w:val="00465CDE"/>
    <w:rsid w:val="00465E0A"/>
    <w:rsid w:val="00465F87"/>
    <w:rsid w:val="00465FEE"/>
    <w:rsid w:val="0046625C"/>
    <w:rsid w:val="004663FA"/>
    <w:rsid w:val="00466479"/>
    <w:rsid w:val="004664DB"/>
    <w:rsid w:val="004669D0"/>
    <w:rsid w:val="00466E48"/>
    <w:rsid w:val="00466E79"/>
    <w:rsid w:val="00466F43"/>
    <w:rsid w:val="00467D21"/>
    <w:rsid w:val="00467DC1"/>
    <w:rsid w:val="00467E24"/>
    <w:rsid w:val="00467FA5"/>
    <w:rsid w:val="00467FBD"/>
    <w:rsid w:val="00470591"/>
    <w:rsid w:val="0047067B"/>
    <w:rsid w:val="0047067C"/>
    <w:rsid w:val="004706B7"/>
    <w:rsid w:val="00470A4F"/>
    <w:rsid w:val="00470D7D"/>
    <w:rsid w:val="00470E1A"/>
    <w:rsid w:val="00470E84"/>
    <w:rsid w:val="00470F46"/>
    <w:rsid w:val="0047104F"/>
    <w:rsid w:val="00471063"/>
    <w:rsid w:val="004710D4"/>
    <w:rsid w:val="0047116D"/>
    <w:rsid w:val="004711A1"/>
    <w:rsid w:val="00471305"/>
    <w:rsid w:val="004713B4"/>
    <w:rsid w:val="00471661"/>
    <w:rsid w:val="00471C2C"/>
    <w:rsid w:val="00471F9E"/>
    <w:rsid w:val="004723C2"/>
    <w:rsid w:val="00472B51"/>
    <w:rsid w:val="00472DAF"/>
    <w:rsid w:val="00473095"/>
    <w:rsid w:val="004730B2"/>
    <w:rsid w:val="00473144"/>
    <w:rsid w:val="004732EB"/>
    <w:rsid w:val="004735A2"/>
    <w:rsid w:val="0047372D"/>
    <w:rsid w:val="00473732"/>
    <w:rsid w:val="00473821"/>
    <w:rsid w:val="00473BA3"/>
    <w:rsid w:val="00473C0F"/>
    <w:rsid w:val="00473D8E"/>
    <w:rsid w:val="0047437E"/>
    <w:rsid w:val="004743AB"/>
    <w:rsid w:val="004743DD"/>
    <w:rsid w:val="00474498"/>
    <w:rsid w:val="00474647"/>
    <w:rsid w:val="004747E0"/>
    <w:rsid w:val="0047491A"/>
    <w:rsid w:val="004749DF"/>
    <w:rsid w:val="00474CEA"/>
    <w:rsid w:val="004750DD"/>
    <w:rsid w:val="0047537B"/>
    <w:rsid w:val="004754F8"/>
    <w:rsid w:val="004755F5"/>
    <w:rsid w:val="00475689"/>
    <w:rsid w:val="004756B4"/>
    <w:rsid w:val="00475712"/>
    <w:rsid w:val="00475715"/>
    <w:rsid w:val="0047582F"/>
    <w:rsid w:val="004761B5"/>
    <w:rsid w:val="00476310"/>
    <w:rsid w:val="004764FC"/>
    <w:rsid w:val="0047653F"/>
    <w:rsid w:val="00476583"/>
    <w:rsid w:val="00476649"/>
    <w:rsid w:val="00476DC6"/>
    <w:rsid w:val="00476DFC"/>
    <w:rsid w:val="00476F7A"/>
    <w:rsid w:val="00477120"/>
    <w:rsid w:val="004774A8"/>
    <w:rsid w:val="004776F9"/>
    <w:rsid w:val="00477747"/>
    <w:rsid w:val="004777C3"/>
    <w:rsid w:val="0047797E"/>
    <w:rsid w:val="00477DA1"/>
    <w:rsid w:val="00477DD4"/>
    <w:rsid w:val="00477E2D"/>
    <w:rsid w:val="00477F1B"/>
    <w:rsid w:val="00480273"/>
    <w:rsid w:val="00480291"/>
    <w:rsid w:val="0048052F"/>
    <w:rsid w:val="00480537"/>
    <w:rsid w:val="00480627"/>
    <w:rsid w:val="0048094C"/>
    <w:rsid w:val="00480CA3"/>
    <w:rsid w:val="004810BD"/>
    <w:rsid w:val="004811DE"/>
    <w:rsid w:val="00481423"/>
    <w:rsid w:val="0048169A"/>
    <w:rsid w:val="004817BA"/>
    <w:rsid w:val="00481D85"/>
    <w:rsid w:val="00482002"/>
    <w:rsid w:val="00482391"/>
    <w:rsid w:val="004823E0"/>
    <w:rsid w:val="00482471"/>
    <w:rsid w:val="00482642"/>
    <w:rsid w:val="00482D0F"/>
    <w:rsid w:val="00482FB0"/>
    <w:rsid w:val="004837FA"/>
    <w:rsid w:val="00483968"/>
    <w:rsid w:val="00483C08"/>
    <w:rsid w:val="00483DCB"/>
    <w:rsid w:val="00483EA5"/>
    <w:rsid w:val="004841BE"/>
    <w:rsid w:val="00484278"/>
    <w:rsid w:val="0048459E"/>
    <w:rsid w:val="004845B3"/>
    <w:rsid w:val="004847B0"/>
    <w:rsid w:val="00484AB5"/>
    <w:rsid w:val="00484ABF"/>
    <w:rsid w:val="00484B21"/>
    <w:rsid w:val="00484C75"/>
    <w:rsid w:val="00484EBF"/>
    <w:rsid w:val="00484EDE"/>
    <w:rsid w:val="00484F86"/>
    <w:rsid w:val="00484F9B"/>
    <w:rsid w:val="0048516E"/>
    <w:rsid w:val="0048539A"/>
    <w:rsid w:val="00485403"/>
    <w:rsid w:val="00485416"/>
    <w:rsid w:val="004855D4"/>
    <w:rsid w:val="00485899"/>
    <w:rsid w:val="00485BD2"/>
    <w:rsid w:val="00485DB8"/>
    <w:rsid w:val="00486017"/>
    <w:rsid w:val="00486205"/>
    <w:rsid w:val="0048625F"/>
    <w:rsid w:val="004866D3"/>
    <w:rsid w:val="00486798"/>
    <w:rsid w:val="00486870"/>
    <w:rsid w:val="004868C2"/>
    <w:rsid w:val="00486AE1"/>
    <w:rsid w:val="00486B3A"/>
    <w:rsid w:val="00486D53"/>
    <w:rsid w:val="00487189"/>
    <w:rsid w:val="004871D0"/>
    <w:rsid w:val="00487844"/>
    <w:rsid w:val="0048784B"/>
    <w:rsid w:val="004900EB"/>
    <w:rsid w:val="0049024E"/>
    <w:rsid w:val="00490746"/>
    <w:rsid w:val="0049083A"/>
    <w:rsid w:val="00490852"/>
    <w:rsid w:val="00490D06"/>
    <w:rsid w:val="00490DF0"/>
    <w:rsid w:val="00490E4D"/>
    <w:rsid w:val="00491791"/>
    <w:rsid w:val="00491A8A"/>
    <w:rsid w:val="00491C9C"/>
    <w:rsid w:val="00491D31"/>
    <w:rsid w:val="00492193"/>
    <w:rsid w:val="004926E3"/>
    <w:rsid w:val="004929E7"/>
    <w:rsid w:val="00492AB5"/>
    <w:rsid w:val="00492B77"/>
    <w:rsid w:val="00492CE8"/>
    <w:rsid w:val="00492F30"/>
    <w:rsid w:val="004931CF"/>
    <w:rsid w:val="004938C0"/>
    <w:rsid w:val="00493B0E"/>
    <w:rsid w:val="00493C41"/>
    <w:rsid w:val="00493DEC"/>
    <w:rsid w:val="004940D7"/>
    <w:rsid w:val="00494184"/>
    <w:rsid w:val="004941F6"/>
    <w:rsid w:val="004943BC"/>
    <w:rsid w:val="004944A5"/>
    <w:rsid w:val="004945BB"/>
    <w:rsid w:val="004946F4"/>
    <w:rsid w:val="00494760"/>
    <w:rsid w:val="0049487E"/>
    <w:rsid w:val="00494A49"/>
    <w:rsid w:val="00494B63"/>
    <w:rsid w:val="00494D61"/>
    <w:rsid w:val="00494FEA"/>
    <w:rsid w:val="004952BC"/>
    <w:rsid w:val="004953E2"/>
    <w:rsid w:val="0049554C"/>
    <w:rsid w:val="004955E0"/>
    <w:rsid w:val="004958D7"/>
    <w:rsid w:val="004958E0"/>
    <w:rsid w:val="00495A7E"/>
    <w:rsid w:val="00495C27"/>
    <w:rsid w:val="00495C63"/>
    <w:rsid w:val="00495E2B"/>
    <w:rsid w:val="00495EC0"/>
    <w:rsid w:val="00496595"/>
    <w:rsid w:val="00496AA5"/>
    <w:rsid w:val="00497886"/>
    <w:rsid w:val="00497B0E"/>
    <w:rsid w:val="00497CCE"/>
    <w:rsid w:val="00497E65"/>
    <w:rsid w:val="004A023C"/>
    <w:rsid w:val="004A0389"/>
    <w:rsid w:val="004A095E"/>
    <w:rsid w:val="004A0E7A"/>
    <w:rsid w:val="004A1417"/>
    <w:rsid w:val="004A160D"/>
    <w:rsid w:val="004A1A60"/>
    <w:rsid w:val="004A20FD"/>
    <w:rsid w:val="004A237F"/>
    <w:rsid w:val="004A252B"/>
    <w:rsid w:val="004A25E5"/>
    <w:rsid w:val="004A2679"/>
    <w:rsid w:val="004A27B3"/>
    <w:rsid w:val="004A293A"/>
    <w:rsid w:val="004A2B70"/>
    <w:rsid w:val="004A2BD0"/>
    <w:rsid w:val="004A2DD8"/>
    <w:rsid w:val="004A36E5"/>
    <w:rsid w:val="004A3E3D"/>
    <w:rsid w:val="004A3E81"/>
    <w:rsid w:val="004A3ECF"/>
    <w:rsid w:val="004A3F81"/>
    <w:rsid w:val="004A4195"/>
    <w:rsid w:val="004A424D"/>
    <w:rsid w:val="004A43B5"/>
    <w:rsid w:val="004A45B2"/>
    <w:rsid w:val="004A48AC"/>
    <w:rsid w:val="004A4C8C"/>
    <w:rsid w:val="004A5138"/>
    <w:rsid w:val="004A53BD"/>
    <w:rsid w:val="004A5790"/>
    <w:rsid w:val="004A5895"/>
    <w:rsid w:val="004A5B73"/>
    <w:rsid w:val="004A5C2D"/>
    <w:rsid w:val="004A5C62"/>
    <w:rsid w:val="004A5CCF"/>
    <w:rsid w:val="004A5CE5"/>
    <w:rsid w:val="004A5CFC"/>
    <w:rsid w:val="004A5E99"/>
    <w:rsid w:val="004A6004"/>
    <w:rsid w:val="004A60A9"/>
    <w:rsid w:val="004A627F"/>
    <w:rsid w:val="004A6345"/>
    <w:rsid w:val="004A6503"/>
    <w:rsid w:val="004A687C"/>
    <w:rsid w:val="004A6B05"/>
    <w:rsid w:val="004A6B29"/>
    <w:rsid w:val="004A6CD0"/>
    <w:rsid w:val="004A6D7D"/>
    <w:rsid w:val="004A6FD2"/>
    <w:rsid w:val="004A7019"/>
    <w:rsid w:val="004A707D"/>
    <w:rsid w:val="004A7087"/>
    <w:rsid w:val="004A72BC"/>
    <w:rsid w:val="004A732C"/>
    <w:rsid w:val="004A7340"/>
    <w:rsid w:val="004A73BF"/>
    <w:rsid w:val="004A73E4"/>
    <w:rsid w:val="004A7A03"/>
    <w:rsid w:val="004A7A99"/>
    <w:rsid w:val="004A7C1C"/>
    <w:rsid w:val="004A7F23"/>
    <w:rsid w:val="004A7F9B"/>
    <w:rsid w:val="004B07EC"/>
    <w:rsid w:val="004B0801"/>
    <w:rsid w:val="004B094A"/>
    <w:rsid w:val="004B0974"/>
    <w:rsid w:val="004B0D46"/>
    <w:rsid w:val="004B0ED0"/>
    <w:rsid w:val="004B173A"/>
    <w:rsid w:val="004B179F"/>
    <w:rsid w:val="004B18E9"/>
    <w:rsid w:val="004B195C"/>
    <w:rsid w:val="004B1B22"/>
    <w:rsid w:val="004B269F"/>
    <w:rsid w:val="004B2BBB"/>
    <w:rsid w:val="004B2ED0"/>
    <w:rsid w:val="004B336C"/>
    <w:rsid w:val="004B3499"/>
    <w:rsid w:val="004B34B4"/>
    <w:rsid w:val="004B35CA"/>
    <w:rsid w:val="004B3804"/>
    <w:rsid w:val="004B38E8"/>
    <w:rsid w:val="004B3D25"/>
    <w:rsid w:val="004B3E81"/>
    <w:rsid w:val="004B4043"/>
    <w:rsid w:val="004B4185"/>
    <w:rsid w:val="004B42CA"/>
    <w:rsid w:val="004B4350"/>
    <w:rsid w:val="004B45E8"/>
    <w:rsid w:val="004B48CA"/>
    <w:rsid w:val="004B4C5A"/>
    <w:rsid w:val="004B4E29"/>
    <w:rsid w:val="004B52A6"/>
    <w:rsid w:val="004B536D"/>
    <w:rsid w:val="004B53D1"/>
    <w:rsid w:val="004B59A5"/>
    <w:rsid w:val="004B5D78"/>
    <w:rsid w:val="004B6159"/>
    <w:rsid w:val="004B6611"/>
    <w:rsid w:val="004B6A03"/>
    <w:rsid w:val="004B6D8E"/>
    <w:rsid w:val="004B706D"/>
    <w:rsid w:val="004B74E8"/>
    <w:rsid w:val="004B796A"/>
    <w:rsid w:val="004B7C0B"/>
    <w:rsid w:val="004B7CAD"/>
    <w:rsid w:val="004C0429"/>
    <w:rsid w:val="004C0484"/>
    <w:rsid w:val="004C04FA"/>
    <w:rsid w:val="004C05B2"/>
    <w:rsid w:val="004C0842"/>
    <w:rsid w:val="004C0DF8"/>
    <w:rsid w:val="004C13E4"/>
    <w:rsid w:val="004C1722"/>
    <w:rsid w:val="004C17F0"/>
    <w:rsid w:val="004C1E93"/>
    <w:rsid w:val="004C2377"/>
    <w:rsid w:val="004C2482"/>
    <w:rsid w:val="004C259A"/>
    <w:rsid w:val="004C2B32"/>
    <w:rsid w:val="004C2B64"/>
    <w:rsid w:val="004C2BB7"/>
    <w:rsid w:val="004C2DFF"/>
    <w:rsid w:val="004C2E14"/>
    <w:rsid w:val="004C38CC"/>
    <w:rsid w:val="004C3D92"/>
    <w:rsid w:val="004C3E24"/>
    <w:rsid w:val="004C3E3B"/>
    <w:rsid w:val="004C3FE5"/>
    <w:rsid w:val="004C43E8"/>
    <w:rsid w:val="004C46BA"/>
    <w:rsid w:val="004C481C"/>
    <w:rsid w:val="004C4EF7"/>
    <w:rsid w:val="004C51F0"/>
    <w:rsid w:val="004C544B"/>
    <w:rsid w:val="004C54E2"/>
    <w:rsid w:val="004C5541"/>
    <w:rsid w:val="004C579F"/>
    <w:rsid w:val="004C5BCD"/>
    <w:rsid w:val="004C6EDF"/>
    <w:rsid w:val="004C6EEE"/>
    <w:rsid w:val="004C702B"/>
    <w:rsid w:val="004C70AF"/>
    <w:rsid w:val="004C7246"/>
    <w:rsid w:val="004C7373"/>
    <w:rsid w:val="004C753B"/>
    <w:rsid w:val="004C7558"/>
    <w:rsid w:val="004C7A4D"/>
    <w:rsid w:val="004C7C22"/>
    <w:rsid w:val="004C7CEE"/>
    <w:rsid w:val="004C7EAB"/>
    <w:rsid w:val="004D0033"/>
    <w:rsid w:val="004D016B"/>
    <w:rsid w:val="004D05B8"/>
    <w:rsid w:val="004D074A"/>
    <w:rsid w:val="004D08AD"/>
    <w:rsid w:val="004D0950"/>
    <w:rsid w:val="004D0AE5"/>
    <w:rsid w:val="004D0B0B"/>
    <w:rsid w:val="004D0E57"/>
    <w:rsid w:val="004D0E58"/>
    <w:rsid w:val="004D0EED"/>
    <w:rsid w:val="004D0FC6"/>
    <w:rsid w:val="004D0FD5"/>
    <w:rsid w:val="004D13E4"/>
    <w:rsid w:val="004D1457"/>
    <w:rsid w:val="004D16FD"/>
    <w:rsid w:val="004D181E"/>
    <w:rsid w:val="004D1890"/>
    <w:rsid w:val="004D1A16"/>
    <w:rsid w:val="004D1ACF"/>
    <w:rsid w:val="004D1B22"/>
    <w:rsid w:val="004D1C8A"/>
    <w:rsid w:val="004D1D38"/>
    <w:rsid w:val="004D2077"/>
    <w:rsid w:val="004D2146"/>
    <w:rsid w:val="004D23CC"/>
    <w:rsid w:val="004D2877"/>
    <w:rsid w:val="004D28FC"/>
    <w:rsid w:val="004D2CA3"/>
    <w:rsid w:val="004D2F4C"/>
    <w:rsid w:val="004D34B1"/>
    <w:rsid w:val="004D36A4"/>
    <w:rsid w:val="004D36F2"/>
    <w:rsid w:val="004D38F1"/>
    <w:rsid w:val="004D3E36"/>
    <w:rsid w:val="004D3EE1"/>
    <w:rsid w:val="004D4517"/>
    <w:rsid w:val="004D52C8"/>
    <w:rsid w:val="004D54F2"/>
    <w:rsid w:val="004D5544"/>
    <w:rsid w:val="004D5B9E"/>
    <w:rsid w:val="004D5C96"/>
    <w:rsid w:val="004D5CB9"/>
    <w:rsid w:val="004D5E5B"/>
    <w:rsid w:val="004D5E90"/>
    <w:rsid w:val="004D6306"/>
    <w:rsid w:val="004D64D7"/>
    <w:rsid w:val="004D6688"/>
    <w:rsid w:val="004D6775"/>
    <w:rsid w:val="004D6818"/>
    <w:rsid w:val="004D6922"/>
    <w:rsid w:val="004D693A"/>
    <w:rsid w:val="004D6E89"/>
    <w:rsid w:val="004D70E8"/>
    <w:rsid w:val="004D7451"/>
    <w:rsid w:val="004D74BE"/>
    <w:rsid w:val="004D764F"/>
    <w:rsid w:val="004D7669"/>
    <w:rsid w:val="004D77EA"/>
    <w:rsid w:val="004D780A"/>
    <w:rsid w:val="004D780F"/>
    <w:rsid w:val="004D7C09"/>
    <w:rsid w:val="004D7D24"/>
    <w:rsid w:val="004D7FC5"/>
    <w:rsid w:val="004D83C9"/>
    <w:rsid w:val="004E037C"/>
    <w:rsid w:val="004E03CA"/>
    <w:rsid w:val="004E0C73"/>
    <w:rsid w:val="004E0D08"/>
    <w:rsid w:val="004E0DDB"/>
    <w:rsid w:val="004E0EB4"/>
    <w:rsid w:val="004E1106"/>
    <w:rsid w:val="004E11BE"/>
    <w:rsid w:val="004E12B3"/>
    <w:rsid w:val="004E138F"/>
    <w:rsid w:val="004E155E"/>
    <w:rsid w:val="004E18B6"/>
    <w:rsid w:val="004E1C0F"/>
    <w:rsid w:val="004E1D82"/>
    <w:rsid w:val="004E1EAC"/>
    <w:rsid w:val="004E2053"/>
    <w:rsid w:val="004E20E2"/>
    <w:rsid w:val="004E227B"/>
    <w:rsid w:val="004E2395"/>
    <w:rsid w:val="004E23CF"/>
    <w:rsid w:val="004E23E6"/>
    <w:rsid w:val="004E243A"/>
    <w:rsid w:val="004E281C"/>
    <w:rsid w:val="004E29B6"/>
    <w:rsid w:val="004E2A16"/>
    <w:rsid w:val="004E2C8A"/>
    <w:rsid w:val="004E2D33"/>
    <w:rsid w:val="004E2F04"/>
    <w:rsid w:val="004E2F23"/>
    <w:rsid w:val="004E2F58"/>
    <w:rsid w:val="004E33AB"/>
    <w:rsid w:val="004E37D0"/>
    <w:rsid w:val="004E37DA"/>
    <w:rsid w:val="004E38BA"/>
    <w:rsid w:val="004E396B"/>
    <w:rsid w:val="004E3AD2"/>
    <w:rsid w:val="004E3CB1"/>
    <w:rsid w:val="004E3FCC"/>
    <w:rsid w:val="004E4537"/>
    <w:rsid w:val="004E4649"/>
    <w:rsid w:val="004E4690"/>
    <w:rsid w:val="004E483B"/>
    <w:rsid w:val="004E48B8"/>
    <w:rsid w:val="004E4A45"/>
    <w:rsid w:val="004E4D31"/>
    <w:rsid w:val="004E4DC2"/>
    <w:rsid w:val="004E4F39"/>
    <w:rsid w:val="004E4FA8"/>
    <w:rsid w:val="004E51B1"/>
    <w:rsid w:val="004E5466"/>
    <w:rsid w:val="004E56EF"/>
    <w:rsid w:val="004E579B"/>
    <w:rsid w:val="004E582D"/>
    <w:rsid w:val="004E593E"/>
    <w:rsid w:val="004E5ADB"/>
    <w:rsid w:val="004E5B0E"/>
    <w:rsid w:val="004E5C2B"/>
    <w:rsid w:val="004E5DA0"/>
    <w:rsid w:val="004E60FD"/>
    <w:rsid w:val="004E61F4"/>
    <w:rsid w:val="004E65B3"/>
    <w:rsid w:val="004E65BB"/>
    <w:rsid w:val="004E6665"/>
    <w:rsid w:val="004E688E"/>
    <w:rsid w:val="004E761C"/>
    <w:rsid w:val="004E7C2D"/>
    <w:rsid w:val="004E7C69"/>
    <w:rsid w:val="004E7DFB"/>
    <w:rsid w:val="004E7F52"/>
    <w:rsid w:val="004F00DD"/>
    <w:rsid w:val="004F0349"/>
    <w:rsid w:val="004F06B4"/>
    <w:rsid w:val="004F07FB"/>
    <w:rsid w:val="004F08A4"/>
    <w:rsid w:val="004F092F"/>
    <w:rsid w:val="004F0B29"/>
    <w:rsid w:val="004F0D2C"/>
    <w:rsid w:val="004F0E46"/>
    <w:rsid w:val="004F0E77"/>
    <w:rsid w:val="004F104B"/>
    <w:rsid w:val="004F1375"/>
    <w:rsid w:val="004F17D3"/>
    <w:rsid w:val="004F19FB"/>
    <w:rsid w:val="004F2133"/>
    <w:rsid w:val="004F214A"/>
    <w:rsid w:val="004F2306"/>
    <w:rsid w:val="004F2337"/>
    <w:rsid w:val="004F239C"/>
    <w:rsid w:val="004F2785"/>
    <w:rsid w:val="004F29D5"/>
    <w:rsid w:val="004F2D28"/>
    <w:rsid w:val="004F3460"/>
    <w:rsid w:val="004F354E"/>
    <w:rsid w:val="004F38D8"/>
    <w:rsid w:val="004F39AC"/>
    <w:rsid w:val="004F3A79"/>
    <w:rsid w:val="004F3CF5"/>
    <w:rsid w:val="004F3D2A"/>
    <w:rsid w:val="004F3F82"/>
    <w:rsid w:val="004F3FD0"/>
    <w:rsid w:val="004F41F5"/>
    <w:rsid w:val="004F4222"/>
    <w:rsid w:val="004F4442"/>
    <w:rsid w:val="004F46FC"/>
    <w:rsid w:val="004F5398"/>
    <w:rsid w:val="004F5549"/>
    <w:rsid w:val="004F55DF"/>
    <w:rsid w:val="004F55F1"/>
    <w:rsid w:val="004F574E"/>
    <w:rsid w:val="004F59A0"/>
    <w:rsid w:val="004F5BFF"/>
    <w:rsid w:val="004F5E36"/>
    <w:rsid w:val="004F5EE5"/>
    <w:rsid w:val="004F5FA8"/>
    <w:rsid w:val="004F6027"/>
    <w:rsid w:val="004F6049"/>
    <w:rsid w:val="004F60C7"/>
    <w:rsid w:val="004F6470"/>
    <w:rsid w:val="004F668D"/>
    <w:rsid w:val="004F66C4"/>
    <w:rsid w:val="004F67B5"/>
    <w:rsid w:val="004F6936"/>
    <w:rsid w:val="004F6FE1"/>
    <w:rsid w:val="004F744D"/>
    <w:rsid w:val="004F74E7"/>
    <w:rsid w:val="004F751E"/>
    <w:rsid w:val="004F7A18"/>
    <w:rsid w:val="004F7D36"/>
    <w:rsid w:val="00500506"/>
    <w:rsid w:val="0050093F"/>
    <w:rsid w:val="0050098E"/>
    <w:rsid w:val="00500A7B"/>
    <w:rsid w:val="00500BDB"/>
    <w:rsid w:val="00500F0F"/>
    <w:rsid w:val="00501022"/>
    <w:rsid w:val="00501059"/>
    <w:rsid w:val="00501110"/>
    <w:rsid w:val="00501206"/>
    <w:rsid w:val="005012CD"/>
    <w:rsid w:val="005013B7"/>
    <w:rsid w:val="0050157B"/>
    <w:rsid w:val="00501A77"/>
    <w:rsid w:val="00502284"/>
    <w:rsid w:val="0050241F"/>
    <w:rsid w:val="00502791"/>
    <w:rsid w:val="00502C5C"/>
    <w:rsid w:val="00502F0D"/>
    <w:rsid w:val="00503230"/>
    <w:rsid w:val="0050355C"/>
    <w:rsid w:val="0050371F"/>
    <w:rsid w:val="00503845"/>
    <w:rsid w:val="00503AD3"/>
    <w:rsid w:val="00503DC6"/>
    <w:rsid w:val="00503ED1"/>
    <w:rsid w:val="0050410A"/>
    <w:rsid w:val="00504638"/>
    <w:rsid w:val="00504928"/>
    <w:rsid w:val="00504DB3"/>
    <w:rsid w:val="005051F2"/>
    <w:rsid w:val="0050545F"/>
    <w:rsid w:val="005054BD"/>
    <w:rsid w:val="00505583"/>
    <w:rsid w:val="00505B75"/>
    <w:rsid w:val="00505CE6"/>
    <w:rsid w:val="00505D89"/>
    <w:rsid w:val="00505ED6"/>
    <w:rsid w:val="00505FCC"/>
    <w:rsid w:val="00506651"/>
    <w:rsid w:val="00506941"/>
    <w:rsid w:val="00506F5D"/>
    <w:rsid w:val="00507089"/>
    <w:rsid w:val="0050752B"/>
    <w:rsid w:val="00507647"/>
    <w:rsid w:val="0050764F"/>
    <w:rsid w:val="00507756"/>
    <w:rsid w:val="00507955"/>
    <w:rsid w:val="00507AB2"/>
    <w:rsid w:val="00507C96"/>
    <w:rsid w:val="00507D57"/>
    <w:rsid w:val="00507D79"/>
    <w:rsid w:val="00507F06"/>
    <w:rsid w:val="0051015D"/>
    <w:rsid w:val="00510396"/>
    <w:rsid w:val="0051045C"/>
    <w:rsid w:val="00510A34"/>
    <w:rsid w:val="00510C37"/>
    <w:rsid w:val="00510C76"/>
    <w:rsid w:val="00510C9E"/>
    <w:rsid w:val="00510DCF"/>
    <w:rsid w:val="00510E63"/>
    <w:rsid w:val="00510EB3"/>
    <w:rsid w:val="0051132E"/>
    <w:rsid w:val="00512299"/>
    <w:rsid w:val="005124AC"/>
    <w:rsid w:val="00512579"/>
    <w:rsid w:val="005126D0"/>
    <w:rsid w:val="005127BE"/>
    <w:rsid w:val="00512C7A"/>
    <w:rsid w:val="00513162"/>
    <w:rsid w:val="005131A8"/>
    <w:rsid w:val="0051345B"/>
    <w:rsid w:val="00513553"/>
    <w:rsid w:val="005135E1"/>
    <w:rsid w:val="00513955"/>
    <w:rsid w:val="00513B6F"/>
    <w:rsid w:val="00513DEC"/>
    <w:rsid w:val="00513E24"/>
    <w:rsid w:val="00514096"/>
    <w:rsid w:val="00514186"/>
    <w:rsid w:val="00514667"/>
    <w:rsid w:val="00514C3E"/>
    <w:rsid w:val="00514D0B"/>
    <w:rsid w:val="005150EE"/>
    <w:rsid w:val="0051516A"/>
    <w:rsid w:val="0051534A"/>
    <w:rsid w:val="00515489"/>
    <w:rsid w:val="0051568D"/>
    <w:rsid w:val="00515AA0"/>
    <w:rsid w:val="00515C54"/>
    <w:rsid w:val="00515D4D"/>
    <w:rsid w:val="00516389"/>
    <w:rsid w:val="0051638C"/>
    <w:rsid w:val="00516557"/>
    <w:rsid w:val="00516583"/>
    <w:rsid w:val="00516595"/>
    <w:rsid w:val="005167FA"/>
    <w:rsid w:val="005169C9"/>
    <w:rsid w:val="00516CC3"/>
    <w:rsid w:val="00516E96"/>
    <w:rsid w:val="00517147"/>
    <w:rsid w:val="0051721C"/>
    <w:rsid w:val="00517DF7"/>
    <w:rsid w:val="00517F2F"/>
    <w:rsid w:val="005201D2"/>
    <w:rsid w:val="00520213"/>
    <w:rsid w:val="00520548"/>
    <w:rsid w:val="005214A9"/>
    <w:rsid w:val="005214B7"/>
    <w:rsid w:val="00521DFC"/>
    <w:rsid w:val="00521F1B"/>
    <w:rsid w:val="00522072"/>
    <w:rsid w:val="005220D6"/>
    <w:rsid w:val="0052238F"/>
    <w:rsid w:val="005224D8"/>
    <w:rsid w:val="00522B39"/>
    <w:rsid w:val="00522D3C"/>
    <w:rsid w:val="00522D5D"/>
    <w:rsid w:val="00523214"/>
    <w:rsid w:val="00523910"/>
    <w:rsid w:val="00523BD0"/>
    <w:rsid w:val="00523CA1"/>
    <w:rsid w:val="00523E26"/>
    <w:rsid w:val="00523F60"/>
    <w:rsid w:val="00523F6F"/>
    <w:rsid w:val="00524363"/>
    <w:rsid w:val="00524414"/>
    <w:rsid w:val="005244A3"/>
    <w:rsid w:val="005251BC"/>
    <w:rsid w:val="00525361"/>
    <w:rsid w:val="00525749"/>
    <w:rsid w:val="0052589C"/>
    <w:rsid w:val="00525B22"/>
    <w:rsid w:val="00525DCC"/>
    <w:rsid w:val="00525E87"/>
    <w:rsid w:val="005260A4"/>
    <w:rsid w:val="00526447"/>
    <w:rsid w:val="00526599"/>
    <w:rsid w:val="005266CC"/>
    <w:rsid w:val="005269F6"/>
    <w:rsid w:val="00526AC7"/>
    <w:rsid w:val="00526C15"/>
    <w:rsid w:val="00526C89"/>
    <w:rsid w:val="00527155"/>
    <w:rsid w:val="005271E8"/>
    <w:rsid w:val="005277E1"/>
    <w:rsid w:val="005277EF"/>
    <w:rsid w:val="005278A7"/>
    <w:rsid w:val="00527DEB"/>
    <w:rsid w:val="005300F7"/>
    <w:rsid w:val="00530155"/>
    <w:rsid w:val="005301C3"/>
    <w:rsid w:val="00530529"/>
    <w:rsid w:val="00530623"/>
    <w:rsid w:val="005306DD"/>
    <w:rsid w:val="00530948"/>
    <w:rsid w:val="00530AAA"/>
    <w:rsid w:val="00530B5A"/>
    <w:rsid w:val="00530FC5"/>
    <w:rsid w:val="0053153B"/>
    <w:rsid w:val="005317AD"/>
    <w:rsid w:val="00531972"/>
    <w:rsid w:val="005319DB"/>
    <w:rsid w:val="00531A3C"/>
    <w:rsid w:val="00531CFD"/>
    <w:rsid w:val="00531D2C"/>
    <w:rsid w:val="00531E79"/>
    <w:rsid w:val="005320D2"/>
    <w:rsid w:val="00532468"/>
    <w:rsid w:val="005325A7"/>
    <w:rsid w:val="00532705"/>
    <w:rsid w:val="005327D5"/>
    <w:rsid w:val="00532B8A"/>
    <w:rsid w:val="00532C6B"/>
    <w:rsid w:val="00532C83"/>
    <w:rsid w:val="00532ECE"/>
    <w:rsid w:val="005331FC"/>
    <w:rsid w:val="00534326"/>
    <w:rsid w:val="0053467D"/>
    <w:rsid w:val="005346D4"/>
    <w:rsid w:val="00534754"/>
    <w:rsid w:val="0053480D"/>
    <w:rsid w:val="00534917"/>
    <w:rsid w:val="00534A82"/>
    <w:rsid w:val="00534B02"/>
    <w:rsid w:val="00534D17"/>
    <w:rsid w:val="00534E57"/>
    <w:rsid w:val="005353E5"/>
    <w:rsid w:val="005357FA"/>
    <w:rsid w:val="00535E68"/>
    <w:rsid w:val="00536499"/>
    <w:rsid w:val="0053701F"/>
    <w:rsid w:val="0053712D"/>
    <w:rsid w:val="005371E6"/>
    <w:rsid w:val="0053753A"/>
    <w:rsid w:val="00537805"/>
    <w:rsid w:val="00537B9A"/>
    <w:rsid w:val="00537DE9"/>
    <w:rsid w:val="0054011D"/>
    <w:rsid w:val="00540881"/>
    <w:rsid w:val="005409B0"/>
    <w:rsid w:val="00540BAE"/>
    <w:rsid w:val="00540D24"/>
    <w:rsid w:val="00540F29"/>
    <w:rsid w:val="00541027"/>
    <w:rsid w:val="005414DA"/>
    <w:rsid w:val="0054177F"/>
    <w:rsid w:val="0054195B"/>
    <w:rsid w:val="00541D8D"/>
    <w:rsid w:val="00542325"/>
    <w:rsid w:val="00542415"/>
    <w:rsid w:val="0054259D"/>
    <w:rsid w:val="00542A03"/>
    <w:rsid w:val="00542BF3"/>
    <w:rsid w:val="00542CFB"/>
    <w:rsid w:val="00543089"/>
    <w:rsid w:val="005432D1"/>
    <w:rsid w:val="00543374"/>
    <w:rsid w:val="005433DC"/>
    <w:rsid w:val="0054356C"/>
    <w:rsid w:val="0054358B"/>
    <w:rsid w:val="00543903"/>
    <w:rsid w:val="00543A76"/>
    <w:rsid w:val="00543B50"/>
    <w:rsid w:val="00543BCC"/>
    <w:rsid w:val="00543C6C"/>
    <w:rsid w:val="00543D79"/>
    <w:rsid w:val="00543F11"/>
    <w:rsid w:val="00543FC5"/>
    <w:rsid w:val="00544105"/>
    <w:rsid w:val="00544135"/>
    <w:rsid w:val="005445A5"/>
    <w:rsid w:val="00544696"/>
    <w:rsid w:val="0054476B"/>
    <w:rsid w:val="00544B60"/>
    <w:rsid w:val="00544B7D"/>
    <w:rsid w:val="00545302"/>
    <w:rsid w:val="005453CB"/>
    <w:rsid w:val="00545559"/>
    <w:rsid w:val="005456AB"/>
    <w:rsid w:val="0054571A"/>
    <w:rsid w:val="00545904"/>
    <w:rsid w:val="00545993"/>
    <w:rsid w:val="00545A5C"/>
    <w:rsid w:val="00545BA7"/>
    <w:rsid w:val="00545BFD"/>
    <w:rsid w:val="00545CC9"/>
    <w:rsid w:val="00545DE3"/>
    <w:rsid w:val="00545F34"/>
    <w:rsid w:val="00546131"/>
    <w:rsid w:val="00546305"/>
    <w:rsid w:val="0054662E"/>
    <w:rsid w:val="00546908"/>
    <w:rsid w:val="00546DF1"/>
    <w:rsid w:val="00547320"/>
    <w:rsid w:val="005474A4"/>
    <w:rsid w:val="005476AF"/>
    <w:rsid w:val="00547A95"/>
    <w:rsid w:val="005500A8"/>
    <w:rsid w:val="005503DD"/>
    <w:rsid w:val="005504C9"/>
    <w:rsid w:val="00550719"/>
    <w:rsid w:val="005507B3"/>
    <w:rsid w:val="005507DC"/>
    <w:rsid w:val="0055112A"/>
    <w:rsid w:val="0055119B"/>
    <w:rsid w:val="005511A1"/>
    <w:rsid w:val="0055120F"/>
    <w:rsid w:val="005513FE"/>
    <w:rsid w:val="00551980"/>
    <w:rsid w:val="00551C5D"/>
    <w:rsid w:val="005523B9"/>
    <w:rsid w:val="0055246C"/>
    <w:rsid w:val="00552D51"/>
    <w:rsid w:val="005531CA"/>
    <w:rsid w:val="0055336F"/>
    <w:rsid w:val="0055377E"/>
    <w:rsid w:val="0055386C"/>
    <w:rsid w:val="0055389A"/>
    <w:rsid w:val="00553A3A"/>
    <w:rsid w:val="00553B17"/>
    <w:rsid w:val="00553DD4"/>
    <w:rsid w:val="00553F96"/>
    <w:rsid w:val="0055416B"/>
    <w:rsid w:val="005541F7"/>
    <w:rsid w:val="005542A4"/>
    <w:rsid w:val="00554607"/>
    <w:rsid w:val="0055462A"/>
    <w:rsid w:val="00554665"/>
    <w:rsid w:val="00554805"/>
    <w:rsid w:val="00554813"/>
    <w:rsid w:val="00554A0A"/>
    <w:rsid w:val="00554E87"/>
    <w:rsid w:val="00555153"/>
    <w:rsid w:val="0055529D"/>
    <w:rsid w:val="005554BD"/>
    <w:rsid w:val="00555702"/>
    <w:rsid w:val="00555F16"/>
    <w:rsid w:val="005560B3"/>
    <w:rsid w:val="005560F6"/>
    <w:rsid w:val="00556120"/>
    <w:rsid w:val="005564E7"/>
    <w:rsid w:val="00556817"/>
    <w:rsid w:val="005569E0"/>
    <w:rsid w:val="00556B4C"/>
    <w:rsid w:val="00556DBA"/>
    <w:rsid w:val="0055732E"/>
    <w:rsid w:val="00557780"/>
    <w:rsid w:val="00557AC8"/>
    <w:rsid w:val="00557E4B"/>
    <w:rsid w:val="005600EB"/>
    <w:rsid w:val="005601CF"/>
    <w:rsid w:val="00560207"/>
    <w:rsid w:val="0056055A"/>
    <w:rsid w:val="00560911"/>
    <w:rsid w:val="00560FAD"/>
    <w:rsid w:val="00561202"/>
    <w:rsid w:val="0056127B"/>
    <w:rsid w:val="00561438"/>
    <w:rsid w:val="00561C3E"/>
    <w:rsid w:val="00562507"/>
    <w:rsid w:val="0056263D"/>
    <w:rsid w:val="005626E6"/>
    <w:rsid w:val="00562811"/>
    <w:rsid w:val="0056294B"/>
    <w:rsid w:val="0056312C"/>
    <w:rsid w:val="005631AA"/>
    <w:rsid w:val="005631C1"/>
    <w:rsid w:val="0056384E"/>
    <w:rsid w:val="00563A34"/>
    <w:rsid w:val="00563AB6"/>
    <w:rsid w:val="00563C49"/>
    <w:rsid w:val="00564239"/>
    <w:rsid w:val="00564316"/>
    <w:rsid w:val="005645E3"/>
    <w:rsid w:val="0056462C"/>
    <w:rsid w:val="0056463F"/>
    <w:rsid w:val="0056484D"/>
    <w:rsid w:val="00564C54"/>
    <w:rsid w:val="00564C79"/>
    <w:rsid w:val="00564CB9"/>
    <w:rsid w:val="00564F54"/>
    <w:rsid w:val="005652B1"/>
    <w:rsid w:val="00565477"/>
    <w:rsid w:val="0056568D"/>
    <w:rsid w:val="005658F4"/>
    <w:rsid w:val="00565CEB"/>
    <w:rsid w:val="00565DDB"/>
    <w:rsid w:val="00565DE1"/>
    <w:rsid w:val="00565FCC"/>
    <w:rsid w:val="00566167"/>
    <w:rsid w:val="005661A3"/>
    <w:rsid w:val="00566569"/>
    <w:rsid w:val="005665D3"/>
    <w:rsid w:val="005668A4"/>
    <w:rsid w:val="00566CBB"/>
    <w:rsid w:val="005670F6"/>
    <w:rsid w:val="005675DC"/>
    <w:rsid w:val="00567832"/>
    <w:rsid w:val="005700E7"/>
    <w:rsid w:val="0057030C"/>
    <w:rsid w:val="0057045A"/>
    <w:rsid w:val="0057066B"/>
    <w:rsid w:val="005706CA"/>
    <w:rsid w:val="00570704"/>
    <w:rsid w:val="00570917"/>
    <w:rsid w:val="005709F6"/>
    <w:rsid w:val="00571010"/>
    <w:rsid w:val="005710C3"/>
    <w:rsid w:val="00571160"/>
    <w:rsid w:val="0057118B"/>
    <w:rsid w:val="00571755"/>
    <w:rsid w:val="005719F9"/>
    <w:rsid w:val="00571F71"/>
    <w:rsid w:val="00572031"/>
    <w:rsid w:val="00572282"/>
    <w:rsid w:val="005725A5"/>
    <w:rsid w:val="00572AF9"/>
    <w:rsid w:val="00572CFA"/>
    <w:rsid w:val="00572DCC"/>
    <w:rsid w:val="00573310"/>
    <w:rsid w:val="00573333"/>
    <w:rsid w:val="00573689"/>
    <w:rsid w:val="00573AF1"/>
    <w:rsid w:val="00573CE3"/>
    <w:rsid w:val="005743DF"/>
    <w:rsid w:val="0057455A"/>
    <w:rsid w:val="0057507D"/>
    <w:rsid w:val="00575301"/>
    <w:rsid w:val="00575303"/>
    <w:rsid w:val="0057544C"/>
    <w:rsid w:val="0057567D"/>
    <w:rsid w:val="0057590A"/>
    <w:rsid w:val="00575AB9"/>
    <w:rsid w:val="00575B9A"/>
    <w:rsid w:val="005765AB"/>
    <w:rsid w:val="0057699F"/>
    <w:rsid w:val="00576C49"/>
    <w:rsid w:val="00576E84"/>
    <w:rsid w:val="0057702C"/>
    <w:rsid w:val="0057729C"/>
    <w:rsid w:val="00577902"/>
    <w:rsid w:val="00577AF1"/>
    <w:rsid w:val="00577B9E"/>
    <w:rsid w:val="00577D3F"/>
    <w:rsid w:val="00577F4A"/>
    <w:rsid w:val="0058004E"/>
    <w:rsid w:val="00580394"/>
    <w:rsid w:val="0058048B"/>
    <w:rsid w:val="005809CD"/>
    <w:rsid w:val="00580C84"/>
    <w:rsid w:val="00580CC5"/>
    <w:rsid w:val="00580CF1"/>
    <w:rsid w:val="00580D6E"/>
    <w:rsid w:val="00580D9B"/>
    <w:rsid w:val="00580FDA"/>
    <w:rsid w:val="0058130C"/>
    <w:rsid w:val="0058149C"/>
    <w:rsid w:val="005814C0"/>
    <w:rsid w:val="00581BAC"/>
    <w:rsid w:val="00581D1C"/>
    <w:rsid w:val="00581EFC"/>
    <w:rsid w:val="00582169"/>
    <w:rsid w:val="005823C5"/>
    <w:rsid w:val="005823DC"/>
    <w:rsid w:val="005826E3"/>
    <w:rsid w:val="005827F1"/>
    <w:rsid w:val="00582A2A"/>
    <w:rsid w:val="00582B8C"/>
    <w:rsid w:val="00582D2D"/>
    <w:rsid w:val="00582DB3"/>
    <w:rsid w:val="0058323C"/>
    <w:rsid w:val="005833FD"/>
    <w:rsid w:val="0058378D"/>
    <w:rsid w:val="005838D2"/>
    <w:rsid w:val="00583F44"/>
    <w:rsid w:val="005840C8"/>
    <w:rsid w:val="005841AA"/>
    <w:rsid w:val="00584282"/>
    <w:rsid w:val="005842FA"/>
    <w:rsid w:val="00584A1F"/>
    <w:rsid w:val="00584B5B"/>
    <w:rsid w:val="00584BA5"/>
    <w:rsid w:val="00584BA7"/>
    <w:rsid w:val="00584BF7"/>
    <w:rsid w:val="00584D4B"/>
    <w:rsid w:val="005853A0"/>
    <w:rsid w:val="00585BD7"/>
    <w:rsid w:val="00585E6D"/>
    <w:rsid w:val="00586816"/>
    <w:rsid w:val="00586925"/>
    <w:rsid w:val="00586951"/>
    <w:rsid w:val="00586A3B"/>
    <w:rsid w:val="00586AAA"/>
    <w:rsid w:val="00586DEA"/>
    <w:rsid w:val="00586E3F"/>
    <w:rsid w:val="005870C0"/>
    <w:rsid w:val="0058714A"/>
    <w:rsid w:val="0058757E"/>
    <w:rsid w:val="00587788"/>
    <w:rsid w:val="00587815"/>
    <w:rsid w:val="00587DEE"/>
    <w:rsid w:val="00590297"/>
    <w:rsid w:val="00590E58"/>
    <w:rsid w:val="00591081"/>
    <w:rsid w:val="00591163"/>
    <w:rsid w:val="005912DF"/>
    <w:rsid w:val="0059156B"/>
    <w:rsid w:val="0059161C"/>
    <w:rsid w:val="00591B34"/>
    <w:rsid w:val="00591CE8"/>
    <w:rsid w:val="005925C2"/>
    <w:rsid w:val="005928E9"/>
    <w:rsid w:val="005929EB"/>
    <w:rsid w:val="00592DD5"/>
    <w:rsid w:val="00593133"/>
    <w:rsid w:val="00593970"/>
    <w:rsid w:val="00593998"/>
    <w:rsid w:val="00593ABE"/>
    <w:rsid w:val="00593C87"/>
    <w:rsid w:val="00593CFA"/>
    <w:rsid w:val="00593E96"/>
    <w:rsid w:val="00593F60"/>
    <w:rsid w:val="00593F88"/>
    <w:rsid w:val="00594350"/>
    <w:rsid w:val="00594424"/>
    <w:rsid w:val="00594560"/>
    <w:rsid w:val="005946F8"/>
    <w:rsid w:val="0059480F"/>
    <w:rsid w:val="00594867"/>
    <w:rsid w:val="005948E8"/>
    <w:rsid w:val="00594B8E"/>
    <w:rsid w:val="0059554C"/>
    <w:rsid w:val="0059569A"/>
    <w:rsid w:val="0059570A"/>
    <w:rsid w:val="00595DE2"/>
    <w:rsid w:val="00595F55"/>
    <w:rsid w:val="005960F1"/>
    <w:rsid w:val="005963A3"/>
    <w:rsid w:val="00596426"/>
    <w:rsid w:val="00596431"/>
    <w:rsid w:val="0059668B"/>
    <w:rsid w:val="005966EE"/>
    <w:rsid w:val="00596A4B"/>
    <w:rsid w:val="00596B84"/>
    <w:rsid w:val="00596D11"/>
    <w:rsid w:val="0059720A"/>
    <w:rsid w:val="00597507"/>
    <w:rsid w:val="005A0006"/>
    <w:rsid w:val="005A0403"/>
    <w:rsid w:val="005A088D"/>
    <w:rsid w:val="005A0B02"/>
    <w:rsid w:val="005A0D68"/>
    <w:rsid w:val="005A106A"/>
    <w:rsid w:val="005A14BB"/>
    <w:rsid w:val="005A1555"/>
    <w:rsid w:val="005A16B5"/>
    <w:rsid w:val="005A17BC"/>
    <w:rsid w:val="005A1855"/>
    <w:rsid w:val="005A1AE1"/>
    <w:rsid w:val="005A1FF8"/>
    <w:rsid w:val="005A219A"/>
    <w:rsid w:val="005A224F"/>
    <w:rsid w:val="005A23DD"/>
    <w:rsid w:val="005A274C"/>
    <w:rsid w:val="005A280F"/>
    <w:rsid w:val="005A2953"/>
    <w:rsid w:val="005A2B65"/>
    <w:rsid w:val="005A2B6A"/>
    <w:rsid w:val="005A3253"/>
    <w:rsid w:val="005A3443"/>
    <w:rsid w:val="005A3548"/>
    <w:rsid w:val="005A35A1"/>
    <w:rsid w:val="005A3BBF"/>
    <w:rsid w:val="005A3C27"/>
    <w:rsid w:val="005A3E18"/>
    <w:rsid w:val="005A3F8F"/>
    <w:rsid w:val="005A45A3"/>
    <w:rsid w:val="005A479D"/>
    <w:rsid w:val="005A48AB"/>
    <w:rsid w:val="005A4C1A"/>
    <w:rsid w:val="005A4D8B"/>
    <w:rsid w:val="005A4FA9"/>
    <w:rsid w:val="005A5041"/>
    <w:rsid w:val="005A524D"/>
    <w:rsid w:val="005A5326"/>
    <w:rsid w:val="005A552C"/>
    <w:rsid w:val="005A5865"/>
    <w:rsid w:val="005A5965"/>
    <w:rsid w:val="005A5A45"/>
    <w:rsid w:val="005A5B6C"/>
    <w:rsid w:val="005A5C97"/>
    <w:rsid w:val="005A5CDC"/>
    <w:rsid w:val="005A5D68"/>
    <w:rsid w:val="005A5FEE"/>
    <w:rsid w:val="005A60BE"/>
    <w:rsid w:val="005A6166"/>
    <w:rsid w:val="005A627E"/>
    <w:rsid w:val="005A6424"/>
    <w:rsid w:val="005A6514"/>
    <w:rsid w:val="005A68EE"/>
    <w:rsid w:val="005A697A"/>
    <w:rsid w:val="005A700B"/>
    <w:rsid w:val="005A736E"/>
    <w:rsid w:val="005A745E"/>
    <w:rsid w:val="005A7892"/>
    <w:rsid w:val="005A79CB"/>
    <w:rsid w:val="005A7BFC"/>
    <w:rsid w:val="005B0679"/>
    <w:rsid w:val="005B07E4"/>
    <w:rsid w:val="005B0860"/>
    <w:rsid w:val="005B0F53"/>
    <w:rsid w:val="005B1054"/>
    <w:rsid w:val="005B12D8"/>
    <w:rsid w:val="005B1A0D"/>
    <w:rsid w:val="005B1AFE"/>
    <w:rsid w:val="005B1B31"/>
    <w:rsid w:val="005B1C6D"/>
    <w:rsid w:val="005B1CC1"/>
    <w:rsid w:val="005B20F6"/>
    <w:rsid w:val="005B21B6"/>
    <w:rsid w:val="005B2F0E"/>
    <w:rsid w:val="005B3012"/>
    <w:rsid w:val="005B31BC"/>
    <w:rsid w:val="005B3233"/>
    <w:rsid w:val="005B32B1"/>
    <w:rsid w:val="005B3361"/>
    <w:rsid w:val="005B397E"/>
    <w:rsid w:val="005B39AA"/>
    <w:rsid w:val="005B3A08"/>
    <w:rsid w:val="005B3B44"/>
    <w:rsid w:val="005B3CFA"/>
    <w:rsid w:val="005B3E57"/>
    <w:rsid w:val="005B3F15"/>
    <w:rsid w:val="005B43D0"/>
    <w:rsid w:val="005B48CC"/>
    <w:rsid w:val="005B495C"/>
    <w:rsid w:val="005B4AC4"/>
    <w:rsid w:val="005B4D83"/>
    <w:rsid w:val="005B5087"/>
    <w:rsid w:val="005B5364"/>
    <w:rsid w:val="005B53FC"/>
    <w:rsid w:val="005B542B"/>
    <w:rsid w:val="005B588D"/>
    <w:rsid w:val="005B5BAF"/>
    <w:rsid w:val="005B5F46"/>
    <w:rsid w:val="005B629D"/>
    <w:rsid w:val="005B6569"/>
    <w:rsid w:val="005B6F0C"/>
    <w:rsid w:val="005B7035"/>
    <w:rsid w:val="005B715B"/>
    <w:rsid w:val="005B722E"/>
    <w:rsid w:val="005B72D3"/>
    <w:rsid w:val="005B7398"/>
    <w:rsid w:val="005B7652"/>
    <w:rsid w:val="005B7980"/>
    <w:rsid w:val="005B7A63"/>
    <w:rsid w:val="005B7C1C"/>
    <w:rsid w:val="005B7E59"/>
    <w:rsid w:val="005C0040"/>
    <w:rsid w:val="005C02BA"/>
    <w:rsid w:val="005C041A"/>
    <w:rsid w:val="005C04D6"/>
    <w:rsid w:val="005C0514"/>
    <w:rsid w:val="005C05AC"/>
    <w:rsid w:val="005C0606"/>
    <w:rsid w:val="005C07DF"/>
    <w:rsid w:val="005C0955"/>
    <w:rsid w:val="005C0A67"/>
    <w:rsid w:val="005C0ED9"/>
    <w:rsid w:val="005C100B"/>
    <w:rsid w:val="005C102F"/>
    <w:rsid w:val="005C1032"/>
    <w:rsid w:val="005C1056"/>
    <w:rsid w:val="005C1309"/>
    <w:rsid w:val="005C14EB"/>
    <w:rsid w:val="005C18F0"/>
    <w:rsid w:val="005C1A18"/>
    <w:rsid w:val="005C1B73"/>
    <w:rsid w:val="005C2358"/>
    <w:rsid w:val="005C23A0"/>
    <w:rsid w:val="005C278E"/>
    <w:rsid w:val="005C2D96"/>
    <w:rsid w:val="005C3160"/>
    <w:rsid w:val="005C331E"/>
    <w:rsid w:val="005C3946"/>
    <w:rsid w:val="005C3C00"/>
    <w:rsid w:val="005C3CC2"/>
    <w:rsid w:val="005C43B4"/>
    <w:rsid w:val="005C45C7"/>
    <w:rsid w:val="005C4648"/>
    <w:rsid w:val="005C49DA"/>
    <w:rsid w:val="005C5050"/>
    <w:rsid w:val="005C50F3"/>
    <w:rsid w:val="005C52FB"/>
    <w:rsid w:val="005C54B5"/>
    <w:rsid w:val="005C576B"/>
    <w:rsid w:val="005C57D4"/>
    <w:rsid w:val="005C59FD"/>
    <w:rsid w:val="005C5A23"/>
    <w:rsid w:val="005C5A8E"/>
    <w:rsid w:val="005C5A99"/>
    <w:rsid w:val="005C5C90"/>
    <w:rsid w:val="005C5D80"/>
    <w:rsid w:val="005C5D91"/>
    <w:rsid w:val="005C5E6F"/>
    <w:rsid w:val="005C603C"/>
    <w:rsid w:val="005C611C"/>
    <w:rsid w:val="005C6A91"/>
    <w:rsid w:val="005C6AE9"/>
    <w:rsid w:val="005C6B6F"/>
    <w:rsid w:val="005C6B8C"/>
    <w:rsid w:val="005C6F5B"/>
    <w:rsid w:val="005C7204"/>
    <w:rsid w:val="005C7492"/>
    <w:rsid w:val="005C7549"/>
    <w:rsid w:val="005C7702"/>
    <w:rsid w:val="005C77EB"/>
    <w:rsid w:val="005C7ADE"/>
    <w:rsid w:val="005CB0DB"/>
    <w:rsid w:val="005D010E"/>
    <w:rsid w:val="005D02A7"/>
    <w:rsid w:val="005D0782"/>
    <w:rsid w:val="005D0799"/>
    <w:rsid w:val="005D07B8"/>
    <w:rsid w:val="005D09CA"/>
    <w:rsid w:val="005D0A0C"/>
    <w:rsid w:val="005D0B9C"/>
    <w:rsid w:val="005D0BE3"/>
    <w:rsid w:val="005D0E1F"/>
    <w:rsid w:val="005D118B"/>
    <w:rsid w:val="005D15A5"/>
    <w:rsid w:val="005D1622"/>
    <w:rsid w:val="005D1886"/>
    <w:rsid w:val="005D1A2E"/>
    <w:rsid w:val="005D1BAC"/>
    <w:rsid w:val="005D1C67"/>
    <w:rsid w:val="005D1E9F"/>
    <w:rsid w:val="005D1FCB"/>
    <w:rsid w:val="005D262B"/>
    <w:rsid w:val="005D2D11"/>
    <w:rsid w:val="005D3224"/>
    <w:rsid w:val="005D327D"/>
    <w:rsid w:val="005D3300"/>
    <w:rsid w:val="005D3404"/>
    <w:rsid w:val="005D37C5"/>
    <w:rsid w:val="005D37D2"/>
    <w:rsid w:val="005D39D7"/>
    <w:rsid w:val="005D3C50"/>
    <w:rsid w:val="005D3E6C"/>
    <w:rsid w:val="005D3E92"/>
    <w:rsid w:val="005D4AB9"/>
    <w:rsid w:val="005D4DDA"/>
    <w:rsid w:val="005D503D"/>
    <w:rsid w:val="005D50D0"/>
    <w:rsid w:val="005D521A"/>
    <w:rsid w:val="005D53F6"/>
    <w:rsid w:val="005D55E0"/>
    <w:rsid w:val="005D55FD"/>
    <w:rsid w:val="005D5D47"/>
    <w:rsid w:val="005D5EB9"/>
    <w:rsid w:val="005D6067"/>
    <w:rsid w:val="005D62C4"/>
    <w:rsid w:val="005D6597"/>
    <w:rsid w:val="005D6663"/>
    <w:rsid w:val="005D6936"/>
    <w:rsid w:val="005D6EB7"/>
    <w:rsid w:val="005D6EBB"/>
    <w:rsid w:val="005D6ECB"/>
    <w:rsid w:val="005D6F09"/>
    <w:rsid w:val="005D6F39"/>
    <w:rsid w:val="005D6F5F"/>
    <w:rsid w:val="005D703B"/>
    <w:rsid w:val="005D76A4"/>
    <w:rsid w:val="005D76E5"/>
    <w:rsid w:val="005D7C7B"/>
    <w:rsid w:val="005E0011"/>
    <w:rsid w:val="005E0665"/>
    <w:rsid w:val="005E06D4"/>
    <w:rsid w:val="005E0960"/>
    <w:rsid w:val="005E0DCA"/>
    <w:rsid w:val="005E0FB7"/>
    <w:rsid w:val="005E111A"/>
    <w:rsid w:val="005E12FC"/>
    <w:rsid w:val="005E147B"/>
    <w:rsid w:val="005E14E7"/>
    <w:rsid w:val="005E1829"/>
    <w:rsid w:val="005E19FF"/>
    <w:rsid w:val="005E1B27"/>
    <w:rsid w:val="005E1B4B"/>
    <w:rsid w:val="005E1BC3"/>
    <w:rsid w:val="005E1D3B"/>
    <w:rsid w:val="005E21CE"/>
    <w:rsid w:val="005E241D"/>
    <w:rsid w:val="005E24BB"/>
    <w:rsid w:val="005E26A3"/>
    <w:rsid w:val="005E29A6"/>
    <w:rsid w:val="005E2C0C"/>
    <w:rsid w:val="005E2CD2"/>
    <w:rsid w:val="005E2ECB"/>
    <w:rsid w:val="005E2F51"/>
    <w:rsid w:val="005E2F98"/>
    <w:rsid w:val="005E327A"/>
    <w:rsid w:val="005E32C3"/>
    <w:rsid w:val="005E3465"/>
    <w:rsid w:val="005E3562"/>
    <w:rsid w:val="005E3742"/>
    <w:rsid w:val="005E3858"/>
    <w:rsid w:val="005E3CDC"/>
    <w:rsid w:val="005E4099"/>
    <w:rsid w:val="005E40B6"/>
    <w:rsid w:val="005E4190"/>
    <w:rsid w:val="005E42A6"/>
    <w:rsid w:val="005E447E"/>
    <w:rsid w:val="005E46E0"/>
    <w:rsid w:val="005E4D02"/>
    <w:rsid w:val="005E4EE5"/>
    <w:rsid w:val="005E4FD1"/>
    <w:rsid w:val="005E5462"/>
    <w:rsid w:val="005E5847"/>
    <w:rsid w:val="005E5AB9"/>
    <w:rsid w:val="005E6070"/>
    <w:rsid w:val="005E633B"/>
    <w:rsid w:val="005E6444"/>
    <w:rsid w:val="005E651C"/>
    <w:rsid w:val="005E656B"/>
    <w:rsid w:val="005E66AF"/>
    <w:rsid w:val="005E6DA0"/>
    <w:rsid w:val="005E6DA7"/>
    <w:rsid w:val="005E7502"/>
    <w:rsid w:val="005E7BE6"/>
    <w:rsid w:val="005E7E60"/>
    <w:rsid w:val="005E7F74"/>
    <w:rsid w:val="005F0072"/>
    <w:rsid w:val="005F056E"/>
    <w:rsid w:val="005F0775"/>
    <w:rsid w:val="005F0993"/>
    <w:rsid w:val="005F0AA3"/>
    <w:rsid w:val="005F0BAA"/>
    <w:rsid w:val="005F0CF5"/>
    <w:rsid w:val="005F0DD8"/>
    <w:rsid w:val="005F0F72"/>
    <w:rsid w:val="005F1283"/>
    <w:rsid w:val="005F1900"/>
    <w:rsid w:val="005F191B"/>
    <w:rsid w:val="005F1991"/>
    <w:rsid w:val="005F1994"/>
    <w:rsid w:val="005F1D1A"/>
    <w:rsid w:val="005F21D1"/>
    <w:rsid w:val="005F21EB"/>
    <w:rsid w:val="005F23C2"/>
    <w:rsid w:val="005F24D5"/>
    <w:rsid w:val="005F2A6A"/>
    <w:rsid w:val="005F2C7F"/>
    <w:rsid w:val="005F2C83"/>
    <w:rsid w:val="005F2C8C"/>
    <w:rsid w:val="005F2CDB"/>
    <w:rsid w:val="005F2E27"/>
    <w:rsid w:val="005F2E5A"/>
    <w:rsid w:val="005F326E"/>
    <w:rsid w:val="005F33B2"/>
    <w:rsid w:val="005F352D"/>
    <w:rsid w:val="005F3578"/>
    <w:rsid w:val="005F35B7"/>
    <w:rsid w:val="005F3606"/>
    <w:rsid w:val="005F3704"/>
    <w:rsid w:val="005F37DF"/>
    <w:rsid w:val="005F384D"/>
    <w:rsid w:val="005F3A05"/>
    <w:rsid w:val="005F3A60"/>
    <w:rsid w:val="005F3AEE"/>
    <w:rsid w:val="005F3E68"/>
    <w:rsid w:val="005F4044"/>
    <w:rsid w:val="005F40C8"/>
    <w:rsid w:val="005F4161"/>
    <w:rsid w:val="005F4209"/>
    <w:rsid w:val="005F4212"/>
    <w:rsid w:val="005F424B"/>
    <w:rsid w:val="005F47C7"/>
    <w:rsid w:val="005F4BF5"/>
    <w:rsid w:val="005F4C58"/>
    <w:rsid w:val="005F4DBC"/>
    <w:rsid w:val="005F4E3F"/>
    <w:rsid w:val="005F4F0D"/>
    <w:rsid w:val="005F50F1"/>
    <w:rsid w:val="005F5289"/>
    <w:rsid w:val="005F52CB"/>
    <w:rsid w:val="005F533D"/>
    <w:rsid w:val="005F5781"/>
    <w:rsid w:val="005F5A11"/>
    <w:rsid w:val="005F60CE"/>
    <w:rsid w:val="005F6216"/>
    <w:rsid w:val="005F622E"/>
    <w:rsid w:val="005F64CF"/>
    <w:rsid w:val="005F67D1"/>
    <w:rsid w:val="005F67FD"/>
    <w:rsid w:val="005F6904"/>
    <w:rsid w:val="005F6CB7"/>
    <w:rsid w:val="005F6D7C"/>
    <w:rsid w:val="005F6DEF"/>
    <w:rsid w:val="005F6EE2"/>
    <w:rsid w:val="005F7012"/>
    <w:rsid w:val="005F70FF"/>
    <w:rsid w:val="005F72A3"/>
    <w:rsid w:val="005F7369"/>
    <w:rsid w:val="005F77AC"/>
    <w:rsid w:val="005F7826"/>
    <w:rsid w:val="005F7A9B"/>
    <w:rsid w:val="005F7AF1"/>
    <w:rsid w:val="005F7F31"/>
    <w:rsid w:val="00600007"/>
    <w:rsid w:val="006001EE"/>
    <w:rsid w:val="006002A6"/>
    <w:rsid w:val="00600494"/>
    <w:rsid w:val="0060080A"/>
    <w:rsid w:val="00600C3F"/>
    <w:rsid w:val="00600DA0"/>
    <w:rsid w:val="00600ED4"/>
    <w:rsid w:val="00601236"/>
    <w:rsid w:val="006013FC"/>
    <w:rsid w:val="00601A8A"/>
    <w:rsid w:val="00601C45"/>
    <w:rsid w:val="00601CB8"/>
    <w:rsid w:val="00601DBF"/>
    <w:rsid w:val="00601DED"/>
    <w:rsid w:val="0060206E"/>
    <w:rsid w:val="006022F0"/>
    <w:rsid w:val="006024C5"/>
    <w:rsid w:val="00602631"/>
    <w:rsid w:val="0060274B"/>
    <w:rsid w:val="006028BD"/>
    <w:rsid w:val="0060296B"/>
    <w:rsid w:val="00602F4A"/>
    <w:rsid w:val="006030CA"/>
    <w:rsid w:val="00603395"/>
    <w:rsid w:val="00603549"/>
    <w:rsid w:val="006036E3"/>
    <w:rsid w:val="00603AD1"/>
    <w:rsid w:val="00603B8C"/>
    <w:rsid w:val="00603BA5"/>
    <w:rsid w:val="00603F06"/>
    <w:rsid w:val="006041AD"/>
    <w:rsid w:val="006046BD"/>
    <w:rsid w:val="006046DC"/>
    <w:rsid w:val="00604BBD"/>
    <w:rsid w:val="00604E60"/>
    <w:rsid w:val="00604F66"/>
    <w:rsid w:val="00605290"/>
    <w:rsid w:val="006054A0"/>
    <w:rsid w:val="006056C0"/>
    <w:rsid w:val="00605744"/>
    <w:rsid w:val="00605908"/>
    <w:rsid w:val="006059A9"/>
    <w:rsid w:val="00605C80"/>
    <w:rsid w:val="00605D53"/>
    <w:rsid w:val="00605F0F"/>
    <w:rsid w:val="00605F45"/>
    <w:rsid w:val="0060679A"/>
    <w:rsid w:val="00606804"/>
    <w:rsid w:val="00606811"/>
    <w:rsid w:val="00606B4C"/>
    <w:rsid w:val="00606B93"/>
    <w:rsid w:val="00606CA9"/>
    <w:rsid w:val="00606CBA"/>
    <w:rsid w:val="0060774F"/>
    <w:rsid w:val="00607850"/>
    <w:rsid w:val="00607A10"/>
    <w:rsid w:val="00607AAC"/>
    <w:rsid w:val="00607C1E"/>
    <w:rsid w:val="00607EF7"/>
    <w:rsid w:val="00610094"/>
    <w:rsid w:val="00610283"/>
    <w:rsid w:val="006103F1"/>
    <w:rsid w:val="00610515"/>
    <w:rsid w:val="00610878"/>
    <w:rsid w:val="00610986"/>
    <w:rsid w:val="00610A4F"/>
    <w:rsid w:val="00610AB6"/>
    <w:rsid w:val="00610D7C"/>
    <w:rsid w:val="00610E0F"/>
    <w:rsid w:val="00611079"/>
    <w:rsid w:val="006111A7"/>
    <w:rsid w:val="006113E5"/>
    <w:rsid w:val="006116A1"/>
    <w:rsid w:val="006116BC"/>
    <w:rsid w:val="006117DF"/>
    <w:rsid w:val="0061184A"/>
    <w:rsid w:val="006119F2"/>
    <w:rsid w:val="00611B1B"/>
    <w:rsid w:val="00611DC4"/>
    <w:rsid w:val="006124A8"/>
    <w:rsid w:val="00612571"/>
    <w:rsid w:val="00612623"/>
    <w:rsid w:val="00612919"/>
    <w:rsid w:val="00612DA7"/>
    <w:rsid w:val="0061316E"/>
    <w:rsid w:val="00613414"/>
    <w:rsid w:val="0061368C"/>
    <w:rsid w:val="00613DA0"/>
    <w:rsid w:val="00614062"/>
    <w:rsid w:val="006142ED"/>
    <w:rsid w:val="006144C7"/>
    <w:rsid w:val="00614501"/>
    <w:rsid w:val="0061462B"/>
    <w:rsid w:val="006146AA"/>
    <w:rsid w:val="00614706"/>
    <w:rsid w:val="006147CF"/>
    <w:rsid w:val="006147D2"/>
    <w:rsid w:val="00614892"/>
    <w:rsid w:val="00614B3C"/>
    <w:rsid w:val="00614C8A"/>
    <w:rsid w:val="00614FA8"/>
    <w:rsid w:val="00614FB6"/>
    <w:rsid w:val="00615049"/>
    <w:rsid w:val="00615088"/>
    <w:rsid w:val="00615559"/>
    <w:rsid w:val="00615908"/>
    <w:rsid w:val="00615B34"/>
    <w:rsid w:val="00615DFD"/>
    <w:rsid w:val="00615FFC"/>
    <w:rsid w:val="0061618C"/>
    <w:rsid w:val="0061625B"/>
    <w:rsid w:val="0061649F"/>
    <w:rsid w:val="00616583"/>
    <w:rsid w:val="0061694E"/>
    <w:rsid w:val="006169A9"/>
    <w:rsid w:val="00616C57"/>
    <w:rsid w:val="00616D3A"/>
    <w:rsid w:val="00616D8C"/>
    <w:rsid w:val="00616E8D"/>
    <w:rsid w:val="00616F6E"/>
    <w:rsid w:val="006172FC"/>
    <w:rsid w:val="0061746B"/>
    <w:rsid w:val="006176E6"/>
    <w:rsid w:val="00617818"/>
    <w:rsid w:val="00617A85"/>
    <w:rsid w:val="00617E99"/>
    <w:rsid w:val="00620154"/>
    <w:rsid w:val="00620267"/>
    <w:rsid w:val="0062066F"/>
    <w:rsid w:val="006207D4"/>
    <w:rsid w:val="00620861"/>
    <w:rsid w:val="00620874"/>
    <w:rsid w:val="006208C1"/>
    <w:rsid w:val="00620DE3"/>
    <w:rsid w:val="006210F9"/>
    <w:rsid w:val="006214A1"/>
    <w:rsid w:val="00621526"/>
    <w:rsid w:val="006216C9"/>
    <w:rsid w:val="0062171C"/>
    <w:rsid w:val="00621956"/>
    <w:rsid w:val="00621C7A"/>
    <w:rsid w:val="00621C9E"/>
    <w:rsid w:val="00621CD8"/>
    <w:rsid w:val="00621EDD"/>
    <w:rsid w:val="0062269D"/>
    <w:rsid w:val="00622D67"/>
    <w:rsid w:val="00623A21"/>
    <w:rsid w:val="00623DDF"/>
    <w:rsid w:val="00623E3F"/>
    <w:rsid w:val="0062408D"/>
    <w:rsid w:val="006240CC"/>
    <w:rsid w:val="006243AB"/>
    <w:rsid w:val="0062473C"/>
    <w:rsid w:val="00624940"/>
    <w:rsid w:val="006249E7"/>
    <w:rsid w:val="00624BAA"/>
    <w:rsid w:val="00624C06"/>
    <w:rsid w:val="00624C35"/>
    <w:rsid w:val="00624CD3"/>
    <w:rsid w:val="00624F2A"/>
    <w:rsid w:val="006254F8"/>
    <w:rsid w:val="006255D0"/>
    <w:rsid w:val="00625819"/>
    <w:rsid w:val="00625B41"/>
    <w:rsid w:val="0062696A"/>
    <w:rsid w:val="00626A43"/>
    <w:rsid w:val="00626C8B"/>
    <w:rsid w:val="00626ED4"/>
    <w:rsid w:val="00627006"/>
    <w:rsid w:val="006273FA"/>
    <w:rsid w:val="00627404"/>
    <w:rsid w:val="00627698"/>
    <w:rsid w:val="00627777"/>
    <w:rsid w:val="0062789C"/>
    <w:rsid w:val="00627DA7"/>
    <w:rsid w:val="00627EDF"/>
    <w:rsid w:val="006302F9"/>
    <w:rsid w:val="006304C5"/>
    <w:rsid w:val="006309A6"/>
    <w:rsid w:val="00630BEE"/>
    <w:rsid w:val="00630DA4"/>
    <w:rsid w:val="00630F92"/>
    <w:rsid w:val="00631157"/>
    <w:rsid w:val="006311D3"/>
    <w:rsid w:val="006315B9"/>
    <w:rsid w:val="00631CD4"/>
    <w:rsid w:val="00631FD5"/>
    <w:rsid w:val="00632087"/>
    <w:rsid w:val="00632342"/>
    <w:rsid w:val="006323FA"/>
    <w:rsid w:val="006324B6"/>
    <w:rsid w:val="00632574"/>
    <w:rsid w:val="00632597"/>
    <w:rsid w:val="006328AD"/>
    <w:rsid w:val="00632AF9"/>
    <w:rsid w:val="00632C3F"/>
    <w:rsid w:val="00632F85"/>
    <w:rsid w:val="00633328"/>
    <w:rsid w:val="0063396E"/>
    <w:rsid w:val="00633B68"/>
    <w:rsid w:val="00633BFD"/>
    <w:rsid w:val="00633CFE"/>
    <w:rsid w:val="00633DEC"/>
    <w:rsid w:val="00634156"/>
    <w:rsid w:val="006346E4"/>
    <w:rsid w:val="006346FD"/>
    <w:rsid w:val="0063473E"/>
    <w:rsid w:val="00634A45"/>
    <w:rsid w:val="00634B30"/>
    <w:rsid w:val="00634D13"/>
    <w:rsid w:val="00635037"/>
    <w:rsid w:val="0063519C"/>
    <w:rsid w:val="006352FE"/>
    <w:rsid w:val="00635314"/>
    <w:rsid w:val="00635345"/>
    <w:rsid w:val="00635535"/>
    <w:rsid w:val="00635603"/>
    <w:rsid w:val="006358B4"/>
    <w:rsid w:val="006359D3"/>
    <w:rsid w:val="00635E81"/>
    <w:rsid w:val="00635EB4"/>
    <w:rsid w:val="0063618C"/>
    <w:rsid w:val="006361CD"/>
    <w:rsid w:val="00636374"/>
    <w:rsid w:val="006363DF"/>
    <w:rsid w:val="00636740"/>
    <w:rsid w:val="006368B4"/>
    <w:rsid w:val="00636B4A"/>
    <w:rsid w:val="00636DBB"/>
    <w:rsid w:val="00636DC1"/>
    <w:rsid w:val="00636E09"/>
    <w:rsid w:val="00636F7E"/>
    <w:rsid w:val="006370F8"/>
    <w:rsid w:val="00637588"/>
    <w:rsid w:val="006376AB"/>
    <w:rsid w:val="00637778"/>
    <w:rsid w:val="00637A34"/>
    <w:rsid w:val="00637A61"/>
    <w:rsid w:val="00637C74"/>
    <w:rsid w:val="00637E0F"/>
    <w:rsid w:val="00637E9F"/>
    <w:rsid w:val="006406E5"/>
    <w:rsid w:val="00640704"/>
    <w:rsid w:val="0064070B"/>
    <w:rsid w:val="00640794"/>
    <w:rsid w:val="006407E2"/>
    <w:rsid w:val="00640838"/>
    <w:rsid w:val="006408AB"/>
    <w:rsid w:val="00640BDF"/>
    <w:rsid w:val="00640C8E"/>
    <w:rsid w:val="006410A5"/>
    <w:rsid w:val="00641724"/>
    <w:rsid w:val="00641725"/>
    <w:rsid w:val="006419AA"/>
    <w:rsid w:val="00641A53"/>
    <w:rsid w:val="00641B94"/>
    <w:rsid w:val="00642113"/>
    <w:rsid w:val="00642430"/>
    <w:rsid w:val="0064251C"/>
    <w:rsid w:val="006425BE"/>
    <w:rsid w:val="0064265C"/>
    <w:rsid w:val="00642AAB"/>
    <w:rsid w:val="00642C68"/>
    <w:rsid w:val="00642CAA"/>
    <w:rsid w:val="00642D5C"/>
    <w:rsid w:val="00642E58"/>
    <w:rsid w:val="00642F07"/>
    <w:rsid w:val="006431A0"/>
    <w:rsid w:val="00643587"/>
    <w:rsid w:val="006436AD"/>
    <w:rsid w:val="006437B3"/>
    <w:rsid w:val="00643B89"/>
    <w:rsid w:val="00643C6F"/>
    <w:rsid w:val="00643C70"/>
    <w:rsid w:val="0064401D"/>
    <w:rsid w:val="006441CD"/>
    <w:rsid w:val="0064421A"/>
    <w:rsid w:val="006442EC"/>
    <w:rsid w:val="0064493B"/>
    <w:rsid w:val="00644B1F"/>
    <w:rsid w:val="00644B7E"/>
    <w:rsid w:val="00644CAD"/>
    <w:rsid w:val="00644CC8"/>
    <w:rsid w:val="00644D4C"/>
    <w:rsid w:val="00644F9B"/>
    <w:rsid w:val="0064535C"/>
    <w:rsid w:val="006454E6"/>
    <w:rsid w:val="00645861"/>
    <w:rsid w:val="00645B1C"/>
    <w:rsid w:val="00645DFA"/>
    <w:rsid w:val="00645F12"/>
    <w:rsid w:val="00646235"/>
    <w:rsid w:val="00646527"/>
    <w:rsid w:val="00646649"/>
    <w:rsid w:val="00646A68"/>
    <w:rsid w:val="00646C35"/>
    <w:rsid w:val="00646C70"/>
    <w:rsid w:val="00646F25"/>
    <w:rsid w:val="00646F45"/>
    <w:rsid w:val="006470F1"/>
    <w:rsid w:val="006474F5"/>
    <w:rsid w:val="00647607"/>
    <w:rsid w:val="00647B04"/>
    <w:rsid w:val="00647B42"/>
    <w:rsid w:val="00647E06"/>
    <w:rsid w:val="006500B3"/>
    <w:rsid w:val="006505BD"/>
    <w:rsid w:val="0065086B"/>
    <w:rsid w:val="006508EA"/>
    <w:rsid w:val="0065092E"/>
    <w:rsid w:val="00650BCB"/>
    <w:rsid w:val="00650E5A"/>
    <w:rsid w:val="00650FEB"/>
    <w:rsid w:val="00651329"/>
    <w:rsid w:val="0065143D"/>
    <w:rsid w:val="006515A6"/>
    <w:rsid w:val="00651737"/>
    <w:rsid w:val="006518CD"/>
    <w:rsid w:val="0065198F"/>
    <w:rsid w:val="00651AEC"/>
    <w:rsid w:val="00651BD7"/>
    <w:rsid w:val="00651F25"/>
    <w:rsid w:val="006520BC"/>
    <w:rsid w:val="0065263B"/>
    <w:rsid w:val="00652652"/>
    <w:rsid w:val="00652B84"/>
    <w:rsid w:val="00652C47"/>
    <w:rsid w:val="00652FF0"/>
    <w:rsid w:val="00652FF9"/>
    <w:rsid w:val="0065318B"/>
    <w:rsid w:val="00653494"/>
    <w:rsid w:val="0065374A"/>
    <w:rsid w:val="00653893"/>
    <w:rsid w:val="00653B36"/>
    <w:rsid w:val="00653CDA"/>
    <w:rsid w:val="00653D53"/>
    <w:rsid w:val="00653DEF"/>
    <w:rsid w:val="00654088"/>
    <w:rsid w:val="006541CB"/>
    <w:rsid w:val="00654585"/>
    <w:rsid w:val="00654603"/>
    <w:rsid w:val="0065465F"/>
    <w:rsid w:val="006548D4"/>
    <w:rsid w:val="00654A17"/>
    <w:rsid w:val="00654CE3"/>
    <w:rsid w:val="006551D2"/>
    <w:rsid w:val="00655251"/>
    <w:rsid w:val="006553D3"/>
    <w:rsid w:val="006557A7"/>
    <w:rsid w:val="006557C8"/>
    <w:rsid w:val="006557E0"/>
    <w:rsid w:val="006557EF"/>
    <w:rsid w:val="006559C8"/>
    <w:rsid w:val="00655AFF"/>
    <w:rsid w:val="00655D72"/>
    <w:rsid w:val="00655F0C"/>
    <w:rsid w:val="00655F86"/>
    <w:rsid w:val="006561FE"/>
    <w:rsid w:val="00656290"/>
    <w:rsid w:val="006564B7"/>
    <w:rsid w:val="0065660E"/>
    <w:rsid w:val="0065661A"/>
    <w:rsid w:val="006567FC"/>
    <w:rsid w:val="00656DE5"/>
    <w:rsid w:val="00656FA4"/>
    <w:rsid w:val="00657060"/>
    <w:rsid w:val="006572C2"/>
    <w:rsid w:val="0065733E"/>
    <w:rsid w:val="00657423"/>
    <w:rsid w:val="0065748B"/>
    <w:rsid w:val="0065789F"/>
    <w:rsid w:val="00657A41"/>
    <w:rsid w:val="00657BF8"/>
    <w:rsid w:val="00657EAA"/>
    <w:rsid w:val="00660068"/>
    <w:rsid w:val="006601C9"/>
    <w:rsid w:val="006604E8"/>
    <w:rsid w:val="0066085D"/>
    <w:rsid w:val="006608D8"/>
    <w:rsid w:val="0066091A"/>
    <w:rsid w:val="00660931"/>
    <w:rsid w:val="00660E06"/>
    <w:rsid w:val="00660EED"/>
    <w:rsid w:val="00661126"/>
    <w:rsid w:val="006611C0"/>
    <w:rsid w:val="00661250"/>
    <w:rsid w:val="006613FD"/>
    <w:rsid w:val="00661426"/>
    <w:rsid w:val="00661796"/>
    <w:rsid w:val="00661A5A"/>
    <w:rsid w:val="00661A9E"/>
    <w:rsid w:val="00661AB7"/>
    <w:rsid w:val="00661AC0"/>
    <w:rsid w:val="00661C41"/>
    <w:rsid w:val="00661C8D"/>
    <w:rsid w:val="00661EA6"/>
    <w:rsid w:val="00661EAA"/>
    <w:rsid w:val="00661FCC"/>
    <w:rsid w:val="006621D7"/>
    <w:rsid w:val="006622A6"/>
    <w:rsid w:val="00662436"/>
    <w:rsid w:val="006629EE"/>
    <w:rsid w:val="00662B8D"/>
    <w:rsid w:val="00662CE1"/>
    <w:rsid w:val="00662DCD"/>
    <w:rsid w:val="00662EFA"/>
    <w:rsid w:val="0066302A"/>
    <w:rsid w:val="00663216"/>
    <w:rsid w:val="0066326D"/>
    <w:rsid w:val="00663296"/>
    <w:rsid w:val="0066347C"/>
    <w:rsid w:val="00663592"/>
    <w:rsid w:val="00663821"/>
    <w:rsid w:val="00663C6D"/>
    <w:rsid w:val="00663CAE"/>
    <w:rsid w:val="00663DE7"/>
    <w:rsid w:val="00663E66"/>
    <w:rsid w:val="00663FE4"/>
    <w:rsid w:val="006640C9"/>
    <w:rsid w:val="006643B6"/>
    <w:rsid w:val="00664524"/>
    <w:rsid w:val="00664736"/>
    <w:rsid w:val="0066485F"/>
    <w:rsid w:val="0066563F"/>
    <w:rsid w:val="0066567A"/>
    <w:rsid w:val="00665A9A"/>
    <w:rsid w:val="00665B34"/>
    <w:rsid w:val="00665C83"/>
    <w:rsid w:val="00665EA4"/>
    <w:rsid w:val="00666234"/>
    <w:rsid w:val="00666440"/>
    <w:rsid w:val="0066657A"/>
    <w:rsid w:val="00666A32"/>
    <w:rsid w:val="00666B2D"/>
    <w:rsid w:val="00666BCC"/>
    <w:rsid w:val="00666BFD"/>
    <w:rsid w:val="00666D2D"/>
    <w:rsid w:val="00667660"/>
    <w:rsid w:val="006676CE"/>
    <w:rsid w:val="00667770"/>
    <w:rsid w:val="006678C2"/>
    <w:rsid w:val="00667B66"/>
    <w:rsid w:val="00667CB1"/>
    <w:rsid w:val="0067005F"/>
    <w:rsid w:val="006702EC"/>
    <w:rsid w:val="0067037F"/>
    <w:rsid w:val="00670597"/>
    <w:rsid w:val="006706D0"/>
    <w:rsid w:val="00670915"/>
    <w:rsid w:val="00670A79"/>
    <w:rsid w:val="00670FB0"/>
    <w:rsid w:val="006712F8"/>
    <w:rsid w:val="00671512"/>
    <w:rsid w:val="0067179E"/>
    <w:rsid w:val="0067258C"/>
    <w:rsid w:val="006725D0"/>
    <w:rsid w:val="00672640"/>
    <w:rsid w:val="006727C5"/>
    <w:rsid w:val="00672814"/>
    <w:rsid w:val="006728A6"/>
    <w:rsid w:val="00672BCF"/>
    <w:rsid w:val="00672E12"/>
    <w:rsid w:val="00672ED8"/>
    <w:rsid w:val="006736B7"/>
    <w:rsid w:val="006736D3"/>
    <w:rsid w:val="00673A40"/>
    <w:rsid w:val="0067401A"/>
    <w:rsid w:val="006740ED"/>
    <w:rsid w:val="00674665"/>
    <w:rsid w:val="006747B4"/>
    <w:rsid w:val="00674A86"/>
    <w:rsid w:val="00674C4B"/>
    <w:rsid w:val="006755B3"/>
    <w:rsid w:val="006756DB"/>
    <w:rsid w:val="00675978"/>
    <w:rsid w:val="006759E6"/>
    <w:rsid w:val="00675BE9"/>
    <w:rsid w:val="0067659F"/>
    <w:rsid w:val="00676644"/>
    <w:rsid w:val="00676655"/>
    <w:rsid w:val="00676860"/>
    <w:rsid w:val="00676ADE"/>
    <w:rsid w:val="00676C33"/>
    <w:rsid w:val="00676CD2"/>
    <w:rsid w:val="00677157"/>
    <w:rsid w:val="00677574"/>
    <w:rsid w:val="00677A4E"/>
    <w:rsid w:val="00677CF6"/>
    <w:rsid w:val="00677E1E"/>
    <w:rsid w:val="00680198"/>
    <w:rsid w:val="006802A1"/>
    <w:rsid w:val="006802F8"/>
    <w:rsid w:val="006803D2"/>
    <w:rsid w:val="00680603"/>
    <w:rsid w:val="00680C09"/>
    <w:rsid w:val="00680D9A"/>
    <w:rsid w:val="0068126D"/>
    <w:rsid w:val="006812ED"/>
    <w:rsid w:val="00681333"/>
    <w:rsid w:val="00681567"/>
    <w:rsid w:val="00681735"/>
    <w:rsid w:val="00681757"/>
    <w:rsid w:val="00681B93"/>
    <w:rsid w:val="0068208B"/>
    <w:rsid w:val="006820C2"/>
    <w:rsid w:val="006820DE"/>
    <w:rsid w:val="00682365"/>
    <w:rsid w:val="00682661"/>
    <w:rsid w:val="00682850"/>
    <w:rsid w:val="006828D1"/>
    <w:rsid w:val="0068298D"/>
    <w:rsid w:val="00682A4D"/>
    <w:rsid w:val="00683170"/>
    <w:rsid w:val="006831DD"/>
    <w:rsid w:val="006832EE"/>
    <w:rsid w:val="00683878"/>
    <w:rsid w:val="00683A61"/>
    <w:rsid w:val="00683B96"/>
    <w:rsid w:val="00683E38"/>
    <w:rsid w:val="0068401A"/>
    <w:rsid w:val="00684380"/>
    <w:rsid w:val="0068454C"/>
    <w:rsid w:val="00684591"/>
    <w:rsid w:val="00684BC3"/>
    <w:rsid w:val="00684C8C"/>
    <w:rsid w:val="00684CDF"/>
    <w:rsid w:val="00684EFA"/>
    <w:rsid w:val="006855A5"/>
    <w:rsid w:val="006856F7"/>
    <w:rsid w:val="00685B35"/>
    <w:rsid w:val="00685CEE"/>
    <w:rsid w:val="00685D07"/>
    <w:rsid w:val="00685DFE"/>
    <w:rsid w:val="00685F70"/>
    <w:rsid w:val="0068601C"/>
    <w:rsid w:val="00686608"/>
    <w:rsid w:val="006867C6"/>
    <w:rsid w:val="006872AB"/>
    <w:rsid w:val="00687432"/>
    <w:rsid w:val="00687476"/>
    <w:rsid w:val="00687562"/>
    <w:rsid w:val="00687921"/>
    <w:rsid w:val="00687AEE"/>
    <w:rsid w:val="00687BBE"/>
    <w:rsid w:val="00690441"/>
    <w:rsid w:val="00690446"/>
    <w:rsid w:val="006905F8"/>
    <w:rsid w:val="00690947"/>
    <w:rsid w:val="00690AA3"/>
    <w:rsid w:val="00690BF4"/>
    <w:rsid w:val="00690D26"/>
    <w:rsid w:val="00690F24"/>
    <w:rsid w:val="006911AC"/>
    <w:rsid w:val="0069185C"/>
    <w:rsid w:val="0069187E"/>
    <w:rsid w:val="006918C8"/>
    <w:rsid w:val="00691B62"/>
    <w:rsid w:val="00691EF1"/>
    <w:rsid w:val="00691FCE"/>
    <w:rsid w:val="006922EC"/>
    <w:rsid w:val="0069264E"/>
    <w:rsid w:val="0069277E"/>
    <w:rsid w:val="00692A73"/>
    <w:rsid w:val="00692DC7"/>
    <w:rsid w:val="00693090"/>
    <w:rsid w:val="006933B5"/>
    <w:rsid w:val="0069355C"/>
    <w:rsid w:val="006937CD"/>
    <w:rsid w:val="00693C4D"/>
    <w:rsid w:val="00693D14"/>
    <w:rsid w:val="00694384"/>
    <w:rsid w:val="006946CE"/>
    <w:rsid w:val="006948F6"/>
    <w:rsid w:val="006949FF"/>
    <w:rsid w:val="006952D5"/>
    <w:rsid w:val="0069540E"/>
    <w:rsid w:val="006954B5"/>
    <w:rsid w:val="006954FD"/>
    <w:rsid w:val="00695717"/>
    <w:rsid w:val="00695740"/>
    <w:rsid w:val="00695B04"/>
    <w:rsid w:val="00695D13"/>
    <w:rsid w:val="00695D14"/>
    <w:rsid w:val="00695D58"/>
    <w:rsid w:val="00695D98"/>
    <w:rsid w:val="00696184"/>
    <w:rsid w:val="00696885"/>
    <w:rsid w:val="00696AE1"/>
    <w:rsid w:val="00696AE5"/>
    <w:rsid w:val="00696C2D"/>
    <w:rsid w:val="00696CFD"/>
    <w:rsid w:val="00696F27"/>
    <w:rsid w:val="00697369"/>
    <w:rsid w:val="0069766F"/>
    <w:rsid w:val="006979E1"/>
    <w:rsid w:val="006979F4"/>
    <w:rsid w:val="00697CBC"/>
    <w:rsid w:val="00697CF6"/>
    <w:rsid w:val="00697F7C"/>
    <w:rsid w:val="006A015D"/>
    <w:rsid w:val="006A020C"/>
    <w:rsid w:val="006A062B"/>
    <w:rsid w:val="006A0A90"/>
    <w:rsid w:val="006A0D68"/>
    <w:rsid w:val="006A0EAE"/>
    <w:rsid w:val="006A1198"/>
    <w:rsid w:val="006A11F8"/>
    <w:rsid w:val="006A129B"/>
    <w:rsid w:val="006A1368"/>
    <w:rsid w:val="006A13D9"/>
    <w:rsid w:val="006A1665"/>
    <w:rsid w:val="006A16B4"/>
    <w:rsid w:val="006A172E"/>
    <w:rsid w:val="006A18C2"/>
    <w:rsid w:val="006A1A53"/>
    <w:rsid w:val="006A1AAC"/>
    <w:rsid w:val="006A1C70"/>
    <w:rsid w:val="006A1D9B"/>
    <w:rsid w:val="006A27C4"/>
    <w:rsid w:val="006A291A"/>
    <w:rsid w:val="006A29BA"/>
    <w:rsid w:val="006A3383"/>
    <w:rsid w:val="006A3431"/>
    <w:rsid w:val="006A37A6"/>
    <w:rsid w:val="006A38C0"/>
    <w:rsid w:val="006A39E9"/>
    <w:rsid w:val="006A3B03"/>
    <w:rsid w:val="006A3C09"/>
    <w:rsid w:val="006A3C96"/>
    <w:rsid w:val="006A3D20"/>
    <w:rsid w:val="006A3F60"/>
    <w:rsid w:val="006A4101"/>
    <w:rsid w:val="006A418D"/>
    <w:rsid w:val="006A428E"/>
    <w:rsid w:val="006A45AA"/>
    <w:rsid w:val="006A4667"/>
    <w:rsid w:val="006A4BC1"/>
    <w:rsid w:val="006A4F03"/>
    <w:rsid w:val="006A4FF9"/>
    <w:rsid w:val="006A5424"/>
    <w:rsid w:val="006A593A"/>
    <w:rsid w:val="006A59A3"/>
    <w:rsid w:val="006A5ACF"/>
    <w:rsid w:val="006A5C6F"/>
    <w:rsid w:val="006A5CE2"/>
    <w:rsid w:val="006A5D42"/>
    <w:rsid w:val="006A6297"/>
    <w:rsid w:val="006A63FE"/>
    <w:rsid w:val="006A6417"/>
    <w:rsid w:val="006A6B1C"/>
    <w:rsid w:val="006A6BD9"/>
    <w:rsid w:val="006A6F71"/>
    <w:rsid w:val="006A70C2"/>
    <w:rsid w:val="006A731A"/>
    <w:rsid w:val="006A73AD"/>
    <w:rsid w:val="006A7535"/>
    <w:rsid w:val="006A78C8"/>
    <w:rsid w:val="006A7A21"/>
    <w:rsid w:val="006A7B86"/>
    <w:rsid w:val="006A7BA3"/>
    <w:rsid w:val="006A7BC2"/>
    <w:rsid w:val="006A7FA6"/>
    <w:rsid w:val="006A7FD5"/>
    <w:rsid w:val="006B005B"/>
    <w:rsid w:val="006B077C"/>
    <w:rsid w:val="006B0793"/>
    <w:rsid w:val="006B0A22"/>
    <w:rsid w:val="006B10B0"/>
    <w:rsid w:val="006B1152"/>
    <w:rsid w:val="006B13F7"/>
    <w:rsid w:val="006B165C"/>
    <w:rsid w:val="006B18AF"/>
    <w:rsid w:val="006B1950"/>
    <w:rsid w:val="006B1FA1"/>
    <w:rsid w:val="006B20DD"/>
    <w:rsid w:val="006B242D"/>
    <w:rsid w:val="006B2815"/>
    <w:rsid w:val="006B28FD"/>
    <w:rsid w:val="006B2A8F"/>
    <w:rsid w:val="006B2DF3"/>
    <w:rsid w:val="006B30D4"/>
    <w:rsid w:val="006B3107"/>
    <w:rsid w:val="006B310B"/>
    <w:rsid w:val="006B31FB"/>
    <w:rsid w:val="006B32B0"/>
    <w:rsid w:val="006B3449"/>
    <w:rsid w:val="006B3EB4"/>
    <w:rsid w:val="006B41DB"/>
    <w:rsid w:val="006B41F6"/>
    <w:rsid w:val="006B42FC"/>
    <w:rsid w:val="006B43F3"/>
    <w:rsid w:val="006B477B"/>
    <w:rsid w:val="006B49E4"/>
    <w:rsid w:val="006B4DBF"/>
    <w:rsid w:val="006B524A"/>
    <w:rsid w:val="006B5714"/>
    <w:rsid w:val="006B5764"/>
    <w:rsid w:val="006B576D"/>
    <w:rsid w:val="006B598E"/>
    <w:rsid w:val="006B5C2F"/>
    <w:rsid w:val="006B5D47"/>
    <w:rsid w:val="006B5EF8"/>
    <w:rsid w:val="006B6126"/>
    <w:rsid w:val="006B6177"/>
    <w:rsid w:val="006B65CF"/>
    <w:rsid w:val="006B6618"/>
    <w:rsid w:val="006B6709"/>
    <w:rsid w:val="006B6803"/>
    <w:rsid w:val="006B680A"/>
    <w:rsid w:val="006B6FBE"/>
    <w:rsid w:val="006B70F6"/>
    <w:rsid w:val="006B7269"/>
    <w:rsid w:val="006B731F"/>
    <w:rsid w:val="006B7939"/>
    <w:rsid w:val="006C067C"/>
    <w:rsid w:val="006C0A72"/>
    <w:rsid w:val="006C0CE6"/>
    <w:rsid w:val="006C0E7D"/>
    <w:rsid w:val="006C0F61"/>
    <w:rsid w:val="006C14BB"/>
    <w:rsid w:val="006C18FF"/>
    <w:rsid w:val="006C1922"/>
    <w:rsid w:val="006C1C7E"/>
    <w:rsid w:val="006C1ED8"/>
    <w:rsid w:val="006C204B"/>
    <w:rsid w:val="006C2057"/>
    <w:rsid w:val="006C20F1"/>
    <w:rsid w:val="006C22CF"/>
    <w:rsid w:val="006C2355"/>
    <w:rsid w:val="006C23F7"/>
    <w:rsid w:val="006C251D"/>
    <w:rsid w:val="006C25A3"/>
    <w:rsid w:val="006C293B"/>
    <w:rsid w:val="006C29F3"/>
    <w:rsid w:val="006C2A52"/>
    <w:rsid w:val="006C2B43"/>
    <w:rsid w:val="006C2EF8"/>
    <w:rsid w:val="006C2F97"/>
    <w:rsid w:val="006C335A"/>
    <w:rsid w:val="006C33E9"/>
    <w:rsid w:val="006C35D6"/>
    <w:rsid w:val="006C367A"/>
    <w:rsid w:val="006C3786"/>
    <w:rsid w:val="006C37B0"/>
    <w:rsid w:val="006C3946"/>
    <w:rsid w:val="006C39B4"/>
    <w:rsid w:val="006C3D9A"/>
    <w:rsid w:val="006C4215"/>
    <w:rsid w:val="006C43C2"/>
    <w:rsid w:val="006C45CA"/>
    <w:rsid w:val="006C4A2F"/>
    <w:rsid w:val="006C4AEC"/>
    <w:rsid w:val="006C4B33"/>
    <w:rsid w:val="006C4B88"/>
    <w:rsid w:val="006C4E6E"/>
    <w:rsid w:val="006C4F6A"/>
    <w:rsid w:val="006C518E"/>
    <w:rsid w:val="006C5B02"/>
    <w:rsid w:val="006C5D80"/>
    <w:rsid w:val="006C609D"/>
    <w:rsid w:val="006C62D2"/>
    <w:rsid w:val="006C654B"/>
    <w:rsid w:val="006C65D3"/>
    <w:rsid w:val="006C66B1"/>
    <w:rsid w:val="006C6D3D"/>
    <w:rsid w:val="006C6DB4"/>
    <w:rsid w:val="006C6E31"/>
    <w:rsid w:val="006C72BE"/>
    <w:rsid w:val="006C740F"/>
    <w:rsid w:val="006C7855"/>
    <w:rsid w:val="006C79BD"/>
    <w:rsid w:val="006C79D9"/>
    <w:rsid w:val="006C7D41"/>
    <w:rsid w:val="006C7E00"/>
    <w:rsid w:val="006C7FB6"/>
    <w:rsid w:val="006D01C4"/>
    <w:rsid w:val="006D0534"/>
    <w:rsid w:val="006D0593"/>
    <w:rsid w:val="006D0756"/>
    <w:rsid w:val="006D086C"/>
    <w:rsid w:val="006D0900"/>
    <w:rsid w:val="006D0DEA"/>
    <w:rsid w:val="006D0F16"/>
    <w:rsid w:val="006D1480"/>
    <w:rsid w:val="006D14AB"/>
    <w:rsid w:val="006D153B"/>
    <w:rsid w:val="006D16BF"/>
    <w:rsid w:val="006D1752"/>
    <w:rsid w:val="006D179F"/>
    <w:rsid w:val="006D1922"/>
    <w:rsid w:val="006D1C69"/>
    <w:rsid w:val="006D1D6B"/>
    <w:rsid w:val="006D1ED4"/>
    <w:rsid w:val="006D230F"/>
    <w:rsid w:val="006D2463"/>
    <w:rsid w:val="006D2651"/>
    <w:rsid w:val="006D290D"/>
    <w:rsid w:val="006D2922"/>
    <w:rsid w:val="006D2A3F"/>
    <w:rsid w:val="006D2DFE"/>
    <w:rsid w:val="006D2FBC"/>
    <w:rsid w:val="006D307A"/>
    <w:rsid w:val="006D32B7"/>
    <w:rsid w:val="006D34A2"/>
    <w:rsid w:val="006D3831"/>
    <w:rsid w:val="006D3B0A"/>
    <w:rsid w:val="006D3E0E"/>
    <w:rsid w:val="006D3E32"/>
    <w:rsid w:val="006D3E87"/>
    <w:rsid w:val="006D422C"/>
    <w:rsid w:val="006D45CC"/>
    <w:rsid w:val="006D45E3"/>
    <w:rsid w:val="006D4600"/>
    <w:rsid w:val="006D48AB"/>
    <w:rsid w:val="006D48F1"/>
    <w:rsid w:val="006D4CD5"/>
    <w:rsid w:val="006D5131"/>
    <w:rsid w:val="006D5585"/>
    <w:rsid w:val="006D574D"/>
    <w:rsid w:val="006D5B4C"/>
    <w:rsid w:val="006D5E0E"/>
    <w:rsid w:val="006D5E0F"/>
    <w:rsid w:val="006D6049"/>
    <w:rsid w:val="006D649A"/>
    <w:rsid w:val="006D65DE"/>
    <w:rsid w:val="006D6623"/>
    <w:rsid w:val="006D670D"/>
    <w:rsid w:val="006D6741"/>
    <w:rsid w:val="006D6E34"/>
    <w:rsid w:val="006D70D0"/>
    <w:rsid w:val="006D7322"/>
    <w:rsid w:val="006D7395"/>
    <w:rsid w:val="006D754C"/>
    <w:rsid w:val="006D786C"/>
    <w:rsid w:val="006D7B2D"/>
    <w:rsid w:val="006D7C1B"/>
    <w:rsid w:val="006D7D60"/>
    <w:rsid w:val="006D7D98"/>
    <w:rsid w:val="006D7E3B"/>
    <w:rsid w:val="006E00DE"/>
    <w:rsid w:val="006E0217"/>
    <w:rsid w:val="006E08C5"/>
    <w:rsid w:val="006E091F"/>
    <w:rsid w:val="006E0A85"/>
    <w:rsid w:val="006E10F7"/>
    <w:rsid w:val="006E1285"/>
    <w:rsid w:val="006E138B"/>
    <w:rsid w:val="006E1867"/>
    <w:rsid w:val="006E1DC8"/>
    <w:rsid w:val="006E1EE9"/>
    <w:rsid w:val="006E2049"/>
    <w:rsid w:val="006E2055"/>
    <w:rsid w:val="006E208C"/>
    <w:rsid w:val="006E2328"/>
    <w:rsid w:val="006E23A7"/>
    <w:rsid w:val="006E25A7"/>
    <w:rsid w:val="006E25F4"/>
    <w:rsid w:val="006E278F"/>
    <w:rsid w:val="006E28FD"/>
    <w:rsid w:val="006E293F"/>
    <w:rsid w:val="006E2A23"/>
    <w:rsid w:val="006E2B00"/>
    <w:rsid w:val="006E2B0E"/>
    <w:rsid w:val="006E2E0E"/>
    <w:rsid w:val="006E31F4"/>
    <w:rsid w:val="006E31F6"/>
    <w:rsid w:val="006E3375"/>
    <w:rsid w:val="006E348B"/>
    <w:rsid w:val="006E3E26"/>
    <w:rsid w:val="006E406A"/>
    <w:rsid w:val="006E432B"/>
    <w:rsid w:val="006E47D1"/>
    <w:rsid w:val="006E4878"/>
    <w:rsid w:val="006E5093"/>
    <w:rsid w:val="006E53DD"/>
    <w:rsid w:val="006E5645"/>
    <w:rsid w:val="006E5B18"/>
    <w:rsid w:val="006E5EA9"/>
    <w:rsid w:val="006E62E6"/>
    <w:rsid w:val="006E663C"/>
    <w:rsid w:val="006E67DD"/>
    <w:rsid w:val="006E6A7C"/>
    <w:rsid w:val="006E6D04"/>
    <w:rsid w:val="006E6F14"/>
    <w:rsid w:val="006E731A"/>
    <w:rsid w:val="006E73A3"/>
    <w:rsid w:val="006E73BA"/>
    <w:rsid w:val="006E775C"/>
    <w:rsid w:val="006E79D7"/>
    <w:rsid w:val="006E7A8A"/>
    <w:rsid w:val="006E7C32"/>
    <w:rsid w:val="006F0330"/>
    <w:rsid w:val="006F05BF"/>
    <w:rsid w:val="006F0A56"/>
    <w:rsid w:val="006F0DC3"/>
    <w:rsid w:val="006F1016"/>
    <w:rsid w:val="006F1197"/>
    <w:rsid w:val="006F1290"/>
    <w:rsid w:val="006F1365"/>
    <w:rsid w:val="006F15CA"/>
    <w:rsid w:val="006F16A9"/>
    <w:rsid w:val="006F16D4"/>
    <w:rsid w:val="006F1923"/>
    <w:rsid w:val="006F1D30"/>
    <w:rsid w:val="006F1E6D"/>
    <w:rsid w:val="006F1F2A"/>
    <w:rsid w:val="006F1FDC"/>
    <w:rsid w:val="006F2141"/>
    <w:rsid w:val="006F2607"/>
    <w:rsid w:val="006F297D"/>
    <w:rsid w:val="006F29F4"/>
    <w:rsid w:val="006F2B61"/>
    <w:rsid w:val="006F30FC"/>
    <w:rsid w:val="006F311D"/>
    <w:rsid w:val="006F36D8"/>
    <w:rsid w:val="006F3C2D"/>
    <w:rsid w:val="006F3CD9"/>
    <w:rsid w:val="006F3DD4"/>
    <w:rsid w:val="006F3F8C"/>
    <w:rsid w:val="006F4010"/>
    <w:rsid w:val="006F40B7"/>
    <w:rsid w:val="006F422C"/>
    <w:rsid w:val="006F42D3"/>
    <w:rsid w:val="006F4647"/>
    <w:rsid w:val="006F4A98"/>
    <w:rsid w:val="006F4A9A"/>
    <w:rsid w:val="006F4AF3"/>
    <w:rsid w:val="006F4B97"/>
    <w:rsid w:val="006F522F"/>
    <w:rsid w:val="006F526B"/>
    <w:rsid w:val="006F567D"/>
    <w:rsid w:val="006F5740"/>
    <w:rsid w:val="006F5A06"/>
    <w:rsid w:val="006F5AB1"/>
    <w:rsid w:val="006F5C26"/>
    <w:rsid w:val="006F5D88"/>
    <w:rsid w:val="006F6237"/>
    <w:rsid w:val="006F623E"/>
    <w:rsid w:val="006F64B8"/>
    <w:rsid w:val="006F6538"/>
    <w:rsid w:val="006F68B5"/>
    <w:rsid w:val="006F6B8C"/>
    <w:rsid w:val="006F6CBB"/>
    <w:rsid w:val="006F6CD2"/>
    <w:rsid w:val="006F6CE2"/>
    <w:rsid w:val="006F6E89"/>
    <w:rsid w:val="006F70A5"/>
    <w:rsid w:val="006F7160"/>
    <w:rsid w:val="006F7259"/>
    <w:rsid w:val="006F7328"/>
    <w:rsid w:val="006F7552"/>
    <w:rsid w:val="006F75C7"/>
    <w:rsid w:val="006F76BE"/>
    <w:rsid w:val="006F77F0"/>
    <w:rsid w:val="006F79FC"/>
    <w:rsid w:val="006F7A6E"/>
    <w:rsid w:val="006F7A95"/>
    <w:rsid w:val="006F7AC1"/>
    <w:rsid w:val="006F7F46"/>
    <w:rsid w:val="0070007F"/>
    <w:rsid w:val="0070018A"/>
    <w:rsid w:val="007003D1"/>
    <w:rsid w:val="00700476"/>
    <w:rsid w:val="007007CA"/>
    <w:rsid w:val="00700AE5"/>
    <w:rsid w:val="00700C1A"/>
    <w:rsid w:val="00700C9F"/>
    <w:rsid w:val="00700D32"/>
    <w:rsid w:val="00701356"/>
    <w:rsid w:val="007013EF"/>
    <w:rsid w:val="00701483"/>
    <w:rsid w:val="007014BF"/>
    <w:rsid w:val="0070162B"/>
    <w:rsid w:val="0070179D"/>
    <w:rsid w:val="007017E9"/>
    <w:rsid w:val="00701844"/>
    <w:rsid w:val="0070197C"/>
    <w:rsid w:val="00701D56"/>
    <w:rsid w:val="0070204E"/>
    <w:rsid w:val="0070219B"/>
    <w:rsid w:val="0070262B"/>
    <w:rsid w:val="0070265D"/>
    <w:rsid w:val="0070284B"/>
    <w:rsid w:val="00702A6A"/>
    <w:rsid w:val="00702EAB"/>
    <w:rsid w:val="00702EDC"/>
    <w:rsid w:val="00702F77"/>
    <w:rsid w:val="00702FFE"/>
    <w:rsid w:val="00703157"/>
    <w:rsid w:val="007031B8"/>
    <w:rsid w:val="007031EC"/>
    <w:rsid w:val="00703268"/>
    <w:rsid w:val="007035E5"/>
    <w:rsid w:val="007035F5"/>
    <w:rsid w:val="00703626"/>
    <w:rsid w:val="00703812"/>
    <w:rsid w:val="00703C23"/>
    <w:rsid w:val="00704424"/>
    <w:rsid w:val="007049E8"/>
    <w:rsid w:val="00704A67"/>
    <w:rsid w:val="00704FA8"/>
    <w:rsid w:val="00704FB0"/>
    <w:rsid w:val="00705262"/>
    <w:rsid w:val="007055BD"/>
    <w:rsid w:val="007056D6"/>
    <w:rsid w:val="00705817"/>
    <w:rsid w:val="00705DFD"/>
    <w:rsid w:val="007061AC"/>
    <w:rsid w:val="0070640D"/>
    <w:rsid w:val="00706500"/>
    <w:rsid w:val="007065CD"/>
    <w:rsid w:val="00706BE9"/>
    <w:rsid w:val="00707251"/>
    <w:rsid w:val="00707495"/>
    <w:rsid w:val="007076CA"/>
    <w:rsid w:val="00707AA0"/>
    <w:rsid w:val="00707D53"/>
    <w:rsid w:val="00707F42"/>
    <w:rsid w:val="00710043"/>
    <w:rsid w:val="00710166"/>
    <w:rsid w:val="0071060D"/>
    <w:rsid w:val="007106F1"/>
    <w:rsid w:val="007109EB"/>
    <w:rsid w:val="00710AE8"/>
    <w:rsid w:val="007111C7"/>
    <w:rsid w:val="0071130F"/>
    <w:rsid w:val="00711F03"/>
    <w:rsid w:val="007120C8"/>
    <w:rsid w:val="007121B9"/>
    <w:rsid w:val="00712219"/>
    <w:rsid w:val="00712348"/>
    <w:rsid w:val="007123AA"/>
    <w:rsid w:val="0071252B"/>
    <w:rsid w:val="00712709"/>
    <w:rsid w:val="00712CAF"/>
    <w:rsid w:val="00712F26"/>
    <w:rsid w:val="00712FBD"/>
    <w:rsid w:val="007134AA"/>
    <w:rsid w:val="007136CD"/>
    <w:rsid w:val="00713EB7"/>
    <w:rsid w:val="00714276"/>
    <w:rsid w:val="0071449C"/>
    <w:rsid w:val="007146D2"/>
    <w:rsid w:val="00714B02"/>
    <w:rsid w:val="00714B34"/>
    <w:rsid w:val="00714E16"/>
    <w:rsid w:val="00714EC3"/>
    <w:rsid w:val="00714EEC"/>
    <w:rsid w:val="00714FDE"/>
    <w:rsid w:val="007151D9"/>
    <w:rsid w:val="00715A05"/>
    <w:rsid w:val="00715C6E"/>
    <w:rsid w:val="00715CB1"/>
    <w:rsid w:val="00715F90"/>
    <w:rsid w:val="0071603A"/>
    <w:rsid w:val="00716209"/>
    <w:rsid w:val="00716405"/>
    <w:rsid w:val="00716735"/>
    <w:rsid w:val="00716784"/>
    <w:rsid w:val="00716876"/>
    <w:rsid w:val="00716BCF"/>
    <w:rsid w:val="00716BD9"/>
    <w:rsid w:val="00716F34"/>
    <w:rsid w:val="00716F47"/>
    <w:rsid w:val="007172AA"/>
    <w:rsid w:val="0071731C"/>
    <w:rsid w:val="007173CA"/>
    <w:rsid w:val="0071740D"/>
    <w:rsid w:val="00717421"/>
    <w:rsid w:val="00717B17"/>
    <w:rsid w:val="00717E75"/>
    <w:rsid w:val="00717F01"/>
    <w:rsid w:val="007202D0"/>
    <w:rsid w:val="00720392"/>
    <w:rsid w:val="007203E7"/>
    <w:rsid w:val="0072041A"/>
    <w:rsid w:val="007204D2"/>
    <w:rsid w:val="0072058A"/>
    <w:rsid w:val="007207A2"/>
    <w:rsid w:val="00720824"/>
    <w:rsid w:val="0072097B"/>
    <w:rsid w:val="00720C51"/>
    <w:rsid w:val="00720D2D"/>
    <w:rsid w:val="00720DC5"/>
    <w:rsid w:val="00720E37"/>
    <w:rsid w:val="00720EA6"/>
    <w:rsid w:val="00720F99"/>
    <w:rsid w:val="007213D4"/>
    <w:rsid w:val="007213ED"/>
    <w:rsid w:val="007216AA"/>
    <w:rsid w:val="00721AB5"/>
    <w:rsid w:val="00721B17"/>
    <w:rsid w:val="00721CFB"/>
    <w:rsid w:val="00721DEF"/>
    <w:rsid w:val="0072220F"/>
    <w:rsid w:val="00722372"/>
    <w:rsid w:val="007229CD"/>
    <w:rsid w:val="00722B33"/>
    <w:rsid w:val="00722B36"/>
    <w:rsid w:val="00722E5A"/>
    <w:rsid w:val="00722F9B"/>
    <w:rsid w:val="0072311A"/>
    <w:rsid w:val="00723514"/>
    <w:rsid w:val="00723667"/>
    <w:rsid w:val="00723668"/>
    <w:rsid w:val="007238CA"/>
    <w:rsid w:val="00723A06"/>
    <w:rsid w:val="00723B3E"/>
    <w:rsid w:val="00723D3C"/>
    <w:rsid w:val="00723E77"/>
    <w:rsid w:val="00723E7D"/>
    <w:rsid w:val="00724391"/>
    <w:rsid w:val="00724848"/>
    <w:rsid w:val="00724A43"/>
    <w:rsid w:val="00724BD5"/>
    <w:rsid w:val="00724EA0"/>
    <w:rsid w:val="00724F4C"/>
    <w:rsid w:val="007252C5"/>
    <w:rsid w:val="007253BD"/>
    <w:rsid w:val="007254BF"/>
    <w:rsid w:val="007257E8"/>
    <w:rsid w:val="007262DF"/>
    <w:rsid w:val="007265E7"/>
    <w:rsid w:val="00726676"/>
    <w:rsid w:val="0072679C"/>
    <w:rsid w:val="00726983"/>
    <w:rsid w:val="00726E4E"/>
    <w:rsid w:val="00727341"/>
    <w:rsid w:val="007273AC"/>
    <w:rsid w:val="007277FC"/>
    <w:rsid w:val="00727854"/>
    <w:rsid w:val="00727A06"/>
    <w:rsid w:val="00727CF7"/>
    <w:rsid w:val="00730330"/>
    <w:rsid w:val="007307E4"/>
    <w:rsid w:val="00730BD5"/>
    <w:rsid w:val="00730D0A"/>
    <w:rsid w:val="00730E8F"/>
    <w:rsid w:val="00731349"/>
    <w:rsid w:val="00731475"/>
    <w:rsid w:val="00731697"/>
    <w:rsid w:val="007316D1"/>
    <w:rsid w:val="00731828"/>
    <w:rsid w:val="007318CD"/>
    <w:rsid w:val="0073198C"/>
    <w:rsid w:val="00731AD4"/>
    <w:rsid w:val="00731B47"/>
    <w:rsid w:val="00731DE7"/>
    <w:rsid w:val="00731DFB"/>
    <w:rsid w:val="00731E13"/>
    <w:rsid w:val="00731ECD"/>
    <w:rsid w:val="00732785"/>
    <w:rsid w:val="00732A6A"/>
    <w:rsid w:val="00732DE2"/>
    <w:rsid w:val="00732EAA"/>
    <w:rsid w:val="00733071"/>
    <w:rsid w:val="00733081"/>
    <w:rsid w:val="00733173"/>
    <w:rsid w:val="007331BA"/>
    <w:rsid w:val="00733AE0"/>
    <w:rsid w:val="00733BCA"/>
    <w:rsid w:val="007340C3"/>
    <w:rsid w:val="00734178"/>
    <w:rsid w:val="007341E0"/>
    <w:rsid w:val="00734320"/>
    <w:rsid w:val="007346E4"/>
    <w:rsid w:val="00734C82"/>
    <w:rsid w:val="00735564"/>
    <w:rsid w:val="00735752"/>
    <w:rsid w:val="00735855"/>
    <w:rsid w:val="00735998"/>
    <w:rsid w:val="00735A39"/>
    <w:rsid w:val="00735EF9"/>
    <w:rsid w:val="00735EFB"/>
    <w:rsid w:val="00736239"/>
    <w:rsid w:val="007362D4"/>
    <w:rsid w:val="0073630F"/>
    <w:rsid w:val="00736674"/>
    <w:rsid w:val="0073698F"/>
    <w:rsid w:val="007369E9"/>
    <w:rsid w:val="00737018"/>
    <w:rsid w:val="007373F5"/>
    <w:rsid w:val="007377A5"/>
    <w:rsid w:val="0073793A"/>
    <w:rsid w:val="00737997"/>
    <w:rsid w:val="00737B1C"/>
    <w:rsid w:val="00737D42"/>
    <w:rsid w:val="00737DC2"/>
    <w:rsid w:val="00737FCC"/>
    <w:rsid w:val="007400B8"/>
    <w:rsid w:val="00740331"/>
    <w:rsid w:val="007404CC"/>
    <w:rsid w:val="00740682"/>
    <w:rsid w:val="00740756"/>
    <w:rsid w:val="0074078B"/>
    <w:rsid w:val="007409F6"/>
    <w:rsid w:val="00740BBF"/>
    <w:rsid w:val="00740C1A"/>
    <w:rsid w:val="00740C5A"/>
    <w:rsid w:val="00740CB6"/>
    <w:rsid w:val="00740CE9"/>
    <w:rsid w:val="00740CEE"/>
    <w:rsid w:val="00740EA7"/>
    <w:rsid w:val="00740F05"/>
    <w:rsid w:val="00740F22"/>
    <w:rsid w:val="00740F60"/>
    <w:rsid w:val="00741059"/>
    <w:rsid w:val="0074118E"/>
    <w:rsid w:val="00741234"/>
    <w:rsid w:val="0074173F"/>
    <w:rsid w:val="00741762"/>
    <w:rsid w:val="0074176B"/>
    <w:rsid w:val="0074184A"/>
    <w:rsid w:val="00741904"/>
    <w:rsid w:val="00741BB6"/>
    <w:rsid w:val="00741C5A"/>
    <w:rsid w:val="00741CF0"/>
    <w:rsid w:val="00741F1A"/>
    <w:rsid w:val="0074278A"/>
    <w:rsid w:val="007427FA"/>
    <w:rsid w:val="0074280F"/>
    <w:rsid w:val="00742ADB"/>
    <w:rsid w:val="00742AE6"/>
    <w:rsid w:val="00742C0F"/>
    <w:rsid w:val="00742C12"/>
    <w:rsid w:val="00742E0C"/>
    <w:rsid w:val="00742E19"/>
    <w:rsid w:val="0074376B"/>
    <w:rsid w:val="007437A5"/>
    <w:rsid w:val="007439B1"/>
    <w:rsid w:val="00743C73"/>
    <w:rsid w:val="00743CB1"/>
    <w:rsid w:val="00743F9C"/>
    <w:rsid w:val="00743FFB"/>
    <w:rsid w:val="00744083"/>
    <w:rsid w:val="007440BC"/>
    <w:rsid w:val="007444CC"/>
    <w:rsid w:val="007447DA"/>
    <w:rsid w:val="00744D4C"/>
    <w:rsid w:val="00744F7E"/>
    <w:rsid w:val="007450F8"/>
    <w:rsid w:val="00745235"/>
    <w:rsid w:val="0074523E"/>
    <w:rsid w:val="007453E2"/>
    <w:rsid w:val="0074573F"/>
    <w:rsid w:val="0074581A"/>
    <w:rsid w:val="00745A16"/>
    <w:rsid w:val="00745A7D"/>
    <w:rsid w:val="00745D2B"/>
    <w:rsid w:val="007460E3"/>
    <w:rsid w:val="0074628D"/>
    <w:rsid w:val="00746371"/>
    <w:rsid w:val="007464DC"/>
    <w:rsid w:val="0074689E"/>
    <w:rsid w:val="0074696E"/>
    <w:rsid w:val="00746A79"/>
    <w:rsid w:val="00746FD0"/>
    <w:rsid w:val="007472FC"/>
    <w:rsid w:val="00747597"/>
    <w:rsid w:val="0074759C"/>
    <w:rsid w:val="007477FA"/>
    <w:rsid w:val="00747C12"/>
    <w:rsid w:val="00747C27"/>
    <w:rsid w:val="00750027"/>
    <w:rsid w:val="00750135"/>
    <w:rsid w:val="00750189"/>
    <w:rsid w:val="007504F2"/>
    <w:rsid w:val="007505F2"/>
    <w:rsid w:val="0075088A"/>
    <w:rsid w:val="007509CD"/>
    <w:rsid w:val="00750A23"/>
    <w:rsid w:val="00750D2D"/>
    <w:rsid w:val="00750DA6"/>
    <w:rsid w:val="00750EC2"/>
    <w:rsid w:val="00750F15"/>
    <w:rsid w:val="007519B9"/>
    <w:rsid w:val="00751BC4"/>
    <w:rsid w:val="00751C2F"/>
    <w:rsid w:val="00751CA4"/>
    <w:rsid w:val="00751CE4"/>
    <w:rsid w:val="00751D3B"/>
    <w:rsid w:val="0075209C"/>
    <w:rsid w:val="007520B8"/>
    <w:rsid w:val="007521B3"/>
    <w:rsid w:val="0075237A"/>
    <w:rsid w:val="007524BE"/>
    <w:rsid w:val="00752531"/>
    <w:rsid w:val="007525D5"/>
    <w:rsid w:val="007528AE"/>
    <w:rsid w:val="00752B28"/>
    <w:rsid w:val="00752DE4"/>
    <w:rsid w:val="00752F0A"/>
    <w:rsid w:val="007530CB"/>
    <w:rsid w:val="0075339B"/>
    <w:rsid w:val="00753487"/>
    <w:rsid w:val="00753593"/>
    <w:rsid w:val="007536BC"/>
    <w:rsid w:val="00753D17"/>
    <w:rsid w:val="0075406C"/>
    <w:rsid w:val="007541A9"/>
    <w:rsid w:val="00754735"/>
    <w:rsid w:val="00754BA9"/>
    <w:rsid w:val="00754E00"/>
    <w:rsid w:val="00754E36"/>
    <w:rsid w:val="00754E64"/>
    <w:rsid w:val="00754E86"/>
    <w:rsid w:val="00754F43"/>
    <w:rsid w:val="0075571E"/>
    <w:rsid w:val="0075595A"/>
    <w:rsid w:val="00755A8D"/>
    <w:rsid w:val="00755C50"/>
    <w:rsid w:val="00755CFD"/>
    <w:rsid w:val="00755D51"/>
    <w:rsid w:val="00756004"/>
    <w:rsid w:val="0075639C"/>
    <w:rsid w:val="00756631"/>
    <w:rsid w:val="00756F7E"/>
    <w:rsid w:val="0075711F"/>
    <w:rsid w:val="007571DB"/>
    <w:rsid w:val="007572DF"/>
    <w:rsid w:val="0075748A"/>
    <w:rsid w:val="00757554"/>
    <w:rsid w:val="00757A05"/>
    <w:rsid w:val="0076021E"/>
    <w:rsid w:val="00760262"/>
    <w:rsid w:val="007604CA"/>
    <w:rsid w:val="00760A17"/>
    <w:rsid w:val="00760DBA"/>
    <w:rsid w:val="00760F34"/>
    <w:rsid w:val="00760F54"/>
    <w:rsid w:val="007613A3"/>
    <w:rsid w:val="00761461"/>
    <w:rsid w:val="0076157F"/>
    <w:rsid w:val="007615EC"/>
    <w:rsid w:val="00761697"/>
    <w:rsid w:val="0076180E"/>
    <w:rsid w:val="007618D9"/>
    <w:rsid w:val="00761F3E"/>
    <w:rsid w:val="007622F0"/>
    <w:rsid w:val="0076242E"/>
    <w:rsid w:val="00762BC8"/>
    <w:rsid w:val="00762E3A"/>
    <w:rsid w:val="0076303B"/>
    <w:rsid w:val="00763139"/>
    <w:rsid w:val="00763362"/>
    <w:rsid w:val="00763A20"/>
    <w:rsid w:val="00763AA4"/>
    <w:rsid w:val="00763BB7"/>
    <w:rsid w:val="00764026"/>
    <w:rsid w:val="007640B6"/>
    <w:rsid w:val="007641DA"/>
    <w:rsid w:val="00764398"/>
    <w:rsid w:val="007643D7"/>
    <w:rsid w:val="0076455F"/>
    <w:rsid w:val="0076476E"/>
    <w:rsid w:val="00764AE0"/>
    <w:rsid w:val="00764C44"/>
    <w:rsid w:val="00764D31"/>
    <w:rsid w:val="00765156"/>
    <w:rsid w:val="007651E8"/>
    <w:rsid w:val="007653BF"/>
    <w:rsid w:val="0076541F"/>
    <w:rsid w:val="00765762"/>
    <w:rsid w:val="00765938"/>
    <w:rsid w:val="00766528"/>
    <w:rsid w:val="007665B3"/>
    <w:rsid w:val="007666AF"/>
    <w:rsid w:val="00766878"/>
    <w:rsid w:val="00766EAE"/>
    <w:rsid w:val="00767332"/>
    <w:rsid w:val="0076775C"/>
    <w:rsid w:val="00767874"/>
    <w:rsid w:val="00767A3B"/>
    <w:rsid w:val="00767AF6"/>
    <w:rsid w:val="00767BD3"/>
    <w:rsid w:val="00767D11"/>
    <w:rsid w:val="007700BC"/>
    <w:rsid w:val="007706F4"/>
    <w:rsid w:val="00770F37"/>
    <w:rsid w:val="007711A0"/>
    <w:rsid w:val="007715EC"/>
    <w:rsid w:val="0077160E"/>
    <w:rsid w:val="00771C94"/>
    <w:rsid w:val="00771C9E"/>
    <w:rsid w:val="0077207C"/>
    <w:rsid w:val="00772822"/>
    <w:rsid w:val="0077295B"/>
    <w:rsid w:val="00772C1E"/>
    <w:rsid w:val="00772C5E"/>
    <w:rsid w:val="00772D5E"/>
    <w:rsid w:val="00773A12"/>
    <w:rsid w:val="00773C85"/>
    <w:rsid w:val="00773EE2"/>
    <w:rsid w:val="0077418D"/>
    <w:rsid w:val="0077463E"/>
    <w:rsid w:val="007746F2"/>
    <w:rsid w:val="00774811"/>
    <w:rsid w:val="00774AE9"/>
    <w:rsid w:val="00774B3A"/>
    <w:rsid w:val="0077513F"/>
    <w:rsid w:val="00775157"/>
    <w:rsid w:val="007753B9"/>
    <w:rsid w:val="00775430"/>
    <w:rsid w:val="00775752"/>
    <w:rsid w:val="00775CC7"/>
    <w:rsid w:val="0077639C"/>
    <w:rsid w:val="00776502"/>
    <w:rsid w:val="0077661C"/>
    <w:rsid w:val="007768F8"/>
    <w:rsid w:val="00776928"/>
    <w:rsid w:val="00776D56"/>
    <w:rsid w:val="00776E0F"/>
    <w:rsid w:val="00776E3F"/>
    <w:rsid w:val="00776F95"/>
    <w:rsid w:val="00776FCA"/>
    <w:rsid w:val="007774B1"/>
    <w:rsid w:val="007776BA"/>
    <w:rsid w:val="007776C3"/>
    <w:rsid w:val="007776D4"/>
    <w:rsid w:val="00777942"/>
    <w:rsid w:val="00777BDB"/>
    <w:rsid w:val="00777BE1"/>
    <w:rsid w:val="00777E96"/>
    <w:rsid w:val="00777ED3"/>
    <w:rsid w:val="00780310"/>
    <w:rsid w:val="007805B1"/>
    <w:rsid w:val="007809FE"/>
    <w:rsid w:val="00780B1C"/>
    <w:rsid w:val="00780F72"/>
    <w:rsid w:val="00781271"/>
    <w:rsid w:val="00781414"/>
    <w:rsid w:val="00781556"/>
    <w:rsid w:val="00781CC1"/>
    <w:rsid w:val="00781D1F"/>
    <w:rsid w:val="00781E9B"/>
    <w:rsid w:val="00781F17"/>
    <w:rsid w:val="00782127"/>
    <w:rsid w:val="0078219A"/>
    <w:rsid w:val="00782222"/>
    <w:rsid w:val="0078224E"/>
    <w:rsid w:val="00782432"/>
    <w:rsid w:val="00782646"/>
    <w:rsid w:val="00782677"/>
    <w:rsid w:val="00782804"/>
    <w:rsid w:val="00782887"/>
    <w:rsid w:val="00782DB1"/>
    <w:rsid w:val="007833D8"/>
    <w:rsid w:val="00783600"/>
    <w:rsid w:val="00783662"/>
    <w:rsid w:val="00783B86"/>
    <w:rsid w:val="00783B8E"/>
    <w:rsid w:val="00783C67"/>
    <w:rsid w:val="00783E3C"/>
    <w:rsid w:val="007842A8"/>
    <w:rsid w:val="00784622"/>
    <w:rsid w:val="00784936"/>
    <w:rsid w:val="00784A60"/>
    <w:rsid w:val="0078530E"/>
    <w:rsid w:val="0078534E"/>
    <w:rsid w:val="007854B4"/>
    <w:rsid w:val="00785677"/>
    <w:rsid w:val="00785744"/>
    <w:rsid w:val="00785CBA"/>
    <w:rsid w:val="00785D33"/>
    <w:rsid w:val="00785D36"/>
    <w:rsid w:val="00786035"/>
    <w:rsid w:val="00786654"/>
    <w:rsid w:val="00786F16"/>
    <w:rsid w:val="00787776"/>
    <w:rsid w:val="007890BE"/>
    <w:rsid w:val="00790387"/>
    <w:rsid w:val="007909C4"/>
    <w:rsid w:val="00790C0B"/>
    <w:rsid w:val="00790E58"/>
    <w:rsid w:val="00790E71"/>
    <w:rsid w:val="00790E88"/>
    <w:rsid w:val="00790F74"/>
    <w:rsid w:val="00791320"/>
    <w:rsid w:val="007914BD"/>
    <w:rsid w:val="00791564"/>
    <w:rsid w:val="0079174C"/>
    <w:rsid w:val="007917B0"/>
    <w:rsid w:val="0079181E"/>
    <w:rsid w:val="007918FB"/>
    <w:rsid w:val="0079192B"/>
    <w:rsid w:val="00791BB5"/>
    <w:rsid w:val="00791BD7"/>
    <w:rsid w:val="00791CCE"/>
    <w:rsid w:val="00791FD2"/>
    <w:rsid w:val="00792471"/>
    <w:rsid w:val="007926DC"/>
    <w:rsid w:val="007928B9"/>
    <w:rsid w:val="007928BA"/>
    <w:rsid w:val="00792995"/>
    <w:rsid w:val="00793011"/>
    <w:rsid w:val="007933E2"/>
    <w:rsid w:val="007933F7"/>
    <w:rsid w:val="0079378A"/>
    <w:rsid w:val="00793A0C"/>
    <w:rsid w:val="00793AD6"/>
    <w:rsid w:val="00793B17"/>
    <w:rsid w:val="00793B3B"/>
    <w:rsid w:val="00793BB0"/>
    <w:rsid w:val="00793EF9"/>
    <w:rsid w:val="00793F09"/>
    <w:rsid w:val="007940FF"/>
    <w:rsid w:val="007942F0"/>
    <w:rsid w:val="0079431A"/>
    <w:rsid w:val="00794B4A"/>
    <w:rsid w:val="00795055"/>
    <w:rsid w:val="00795057"/>
    <w:rsid w:val="007954F1"/>
    <w:rsid w:val="0079569C"/>
    <w:rsid w:val="007958C6"/>
    <w:rsid w:val="00795904"/>
    <w:rsid w:val="00795D50"/>
    <w:rsid w:val="00795DAF"/>
    <w:rsid w:val="00795F02"/>
    <w:rsid w:val="00796009"/>
    <w:rsid w:val="00796707"/>
    <w:rsid w:val="00796778"/>
    <w:rsid w:val="007968CF"/>
    <w:rsid w:val="00796B4A"/>
    <w:rsid w:val="00796D1B"/>
    <w:rsid w:val="00796E20"/>
    <w:rsid w:val="00797135"/>
    <w:rsid w:val="007973C3"/>
    <w:rsid w:val="007975C9"/>
    <w:rsid w:val="00797800"/>
    <w:rsid w:val="007978DE"/>
    <w:rsid w:val="00797B0B"/>
    <w:rsid w:val="00797C32"/>
    <w:rsid w:val="00797E98"/>
    <w:rsid w:val="007A008C"/>
    <w:rsid w:val="007A0202"/>
    <w:rsid w:val="007A0335"/>
    <w:rsid w:val="007A0668"/>
    <w:rsid w:val="007A067C"/>
    <w:rsid w:val="007A09D9"/>
    <w:rsid w:val="007A0A81"/>
    <w:rsid w:val="007A0B8C"/>
    <w:rsid w:val="007A0D5E"/>
    <w:rsid w:val="007A0EDE"/>
    <w:rsid w:val="007A11E8"/>
    <w:rsid w:val="007A12B7"/>
    <w:rsid w:val="007A1524"/>
    <w:rsid w:val="007A1A02"/>
    <w:rsid w:val="007A1B5A"/>
    <w:rsid w:val="007A1FC6"/>
    <w:rsid w:val="007A203D"/>
    <w:rsid w:val="007A2B12"/>
    <w:rsid w:val="007A2C5E"/>
    <w:rsid w:val="007A2FB2"/>
    <w:rsid w:val="007A3305"/>
    <w:rsid w:val="007A370F"/>
    <w:rsid w:val="007A3B20"/>
    <w:rsid w:val="007A3B6A"/>
    <w:rsid w:val="007A3D14"/>
    <w:rsid w:val="007A3DDF"/>
    <w:rsid w:val="007A3E0D"/>
    <w:rsid w:val="007A418E"/>
    <w:rsid w:val="007A463E"/>
    <w:rsid w:val="007A46FF"/>
    <w:rsid w:val="007A49C4"/>
    <w:rsid w:val="007A4A80"/>
    <w:rsid w:val="007A4EAF"/>
    <w:rsid w:val="007A5176"/>
    <w:rsid w:val="007A5307"/>
    <w:rsid w:val="007A562C"/>
    <w:rsid w:val="007A56F3"/>
    <w:rsid w:val="007A5EF3"/>
    <w:rsid w:val="007A614F"/>
    <w:rsid w:val="007A6644"/>
    <w:rsid w:val="007A66B6"/>
    <w:rsid w:val="007A673C"/>
    <w:rsid w:val="007A6AD2"/>
    <w:rsid w:val="007A6BC6"/>
    <w:rsid w:val="007A6DE8"/>
    <w:rsid w:val="007A7AA8"/>
    <w:rsid w:val="007B0344"/>
    <w:rsid w:val="007B0570"/>
    <w:rsid w:val="007B05F2"/>
    <w:rsid w:val="007B0914"/>
    <w:rsid w:val="007B0F72"/>
    <w:rsid w:val="007B0F8F"/>
    <w:rsid w:val="007B11E8"/>
    <w:rsid w:val="007B11FE"/>
    <w:rsid w:val="007B12D5"/>
    <w:rsid w:val="007B1374"/>
    <w:rsid w:val="007B13C2"/>
    <w:rsid w:val="007B1698"/>
    <w:rsid w:val="007B1700"/>
    <w:rsid w:val="007B1701"/>
    <w:rsid w:val="007B1ABB"/>
    <w:rsid w:val="007B1B79"/>
    <w:rsid w:val="007B1DFD"/>
    <w:rsid w:val="007B254F"/>
    <w:rsid w:val="007B29CE"/>
    <w:rsid w:val="007B2C33"/>
    <w:rsid w:val="007B30E7"/>
    <w:rsid w:val="007B32E5"/>
    <w:rsid w:val="007B3332"/>
    <w:rsid w:val="007B3560"/>
    <w:rsid w:val="007B3AC9"/>
    <w:rsid w:val="007B3DB9"/>
    <w:rsid w:val="007B4040"/>
    <w:rsid w:val="007B488F"/>
    <w:rsid w:val="007B4CD7"/>
    <w:rsid w:val="007B4E87"/>
    <w:rsid w:val="007B513C"/>
    <w:rsid w:val="007B5506"/>
    <w:rsid w:val="007B589F"/>
    <w:rsid w:val="007B59F1"/>
    <w:rsid w:val="007B5E5C"/>
    <w:rsid w:val="007B6186"/>
    <w:rsid w:val="007B626D"/>
    <w:rsid w:val="007B6503"/>
    <w:rsid w:val="007B6D6A"/>
    <w:rsid w:val="007B6D9F"/>
    <w:rsid w:val="007B6FD4"/>
    <w:rsid w:val="007B73BC"/>
    <w:rsid w:val="007B74FC"/>
    <w:rsid w:val="007C0332"/>
    <w:rsid w:val="007C044E"/>
    <w:rsid w:val="007C04BA"/>
    <w:rsid w:val="007C050D"/>
    <w:rsid w:val="007C0543"/>
    <w:rsid w:val="007C05ED"/>
    <w:rsid w:val="007C0A67"/>
    <w:rsid w:val="007C0C4C"/>
    <w:rsid w:val="007C103D"/>
    <w:rsid w:val="007C1155"/>
    <w:rsid w:val="007C124A"/>
    <w:rsid w:val="007C1371"/>
    <w:rsid w:val="007C1404"/>
    <w:rsid w:val="007C1571"/>
    <w:rsid w:val="007C163D"/>
    <w:rsid w:val="007C1789"/>
    <w:rsid w:val="007C1838"/>
    <w:rsid w:val="007C1B44"/>
    <w:rsid w:val="007C1D85"/>
    <w:rsid w:val="007C1FA5"/>
    <w:rsid w:val="007C1FC5"/>
    <w:rsid w:val="007C202F"/>
    <w:rsid w:val="007C20B9"/>
    <w:rsid w:val="007C212A"/>
    <w:rsid w:val="007C223B"/>
    <w:rsid w:val="007C268C"/>
    <w:rsid w:val="007C26BC"/>
    <w:rsid w:val="007C27B1"/>
    <w:rsid w:val="007C28C9"/>
    <w:rsid w:val="007C2B6C"/>
    <w:rsid w:val="007C2C46"/>
    <w:rsid w:val="007C2D91"/>
    <w:rsid w:val="007C2DA1"/>
    <w:rsid w:val="007C2FB0"/>
    <w:rsid w:val="007C3377"/>
    <w:rsid w:val="007C3555"/>
    <w:rsid w:val="007C3991"/>
    <w:rsid w:val="007C399D"/>
    <w:rsid w:val="007C3A15"/>
    <w:rsid w:val="007C3F5E"/>
    <w:rsid w:val="007C40A4"/>
    <w:rsid w:val="007C41CD"/>
    <w:rsid w:val="007C424B"/>
    <w:rsid w:val="007C4344"/>
    <w:rsid w:val="007C4A06"/>
    <w:rsid w:val="007C4BC9"/>
    <w:rsid w:val="007C4D87"/>
    <w:rsid w:val="007C4F23"/>
    <w:rsid w:val="007C4F60"/>
    <w:rsid w:val="007C4FDC"/>
    <w:rsid w:val="007C504F"/>
    <w:rsid w:val="007C519E"/>
    <w:rsid w:val="007C535E"/>
    <w:rsid w:val="007C53CA"/>
    <w:rsid w:val="007C5493"/>
    <w:rsid w:val="007C5548"/>
    <w:rsid w:val="007C56CD"/>
    <w:rsid w:val="007C5782"/>
    <w:rsid w:val="007C6379"/>
    <w:rsid w:val="007C6772"/>
    <w:rsid w:val="007C6BC6"/>
    <w:rsid w:val="007C6BEA"/>
    <w:rsid w:val="007C6C78"/>
    <w:rsid w:val="007C7111"/>
    <w:rsid w:val="007C7301"/>
    <w:rsid w:val="007C7635"/>
    <w:rsid w:val="007C7859"/>
    <w:rsid w:val="007C79D8"/>
    <w:rsid w:val="007C7A2A"/>
    <w:rsid w:val="007C7C71"/>
    <w:rsid w:val="007C7F28"/>
    <w:rsid w:val="007D0448"/>
    <w:rsid w:val="007D0507"/>
    <w:rsid w:val="007D0737"/>
    <w:rsid w:val="007D086E"/>
    <w:rsid w:val="007D08E5"/>
    <w:rsid w:val="007D0DE3"/>
    <w:rsid w:val="007D1466"/>
    <w:rsid w:val="007D14E5"/>
    <w:rsid w:val="007D1547"/>
    <w:rsid w:val="007D1833"/>
    <w:rsid w:val="007D19DB"/>
    <w:rsid w:val="007D1C3F"/>
    <w:rsid w:val="007D1F76"/>
    <w:rsid w:val="007D2148"/>
    <w:rsid w:val="007D2325"/>
    <w:rsid w:val="007D23A1"/>
    <w:rsid w:val="007D24A2"/>
    <w:rsid w:val="007D262E"/>
    <w:rsid w:val="007D2BDE"/>
    <w:rsid w:val="007D2CAB"/>
    <w:rsid w:val="007D2F1B"/>
    <w:rsid w:val="007D2FB6"/>
    <w:rsid w:val="007D32E0"/>
    <w:rsid w:val="007D3484"/>
    <w:rsid w:val="007D3DA9"/>
    <w:rsid w:val="007D3F1B"/>
    <w:rsid w:val="007D3F57"/>
    <w:rsid w:val="007D409B"/>
    <w:rsid w:val="007D425A"/>
    <w:rsid w:val="007D4456"/>
    <w:rsid w:val="007D4871"/>
    <w:rsid w:val="007D49EB"/>
    <w:rsid w:val="007D4B15"/>
    <w:rsid w:val="007D4B4B"/>
    <w:rsid w:val="007D4F74"/>
    <w:rsid w:val="007D4F7B"/>
    <w:rsid w:val="007D512F"/>
    <w:rsid w:val="007D515B"/>
    <w:rsid w:val="007D52D3"/>
    <w:rsid w:val="007D5383"/>
    <w:rsid w:val="007D5BD5"/>
    <w:rsid w:val="007D5C2A"/>
    <w:rsid w:val="007D5DC6"/>
    <w:rsid w:val="007D5E1C"/>
    <w:rsid w:val="007D5E6D"/>
    <w:rsid w:val="007D5F91"/>
    <w:rsid w:val="007D602E"/>
    <w:rsid w:val="007D6108"/>
    <w:rsid w:val="007D64B5"/>
    <w:rsid w:val="007D6679"/>
    <w:rsid w:val="007D689E"/>
    <w:rsid w:val="007D7417"/>
    <w:rsid w:val="007D74BC"/>
    <w:rsid w:val="007D767C"/>
    <w:rsid w:val="007D7835"/>
    <w:rsid w:val="007D7A18"/>
    <w:rsid w:val="007D7B30"/>
    <w:rsid w:val="007D7F02"/>
    <w:rsid w:val="007E0335"/>
    <w:rsid w:val="007E040C"/>
    <w:rsid w:val="007E0555"/>
    <w:rsid w:val="007E0583"/>
    <w:rsid w:val="007E0934"/>
    <w:rsid w:val="007E0DE2"/>
    <w:rsid w:val="007E108B"/>
    <w:rsid w:val="007E10F3"/>
    <w:rsid w:val="007E156A"/>
    <w:rsid w:val="007E1A5E"/>
    <w:rsid w:val="007E1AE2"/>
    <w:rsid w:val="007E1B7D"/>
    <w:rsid w:val="007E1C33"/>
    <w:rsid w:val="007E1FFF"/>
    <w:rsid w:val="007E2008"/>
    <w:rsid w:val="007E2059"/>
    <w:rsid w:val="007E2107"/>
    <w:rsid w:val="007E2523"/>
    <w:rsid w:val="007E2895"/>
    <w:rsid w:val="007E2ADB"/>
    <w:rsid w:val="007E2E99"/>
    <w:rsid w:val="007E318E"/>
    <w:rsid w:val="007E362A"/>
    <w:rsid w:val="007E3667"/>
    <w:rsid w:val="007E3AFE"/>
    <w:rsid w:val="007E3B98"/>
    <w:rsid w:val="007E417A"/>
    <w:rsid w:val="007E44A4"/>
    <w:rsid w:val="007E4DCA"/>
    <w:rsid w:val="007E4E46"/>
    <w:rsid w:val="007E4F36"/>
    <w:rsid w:val="007E52B2"/>
    <w:rsid w:val="007E543F"/>
    <w:rsid w:val="007E548D"/>
    <w:rsid w:val="007E5B21"/>
    <w:rsid w:val="007E5BD4"/>
    <w:rsid w:val="007E5BF5"/>
    <w:rsid w:val="007E60DB"/>
    <w:rsid w:val="007E6768"/>
    <w:rsid w:val="007E685C"/>
    <w:rsid w:val="007E6861"/>
    <w:rsid w:val="007E68C2"/>
    <w:rsid w:val="007E694E"/>
    <w:rsid w:val="007E6B73"/>
    <w:rsid w:val="007E6E59"/>
    <w:rsid w:val="007E77E8"/>
    <w:rsid w:val="007E793B"/>
    <w:rsid w:val="007E7961"/>
    <w:rsid w:val="007E79AE"/>
    <w:rsid w:val="007E7A57"/>
    <w:rsid w:val="007E7E87"/>
    <w:rsid w:val="007E7EB1"/>
    <w:rsid w:val="007E7FFE"/>
    <w:rsid w:val="007F0306"/>
    <w:rsid w:val="007F03EF"/>
    <w:rsid w:val="007F04B8"/>
    <w:rsid w:val="007F0955"/>
    <w:rsid w:val="007F0BBD"/>
    <w:rsid w:val="007F0DB2"/>
    <w:rsid w:val="007F0E26"/>
    <w:rsid w:val="007F0F30"/>
    <w:rsid w:val="007F0F4B"/>
    <w:rsid w:val="007F1675"/>
    <w:rsid w:val="007F1920"/>
    <w:rsid w:val="007F1B09"/>
    <w:rsid w:val="007F1BEB"/>
    <w:rsid w:val="007F1C9D"/>
    <w:rsid w:val="007F2258"/>
    <w:rsid w:val="007F2391"/>
    <w:rsid w:val="007F257C"/>
    <w:rsid w:val="007F2DFA"/>
    <w:rsid w:val="007F31B6"/>
    <w:rsid w:val="007F31DA"/>
    <w:rsid w:val="007F3232"/>
    <w:rsid w:val="007F3699"/>
    <w:rsid w:val="007F3864"/>
    <w:rsid w:val="007F3F1A"/>
    <w:rsid w:val="007F4077"/>
    <w:rsid w:val="007F4A70"/>
    <w:rsid w:val="007F4B26"/>
    <w:rsid w:val="007F4DAB"/>
    <w:rsid w:val="007F546C"/>
    <w:rsid w:val="007F5DED"/>
    <w:rsid w:val="007F5E8A"/>
    <w:rsid w:val="007F5ED3"/>
    <w:rsid w:val="007F5F21"/>
    <w:rsid w:val="007F60C7"/>
    <w:rsid w:val="007F6142"/>
    <w:rsid w:val="007F622A"/>
    <w:rsid w:val="007F625F"/>
    <w:rsid w:val="007F665E"/>
    <w:rsid w:val="007F66C5"/>
    <w:rsid w:val="007F6863"/>
    <w:rsid w:val="007F6864"/>
    <w:rsid w:val="007F6901"/>
    <w:rsid w:val="007F6CC7"/>
    <w:rsid w:val="007F7285"/>
    <w:rsid w:val="00800113"/>
    <w:rsid w:val="008001EE"/>
    <w:rsid w:val="008001F5"/>
    <w:rsid w:val="008002F7"/>
    <w:rsid w:val="00800412"/>
    <w:rsid w:val="00800459"/>
    <w:rsid w:val="008007E9"/>
    <w:rsid w:val="00800B8E"/>
    <w:rsid w:val="00800C5D"/>
    <w:rsid w:val="008010A7"/>
    <w:rsid w:val="008012AA"/>
    <w:rsid w:val="00801570"/>
    <w:rsid w:val="00801D4E"/>
    <w:rsid w:val="00801E35"/>
    <w:rsid w:val="00801F25"/>
    <w:rsid w:val="00801F85"/>
    <w:rsid w:val="00802124"/>
    <w:rsid w:val="00802279"/>
    <w:rsid w:val="00802293"/>
    <w:rsid w:val="008022FE"/>
    <w:rsid w:val="0080237E"/>
    <w:rsid w:val="008025A1"/>
    <w:rsid w:val="0080262D"/>
    <w:rsid w:val="008026BC"/>
    <w:rsid w:val="00802A86"/>
    <w:rsid w:val="00802B1A"/>
    <w:rsid w:val="00802C18"/>
    <w:rsid w:val="00802D42"/>
    <w:rsid w:val="00802DAD"/>
    <w:rsid w:val="008032EF"/>
    <w:rsid w:val="008035F6"/>
    <w:rsid w:val="008036EF"/>
    <w:rsid w:val="00803923"/>
    <w:rsid w:val="00803D45"/>
    <w:rsid w:val="00803F06"/>
    <w:rsid w:val="008042D9"/>
    <w:rsid w:val="008043CB"/>
    <w:rsid w:val="008045BE"/>
    <w:rsid w:val="008047C0"/>
    <w:rsid w:val="008049F2"/>
    <w:rsid w:val="00804A10"/>
    <w:rsid w:val="00804B39"/>
    <w:rsid w:val="008056C2"/>
    <w:rsid w:val="0080571E"/>
    <w:rsid w:val="0080587B"/>
    <w:rsid w:val="00805B43"/>
    <w:rsid w:val="00805BAF"/>
    <w:rsid w:val="00805DE4"/>
    <w:rsid w:val="00805EDD"/>
    <w:rsid w:val="00806213"/>
    <w:rsid w:val="00806302"/>
    <w:rsid w:val="00806468"/>
    <w:rsid w:val="0080657D"/>
    <w:rsid w:val="00806906"/>
    <w:rsid w:val="008069B6"/>
    <w:rsid w:val="00806D26"/>
    <w:rsid w:val="00806DEE"/>
    <w:rsid w:val="00806EAF"/>
    <w:rsid w:val="00807117"/>
    <w:rsid w:val="008071A9"/>
    <w:rsid w:val="00807215"/>
    <w:rsid w:val="00807361"/>
    <w:rsid w:val="008073A4"/>
    <w:rsid w:val="00807554"/>
    <w:rsid w:val="00807A10"/>
    <w:rsid w:val="00807BDA"/>
    <w:rsid w:val="00807C2F"/>
    <w:rsid w:val="008108E6"/>
    <w:rsid w:val="00810E5B"/>
    <w:rsid w:val="00811090"/>
    <w:rsid w:val="00811339"/>
    <w:rsid w:val="00811368"/>
    <w:rsid w:val="008117A2"/>
    <w:rsid w:val="0081198E"/>
    <w:rsid w:val="008119CA"/>
    <w:rsid w:val="00811B5B"/>
    <w:rsid w:val="00811C43"/>
    <w:rsid w:val="00812157"/>
    <w:rsid w:val="008121E7"/>
    <w:rsid w:val="008124B1"/>
    <w:rsid w:val="008126A8"/>
    <w:rsid w:val="008129B5"/>
    <w:rsid w:val="00812A2D"/>
    <w:rsid w:val="00812E09"/>
    <w:rsid w:val="00813009"/>
    <w:rsid w:val="008130C4"/>
    <w:rsid w:val="00813108"/>
    <w:rsid w:val="0081359E"/>
    <w:rsid w:val="008139C0"/>
    <w:rsid w:val="00813AB8"/>
    <w:rsid w:val="00813C64"/>
    <w:rsid w:val="00813D3C"/>
    <w:rsid w:val="00813E73"/>
    <w:rsid w:val="008142CF"/>
    <w:rsid w:val="008146F6"/>
    <w:rsid w:val="00814B40"/>
    <w:rsid w:val="008152C3"/>
    <w:rsid w:val="008155F0"/>
    <w:rsid w:val="0081564D"/>
    <w:rsid w:val="00815A7A"/>
    <w:rsid w:val="00815AF0"/>
    <w:rsid w:val="00815E2D"/>
    <w:rsid w:val="00816038"/>
    <w:rsid w:val="00816150"/>
    <w:rsid w:val="00816284"/>
    <w:rsid w:val="00816527"/>
    <w:rsid w:val="00816735"/>
    <w:rsid w:val="008167B6"/>
    <w:rsid w:val="0081694E"/>
    <w:rsid w:val="00816B68"/>
    <w:rsid w:val="00816B71"/>
    <w:rsid w:val="00816B81"/>
    <w:rsid w:val="00817208"/>
    <w:rsid w:val="00817242"/>
    <w:rsid w:val="0081734B"/>
    <w:rsid w:val="008174E4"/>
    <w:rsid w:val="00817D14"/>
    <w:rsid w:val="00817E2F"/>
    <w:rsid w:val="00820027"/>
    <w:rsid w:val="00820141"/>
    <w:rsid w:val="00820344"/>
    <w:rsid w:val="008204F5"/>
    <w:rsid w:val="0082065F"/>
    <w:rsid w:val="008206C2"/>
    <w:rsid w:val="00820B54"/>
    <w:rsid w:val="00820BA6"/>
    <w:rsid w:val="00820E0C"/>
    <w:rsid w:val="00821420"/>
    <w:rsid w:val="008215AD"/>
    <w:rsid w:val="008215D1"/>
    <w:rsid w:val="00821B07"/>
    <w:rsid w:val="008223EE"/>
    <w:rsid w:val="00822852"/>
    <w:rsid w:val="00822888"/>
    <w:rsid w:val="00822897"/>
    <w:rsid w:val="008229DE"/>
    <w:rsid w:val="00822A54"/>
    <w:rsid w:val="00822ABD"/>
    <w:rsid w:val="00823022"/>
    <w:rsid w:val="0082307C"/>
    <w:rsid w:val="00823275"/>
    <w:rsid w:val="0082338F"/>
    <w:rsid w:val="0082366F"/>
    <w:rsid w:val="00823733"/>
    <w:rsid w:val="00823CEE"/>
    <w:rsid w:val="00823D2B"/>
    <w:rsid w:val="0082407C"/>
    <w:rsid w:val="00824119"/>
    <w:rsid w:val="008241F1"/>
    <w:rsid w:val="0082446E"/>
    <w:rsid w:val="00824C16"/>
    <w:rsid w:val="00824C65"/>
    <w:rsid w:val="00824CBA"/>
    <w:rsid w:val="00824CDA"/>
    <w:rsid w:val="00824E7B"/>
    <w:rsid w:val="0082592B"/>
    <w:rsid w:val="00825D19"/>
    <w:rsid w:val="00826014"/>
    <w:rsid w:val="00826134"/>
    <w:rsid w:val="00826352"/>
    <w:rsid w:val="008263C7"/>
    <w:rsid w:val="0082642C"/>
    <w:rsid w:val="00826463"/>
    <w:rsid w:val="008264B5"/>
    <w:rsid w:val="00826762"/>
    <w:rsid w:val="008269BC"/>
    <w:rsid w:val="0082734E"/>
    <w:rsid w:val="0082752D"/>
    <w:rsid w:val="0082756B"/>
    <w:rsid w:val="008275A4"/>
    <w:rsid w:val="00827C5A"/>
    <w:rsid w:val="00830560"/>
    <w:rsid w:val="00830692"/>
    <w:rsid w:val="00830907"/>
    <w:rsid w:val="00830966"/>
    <w:rsid w:val="008309FC"/>
    <w:rsid w:val="00830A5A"/>
    <w:rsid w:val="00830AE6"/>
    <w:rsid w:val="00830BB1"/>
    <w:rsid w:val="00830BBF"/>
    <w:rsid w:val="00830D9C"/>
    <w:rsid w:val="00830DE3"/>
    <w:rsid w:val="00830EA1"/>
    <w:rsid w:val="00830F0B"/>
    <w:rsid w:val="00830FA5"/>
    <w:rsid w:val="00831081"/>
    <w:rsid w:val="00831420"/>
    <w:rsid w:val="008317F7"/>
    <w:rsid w:val="00831A78"/>
    <w:rsid w:val="008320C1"/>
    <w:rsid w:val="0083239D"/>
    <w:rsid w:val="008323BC"/>
    <w:rsid w:val="008323E2"/>
    <w:rsid w:val="008325A6"/>
    <w:rsid w:val="008325D0"/>
    <w:rsid w:val="008325F7"/>
    <w:rsid w:val="00832927"/>
    <w:rsid w:val="00832A0A"/>
    <w:rsid w:val="00833073"/>
    <w:rsid w:val="00833726"/>
    <w:rsid w:val="0083388C"/>
    <w:rsid w:val="008338A2"/>
    <w:rsid w:val="00833BA0"/>
    <w:rsid w:val="00834220"/>
    <w:rsid w:val="00834282"/>
    <w:rsid w:val="008345BA"/>
    <w:rsid w:val="00834B04"/>
    <w:rsid w:val="00834CBB"/>
    <w:rsid w:val="00834FCB"/>
    <w:rsid w:val="00835048"/>
    <w:rsid w:val="008350F1"/>
    <w:rsid w:val="00835378"/>
    <w:rsid w:val="008354E6"/>
    <w:rsid w:val="0083558A"/>
    <w:rsid w:val="008355DD"/>
    <w:rsid w:val="00835648"/>
    <w:rsid w:val="008358CF"/>
    <w:rsid w:val="00835C3D"/>
    <w:rsid w:val="00836177"/>
    <w:rsid w:val="00836AFE"/>
    <w:rsid w:val="00836C01"/>
    <w:rsid w:val="00836C94"/>
    <w:rsid w:val="008374CA"/>
    <w:rsid w:val="008376CD"/>
    <w:rsid w:val="00837C39"/>
    <w:rsid w:val="0084004D"/>
    <w:rsid w:val="00840210"/>
    <w:rsid w:val="00840228"/>
    <w:rsid w:val="00840384"/>
    <w:rsid w:val="008408B0"/>
    <w:rsid w:val="0084095E"/>
    <w:rsid w:val="008409ED"/>
    <w:rsid w:val="00840EB6"/>
    <w:rsid w:val="00841205"/>
    <w:rsid w:val="00841435"/>
    <w:rsid w:val="008414C6"/>
    <w:rsid w:val="008414D8"/>
    <w:rsid w:val="008415DA"/>
    <w:rsid w:val="00841652"/>
    <w:rsid w:val="0084197D"/>
    <w:rsid w:val="00841AA9"/>
    <w:rsid w:val="00841AE7"/>
    <w:rsid w:val="00841C3D"/>
    <w:rsid w:val="00841DF7"/>
    <w:rsid w:val="00841E3F"/>
    <w:rsid w:val="00841F3B"/>
    <w:rsid w:val="0084225B"/>
    <w:rsid w:val="008423E4"/>
    <w:rsid w:val="00842718"/>
    <w:rsid w:val="0084273F"/>
    <w:rsid w:val="00842742"/>
    <w:rsid w:val="0084274C"/>
    <w:rsid w:val="008428A9"/>
    <w:rsid w:val="008428AF"/>
    <w:rsid w:val="00842ABA"/>
    <w:rsid w:val="00842E2A"/>
    <w:rsid w:val="00843142"/>
    <w:rsid w:val="008431D7"/>
    <w:rsid w:val="00843322"/>
    <w:rsid w:val="00843356"/>
    <w:rsid w:val="00843396"/>
    <w:rsid w:val="008435A1"/>
    <w:rsid w:val="0084381C"/>
    <w:rsid w:val="00843CF2"/>
    <w:rsid w:val="00843F6F"/>
    <w:rsid w:val="0084423E"/>
    <w:rsid w:val="00844339"/>
    <w:rsid w:val="008443B1"/>
    <w:rsid w:val="0084458F"/>
    <w:rsid w:val="00844B1D"/>
    <w:rsid w:val="00844D8E"/>
    <w:rsid w:val="00845331"/>
    <w:rsid w:val="0084541A"/>
    <w:rsid w:val="0084577D"/>
    <w:rsid w:val="00845A4D"/>
    <w:rsid w:val="0084620A"/>
    <w:rsid w:val="00846223"/>
    <w:rsid w:val="00846249"/>
    <w:rsid w:val="008466B4"/>
    <w:rsid w:val="00846975"/>
    <w:rsid w:val="00846A48"/>
    <w:rsid w:val="00846BE9"/>
    <w:rsid w:val="008471F0"/>
    <w:rsid w:val="008474FE"/>
    <w:rsid w:val="0084765D"/>
    <w:rsid w:val="008476B6"/>
    <w:rsid w:val="00847AE3"/>
    <w:rsid w:val="00847B4C"/>
    <w:rsid w:val="00847C5E"/>
    <w:rsid w:val="00847C88"/>
    <w:rsid w:val="00847D60"/>
    <w:rsid w:val="00847E57"/>
    <w:rsid w:val="00847F26"/>
    <w:rsid w:val="008500E5"/>
    <w:rsid w:val="008503AE"/>
    <w:rsid w:val="008505A9"/>
    <w:rsid w:val="008507A5"/>
    <w:rsid w:val="008509E4"/>
    <w:rsid w:val="00850A52"/>
    <w:rsid w:val="00850A85"/>
    <w:rsid w:val="00850AEA"/>
    <w:rsid w:val="00850CAA"/>
    <w:rsid w:val="00850D19"/>
    <w:rsid w:val="00850D2D"/>
    <w:rsid w:val="00850D37"/>
    <w:rsid w:val="00850E23"/>
    <w:rsid w:val="00850F8F"/>
    <w:rsid w:val="00851265"/>
    <w:rsid w:val="008513F8"/>
    <w:rsid w:val="008515E8"/>
    <w:rsid w:val="00851759"/>
    <w:rsid w:val="00851AE1"/>
    <w:rsid w:val="00851DD8"/>
    <w:rsid w:val="008520C9"/>
    <w:rsid w:val="00852592"/>
    <w:rsid w:val="00852B4F"/>
    <w:rsid w:val="00852D1F"/>
    <w:rsid w:val="00852DB2"/>
    <w:rsid w:val="00852DC3"/>
    <w:rsid w:val="00852ED4"/>
    <w:rsid w:val="00852FA2"/>
    <w:rsid w:val="008534EC"/>
    <w:rsid w:val="008534EF"/>
    <w:rsid w:val="008539E3"/>
    <w:rsid w:val="00853BE4"/>
    <w:rsid w:val="00853C7F"/>
    <w:rsid w:val="00853ED2"/>
    <w:rsid w:val="00853EE4"/>
    <w:rsid w:val="00854003"/>
    <w:rsid w:val="008540D5"/>
    <w:rsid w:val="00854494"/>
    <w:rsid w:val="00854956"/>
    <w:rsid w:val="00854CDD"/>
    <w:rsid w:val="00854D90"/>
    <w:rsid w:val="00855074"/>
    <w:rsid w:val="00855230"/>
    <w:rsid w:val="00855535"/>
    <w:rsid w:val="0085557B"/>
    <w:rsid w:val="00855CE6"/>
    <w:rsid w:val="008560A3"/>
    <w:rsid w:val="0085610F"/>
    <w:rsid w:val="008563CB"/>
    <w:rsid w:val="00856797"/>
    <w:rsid w:val="008568CA"/>
    <w:rsid w:val="00856A75"/>
    <w:rsid w:val="00856E3C"/>
    <w:rsid w:val="00856E5A"/>
    <w:rsid w:val="0085734C"/>
    <w:rsid w:val="008573EB"/>
    <w:rsid w:val="008578CA"/>
    <w:rsid w:val="00857906"/>
    <w:rsid w:val="00857A1E"/>
    <w:rsid w:val="00857A42"/>
    <w:rsid w:val="00857B7E"/>
    <w:rsid w:val="00857C5A"/>
    <w:rsid w:val="00857D60"/>
    <w:rsid w:val="00860197"/>
    <w:rsid w:val="00860312"/>
    <w:rsid w:val="008603A7"/>
    <w:rsid w:val="00860610"/>
    <w:rsid w:val="0086066D"/>
    <w:rsid w:val="008609A5"/>
    <w:rsid w:val="00860ABF"/>
    <w:rsid w:val="00860CDE"/>
    <w:rsid w:val="00861043"/>
    <w:rsid w:val="008616B4"/>
    <w:rsid w:val="00861788"/>
    <w:rsid w:val="008618F7"/>
    <w:rsid w:val="00861A5C"/>
    <w:rsid w:val="0086205D"/>
    <w:rsid w:val="00862412"/>
    <w:rsid w:val="0086251C"/>
    <w:rsid w:val="0086255E"/>
    <w:rsid w:val="008629FD"/>
    <w:rsid w:val="00862A93"/>
    <w:rsid w:val="00862DEF"/>
    <w:rsid w:val="0086308C"/>
    <w:rsid w:val="008633F0"/>
    <w:rsid w:val="00863AAF"/>
    <w:rsid w:val="00863AFC"/>
    <w:rsid w:val="00863B2C"/>
    <w:rsid w:val="00863C3A"/>
    <w:rsid w:val="008641BE"/>
    <w:rsid w:val="00864643"/>
    <w:rsid w:val="00864CFF"/>
    <w:rsid w:val="00864FF9"/>
    <w:rsid w:val="008651B6"/>
    <w:rsid w:val="00865276"/>
    <w:rsid w:val="00865553"/>
    <w:rsid w:val="0086561E"/>
    <w:rsid w:val="00865715"/>
    <w:rsid w:val="00865A90"/>
    <w:rsid w:val="00865BBC"/>
    <w:rsid w:val="00865C0B"/>
    <w:rsid w:val="00865DF1"/>
    <w:rsid w:val="00865F44"/>
    <w:rsid w:val="00866022"/>
    <w:rsid w:val="00866024"/>
    <w:rsid w:val="00866968"/>
    <w:rsid w:val="00866C3F"/>
    <w:rsid w:val="00866EEF"/>
    <w:rsid w:val="00867172"/>
    <w:rsid w:val="008671F9"/>
    <w:rsid w:val="00867234"/>
    <w:rsid w:val="00867732"/>
    <w:rsid w:val="008678ED"/>
    <w:rsid w:val="00867CED"/>
    <w:rsid w:val="00867D9D"/>
    <w:rsid w:val="00870030"/>
    <w:rsid w:val="0087045F"/>
    <w:rsid w:val="00870A91"/>
    <w:rsid w:val="00870C1D"/>
    <w:rsid w:val="00870F9B"/>
    <w:rsid w:val="00871697"/>
    <w:rsid w:val="008716BD"/>
    <w:rsid w:val="00871D84"/>
    <w:rsid w:val="00871E7E"/>
    <w:rsid w:val="00871F07"/>
    <w:rsid w:val="00872529"/>
    <w:rsid w:val="00872B02"/>
    <w:rsid w:val="00872E0A"/>
    <w:rsid w:val="00872EE7"/>
    <w:rsid w:val="00873030"/>
    <w:rsid w:val="0087314E"/>
    <w:rsid w:val="00873230"/>
    <w:rsid w:val="00873338"/>
    <w:rsid w:val="0087343B"/>
    <w:rsid w:val="00873594"/>
    <w:rsid w:val="008737DF"/>
    <w:rsid w:val="0087382B"/>
    <w:rsid w:val="008743DE"/>
    <w:rsid w:val="008748CB"/>
    <w:rsid w:val="00874A53"/>
    <w:rsid w:val="00874AF7"/>
    <w:rsid w:val="00874CAA"/>
    <w:rsid w:val="00875285"/>
    <w:rsid w:val="00875422"/>
    <w:rsid w:val="0087550A"/>
    <w:rsid w:val="0087560C"/>
    <w:rsid w:val="00875C77"/>
    <w:rsid w:val="00875C87"/>
    <w:rsid w:val="00875C8B"/>
    <w:rsid w:val="00875D42"/>
    <w:rsid w:val="00875E49"/>
    <w:rsid w:val="00875EBD"/>
    <w:rsid w:val="00875FC7"/>
    <w:rsid w:val="00876265"/>
    <w:rsid w:val="008762AF"/>
    <w:rsid w:val="00876526"/>
    <w:rsid w:val="00876B27"/>
    <w:rsid w:val="00876F67"/>
    <w:rsid w:val="00877290"/>
    <w:rsid w:val="008772C7"/>
    <w:rsid w:val="008775B2"/>
    <w:rsid w:val="008776E3"/>
    <w:rsid w:val="00877877"/>
    <w:rsid w:val="00877C18"/>
    <w:rsid w:val="00877CF8"/>
    <w:rsid w:val="008800A6"/>
    <w:rsid w:val="008807AD"/>
    <w:rsid w:val="008809DF"/>
    <w:rsid w:val="00880B51"/>
    <w:rsid w:val="00880D17"/>
    <w:rsid w:val="00881336"/>
    <w:rsid w:val="008817A2"/>
    <w:rsid w:val="00881865"/>
    <w:rsid w:val="00881D12"/>
    <w:rsid w:val="00881F8D"/>
    <w:rsid w:val="00882015"/>
    <w:rsid w:val="00882096"/>
    <w:rsid w:val="0088217B"/>
    <w:rsid w:val="00882215"/>
    <w:rsid w:val="0088229F"/>
    <w:rsid w:val="00882510"/>
    <w:rsid w:val="008827ED"/>
    <w:rsid w:val="00882A47"/>
    <w:rsid w:val="00882EDB"/>
    <w:rsid w:val="00882FF7"/>
    <w:rsid w:val="00883519"/>
    <w:rsid w:val="008835F4"/>
    <w:rsid w:val="0088365C"/>
    <w:rsid w:val="008836C8"/>
    <w:rsid w:val="0088387B"/>
    <w:rsid w:val="00883AE1"/>
    <w:rsid w:val="008840B7"/>
    <w:rsid w:val="0088428A"/>
    <w:rsid w:val="008842BF"/>
    <w:rsid w:val="00884386"/>
    <w:rsid w:val="008844C9"/>
    <w:rsid w:val="0088457E"/>
    <w:rsid w:val="008848E1"/>
    <w:rsid w:val="00884B31"/>
    <w:rsid w:val="00884B62"/>
    <w:rsid w:val="00884B8E"/>
    <w:rsid w:val="00884BF8"/>
    <w:rsid w:val="00884E9A"/>
    <w:rsid w:val="00884F5A"/>
    <w:rsid w:val="0088529C"/>
    <w:rsid w:val="008858B2"/>
    <w:rsid w:val="008858ED"/>
    <w:rsid w:val="00885AFD"/>
    <w:rsid w:val="00885C35"/>
    <w:rsid w:val="00885C71"/>
    <w:rsid w:val="00885F91"/>
    <w:rsid w:val="0088656A"/>
    <w:rsid w:val="00886D86"/>
    <w:rsid w:val="00886E0E"/>
    <w:rsid w:val="008870AB"/>
    <w:rsid w:val="00887154"/>
    <w:rsid w:val="00887903"/>
    <w:rsid w:val="00887E93"/>
    <w:rsid w:val="00890175"/>
    <w:rsid w:val="008905A9"/>
    <w:rsid w:val="008905DA"/>
    <w:rsid w:val="008908E7"/>
    <w:rsid w:val="00890A5B"/>
    <w:rsid w:val="00891356"/>
    <w:rsid w:val="00891C3C"/>
    <w:rsid w:val="00891CCA"/>
    <w:rsid w:val="00891CFD"/>
    <w:rsid w:val="00891ECB"/>
    <w:rsid w:val="0089204C"/>
    <w:rsid w:val="008921BF"/>
    <w:rsid w:val="00892361"/>
    <w:rsid w:val="0089250D"/>
    <w:rsid w:val="0089270A"/>
    <w:rsid w:val="00892731"/>
    <w:rsid w:val="0089283C"/>
    <w:rsid w:val="00892A0B"/>
    <w:rsid w:val="00892F13"/>
    <w:rsid w:val="00893110"/>
    <w:rsid w:val="0089313F"/>
    <w:rsid w:val="00893347"/>
    <w:rsid w:val="00893847"/>
    <w:rsid w:val="008938DD"/>
    <w:rsid w:val="00893A07"/>
    <w:rsid w:val="00893AD0"/>
    <w:rsid w:val="00893AF6"/>
    <w:rsid w:val="00893E1E"/>
    <w:rsid w:val="00894186"/>
    <w:rsid w:val="0089474D"/>
    <w:rsid w:val="00894BC4"/>
    <w:rsid w:val="00894BC8"/>
    <w:rsid w:val="00894EBA"/>
    <w:rsid w:val="0089518A"/>
    <w:rsid w:val="008951D8"/>
    <w:rsid w:val="0089583E"/>
    <w:rsid w:val="00895E62"/>
    <w:rsid w:val="00895FDC"/>
    <w:rsid w:val="00896015"/>
    <w:rsid w:val="008960A1"/>
    <w:rsid w:val="0089613A"/>
    <w:rsid w:val="0089627A"/>
    <w:rsid w:val="00896890"/>
    <w:rsid w:val="008968FF"/>
    <w:rsid w:val="008969CF"/>
    <w:rsid w:val="00896B60"/>
    <w:rsid w:val="00896BD1"/>
    <w:rsid w:val="008973ED"/>
    <w:rsid w:val="008975B4"/>
    <w:rsid w:val="00897652"/>
    <w:rsid w:val="008977D1"/>
    <w:rsid w:val="00897887"/>
    <w:rsid w:val="00897B86"/>
    <w:rsid w:val="00897C49"/>
    <w:rsid w:val="00897F22"/>
    <w:rsid w:val="008A03ED"/>
    <w:rsid w:val="008A0489"/>
    <w:rsid w:val="008A0BA8"/>
    <w:rsid w:val="008A0D4C"/>
    <w:rsid w:val="008A129D"/>
    <w:rsid w:val="008A1461"/>
    <w:rsid w:val="008A1869"/>
    <w:rsid w:val="008A1BD0"/>
    <w:rsid w:val="008A1ECC"/>
    <w:rsid w:val="008A1F38"/>
    <w:rsid w:val="008A1F8D"/>
    <w:rsid w:val="008A2284"/>
    <w:rsid w:val="008A22CB"/>
    <w:rsid w:val="008A2806"/>
    <w:rsid w:val="008A28A8"/>
    <w:rsid w:val="008A2E91"/>
    <w:rsid w:val="008A2FB1"/>
    <w:rsid w:val="008A3603"/>
    <w:rsid w:val="008A3684"/>
    <w:rsid w:val="008A3A6E"/>
    <w:rsid w:val="008A3B8D"/>
    <w:rsid w:val="008A3D5B"/>
    <w:rsid w:val="008A3EFB"/>
    <w:rsid w:val="008A4014"/>
    <w:rsid w:val="008A41F6"/>
    <w:rsid w:val="008A42CD"/>
    <w:rsid w:val="008A4353"/>
    <w:rsid w:val="008A4E2B"/>
    <w:rsid w:val="008A54AC"/>
    <w:rsid w:val="008A559F"/>
    <w:rsid w:val="008A564C"/>
    <w:rsid w:val="008A56BD"/>
    <w:rsid w:val="008A599B"/>
    <w:rsid w:val="008A5B32"/>
    <w:rsid w:val="008A5D5E"/>
    <w:rsid w:val="008A6325"/>
    <w:rsid w:val="008A661E"/>
    <w:rsid w:val="008A67E4"/>
    <w:rsid w:val="008A68E5"/>
    <w:rsid w:val="008A6A63"/>
    <w:rsid w:val="008A6BFA"/>
    <w:rsid w:val="008A6E90"/>
    <w:rsid w:val="008A6EE8"/>
    <w:rsid w:val="008A719E"/>
    <w:rsid w:val="008A72DB"/>
    <w:rsid w:val="008A74EC"/>
    <w:rsid w:val="008A7585"/>
    <w:rsid w:val="008A7660"/>
    <w:rsid w:val="008A76B9"/>
    <w:rsid w:val="008A7AF6"/>
    <w:rsid w:val="008A7D13"/>
    <w:rsid w:val="008B0186"/>
    <w:rsid w:val="008B09C7"/>
    <w:rsid w:val="008B0D0A"/>
    <w:rsid w:val="008B0D62"/>
    <w:rsid w:val="008B102A"/>
    <w:rsid w:val="008B123E"/>
    <w:rsid w:val="008B14B5"/>
    <w:rsid w:val="008B1622"/>
    <w:rsid w:val="008B1686"/>
    <w:rsid w:val="008B19E4"/>
    <w:rsid w:val="008B1AA5"/>
    <w:rsid w:val="008B1B09"/>
    <w:rsid w:val="008B1B17"/>
    <w:rsid w:val="008B1B99"/>
    <w:rsid w:val="008B1C82"/>
    <w:rsid w:val="008B1CC2"/>
    <w:rsid w:val="008B1D1C"/>
    <w:rsid w:val="008B1D55"/>
    <w:rsid w:val="008B2029"/>
    <w:rsid w:val="008B228A"/>
    <w:rsid w:val="008B2386"/>
    <w:rsid w:val="008B24F6"/>
    <w:rsid w:val="008B28B0"/>
    <w:rsid w:val="008B28D0"/>
    <w:rsid w:val="008B2CFB"/>
    <w:rsid w:val="008B2EE4"/>
    <w:rsid w:val="008B2FAB"/>
    <w:rsid w:val="008B324B"/>
    <w:rsid w:val="008B34BE"/>
    <w:rsid w:val="008B3821"/>
    <w:rsid w:val="008B3AEC"/>
    <w:rsid w:val="008B3B08"/>
    <w:rsid w:val="008B3C05"/>
    <w:rsid w:val="008B3C9C"/>
    <w:rsid w:val="008B3F2E"/>
    <w:rsid w:val="008B416D"/>
    <w:rsid w:val="008B41CF"/>
    <w:rsid w:val="008B4647"/>
    <w:rsid w:val="008B4A63"/>
    <w:rsid w:val="008B4A80"/>
    <w:rsid w:val="008B4D3D"/>
    <w:rsid w:val="008B4D6D"/>
    <w:rsid w:val="008B5721"/>
    <w:rsid w:val="008B57C7"/>
    <w:rsid w:val="008B5950"/>
    <w:rsid w:val="008B5A65"/>
    <w:rsid w:val="008B5CBE"/>
    <w:rsid w:val="008B5D03"/>
    <w:rsid w:val="008B6133"/>
    <w:rsid w:val="008B64BB"/>
    <w:rsid w:val="008B687E"/>
    <w:rsid w:val="008B69D5"/>
    <w:rsid w:val="008B6B79"/>
    <w:rsid w:val="008B6BA3"/>
    <w:rsid w:val="008B7234"/>
    <w:rsid w:val="008B732E"/>
    <w:rsid w:val="008B739D"/>
    <w:rsid w:val="008B7574"/>
    <w:rsid w:val="008B78A6"/>
    <w:rsid w:val="008B7A1D"/>
    <w:rsid w:val="008B7EA3"/>
    <w:rsid w:val="008B7EFC"/>
    <w:rsid w:val="008B7F00"/>
    <w:rsid w:val="008B7F7E"/>
    <w:rsid w:val="008C0270"/>
    <w:rsid w:val="008C07F1"/>
    <w:rsid w:val="008C0A07"/>
    <w:rsid w:val="008C0ABF"/>
    <w:rsid w:val="008C0C33"/>
    <w:rsid w:val="008C0F8B"/>
    <w:rsid w:val="008C110C"/>
    <w:rsid w:val="008C1201"/>
    <w:rsid w:val="008C1C6F"/>
    <w:rsid w:val="008C1E4E"/>
    <w:rsid w:val="008C22E6"/>
    <w:rsid w:val="008C23F1"/>
    <w:rsid w:val="008C2422"/>
    <w:rsid w:val="008C2615"/>
    <w:rsid w:val="008C2F92"/>
    <w:rsid w:val="008C311E"/>
    <w:rsid w:val="008C3546"/>
    <w:rsid w:val="008C469A"/>
    <w:rsid w:val="008C50C1"/>
    <w:rsid w:val="008C5125"/>
    <w:rsid w:val="008C56F5"/>
    <w:rsid w:val="008C57D6"/>
    <w:rsid w:val="008C589D"/>
    <w:rsid w:val="008C5E16"/>
    <w:rsid w:val="008C663A"/>
    <w:rsid w:val="008C669F"/>
    <w:rsid w:val="008C6747"/>
    <w:rsid w:val="008C6956"/>
    <w:rsid w:val="008C69FF"/>
    <w:rsid w:val="008C6C0C"/>
    <w:rsid w:val="008C6D51"/>
    <w:rsid w:val="008C76BA"/>
    <w:rsid w:val="008C7832"/>
    <w:rsid w:val="008C7F09"/>
    <w:rsid w:val="008C7F8C"/>
    <w:rsid w:val="008D001D"/>
    <w:rsid w:val="008D0357"/>
    <w:rsid w:val="008D0554"/>
    <w:rsid w:val="008D0564"/>
    <w:rsid w:val="008D09B8"/>
    <w:rsid w:val="008D0A2E"/>
    <w:rsid w:val="008D0BF3"/>
    <w:rsid w:val="008D0C59"/>
    <w:rsid w:val="008D0C5B"/>
    <w:rsid w:val="008D0CB1"/>
    <w:rsid w:val="008D0FFA"/>
    <w:rsid w:val="008D1A82"/>
    <w:rsid w:val="008D1DF3"/>
    <w:rsid w:val="008D1F14"/>
    <w:rsid w:val="008D1F6E"/>
    <w:rsid w:val="008D20A9"/>
    <w:rsid w:val="008D20F2"/>
    <w:rsid w:val="008D2304"/>
    <w:rsid w:val="008D2345"/>
    <w:rsid w:val="008D234C"/>
    <w:rsid w:val="008D2846"/>
    <w:rsid w:val="008D287C"/>
    <w:rsid w:val="008D2D0C"/>
    <w:rsid w:val="008D3283"/>
    <w:rsid w:val="008D3414"/>
    <w:rsid w:val="008D34E8"/>
    <w:rsid w:val="008D3570"/>
    <w:rsid w:val="008D3E26"/>
    <w:rsid w:val="008D3E5A"/>
    <w:rsid w:val="008D4045"/>
    <w:rsid w:val="008D41B6"/>
    <w:rsid w:val="008D4236"/>
    <w:rsid w:val="008D4261"/>
    <w:rsid w:val="008D42D5"/>
    <w:rsid w:val="008D449C"/>
    <w:rsid w:val="008D4528"/>
    <w:rsid w:val="008D45A5"/>
    <w:rsid w:val="008D462F"/>
    <w:rsid w:val="008D4847"/>
    <w:rsid w:val="008D4AEE"/>
    <w:rsid w:val="008D4B1C"/>
    <w:rsid w:val="008D4D33"/>
    <w:rsid w:val="008D5220"/>
    <w:rsid w:val="008D54EB"/>
    <w:rsid w:val="008D5948"/>
    <w:rsid w:val="008D5979"/>
    <w:rsid w:val="008D6251"/>
    <w:rsid w:val="008D63AB"/>
    <w:rsid w:val="008D6418"/>
    <w:rsid w:val="008D691C"/>
    <w:rsid w:val="008D6CEC"/>
    <w:rsid w:val="008D6DCF"/>
    <w:rsid w:val="008D76B1"/>
    <w:rsid w:val="008D7899"/>
    <w:rsid w:val="008D7C14"/>
    <w:rsid w:val="008D7E42"/>
    <w:rsid w:val="008E01DE"/>
    <w:rsid w:val="008E03FF"/>
    <w:rsid w:val="008E043C"/>
    <w:rsid w:val="008E0443"/>
    <w:rsid w:val="008E06B9"/>
    <w:rsid w:val="008E0807"/>
    <w:rsid w:val="008E0CE5"/>
    <w:rsid w:val="008E0E43"/>
    <w:rsid w:val="008E0E6C"/>
    <w:rsid w:val="008E13FE"/>
    <w:rsid w:val="008E1723"/>
    <w:rsid w:val="008E1982"/>
    <w:rsid w:val="008E1C86"/>
    <w:rsid w:val="008E241D"/>
    <w:rsid w:val="008E2912"/>
    <w:rsid w:val="008E2DC9"/>
    <w:rsid w:val="008E2E66"/>
    <w:rsid w:val="008E32B9"/>
    <w:rsid w:val="008E357D"/>
    <w:rsid w:val="008E3B75"/>
    <w:rsid w:val="008E3B98"/>
    <w:rsid w:val="008E3BD5"/>
    <w:rsid w:val="008E3E6C"/>
    <w:rsid w:val="008E3F1B"/>
    <w:rsid w:val="008E3F57"/>
    <w:rsid w:val="008E4034"/>
    <w:rsid w:val="008E411F"/>
    <w:rsid w:val="008E4376"/>
    <w:rsid w:val="008E44B6"/>
    <w:rsid w:val="008E4640"/>
    <w:rsid w:val="008E48B1"/>
    <w:rsid w:val="008E4A54"/>
    <w:rsid w:val="008E4E32"/>
    <w:rsid w:val="008E4EAD"/>
    <w:rsid w:val="008E5308"/>
    <w:rsid w:val="008E5475"/>
    <w:rsid w:val="008E54D7"/>
    <w:rsid w:val="008E566F"/>
    <w:rsid w:val="008E5809"/>
    <w:rsid w:val="008E5CF2"/>
    <w:rsid w:val="008E5E1C"/>
    <w:rsid w:val="008E604D"/>
    <w:rsid w:val="008E6266"/>
    <w:rsid w:val="008E63CD"/>
    <w:rsid w:val="008E6406"/>
    <w:rsid w:val="008E680B"/>
    <w:rsid w:val="008E68E2"/>
    <w:rsid w:val="008E6A9B"/>
    <w:rsid w:val="008E6F67"/>
    <w:rsid w:val="008E7016"/>
    <w:rsid w:val="008E71A0"/>
    <w:rsid w:val="008E7483"/>
    <w:rsid w:val="008E77A7"/>
    <w:rsid w:val="008E78F2"/>
    <w:rsid w:val="008E7A0A"/>
    <w:rsid w:val="008E7B49"/>
    <w:rsid w:val="008E7F8B"/>
    <w:rsid w:val="008E88E0"/>
    <w:rsid w:val="008F0867"/>
    <w:rsid w:val="008F09F7"/>
    <w:rsid w:val="008F0CA4"/>
    <w:rsid w:val="008F1251"/>
    <w:rsid w:val="008F1386"/>
    <w:rsid w:val="008F144E"/>
    <w:rsid w:val="008F1A1A"/>
    <w:rsid w:val="008F1AFB"/>
    <w:rsid w:val="008F1C7D"/>
    <w:rsid w:val="008F1CA7"/>
    <w:rsid w:val="008F1D76"/>
    <w:rsid w:val="008F2317"/>
    <w:rsid w:val="008F2782"/>
    <w:rsid w:val="008F2B03"/>
    <w:rsid w:val="008F2BE6"/>
    <w:rsid w:val="008F2ED0"/>
    <w:rsid w:val="008F2EE7"/>
    <w:rsid w:val="008F302A"/>
    <w:rsid w:val="008F3676"/>
    <w:rsid w:val="008F387A"/>
    <w:rsid w:val="008F38DA"/>
    <w:rsid w:val="008F38F9"/>
    <w:rsid w:val="008F39A9"/>
    <w:rsid w:val="008F3DE4"/>
    <w:rsid w:val="008F4028"/>
    <w:rsid w:val="008F45AC"/>
    <w:rsid w:val="008F4717"/>
    <w:rsid w:val="008F4970"/>
    <w:rsid w:val="008F4B37"/>
    <w:rsid w:val="008F4E7C"/>
    <w:rsid w:val="008F529E"/>
    <w:rsid w:val="008F5326"/>
    <w:rsid w:val="008F5785"/>
    <w:rsid w:val="008F59F6"/>
    <w:rsid w:val="008F5A78"/>
    <w:rsid w:val="008F5F37"/>
    <w:rsid w:val="008F6049"/>
    <w:rsid w:val="008F6095"/>
    <w:rsid w:val="008F67A1"/>
    <w:rsid w:val="008F698B"/>
    <w:rsid w:val="008F6F71"/>
    <w:rsid w:val="008F7328"/>
    <w:rsid w:val="008F7930"/>
    <w:rsid w:val="008F7BE2"/>
    <w:rsid w:val="008F7BE7"/>
    <w:rsid w:val="008F7BFA"/>
    <w:rsid w:val="008F7C04"/>
    <w:rsid w:val="008F7C2F"/>
    <w:rsid w:val="008F7CE5"/>
    <w:rsid w:val="008F7EBB"/>
    <w:rsid w:val="00900022"/>
    <w:rsid w:val="00900191"/>
    <w:rsid w:val="00900215"/>
    <w:rsid w:val="009002CB"/>
    <w:rsid w:val="0090057E"/>
    <w:rsid w:val="00900719"/>
    <w:rsid w:val="00900779"/>
    <w:rsid w:val="009008FA"/>
    <w:rsid w:val="0090092B"/>
    <w:rsid w:val="00900952"/>
    <w:rsid w:val="00900EB7"/>
    <w:rsid w:val="009014BD"/>
    <w:rsid w:val="009016C5"/>
    <w:rsid w:val="009017AC"/>
    <w:rsid w:val="00901AA9"/>
    <w:rsid w:val="0090271B"/>
    <w:rsid w:val="00902933"/>
    <w:rsid w:val="00902A9A"/>
    <w:rsid w:val="00902B7F"/>
    <w:rsid w:val="00903839"/>
    <w:rsid w:val="00903B70"/>
    <w:rsid w:val="00903B94"/>
    <w:rsid w:val="00904050"/>
    <w:rsid w:val="00904187"/>
    <w:rsid w:val="0090440A"/>
    <w:rsid w:val="00904592"/>
    <w:rsid w:val="00904A1C"/>
    <w:rsid w:val="00904C01"/>
    <w:rsid w:val="00904E60"/>
    <w:rsid w:val="00905030"/>
    <w:rsid w:val="00905087"/>
    <w:rsid w:val="009051D3"/>
    <w:rsid w:val="009053EB"/>
    <w:rsid w:val="00905546"/>
    <w:rsid w:val="0090554D"/>
    <w:rsid w:val="00905B11"/>
    <w:rsid w:val="00905CE4"/>
    <w:rsid w:val="00905D22"/>
    <w:rsid w:val="0090611D"/>
    <w:rsid w:val="00906319"/>
    <w:rsid w:val="00906490"/>
    <w:rsid w:val="00906655"/>
    <w:rsid w:val="00906968"/>
    <w:rsid w:val="00906D46"/>
    <w:rsid w:val="00906F71"/>
    <w:rsid w:val="00906FE5"/>
    <w:rsid w:val="009070CF"/>
    <w:rsid w:val="009070E6"/>
    <w:rsid w:val="009074EF"/>
    <w:rsid w:val="00907634"/>
    <w:rsid w:val="00907A79"/>
    <w:rsid w:val="0091040E"/>
    <w:rsid w:val="00910505"/>
    <w:rsid w:val="0091070C"/>
    <w:rsid w:val="00910825"/>
    <w:rsid w:val="0091093C"/>
    <w:rsid w:val="009109B3"/>
    <w:rsid w:val="00910A0F"/>
    <w:rsid w:val="00910C21"/>
    <w:rsid w:val="00910D8D"/>
    <w:rsid w:val="00910F79"/>
    <w:rsid w:val="00911084"/>
    <w:rsid w:val="009111B2"/>
    <w:rsid w:val="009112BE"/>
    <w:rsid w:val="009114B5"/>
    <w:rsid w:val="00911550"/>
    <w:rsid w:val="009117B6"/>
    <w:rsid w:val="00911B1A"/>
    <w:rsid w:val="00911BD5"/>
    <w:rsid w:val="00911C70"/>
    <w:rsid w:val="00911FBF"/>
    <w:rsid w:val="00912083"/>
    <w:rsid w:val="00912148"/>
    <w:rsid w:val="0091240F"/>
    <w:rsid w:val="009126A0"/>
    <w:rsid w:val="009126FD"/>
    <w:rsid w:val="00912874"/>
    <w:rsid w:val="009128BC"/>
    <w:rsid w:val="00912BD1"/>
    <w:rsid w:val="00913130"/>
    <w:rsid w:val="009136A3"/>
    <w:rsid w:val="00913A1A"/>
    <w:rsid w:val="00913CC8"/>
    <w:rsid w:val="00913D8E"/>
    <w:rsid w:val="00914601"/>
    <w:rsid w:val="00914B98"/>
    <w:rsid w:val="009150FB"/>
    <w:rsid w:val="009151F5"/>
    <w:rsid w:val="009152EB"/>
    <w:rsid w:val="0091533F"/>
    <w:rsid w:val="009153A0"/>
    <w:rsid w:val="009154BC"/>
    <w:rsid w:val="009158D0"/>
    <w:rsid w:val="009159A2"/>
    <w:rsid w:val="00915A87"/>
    <w:rsid w:val="00915B26"/>
    <w:rsid w:val="0091604A"/>
    <w:rsid w:val="0091619C"/>
    <w:rsid w:val="009167F5"/>
    <w:rsid w:val="00916A26"/>
    <w:rsid w:val="00916A8A"/>
    <w:rsid w:val="00916BF2"/>
    <w:rsid w:val="00916C9F"/>
    <w:rsid w:val="00916FCF"/>
    <w:rsid w:val="00916FF2"/>
    <w:rsid w:val="00917416"/>
    <w:rsid w:val="00917648"/>
    <w:rsid w:val="009177D9"/>
    <w:rsid w:val="00917ADA"/>
    <w:rsid w:val="00917D09"/>
    <w:rsid w:val="00917D59"/>
    <w:rsid w:val="00917D5E"/>
    <w:rsid w:val="009207AD"/>
    <w:rsid w:val="00920811"/>
    <w:rsid w:val="009208DC"/>
    <w:rsid w:val="00920A07"/>
    <w:rsid w:val="00920D5A"/>
    <w:rsid w:val="00920E60"/>
    <w:rsid w:val="00920EB6"/>
    <w:rsid w:val="009210AB"/>
    <w:rsid w:val="009210FF"/>
    <w:rsid w:val="00921154"/>
    <w:rsid w:val="009214E7"/>
    <w:rsid w:val="00921B3C"/>
    <w:rsid w:val="00921B4F"/>
    <w:rsid w:val="00921BC7"/>
    <w:rsid w:val="00921D1C"/>
    <w:rsid w:val="00921F2C"/>
    <w:rsid w:val="0092239A"/>
    <w:rsid w:val="00922512"/>
    <w:rsid w:val="009226BE"/>
    <w:rsid w:val="009227AB"/>
    <w:rsid w:val="009229F8"/>
    <w:rsid w:val="00922D84"/>
    <w:rsid w:val="00922F2D"/>
    <w:rsid w:val="009235BE"/>
    <w:rsid w:val="00923890"/>
    <w:rsid w:val="00923989"/>
    <w:rsid w:val="00923B64"/>
    <w:rsid w:val="00924015"/>
    <w:rsid w:val="00924237"/>
    <w:rsid w:val="009242A6"/>
    <w:rsid w:val="0092476D"/>
    <w:rsid w:val="009249E6"/>
    <w:rsid w:val="00924AE1"/>
    <w:rsid w:val="0092502D"/>
    <w:rsid w:val="009257D9"/>
    <w:rsid w:val="00925AB0"/>
    <w:rsid w:val="00925D4A"/>
    <w:rsid w:val="00925E8D"/>
    <w:rsid w:val="00925FA3"/>
    <w:rsid w:val="00926710"/>
    <w:rsid w:val="0092674A"/>
    <w:rsid w:val="009269B1"/>
    <w:rsid w:val="00926C00"/>
    <w:rsid w:val="00926DC4"/>
    <w:rsid w:val="00926DE8"/>
    <w:rsid w:val="00927122"/>
    <w:rsid w:val="0092724D"/>
    <w:rsid w:val="009272B3"/>
    <w:rsid w:val="009272FA"/>
    <w:rsid w:val="009274AB"/>
    <w:rsid w:val="0092765F"/>
    <w:rsid w:val="0092790F"/>
    <w:rsid w:val="009279BA"/>
    <w:rsid w:val="00927C08"/>
    <w:rsid w:val="00927D01"/>
    <w:rsid w:val="00927DE9"/>
    <w:rsid w:val="0093028B"/>
    <w:rsid w:val="009302CE"/>
    <w:rsid w:val="0093050C"/>
    <w:rsid w:val="009305C5"/>
    <w:rsid w:val="00930914"/>
    <w:rsid w:val="00930993"/>
    <w:rsid w:val="00930C71"/>
    <w:rsid w:val="00930D67"/>
    <w:rsid w:val="00930DEF"/>
    <w:rsid w:val="00931060"/>
    <w:rsid w:val="0093153C"/>
    <w:rsid w:val="009315BE"/>
    <w:rsid w:val="00931747"/>
    <w:rsid w:val="00931828"/>
    <w:rsid w:val="00931ABA"/>
    <w:rsid w:val="00931ACF"/>
    <w:rsid w:val="00931E19"/>
    <w:rsid w:val="0093206E"/>
    <w:rsid w:val="009324E0"/>
    <w:rsid w:val="009326DD"/>
    <w:rsid w:val="00932823"/>
    <w:rsid w:val="00932CAF"/>
    <w:rsid w:val="00932E78"/>
    <w:rsid w:val="00932E82"/>
    <w:rsid w:val="00933186"/>
    <w:rsid w:val="00933250"/>
    <w:rsid w:val="00933282"/>
    <w:rsid w:val="0093338F"/>
    <w:rsid w:val="0093364B"/>
    <w:rsid w:val="00933715"/>
    <w:rsid w:val="00933A27"/>
    <w:rsid w:val="00933A36"/>
    <w:rsid w:val="00933A44"/>
    <w:rsid w:val="0093422E"/>
    <w:rsid w:val="00934685"/>
    <w:rsid w:val="00934B66"/>
    <w:rsid w:val="00934C50"/>
    <w:rsid w:val="00934DA5"/>
    <w:rsid w:val="00934E65"/>
    <w:rsid w:val="0093546A"/>
    <w:rsid w:val="00935584"/>
    <w:rsid w:val="0093576C"/>
    <w:rsid w:val="009359F5"/>
    <w:rsid w:val="00935C3B"/>
    <w:rsid w:val="00935D34"/>
    <w:rsid w:val="00935DF0"/>
    <w:rsid w:val="00936002"/>
    <w:rsid w:val="0093621E"/>
    <w:rsid w:val="00936ADD"/>
    <w:rsid w:val="00936F46"/>
    <w:rsid w:val="009371CF"/>
    <w:rsid w:val="00937214"/>
    <w:rsid w:val="009373F8"/>
    <w:rsid w:val="009375A9"/>
    <w:rsid w:val="009375E0"/>
    <w:rsid w:val="009377EB"/>
    <w:rsid w:val="00937B59"/>
    <w:rsid w:val="00937BD9"/>
    <w:rsid w:val="00940038"/>
    <w:rsid w:val="0094011F"/>
    <w:rsid w:val="00940EE5"/>
    <w:rsid w:val="00940F92"/>
    <w:rsid w:val="00941063"/>
    <w:rsid w:val="009417F7"/>
    <w:rsid w:val="00941968"/>
    <w:rsid w:val="00941A98"/>
    <w:rsid w:val="0094243F"/>
    <w:rsid w:val="009427F7"/>
    <w:rsid w:val="009428D6"/>
    <w:rsid w:val="009429CF"/>
    <w:rsid w:val="00942D11"/>
    <w:rsid w:val="00943775"/>
    <w:rsid w:val="00943C2C"/>
    <w:rsid w:val="00943E39"/>
    <w:rsid w:val="00943E44"/>
    <w:rsid w:val="0094401E"/>
    <w:rsid w:val="00944116"/>
    <w:rsid w:val="009447BF"/>
    <w:rsid w:val="009447D7"/>
    <w:rsid w:val="009447FF"/>
    <w:rsid w:val="009449BC"/>
    <w:rsid w:val="00944F7F"/>
    <w:rsid w:val="0094511C"/>
    <w:rsid w:val="0094550A"/>
    <w:rsid w:val="009458C1"/>
    <w:rsid w:val="009459EC"/>
    <w:rsid w:val="00945AD7"/>
    <w:rsid w:val="00945B7A"/>
    <w:rsid w:val="00945BCB"/>
    <w:rsid w:val="00945DB5"/>
    <w:rsid w:val="00945FA3"/>
    <w:rsid w:val="009463CA"/>
    <w:rsid w:val="00946A02"/>
    <w:rsid w:val="00946C90"/>
    <w:rsid w:val="00946F28"/>
    <w:rsid w:val="00946F62"/>
    <w:rsid w:val="00947623"/>
    <w:rsid w:val="00947653"/>
    <w:rsid w:val="0094765F"/>
    <w:rsid w:val="00947A71"/>
    <w:rsid w:val="00947BF5"/>
    <w:rsid w:val="00947E45"/>
    <w:rsid w:val="00950560"/>
    <w:rsid w:val="00950B1D"/>
    <w:rsid w:val="00950C92"/>
    <w:rsid w:val="00950CFC"/>
    <w:rsid w:val="00950E2C"/>
    <w:rsid w:val="009512AC"/>
    <w:rsid w:val="009515FF"/>
    <w:rsid w:val="009516BA"/>
    <w:rsid w:val="009518E3"/>
    <w:rsid w:val="00951970"/>
    <w:rsid w:val="0095197B"/>
    <w:rsid w:val="00951A50"/>
    <w:rsid w:val="00951AA5"/>
    <w:rsid w:val="00951CC0"/>
    <w:rsid w:val="00951D50"/>
    <w:rsid w:val="00952109"/>
    <w:rsid w:val="009522D1"/>
    <w:rsid w:val="009525EB"/>
    <w:rsid w:val="0095279A"/>
    <w:rsid w:val="00952C0E"/>
    <w:rsid w:val="00952D7E"/>
    <w:rsid w:val="00952F4F"/>
    <w:rsid w:val="00952FA4"/>
    <w:rsid w:val="009532BE"/>
    <w:rsid w:val="009537EA"/>
    <w:rsid w:val="00953994"/>
    <w:rsid w:val="00953CAC"/>
    <w:rsid w:val="00953F8B"/>
    <w:rsid w:val="00953FAB"/>
    <w:rsid w:val="00953FE9"/>
    <w:rsid w:val="00954110"/>
    <w:rsid w:val="009541D4"/>
    <w:rsid w:val="0095470B"/>
    <w:rsid w:val="00954874"/>
    <w:rsid w:val="009549F3"/>
    <w:rsid w:val="00954A45"/>
    <w:rsid w:val="00954A4D"/>
    <w:rsid w:val="00954B73"/>
    <w:rsid w:val="00954BFF"/>
    <w:rsid w:val="009552F3"/>
    <w:rsid w:val="009556C2"/>
    <w:rsid w:val="00955937"/>
    <w:rsid w:val="00955E29"/>
    <w:rsid w:val="009560C6"/>
    <w:rsid w:val="009560CC"/>
    <w:rsid w:val="0095615A"/>
    <w:rsid w:val="00956400"/>
    <w:rsid w:val="00956749"/>
    <w:rsid w:val="0095698B"/>
    <w:rsid w:val="009569B4"/>
    <w:rsid w:val="00956A8C"/>
    <w:rsid w:val="00956AEF"/>
    <w:rsid w:val="00956BA7"/>
    <w:rsid w:val="00956C74"/>
    <w:rsid w:val="00956EC0"/>
    <w:rsid w:val="00957533"/>
    <w:rsid w:val="00957963"/>
    <w:rsid w:val="009602DB"/>
    <w:rsid w:val="009606BD"/>
    <w:rsid w:val="00960701"/>
    <w:rsid w:val="009607AA"/>
    <w:rsid w:val="0096097E"/>
    <w:rsid w:val="009609B4"/>
    <w:rsid w:val="00960A6E"/>
    <w:rsid w:val="00960B50"/>
    <w:rsid w:val="00960C43"/>
    <w:rsid w:val="00961044"/>
    <w:rsid w:val="009610B2"/>
    <w:rsid w:val="00961325"/>
    <w:rsid w:val="009613BB"/>
    <w:rsid w:val="00961400"/>
    <w:rsid w:val="009619D9"/>
    <w:rsid w:val="00961B02"/>
    <w:rsid w:val="00961BA2"/>
    <w:rsid w:val="00961D05"/>
    <w:rsid w:val="00962783"/>
    <w:rsid w:val="00962909"/>
    <w:rsid w:val="00962EC6"/>
    <w:rsid w:val="009630D1"/>
    <w:rsid w:val="009634F5"/>
    <w:rsid w:val="0096363D"/>
    <w:rsid w:val="00963646"/>
    <w:rsid w:val="00963907"/>
    <w:rsid w:val="00963A35"/>
    <w:rsid w:val="00963C1E"/>
    <w:rsid w:val="00963EA6"/>
    <w:rsid w:val="00963F12"/>
    <w:rsid w:val="00964248"/>
    <w:rsid w:val="009643F4"/>
    <w:rsid w:val="00964531"/>
    <w:rsid w:val="0096456F"/>
    <w:rsid w:val="0096487D"/>
    <w:rsid w:val="00964AA2"/>
    <w:rsid w:val="00964BEB"/>
    <w:rsid w:val="00965133"/>
    <w:rsid w:val="0096516E"/>
    <w:rsid w:val="00965186"/>
    <w:rsid w:val="0096585C"/>
    <w:rsid w:val="00965EF5"/>
    <w:rsid w:val="00965FA2"/>
    <w:rsid w:val="0096632D"/>
    <w:rsid w:val="009663FE"/>
    <w:rsid w:val="00966446"/>
    <w:rsid w:val="0096656F"/>
    <w:rsid w:val="00966787"/>
    <w:rsid w:val="009668D4"/>
    <w:rsid w:val="00966AD5"/>
    <w:rsid w:val="00966BB9"/>
    <w:rsid w:val="00966CE5"/>
    <w:rsid w:val="00966DF1"/>
    <w:rsid w:val="00966E81"/>
    <w:rsid w:val="00967124"/>
    <w:rsid w:val="009671F6"/>
    <w:rsid w:val="00967227"/>
    <w:rsid w:val="009675F3"/>
    <w:rsid w:val="0096762A"/>
    <w:rsid w:val="00967D7C"/>
    <w:rsid w:val="00970080"/>
    <w:rsid w:val="00970255"/>
    <w:rsid w:val="00970357"/>
    <w:rsid w:val="0097061D"/>
    <w:rsid w:val="00970689"/>
    <w:rsid w:val="00970962"/>
    <w:rsid w:val="00970A80"/>
    <w:rsid w:val="00970B16"/>
    <w:rsid w:val="00970B32"/>
    <w:rsid w:val="00970C7B"/>
    <w:rsid w:val="009713D6"/>
    <w:rsid w:val="00971560"/>
    <w:rsid w:val="0097166C"/>
    <w:rsid w:val="00971759"/>
    <w:rsid w:val="009718C7"/>
    <w:rsid w:val="009718D3"/>
    <w:rsid w:val="00971C85"/>
    <w:rsid w:val="00971D02"/>
    <w:rsid w:val="00971DF7"/>
    <w:rsid w:val="00972093"/>
    <w:rsid w:val="009721C1"/>
    <w:rsid w:val="009722F0"/>
    <w:rsid w:val="009726D5"/>
    <w:rsid w:val="009727E7"/>
    <w:rsid w:val="009729ED"/>
    <w:rsid w:val="00972BD1"/>
    <w:rsid w:val="00972C44"/>
    <w:rsid w:val="00972CF7"/>
    <w:rsid w:val="0097305C"/>
    <w:rsid w:val="009731F2"/>
    <w:rsid w:val="00973648"/>
    <w:rsid w:val="00973A98"/>
    <w:rsid w:val="00973B2D"/>
    <w:rsid w:val="00973F33"/>
    <w:rsid w:val="00973F55"/>
    <w:rsid w:val="00974758"/>
    <w:rsid w:val="009748B5"/>
    <w:rsid w:val="00974A5C"/>
    <w:rsid w:val="00974A65"/>
    <w:rsid w:val="00974B9F"/>
    <w:rsid w:val="00974CBE"/>
    <w:rsid w:val="00974CE4"/>
    <w:rsid w:val="00974E51"/>
    <w:rsid w:val="009750CA"/>
    <w:rsid w:val="00975297"/>
    <w:rsid w:val="0097559F"/>
    <w:rsid w:val="00975617"/>
    <w:rsid w:val="0097581B"/>
    <w:rsid w:val="00975C1B"/>
    <w:rsid w:val="00975FF4"/>
    <w:rsid w:val="00976036"/>
    <w:rsid w:val="009761EA"/>
    <w:rsid w:val="00976430"/>
    <w:rsid w:val="009765BE"/>
    <w:rsid w:val="00976697"/>
    <w:rsid w:val="00976B0F"/>
    <w:rsid w:val="00976BF4"/>
    <w:rsid w:val="0097705A"/>
    <w:rsid w:val="00977199"/>
    <w:rsid w:val="00977381"/>
    <w:rsid w:val="0097761E"/>
    <w:rsid w:val="0097765A"/>
    <w:rsid w:val="00977693"/>
    <w:rsid w:val="00977903"/>
    <w:rsid w:val="00977B29"/>
    <w:rsid w:val="00977D50"/>
    <w:rsid w:val="00977FCB"/>
    <w:rsid w:val="009804F5"/>
    <w:rsid w:val="0098054B"/>
    <w:rsid w:val="00980680"/>
    <w:rsid w:val="009812BA"/>
    <w:rsid w:val="0098139F"/>
    <w:rsid w:val="009813E4"/>
    <w:rsid w:val="00981AA0"/>
    <w:rsid w:val="00981ECC"/>
    <w:rsid w:val="00981F36"/>
    <w:rsid w:val="00982027"/>
    <w:rsid w:val="009820E3"/>
    <w:rsid w:val="009822DD"/>
    <w:rsid w:val="009822F1"/>
    <w:rsid w:val="0098233D"/>
    <w:rsid w:val="0098233E"/>
    <w:rsid w:val="00982454"/>
    <w:rsid w:val="009825E0"/>
    <w:rsid w:val="00982CF0"/>
    <w:rsid w:val="0098321C"/>
    <w:rsid w:val="009833D8"/>
    <w:rsid w:val="00983442"/>
    <w:rsid w:val="009835AD"/>
    <w:rsid w:val="0098398C"/>
    <w:rsid w:val="00983C73"/>
    <w:rsid w:val="00983CA5"/>
    <w:rsid w:val="00984199"/>
    <w:rsid w:val="00984315"/>
    <w:rsid w:val="0098435A"/>
    <w:rsid w:val="009852DF"/>
    <w:rsid w:val="009853E1"/>
    <w:rsid w:val="0098548E"/>
    <w:rsid w:val="009855B5"/>
    <w:rsid w:val="00985791"/>
    <w:rsid w:val="00985964"/>
    <w:rsid w:val="009861D2"/>
    <w:rsid w:val="009863F0"/>
    <w:rsid w:val="00986B74"/>
    <w:rsid w:val="00986E6B"/>
    <w:rsid w:val="00986E79"/>
    <w:rsid w:val="00987855"/>
    <w:rsid w:val="00987A68"/>
    <w:rsid w:val="00987D46"/>
    <w:rsid w:val="00987DA5"/>
    <w:rsid w:val="00990032"/>
    <w:rsid w:val="009900C6"/>
    <w:rsid w:val="00990269"/>
    <w:rsid w:val="009908F5"/>
    <w:rsid w:val="00990B19"/>
    <w:rsid w:val="00990BC5"/>
    <w:rsid w:val="00990CD4"/>
    <w:rsid w:val="00990D9A"/>
    <w:rsid w:val="00990FCD"/>
    <w:rsid w:val="00991300"/>
    <w:rsid w:val="00991511"/>
    <w:rsid w:val="0099153B"/>
    <w:rsid w:val="009915B0"/>
    <w:rsid w:val="00991769"/>
    <w:rsid w:val="00991880"/>
    <w:rsid w:val="009918E4"/>
    <w:rsid w:val="00992086"/>
    <w:rsid w:val="009920D5"/>
    <w:rsid w:val="0099232C"/>
    <w:rsid w:val="009923BA"/>
    <w:rsid w:val="009927C7"/>
    <w:rsid w:val="00992E7B"/>
    <w:rsid w:val="00992EE1"/>
    <w:rsid w:val="009931C0"/>
    <w:rsid w:val="00993611"/>
    <w:rsid w:val="00993802"/>
    <w:rsid w:val="009938F9"/>
    <w:rsid w:val="00993B35"/>
    <w:rsid w:val="00993BEB"/>
    <w:rsid w:val="00993E05"/>
    <w:rsid w:val="00993E33"/>
    <w:rsid w:val="009941FD"/>
    <w:rsid w:val="00994386"/>
    <w:rsid w:val="0099451E"/>
    <w:rsid w:val="009949D9"/>
    <w:rsid w:val="00994F9E"/>
    <w:rsid w:val="009953A9"/>
    <w:rsid w:val="00995884"/>
    <w:rsid w:val="00996028"/>
    <w:rsid w:val="00996432"/>
    <w:rsid w:val="00996987"/>
    <w:rsid w:val="00996C76"/>
    <w:rsid w:val="00996F9C"/>
    <w:rsid w:val="00997583"/>
    <w:rsid w:val="009979FB"/>
    <w:rsid w:val="00997E54"/>
    <w:rsid w:val="00997FA3"/>
    <w:rsid w:val="009A009A"/>
    <w:rsid w:val="009A0134"/>
    <w:rsid w:val="009A0215"/>
    <w:rsid w:val="009A04A4"/>
    <w:rsid w:val="009A06A5"/>
    <w:rsid w:val="009A0D53"/>
    <w:rsid w:val="009A0E7D"/>
    <w:rsid w:val="009A0F3A"/>
    <w:rsid w:val="009A10D8"/>
    <w:rsid w:val="009A1163"/>
    <w:rsid w:val="009A1375"/>
    <w:rsid w:val="009A13D8"/>
    <w:rsid w:val="009A1651"/>
    <w:rsid w:val="009A1786"/>
    <w:rsid w:val="009A19D0"/>
    <w:rsid w:val="009A1B2D"/>
    <w:rsid w:val="009A236E"/>
    <w:rsid w:val="009A25C4"/>
    <w:rsid w:val="009A279B"/>
    <w:rsid w:val="009A279E"/>
    <w:rsid w:val="009A27E2"/>
    <w:rsid w:val="009A2A54"/>
    <w:rsid w:val="009A2D56"/>
    <w:rsid w:val="009A2DA1"/>
    <w:rsid w:val="009A3015"/>
    <w:rsid w:val="009A3147"/>
    <w:rsid w:val="009A3258"/>
    <w:rsid w:val="009A3347"/>
    <w:rsid w:val="009A3490"/>
    <w:rsid w:val="009A3572"/>
    <w:rsid w:val="009A3765"/>
    <w:rsid w:val="009A3844"/>
    <w:rsid w:val="009A393F"/>
    <w:rsid w:val="009A3E62"/>
    <w:rsid w:val="009A3F04"/>
    <w:rsid w:val="009A4067"/>
    <w:rsid w:val="009A408D"/>
    <w:rsid w:val="009A41BB"/>
    <w:rsid w:val="009A429B"/>
    <w:rsid w:val="009A43CC"/>
    <w:rsid w:val="009A43D7"/>
    <w:rsid w:val="009A49AE"/>
    <w:rsid w:val="009A4B1F"/>
    <w:rsid w:val="009A4C29"/>
    <w:rsid w:val="009A4D0B"/>
    <w:rsid w:val="009A4D6D"/>
    <w:rsid w:val="009A4D8A"/>
    <w:rsid w:val="009A4D98"/>
    <w:rsid w:val="009A4F71"/>
    <w:rsid w:val="009A51EC"/>
    <w:rsid w:val="009A5230"/>
    <w:rsid w:val="009A540E"/>
    <w:rsid w:val="009A5476"/>
    <w:rsid w:val="009A5596"/>
    <w:rsid w:val="009A57D1"/>
    <w:rsid w:val="009A5DAB"/>
    <w:rsid w:val="009A6114"/>
    <w:rsid w:val="009A6284"/>
    <w:rsid w:val="009A650F"/>
    <w:rsid w:val="009A652D"/>
    <w:rsid w:val="009A6535"/>
    <w:rsid w:val="009A66A8"/>
    <w:rsid w:val="009A6A1A"/>
    <w:rsid w:val="009A6A2D"/>
    <w:rsid w:val="009A6B81"/>
    <w:rsid w:val="009A6F62"/>
    <w:rsid w:val="009A715D"/>
    <w:rsid w:val="009A7478"/>
    <w:rsid w:val="009A7575"/>
    <w:rsid w:val="009A77CB"/>
    <w:rsid w:val="009A784E"/>
    <w:rsid w:val="009A7C9E"/>
    <w:rsid w:val="009B0058"/>
    <w:rsid w:val="009B00BD"/>
    <w:rsid w:val="009B00D1"/>
    <w:rsid w:val="009B021D"/>
    <w:rsid w:val="009B034B"/>
    <w:rsid w:val="009B0397"/>
    <w:rsid w:val="009B03EB"/>
    <w:rsid w:val="009B04A8"/>
    <w:rsid w:val="009B07C4"/>
    <w:rsid w:val="009B0843"/>
    <w:rsid w:val="009B094E"/>
    <w:rsid w:val="009B0A6F"/>
    <w:rsid w:val="009B0A94"/>
    <w:rsid w:val="009B0AB5"/>
    <w:rsid w:val="009B0C14"/>
    <w:rsid w:val="009B0C62"/>
    <w:rsid w:val="009B10FE"/>
    <w:rsid w:val="009B11E5"/>
    <w:rsid w:val="009B177B"/>
    <w:rsid w:val="009B18BE"/>
    <w:rsid w:val="009B1B62"/>
    <w:rsid w:val="009B1C8E"/>
    <w:rsid w:val="009B2101"/>
    <w:rsid w:val="009B256A"/>
    <w:rsid w:val="009B2887"/>
    <w:rsid w:val="009B295C"/>
    <w:rsid w:val="009B2ACB"/>
    <w:rsid w:val="009B2AE8"/>
    <w:rsid w:val="009B2E53"/>
    <w:rsid w:val="009B2F88"/>
    <w:rsid w:val="009B304D"/>
    <w:rsid w:val="009B3493"/>
    <w:rsid w:val="009B3716"/>
    <w:rsid w:val="009B3A40"/>
    <w:rsid w:val="009B3B4B"/>
    <w:rsid w:val="009B4099"/>
    <w:rsid w:val="009B4471"/>
    <w:rsid w:val="009B481D"/>
    <w:rsid w:val="009B4CB0"/>
    <w:rsid w:val="009B4F9E"/>
    <w:rsid w:val="009B5398"/>
    <w:rsid w:val="009B5622"/>
    <w:rsid w:val="009B59E9"/>
    <w:rsid w:val="009B5A5D"/>
    <w:rsid w:val="009B5ACF"/>
    <w:rsid w:val="009B5CBD"/>
    <w:rsid w:val="009B5CF7"/>
    <w:rsid w:val="009B5E96"/>
    <w:rsid w:val="009B5F09"/>
    <w:rsid w:val="009B61BF"/>
    <w:rsid w:val="009B61F4"/>
    <w:rsid w:val="009B61F6"/>
    <w:rsid w:val="009B6253"/>
    <w:rsid w:val="009B686B"/>
    <w:rsid w:val="009B689A"/>
    <w:rsid w:val="009B68A0"/>
    <w:rsid w:val="009B68AA"/>
    <w:rsid w:val="009B6BC4"/>
    <w:rsid w:val="009B6C6F"/>
    <w:rsid w:val="009B6DB0"/>
    <w:rsid w:val="009B704B"/>
    <w:rsid w:val="009B70AA"/>
    <w:rsid w:val="009B7189"/>
    <w:rsid w:val="009B7A1E"/>
    <w:rsid w:val="009B7B15"/>
    <w:rsid w:val="009C018F"/>
    <w:rsid w:val="009C0248"/>
    <w:rsid w:val="009C0288"/>
    <w:rsid w:val="009C06B0"/>
    <w:rsid w:val="009C091C"/>
    <w:rsid w:val="009C0C03"/>
    <w:rsid w:val="009C0D39"/>
    <w:rsid w:val="009C10C2"/>
    <w:rsid w:val="009C11D8"/>
    <w:rsid w:val="009C1302"/>
    <w:rsid w:val="009C1815"/>
    <w:rsid w:val="009C188A"/>
    <w:rsid w:val="009C1B2B"/>
    <w:rsid w:val="009C1D14"/>
    <w:rsid w:val="009C1E2B"/>
    <w:rsid w:val="009C2010"/>
    <w:rsid w:val="009C244F"/>
    <w:rsid w:val="009C245E"/>
    <w:rsid w:val="009C2834"/>
    <w:rsid w:val="009C31AC"/>
    <w:rsid w:val="009C323C"/>
    <w:rsid w:val="009C3286"/>
    <w:rsid w:val="009C3296"/>
    <w:rsid w:val="009C34CB"/>
    <w:rsid w:val="009C3597"/>
    <w:rsid w:val="009C35D2"/>
    <w:rsid w:val="009C3A37"/>
    <w:rsid w:val="009C3C2C"/>
    <w:rsid w:val="009C40B6"/>
    <w:rsid w:val="009C40B9"/>
    <w:rsid w:val="009C4D56"/>
    <w:rsid w:val="009C4E95"/>
    <w:rsid w:val="009C4F94"/>
    <w:rsid w:val="009C50CA"/>
    <w:rsid w:val="009C53A0"/>
    <w:rsid w:val="009C58EE"/>
    <w:rsid w:val="009C5C0E"/>
    <w:rsid w:val="009C5E77"/>
    <w:rsid w:val="009C66BA"/>
    <w:rsid w:val="009C67FC"/>
    <w:rsid w:val="009C6835"/>
    <w:rsid w:val="009C69B7"/>
    <w:rsid w:val="009C6C3B"/>
    <w:rsid w:val="009C6D1A"/>
    <w:rsid w:val="009C6D8E"/>
    <w:rsid w:val="009C6DE7"/>
    <w:rsid w:val="009C6E18"/>
    <w:rsid w:val="009C6E20"/>
    <w:rsid w:val="009C6EA7"/>
    <w:rsid w:val="009C7012"/>
    <w:rsid w:val="009C701A"/>
    <w:rsid w:val="009C704E"/>
    <w:rsid w:val="009C716B"/>
    <w:rsid w:val="009C7262"/>
    <w:rsid w:val="009C736A"/>
    <w:rsid w:val="009C7A7E"/>
    <w:rsid w:val="009C7A9C"/>
    <w:rsid w:val="009C7C33"/>
    <w:rsid w:val="009C7C54"/>
    <w:rsid w:val="009C7D18"/>
    <w:rsid w:val="009C7F15"/>
    <w:rsid w:val="009D00D1"/>
    <w:rsid w:val="009D02E8"/>
    <w:rsid w:val="009D03A6"/>
    <w:rsid w:val="009D0653"/>
    <w:rsid w:val="009D0698"/>
    <w:rsid w:val="009D0A3B"/>
    <w:rsid w:val="009D0AF3"/>
    <w:rsid w:val="009D0B00"/>
    <w:rsid w:val="009D0B27"/>
    <w:rsid w:val="009D0CB7"/>
    <w:rsid w:val="009D1049"/>
    <w:rsid w:val="009D1115"/>
    <w:rsid w:val="009D11C0"/>
    <w:rsid w:val="009D1802"/>
    <w:rsid w:val="009D1A56"/>
    <w:rsid w:val="009D1F23"/>
    <w:rsid w:val="009D21FF"/>
    <w:rsid w:val="009D2458"/>
    <w:rsid w:val="009D25B5"/>
    <w:rsid w:val="009D2BD2"/>
    <w:rsid w:val="009D3126"/>
    <w:rsid w:val="009D3262"/>
    <w:rsid w:val="009D37B9"/>
    <w:rsid w:val="009D3A27"/>
    <w:rsid w:val="009D3D92"/>
    <w:rsid w:val="009D3DA1"/>
    <w:rsid w:val="009D4316"/>
    <w:rsid w:val="009D487C"/>
    <w:rsid w:val="009D4973"/>
    <w:rsid w:val="009D49E4"/>
    <w:rsid w:val="009D4ECF"/>
    <w:rsid w:val="009D4FB5"/>
    <w:rsid w:val="009D4FC9"/>
    <w:rsid w:val="009D51D0"/>
    <w:rsid w:val="009D52AD"/>
    <w:rsid w:val="009D52EC"/>
    <w:rsid w:val="009D531B"/>
    <w:rsid w:val="009D5717"/>
    <w:rsid w:val="009D5777"/>
    <w:rsid w:val="009D59BC"/>
    <w:rsid w:val="009D5BDD"/>
    <w:rsid w:val="009D5C16"/>
    <w:rsid w:val="009D5E98"/>
    <w:rsid w:val="009D5F12"/>
    <w:rsid w:val="009D5F8C"/>
    <w:rsid w:val="009D6828"/>
    <w:rsid w:val="009D6CCF"/>
    <w:rsid w:val="009D6DB3"/>
    <w:rsid w:val="009D70A4"/>
    <w:rsid w:val="009D7B14"/>
    <w:rsid w:val="009D7BFC"/>
    <w:rsid w:val="009D7CA8"/>
    <w:rsid w:val="009D7D6C"/>
    <w:rsid w:val="009D7EFF"/>
    <w:rsid w:val="009E022F"/>
    <w:rsid w:val="009E04BE"/>
    <w:rsid w:val="009E0603"/>
    <w:rsid w:val="009E0734"/>
    <w:rsid w:val="009E08A6"/>
    <w:rsid w:val="009E08D1"/>
    <w:rsid w:val="009E0950"/>
    <w:rsid w:val="009E09BC"/>
    <w:rsid w:val="009E0AF6"/>
    <w:rsid w:val="009E0C16"/>
    <w:rsid w:val="009E0D18"/>
    <w:rsid w:val="009E0D96"/>
    <w:rsid w:val="009E0E8F"/>
    <w:rsid w:val="009E144E"/>
    <w:rsid w:val="009E16FF"/>
    <w:rsid w:val="009E1A82"/>
    <w:rsid w:val="009E1B95"/>
    <w:rsid w:val="009E22B8"/>
    <w:rsid w:val="009E257F"/>
    <w:rsid w:val="009E259A"/>
    <w:rsid w:val="009E2F20"/>
    <w:rsid w:val="009E31BD"/>
    <w:rsid w:val="009E3248"/>
    <w:rsid w:val="009E3255"/>
    <w:rsid w:val="009E35F6"/>
    <w:rsid w:val="009E378B"/>
    <w:rsid w:val="009E39DA"/>
    <w:rsid w:val="009E4369"/>
    <w:rsid w:val="009E44ED"/>
    <w:rsid w:val="009E46A2"/>
    <w:rsid w:val="009E4741"/>
    <w:rsid w:val="009E496F"/>
    <w:rsid w:val="009E4B0D"/>
    <w:rsid w:val="009E4BDB"/>
    <w:rsid w:val="009E4BEA"/>
    <w:rsid w:val="009E4DA8"/>
    <w:rsid w:val="009E4FDF"/>
    <w:rsid w:val="009E5137"/>
    <w:rsid w:val="009E5250"/>
    <w:rsid w:val="009E5890"/>
    <w:rsid w:val="009E5A21"/>
    <w:rsid w:val="009E5C90"/>
    <w:rsid w:val="009E5CDA"/>
    <w:rsid w:val="009E5DEF"/>
    <w:rsid w:val="009E5F05"/>
    <w:rsid w:val="009E6094"/>
    <w:rsid w:val="009E6099"/>
    <w:rsid w:val="009E65D7"/>
    <w:rsid w:val="009E6689"/>
    <w:rsid w:val="009E6D97"/>
    <w:rsid w:val="009E6F32"/>
    <w:rsid w:val="009E711F"/>
    <w:rsid w:val="009E73C9"/>
    <w:rsid w:val="009E78BD"/>
    <w:rsid w:val="009E7961"/>
    <w:rsid w:val="009E79D3"/>
    <w:rsid w:val="009E7A69"/>
    <w:rsid w:val="009E7BBC"/>
    <w:rsid w:val="009E7F92"/>
    <w:rsid w:val="009F02A3"/>
    <w:rsid w:val="009F04A4"/>
    <w:rsid w:val="009F0CAC"/>
    <w:rsid w:val="009F11A6"/>
    <w:rsid w:val="009F1C0B"/>
    <w:rsid w:val="009F2182"/>
    <w:rsid w:val="009F2486"/>
    <w:rsid w:val="009F259A"/>
    <w:rsid w:val="009F261E"/>
    <w:rsid w:val="009F272E"/>
    <w:rsid w:val="009F2B02"/>
    <w:rsid w:val="009F2D6B"/>
    <w:rsid w:val="009F2D76"/>
    <w:rsid w:val="009F2F27"/>
    <w:rsid w:val="009F31AD"/>
    <w:rsid w:val="009F31BD"/>
    <w:rsid w:val="009F31C9"/>
    <w:rsid w:val="009F34AA"/>
    <w:rsid w:val="009F3699"/>
    <w:rsid w:val="009F37E7"/>
    <w:rsid w:val="009F3862"/>
    <w:rsid w:val="009F447F"/>
    <w:rsid w:val="009F4554"/>
    <w:rsid w:val="009F4622"/>
    <w:rsid w:val="009F4B49"/>
    <w:rsid w:val="009F4CBB"/>
    <w:rsid w:val="009F4D60"/>
    <w:rsid w:val="009F4E6D"/>
    <w:rsid w:val="009F4FE3"/>
    <w:rsid w:val="009F508E"/>
    <w:rsid w:val="009F536D"/>
    <w:rsid w:val="009F544A"/>
    <w:rsid w:val="009F5535"/>
    <w:rsid w:val="009F55F4"/>
    <w:rsid w:val="009F572B"/>
    <w:rsid w:val="009F575C"/>
    <w:rsid w:val="009F5B5B"/>
    <w:rsid w:val="009F60E6"/>
    <w:rsid w:val="009F60EF"/>
    <w:rsid w:val="009F627F"/>
    <w:rsid w:val="009F6507"/>
    <w:rsid w:val="009F6BCB"/>
    <w:rsid w:val="009F6D4B"/>
    <w:rsid w:val="009F6F45"/>
    <w:rsid w:val="009F7068"/>
    <w:rsid w:val="009F7079"/>
    <w:rsid w:val="009F766C"/>
    <w:rsid w:val="009F7689"/>
    <w:rsid w:val="009F77F0"/>
    <w:rsid w:val="009F7970"/>
    <w:rsid w:val="009F798E"/>
    <w:rsid w:val="009F7A50"/>
    <w:rsid w:val="009F7B34"/>
    <w:rsid w:val="009F7B78"/>
    <w:rsid w:val="009F7CA0"/>
    <w:rsid w:val="009F7DD7"/>
    <w:rsid w:val="009FFED1"/>
    <w:rsid w:val="00A0008B"/>
    <w:rsid w:val="00A001BA"/>
    <w:rsid w:val="00A0023B"/>
    <w:rsid w:val="00A002CB"/>
    <w:rsid w:val="00A00520"/>
    <w:rsid w:val="00A0057A"/>
    <w:rsid w:val="00A007C8"/>
    <w:rsid w:val="00A0094B"/>
    <w:rsid w:val="00A00A78"/>
    <w:rsid w:val="00A00A8C"/>
    <w:rsid w:val="00A00B49"/>
    <w:rsid w:val="00A00E48"/>
    <w:rsid w:val="00A01588"/>
    <w:rsid w:val="00A01B28"/>
    <w:rsid w:val="00A01B61"/>
    <w:rsid w:val="00A01C3B"/>
    <w:rsid w:val="00A01E93"/>
    <w:rsid w:val="00A02277"/>
    <w:rsid w:val="00A02345"/>
    <w:rsid w:val="00A02572"/>
    <w:rsid w:val="00A02773"/>
    <w:rsid w:val="00A02F17"/>
    <w:rsid w:val="00A02FA1"/>
    <w:rsid w:val="00A030E3"/>
    <w:rsid w:val="00A0336D"/>
    <w:rsid w:val="00A036A5"/>
    <w:rsid w:val="00A0370E"/>
    <w:rsid w:val="00A0387C"/>
    <w:rsid w:val="00A03DF4"/>
    <w:rsid w:val="00A04117"/>
    <w:rsid w:val="00A04254"/>
    <w:rsid w:val="00A04401"/>
    <w:rsid w:val="00A04A3D"/>
    <w:rsid w:val="00A04ACE"/>
    <w:rsid w:val="00A04B56"/>
    <w:rsid w:val="00A04CCE"/>
    <w:rsid w:val="00A04EB3"/>
    <w:rsid w:val="00A04F9B"/>
    <w:rsid w:val="00A0533B"/>
    <w:rsid w:val="00A05406"/>
    <w:rsid w:val="00A05425"/>
    <w:rsid w:val="00A054DA"/>
    <w:rsid w:val="00A05587"/>
    <w:rsid w:val="00A056B4"/>
    <w:rsid w:val="00A057BB"/>
    <w:rsid w:val="00A0580A"/>
    <w:rsid w:val="00A0594D"/>
    <w:rsid w:val="00A05B29"/>
    <w:rsid w:val="00A0611A"/>
    <w:rsid w:val="00A06246"/>
    <w:rsid w:val="00A06308"/>
    <w:rsid w:val="00A06691"/>
    <w:rsid w:val="00A066A2"/>
    <w:rsid w:val="00A06763"/>
    <w:rsid w:val="00A068A2"/>
    <w:rsid w:val="00A069BD"/>
    <w:rsid w:val="00A06A5B"/>
    <w:rsid w:val="00A06AF6"/>
    <w:rsid w:val="00A06D65"/>
    <w:rsid w:val="00A06E2A"/>
    <w:rsid w:val="00A06E4C"/>
    <w:rsid w:val="00A06F35"/>
    <w:rsid w:val="00A070CF"/>
    <w:rsid w:val="00A07290"/>
    <w:rsid w:val="00A07338"/>
    <w:rsid w:val="00A07421"/>
    <w:rsid w:val="00A074B1"/>
    <w:rsid w:val="00A076D8"/>
    <w:rsid w:val="00A0776B"/>
    <w:rsid w:val="00A0778D"/>
    <w:rsid w:val="00A077B4"/>
    <w:rsid w:val="00A07803"/>
    <w:rsid w:val="00A07973"/>
    <w:rsid w:val="00A07FA8"/>
    <w:rsid w:val="00A102B2"/>
    <w:rsid w:val="00A1032F"/>
    <w:rsid w:val="00A10699"/>
    <w:rsid w:val="00A10DDB"/>
    <w:rsid w:val="00A10FB9"/>
    <w:rsid w:val="00A112C6"/>
    <w:rsid w:val="00A11421"/>
    <w:rsid w:val="00A114BA"/>
    <w:rsid w:val="00A11810"/>
    <w:rsid w:val="00A11ED4"/>
    <w:rsid w:val="00A11F4C"/>
    <w:rsid w:val="00A11FA8"/>
    <w:rsid w:val="00A12493"/>
    <w:rsid w:val="00A124E2"/>
    <w:rsid w:val="00A1267A"/>
    <w:rsid w:val="00A12BB1"/>
    <w:rsid w:val="00A12BE8"/>
    <w:rsid w:val="00A12DB7"/>
    <w:rsid w:val="00A1389F"/>
    <w:rsid w:val="00A138F5"/>
    <w:rsid w:val="00A13AD3"/>
    <w:rsid w:val="00A13B7A"/>
    <w:rsid w:val="00A13B7B"/>
    <w:rsid w:val="00A13D2A"/>
    <w:rsid w:val="00A13D4A"/>
    <w:rsid w:val="00A13F2B"/>
    <w:rsid w:val="00A1406F"/>
    <w:rsid w:val="00A1442A"/>
    <w:rsid w:val="00A1455F"/>
    <w:rsid w:val="00A145AC"/>
    <w:rsid w:val="00A14CD0"/>
    <w:rsid w:val="00A1506E"/>
    <w:rsid w:val="00A15110"/>
    <w:rsid w:val="00A15123"/>
    <w:rsid w:val="00A15196"/>
    <w:rsid w:val="00A15256"/>
    <w:rsid w:val="00A15639"/>
    <w:rsid w:val="00A157B1"/>
    <w:rsid w:val="00A15FC2"/>
    <w:rsid w:val="00A1617E"/>
    <w:rsid w:val="00A161F0"/>
    <w:rsid w:val="00A16386"/>
    <w:rsid w:val="00A1695E"/>
    <w:rsid w:val="00A169CC"/>
    <w:rsid w:val="00A16F1A"/>
    <w:rsid w:val="00A16FBF"/>
    <w:rsid w:val="00A17076"/>
    <w:rsid w:val="00A171B3"/>
    <w:rsid w:val="00A171FB"/>
    <w:rsid w:val="00A17804"/>
    <w:rsid w:val="00A17847"/>
    <w:rsid w:val="00A17A78"/>
    <w:rsid w:val="00A17B28"/>
    <w:rsid w:val="00A17DDF"/>
    <w:rsid w:val="00A201CF"/>
    <w:rsid w:val="00A2057D"/>
    <w:rsid w:val="00A2070E"/>
    <w:rsid w:val="00A20713"/>
    <w:rsid w:val="00A208D1"/>
    <w:rsid w:val="00A2097F"/>
    <w:rsid w:val="00A20A32"/>
    <w:rsid w:val="00A20ADA"/>
    <w:rsid w:val="00A20C2C"/>
    <w:rsid w:val="00A20CEC"/>
    <w:rsid w:val="00A21103"/>
    <w:rsid w:val="00A2131C"/>
    <w:rsid w:val="00A21456"/>
    <w:rsid w:val="00A21E58"/>
    <w:rsid w:val="00A22229"/>
    <w:rsid w:val="00A22239"/>
    <w:rsid w:val="00A22399"/>
    <w:rsid w:val="00A223FE"/>
    <w:rsid w:val="00A22440"/>
    <w:rsid w:val="00A22471"/>
    <w:rsid w:val="00A227BE"/>
    <w:rsid w:val="00A22B55"/>
    <w:rsid w:val="00A22BD7"/>
    <w:rsid w:val="00A22D43"/>
    <w:rsid w:val="00A22DB0"/>
    <w:rsid w:val="00A22EA4"/>
    <w:rsid w:val="00A232F7"/>
    <w:rsid w:val="00A23314"/>
    <w:rsid w:val="00A2331D"/>
    <w:rsid w:val="00A236E9"/>
    <w:rsid w:val="00A238C1"/>
    <w:rsid w:val="00A239EA"/>
    <w:rsid w:val="00A23C7D"/>
    <w:rsid w:val="00A23FF2"/>
    <w:rsid w:val="00A241EF"/>
    <w:rsid w:val="00A24442"/>
    <w:rsid w:val="00A248E7"/>
    <w:rsid w:val="00A24ADA"/>
    <w:rsid w:val="00A24CE6"/>
    <w:rsid w:val="00A24D63"/>
    <w:rsid w:val="00A252D2"/>
    <w:rsid w:val="00A2548E"/>
    <w:rsid w:val="00A255D6"/>
    <w:rsid w:val="00A25751"/>
    <w:rsid w:val="00A25871"/>
    <w:rsid w:val="00A258F8"/>
    <w:rsid w:val="00A25990"/>
    <w:rsid w:val="00A25D85"/>
    <w:rsid w:val="00A26030"/>
    <w:rsid w:val="00A262C0"/>
    <w:rsid w:val="00A264F2"/>
    <w:rsid w:val="00A26DE8"/>
    <w:rsid w:val="00A27562"/>
    <w:rsid w:val="00A27956"/>
    <w:rsid w:val="00A27ABE"/>
    <w:rsid w:val="00A27D8E"/>
    <w:rsid w:val="00A27DE8"/>
    <w:rsid w:val="00A27F5B"/>
    <w:rsid w:val="00A27F79"/>
    <w:rsid w:val="00A3019D"/>
    <w:rsid w:val="00A306D4"/>
    <w:rsid w:val="00A30CCA"/>
    <w:rsid w:val="00A30FF3"/>
    <w:rsid w:val="00A310D0"/>
    <w:rsid w:val="00A313DB"/>
    <w:rsid w:val="00A3147B"/>
    <w:rsid w:val="00A3165F"/>
    <w:rsid w:val="00A317A6"/>
    <w:rsid w:val="00A3180C"/>
    <w:rsid w:val="00A31927"/>
    <w:rsid w:val="00A3198C"/>
    <w:rsid w:val="00A31B0B"/>
    <w:rsid w:val="00A3205A"/>
    <w:rsid w:val="00A32577"/>
    <w:rsid w:val="00A32C42"/>
    <w:rsid w:val="00A32DD6"/>
    <w:rsid w:val="00A32E86"/>
    <w:rsid w:val="00A330BB"/>
    <w:rsid w:val="00A33E86"/>
    <w:rsid w:val="00A33F6D"/>
    <w:rsid w:val="00A34054"/>
    <w:rsid w:val="00A3447E"/>
    <w:rsid w:val="00A344F8"/>
    <w:rsid w:val="00A3451B"/>
    <w:rsid w:val="00A34F27"/>
    <w:rsid w:val="00A34FC0"/>
    <w:rsid w:val="00A35204"/>
    <w:rsid w:val="00A35229"/>
    <w:rsid w:val="00A353C7"/>
    <w:rsid w:val="00A35421"/>
    <w:rsid w:val="00A3579A"/>
    <w:rsid w:val="00A3593C"/>
    <w:rsid w:val="00A35A60"/>
    <w:rsid w:val="00A35BC7"/>
    <w:rsid w:val="00A35BD9"/>
    <w:rsid w:val="00A35D53"/>
    <w:rsid w:val="00A362A4"/>
    <w:rsid w:val="00A365BA"/>
    <w:rsid w:val="00A366CA"/>
    <w:rsid w:val="00A370C5"/>
    <w:rsid w:val="00A370E7"/>
    <w:rsid w:val="00A374D6"/>
    <w:rsid w:val="00A3756A"/>
    <w:rsid w:val="00A376BC"/>
    <w:rsid w:val="00A3775A"/>
    <w:rsid w:val="00A3785E"/>
    <w:rsid w:val="00A37CCA"/>
    <w:rsid w:val="00A4019F"/>
    <w:rsid w:val="00A4043A"/>
    <w:rsid w:val="00A40787"/>
    <w:rsid w:val="00A407D2"/>
    <w:rsid w:val="00A407D9"/>
    <w:rsid w:val="00A4088A"/>
    <w:rsid w:val="00A40F31"/>
    <w:rsid w:val="00A410F6"/>
    <w:rsid w:val="00A41313"/>
    <w:rsid w:val="00A413E2"/>
    <w:rsid w:val="00A41644"/>
    <w:rsid w:val="00A42119"/>
    <w:rsid w:val="00A42789"/>
    <w:rsid w:val="00A42D8A"/>
    <w:rsid w:val="00A42EF6"/>
    <w:rsid w:val="00A42F5B"/>
    <w:rsid w:val="00A4319F"/>
    <w:rsid w:val="00A4329D"/>
    <w:rsid w:val="00A43734"/>
    <w:rsid w:val="00A4381D"/>
    <w:rsid w:val="00A43DAF"/>
    <w:rsid w:val="00A44382"/>
    <w:rsid w:val="00A443FE"/>
    <w:rsid w:val="00A444C2"/>
    <w:rsid w:val="00A4451E"/>
    <w:rsid w:val="00A446F5"/>
    <w:rsid w:val="00A44882"/>
    <w:rsid w:val="00A448A3"/>
    <w:rsid w:val="00A448F5"/>
    <w:rsid w:val="00A44D61"/>
    <w:rsid w:val="00A44EA1"/>
    <w:rsid w:val="00A44F7F"/>
    <w:rsid w:val="00A44FA1"/>
    <w:rsid w:val="00A45125"/>
    <w:rsid w:val="00A451F0"/>
    <w:rsid w:val="00A452AC"/>
    <w:rsid w:val="00A45583"/>
    <w:rsid w:val="00A4563D"/>
    <w:rsid w:val="00A4578B"/>
    <w:rsid w:val="00A45C16"/>
    <w:rsid w:val="00A45C31"/>
    <w:rsid w:val="00A45D9B"/>
    <w:rsid w:val="00A466C3"/>
    <w:rsid w:val="00A466F7"/>
    <w:rsid w:val="00A46ABF"/>
    <w:rsid w:val="00A46AE9"/>
    <w:rsid w:val="00A472C6"/>
    <w:rsid w:val="00A478BA"/>
    <w:rsid w:val="00A4794B"/>
    <w:rsid w:val="00A47B06"/>
    <w:rsid w:val="00A47D0B"/>
    <w:rsid w:val="00A47EEA"/>
    <w:rsid w:val="00A47F99"/>
    <w:rsid w:val="00A5022A"/>
    <w:rsid w:val="00A50387"/>
    <w:rsid w:val="00A50469"/>
    <w:rsid w:val="00A5047B"/>
    <w:rsid w:val="00A5067F"/>
    <w:rsid w:val="00A50B2A"/>
    <w:rsid w:val="00A50DA3"/>
    <w:rsid w:val="00A50E9C"/>
    <w:rsid w:val="00A50F48"/>
    <w:rsid w:val="00A50F7F"/>
    <w:rsid w:val="00A510B3"/>
    <w:rsid w:val="00A512CB"/>
    <w:rsid w:val="00A513F5"/>
    <w:rsid w:val="00A51425"/>
    <w:rsid w:val="00A515FD"/>
    <w:rsid w:val="00A51E19"/>
    <w:rsid w:val="00A51EF9"/>
    <w:rsid w:val="00A52653"/>
    <w:rsid w:val="00A52878"/>
    <w:rsid w:val="00A52EF4"/>
    <w:rsid w:val="00A52F41"/>
    <w:rsid w:val="00A52FFC"/>
    <w:rsid w:val="00A531D9"/>
    <w:rsid w:val="00A5335C"/>
    <w:rsid w:val="00A5356D"/>
    <w:rsid w:val="00A53933"/>
    <w:rsid w:val="00A53A01"/>
    <w:rsid w:val="00A53BF3"/>
    <w:rsid w:val="00A53C5B"/>
    <w:rsid w:val="00A53FBA"/>
    <w:rsid w:val="00A53FE7"/>
    <w:rsid w:val="00A5419A"/>
    <w:rsid w:val="00A546ED"/>
    <w:rsid w:val="00A54715"/>
    <w:rsid w:val="00A54843"/>
    <w:rsid w:val="00A54955"/>
    <w:rsid w:val="00A54B20"/>
    <w:rsid w:val="00A54B51"/>
    <w:rsid w:val="00A54E41"/>
    <w:rsid w:val="00A54E53"/>
    <w:rsid w:val="00A54F64"/>
    <w:rsid w:val="00A552C8"/>
    <w:rsid w:val="00A55618"/>
    <w:rsid w:val="00A55638"/>
    <w:rsid w:val="00A5570B"/>
    <w:rsid w:val="00A5572F"/>
    <w:rsid w:val="00A558EF"/>
    <w:rsid w:val="00A559CD"/>
    <w:rsid w:val="00A55CF4"/>
    <w:rsid w:val="00A55F76"/>
    <w:rsid w:val="00A56069"/>
    <w:rsid w:val="00A56165"/>
    <w:rsid w:val="00A5616E"/>
    <w:rsid w:val="00A561BD"/>
    <w:rsid w:val="00A567C2"/>
    <w:rsid w:val="00A56A8F"/>
    <w:rsid w:val="00A56AC9"/>
    <w:rsid w:val="00A56C07"/>
    <w:rsid w:val="00A56DA3"/>
    <w:rsid w:val="00A570E8"/>
    <w:rsid w:val="00A57221"/>
    <w:rsid w:val="00A57406"/>
    <w:rsid w:val="00A5759D"/>
    <w:rsid w:val="00A576EB"/>
    <w:rsid w:val="00A577A2"/>
    <w:rsid w:val="00A577BC"/>
    <w:rsid w:val="00A579BB"/>
    <w:rsid w:val="00A57B17"/>
    <w:rsid w:val="00A57D78"/>
    <w:rsid w:val="00A57DC7"/>
    <w:rsid w:val="00A57DF7"/>
    <w:rsid w:val="00A57E9A"/>
    <w:rsid w:val="00A60166"/>
    <w:rsid w:val="00A60353"/>
    <w:rsid w:val="00A6061C"/>
    <w:rsid w:val="00A6093F"/>
    <w:rsid w:val="00A60C3B"/>
    <w:rsid w:val="00A60D21"/>
    <w:rsid w:val="00A6120A"/>
    <w:rsid w:val="00A61228"/>
    <w:rsid w:val="00A61B03"/>
    <w:rsid w:val="00A61C3B"/>
    <w:rsid w:val="00A61CEF"/>
    <w:rsid w:val="00A61E0F"/>
    <w:rsid w:val="00A620CC"/>
    <w:rsid w:val="00A6221B"/>
    <w:rsid w:val="00A624C0"/>
    <w:rsid w:val="00A62596"/>
    <w:rsid w:val="00A62649"/>
    <w:rsid w:val="00A6275E"/>
    <w:rsid w:val="00A628B6"/>
    <w:rsid w:val="00A62960"/>
    <w:rsid w:val="00A62CBF"/>
    <w:rsid w:val="00A62D44"/>
    <w:rsid w:val="00A62F28"/>
    <w:rsid w:val="00A63231"/>
    <w:rsid w:val="00A64122"/>
    <w:rsid w:val="00A642E1"/>
    <w:rsid w:val="00A64406"/>
    <w:rsid w:val="00A646C2"/>
    <w:rsid w:val="00A6478D"/>
    <w:rsid w:val="00A64855"/>
    <w:rsid w:val="00A64896"/>
    <w:rsid w:val="00A648C2"/>
    <w:rsid w:val="00A64F68"/>
    <w:rsid w:val="00A65006"/>
    <w:rsid w:val="00A6517F"/>
    <w:rsid w:val="00A65377"/>
    <w:rsid w:val="00A65A37"/>
    <w:rsid w:val="00A65D2D"/>
    <w:rsid w:val="00A65EB1"/>
    <w:rsid w:val="00A66281"/>
    <w:rsid w:val="00A664CC"/>
    <w:rsid w:val="00A66833"/>
    <w:rsid w:val="00A66A5D"/>
    <w:rsid w:val="00A66F0A"/>
    <w:rsid w:val="00A6715A"/>
    <w:rsid w:val="00A67263"/>
    <w:rsid w:val="00A67608"/>
    <w:rsid w:val="00A67932"/>
    <w:rsid w:val="00A679B7"/>
    <w:rsid w:val="00A67ABC"/>
    <w:rsid w:val="00A67B7B"/>
    <w:rsid w:val="00A67C45"/>
    <w:rsid w:val="00A67D3B"/>
    <w:rsid w:val="00A67DB3"/>
    <w:rsid w:val="00A67DC2"/>
    <w:rsid w:val="00A67E81"/>
    <w:rsid w:val="00A70305"/>
    <w:rsid w:val="00A70351"/>
    <w:rsid w:val="00A70928"/>
    <w:rsid w:val="00A70A3E"/>
    <w:rsid w:val="00A70BAD"/>
    <w:rsid w:val="00A710F3"/>
    <w:rsid w:val="00A713D2"/>
    <w:rsid w:val="00A7161C"/>
    <w:rsid w:val="00A7190D"/>
    <w:rsid w:val="00A71CE4"/>
    <w:rsid w:val="00A71F59"/>
    <w:rsid w:val="00A721C1"/>
    <w:rsid w:val="00A72449"/>
    <w:rsid w:val="00A72464"/>
    <w:rsid w:val="00A72896"/>
    <w:rsid w:val="00A72B7D"/>
    <w:rsid w:val="00A72D24"/>
    <w:rsid w:val="00A731A4"/>
    <w:rsid w:val="00A731D4"/>
    <w:rsid w:val="00A733EC"/>
    <w:rsid w:val="00A73553"/>
    <w:rsid w:val="00A736AB"/>
    <w:rsid w:val="00A739F0"/>
    <w:rsid w:val="00A73C68"/>
    <w:rsid w:val="00A73CB1"/>
    <w:rsid w:val="00A74296"/>
    <w:rsid w:val="00A7430F"/>
    <w:rsid w:val="00A74441"/>
    <w:rsid w:val="00A7455E"/>
    <w:rsid w:val="00A74E88"/>
    <w:rsid w:val="00A7537A"/>
    <w:rsid w:val="00A754E1"/>
    <w:rsid w:val="00A755EF"/>
    <w:rsid w:val="00A75787"/>
    <w:rsid w:val="00A75912"/>
    <w:rsid w:val="00A759A4"/>
    <w:rsid w:val="00A759C6"/>
    <w:rsid w:val="00A75A25"/>
    <w:rsid w:val="00A75B07"/>
    <w:rsid w:val="00A75B2C"/>
    <w:rsid w:val="00A75C1E"/>
    <w:rsid w:val="00A75C99"/>
    <w:rsid w:val="00A75CB0"/>
    <w:rsid w:val="00A7633C"/>
    <w:rsid w:val="00A763AA"/>
    <w:rsid w:val="00A76DE6"/>
    <w:rsid w:val="00A76E8C"/>
    <w:rsid w:val="00A76F1E"/>
    <w:rsid w:val="00A76F9A"/>
    <w:rsid w:val="00A77076"/>
    <w:rsid w:val="00A771E9"/>
    <w:rsid w:val="00A77407"/>
    <w:rsid w:val="00A7761F"/>
    <w:rsid w:val="00A7772C"/>
    <w:rsid w:val="00A77869"/>
    <w:rsid w:val="00A77A3F"/>
    <w:rsid w:val="00A77AA3"/>
    <w:rsid w:val="00A80167"/>
    <w:rsid w:val="00A803F3"/>
    <w:rsid w:val="00A806B3"/>
    <w:rsid w:val="00A80976"/>
    <w:rsid w:val="00A80C11"/>
    <w:rsid w:val="00A80E1C"/>
    <w:rsid w:val="00A80E35"/>
    <w:rsid w:val="00A812E0"/>
    <w:rsid w:val="00A81425"/>
    <w:rsid w:val="00A81491"/>
    <w:rsid w:val="00A8166A"/>
    <w:rsid w:val="00A81AFF"/>
    <w:rsid w:val="00A81C88"/>
    <w:rsid w:val="00A81D60"/>
    <w:rsid w:val="00A81E93"/>
    <w:rsid w:val="00A820E2"/>
    <w:rsid w:val="00A8232B"/>
    <w:rsid w:val="00A8236D"/>
    <w:rsid w:val="00A82C07"/>
    <w:rsid w:val="00A83090"/>
    <w:rsid w:val="00A831CB"/>
    <w:rsid w:val="00A83472"/>
    <w:rsid w:val="00A834EB"/>
    <w:rsid w:val="00A8352A"/>
    <w:rsid w:val="00A8360A"/>
    <w:rsid w:val="00A83667"/>
    <w:rsid w:val="00A83A58"/>
    <w:rsid w:val="00A83A84"/>
    <w:rsid w:val="00A83C29"/>
    <w:rsid w:val="00A83C46"/>
    <w:rsid w:val="00A84049"/>
    <w:rsid w:val="00A840F1"/>
    <w:rsid w:val="00A84301"/>
    <w:rsid w:val="00A8477D"/>
    <w:rsid w:val="00A8493A"/>
    <w:rsid w:val="00A8503C"/>
    <w:rsid w:val="00A85092"/>
    <w:rsid w:val="00A85131"/>
    <w:rsid w:val="00A854EB"/>
    <w:rsid w:val="00A85526"/>
    <w:rsid w:val="00A8578B"/>
    <w:rsid w:val="00A859C9"/>
    <w:rsid w:val="00A85A7F"/>
    <w:rsid w:val="00A85EED"/>
    <w:rsid w:val="00A86052"/>
    <w:rsid w:val="00A8632D"/>
    <w:rsid w:val="00A86542"/>
    <w:rsid w:val="00A86C77"/>
    <w:rsid w:val="00A86CAA"/>
    <w:rsid w:val="00A86CC2"/>
    <w:rsid w:val="00A86D14"/>
    <w:rsid w:val="00A8700A"/>
    <w:rsid w:val="00A871BC"/>
    <w:rsid w:val="00A872E5"/>
    <w:rsid w:val="00A874AA"/>
    <w:rsid w:val="00A875A9"/>
    <w:rsid w:val="00A877C5"/>
    <w:rsid w:val="00A877C7"/>
    <w:rsid w:val="00A87B59"/>
    <w:rsid w:val="00A87E5E"/>
    <w:rsid w:val="00A900B3"/>
    <w:rsid w:val="00A90257"/>
    <w:rsid w:val="00A9032D"/>
    <w:rsid w:val="00A9035B"/>
    <w:rsid w:val="00A906B3"/>
    <w:rsid w:val="00A90C61"/>
    <w:rsid w:val="00A90CED"/>
    <w:rsid w:val="00A90EA1"/>
    <w:rsid w:val="00A913CA"/>
    <w:rsid w:val="00A91406"/>
    <w:rsid w:val="00A9143D"/>
    <w:rsid w:val="00A91549"/>
    <w:rsid w:val="00A9160E"/>
    <w:rsid w:val="00A91706"/>
    <w:rsid w:val="00A91886"/>
    <w:rsid w:val="00A91B87"/>
    <w:rsid w:val="00A91B9E"/>
    <w:rsid w:val="00A91BDD"/>
    <w:rsid w:val="00A91CF1"/>
    <w:rsid w:val="00A91E5C"/>
    <w:rsid w:val="00A923E7"/>
    <w:rsid w:val="00A928BC"/>
    <w:rsid w:val="00A929AA"/>
    <w:rsid w:val="00A92BDB"/>
    <w:rsid w:val="00A92DFB"/>
    <w:rsid w:val="00A92EE7"/>
    <w:rsid w:val="00A92F29"/>
    <w:rsid w:val="00A9305D"/>
    <w:rsid w:val="00A932CB"/>
    <w:rsid w:val="00A932DA"/>
    <w:rsid w:val="00A93481"/>
    <w:rsid w:val="00A934A9"/>
    <w:rsid w:val="00A94026"/>
    <w:rsid w:val="00A9476C"/>
    <w:rsid w:val="00A948D8"/>
    <w:rsid w:val="00A94B11"/>
    <w:rsid w:val="00A954C0"/>
    <w:rsid w:val="00A95950"/>
    <w:rsid w:val="00A95AD7"/>
    <w:rsid w:val="00A95CF6"/>
    <w:rsid w:val="00A96017"/>
    <w:rsid w:val="00A9662A"/>
    <w:rsid w:val="00A9667B"/>
    <w:rsid w:val="00A966FD"/>
    <w:rsid w:val="00A9689B"/>
    <w:rsid w:val="00A96BDB"/>
    <w:rsid w:val="00A96CE4"/>
    <w:rsid w:val="00A96DB9"/>
    <w:rsid w:val="00A96E65"/>
    <w:rsid w:val="00A96ECE"/>
    <w:rsid w:val="00A9767A"/>
    <w:rsid w:val="00A978D2"/>
    <w:rsid w:val="00A97B64"/>
    <w:rsid w:val="00A97BFD"/>
    <w:rsid w:val="00A97C72"/>
    <w:rsid w:val="00A97E53"/>
    <w:rsid w:val="00A97F03"/>
    <w:rsid w:val="00AA01CE"/>
    <w:rsid w:val="00AA039E"/>
    <w:rsid w:val="00AA0437"/>
    <w:rsid w:val="00AA0AEC"/>
    <w:rsid w:val="00AA0B15"/>
    <w:rsid w:val="00AA0BEB"/>
    <w:rsid w:val="00AA0D3F"/>
    <w:rsid w:val="00AA0E80"/>
    <w:rsid w:val="00AA1280"/>
    <w:rsid w:val="00AA15E6"/>
    <w:rsid w:val="00AA182B"/>
    <w:rsid w:val="00AA1A01"/>
    <w:rsid w:val="00AA1D45"/>
    <w:rsid w:val="00AA26D7"/>
    <w:rsid w:val="00AA275E"/>
    <w:rsid w:val="00AA2842"/>
    <w:rsid w:val="00AA28C7"/>
    <w:rsid w:val="00AA310B"/>
    <w:rsid w:val="00AA32B7"/>
    <w:rsid w:val="00AA341D"/>
    <w:rsid w:val="00AA3799"/>
    <w:rsid w:val="00AA3B67"/>
    <w:rsid w:val="00AA3E8D"/>
    <w:rsid w:val="00AA3F98"/>
    <w:rsid w:val="00AA40D7"/>
    <w:rsid w:val="00AA42B3"/>
    <w:rsid w:val="00AA42DC"/>
    <w:rsid w:val="00AA4B8E"/>
    <w:rsid w:val="00AA4CDB"/>
    <w:rsid w:val="00AA4DD3"/>
    <w:rsid w:val="00AA4EBC"/>
    <w:rsid w:val="00AA5002"/>
    <w:rsid w:val="00AA5765"/>
    <w:rsid w:val="00AA578C"/>
    <w:rsid w:val="00AA5B1A"/>
    <w:rsid w:val="00AA62AA"/>
    <w:rsid w:val="00AA63D4"/>
    <w:rsid w:val="00AA65E6"/>
    <w:rsid w:val="00AA6837"/>
    <w:rsid w:val="00AA6872"/>
    <w:rsid w:val="00AA68CB"/>
    <w:rsid w:val="00AA6BC8"/>
    <w:rsid w:val="00AA7065"/>
    <w:rsid w:val="00AA754C"/>
    <w:rsid w:val="00AA7C7F"/>
    <w:rsid w:val="00AA7D8D"/>
    <w:rsid w:val="00AB0164"/>
    <w:rsid w:val="00AB0330"/>
    <w:rsid w:val="00AB03B3"/>
    <w:rsid w:val="00AB06E8"/>
    <w:rsid w:val="00AB0917"/>
    <w:rsid w:val="00AB0998"/>
    <w:rsid w:val="00AB0A79"/>
    <w:rsid w:val="00AB0B63"/>
    <w:rsid w:val="00AB10C9"/>
    <w:rsid w:val="00AB128F"/>
    <w:rsid w:val="00AB19B6"/>
    <w:rsid w:val="00AB1AB4"/>
    <w:rsid w:val="00AB1C49"/>
    <w:rsid w:val="00AB1CD3"/>
    <w:rsid w:val="00AB23DA"/>
    <w:rsid w:val="00AB24C1"/>
    <w:rsid w:val="00AB255E"/>
    <w:rsid w:val="00AB283B"/>
    <w:rsid w:val="00AB2AEC"/>
    <w:rsid w:val="00AB2E78"/>
    <w:rsid w:val="00AB352F"/>
    <w:rsid w:val="00AB363E"/>
    <w:rsid w:val="00AB3709"/>
    <w:rsid w:val="00AB380D"/>
    <w:rsid w:val="00AB3C86"/>
    <w:rsid w:val="00AB415E"/>
    <w:rsid w:val="00AB42C8"/>
    <w:rsid w:val="00AB433C"/>
    <w:rsid w:val="00AB44CE"/>
    <w:rsid w:val="00AB4611"/>
    <w:rsid w:val="00AB47C2"/>
    <w:rsid w:val="00AB4A77"/>
    <w:rsid w:val="00AB4A8C"/>
    <w:rsid w:val="00AB4B7F"/>
    <w:rsid w:val="00AB4D13"/>
    <w:rsid w:val="00AB4E19"/>
    <w:rsid w:val="00AB4F5A"/>
    <w:rsid w:val="00AB521B"/>
    <w:rsid w:val="00AB525C"/>
    <w:rsid w:val="00AB52D8"/>
    <w:rsid w:val="00AB52FF"/>
    <w:rsid w:val="00AB5A33"/>
    <w:rsid w:val="00AB5B59"/>
    <w:rsid w:val="00AB5D2E"/>
    <w:rsid w:val="00AB5E0D"/>
    <w:rsid w:val="00AB5F09"/>
    <w:rsid w:val="00AB6915"/>
    <w:rsid w:val="00AB6A0B"/>
    <w:rsid w:val="00AB6B30"/>
    <w:rsid w:val="00AB6DEB"/>
    <w:rsid w:val="00AB6EF3"/>
    <w:rsid w:val="00AB71F5"/>
    <w:rsid w:val="00AB725C"/>
    <w:rsid w:val="00AB7312"/>
    <w:rsid w:val="00AB74AE"/>
    <w:rsid w:val="00AB7596"/>
    <w:rsid w:val="00AB7719"/>
    <w:rsid w:val="00AB7BDD"/>
    <w:rsid w:val="00AB7D13"/>
    <w:rsid w:val="00AC007B"/>
    <w:rsid w:val="00AC0541"/>
    <w:rsid w:val="00AC05AF"/>
    <w:rsid w:val="00AC0885"/>
    <w:rsid w:val="00AC09B0"/>
    <w:rsid w:val="00AC0DA2"/>
    <w:rsid w:val="00AC0E2C"/>
    <w:rsid w:val="00AC0F08"/>
    <w:rsid w:val="00AC0F1D"/>
    <w:rsid w:val="00AC1037"/>
    <w:rsid w:val="00AC1A1C"/>
    <w:rsid w:val="00AC1D8A"/>
    <w:rsid w:val="00AC1E3F"/>
    <w:rsid w:val="00AC2443"/>
    <w:rsid w:val="00AC250F"/>
    <w:rsid w:val="00AC2683"/>
    <w:rsid w:val="00AC274B"/>
    <w:rsid w:val="00AC2926"/>
    <w:rsid w:val="00AC2A5B"/>
    <w:rsid w:val="00AC2BA1"/>
    <w:rsid w:val="00AC31DA"/>
    <w:rsid w:val="00AC31F0"/>
    <w:rsid w:val="00AC3218"/>
    <w:rsid w:val="00AC358A"/>
    <w:rsid w:val="00AC3644"/>
    <w:rsid w:val="00AC3A35"/>
    <w:rsid w:val="00AC3F71"/>
    <w:rsid w:val="00AC3F84"/>
    <w:rsid w:val="00AC42DC"/>
    <w:rsid w:val="00AC4764"/>
    <w:rsid w:val="00AC5004"/>
    <w:rsid w:val="00AC501F"/>
    <w:rsid w:val="00AC5082"/>
    <w:rsid w:val="00AC53A0"/>
    <w:rsid w:val="00AC5721"/>
    <w:rsid w:val="00AC58A4"/>
    <w:rsid w:val="00AC5CBB"/>
    <w:rsid w:val="00AC5D37"/>
    <w:rsid w:val="00AC5E79"/>
    <w:rsid w:val="00AC62F6"/>
    <w:rsid w:val="00AC6576"/>
    <w:rsid w:val="00AC659D"/>
    <w:rsid w:val="00AC6620"/>
    <w:rsid w:val="00AC6840"/>
    <w:rsid w:val="00AC6912"/>
    <w:rsid w:val="00AC6AAD"/>
    <w:rsid w:val="00AC6CE9"/>
    <w:rsid w:val="00AC6D36"/>
    <w:rsid w:val="00AC6D53"/>
    <w:rsid w:val="00AC6F28"/>
    <w:rsid w:val="00AC7018"/>
    <w:rsid w:val="00AC71D1"/>
    <w:rsid w:val="00AC751B"/>
    <w:rsid w:val="00AC7711"/>
    <w:rsid w:val="00AC792A"/>
    <w:rsid w:val="00AC7B29"/>
    <w:rsid w:val="00AC7B7D"/>
    <w:rsid w:val="00AC7DF1"/>
    <w:rsid w:val="00AC7FA5"/>
    <w:rsid w:val="00AD0135"/>
    <w:rsid w:val="00AD0164"/>
    <w:rsid w:val="00AD02EC"/>
    <w:rsid w:val="00AD02F9"/>
    <w:rsid w:val="00AD03A1"/>
    <w:rsid w:val="00AD060D"/>
    <w:rsid w:val="00AD07AC"/>
    <w:rsid w:val="00AD0915"/>
    <w:rsid w:val="00AD0C3D"/>
    <w:rsid w:val="00AD0CBA"/>
    <w:rsid w:val="00AD0CFA"/>
    <w:rsid w:val="00AD0CFB"/>
    <w:rsid w:val="00AD1119"/>
    <w:rsid w:val="00AD15B7"/>
    <w:rsid w:val="00AD1AED"/>
    <w:rsid w:val="00AD1E61"/>
    <w:rsid w:val="00AD2155"/>
    <w:rsid w:val="00AD26E2"/>
    <w:rsid w:val="00AD27EA"/>
    <w:rsid w:val="00AD28DA"/>
    <w:rsid w:val="00AD29B7"/>
    <w:rsid w:val="00AD2C2C"/>
    <w:rsid w:val="00AD2D23"/>
    <w:rsid w:val="00AD336C"/>
    <w:rsid w:val="00AD357B"/>
    <w:rsid w:val="00AD368C"/>
    <w:rsid w:val="00AD37E6"/>
    <w:rsid w:val="00AD3AE9"/>
    <w:rsid w:val="00AD3B67"/>
    <w:rsid w:val="00AD3D9E"/>
    <w:rsid w:val="00AD40DF"/>
    <w:rsid w:val="00AD42D6"/>
    <w:rsid w:val="00AD43FC"/>
    <w:rsid w:val="00AD4553"/>
    <w:rsid w:val="00AD4622"/>
    <w:rsid w:val="00AD47C4"/>
    <w:rsid w:val="00AD4FE9"/>
    <w:rsid w:val="00AD52C0"/>
    <w:rsid w:val="00AD53BF"/>
    <w:rsid w:val="00AD5877"/>
    <w:rsid w:val="00AD59C9"/>
    <w:rsid w:val="00AD5A6C"/>
    <w:rsid w:val="00AD5AB1"/>
    <w:rsid w:val="00AD5C6B"/>
    <w:rsid w:val="00AD5DD9"/>
    <w:rsid w:val="00AD5DEB"/>
    <w:rsid w:val="00AD72B0"/>
    <w:rsid w:val="00AD734F"/>
    <w:rsid w:val="00AD73A8"/>
    <w:rsid w:val="00AD73CD"/>
    <w:rsid w:val="00AD73E3"/>
    <w:rsid w:val="00AD74CD"/>
    <w:rsid w:val="00AD763B"/>
    <w:rsid w:val="00AD76C2"/>
    <w:rsid w:val="00AD784C"/>
    <w:rsid w:val="00AD790D"/>
    <w:rsid w:val="00AD7DBA"/>
    <w:rsid w:val="00AD7E44"/>
    <w:rsid w:val="00AD7FFD"/>
    <w:rsid w:val="00AE03B8"/>
    <w:rsid w:val="00AE046A"/>
    <w:rsid w:val="00AE0785"/>
    <w:rsid w:val="00AE0A0E"/>
    <w:rsid w:val="00AE0AAC"/>
    <w:rsid w:val="00AE0CF4"/>
    <w:rsid w:val="00AE0FAC"/>
    <w:rsid w:val="00AE0FAE"/>
    <w:rsid w:val="00AE10B7"/>
    <w:rsid w:val="00AE1154"/>
    <w:rsid w:val="00AE11A0"/>
    <w:rsid w:val="00AE126A"/>
    <w:rsid w:val="00AE1375"/>
    <w:rsid w:val="00AE15A6"/>
    <w:rsid w:val="00AE15AF"/>
    <w:rsid w:val="00AE16CB"/>
    <w:rsid w:val="00AE17A5"/>
    <w:rsid w:val="00AE1B1A"/>
    <w:rsid w:val="00AE1BAE"/>
    <w:rsid w:val="00AE1BD7"/>
    <w:rsid w:val="00AE1BFA"/>
    <w:rsid w:val="00AE1DAF"/>
    <w:rsid w:val="00AE1F61"/>
    <w:rsid w:val="00AE21BF"/>
    <w:rsid w:val="00AE258C"/>
    <w:rsid w:val="00AE25E2"/>
    <w:rsid w:val="00AE2BBC"/>
    <w:rsid w:val="00AE2BE2"/>
    <w:rsid w:val="00AE2BF5"/>
    <w:rsid w:val="00AE2ED9"/>
    <w:rsid w:val="00AE3005"/>
    <w:rsid w:val="00AE310A"/>
    <w:rsid w:val="00AE3259"/>
    <w:rsid w:val="00AE35AE"/>
    <w:rsid w:val="00AE3AEE"/>
    <w:rsid w:val="00AE3BD5"/>
    <w:rsid w:val="00AE3C7E"/>
    <w:rsid w:val="00AE3EC8"/>
    <w:rsid w:val="00AE4458"/>
    <w:rsid w:val="00AE447C"/>
    <w:rsid w:val="00AE4B75"/>
    <w:rsid w:val="00AE4D74"/>
    <w:rsid w:val="00AE4E81"/>
    <w:rsid w:val="00AE4F37"/>
    <w:rsid w:val="00AE523C"/>
    <w:rsid w:val="00AE525A"/>
    <w:rsid w:val="00AE5677"/>
    <w:rsid w:val="00AE57E6"/>
    <w:rsid w:val="00AE5884"/>
    <w:rsid w:val="00AE59A0"/>
    <w:rsid w:val="00AE5AF2"/>
    <w:rsid w:val="00AE5B04"/>
    <w:rsid w:val="00AE5D08"/>
    <w:rsid w:val="00AE5DB5"/>
    <w:rsid w:val="00AE608D"/>
    <w:rsid w:val="00AE61C5"/>
    <w:rsid w:val="00AE6217"/>
    <w:rsid w:val="00AE6226"/>
    <w:rsid w:val="00AE6427"/>
    <w:rsid w:val="00AE6501"/>
    <w:rsid w:val="00AE6AE7"/>
    <w:rsid w:val="00AE6CF2"/>
    <w:rsid w:val="00AE7344"/>
    <w:rsid w:val="00AE76CB"/>
    <w:rsid w:val="00AE77CD"/>
    <w:rsid w:val="00AE78B8"/>
    <w:rsid w:val="00AE7D07"/>
    <w:rsid w:val="00AE7EF4"/>
    <w:rsid w:val="00AE7F01"/>
    <w:rsid w:val="00AE7F6D"/>
    <w:rsid w:val="00AF0023"/>
    <w:rsid w:val="00AF098C"/>
    <w:rsid w:val="00AF0BBA"/>
    <w:rsid w:val="00AF0C57"/>
    <w:rsid w:val="00AF0CF2"/>
    <w:rsid w:val="00AF10BF"/>
    <w:rsid w:val="00AF11BB"/>
    <w:rsid w:val="00AF1A11"/>
    <w:rsid w:val="00AF1C95"/>
    <w:rsid w:val="00AF1D5E"/>
    <w:rsid w:val="00AF2111"/>
    <w:rsid w:val="00AF247A"/>
    <w:rsid w:val="00AF26B7"/>
    <w:rsid w:val="00AF26F3"/>
    <w:rsid w:val="00AF2E29"/>
    <w:rsid w:val="00AF2E9C"/>
    <w:rsid w:val="00AF2EAB"/>
    <w:rsid w:val="00AF2F12"/>
    <w:rsid w:val="00AF2F29"/>
    <w:rsid w:val="00AF3132"/>
    <w:rsid w:val="00AF331D"/>
    <w:rsid w:val="00AF33DD"/>
    <w:rsid w:val="00AF3948"/>
    <w:rsid w:val="00AF3950"/>
    <w:rsid w:val="00AF3CF6"/>
    <w:rsid w:val="00AF3E11"/>
    <w:rsid w:val="00AF4068"/>
    <w:rsid w:val="00AF4382"/>
    <w:rsid w:val="00AF44BF"/>
    <w:rsid w:val="00AF44D8"/>
    <w:rsid w:val="00AF45C2"/>
    <w:rsid w:val="00AF4A65"/>
    <w:rsid w:val="00AF4CC4"/>
    <w:rsid w:val="00AF58F8"/>
    <w:rsid w:val="00AF5B7C"/>
    <w:rsid w:val="00AF5C95"/>
    <w:rsid w:val="00AF5F04"/>
    <w:rsid w:val="00AF5F64"/>
    <w:rsid w:val="00AF6054"/>
    <w:rsid w:val="00AF6065"/>
    <w:rsid w:val="00AF6238"/>
    <w:rsid w:val="00AF62C8"/>
    <w:rsid w:val="00AF646F"/>
    <w:rsid w:val="00AF66F1"/>
    <w:rsid w:val="00AF6E50"/>
    <w:rsid w:val="00AF7334"/>
    <w:rsid w:val="00AF75C0"/>
    <w:rsid w:val="00AF7607"/>
    <w:rsid w:val="00AF7873"/>
    <w:rsid w:val="00AF7BC9"/>
    <w:rsid w:val="00AF7FBC"/>
    <w:rsid w:val="00B000C1"/>
    <w:rsid w:val="00B00372"/>
    <w:rsid w:val="00B0062E"/>
    <w:rsid w:val="00B00672"/>
    <w:rsid w:val="00B0077A"/>
    <w:rsid w:val="00B00ABF"/>
    <w:rsid w:val="00B00C58"/>
    <w:rsid w:val="00B01032"/>
    <w:rsid w:val="00B0128E"/>
    <w:rsid w:val="00B01373"/>
    <w:rsid w:val="00B01451"/>
    <w:rsid w:val="00B01559"/>
    <w:rsid w:val="00B01624"/>
    <w:rsid w:val="00B01783"/>
    <w:rsid w:val="00B01B4D"/>
    <w:rsid w:val="00B01D94"/>
    <w:rsid w:val="00B01ECF"/>
    <w:rsid w:val="00B0253F"/>
    <w:rsid w:val="00B0264D"/>
    <w:rsid w:val="00B02C77"/>
    <w:rsid w:val="00B02D58"/>
    <w:rsid w:val="00B02DA1"/>
    <w:rsid w:val="00B03086"/>
    <w:rsid w:val="00B03398"/>
    <w:rsid w:val="00B033F6"/>
    <w:rsid w:val="00B034B1"/>
    <w:rsid w:val="00B0368E"/>
    <w:rsid w:val="00B03780"/>
    <w:rsid w:val="00B03866"/>
    <w:rsid w:val="00B03CF4"/>
    <w:rsid w:val="00B03E59"/>
    <w:rsid w:val="00B03F32"/>
    <w:rsid w:val="00B04489"/>
    <w:rsid w:val="00B044FB"/>
    <w:rsid w:val="00B04CA0"/>
    <w:rsid w:val="00B04CDC"/>
    <w:rsid w:val="00B04D69"/>
    <w:rsid w:val="00B05171"/>
    <w:rsid w:val="00B0519E"/>
    <w:rsid w:val="00B055FB"/>
    <w:rsid w:val="00B05BD5"/>
    <w:rsid w:val="00B05BF9"/>
    <w:rsid w:val="00B05F25"/>
    <w:rsid w:val="00B06571"/>
    <w:rsid w:val="00B066D2"/>
    <w:rsid w:val="00B06738"/>
    <w:rsid w:val="00B068BA"/>
    <w:rsid w:val="00B068CC"/>
    <w:rsid w:val="00B068F4"/>
    <w:rsid w:val="00B06978"/>
    <w:rsid w:val="00B069A5"/>
    <w:rsid w:val="00B06ACD"/>
    <w:rsid w:val="00B06F4C"/>
    <w:rsid w:val="00B0701B"/>
    <w:rsid w:val="00B071BB"/>
    <w:rsid w:val="00B07217"/>
    <w:rsid w:val="00B07309"/>
    <w:rsid w:val="00B07458"/>
    <w:rsid w:val="00B0748D"/>
    <w:rsid w:val="00B07EE9"/>
    <w:rsid w:val="00B10133"/>
    <w:rsid w:val="00B10167"/>
    <w:rsid w:val="00B10291"/>
    <w:rsid w:val="00B106D3"/>
    <w:rsid w:val="00B10B18"/>
    <w:rsid w:val="00B10CB7"/>
    <w:rsid w:val="00B10D91"/>
    <w:rsid w:val="00B10F2A"/>
    <w:rsid w:val="00B111AD"/>
    <w:rsid w:val="00B115AF"/>
    <w:rsid w:val="00B11E05"/>
    <w:rsid w:val="00B12270"/>
    <w:rsid w:val="00B12406"/>
    <w:rsid w:val="00B12850"/>
    <w:rsid w:val="00B12939"/>
    <w:rsid w:val="00B12D09"/>
    <w:rsid w:val="00B12E58"/>
    <w:rsid w:val="00B12E71"/>
    <w:rsid w:val="00B13178"/>
    <w:rsid w:val="00B132D7"/>
    <w:rsid w:val="00B13643"/>
    <w:rsid w:val="00B137E6"/>
    <w:rsid w:val="00B13851"/>
    <w:rsid w:val="00B13853"/>
    <w:rsid w:val="00B13985"/>
    <w:rsid w:val="00B139CD"/>
    <w:rsid w:val="00B13B1C"/>
    <w:rsid w:val="00B13CD1"/>
    <w:rsid w:val="00B13F3C"/>
    <w:rsid w:val="00B14012"/>
    <w:rsid w:val="00B14107"/>
    <w:rsid w:val="00B14149"/>
    <w:rsid w:val="00B14238"/>
    <w:rsid w:val="00B14419"/>
    <w:rsid w:val="00B1481F"/>
    <w:rsid w:val="00B14B5F"/>
    <w:rsid w:val="00B14FA3"/>
    <w:rsid w:val="00B15162"/>
    <w:rsid w:val="00B151BA"/>
    <w:rsid w:val="00B15315"/>
    <w:rsid w:val="00B154DD"/>
    <w:rsid w:val="00B155BA"/>
    <w:rsid w:val="00B158B3"/>
    <w:rsid w:val="00B15B16"/>
    <w:rsid w:val="00B15B9F"/>
    <w:rsid w:val="00B15ECC"/>
    <w:rsid w:val="00B1695F"/>
    <w:rsid w:val="00B17288"/>
    <w:rsid w:val="00B1728C"/>
    <w:rsid w:val="00B1730A"/>
    <w:rsid w:val="00B173FC"/>
    <w:rsid w:val="00B17490"/>
    <w:rsid w:val="00B17A7E"/>
    <w:rsid w:val="00B17DCD"/>
    <w:rsid w:val="00B20058"/>
    <w:rsid w:val="00B200BC"/>
    <w:rsid w:val="00B2028B"/>
    <w:rsid w:val="00B20534"/>
    <w:rsid w:val="00B209EF"/>
    <w:rsid w:val="00B20AFA"/>
    <w:rsid w:val="00B20B99"/>
    <w:rsid w:val="00B211D5"/>
    <w:rsid w:val="00B21223"/>
    <w:rsid w:val="00B213A3"/>
    <w:rsid w:val="00B216B1"/>
    <w:rsid w:val="00B21736"/>
    <w:rsid w:val="00B21B29"/>
    <w:rsid w:val="00B21E5A"/>
    <w:rsid w:val="00B21F90"/>
    <w:rsid w:val="00B2214E"/>
    <w:rsid w:val="00B2216F"/>
    <w:rsid w:val="00B22291"/>
    <w:rsid w:val="00B22581"/>
    <w:rsid w:val="00B22660"/>
    <w:rsid w:val="00B22930"/>
    <w:rsid w:val="00B229E7"/>
    <w:rsid w:val="00B229F3"/>
    <w:rsid w:val="00B22AA7"/>
    <w:rsid w:val="00B22E6A"/>
    <w:rsid w:val="00B234C8"/>
    <w:rsid w:val="00B236F1"/>
    <w:rsid w:val="00B23761"/>
    <w:rsid w:val="00B23F1A"/>
    <w:rsid w:val="00B23F9A"/>
    <w:rsid w:val="00B2412B"/>
    <w:rsid w:val="00B2417B"/>
    <w:rsid w:val="00B24367"/>
    <w:rsid w:val="00B24750"/>
    <w:rsid w:val="00B24DD3"/>
    <w:rsid w:val="00B24E6F"/>
    <w:rsid w:val="00B24EF5"/>
    <w:rsid w:val="00B24F8E"/>
    <w:rsid w:val="00B2517B"/>
    <w:rsid w:val="00B2560B"/>
    <w:rsid w:val="00B25643"/>
    <w:rsid w:val="00B258D0"/>
    <w:rsid w:val="00B258E3"/>
    <w:rsid w:val="00B26146"/>
    <w:rsid w:val="00B2616D"/>
    <w:rsid w:val="00B26194"/>
    <w:rsid w:val="00B262F6"/>
    <w:rsid w:val="00B263B4"/>
    <w:rsid w:val="00B264B3"/>
    <w:rsid w:val="00B264FB"/>
    <w:rsid w:val="00B267EB"/>
    <w:rsid w:val="00B269B6"/>
    <w:rsid w:val="00B26BB8"/>
    <w:rsid w:val="00B26CB5"/>
    <w:rsid w:val="00B273D3"/>
    <w:rsid w:val="00B2752E"/>
    <w:rsid w:val="00B278F1"/>
    <w:rsid w:val="00B27CA0"/>
    <w:rsid w:val="00B27DD2"/>
    <w:rsid w:val="00B27EE3"/>
    <w:rsid w:val="00B27EEF"/>
    <w:rsid w:val="00B27F98"/>
    <w:rsid w:val="00B300D9"/>
    <w:rsid w:val="00B301F4"/>
    <w:rsid w:val="00B30304"/>
    <w:rsid w:val="00B307CC"/>
    <w:rsid w:val="00B30B17"/>
    <w:rsid w:val="00B30C23"/>
    <w:rsid w:val="00B30C27"/>
    <w:rsid w:val="00B30C53"/>
    <w:rsid w:val="00B30F60"/>
    <w:rsid w:val="00B31389"/>
    <w:rsid w:val="00B314F8"/>
    <w:rsid w:val="00B318D3"/>
    <w:rsid w:val="00B31BCF"/>
    <w:rsid w:val="00B31C6E"/>
    <w:rsid w:val="00B31CA9"/>
    <w:rsid w:val="00B31E5D"/>
    <w:rsid w:val="00B31E76"/>
    <w:rsid w:val="00B32076"/>
    <w:rsid w:val="00B32399"/>
    <w:rsid w:val="00B326B7"/>
    <w:rsid w:val="00B328CD"/>
    <w:rsid w:val="00B329C3"/>
    <w:rsid w:val="00B32AB6"/>
    <w:rsid w:val="00B32B43"/>
    <w:rsid w:val="00B32E63"/>
    <w:rsid w:val="00B330F4"/>
    <w:rsid w:val="00B336A4"/>
    <w:rsid w:val="00B338B2"/>
    <w:rsid w:val="00B33ADD"/>
    <w:rsid w:val="00B33BDD"/>
    <w:rsid w:val="00B33F2C"/>
    <w:rsid w:val="00B33F2D"/>
    <w:rsid w:val="00B34031"/>
    <w:rsid w:val="00B3413B"/>
    <w:rsid w:val="00B341A5"/>
    <w:rsid w:val="00B3431E"/>
    <w:rsid w:val="00B3445E"/>
    <w:rsid w:val="00B34582"/>
    <w:rsid w:val="00B34795"/>
    <w:rsid w:val="00B34CCA"/>
    <w:rsid w:val="00B34E89"/>
    <w:rsid w:val="00B35111"/>
    <w:rsid w:val="00B3522A"/>
    <w:rsid w:val="00B3588E"/>
    <w:rsid w:val="00B35B0B"/>
    <w:rsid w:val="00B35C7E"/>
    <w:rsid w:val="00B35DED"/>
    <w:rsid w:val="00B35EF5"/>
    <w:rsid w:val="00B3600E"/>
    <w:rsid w:val="00B361D9"/>
    <w:rsid w:val="00B36801"/>
    <w:rsid w:val="00B369AB"/>
    <w:rsid w:val="00B36A49"/>
    <w:rsid w:val="00B36BF4"/>
    <w:rsid w:val="00B3708A"/>
    <w:rsid w:val="00B3759D"/>
    <w:rsid w:val="00B3793B"/>
    <w:rsid w:val="00B37CBF"/>
    <w:rsid w:val="00B4019C"/>
    <w:rsid w:val="00B405F8"/>
    <w:rsid w:val="00B407EF"/>
    <w:rsid w:val="00B40A1F"/>
    <w:rsid w:val="00B40B8F"/>
    <w:rsid w:val="00B40FD2"/>
    <w:rsid w:val="00B41196"/>
    <w:rsid w:val="00B4141B"/>
    <w:rsid w:val="00B41910"/>
    <w:rsid w:val="00B41979"/>
    <w:rsid w:val="00B4198F"/>
    <w:rsid w:val="00B41A78"/>
    <w:rsid w:val="00B41D66"/>
    <w:rsid w:val="00B41F3D"/>
    <w:rsid w:val="00B4215D"/>
    <w:rsid w:val="00B42405"/>
    <w:rsid w:val="00B4250D"/>
    <w:rsid w:val="00B42533"/>
    <w:rsid w:val="00B42768"/>
    <w:rsid w:val="00B429B7"/>
    <w:rsid w:val="00B42C9E"/>
    <w:rsid w:val="00B42E6A"/>
    <w:rsid w:val="00B42EF4"/>
    <w:rsid w:val="00B431AD"/>
    <w:rsid w:val="00B431E8"/>
    <w:rsid w:val="00B43429"/>
    <w:rsid w:val="00B4387D"/>
    <w:rsid w:val="00B43BBA"/>
    <w:rsid w:val="00B43DCA"/>
    <w:rsid w:val="00B43E8F"/>
    <w:rsid w:val="00B43F69"/>
    <w:rsid w:val="00B44A24"/>
    <w:rsid w:val="00B4505F"/>
    <w:rsid w:val="00B45141"/>
    <w:rsid w:val="00B4527C"/>
    <w:rsid w:val="00B45458"/>
    <w:rsid w:val="00B454C2"/>
    <w:rsid w:val="00B456FE"/>
    <w:rsid w:val="00B45874"/>
    <w:rsid w:val="00B45924"/>
    <w:rsid w:val="00B45928"/>
    <w:rsid w:val="00B45B6F"/>
    <w:rsid w:val="00B45B90"/>
    <w:rsid w:val="00B45CD9"/>
    <w:rsid w:val="00B45CE0"/>
    <w:rsid w:val="00B45DDB"/>
    <w:rsid w:val="00B45F03"/>
    <w:rsid w:val="00B463B7"/>
    <w:rsid w:val="00B4659F"/>
    <w:rsid w:val="00B468BB"/>
    <w:rsid w:val="00B469AB"/>
    <w:rsid w:val="00B46CE0"/>
    <w:rsid w:val="00B46CEA"/>
    <w:rsid w:val="00B471B5"/>
    <w:rsid w:val="00B4757B"/>
    <w:rsid w:val="00B4761B"/>
    <w:rsid w:val="00B4785E"/>
    <w:rsid w:val="00B47BF9"/>
    <w:rsid w:val="00B47D93"/>
    <w:rsid w:val="00B47D95"/>
    <w:rsid w:val="00B47F3D"/>
    <w:rsid w:val="00B5025F"/>
    <w:rsid w:val="00B50379"/>
    <w:rsid w:val="00B507DC"/>
    <w:rsid w:val="00B50934"/>
    <w:rsid w:val="00B50F87"/>
    <w:rsid w:val="00B5110C"/>
    <w:rsid w:val="00B51243"/>
    <w:rsid w:val="00B519CD"/>
    <w:rsid w:val="00B52289"/>
    <w:rsid w:val="00B5235E"/>
    <w:rsid w:val="00B52620"/>
    <w:rsid w:val="00B52661"/>
    <w:rsid w:val="00B52718"/>
    <w:rsid w:val="00B5273A"/>
    <w:rsid w:val="00B52773"/>
    <w:rsid w:val="00B52C11"/>
    <w:rsid w:val="00B52FC5"/>
    <w:rsid w:val="00B538EA"/>
    <w:rsid w:val="00B53A8B"/>
    <w:rsid w:val="00B54045"/>
    <w:rsid w:val="00B540A4"/>
    <w:rsid w:val="00B54654"/>
    <w:rsid w:val="00B546F6"/>
    <w:rsid w:val="00B547D5"/>
    <w:rsid w:val="00B54FA6"/>
    <w:rsid w:val="00B55064"/>
    <w:rsid w:val="00B552E3"/>
    <w:rsid w:val="00B552E9"/>
    <w:rsid w:val="00B5538E"/>
    <w:rsid w:val="00B55B57"/>
    <w:rsid w:val="00B55EE3"/>
    <w:rsid w:val="00B56175"/>
    <w:rsid w:val="00B563F4"/>
    <w:rsid w:val="00B5647F"/>
    <w:rsid w:val="00B5657F"/>
    <w:rsid w:val="00B569D2"/>
    <w:rsid w:val="00B56BA2"/>
    <w:rsid w:val="00B56CC2"/>
    <w:rsid w:val="00B56CDC"/>
    <w:rsid w:val="00B56F10"/>
    <w:rsid w:val="00B57329"/>
    <w:rsid w:val="00B576BA"/>
    <w:rsid w:val="00B577FA"/>
    <w:rsid w:val="00B57BE8"/>
    <w:rsid w:val="00B57C87"/>
    <w:rsid w:val="00B57D1D"/>
    <w:rsid w:val="00B57F91"/>
    <w:rsid w:val="00B606FC"/>
    <w:rsid w:val="00B6080E"/>
    <w:rsid w:val="00B60A48"/>
    <w:rsid w:val="00B60B53"/>
    <w:rsid w:val="00B60C63"/>
    <w:rsid w:val="00B60E61"/>
    <w:rsid w:val="00B6107B"/>
    <w:rsid w:val="00B61582"/>
    <w:rsid w:val="00B619B5"/>
    <w:rsid w:val="00B61CD9"/>
    <w:rsid w:val="00B61D26"/>
    <w:rsid w:val="00B61F14"/>
    <w:rsid w:val="00B620E9"/>
    <w:rsid w:val="00B624FF"/>
    <w:rsid w:val="00B625BB"/>
    <w:rsid w:val="00B62B50"/>
    <w:rsid w:val="00B62E3E"/>
    <w:rsid w:val="00B62EBC"/>
    <w:rsid w:val="00B62F2B"/>
    <w:rsid w:val="00B633A3"/>
    <w:rsid w:val="00B633C4"/>
    <w:rsid w:val="00B635B7"/>
    <w:rsid w:val="00B63682"/>
    <w:rsid w:val="00B63AAA"/>
    <w:rsid w:val="00B63AE8"/>
    <w:rsid w:val="00B63C6D"/>
    <w:rsid w:val="00B63C83"/>
    <w:rsid w:val="00B63EB9"/>
    <w:rsid w:val="00B64556"/>
    <w:rsid w:val="00B64616"/>
    <w:rsid w:val="00B64791"/>
    <w:rsid w:val="00B647F3"/>
    <w:rsid w:val="00B649BB"/>
    <w:rsid w:val="00B64A44"/>
    <w:rsid w:val="00B64BB1"/>
    <w:rsid w:val="00B64ED5"/>
    <w:rsid w:val="00B6547C"/>
    <w:rsid w:val="00B65950"/>
    <w:rsid w:val="00B65A1E"/>
    <w:rsid w:val="00B65D47"/>
    <w:rsid w:val="00B662C8"/>
    <w:rsid w:val="00B66576"/>
    <w:rsid w:val="00B6657D"/>
    <w:rsid w:val="00B667C7"/>
    <w:rsid w:val="00B66848"/>
    <w:rsid w:val="00B6694A"/>
    <w:rsid w:val="00B66A26"/>
    <w:rsid w:val="00B66B78"/>
    <w:rsid w:val="00B66BE9"/>
    <w:rsid w:val="00B66D83"/>
    <w:rsid w:val="00B66E17"/>
    <w:rsid w:val="00B6702F"/>
    <w:rsid w:val="00B672C0"/>
    <w:rsid w:val="00B67411"/>
    <w:rsid w:val="00B6743A"/>
    <w:rsid w:val="00B674FA"/>
    <w:rsid w:val="00B676FD"/>
    <w:rsid w:val="00B678B6"/>
    <w:rsid w:val="00B67944"/>
    <w:rsid w:val="00B679BD"/>
    <w:rsid w:val="00B67DAB"/>
    <w:rsid w:val="00B67EB9"/>
    <w:rsid w:val="00B67FDD"/>
    <w:rsid w:val="00B702B9"/>
    <w:rsid w:val="00B70400"/>
    <w:rsid w:val="00B70458"/>
    <w:rsid w:val="00B705F0"/>
    <w:rsid w:val="00B708F2"/>
    <w:rsid w:val="00B70963"/>
    <w:rsid w:val="00B70CD4"/>
    <w:rsid w:val="00B70E70"/>
    <w:rsid w:val="00B70E7A"/>
    <w:rsid w:val="00B70F2A"/>
    <w:rsid w:val="00B71143"/>
    <w:rsid w:val="00B7130C"/>
    <w:rsid w:val="00B7137F"/>
    <w:rsid w:val="00B7169C"/>
    <w:rsid w:val="00B71705"/>
    <w:rsid w:val="00B71843"/>
    <w:rsid w:val="00B7191F"/>
    <w:rsid w:val="00B71C97"/>
    <w:rsid w:val="00B71CBF"/>
    <w:rsid w:val="00B71E4D"/>
    <w:rsid w:val="00B722D0"/>
    <w:rsid w:val="00B722F6"/>
    <w:rsid w:val="00B72337"/>
    <w:rsid w:val="00B724BE"/>
    <w:rsid w:val="00B72523"/>
    <w:rsid w:val="00B72789"/>
    <w:rsid w:val="00B728E8"/>
    <w:rsid w:val="00B72C60"/>
    <w:rsid w:val="00B72E4F"/>
    <w:rsid w:val="00B72EBF"/>
    <w:rsid w:val="00B73AC5"/>
    <w:rsid w:val="00B73EF9"/>
    <w:rsid w:val="00B74030"/>
    <w:rsid w:val="00B742B8"/>
    <w:rsid w:val="00B74445"/>
    <w:rsid w:val="00B745D0"/>
    <w:rsid w:val="00B74824"/>
    <w:rsid w:val="00B74CC0"/>
    <w:rsid w:val="00B75298"/>
    <w:rsid w:val="00B75593"/>
    <w:rsid w:val="00B75646"/>
    <w:rsid w:val="00B75888"/>
    <w:rsid w:val="00B7612C"/>
    <w:rsid w:val="00B7629E"/>
    <w:rsid w:val="00B76362"/>
    <w:rsid w:val="00B764C4"/>
    <w:rsid w:val="00B76555"/>
    <w:rsid w:val="00B767B1"/>
    <w:rsid w:val="00B76A52"/>
    <w:rsid w:val="00B76F8E"/>
    <w:rsid w:val="00B7761D"/>
    <w:rsid w:val="00B77876"/>
    <w:rsid w:val="00B77A0F"/>
    <w:rsid w:val="00B77F19"/>
    <w:rsid w:val="00B802A9"/>
    <w:rsid w:val="00B802ED"/>
    <w:rsid w:val="00B803A4"/>
    <w:rsid w:val="00B803D9"/>
    <w:rsid w:val="00B803E0"/>
    <w:rsid w:val="00B80563"/>
    <w:rsid w:val="00B80A2A"/>
    <w:rsid w:val="00B80A58"/>
    <w:rsid w:val="00B80E55"/>
    <w:rsid w:val="00B80F81"/>
    <w:rsid w:val="00B80FCB"/>
    <w:rsid w:val="00B81019"/>
    <w:rsid w:val="00B81060"/>
    <w:rsid w:val="00B81173"/>
    <w:rsid w:val="00B816E6"/>
    <w:rsid w:val="00B81796"/>
    <w:rsid w:val="00B8186F"/>
    <w:rsid w:val="00B81AB0"/>
    <w:rsid w:val="00B81B13"/>
    <w:rsid w:val="00B81C25"/>
    <w:rsid w:val="00B820B4"/>
    <w:rsid w:val="00B82151"/>
    <w:rsid w:val="00B822BE"/>
    <w:rsid w:val="00B8244F"/>
    <w:rsid w:val="00B825F1"/>
    <w:rsid w:val="00B828D0"/>
    <w:rsid w:val="00B82A50"/>
    <w:rsid w:val="00B82D4A"/>
    <w:rsid w:val="00B82FDB"/>
    <w:rsid w:val="00B83159"/>
    <w:rsid w:val="00B83300"/>
    <w:rsid w:val="00B8348A"/>
    <w:rsid w:val="00B8380C"/>
    <w:rsid w:val="00B8396C"/>
    <w:rsid w:val="00B83D47"/>
    <w:rsid w:val="00B83EC5"/>
    <w:rsid w:val="00B83EF5"/>
    <w:rsid w:val="00B8421B"/>
    <w:rsid w:val="00B8483F"/>
    <w:rsid w:val="00B84BF7"/>
    <w:rsid w:val="00B84C8B"/>
    <w:rsid w:val="00B84CF0"/>
    <w:rsid w:val="00B84D8E"/>
    <w:rsid w:val="00B84EAF"/>
    <w:rsid w:val="00B84FB8"/>
    <w:rsid w:val="00B850F0"/>
    <w:rsid w:val="00B8530A"/>
    <w:rsid w:val="00B8549A"/>
    <w:rsid w:val="00B85512"/>
    <w:rsid w:val="00B855A6"/>
    <w:rsid w:val="00B85942"/>
    <w:rsid w:val="00B85AD9"/>
    <w:rsid w:val="00B85DAD"/>
    <w:rsid w:val="00B85F2D"/>
    <w:rsid w:val="00B85F46"/>
    <w:rsid w:val="00B862BF"/>
    <w:rsid w:val="00B862FC"/>
    <w:rsid w:val="00B86889"/>
    <w:rsid w:val="00B86A12"/>
    <w:rsid w:val="00B86C45"/>
    <w:rsid w:val="00B86C4A"/>
    <w:rsid w:val="00B86D2C"/>
    <w:rsid w:val="00B87388"/>
    <w:rsid w:val="00B87B19"/>
    <w:rsid w:val="00B87BC4"/>
    <w:rsid w:val="00B87FDC"/>
    <w:rsid w:val="00B90390"/>
    <w:rsid w:val="00B903B3"/>
    <w:rsid w:val="00B90729"/>
    <w:rsid w:val="00B907DA"/>
    <w:rsid w:val="00B909AE"/>
    <w:rsid w:val="00B90B09"/>
    <w:rsid w:val="00B90B10"/>
    <w:rsid w:val="00B90F8D"/>
    <w:rsid w:val="00B91063"/>
    <w:rsid w:val="00B910F7"/>
    <w:rsid w:val="00B911DE"/>
    <w:rsid w:val="00B9126A"/>
    <w:rsid w:val="00B912B4"/>
    <w:rsid w:val="00B912F3"/>
    <w:rsid w:val="00B91506"/>
    <w:rsid w:val="00B918E4"/>
    <w:rsid w:val="00B91B1E"/>
    <w:rsid w:val="00B91BE9"/>
    <w:rsid w:val="00B91EEC"/>
    <w:rsid w:val="00B9202E"/>
    <w:rsid w:val="00B92204"/>
    <w:rsid w:val="00B92283"/>
    <w:rsid w:val="00B922CB"/>
    <w:rsid w:val="00B92761"/>
    <w:rsid w:val="00B929CF"/>
    <w:rsid w:val="00B92B46"/>
    <w:rsid w:val="00B92CC5"/>
    <w:rsid w:val="00B92CD4"/>
    <w:rsid w:val="00B92F1E"/>
    <w:rsid w:val="00B9314F"/>
    <w:rsid w:val="00B9325A"/>
    <w:rsid w:val="00B9329F"/>
    <w:rsid w:val="00B932A3"/>
    <w:rsid w:val="00B93455"/>
    <w:rsid w:val="00B934D7"/>
    <w:rsid w:val="00B93BD1"/>
    <w:rsid w:val="00B93C8E"/>
    <w:rsid w:val="00B93E05"/>
    <w:rsid w:val="00B93E93"/>
    <w:rsid w:val="00B94054"/>
    <w:rsid w:val="00B9428E"/>
    <w:rsid w:val="00B94547"/>
    <w:rsid w:val="00B94894"/>
    <w:rsid w:val="00B94904"/>
    <w:rsid w:val="00B94C4F"/>
    <w:rsid w:val="00B94C5E"/>
    <w:rsid w:val="00B94E8F"/>
    <w:rsid w:val="00B94F09"/>
    <w:rsid w:val="00B950BC"/>
    <w:rsid w:val="00B9515F"/>
    <w:rsid w:val="00B9520D"/>
    <w:rsid w:val="00B9549C"/>
    <w:rsid w:val="00B954BC"/>
    <w:rsid w:val="00B95562"/>
    <w:rsid w:val="00B95B95"/>
    <w:rsid w:val="00B95C3D"/>
    <w:rsid w:val="00B95CF4"/>
    <w:rsid w:val="00B96A6D"/>
    <w:rsid w:val="00B96F11"/>
    <w:rsid w:val="00B9714C"/>
    <w:rsid w:val="00B9764C"/>
    <w:rsid w:val="00B9774C"/>
    <w:rsid w:val="00B97BA1"/>
    <w:rsid w:val="00B97D0A"/>
    <w:rsid w:val="00BA02EA"/>
    <w:rsid w:val="00BA031D"/>
    <w:rsid w:val="00BA052A"/>
    <w:rsid w:val="00BA0737"/>
    <w:rsid w:val="00BA0C03"/>
    <w:rsid w:val="00BA0C3F"/>
    <w:rsid w:val="00BA0D3A"/>
    <w:rsid w:val="00BA0EF1"/>
    <w:rsid w:val="00BA104C"/>
    <w:rsid w:val="00BA114E"/>
    <w:rsid w:val="00BA14F8"/>
    <w:rsid w:val="00BA157A"/>
    <w:rsid w:val="00BA17F4"/>
    <w:rsid w:val="00BA18CE"/>
    <w:rsid w:val="00BA194A"/>
    <w:rsid w:val="00BA1BB8"/>
    <w:rsid w:val="00BA1C1D"/>
    <w:rsid w:val="00BA26F2"/>
    <w:rsid w:val="00BA26F6"/>
    <w:rsid w:val="00BA28E5"/>
    <w:rsid w:val="00BA29AD"/>
    <w:rsid w:val="00BA2D04"/>
    <w:rsid w:val="00BA2F87"/>
    <w:rsid w:val="00BA33CF"/>
    <w:rsid w:val="00BA35A5"/>
    <w:rsid w:val="00BA379E"/>
    <w:rsid w:val="00BA37D1"/>
    <w:rsid w:val="00BA3AB9"/>
    <w:rsid w:val="00BA3F8D"/>
    <w:rsid w:val="00BA407A"/>
    <w:rsid w:val="00BA4323"/>
    <w:rsid w:val="00BA45CE"/>
    <w:rsid w:val="00BA48F4"/>
    <w:rsid w:val="00BA4AE4"/>
    <w:rsid w:val="00BA4E14"/>
    <w:rsid w:val="00BA508C"/>
    <w:rsid w:val="00BA51F7"/>
    <w:rsid w:val="00BA5376"/>
    <w:rsid w:val="00BA5720"/>
    <w:rsid w:val="00BA5815"/>
    <w:rsid w:val="00BA5B4F"/>
    <w:rsid w:val="00BA5C46"/>
    <w:rsid w:val="00BA5C6B"/>
    <w:rsid w:val="00BA5CF5"/>
    <w:rsid w:val="00BA6088"/>
    <w:rsid w:val="00BA6108"/>
    <w:rsid w:val="00BA64FE"/>
    <w:rsid w:val="00BA6F49"/>
    <w:rsid w:val="00BA7067"/>
    <w:rsid w:val="00BA74D3"/>
    <w:rsid w:val="00BA7661"/>
    <w:rsid w:val="00BA78C6"/>
    <w:rsid w:val="00BA79B4"/>
    <w:rsid w:val="00BA79F9"/>
    <w:rsid w:val="00BA7A18"/>
    <w:rsid w:val="00BA7D8E"/>
    <w:rsid w:val="00BA7E49"/>
    <w:rsid w:val="00BB048F"/>
    <w:rsid w:val="00BB0599"/>
    <w:rsid w:val="00BB05F5"/>
    <w:rsid w:val="00BB065F"/>
    <w:rsid w:val="00BB084B"/>
    <w:rsid w:val="00BB088B"/>
    <w:rsid w:val="00BB09C9"/>
    <w:rsid w:val="00BB10A8"/>
    <w:rsid w:val="00BB12C1"/>
    <w:rsid w:val="00BB15CE"/>
    <w:rsid w:val="00BB1657"/>
    <w:rsid w:val="00BB16F9"/>
    <w:rsid w:val="00BB1940"/>
    <w:rsid w:val="00BB1ADD"/>
    <w:rsid w:val="00BB1B1C"/>
    <w:rsid w:val="00BB1DE2"/>
    <w:rsid w:val="00BB214E"/>
    <w:rsid w:val="00BB214F"/>
    <w:rsid w:val="00BB23D7"/>
    <w:rsid w:val="00BB23EF"/>
    <w:rsid w:val="00BB24F3"/>
    <w:rsid w:val="00BB2F3D"/>
    <w:rsid w:val="00BB305A"/>
    <w:rsid w:val="00BB3154"/>
    <w:rsid w:val="00BB38F6"/>
    <w:rsid w:val="00BB3D51"/>
    <w:rsid w:val="00BB4143"/>
    <w:rsid w:val="00BB4238"/>
    <w:rsid w:val="00BB4543"/>
    <w:rsid w:val="00BB45F5"/>
    <w:rsid w:val="00BB47E9"/>
    <w:rsid w:val="00BB49D8"/>
    <w:rsid w:val="00BB4B6C"/>
    <w:rsid w:val="00BB50DA"/>
    <w:rsid w:val="00BB524C"/>
    <w:rsid w:val="00BB52C2"/>
    <w:rsid w:val="00BB5A94"/>
    <w:rsid w:val="00BB5E47"/>
    <w:rsid w:val="00BB6182"/>
    <w:rsid w:val="00BB667B"/>
    <w:rsid w:val="00BB68C2"/>
    <w:rsid w:val="00BB69E8"/>
    <w:rsid w:val="00BB6B19"/>
    <w:rsid w:val="00BB6F04"/>
    <w:rsid w:val="00BB6F61"/>
    <w:rsid w:val="00BB74AC"/>
    <w:rsid w:val="00BB75C7"/>
    <w:rsid w:val="00BB7681"/>
    <w:rsid w:val="00BB7A10"/>
    <w:rsid w:val="00BB7A7A"/>
    <w:rsid w:val="00BC02CE"/>
    <w:rsid w:val="00BC036D"/>
    <w:rsid w:val="00BC09DE"/>
    <w:rsid w:val="00BC0AD0"/>
    <w:rsid w:val="00BC0F28"/>
    <w:rsid w:val="00BC18F2"/>
    <w:rsid w:val="00BC1A2E"/>
    <w:rsid w:val="00BC1A39"/>
    <w:rsid w:val="00BC1AFE"/>
    <w:rsid w:val="00BC1C1D"/>
    <w:rsid w:val="00BC1C32"/>
    <w:rsid w:val="00BC1D61"/>
    <w:rsid w:val="00BC1D78"/>
    <w:rsid w:val="00BC1FAC"/>
    <w:rsid w:val="00BC20B3"/>
    <w:rsid w:val="00BC2136"/>
    <w:rsid w:val="00BC22C5"/>
    <w:rsid w:val="00BC23D6"/>
    <w:rsid w:val="00BC24F3"/>
    <w:rsid w:val="00BC2640"/>
    <w:rsid w:val="00BC26AE"/>
    <w:rsid w:val="00BC28F9"/>
    <w:rsid w:val="00BC31D3"/>
    <w:rsid w:val="00BC320A"/>
    <w:rsid w:val="00BC3363"/>
    <w:rsid w:val="00BC38F3"/>
    <w:rsid w:val="00BC3B9D"/>
    <w:rsid w:val="00BC3EFA"/>
    <w:rsid w:val="00BC4497"/>
    <w:rsid w:val="00BC48BC"/>
    <w:rsid w:val="00BC4B03"/>
    <w:rsid w:val="00BC4B93"/>
    <w:rsid w:val="00BC4F1C"/>
    <w:rsid w:val="00BC5033"/>
    <w:rsid w:val="00BC51BD"/>
    <w:rsid w:val="00BC5309"/>
    <w:rsid w:val="00BC5545"/>
    <w:rsid w:val="00BC5582"/>
    <w:rsid w:val="00BC5682"/>
    <w:rsid w:val="00BC5924"/>
    <w:rsid w:val="00BC59C7"/>
    <w:rsid w:val="00BC5C11"/>
    <w:rsid w:val="00BC5C95"/>
    <w:rsid w:val="00BC5CE3"/>
    <w:rsid w:val="00BC5CFA"/>
    <w:rsid w:val="00BC60BE"/>
    <w:rsid w:val="00BC6103"/>
    <w:rsid w:val="00BC6201"/>
    <w:rsid w:val="00BC64D9"/>
    <w:rsid w:val="00BC698C"/>
    <w:rsid w:val="00BC6DC6"/>
    <w:rsid w:val="00BC7468"/>
    <w:rsid w:val="00BC7520"/>
    <w:rsid w:val="00BC7A9E"/>
    <w:rsid w:val="00BC7D4F"/>
    <w:rsid w:val="00BC7ED7"/>
    <w:rsid w:val="00BD0226"/>
    <w:rsid w:val="00BD05E1"/>
    <w:rsid w:val="00BD062C"/>
    <w:rsid w:val="00BD063D"/>
    <w:rsid w:val="00BD0723"/>
    <w:rsid w:val="00BD0867"/>
    <w:rsid w:val="00BD09E0"/>
    <w:rsid w:val="00BD0A94"/>
    <w:rsid w:val="00BD0DB0"/>
    <w:rsid w:val="00BD0FED"/>
    <w:rsid w:val="00BD1146"/>
    <w:rsid w:val="00BD1585"/>
    <w:rsid w:val="00BD15DC"/>
    <w:rsid w:val="00BD1CD2"/>
    <w:rsid w:val="00BD1F1B"/>
    <w:rsid w:val="00BD2850"/>
    <w:rsid w:val="00BD29D3"/>
    <w:rsid w:val="00BD2A2B"/>
    <w:rsid w:val="00BD2AE6"/>
    <w:rsid w:val="00BD2E12"/>
    <w:rsid w:val="00BD2EB2"/>
    <w:rsid w:val="00BD3032"/>
    <w:rsid w:val="00BD3193"/>
    <w:rsid w:val="00BD33FB"/>
    <w:rsid w:val="00BD34F3"/>
    <w:rsid w:val="00BD3802"/>
    <w:rsid w:val="00BD39B8"/>
    <w:rsid w:val="00BD3C9B"/>
    <w:rsid w:val="00BD3D1D"/>
    <w:rsid w:val="00BD3DEC"/>
    <w:rsid w:val="00BD3ECE"/>
    <w:rsid w:val="00BD4130"/>
    <w:rsid w:val="00BD439E"/>
    <w:rsid w:val="00BD456C"/>
    <w:rsid w:val="00BD46AC"/>
    <w:rsid w:val="00BD471E"/>
    <w:rsid w:val="00BD4A94"/>
    <w:rsid w:val="00BD4ADE"/>
    <w:rsid w:val="00BD4B16"/>
    <w:rsid w:val="00BD5439"/>
    <w:rsid w:val="00BD545A"/>
    <w:rsid w:val="00BD575E"/>
    <w:rsid w:val="00BD5E42"/>
    <w:rsid w:val="00BD5FDD"/>
    <w:rsid w:val="00BD64EA"/>
    <w:rsid w:val="00BD65A9"/>
    <w:rsid w:val="00BD6B9D"/>
    <w:rsid w:val="00BD7084"/>
    <w:rsid w:val="00BD70F6"/>
    <w:rsid w:val="00BD7613"/>
    <w:rsid w:val="00BD76C7"/>
    <w:rsid w:val="00BD76FF"/>
    <w:rsid w:val="00BD783F"/>
    <w:rsid w:val="00BD7B06"/>
    <w:rsid w:val="00BD7C95"/>
    <w:rsid w:val="00BD7D8F"/>
    <w:rsid w:val="00BE009F"/>
    <w:rsid w:val="00BE0202"/>
    <w:rsid w:val="00BE03BE"/>
    <w:rsid w:val="00BE041C"/>
    <w:rsid w:val="00BE0818"/>
    <w:rsid w:val="00BE0863"/>
    <w:rsid w:val="00BE0923"/>
    <w:rsid w:val="00BE11E3"/>
    <w:rsid w:val="00BE170D"/>
    <w:rsid w:val="00BE17E8"/>
    <w:rsid w:val="00BE1ADB"/>
    <w:rsid w:val="00BE1B9A"/>
    <w:rsid w:val="00BE1B9E"/>
    <w:rsid w:val="00BE1CCC"/>
    <w:rsid w:val="00BE210D"/>
    <w:rsid w:val="00BE25D6"/>
    <w:rsid w:val="00BE2674"/>
    <w:rsid w:val="00BE2717"/>
    <w:rsid w:val="00BE27AF"/>
    <w:rsid w:val="00BE28D2"/>
    <w:rsid w:val="00BE34D0"/>
    <w:rsid w:val="00BE35F1"/>
    <w:rsid w:val="00BE3653"/>
    <w:rsid w:val="00BE36F3"/>
    <w:rsid w:val="00BE37C9"/>
    <w:rsid w:val="00BE3B69"/>
    <w:rsid w:val="00BE3B8E"/>
    <w:rsid w:val="00BE3D32"/>
    <w:rsid w:val="00BE3E48"/>
    <w:rsid w:val="00BE3F90"/>
    <w:rsid w:val="00BE41ED"/>
    <w:rsid w:val="00BE4321"/>
    <w:rsid w:val="00BE44DE"/>
    <w:rsid w:val="00BE4544"/>
    <w:rsid w:val="00BE46C9"/>
    <w:rsid w:val="00BE479D"/>
    <w:rsid w:val="00BE47FD"/>
    <w:rsid w:val="00BE4A64"/>
    <w:rsid w:val="00BE5079"/>
    <w:rsid w:val="00BE5316"/>
    <w:rsid w:val="00BE56BB"/>
    <w:rsid w:val="00BE5E43"/>
    <w:rsid w:val="00BE5F3C"/>
    <w:rsid w:val="00BE607E"/>
    <w:rsid w:val="00BE6112"/>
    <w:rsid w:val="00BE61D2"/>
    <w:rsid w:val="00BE622E"/>
    <w:rsid w:val="00BE66A4"/>
    <w:rsid w:val="00BE6A5C"/>
    <w:rsid w:val="00BE6AD4"/>
    <w:rsid w:val="00BE6BF6"/>
    <w:rsid w:val="00BE6C6A"/>
    <w:rsid w:val="00BE7016"/>
    <w:rsid w:val="00BE7342"/>
    <w:rsid w:val="00BE7490"/>
    <w:rsid w:val="00BE77DA"/>
    <w:rsid w:val="00BE7A0C"/>
    <w:rsid w:val="00BE7A84"/>
    <w:rsid w:val="00BE7B6C"/>
    <w:rsid w:val="00BE7D32"/>
    <w:rsid w:val="00BF02CA"/>
    <w:rsid w:val="00BF05F2"/>
    <w:rsid w:val="00BF0BCD"/>
    <w:rsid w:val="00BF0CEC"/>
    <w:rsid w:val="00BF0F3E"/>
    <w:rsid w:val="00BF0F8B"/>
    <w:rsid w:val="00BF1110"/>
    <w:rsid w:val="00BF11D9"/>
    <w:rsid w:val="00BF124E"/>
    <w:rsid w:val="00BF129D"/>
    <w:rsid w:val="00BF1707"/>
    <w:rsid w:val="00BF19D7"/>
    <w:rsid w:val="00BF1B81"/>
    <w:rsid w:val="00BF1B8E"/>
    <w:rsid w:val="00BF1DA7"/>
    <w:rsid w:val="00BF1EFA"/>
    <w:rsid w:val="00BF2030"/>
    <w:rsid w:val="00BF2053"/>
    <w:rsid w:val="00BF2197"/>
    <w:rsid w:val="00BF2219"/>
    <w:rsid w:val="00BF28F6"/>
    <w:rsid w:val="00BF2AB4"/>
    <w:rsid w:val="00BF2B4F"/>
    <w:rsid w:val="00BF3008"/>
    <w:rsid w:val="00BF3016"/>
    <w:rsid w:val="00BF301E"/>
    <w:rsid w:val="00BF36E2"/>
    <w:rsid w:val="00BF3717"/>
    <w:rsid w:val="00BF38EF"/>
    <w:rsid w:val="00BF39B3"/>
    <w:rsid w:val="00BF3BD4"/>
    <w:rsid w:val="00BF3C65"/>
    <w:rsid w:val="00BF3D00"/>
    <w:rsid w:val="00BF3E3F"/>
    <w:rsid w:val="00BF3F56"/>
    <w:rsid w:val="00BF4148"/>
    <w:rsid w:val="00BF440D"/>
    <w:rsid w:val="00BF4442"/>
    <w:rsid w:val="00BF44A3"/>
    <w:rsid w:val="00BF476D"/>
    <w:rsid w:val="00BF48EA"/>
    <w:rsid w:val="00BF49A9"/>
    <w:rsid w:val="00BF49F4"/>
    <w:rsid w:val="00BF4EDD"/>
    <w:rsid w:val="00BF4EF3"/>
    <w:rsid w:val="00BF4F55"/>
    <w:rsid w:val="00BF517D"/>
    <w:rsid w:val="00BF5198"/>
    <w:rsid w:val="00BF557D"/>
    <w:rsid w:val="00BF569C"/>
    <w:rsid w:val="00BF597A"/>
    <w:rsid w:val="00BF5C59"/>
    <w:rsid w:val="00BF5E8D"/>
    <w:rsid w:val="00BF5F5E"/>
    <w:rsid w:val="00BF6022"/>
    <w:rsid w:val="00BF60E1"/>
    <w:rsid w:val="00BF6531"/>
    <w:rsid w:val="00BF658D"/>
    <w:rsid w:val="00BF66B8"/>
    <w:rsid w:val="00BF6845"/>
    <w:rsid w:val="00BF6A42"/>
    <w:rsid w:val="00BF6B2A"/>
    <w:rsid w:val="00BF6D78"/>
    <w:rsid w:val="00BF7205"/>
    <w:rsid w:val="00BF7454"/>
    <w:rsid w:val="00BF7532"/>
    <w:rsid w:val="00BF7572"/>
    <w:rsid w:val="00BF77FB"/>
    <w:rsid w:val="00BF78A2"/>
    <w:rsid w:val="00BF78E4"/>
    <w:rsid w:val="00BF794A"/>
    <w:rsid w:val="00BF7A62"/>
    <w:rsid w:val="00BF7A6D"/>
    <w:rsid w:val="00BF7F1E"/>
    <w:rsid w:val="00BF7F58"/>
    <w:rsid w:val="00BF7F6E"/>
    <w:rsid w:val="00C000A6"/>
    <w:rsid w:val="00C001F4"/>
    <w:rsid w:val="00C0021B"/>
    <w:rsid w:val="00C00335"/>
    <w:rsid w:val="00C006B7"/>
    <w:rsid w:val="00C00C28"/>
    <w:rsid w:val="00C00C7B"/>
    <w:rsid w:val="00C00D07"/>
    <w:rsid w:val="00C00FBC"/>
    <w:rsid w:val="00C0116D"/>
    <w:rsid w:val="00C011F2"/>
    <w:rsid w:val="00C01381"/>
    <w:rsid w:val="00C016BB"/>
    <w:rsid w:val="00C01714"/>
    <w:rsid w:val="00C0181D"/>
    <w:rsid w:val="00C01AB1"/>
    <w:rsid w:val="00C01C47"/>
    <w:rsid w:val="00C01C53"/>
    <w:rsid w:val="00C01C5E"/>
    <w:rsid w:val="00C01CD9"/>
    <w:rsid w:val="00C02339"/>
    <w:rsid w:val="00C026A0"/>
    <w:rsid w:val="00C027E3"/>
    <w:rsid w:val="00C027EC"/>
    <w:rsid w:val="00C03025"/>
    <w:rsid w:val="00C03180"/>
    <w:rsid w:val="00C0332A"/>
    <w:rsid w:val="00C034E0"/>
    <w:rsid w:val="00C03B76"/>
    <w:rsid w:val="00C03BB9"/>
    <w:rsid w:val="00C03BEF"/>
    <w:rsid w:val="00C03E39"/>
    <w:rsid w:val="00C03FB1"/>
    <w:rsid w:val="00C0405B"/>
    <w:rsid w:val="00C04543"/>
    <w:rsid w:val="00C0456D"/>
    <w:rsid w:val="00C04D48"/>
    <w:rsid w:val="00C04E45"/>
    <w:rsid w:val="00C04ECB"/>
    <w:rsid w:val="00C04F0F"/>
    <w:rsid w:val="00C04F77"/>
    <w:rsid w:val="00C0507E"/>
    <w:rsid w:val="00C05189"/>
    <w:rsid w:val="00C05852"/>
    <w:rsid w:val="00C059FE"/>
    <w:rsid w:val="00C05C6C"/>
    <w:rsid w:val="00C05E68"/>
    <w:rsid w:val="00C06137"/>
    <w:rsid w:val="00C062D7"/>
    <w:rsid w:val="00C064BF"/>
    <w:rsid w:val="00C06685"/>
    <w:rsid w:val="00C06805"/>
    <w:rsid w:val="00C06865"/>
    <w:rsid w:val="00C06929"/>
    <w:rsid w:val="00C0692B"/>
    <w:rsid w:val="00C06DF0"/>
    <w:rsid w:val="00C06F5C"/>
    <w:rsid w:val="00C07182"/>
    <w:rsid w:val="00C07300"/>
    <w:rsid w:val="00C07322"/>
    <w:rsid w:val="00C07782"/>
    <w:rsid w:val="00C079B8"/>
    <w:rsid w:val="00C10037"/>
    <w:rsid w:val="00C10048"/>
    <w:rsid w:val="00C10103"/>
    <w:rsid w:val="00C1054F"/>
    <w:rsid w:val="00C105E2"/>
    <w:rsid w:val="00C10C3A"/>
    <w:rsid w:val="00C110C3"/>
    <w:rsid w:val="00C114FA"/>
    <w:rsid w:val="00C115E1"/>
    <w:rsid w:val="00C116A9"/>
    <w:rsid w:val="00C11B7E"/>
    <w:rsid w:val="00C11D74"/>
    <w:rsid w:val="00C11DD4"/>
    <w:rsid w:val="00C11FD5"/>
    <w:rsid w:val="00C12008"/>
    <w:rsid w:val="00C1219D"/>
    <w:rsid w:val="00C123EA"/>
    <w:rsid w:val="00C12663"/>
    <w:rsid w:val="00C12955"/>
    <w:rsid w:val="00C12A49"/>
    <w:rsid w:val="00C13108"/>
    <w:rsid w:val="00C133EE"/>
    <w:rsid w:val="00C13438"/>
    <w:rsid w:val="00C1388B"/>
    <w:rsid w:val="00C13A0F"/>
    <w:rsid w:val="00C13DAD"/>
    <w:rsid w:val="00C13E0B"/>
    <w:rsid w:val="00C140E1"/>
    <w:rsid w:val="00C1455F"/>
    <w:rsid w:val="00C14933"/>
    <w:rsid w:val="00C149D0"/>
    <w:rsid w:val="00C14AF9"/>
    <w:rsid w:val="00C14B46"/>
    <w:rsid w:val="00C14C66"/>
    <w:rsid w:val="00C14E9F"/>
    <w:rsid w:val="00C14F8B"/>
    <w:rsid w:val="00C15210"/>
    <w:rsid w:val="00C152B5"/>
    <w:rsid w:val="00C15341"/>
    <w:rsid w:val="00C153B4"/>
    <w:rsid w:val="00C153D9"/>
    <w:rsid w:val="00C15506"/>
    <w:rsid w:val="00C15718"/>
    <w:rsid w:val="00C15AD9"/>
    <w:rsid w:val="00C15B24"/>
    <w:rsid w:val="00C15EC4"/>
    <w:rsid w:val="00C15F18"/>
    <w:rsid w:val="00C1620B"/>
    <w:rsid w:val="00C162B4"/>
    <w:rsid w:val="00C17052"/>
    <w:rsid w:val="00C171F4"/>
    <w:rsid w:val="00C1721B"/>
    <w:rsid w:val="00C1743E"/>
    <w:rsid w:val="00C175E6"/>
    <w:rsid w:val="00C1762A"/>
    <w:rsid w:val="00C17648"/>
    <w:rsid w:val="00C17993"/>
    <w:rsid w:val="00C17B21"/>
    <w:rsid w:val="00C17D00"/>
    <w:rsid w:val="00C17D90"/>
    <w:rsid w:val="00C20039"/>
    <w:rsid w:val="00C201E7"/>
    <w:rsid w:val="00C201EF"/>
    <w:rsid w:val="00C20210"/>
    <w:rsid w:val="00C20664"/>
    <w:rsid w:val="00C2092F"/>
    <w:rsid w:val="00C20A6F"/>
    <w:rsid w:val="00C20ABD"/>
    <w:rsid w:val="00C20B6A"/>
    <w:rsid w:val="00C20B72"/>
    <w:rsid w:val="00C20E38"/>
    <w:rsid w:val="00C2145C"/>
    <w:rsid w:val="00C21909"/>
    <w:rsid w:val="00C220DD"/>
    <w:rsid w:val="00C2249A"/>
    <w:rsid w:val="00C22615"/>
    <w:rsid w:val="00C22691"/>
    <w:rsid w:val="00C226CC"/>
    <w:rsid w:val="00C22818"/>
    <w:rsid w:val="00C22E65"/>
    <w:rsid w:val="00C233A5"/>
    <w:rsid w:val="00C23414"/>
    <w:rsid w:val="00C2388F"/>
    <w:rsid w:val="00C23C41"/>
    <w:rsid w:val="00C240DB"/>
    <w:rsid w:val="00C24ABE"/>
    <w:rsid w:val="00C24C25"/>
    <w:rsid w:val="00C24D1F"/>
    <w:rsid w:val="00C24D8F"/>
    <w:rsid w:val="00C2539E"/>
    <w:rsid w:val="00C254A8"/>
    <w:rsid w:val="00C2558B"/>
    <w:rsid w:val="00C256FB"/>
    <w:rsid w:val="00C25C62"/>
    <w:rsid w:val="00C25DB7"/>
    <w:rsid w:val="00C26337"/>
    <w:rsid w:val="00C2640E"/>
    <w:rsid w:val="00C26571"/>
    <w:rsid w:val="00C26588"/>
    <w:rsid w:val="00C2677D"/>
    <w:rsid w:val="00C267DB"/>
    <w:rsid w:val="00C26B32"/>
    <w:rsid w:val="00C26E6A"/>
    <w:rsid w:val="00C26ED4"/>
    <w:rsid w:val="00C2728D"/>
    <w:rsid w:val="00C278A0"/>
    <w:rsid w:val="00C27DE9"/>
    <w:rsid w:val="00C300D8"/>
    <w:rsid w:val="00C300F7"/>
    <w:rsid w:val="00C302A6"/>
    <w:rsid w:val="00C30392"/>
    <w:rsid w:val="00C30394"/>
    <w:rsid w:val="00C3047B"/>
    <w:rsid w:val="00C3088A"/>
    <w:rsid w:val="00C30CBC"/>
    <w:rsid w:val="00C30E90"/>
    <w:rsid w:val="00C30E96"/>
    <w:rsid w:val="00C31348"/>
    <w:rsid w:val="00C31572"/>
    <w:rsid w:val="00C3169C"/>
    <w:rsid w:val="00C316F1"/>
    <w:rsid w:val="00C3182A"/>
    <w:rsid w:val="00C31B93"/>
    <w:rsid w:val="00C31BA3"/>
    <w:rsid w:val="00C31FCE"/>
    <w:rsid w:val="00C321DD"/>
    <w:rsid w:val="00C323C1"/>
    <w:rsid w:val="00C32989"/>
    <w:rsid w:val="00C32C5C"/>
    <w:rsid w:val="00C33180"/>
    <w:rsid w:val="00C33388"/>
    <w:rsid w:val="00C335C4"/>
    <w:rsid w:val="00C336AC"/>
    <w:rsid w:val="00C3379C"/>
    <w:rsid w:val="00C33C2A"/>
    <w:rsid w:val="00C33C7D"/>
    <w:rsid w:val="00C33CCA"/>
    <w:rsid w:val="00C33D60"/>
    <w:rsid w:val="00C33DD1"/>
    <w:rsid w:val="00C33F74"/>
    <w:rsid w:val="00C343FF"/>
    <w:rsid w:val="00C34638"/>
    <w:rsid w:val="00C348DA"/>
    <w:rsid w:val="00C34938"/>
    <w:rsid w:val="00C34C03"/>
    <w:rsid w:val="00C34C52"/>
    <w:rsid w:val="00C34E9C"/>
    <w:rsid w:val="00C34ED0"/>
    <w:rsid w:val="00C34F67"/>
    <w:rsid w:val="00C35096"/>
    <w:rsid w:val="00C350EF"/>
    <w:rsid w:val="00C351DF"/>
    <w:rsid w:val="00C352BB"/>
    <w:rsid w:val="00C35484"/>
    <w:rsid w:val="00C35A57"/>
    <w:rsid w:val="00C35AD9"/>
    <w:rsid w:val="00C35B0A"/>
    <w:rsid w:val="00C35D61"/>
    <w:rsid w:val="00C35EBD"/>
    <w:rsid w:val="00C35EC0"/>
    <w:rsid w:val="00C35F7B"/>
    <w:rsid w:val="00C36044"/>
    <w:rsid w:val="00C362E3"/>
    <w:rsid w:val="00C363ED"/>
    <w:rsid w:val="00C3642B"/>
    <w:rsid w:val="00C367AC"/>
    <w:rsid w:val="00C368EF"/>
    <w:rsid w:val="00C369DB"/>
    <w:rsid w:val="00C36ED1"/>
    <w:rsid w:val="00C37537"/>
    <w:rsid w:val="00C37906"/>
    <w:rsid w:val="00C37B85"/>
    <w:rsid w:val="00C4091F"/>
    <w:rsid w:val="00C40C44"/>
    <w:rsid w:val="00C41370"/>
    <w:rsid w:val="00C413FB"/>
    <w:rsid w:val="00C4154C"/>
    <w:rsid w:val="00C4173A"/>
    <w:rsid w:val="00C419DE"/>
    <w:rsid w:val="00C41D72"/>
    <w:rsid w:val="00C41F16"/>
    <w:rsid w:val="00C41F57"/>
    <w:rsid w:val="00C422D5"/>
    <w:rsid w:val="00C42754"/>
    <w:rsid w:val="00C4293F"/>
    <w:rsid w:val="00C42979"/>
    <w:rsid w:val="00C42AE9"/>
    <w:rsid w:val="00C42B49"/>
    <w:rsid w:val="00C433EF"/>
    <w:rsid w:val="00C43527"/>
    <w:rsid w:val="00C43603"/>
    <w:rsid w:val="00C43A7A"/>
    <w:rsid w:val="00C43B82"/>
    <w:rsid w:val="00C43C44"/>
    <w:rsid w:val="00C43E85"/>
    <w:rsid w:val="00C43F00"/>
    <w:rsid w:val="00C44206"/>
    <w:rsid w:val="00C446AC"/>
    <w:rsid w:val="00C446C5"/>
    <w:rsid w:val="00C447AC"/>
    <w:rsid w:val="00C44815"/>
    <w:rsid w:val="00C44C89"/>
    <w:rsid w:val="00C44CE0"/>
    <w:rsid w:val="00C44D3C"/>
    <w:rsid w:val="00C44E17"/>
    <w:rsid w:val="00C44F20"/>
    <w:rsid w:val="00C4520D"/>
    <w:rsid w:val="00C45765"/>
    <w:rsid w:val="00C45B99"/>
    <w:rsid w:val="00C45C95"/>
    <w:rsid w:val="00C45DA3"/>
    <w:rsid w:val="00C4609F"/>
    <w:rsid w:val="00C4616E"/>
    <w:rsid w:val="00C4621C"/>
    <w:rsid w:val="00C4626D"/>
    <w:rsid w:val="00C46A54"/>
    <w:rsid w:val="00C46E28"/>
    <w:rsid w:val="00C46EE9"/>
    <w:rsid w:val="00C46F94"/>
    <w:rsid w:val="00C47196"/>
    <w:rsid w:val="00C47459"/>
    <w:rsid w:val="00C476AC"/>
    <w:rsid w:val="00C47A25"/>
    <w:rsid w:val="00C47A3C"/>
    <w:rsid w:val="00C47BCA"/>
    <w:rsid w:val="00C47C4B"/>
    <w:rsid w:val="00C47C5D"/>
    <w:rsid w:val="00C503B9"/>
    <w:rsid w:val="00C505DA"/>
    <w:rsid w:val="00C50DED"/>
    <w:rsid w:val="00C51188"/>
    <w:rsid w:val="00C5123F"/>
    <w:rsid w:val="00C514E6"/>
    <w:rsid w:val="00C517A7"/>
    <w:rsid w:val="00C5193D"/>
    <w:rsid w:val="00C51A38"/>
    <w:rsid w:val="00C51CD6"/>
    <w:rsid w:val="00C51D51"/>
    <w:rsid w:val="00C51E77"/>
    <w:rsid w:val="00C51EB4"/>
    <w:rsid w:val="00C52124"/>
    <w:rsid w:val="00C52217"/>
    <w:rsid w:val="00C5256B"/>
    <w:rsid w:val="00C525A6"/>
    <w:rsid w:val="00C526BA"/>
    <w:rsid w:val="00C526C5"/>
    <w:rsid w:val="00C52813"/>
    <w:rsid w:val="00C528DF"/>
    <w:rsid w:val="00C52B44"/>
    <w:rsid w:val="00C536C2"/>
    <w:rsid w:val="00C536F5"/>
    <w:rsid w:val="00C53CCB"/>
    <w:rsid w:val="00C542DC"/>
    <w:rsid w:val="00C54E15"/>
    <w:rsid w:val="00C54F83"/>
    <w:rsid w:val="00C55048"/>
    <w:rsid w:val="00C5527D"/>
    <w:rsid w:val="00C55357"/>
    <w:rsid w:val="00C55470"/>
    <w:rsid w:val="00C5551E"/>
    <w:rsid w:val="00C5556C"/>
    <w:rsid w:val="00C5567E"/>
    <w:rsid w:val="00C559C7"/>
    <w:rsid w:val="00C55BD1"/>
    <w:rsid w:val="00C55DC5"/>
    <w:rsid w:val="00C56750"/>
    <w:rsid w:val="00C56912"/>
    <w:rsid w:val="00C56974"/>
    <w:rsid w:val="00C56A74"/>
    <w:rsid w:val="00C56BE0"/>
    <w:rsid w:val="00C571DC"/>
    <w:rsid w:val="00C57206"/>
    <w:rsid w:val="00C572F2"/>
    <w:rsid w:val="00C57315"/>
    <w:rsid w:val="00C57476"/>
    <w:rsid w:val="00C574D3"/>
    <w:rsid w:val="00C574F0"/>
    <w:rsid w:val="00C5750C"/>
    <w:rsid w:val="00C57751"/>
    <w:rsid w:val="00C579D0"/>
    <w:rsid w:val="00C57BB4"/>
    <w:rsid w:val="00C57C33"/>
    <w:rsid w:val="00C57E8F"/>
    <w:rsid w:val="00C602FF"/>
    <w:rsid w:val="00C60411"/>
    <w:rsid w:val="00C61174"/>
    <w:rsid w:val="00C6148F"/>
    <w:rsid w:val="00C61688"/>
    <w:rsid w:val="00C617BF"/>
    <w:rsid w:val="00C617F7"/>
    <w:rsid w:val="00C61994"/>
    <w:rsid w:val="00C61A33"/>
    <w:rsid w:val="00C61D73"/>
    <w:rsid w:val="00C61EE6"/>
    <w:rsid w:val="00C62009"/>
    <w:rsid w:val="00C621A4"/>
    <w:rsid w:val="00C621B1"/>
    <w:rsid w:val="00C62461"/>
    <w:rsid w:val="00C62599"/>
    <w:rsid w:val="00C6277C"/>
    <w:rsid w:val="00C62AA1"/>
    <w:rsid w:val="00C62D01"/>
    <w:rsid w:val="00C62D45"/>
    <w:rsid w:val="00C62F7A"/>
    <w:rsid w:val="00C631C9"/>
    <w:rsid w:val="00C6331E"/>
    <w:rsid w:val="00C637A7"/>
    <w:rsid w:val="00C638DD"/>
    <w:rsid w:val="00C63B9C"/>
    <w:rsid w:val="00C63F96"/>
    <w:rsid w:val="00C646C5"/>
    <w:rsid w:val="00C64798"/>
    <w:rsid w:val="00C647B7"/>
    <w:rsid w:val="00C648FD"/>
    <w:rsid w:val="00C6494A"/>
    <w:rsid w:val="00C64C1E"/>
    <w:rsid w:val="00C64CA8"/>
    <w:rsid w:val="00C64CDD"/>
    <w:rsid w:val="00C64F25"/>
    <w:rsid w:val="00C6523F"/>
    <w:rsid w:val="00C6524A"/>
    <w:rsid w:val="00C65408"/>
    <w:rsid w:val="00C65911"/>
    <w:rsid w:val="00C6597C"/>
    <w:rsid w:val="00C65A08"/>
    <w:rsid w:val="00C65BA9"/>
    <w:rsid w:val="00C65CE0"/>
    <w:rsid w:val="00C65D5E"/>
    <w:rsid w:val="00C6608D"/>
    <w:rsid w:val="00C6628E"/>
    <w:rsid w:val="00C66460"/>
    <w:rsid w:val="00C66655"/>
    <w:rsid w:val="00C6682F"/>
    <w:rsid w:val="00C6683F"/>
    <w:rsid w:val="00C66BB0"/>
    <w:rsid w:val="00C673F2"/>
    <w:rsid w:val="00C6762F"/>
    <w:rsid w:val="00C67768"/>
    <w:rsid w:val="00C6789B"/>
    <w:rsid w:val="00C67937"/>
    <w:rsid w:val="00C67A06"/>
    <w:rsid w:val="00C67A3C"/>
    <w:rsid w:val="00C67B18"/>
    <w:rsid w:val="00C67BF4"/>
    <w:rsid w:val="00C67ECF"/>
    <w:rsid w:val="00C701F3"/>
    <w:rsid w:val="00C70373"/>
    <w:rsid w:val="00C704AF"/>
    <w:rsid w:val="00C707B2"/>
    <w:rsid w:val="00C70D39"/>
    <w:rsid w:val="00C71176"/>
    <w:rsid w:val="00C71497"/>
    <w:rsid w:val="00C71CCE"/>
    <w:rsid w:val="00C7275E"/>
    <w:rsid w:val="00C72C73"/>
    <w:rsid w:val="00C72EBC"/>
    <w:rsid w:val="00C730D2"/>
    <w:rsid w:val="00C731AF"/>
    <w:rsid w:val="00C7344B"/>
    <w:rsid w:val="00C739DC"/>
    <w:rsid w:val="00C73CE1"/>
    <w:rsid w:val="00C74026"/>
    <w:rsid w:val="00C740A1"/>
    <w:rsid w:val="00C743CE"/>
    <w:rsid w:val="00C74814"/>
    <w:rsid w:val="00C748A0"/>
    <w:rsid w:val="00C74AD1"/>
    <w:rsid w:val="00C74C5D"/>
    <w:rsid w:val="00C74D18"/>
    <w:rsid w:val="00C74DAB"/>
    <w:rsid w:val="00C750C0"/>
    <w:rsid w:val="00C752B8"/>
    <w:rsid w:val="00C75578"/>
    <w:rsid w:val="00C758D9"/>
    <w:rsid w:val="00C759F9"/>
    <w:rsid w:val="00C75B90"/>
    <w:rsid w:val="00C75C98"/>
    <w:rsid w:val="00C75CC4"/>
    <w:rsid w:val="00C75D08"/>
    <w:rsid w:val="00C75D1B"/>
    <w:rsid w:val="00C75D53"/>
    <w:rsid w:val="00C75E87"/>
    <w:rsid w:val="00C75FDC"/>
    <w:rsid w:val="00C7601B"/>
    <w:rsid w:val="00C76503"/>
    <w:rsid w:val="00C767A4"/>
    <w:rsid w:val="00C767BD"/>
    <w:rsid w:val="00C76C4A"/>
    <w:rsid w:val="00C770E4"/>
    <w:rsid w:val="00C771B5"/>
    <w:rsid w:val="00C776AE"/>
    <w:rsid w:val="00C7781E"/>
    <w:rsid w:val="00C77F8E"/>
    <w:rsid w:val="00C8016D"/>
    <w:rsid w:val="00C802F8"/>
    <w:rsid w:val="00C803B5"/>
    <w:rsid w:val="00C80491"/>
    <w:rsid w:val="00C80927"/>
    <w:rsid w:val="00C80972"/>
    <w:rsid w:val="00C809E5"/>
    <w:rsid w:val="00C80A4A"/>
    <w:rsid w:val="00C80ADF"/>
    <w:rsid w:val="00C80B79"/>
    <w:rsid w:val="00C80CC8"/>
    <w:rsid w:val="00C80CC9"/>
    <w:rsid w:val="00C8100C"/>
    <w:rsid w:val="00C81276"/>
    <w:rsid w:val="00C8155A"/>
    <w:rsid w:val="00C815E4"/>
    <w:rsid w:val="00C818D1"/>
    <w:rsid w:val="00C819B2"/>
    <w:rsid w:val="00C81A2B"/>
    <w:rsid w:val="00C81B82"/>
    <w:rsid w:val="00C81C80"/>
    <w:rsid w:val="00C81CCF"/>
    <w:rsid w:val="00C822C3"/>
    <w:rsid w:val="00C82823"/>
    <w:rsid w:val="00C8293A"/>
    <w:rsid w:val="00C82CCB"/>
    <w:rsid w:val="00C83192"/>
    <w:rsid w:val="00C8329F"/>
    <w:rsid w:val="00C833D6"/>
    <w:rsid w:val="00C834A3"/>
    <w:rsid w:val="00C8374F"/>
    <w:rsid w:val="00C83876"/>
    <w:rsid w:val="00C83AA0"/>
    <w:rsid w:val="00C83B7D"/>
    <w:rsid w:val="00C83FC8"/>
    <w:rsid w:val="00C84212"/>
    <w:rsid w:val="00C845F2"/>
    <w:rsid w:val="00C8467E"/>
    <w:rsid w:val="00C84757"/>
    <w:rsid w:val="00C84D8D"/>
    <w:rsid w:val="00C84F05"/>
    <w:rsid w:val="00C851AF"/>
    <w:rsid w:val="00C852AA"/>
    <w:rsid w:val="00C8542E"/>
    <w:rsid w:val="00C8551A"/>
    <w:rsid w:val="00C856B2"/>
    <w:rsid w:val="00C8570F"/>
    <w:rsid w:val="00C858E4"/>
    <w:rsid w:val="00C85D3E"/>
    <w:rsid w:val="00C85D83"/>
    <w:rsid w:val="00C85E62"/>
    <w:rsid w:val="00C85ED3"/>
    <w:rsid w:val="00C86071"/>
    <w:rsid w:val="00C860B7"/>
    <w:rsid w:val="00C860CC"/>
    <w:rsid w:val="00C861EB"/>
    <w:rsid w:val="00C863C4"/>
    <w:rsid w:val="00C865BC"/>
    <w:rsid w:val="00C86872"/>
    <w:rsid w:val="00C86CFF"/>
    <w:rsid w:val="00C86F0C"/>
    <w:rsid w:val="00C87565"/>
    <w:rsid w:val="00C875C0"/>
    <w:rsid w:val="00C87612"/>
    <w:rsid w:val="00C8771D"/>
    <w:rsid w:val="00C8774C"/>
    <w:rsid w:val="00C87918"/>
    <w:rsid w:val="00C87A55"/>
    <w:rsid w:val="00C87B56"/>
    <w:rsid w:val="00C87B8A"/>
    <w:rsid w:val="00C87CE8"/>
    <w:rsid w:val="00C87F18"/>
    <w:rsid w:val="00C90142"/>
    <w:rsid w:val="00C90424"/>
    <w:rsid w:val="00C907BB"/>
    <w:rsid w:val="00C9098E"/>
    <w:rsid w:val="00C90995"/>
    <w:rsid w:val="00C90A46"/>
    <w:rsid w:val="00C90DAB"/>
    <w:rsid w:val="00C91099"/>
    <w:rsid w:val="00C91444"/>
    <w:rsid w:val="00C91798"/>
    <w:rsid w:val="00C9200B"/>
    <w:rsid w:val="00C92071"/>
    <w:rsid w:val="00C920EA"/>
    <w:rsid w:val="00C9279D"/>
    <w:rsid w:val="00C92C50"/>
    <w:rsid w:val="00C92CF0"/>
    <w:rsid w:val="00C92FF2"/>
    <w:rsid w:val="00C9369F"/>
    <w:rsid w:val="00C93C3E"/>
    <w:rsid w:val="00C93CBD"/>
    <w:rsid w:val="00C93EEE"/>
    <w:rsid w:val="00C9470B"/>
    <w:rsid w:val="00C951EF"/>
    <w:rsid w:val="00C9592F"/>
    <w:rsid w:val="00C965BB"/>
    <w:rsid w:val="00C96857"/>
    <w:rsid w:val="00C9693C"/>
    <w:rsid w:val="00C96C03"/>
    <w:rsid w:val="00C96FE1"/>
    <w:rsid w:val="00C971B4"/>
    <w:rsid w:val="00C97245"/>
    <w:rsid w:val="00C973C1"/>
    <w:rsid w:val="00C9746D"/>
    <w:rsid w:val="00C977AE"/>
    <w:rsid w:val="00C9795E"/>
    <w:rsid w:val="00C97960"/>
    <w:rsid w:val="00C97B10"/>
    <w:rsid w:val="00C97C49"/>
    <w:rsid w:val="00C97C5F"/>
    <w:rsid w:val="00CA0219"/>
    <w:rsid w:val="00CA02B4"/>
    <w:rsid w:val="00CA0419"/>
    <w:rsid w:val="00CA07F9"/>
    <w:rsid w:val="00CA0A5F"/>
    <w:rsid w:val="00CA0A6F"/>
    <w:rsid w:val="00CA0C77"/>
    <w:rsid w:val="00CA12E3"/>
    <w:rsid w:val="00CA13E5"/>
    <w:rsid w:val="00CA1476"/>
    <w:rsid w:val="00CA1705"/>
    <w:rsid w:val="00CA1780"/>
    <w:rsid w:val="00CA19EC"/>
    <w:rsid w:val="00CA1A9E"/>
    <w:rsid w:val="00CA1B3E"/>
    <w:rsid w:val="00CA1CD1"/>
    <w:rsid w:val="00CA1FE2"/>
    <w:rsid w:val="00CA2207"/>
    <w:rsid w:val="00CA254C"/>
    <w:rsid w:val="00CA2699"/>
    <w:rsid w:val="00CA2A10"/>
    <w:rsid w:val="00CA2B22"/>
    <w:rsid w:val="00CA2BC1"/>
    <w:rsid w:val="00CA2EB0"/>
    <w:rsid w:val="00CA2FD4"/>
    <w:rsid w:val="00CA31FD"/>
    <w:rsid w:val="00CA3222"/>
    <w:rsid w:val="00CA35F7"/>
    <w:rsid w:val="00CA3A5C"/>
    <w:rsid w:val="00CA3ED1"/>
    <w:rsid w:val="00CA3FF7"/>
    <w:rsid w:val="00CA44F4"/>
    <w:rsid w:val="00CA467C"/>
    <w:rsid w:val="00CA495E"/>
    <w:rsid w:val="00CA4C9A"/>
    <w:rsid w:val="00CA5034"/>
    <w:rsid w:val="00CA523B"/>
    <w:rsid w:val="00CA53BD"/>
    <w:rsid w:val="00CA556A"/>
    <w:rsid w:val="00CA562B"/>
    <w:rsid w:val="00CA591A"/>
    <w:rsid w:val="00CA5966"/>
    <w:rsid w:val="00CA5ADA"/>
    <w:rsid w:val="00CA5B79"/>
    <w:rsid w:val="00CA5BB9"/>
    <w:rsid w:val="00CA6060"/>
    <w:rsid w:val="00CA606E"/>
    <w:rsid w:val="00CA63CE"/>
    <w:rsid w:val="00CA644C"/>
    <w:rsid w:val="00CA644D"/>
    <w:rsid w:val="00CA6611"/>
    <w:rsid w:val="00CA6A0E"/>
    <w:rsid w:val="00CA6A90"/>
    <w:rsid w:val="00CA6AE6"/>
    <w:rsid w:val="00CA6DEF"/>
    <w:rsid w:val="00CA6FBA"/>
    <w:rsid w:val="00CA7041"/>
    <w:rsid w:val="00CA7255"/>
    <w:rsid w:val="00CA7421"/>
    <w:rsid w:val="00CA7426"/>
    <w:rsid w:val="00CA782F"/>
    <w:rsid w:val="00CA7BAF"/>
    <w:rsid w:val="00CA7CBB"/>
    <w:rsid w:val="00CA7D51"/>
    <w:rsid w:val="00CB02AA"/>
    <w:rsid w:val="00CB07E3"/>
    <w:rsid w:val="00CB0AAB"/>
    <w:rsid w:val="00CB0B47"/>
    <w:rsid w:val="00CB0BF0"/>
    <w:rsid w:val="00CB105D"/>
    <w:rsid w:val="00CB165A"/>
    <w:rsid w:val="00CB187B"/>
    <w:rsid w:val="00CB217F"/>
    <w:rsid w:val="00CB2657"/>
    <w:rsid w:val="00CB26E1"/>
    <w:rsid w:val="00CB2835"/>
    <w:rsid w:val="00CB2AF7"/>
    <w:rsid w:val="00CB2B1C"/>
    <w:rsid w:val="00CB2B53"/>
    <w:rsid w:val="00CB2C12"/>
    <w:rsid w:val="00CB2C37"/>
    <w:rsid w:val="00CB2DDE"/>
    <w:rsid w:val="00CB2E01"/>
    <w:rsid w:val="00CB2E61"/>
    <w:rsid w:val="00CB3285"/>
    <w:rsid w:val="00CB3395"/>
    <w:rsid w:val="00CB3840"/>
    <w:rsid w:val="00CB39CD"/>
    <w:rsid w:val="00CB3E77"/>
    <w:rsid w:val="00CB3EFE"/>
    <w:rsid w:val="00CB42EA"/>
    <w:rsid w:val="00CB4500"/>
    <w:rsid w:val="00CB453C"/>
    <w:rsid w:val="00CB47D2"/>
    <w:rsid w:val="00CB4A8B"/>
    <w:rsid w:val="00CB4CA4"/>
    <w:rsid w:val="00CB4E7A"/>
    <w:rsid w:val="00CB52C7"/>
    <w:rsid w:val="00CB54D8"/>
    <w:rsid w:val="00CB5503"/>
    <w:rsid w:val="00CB593E"/>
    <w:rsid w:val="00CB5943"/>
    <w:rsid w:val="00CB5C8A"/>
    <w:rsid w:val="00CB5D63"/>
    <w:rsid w:val="00CB5DA3"/>
    <w:rsid w:val="00CB60A7"/>
    <w:rsid w:val="00CB6112"/>
    <w:rsid w:val="00CB6247"/>
    <w:rsid w:val="00CB63C1"/>
    <w:rsid w:val="00CB6813"/>
    <w:rsid w:val="00CB6E30"/>
    <w:rsid w:val="00CB7220"/>
    <w:rsid w:val="00CB7A39"/>
    <w:rsid w:val="00CB7D4B"/>
    <w:rsid w:val="00CB7FAD"/>
    <w:rsid w:val="00CBA64A"/>
    <w:rsid w:val="00CC002D"/>
    <w:rsid w:val="00CC025A"/>
    <w:rsid w:val="00CC0471"/>
    <w:rsid w:val="00CC0803"/>
    <w:rsid w:val="00CC0857"/>
    <w:rsid w:val="00CC0A3D"/>
    <w:rsid w:val="00CC0B24"/>
    <w:rsid w:val="00CC0C72"/>
    <w:rsid w:val="00CC0DD6"/>
    <w:rsid w:val="00CC112B"/>
    <w:rsid w:val="00CC1C1F"/>
    <w:rsid w:val="00CC1E15"/>
    <w:rsid w:val="00CC2062"/>
    <w:rsid w:val="00CC2351"/>
    <w:rsid w:val="00CC26A0"/>
    <w:rsid w:val="00CC2BFD"/>
    <w:rsid w:val="00CC2C9A"/>
    <w:rsid w:val="00CC2D9D"/>
    <w:rsid w:val="00CC2E42"/>
    <w:rsid w:val="00CC3050"/>
    <w:rsid w:val="00CC3215"/>
    <w:rsid w:val="00CC375E"/>
    <w:rsid w:val="00CC37A5"/>
    <w:rsid w:val="00CC38D1"/>
    <w:rsid w:val="00CC3989"/>
    <w:rsid w:val="00CC3B8C"/>
    <w:rsid w:val="00CC3BB0"/>
    <w:rsid w:val="00CC42CB"/>
    <w:rsid w:val="00CC42DD"/>
    <w:rsid w:val="00CC4643"/>
    <w:rsid w:val="00CC4850"/>
    <w:rsid w:val="00CC497B"/>
    <w:rsid w:val="00CC4C4C"/>
    <w:rsid w:val="00CC4EA1"/>
    <w:rsid w:val="00CC506E"/>
    <w:rsid w:val="00CC5199"/>
    <w:rsid w:val="00CC525C"/>
    <w:rsid w:val="00CC56E0"/>
    <w:rsid w:val="00CC5787"/>
    <w:rsid w:val="00CC5924"/>
    <w:rsid w:val="00CC5ADE"/>
    <w:rsid w:val="00CC5DD0"/>
    <w:rsid w:val="00CC6094"/>
    <w:rsid w:val="00CC61C0"/>
    <w:rsid w:val="00CC6753"/>
    <w:rsid w:val="00CC683F"/>
    <w:rsid w:val="00CC684B"/>
    <w:rsid w:val="00CC6AB0"/>
    <w:rsid w:val="00CC6B58"/>
    <w:rsid w:val="00CC6EE4"/>
    <w:rsid w:val="00CC6F40"/>
    <w:rsid w:val="00CC7081"/>
    <w:rsid w:val="00CC71E3"/>
    <w:rsid w:val="00CC7262"/>
    <w:rsid w:val="00CC7913"/>
    <w:rsid w:val="00CC7AA5"/>
    <w:rsid w:val="00CD0292"/>
    <w:rsid w:val="00CD0542"/>
    <w:rsid w:val="00CD05FB"/>
    <w:rsid w:val="00CD08C9"/>
    <w:rsid w:val="00CD0974"/>
    <w:rsid w:val="00CD0BF3"/>
    <w:rsid w:val="00CD0F97"/>
    <w:rsid w:val="00CD0FD4"/>
    <w:rsid w:val="00CD131B"/>
    <w:rsid w:val="00CD15A5"/>
    <w:rsid w:val="00CD16D2"/>
    <w:rsid w:val="00CD1FC3"/>
    <w:rsid w:val="00CD1FD8"/>
    <w:rsid w:val="00CD20ED"/>
    <w:rsid w:val="00CD2516"/>
    <w:rsid w:val="00CD26D5"/>
    <w:rsid w:val="00CD2859"/>
    <w:rsid w:val="00CD285A"/>
    <w:rsid w:val="00CD2884"/>
    <w:rsid w:val="00CD2AF7"/>
    <w:rsid w:val="00CD2EC9"/>
    <w:rsid w:val="00CD2F50"/>
    <w:rsid w:val="00CD3218"/>
    <w:rsid w:val="00CD3476"/>
    <w:rsid w:val="00CD428C"/>
    <w:rsid w:val="00CD42EF"/>
    <w:rsid w:val="00CD43E7"/>
    <w:rsid w:val="00CD459F"/>
    <w:rsid w:val="00CD46C5"/>
    <w:rsid w:val="00CD4BC1"/>
    <w:rsid w:val="00CD4C91"/>
    <w:rsid w:val="00CD522E"/>
    <w:rsid w:val="00CD5274"/>
    <w:rsid w:val="00CD55AC"/>
    <w:rsid w:val="00CD5784"/>
    <w:rsid w:val="00CD59DF"/>
    <w:rsid w:val="00CD5A56"/>
    <w:rsid w:val="00CD5AB9"/>
    <w:rsid w:val="00CD620B"/>
    <w:rsid w:val="00CD64DF"/>
    <w:rsid w:val="00CD6723"/>
    <w:rsid w:val="00CD69A8"/>
    <w:rsid w:val="00CD6C13"/>
    <w:rsid w:val="00CD6D5B"/>
    <w:rsid w:val="00CD75BC"/>
    <w:rsid w:val="00CD7ACB"/>
    <w:rsid w:val="00CD7F07"/>
    <w:rsid w:val="00CE00C4"/>
    <w:rsid w:val="00CE01C2"/>
    <w:rsid w:val="00CE058B"/>
    <w:rsid w:val="00CE06C7"/>
    <w:rsid w:val="00CE0AB6"/>
    <w:rsid w:val="00CE0C42"/>
    <w:rsid w:val="00CE0CF4"/>
    <w:rsid w:val="00CE0E35"/>
    <w:rsid w:val="00CE131F"/>
    <w:rsid w:val="00CE1470"/>
    <w:rsid w:val="00CE1A34"/>
    <w:rsid w:val="00CE2081"/>
    <w:rsid w:val="00CE20C1"/>
    <w:rsid w:val="00CE225F"/>
    <w:rsid w:val="00CE2781"/>
    <w:rsid w:val="00CE284D"/>
    <w:rsid w:val="00CE288B"/>
    <w:rsid w:val="00CE29EA"/>
    <w:rsid w:val="00CE3410"/>
    <w:rsid w:val="00CE3507"/>
    <w:rsid w:val="00CE397B"/>
    <w:rsid w:val="00CE39B6"/>
    <w:rsid w:val="00CE3B83"/>
    <w:rsid w:val="00CE3D41"/>
    <w:rsid w:val="00CE4388"/>
    <w:rsid w:val="00CE4C86"/>
    <w:rsid w:val="00CE4CE6"/>
    <w:rsid w:val="00CE4F0A"/>
    <w:rsid w:val="00CE4F82"/>
    <w:rsid w:val="00CE51A2"/>
    <w:rsid w:val="00CE555C"/>
    <w:rsid w:val="00CE5690"/>
    <w:rsid w:val="00CE57FE"/>
    <w:rsid w:val="00CE5A7A"/>
    <w:rsid w:val="00CE5B84"/>
    <w:rsid w:val="00CE5EE4"/>
    <w:rsid w:val="00CE6536"/>
    <w:rsid w:val="00CE75F3"/>
    <w:rsid w:val="00CE76BB"/>
    <w:rsid w:val="00CE791B"/>
    <w:rsid w:val="00CE7C40"/>
    <w:rsid w:val="00CE7C47"/>
    <w:rsid w:val="00CE7F52"/>
    <w:rsid w:val="00CF00F1"/>
    <w:rsid w:val="00CF07F9"/>
    <w:rsid w:val="00CF0997"/>
    <w:rsid w:val="00CF0A2F"/>
    <w:rsid w:val="00CF0B9C"/>
    <w:rsid w:val="00CF0D37"/>
    <w:rsid w:val="00CF0D3C"/>
    <w:rsid w:val="00CF0D55"/>
    <w:rsid w:val="00CF0DA8"/>
    <w:rsid w:val="00CF0DB1"/>
    <w:rsid w:val="00CF119D"/>
    <w:rsid w:val="00CF11A5"/>
    <w:rsid w:val="00CF1248"/>
    <w:rsid w:val="00CF13CB"/>
    <w:rsid w:val="00CF148F"/>
    <w:rsid w:val="00CF14D6"/>
    <w:rsid w:val="00CF179A"/>
    <w:rsid w:val="00CF180C"/>
    <w:rsid w:val="00CF18C7"/>
    <w:rsid w:val="00CF1D5C"/>
    <w:rsid w:val="00CF2206"/>
    <w:rsid w:val="00CF2B8B"/>
    <w:rsid w:val="00CF2F47"/>
    <w:rsid w:val="00CF2F50"/>
    <w:rsid w:val="00CF3092"/>
    <w:rsid w:val="00CF310C"/>
    <w:rsid w:val="00CF3240"/>
    <w:rsid w:val="00CF3423"/>
    <w:rsid w:val="00CF372C"/>
    <w:rsid w:val="00CF3E12"/>
    <w:rsid w:val="00CF418D"/>
    <w:rsid w:val="00CF472F"/>
    <w:rsid w:val="00CF492E"/>
    <w:rsid w:val="00CF49B3"/>
    <w:rsid w:val="00CF4E52"/>
    <w:rsid w:val="00CF57DA"/>
    <w:rsid w:val="00CF5FA7"/>
    <w:rsid w:val="00CF604B"/>
    <w:rsid w:val="00CF6198"/>
    <w:rsid w:val="00CF63D5"/>
    <w:rsid w:val="00CF673A"/>
    <w:rsid w:val="00CF67C4"/>
    <w:rsid w:val="00CF6828"/>
    <w:rsid w:val="00CF699A"/>
    <w:rsid w:val="00CF6C79"/>
    <w:rsid w:val="00CF6D4A"/>
    <w:rsid w:val="00CF7042"/>
    <w:rsid w:val="00CF7217"/>
    <w:rsid w:val="00CF752B"/>
    <w:rsid w:val="00CF7562"/>
    <w:rsid w:val="00CF766C"/>
    <w:rsid w:val="00CF7683"/>
    <w:rsid w:val="00CF781F"/>
    <w:rsid w:val="00CF7969"/>
    <w:rsid w:val="00CF7AAF"/>
    <w:rsid w:val="00CF7B89"/>
    <w:rsid w:val="00D0038F"/>
    <w:rsid w:val="00D00A67"/>
    <w:rsid w:val="00D00B1C"/>
    <w:rsid w:val="00D01222"/>
    <w:rsid w:val="00D014B5"/>
    <w:rsid w:val="00D01BA7"/>
    <w:rsid w:val="00D021B4"/>
    <w:rsid w:val="00D0224C"/>
    <w:rsid w:val="00D023FD"/>
    <w:rsid w:val="00D02732"/>
    <w:rsid w:val="00D02919"/>
    <w:rsid w:val="00D02A41"/>
    <w:rsid w:val="00D02BA0"/>
    <w:rsid w:val="00D02D44"/>
    <w:rsid w:val="00D02E40"/>
    <w:rsid w:val="00D0311B"/>
    <w:rsid w:val="00D034C6"/>
    <w:rsid w:val="00D03777"/>
    <w:rsid w:val="00D03813"/>
    <w:rsid w:val="00D038B9"/>
    <w:rsid w:val="00D03B4E"/>
    <w:rsid w:val="00D03B78"/>
    <w:rsid w:val="00D03BEA"/>
    <w:rsid w:val="00D03C0F"/>
    <w:rsid w:val="00D03D0A"/>
    <w:rsid w:val="00D03D80"/>
    <w:rsid w:val="00D03E9B"/>
    <w:rsid w:val="00D041C9"/>
    <w:rsid w:val="00D04298"/>
    <w:rsid w:val="00D0437B"/>
    <w:rsid w:val="00D04617"/>
    <w:rsid w:val="00D046E1"/>
    <w:rsid w:val="00D048AD"/>
    <w:rsid w:val="00D04A00"/>
    <w:rsid w:val="00D04A15"/>
    <w:rsid w:val="00D04C61"/>
    <w:rsid w:val="00D0502B"/>
    <w:rsid w:val="00D051F6"/>
    <w:rsid w:val="00D0521C"/>
    <w:rsid w:val="00D05B8D"/>
    <w:rsid w:val="00D05B9B"/>
    <w:rsid w:val="00D05CC6"/>
    <w:rsid w:val="00D05F05"/>
    <w:rsid w:val="00D065A2"/>
    <w:rsid w:val="00D06647"/>
    <w:rsid w:val="00D066F6"/>
    <w:rsid w:val="00D067C4"/>
    <w:rsid w:val="00D0698C"/>
    <w:rsid w:val="00D073DB"/>
    <w:rsid w:val="00D07985"/>
    <w:rsid w:val="00D079AA"/>
    <w:rsid w:val="00D07A14"/>
    <w:rsid w:val="00D07A90"/>
    <w:rsid w:val="00D07F00"/>
    <w:rsid w:val="00D1035C"/>
    <w:rsid w:val="00D1038E"/>
    <w:rsid w:val="00D103FE"/>
    <w:rsid w:val="00D1050E"/>
    <w:rsid w:val="00D10844"/>
    <w:rsid w:val="00D10914"/>
    <w:rsid w:val="00D109F2"/>
    <w:rsid w:val="00D10A26"/>
    <w:rsid w:val="00D10BB9"/>
    <w:rsid w:val="00D10D34"/>
    <w:rsid w:val="00D10F0E"/>
    <w:rsid w:val="00D10F20"/>
    <w:rsid w:val="00D10FDA"/>
    <w:rsid w:val="00D11252"/>
    <w:rsid w:val="00D1130F"/>
    <w:rsid w:val="00D11326"/>
    <w:rsid w:val="00D11C06"/>
    <w:rsid w:val="00D11E79"/>
    <w:rsid w:val="00D12144"/>
    <w:rsid w:val="00D1228E"/>
    <w:rsid w:val="00D122AB"/>
    <w:rsid w:val="00D122D9"/>
    <w:rsid w:val="00D12598"/>
    <w:rsid w:val="00D12DD1"/>
    <w:rsid w:val="00D12F2A"/>
    <w:rsid w:val="00D13338"/>
    <w:rsid w:val="00D135B9"/>
    <w:rsid w:val="00D13904"/>
    <w:rsid w:val="00D13B87"/>
    <w:rsid w:val="00D13D94"/>
    <w:rsid w:val="00D13E1C"/>
    <w:rsid w:val="00D14106"/>
    <w:rsid w:val="00D1436B"/>
    <w:rsid w:val="00D14461"/>
    <w:rsid w:val="00D144C6"/>
    <w:rsid w:val="00D1453E"/>
    <w:rsid w:val="00D1475D"/>
    <w:rsid w:val="00D14845"/>
    <w:rsid w:val="00D14887"/>
    <w:rsid w:val="00D14987"/>
    <w:rsid w:val="00D14BBC"/>
    <w:rsid w:val="00D14D8D"/>
    <w:rsid w:val="00D1527A"/>
    <w:rsid w:val="00D16359"/>
    <w:rsid w:val="00D16784"/>
    <w:rsid w:val="00D16A2B"/>
    <w:rsid w:val="00D16B91"/>
    <w:rsid w:val="00D16BAD"/>
    <w:rsid w:val="00D16EDD"/>
    <w:rsid w:val="00D172BF"/>
    <w:rsid w:val="00D17634"/>
    <w:rsid w:val="00D17731"/>
    <w:rsid w:val="00D179EB"/>
    <w:rsid w:val="00D17B72"/>
    <w:rsid w:val="00D2011A"/>
    <w:rsid w:val="00D20382"/>
    <w:rsid w:val="00D20946"/>
    <w:rsid w:val="00D209EC"/>
    <w:rsid w:val="00D20B6F"/>
    <w:rsid w:val="00D21285"/>
    <w:rsid w:val="00D2156C"/>
    <w:rsid w:val="00D21756"/>
    <w:rsid w:val="00D2194E"/>
    <w:rsid w:val="00D21D02"/>
    <w:rsid w:val="00D21E40"/>
    <w:rsid w:val="00D21F07"/>
    <w:rsid w:val="00D22571"/>
    <w:rsid w:val="00D22601"/>
    <w:rsid w:val="00D2274A"/>
    <w:rsid w:val="00D228BF"/>
    <w:rsid w:val="00D22BAB"/>
    <w:rsid w:val="00D22ED7"/>
    <w:rsid w:val="00D22F97"/>
    <w:rsid w:val="00D23188"/>
    <w:rsid w:val="00D23315"/>
    <w:rsid w:val="00D23318"/>
    <w:rsid w:val="00D234C3"/>
    <w:rsid w:val="00D23DEA"/>
    <w:rsid w:val="00D23E6C"/>
    <w:rsid w:val="00D23F5C"/>
    <w:rsid w:val="00D2418A"/>
    <w:rsid w:val="00D2428A"/>
    <w:rsid w:val="00D24332"/>
    <w:rsid w:val="00D24593"/>
    <w:rsid w:val="00D247C2"/>
    <w:rsid w:val="00D2485B"/>
    <w:rsid w:val="00D24919"/>
    <w:rsid w:val="00D24EB4"/>
    <w:rsid w:val="00D24F09"/>
    <w:rsid w:val="00D253D9"/>
    <w:rsid w:val="00D260FE"/>
    <w:rsid w:val="00D261C6"/>
    <w:rsid w:val="00D263BB"/>
    <w:rsid w:val="00D264F9"/>
    <w:rsid w:val="00D265B4"/>
    <w:rsid w:val="00D266FE"/>
    <w:rsid w:val="00D267DA"/>
    <w:rsid w:val="00D26ADB"/>
    <w:rsid w:val="00D26BA2"/>
    <w:rsid w:val="00D26C8F"/>
    <w:rsid w:val="00D27223"/>
    <w:rsid w:val="00D2739B"/>
    <w:rsid w:val="00D27448"/>
    <w:rsid w:val="00D27839"/>
    <w:rsid w:val="00D27A8D"/>
    <w:rsid w:val="00D27CB7"/>
    <w:rsid w:val="00D27D2A"/>
    <w:rsid w:val="00D27E67"/>
    <w:rsid w:val="00D27EDE"/>
    <w:rsid w:val="00D3011D"/>
    <w:rsid w:val="00D30204"/>
    <w:rsid w:val="00D302C1"/>
    <w:rsid w:val="00D303DC"/>
    <w:rsid w:val="00D309C9"/>
    <w:rsid w:val="00D30A48"/>
    <w:rsid w:val="00D30BFA"/>
    <w:rsid w:val="00D30CA7"/>
    <w:rsid w:val="00D30E9F"/>
    <w:rsid w:val="00D30FEF"/>
    <w:rsid w:val="00D31096"/>
    <w:rsid w:val="00D313FF"/>
    <w:rsid w:val="00D3156E"/>
    <w:rsid w:val="00D31717"/>
    <w:rsid w:val="00D3185C"/>
    <w:rsid w:val="00D318DA"/>
    <w:rsid w:val="00D31C94"/>
    <w:rsid w:val="00D3205F"/>
    <w:rsid w:val="00D32251"/>
    <w:rsid w:val="00D32517"/>
    <w:rsid w:val="00D3279E"/>
    <w:rsid w:val="00D3318E"/>
    <w:rsid w:val="00D3334D"/>
    <w:rsid w:val="00D334A7"/>
    <w:rsid w:val="00D33A03"/>
    <w:rsid w:val="00D33E72"/>
    <w:rsid w:val="00D34123"/>
    <w:rsid w:val="00D341F4"/>
    <w:rsid w:val="00D3431F"/>
    <w:rsid w:val="00D34886"/>
    <w:rsid w:val="00D348A6"/>
    <w:rsid w:val="00D34A16"/>
    <w:rsid w:val="00D34E10"/>
    <w:rsid w:val="00D34F15"/>
    <w:rsid w:val="00D34FAC"/>
    <w:rsid w:val="00D35093"/>
    <w:rsid w:val="00D351D4"/>
    <w:rsid w:val="00D35205"/>
    <w:rsid w:val="00D354CE"/>
    <w:rsid w:val="00D3568F"/>
    <w:rsid w:val="00D35709"/>
    <w:rsid w:val="00D35BD6"/>
    <w:rsid w:val="00D3607E"/>
    <w:rsid w:val="00D361AD"/>
    <w:rsid w:val="00D361B5"/>
    <w:rsid w:val="00D36400"/>
    <w:rsid w:val="00D36446"/>
    <w:rsid w:val="00D36551"/>
    <w:rsid w:val="00D36651"/>
    <w:rsid w:val="00D36774"/>
    <w:rsid w:val="00D36910"/>
    <w:rsid w:val="00D36DAD"/>
    <w:rsid w:val="00D36F1C"/>
    <w:rsid w:val="00D36F58"/>
    <w:rsid w:val="00D373BA"/>
    <w:rsid w:val="00D373F6"/>
    <w:rsid w:val="00D37F5B"/>
    <w:rsid w:val="00D40179"/>
    <w:rsid w:val="00D402C0"/>
    <w:rsid w:val="00D404C5"/>
    <w:rsid w:val="00D4093A"/>
    <w:rsid w:val="00D40DD6"/>
    <w:rsid w:val="00D40EC7"/>
    <w:rsid w:val="00D4109C"/>
    <w:rsid w:val="00D411A2"/>
    <w:rsid w:val="00D41869"/>
    <w:rsid w:val="00D41902"/>
    <w:rsid w:val="00D424FB"/>
    <w:rsid w:val="00D42630"/>
    <w:rsid w:val="00D4282B"/>
    <w:rsid w:val="00D42921"/>
    <w:rsid w:val="00D42A33"/>
    <w:rsid w:val="00D42D64"/>
    <w:rsid w:val="00D42F4C"/>
    <w:rsid w:val="00D43172"/>
    <w:rsid w:val="00D43186"/>
    <w:rsid w:val="00D43313"/>
    <w:rsid w:val="00D43315"/>
    <w:rsid w:val="00D43704"/>
    <w:rsid w:val="00D4372C"/>
    <w:rsid w:val="00D43734"/>
    <w:rsid w:val="00D43758"/>
    <w:rsid w:val="00D43B1A"/>
    <w:rsid w:val="00D43B2D"/>
    <w:rsid w:val="00D43C6A"/>
    <w:rsid w:val="00D43ECC"/>
    <w:rsid w:val="00D43F4D"/>
    <w:rsid w:val="00D447D7"/>
    <w:rsid w:val="00D44820"/>
    <w:rsid w:val="00D4498F"/>
    <w:rsid w:val="00D449F0"/>
    <w:rsid w:val="00D44E33"/>
    <w:rsid w:val="00D452A7"/>
    <w:rsid w:val="00D45508"/>
    <w:rsid w:val="00D459D0"/>
    <w:rsid w:val="00D45A27"/>
    <w:rsid w:val="00D45D7B"/>
    <w:rsid w:val="00D45E11"/>
    <w:rsid w:val="00D45E13"/>
    <w:rsid w:val="00D4606D"/>
    <w:rsid w:val="00D4616D"/>
    <w:rsid w:val="00D46225"/>
    <w:rsid w:val="00D463D4"/>
    <w:rsid w:val="00D465A8"/>
    <w:rsid w:val="00D469B7"/>
    <w:rsid w:val="00D46CE8"/>
    <w:rsid w:val="00D46FB7"/>
    <w:rsid w:val="00D47072"/>
    <w:rsid w:val="00D470B8"/>
    <w:rsid w:val="00D4717D"/>
    <w:rsid w:val="00D474B6"/>
    <w:rsid w:val="00D474F2"/>
    <w:rsid w:val="00D476E6"/>
    <w:rsid w:val="00D4796E"/>
    <w:rsid w:val="00D47E19"/>
    <w:rsid w:val="00D47FB7"/>
    <w:rsid w:val="00D5014C"/>
    <w:rsid w:val="00D50255"/>
    <w:rsid w:val="00D50454"/>
    <w:rsid w:val="00D50B9C"/>
    <w:rsid w:val="00D50C9D"/>
    <w:rsid w:val="00D50D70"/>
    <w:rsid w:val="00D50D75"/>
    <w:rsid w:val="00D50EBC"/>
    <w:rsid w:val="00D51287"/>
    <w:rsid w:val="00D513AF"/>
    <w:rsid w:val="00D51451"/>
    <w:rsid w:val="00D517A3"/>
    <w:rsid w:val="00D51A4D"/>
    <w:rsid w:val="00D51A61"/>
    <w:rsid w:val="00D51E65"/>
    <w:rsid w:val="00D52040"/>
    <w:rsid w:val="00D5231F"/>
    <w:rsid w:val="00D52401"/>
    <w:rsid w:val="00D52538"/>
    <w:rsid w:val="00D5269D"/>
    <w:rsid w:val="00D52733"/>
    <w:rsid w:val="00D527A6"/>
    <w:rsid w:val="00D52809"/>
    <w:rsid w:val="00D52CC3"/>
    <w:rsid w:val="00D52D73"/>
    <w:rsid w:val="00D52E58"/>
    <w:rsid w:val="00D52F33"/>
    <w:rsid w:val="00D53593"/>
    <w:rsid w:val="00D53753"/>
    <w:rsid w:val="00D53825"/>
    <w:rsid w:val="00D5384F"/>
    <w:rsid w:val="00D5387F"/>
    <w:rsid w:val="00D5391E"/>
    <w:rsid w:val="00D539E9"/>
    <w:rsid w:val="00D53B7A"/>
    <w:rsid w:val="00D5460C"/>
    <w:rsid w:val="00D54958"/>
    <w:rsid w:val="00D5499F"/>
    <w:rsid w:val="00D54C01"/>
    <w:rsid w:val="00D54C67"/>
    <w:rsid w:val="00D54F34"/>
    <w:rsid w:val="00D55128"/>
    <w:rsid w:val="00D551C2"/>
    <w:rsid w:val="00D55217"/>
    <w:rsid w:val="00D55313"/>
    <w:rsid w:val="00D5536A"/>
    <w:rsid w:val="00D554F4"/>
    <w:rsid w:val="00D55610"/>
    <w:rsid w:val="00D561F3"/>
    <w:rsid w:val="00D5625F"/>
    <w:rsid w:val="00D56868"/>
    <w:rsid w:val="00D56B20"/>
    <w:rsid w:val="00D56D82"/>
    <w:rsid w:val="00D5718E"/>
    <w:rsid w:val="00D575AF"/>
    <w:rsid w:val="00D578B3"/>
    <w:rsid w:val="00D57A49"/>
    <w:rsid w:val="00D57DF4"/>
    <w:rsid w:val="00D57FC7"/>
    <w:rsid w:val="00D60824"/>
    <w:rsid w:val="00D6086C"/>
    <w:rsid w:val="00D60950"/>
    <w:rsid w:val="00D60B7E"/>
    <w:rsid w:val="00D60C89"/>
    <w:rsid w:val="00D60CE3"/>
    <w:rsid w:val="00D6104F"/>
    <w:rsid w:val="00D6145B"/>
    <w:rsid w:val="00D6164D"/>
    <w:rsid w:val="00D61664"/>
    <w:rsid w:val="00D61834"/>
    <w:rsid w:val="00D618F4"/>
    <w:rsid w:val="00D61912"/>
    <w:rsid w:val="00D61A0F"/>
    <w:rsid w:val="00D61BA2"/>
    <w:rsid w:val="00D61C9D"/>
    <w:rsid w:val="00D61D32"/>
    <w:rsid w:val="00D61E1B"/>
    <w:rsid w:val="00D620E5"/>
    <w:rsid w:val="00D62151"/>
    <w:rsid w:val="00D62437"/>
    <w:rsid w:val="00D6280D"/>
    <w:rsid w:val="00D629A8"/>
    <w:rsid w:val="00D62A67"/>
    <w:rsid w:val="00D62DCB"/>
    <w:rsid w:val="00D6362A"/>
    <w:rsid w:val="00D63636"/>
    <w:rsid w:val="00D63CB5"/>
    <w:rsid w:val="00D63EE1"/>
    <w:rsid w:val="00D642D1"/>
    <w:rsid w:val="00D64349"/>
    <w:rsid w:val="00D6444F"/>
    <w:rsid w:val="00D6481A"/>
    <w:rsid w:val="00D649DF"/>
    <w:rsid w:val="00D64C2C"/>
    <w:rsid w:val="00D64DCE"/>
    <w:rsid w:val="00D6502C"/>
    <w:rsid w:val="00D651FA"/>
    <w:rsid w:val="00D65249"/>
    <w:rsid w:val="00D6527A"/>
    <w:rsid w:val="00D6538D"/>
    <w:rsid w:val="00D654FB"/>
    <w:rsid w:val="00D657BB"/>
    <w:rsid w:val="00D65932"/>
    <w:rsid w:val="00D65B27"/>
    <w:rsid w:val="00D65C0C"/>
    <w:rsid w:val="00D65DE7"/>
    <w:rsid w:val="00D66264"/>
    <w:rsid w:val="00D66952"/>
    <w:rsid w:val="00D669A1"/>
    <w:rsid w:val="00D67009"/>
    <w:rsid w:val="00D67485"/>
    <w:rsid w:val="00D6749E"/>
    <w:rsid w:val="00D674CD"/>
    <w:rsid w:val="00D67ADA"/>
    <w:rsid w:val="00D67F37"/>
    <w:rsid w:val="00D70660"/>
    <w:rsid w:val="00D70BC2"/>
    <w:rsid w:val="00D714AC"/>
    <w:rsid w:val="00D714CC"/>
    <w:rsid w:val="00D71730"/>
    <w:rsid w:val="00D7173A"/>
    <w:rsid w:val="00D71BAF"/>
    <w:rsid w:val="00D720C7"/>
    <w:rsid w:val="00D723E7"/>
    <w:rsid w:val="00D72581"/>
    <w:rsid w:val="00D729C9"/>
    <w:rsid w:val="00D72DC0"/>
    <w:rsid w:val="00D731DE"/>
    <w:rsid w:val="00D73392"/>
    <w:rsid w:val="00D735FC"/>
    <w:rsid w:val="00D7411C"/>
    <w:rsid w:val="00D743AD"/>
    <w:rsid w:val="00D744A9"/>
    <w:rsid w:val="00D74753"/>
    <w:rsid w:val="00D74967"/>
    <w:rsid w:val="00D7513F"/>
    <w:rsid w:val="00D75456"/>
    <w:rsid w:val="00D75690"/>
    <w:rsid w:val="00D75800"/>
    <w:rsid w:val="00D759E0"/>
    <w:rsid w:val="00D75EA7"/>
    <w:rsid w:val="00D7616C"/>
    <w:rsid w:val="00D7618F"/>
    <w:rsid w:val="00D763CB"/>
    <w:rsid w:val="00D76434"/>
    <w:rsid w:val="00D7678D"/>
    <w:rsid w:val="00D76BEE"/>
    <w:rsid w:val="00D76ECC"/>
    <w:rsid w:val="00D771EE"/>
    <w:rsid w:val="00D77401"/>
    <w:rsid w:val="00D77653"/>
    <w:rsid w:val="00D77807"/>
    <w:rsid w:val="00D77A09"/>
    <w:rsid w:val="00D77A38"/>
    <w:rsid w:val="00D77BCA"/>
    <w:rsid w:val="00D77BEA"/>
    <w:rsid w:val="00D8015E"/>
    <w:rsid w:val="00D803BE"/>
    <w:rsid w:val="00D803F8"/>
    <w:rsid w:val="00D80976"/>
    <w:rsid w:val="00D8098E"/>
    <w:rsid w:val="00D80A73"/>
    <w:rsid w:val="00D80B9D"/>
    <w:rsid w:val="00D80D0F"/>
    <w:rsid w:val="00D80E01"/>
    <w:rsid w:val="00D810B5"/>
    <w:rsid w:val="00D810E2"/>
    <w:rsid w:val="00D8110E"/>
    <w:rsid w:val="00D811D3"/>
    <w:rsid w:val="00D81488"/>
    <w:rsid w:val="00D8176E"/>
    <w:rsid w:val="00D817B1"/>
    <w:rsid w:val="00D81A30"/>
    <w:rsid w:val="00D81A33"/>
    <w:rsid w:val="00D81ADF"/>
    <w:rsid w:val="00D81B67"/>
    <w:rsid w:val="00D81D6E"/>
    <w:rsid w:val="00D81DB1"/>
    <w:rsid w:val="00D81F21"/>
    <w:rsid w:val="00D81FB2"/>
    <w:rsid w:val="00D81FF6"/>
    <w:rsid w:val="00D821EA"/>
    <w:rsid w:val="00D825C2"/>
    <w:rsid w:val="00D827E8"/>
    <w:rsid w:val="00D82BBC"/>
    <w:rsid w:val="00D82C19"/>
    <w:rsid w:val="00D82CB9"/>
    <w:rsid w:val="00D83277"/>
    <w:rsid w:val="00D8384D"/>
    <w:rsid w:val="00D83AEE"/>
    <w:rsid w:val="00D83DC2"/>
    <w:rsid w:val="00D84435"/>
    <w:rsid w:val="00D84CBD"/>
    <w:rsid w:val="00D8566F"/>
    <w:rsid w:val="00D858B6"/>
    <w:rsid w:val="00D85B01"/>
    <w:rsid w:val="00D85FFB"/>
    <w:rsid w:val="00D863AC"/>
    <w:rsid w:val="00D863FA"/>
    <w:rsid w:val="00D864D2"/>
    <w:rsid w:val="00D864F2"/>
    <w:rsid w:val="00D86725"/>
    <w:rsid w:val="00D86B12"/>
    <w:rsid w:val="00D86BAD"/>
    <w:rsid w:val="00D86BF0"/>
    <w:rsid w:val="00D86BF5"/>
    <w:rsid w:val="00D86F44"/>
    <w:rsid w:val="00D8712D"/>
    <w:rsid w:val="00D8732A"/>
    <w:rsid w:val="00D874A3"/>
    <w:rsid w:val="00D875D6"/>
    <w:rsid w:val="00D87C4C"/>
    <w:rsid w:val="00D87C60"/>
    <w:rsid w:val="00D87C7F"/>
    <w:rsid w:val="00D87D04"/>
    <w:rsid w:val="00D9016D"/>
    <w:rsid w:val="00D90407"/>
    <w:rsid w:val="00D90CEA"/>
    <w:rsid w:val="00D90ED3"/>
    <w:rsid w:val="00D91065"/>
    <w:rsid w:val="00D911A8"/>
    <w:rsid w:val="00D91545"/>
    <w:rsid w:val="00D915CB"/>
    <w:rsid w:val="00D9168B"/>
    <w:rsid w:val="00D91740"/>
    <w:rsid w:val="00D91909"/>
    <w:rsid w:val="00D91CD6"/>
    <w:rsid w:val="00D91E7E"/>
    <w:rsid w:val="00D91E89"/>
    <w:rsid w:val="00D9245B"/>
    <w:rsid w:val="00D92586"/>
    <w:rsid w:val="00D925AA"/>
    <w:rsid w:val="00D92768"/>
    <w:rsid w:val="00D92EAA"/>
    <w:rsid w:val="00D930E5"/>
    <w:rsid w:val="00D9360C"/>
    <w:rsid w:val="00D93734"/>
    <w:rsid w:val="00D93B35"/>
    <w:rsid w:val="00D93B87"/>
    <w:rsid w:val="00D93DCF"/>
    <w:rsid w:val="00D93E86"/>
    <w:rsid w:val="00D93EE8"/>
    <w:rsid w:val="00D94179"/>
    <w:rsid w:val="00D94255"/>
    <w:rsid w:val="00D943F8"/>
    <w:rsid w:val="00D94589"/>
    <w:rsid w:val="00D946C6"/>
    <w:rsid w:val="00D9470B"/>
    <w:rsid w:val="00D948F4"/>
    <w:rsid w:val="00D94DA8"/>
    <w:rsid w:val="00D9523F"/>
    <w:rsid w:val="00D952C2"/>
    <w:rsid w:val="00D9542F"/>
    <w:rsid w:val="00D95470"/>
    <w:rsid w:val="00D95779"/>
    <w:rsid w:val="00D95BA9"/>
    <w:rsid w:val="00D95E3D"/>
    <w:rsid w:val="00D95FA3"/>
    <w:rsid w:val="00D96392"/>
    <w:rsid w:val="00D964AC"/>
    <w:rsid w:val="00D965D3"/>
    <w:rsid w:val="00D96ADC"/>
    <w:rsid w:val="00D96AED"/>
    <w:rsid w:val="00D96B55"/>
    <w:rsid w:val="00D96CF3"/>
    <w:rsid w:val="00D96E21"/>
    <w:rsid w:val="00D96F86"/>
    <w:rsid w:val="00D97117"/>
    <w:rsid w:val="00D97816"/>
    <w:rsid w:val="00D978D2"/>
    <w:rsid w:val="00D97C9D"/>
    <w:rsid w:val="00D97D3A"/>
    <w:rsid w:val="00D97EB0"/>
    <w:rsid w:val="00DA0014"/>
    <w:rsid w:val="00DA01FD"/>
    <w:rsid w:val="00DA050E"/>
    <w:rsid w:val="00DA07D7"/>
    <w:rsid w:val="00DA0C13"/>
    <w:rsid w:val="00DA0CB3"/>
    <w:rsid w:val="00DA0D7C"/>
    <w:rsid w:val="00DA113D"/>
    <w:rsid w:val="00DA123E"/>
    <w:rsid w:val="00DA128E"/>
    <w:rsid w:val="00DA13AD"/>
    <w:rsid w:val="00DA184E"/>
    <w:rsid w:val="00DA18E4"/>
    <w:rsid w:val="00DA1AF3"/>
    <w:rsid w:val="00DA22EA"/>
    <w:rsid w:val="00DA25C1"/>
    <w:rsid w:val="00DA2619"/>
    <w:rsid w:val="00DA285C"/>
    <w:rsid w:val="00DA28B7"/>
    <w:rsid w:val="00DA28D0"/>
    <w:rsid w:val="00DA2993"/>
    <w:rsid w:val="00DA3074"/>
    <w:rsid w:val="00DA30E2"/>
    <w:rsid w:val="00DA3107"/>
    <w:rsid w:val="00DA3183"/>
    <w:rsid w:val="00DA35A4"/>
    <w:rsid w:val="00DA369F"/>
    <w:rsid w:val="00DA3756"/>
    <w:rsid w:val="00DA383B"/>
    <w:rsid w:val="00DA3BC2"/>
    <w:rsid w:val="00DA4239"/>
    <w:rsid w:val="00DA42A7"/>
    <w:rsid w:val="00DA4826"/>
    <w:rsid w:val="00DA49B0"/>
    <w:rsid w:val="00DA4B04"/>
    <w:rsid w:val="00DA4CA4"/>
    <w:rsid w:val="00DA4EFD"/>
    <w:rsid w:val="00DA5419"/>
    <w:rsid w:val="00DA5481"/>
    <w:rsid w:val="00DA54B9"/>
    <w:rsid w:val="00DA5554"/>
    <w:rsid w:val="00DA588C"/>
    <w:rsid w:val="00DA5A94"/>
    <w:rsid w:val="00DA5C94"/>
    <w:rsid w:val="00DA5EC2"/>
    <w:rsid w:val="00DA6108"/>
    <w:rsid w:val="00DA63D9"/>
    <w:rsid w:val="00DA64CB"/>
    <w:rsid w:val="00DA65DE"/>
    <w:rsid w:val="00DA66E2"/>
    <w:rsid w:val="00DA674D"/>
    <w:rsid w:val="00DA6A4C"/>
    <w:rsid w:val="00DA6AC4"/>
    <w:rsid w:val="00DA6BFA"/>
    <w:rsid w:val="00DA6E13"/>
    <w:rsid w:val="00DA7342"/>
    <w:rsid w:val="00DA754B"/>
    <w:rsid w:val="00DA75F6"/>
    <w:rsid w:val="00DA7896"/>
    <w:rsid w:val="00DA78F7"/>
    <w:rsid w:val="00DA7FEC"/>
    <w:rsid w:val="00DB0246"/>
    <w:rsid w:val="00DB05D7"/>
    <w:rsid w:val="00DB05FE"/>
    <w:rsid w:val="00DB064D"/>
    <w:rsid w:val="00DB07F2"/>
    <w:rsid w:val="00DB0B61"/>
    <w:rsid w:val="00DB0BBA"/>
    <w:rsid w:val="00DB0C45"/>
    <w:rsid w:val="00DB0D1B"/>
    <w:rsid w:val="00DB13D0"/>
    <w:rsid w:val="00DB1406"/>
    <w:rsid w:val="00DB1440"/>
    <w:rsid w:val="00DB1474"/>
    <w:rsid w:val="00DB150D"/>
    <w:rsid w:val="00DB18B2"/>
    <w:rsid w:val="00DB1AF9"/>
    <w:rsid w:val="00DB1D84"/>
    <w:rsid w:val="00DB1D9A"/>
    <w:rsid w:val="00DB1EC3"/>
    <w:rsid w:val="00DB1F5C"/>
    <w:rsid w:val="00DB1F88"/>
    <w:rsid w:val="00DB25CA"/>
    <w:rsid w:val="00DB268D"/>
    <w:rsid w:val="00DB283A"/>
    <w:rsid w:val="00DB2962"/>
    <w:rsid w:val="00DB2B0B"/>
    <w:rsid w:val="00DB2CDF"/>
    <w:rsid w:val="00DB2CE6"/>
    <w:rsid w:val="00DB2D4E"/>
    <w:rsid w:val="00DB2FF2"/>
    <w:rsid w:val="00DB3075"/>
    <w:rsid w:val="00DB318C"/>
    <w:rsid w:val="00DB322E"/>
    <w:rsid w:val="00DB32D8"/>
    <w:rsid w:val="00DB3483"/>
    <w:rsid w:val="00DB3669"/>
    <w:rsid w:val="00DB3745"/>
    <w:rsid w:val="00DB38DA"/>
    <w:rsid w:val="00DB3B4B"/>
    <w:rsid w:val="00DB42AD"/>
    <w:rsid w:val="00DB436E"/>
    <w:rsid w:val="00DB4767"/>
    <w:rsid w:val="00DB481A"/>
    <w:rsid w:val="00DB49C9"/>
    <w:rsid w:val="00DB4B11"/>
    <w:rsid w:val="00DB4C72"/>
    <w:rsid w:val="00DB52DC"/>
    <w:rsid w:val="00DB52FB"/>
    <w:rsid w:val="00DB54A9"/>
    <w:rsid w:val="00DB641F"/>
    <w:rsid w:val="00DB65BF"/>
    <w:rsid w:val="00DB65E2"/>
    <w:rsid w:val="00DB6A03"/>
    <w:rsid w:val="00DB6B18"/>
    <w:rsid w:val="00DB6BCD"/>
    <w:rsid w:val="00DB6DF7"/>
    <w:rsid w:val="00DB6F51"/>
    <w:rsid w:val="00DB707E"/>
    <w:rsid w:val="00DB71D3"/>
    <w:rsid w:val="00DB72FF"/>
    <w:rsid w:val="00DB7306"/>
    <w:rsid w:val="00DB79B0"/>
    <w:rsid w:val="00DB7FD8"/>
    <w:rsid w:val="00DC013B"/>
    <w:rsid w:val="00DC090B"/>
    <w:rsid w:val="00DC0981"/>
    <w:rsid w:val="00DC0A96"/>
    <w:rsid w:val="00DC0B17"/>
    <w:rsid w:val="00DC1037"/>
    <w:rsid w:val="00DC1340"/>
    <w:rsid w:val="00DC139D"/>
    <w:rsid w:val="00DC14FD"/>
    <w:rsid w:val="00DC1679"/>
    <w:rsid w:val="00DC1709"/>
    <w:rsid w:val="00DC175D"/>
    <w:rsid w:val="00DC18F6"/>
    <w:rsid w:val="00DC1C65"/>
    <w:rsid w:val="00DC2074"/>
    <w:rsid w:val="00DC20D9"/>
    <w:rsid w:val="00DC211C"/>
    <w:rsid w:val="00DC219B"/>
    <w:rsid w:val="00DC21C4"/>
    <w:rsid w:val="00DC21F2"/>
    <w:rsid w:val="00DC220C"/>
    <w:rsid w:val="00DC2A22"/>
    <w:rsid w:val="00DC2C33"/>
    <w:rsid w:val="00DC2CF1"/>
    <w:rsid w:val="00DC2DC7"/>
    <w:rsid w:val="00DC2E67"/>
    <w:rsid w:val="00DC2EA0"/>
    <w:rsid w:val="00DC2FDA"/>
    <w:rsid w:val="00DC310A"/>
    <w:rsid w:val="00DC32B6"/>
    <w:rsid w:val="00DC3A7C"/>
    <w:rsid w:val="00DC40D0"/>
    <w:rsid w:val="00DC4188"/>
    <w:rsid w:val="00DC423E"/>
    <w:rsid w:val="00DC43FA"/>
    <w:rsid w:val="00DC4D36"/>
    <w:rsid w:val="00DC4F44"/>
    <w:rsid w:val="00DC4FCF"/>
    <w:rsid w:val="00DC50E0"/>
    <w:rsid w:val="00DC53B0"/>
    <w:rsid w:val="00DC55D5"/>
    <w:rsid w:val="00DC5AB5"/>
    <w:rsid w:val="00DC5BF2"/>
    <w:rsid w:val="00DC5D60"/>
    <w:rsid w:val="00DC5E20"/>
    <w:rsid w:val="00DC5ECD"/>
    <w:rsid w:val="00DC5F3A"/>
    <w:rsid w:val="00DC6221"/>
    <w:rsid w:val="00DC6386"/>
    <w:rsid w:val="00DC6446"/>
    <w:rsid w:val="00DC6691"/>
    <w:rsid w:val="00DC66A8"/>
    <w:rsid w:val="00DC6818"/>
    <w:rsid w:val="00DC7047"/>
    <w:rsid w:val="00DC71D6"/>
    <w:rsid w:val="00DC751B"/>
    <w:rsid w:val="00DC757D"/>
    <w:rsid w:val="00DC7652"/>
    <w:rsid w:val="00DC7921"/>
    <w:rsid w:val="00DC7B7B"/>
    <w:rsid w:val="00DC7BC8"/>
    <w:rsid w:val="00DC7DFA"/>
    <w:rsid w:val="00DC7E47"/>
    <w:rsid w:val="00DC7FBB"/>
    <w:rsid w:val="00DD008A"/>
    <w:rsid w:val="00DD0112"/>
    <w:rsid w:val="00DD0262"/>
    <w:rsid w:val="00DD042D"/>
    <w:rsid w:val="00DD0539"/>
    <w:rsid w:val="00DD0C8A"/>
    <w:rsid w:val="00DD0E99"/>
    <w:rsid w:val="00DD0F06"/>
    <w:rsid w:val="00DD105B"/>
    <w:rsid w:val="00DD1130"/>
    <w:rsid w:val="00DD1413"/>
    <w:rsid w:val="00DD16C6"/>
    <w:rsid w:val="00DD1951"/>
    <w:rsid w:val="00DD1A7D"/>
    <w:rsid w:val="00DD1D5A"/>
    <w:rsid w:val="00DD2021"/>
    <w:rsid w:val="00DD227C"/>
    <w:rsid w:val="00DD245D"/>
    <w:rsid w:val="00DD2536"/>
    <w:rsid w:val="00DD2547"/>
    <w:rsid w:val="00DD2A79"/>
    <w:rsid w:val="00DD2AAC"/>
    <w:rsid w:val="00DD2B2E"/>
    <w:rsid w:val="00DD30AF"/>
    <w:rsid w:val="00DD3294"/>
    <w:rsid w:val="00DD32D4"/>
    <w:rsid w:val="00DD32E0"/>
    <w:rsid w:val="00DD382E"/>
    <w:rsid w:val="00DD39E0"/>
    <w:rsid w:val="00DD3A63"/>
    <w:rsid w:val="00DD4518"/>
    <w:rsid w:val="00DD475C"/>
    <w:rsid w:val="00DD487D"/>
    <w:rsid w:val="00DD4B30"/>
    <w:rsid w:val="00DD4B58"/>
    <w:rsid w:val="00DD4E83"/>
    <w:rsid w:val="00DD4FBE"/>
    <w:rsid w:val="00DD5195"/>
    <w:rsid w:val="00DD538F"/>
    <w:rsid w:val="00DD5D68"/>
    <w:rsid w:val="00DD5DF6"/>
    <w:rsid w:val="00DD5E18"/>
    <w:rsid w:val="00DD647B"/>
    <w:rsid w:val="00DD6628"/>
    <w:rsid w:val="00DD6678"/>
    <w:rsid w:val="00DD6742"/>
    <w:rsid w:val="00DD6896"/>
    <w:rsid w:val="00DD68C7"/>
    <w:rsid w:val="00DD6945"/>
    <w:rsid w:val="00DD6B09"/>
    <w:rsid w:val="00DD6B91"/>
    <w:rsid w:val="00DD6C21"/>
    <w:rsid w:val="00DD6F6F"/>
    <w:rsid w:val="00DD7159"/>
    <w:rsid w:val="00DD756E"/>
    <w:rsid w:val="00DD799F"/>
    <w:rsid w:val="00DD7D30"/>
    <w:rsid w:val="00DE0404"/>
    <w:rsid w:val="00DE0871"/>
    <w:rsid w:val="00DE0C45"/>
    <w:rsid w:val="00DE130B"/>
    <w:rsid w:val="00DE1755"/>
    <w:rsid w:val="00DE1BF6"/>
    <w:rsid w:val="00DE202F"/>
    <w:rsid w:val="00DE24B8"/>
    <w:rsid w:val="00DE26E0"/>
    <w:rsid w:val="00DE2873"/>
    <w:rsid w:val="00DE2924"/>
    <w:rsid w:val="00DE2D04"/>
    <w:rsid w:val="00DE3250"/>
    <w:rsid w:val="00DE326D"/>
    <w:rsid w:val="00DE33BA"/>
    <w:rsid w:val="00DE362B"/>
    <w:rsid w:val="00DE443E"/>
    <w:rsid w:val="00DE47FF"/>
    <w:rsid w:val="00DE49C7"/>
    <w:rsid w:val="00DE4B97"/>
    <w:rsid w:val="00DE502B"/>
    <w:rsid w:val="00DE520F"/>
    <w:rsid w:val="00DE5251"/>
    <w:rsid w:val="00DE53E1"/>
    <w:rsid w:val="00DE5795"/>
    <w:rsid w:val="00DE593A"/>
    <w:rsid w:val="00DE595C"/>
    <w:rsid w:val="00DE5BFB"/>
    <w:rsid w:val="00DE5DDA"/>
    <w:rsid w:val="00DE5E88"/>
    <w:rsid w:val="00DE6028"/>
    <w:rsid w:val="00DE602E"/>
    <w:rsid w:val="00DE6084"/>
    <w:rsid w:val="00DE609C"/>
    <w:rsid w:val="00DE609D"/>
    <w:rsid w:val="00DE62AD"/>
    <w:rsid w:val="00DE6576"/>
    <w:rsid w:val="00DE672B"/>
    <w:rsid w:val="00DE6C85"/>
    <w:rsid w:val="00DE7863"/>
    <w:rsid w:val="00DE78A3"/>
    <w:rsid w:val="00DE7C5C"/>
    <w:rsid w:val="00DE7CB5"/>
    <w:rsid w:val="00DE7D2E"/>
    <w:rsid w:val="00DE7D31"/>
    <w:rsid w:val="00DF02FC"/>
    <w:rsid w:val="00DF04CE"/>
    <w:rsid w:val="00DF0527"/>
    <w:rsid w:val="00DF0A6E"/>
    <w:rsid w:val="00DF1044"/>
    <w:rsid w:val="00DF11AE"/>
    <w:rsid w:val="00DF1490"/>
    <w:rsid w:val="00DF1945"/>
    <w:rsid w:val="00DF198D"/>
    <w:rsid w:val="00DF1A71"/>
    <w:rsid w:val="00DF1B50"/>
    <w:rsid w:val="00DF1C62"/>
    <w:rsid w:val="00DF2083"/>
    <w:rsid w:val="00DF215A"/>
    <w:rsid w:val="00DF21BD"/>
    <w:rsid w:val="00DF2799"/>
    <w:rsid w:val="00DF2A42"/>
    <w:rsid w:val="00DF2CC4"/>
    <w:rsid w:val="00DF2E89"/>
    <w:rsid w:val="00DF31BA"/>
    <w:rsid w:val="00DF31BE"/>
    <w:rsid w:val="00DF380D"/>
    <w:rsid w:val="00DF3E40"/>
    <w:rsid w:val="00DF3E92"/>
    <w:rsid w:val="00DF43FC"/>
    <w:rsid w:val="00DF4632"/>
    <w:rsid w:val="00DF4767"/>
    <w:rsid w:val="00DF4911"/>
    <w:rsid w:val="00DF496A"/>
    <w:rsid w:val="00DF4BCE"/>
    <w:rsid w:val="00DF4F5C"/>
    <w:rsid w:val="00DF5074"/>
    <w:rsid w:val="00DF50FC"/>
    <w:rsid w:val="00DF526B"/>
    <w:rsid w:val="00DF5701"/>
    <w:rsid w:val="00DF5747"/>
    <w:rsid w:val="00DF5789"/>
    <w:rsid w:val="00DF59D8"/>
    <w:rsid w:val="00DF5A7F"/>
    <w:rsid w:val="00DF5AA4"/>
    <w:rsid w:val="00DF5CB0"/>
    <w:rsid w:val="00DF6060"/>
    <w:rsid w:val="00DF610B"/>
    <w:rsid w:val="00DF6273"/>
    <w:rsid w:val="00DF676F"/>
    <w:rsid w:val="00DF68C7"/>
    <w:rsid w:val="00DF6BFE"/>
    <w:rsid w:val="00DF731A"/>
    <w:rsid w:val="00DF733A"/>
    <w:rsid w:val="00DF7568"/>
    <w:rsid w:val="00DF7C8D"/>
    <w:rsid w:val="00DF7CD2"/>
    <w:rsid w:val="00DF7F05"/>
    <w:rsid w:val="00DFDBAF"/>
    <w:rsid w:val="00E000A8"/>
    <w:rsid w:val="00E000E8"/>
    <w:rsid w:val="00E0037D"/>
    <w:rsid w:val="00E003EF"/>
    <w:rsid w:val="00E00BD6"/>
    <w:rsid w:val="00E00F4E"/>
    <w:rsid w:val="00E00F5E"/>
    <w:rsid w:val="00E017EE"/>
    <w:rsid w:val="00E01917"/>
    <w:rsid w:val="00E019DA"/>
    <w:rsid w:val="00E01F67"/>
    <w:rsid w:val="00E01FB7"/>
    <w:rsid w:val="00E020F3"/>
    <w:rsid w:val="00E026C2"/>
    <w:rsid w:val="00E0293B"/>
    <w:rsid w:val="00E029AB"/>
    <w:rsid w:val="00E02B46"/>
    <w:rsid w:val="00E03611"/>
    <w:rsid w:val="00E0369D"/>
    <w:rsid w:val="00E0396B"/>
    <w:rsid w:val="00E03A8B"/>
    <w:rsid w:val="00E03D56"/>
    <w:rsid w:val="00E04080"/>
    <w:rsid w:val="00E0411F"/>
    <w:rsid w:val="00E043BA"/>
    <w:rsid w:val="00E04BB0"/>
    <w:rsid w:val="00E04C6D"/>
    <w:rsid w:val="00E04CB2"/>
    <w:rsid w:val="00E04D52"/>
    <w:rsid w:val="00E050A5"/>
    <w:rsid w:val="00E05208"/>
    <w:rsid w:val="00E052DC"/>
    <w:rsid w:val="00E05397"/>
    <w:rsid w:val="00E05421"/>
    <w:rsid w:val="00E05629"/>
    <w:rsid w:val="00E05818"/>
    <w:rsid w:val="00E05854"/>
    <w:rsid w:val="00E05C4E"/>
    <w:rsid w:val="00E05CB4"/>
    <w:rsid w:val="00E05D10"/>
    <w:rsid w:val="00E05DFC"/>
    <w:rsid w:val="00E05E4C"/>
    <w:rsid w:val="00E0607F"/>
    <w:rsid w:val="00E06619"/>
    <w:rsid w:val="00E06676"/>
    <w:rsid w:val="00E06682"/>
    <w:rsid w:val="00E066F1"/>
    <w:rsid w:val="00E06758"/>
    <w:rsid w:val="00E06789"/>
    <w:rsid w:val="00E06929"/>
    <w:rsid w:val="00E06B75"/>
    <w:rsid w:val="00E06E34"/>
    <w:rsid w:val="00E06F67"/>
    <w:rsid w:val="00E074A2"/>
    <w:rsid w:val="00E07773"/>
    <w:rsid w:val="00E07A34"/>
    <w:rsid w:val="00E07C5E"/>
    <w:rsid w:val="00E07CD3"/>
    <w:rsid w:val="00E07D79"/>
    <w:rsid w:val="00E10011"/>
    <w:rsid w:val="00E10A76"/>
    <w:rsid w:val="00E10EAB"/>
    <w:rsid w:val="00E110F6"/>
    <w:rsid w:val="00E111B7"/>
    <w:rsid w:val="00E11332"/>
    <w:rsid w:val="00E11352"/>
    <w:rsid w:val="00E1159D"/>
    <w:rsid w:val="00E11897"/>
    <w:rsid w:val="00E1209A"/>
    <w:rsid w:val="00E12375"/>
    <w:rsid w:val="00E12421"/>
    <w:rsid w:val="00E1285D"/>
    <w:rsid w:val="00E12A69"/>
    <w:rsid w:val="00E12CF1"/>
    <w:rsid w:val="00E12F2A"/>
    <w:rsid w:val="00E12FF0"/>
    <w:rsid w:val="00E13848"/>
    <w:rsid w:val="00E1385B"/>
    <w:rsid w:val="00E1398E"/>
    <w:rsid w:val="00E1399A"/>
    <w:rsid w:val="00E14292"/>
    <w:rsid w:val="00E145DC"/>
    <w:rsid w:val="00E1476D"/>
    <w:rsid w:val="00E1480C"/>
    <w:rsid w:val="00E149BD"/>
    <w:rsid w:val="00E14CBC"/>
    <w:rsid w:val="00E14D4A"/>
    <w:rsid w:val="00E14F0C"/>
    <w:rsid w:val="00E15029"/>
    <w:rsid w:val="00E1520A"/>
    <w:rsid w:val="00E15473"/>
    <w:rsid w:val="00E1596C"/>
    <w:rsid w:val="00E15DFC"/>
    <w:rsid w:val="00E15EAD"/>
    <w:rsid w:val="00E15F00"/>
    <w:rsid w:val="00E160E9"/>
    <w:rsid w:val="00E1610A"/>
    <w:rsid w:val="00E161C4"/>
    <w:rsid w:val="00E164D7"/>
    <w:rsid w:val="00E16691"/>
    <w:rsid w:val="00E16716"/>
    <w:rsid w:val="00E1677A"/>
    <w:rsid w:val="00E16C5B"/>
    <w:rsid w:val="00E170C6"/>
    <w:rsid w:val="00E170DC"/>
    <w:rsid w:val="00E17345"/>
    <w:rsid w:val="00E1750A"/>
    <w:rsid w:val="00E17546"/>
    <w:rsid w:val="00E17B14"/>
    <w:rsid w:val="00E17CAC"/>
    <w:rsid w:val="00E17DF4"/>
    <w:rsid w:val="00E17EE2"/>
    <w:rsid w:val="00E20023"/>
    <w:rsid w:val="00E20141"/>
    <w:rsid w:val="00E205DE"/>
    <w:rsid w:val="00E207F2"/>
    <w:rsid w:val="00E209B0"/>
    <w:rsid w:val="00E20C09"/>
    <w:rsid w:val="00E210B5"/>
    <w:rsid w:val="00E2111D"/>
    <w:rsid w:val="00E218C1"/>
    <w:rsid w:val="00E219A8"/>
    <w:rsid w:val="00E223E6"/>
    <w:rsid w:val="00E226D4"/>
    <w:rsid w:val="00E226D9"/>
    <w:rsid w:val="00E22F22"/>
    <w:rsid w:val="00E23494"/>
    <w:rsid w:val="00E23508"/>
    <w:rsid w:val="00E241B7"/>
    <w:rsid w:val="00E245D9"/>
    <w:rsid w:val="00E246CF"/>
    <w:rsid w:val="00E24804"/>
    <w:rsid w:val="00E24936"/>
    <w:rsid w:val="00E24C83"/>
    <w:rsid w:val="00E24EF9"/>
    <w:rsid w:val="00E253FF"/>
    <w:rsid w:val="00E25429"/>
    <w:rsid w:val="00E25462"/>
    <w:rsid w:val="00E25626"/>
    <w:rsid w:val="00E25CF5"/>
    <w:rsid w:val="00E25DA4"/>
    <w:rsid w:val="00E25E4E"/>
    <w:rsid w:val="00E26158"/>
    <w:rsid w:val="00E261B3"/>
    <w:rsid w:val="00E264EC"/>
    <w:rsid w:val="00E26818"/>
    <w:rsid w:val="00E26D05"/>
    <w:rsid w:val="00E26D1D"/>
    <w:rsid w:val="00E2724D"/>
    <w:rsid w:val="00E2782D"/>
    <w:rsid w:val="00E2790E"/>
    <w:rsid w:val="00E27BC7"/>
    <w:rsid w:val="00E27CDD"/>
    <w:rsid w:val="00E27FFC"/>
    <w:rsid w:val="00E303FC"/>
    <w:rsid w:val="00E30582"/>
    <w:rsid w:val="00E30666"/>
    <w:rsid w:val="00E3088D"/>
    <w:rsid w:val="00E30B15"/>
    <w:rsid w:val="00E30CB7"/>
    <w:rsid w:val="00E311EA"/>
    <w:rsid w:val="00E313BE"/>
    <w:rsid w:val="00E314CD"/>
    <w:rsid w:val="00E3153A"/>
    <w:rsid w:val="00E316C2"/>
    <w:rsid w:val="00E31719"/>
    <w:rsid w:val="00E3176E"/>
    <w:rsid w:val="00E32166"/>
    <w:rsid w:val="00E323C5"/>
    <w:rsid w:val="00E32711"/>
    <w:rsid w:val="00E32F09"/>
    <w:rsid w:val="00E32FDC"/>
    <w:rsid w:val="00E33237"/>
    <w:rsid w:val="00E332C8"/>
    <w:rsid w:val="00E337FE"/>
    <w:rsid w:val="00E338DC"/>
    <w:rsid w:val="00E33A89"/>
    <w:rsid w:val="00E33CC6"/>
    <w:rsid w:val="00E341FA"/>
    <w:rsid w:val="00E3462B"/>
    <w:rsid w:val="00E347AF"/>
    <w:rsid w:val="00E3498D"/>
    <w:rsid w:val="00E34D30"/>
    <w:rsid w:val="00E35415"/>
    <w:rsid w:val="00E35608"/>
    <w:rsid w:val="00E35665"/>
    <w:rsid w:val="00E35A08"/>
    <w:rsid w:val="00E35D12"/>
    <w:rsid w:val="00E36035"/>
    <w:rsid w:val="00E36220"/>
    <w:rsid w:val="00E36245"/>
    <w:rsid w:val="00E3641F"/>
    <w:rsid w:val="00E364F3"/>
    <w:rsid w:val="00E36735"/>
    <w:rsid w:val="00E369FC"/>
    <w:rsid w:val="00E36BA2"/>
    <w:rsid w:val="00E36BEB"/>
    <w:rsid w:val="00E36FB7"/>
    <w:rsid w:val="00E37839"/>
    <w:rsid w:val="00E3788E"/>
    <w:rsid w:val="00E37EF6"/>
    <w:rsid w:val="00E37F8E"/>
    <w:rsid w:val="00E3F2AB"/>
    <w:rsid w:val="00E40181"/>
    <w:rsid w:val="00E405FE"/>
    <w:rsid w:val="00E4064B"/>
    <w:rsid w:val="00E406BA"/>
    <w:rsid w:val="00E40982"/>
    <w:rsid w:val="00E412DB"/>
    <w:rsid w:val="00E41701"/>
    <w:rsid w:val="00E41862"/>
    <w:rsid w:val="00E419D6"/>
    <w:rsid w:val="00E419E5"/>
    <w:rsid w:val="00E41B0A"/>
    <w:rsid w:val="00E42265"/>
    <w:rsid w:val="00E423D4"/>
    <w:rsid w:val="00E4285B"/>
    <w:rsid w:val="00E42B8E"/>
    <w:rsid w:val="00E42CC9"/>
    <w:rsid w:val="00E42CF4"/>
    <w:rsid w:val="00E42CFE"/>
    <w:rsid w:val="00E4308E"/>
    <w:rsid w:val="00E431E9"/>
    <w:rsid w:val="00E431F9"/>
    <w:rsid w:val="00E43838"/>
    <w:rsid w:val="00E438EA"/>
    <w:rsid w:val="00E43D08"/>
    <w:rsid w:val="00E43F8E"/>
    <w:rsid w:val="00E4405F"/>
    <w:rsid w:val="00E4409D"/>
    <w:rsid w:val="00E44622"/>
    <w:rsid w:val="00E4479E"/>
    <w:rsid w:val="00E448DD"/>
    <w:rsid w:val="00E44CB0"/>
    <w:rsid w:val="00E450E4"/>
    <w:rsid w:val="00E455AA"/>
    <w:rsid w:val="00E458EB"/>
    <w:rsid w:val="00E45D77"/>
    <w:rsid w:val="00E45E41"/>
    <w:rsid w:val="00E45EAB"/>
    <w:rsid w:val="00E45EE8"/>
    <w:rsid w:val="00E45F41"/>
    <w:rsid w:val="00E4601B"/>
    <w:rsid w:val="00E460C2"/>
    <w:rsid w:val="00E46132"/>
    <w:rsid w:val="00E46A0F"/>
    <w:rsid w:val="00E46C4A"/>
    <w:rsid w:val="00E46C9B"/>
    <w:rsid w:val="00E46D8A"/>
    <w:rsid w:val="00E46EE2"/>
    <w:rsid w:val="00E46F82"/>
    <w:rsid w:val="00E46FAB"/>
    <w:rsid w:val="00E472EB"/>
    <w:rsid w:val="00E47DBB"/>
    <w:rsid w:val="00E50261"/>
    <w:rsid w:val="00E5047D"/>
    <w:rsid w:val="00E505CC"/>
    <w:rsid w:val="00E50918"/>
    <w:rsid w:val="00E50C11"/>
    <w:rsid w:val="00E50E75"/>
    <w:rsid w:val="00E50F16"/>
    <w:rsid w:val="00E51078"/>
    <w:rsid w:val="00E510AE"/>
    <w:rsid w:val="00E513C3"/>
    <w:rsid w:val="00E51476"/>
    <w:rsid w:val="00E51478"/>
    <w:rsid w:val="00E5149D"/>
    <w:rsid w:val="00E519F1"/>
    <w:rsid w:val="00E51AE9"/>
    <w:rsid w:val="00E51C67"/>
    <w:rsid w:val="00E51C96"/>
    <w:rsid w:val="00E52113"/>
    <w:rsid w:val="00E52903"/>
    <w:rsid w:val="00E52B89"/>
    <w:rsid w:val="00E53080"/>
    <w:rsid w:val="00E53200"/>
    <w:rsid w:val="00E5343C"/>
    <w:rsid w:val="00E535AF"/>
    <w:rsid w:val="00E5394F"/>
    <w:rsid w:val="00E53B82"/>
    <w:rsid w:val="00E53D9C"/>
    <w:rsid w:val="00E53E5F"/>
    <w:rsid w:val="00E53E7F"/>
    <w:rsid w:val="00E53EAB"/>
    <w:rsid w:val="00E53FB4"/>
    <w:rsid w:val="00E54383"/>
    <w:rsid w:val="00E5444D"/>
    <w:rsid w:val="00E54501"/>
    <w:rsid w:val="00E54531"/>
    <w:rsid w:val="00E5454F"/>
    <w:rsid w:val="00E54950"/>
    <w:rsid w:val="00E54A10"/>
    <w:rsid w:val="00E54C7A"/>
    <w:rsid w:val="00E54E0A"/>
    <w:rsid w:val="00E54E32"/>
    <w:rsid w:val="00E550C8"/>
    <w:rsid w:val="00E551BB"/>
    <w:rsid w:val="00E55822"/>
    <w:rsid w:val="00E55FB3"/>
    <w:rsid w:val="00E562B6"/>
    <w:rsid w:val="00E562D0"/>
    <w:rsid w:val="00E564F1"/>
    <w:rsid w:val="00E56607"/>
    <w:rsid w:val="00E56671"/>
    <w:rsid w:val="00E56A01"/>
    <w:rsid w:val="00E56E04"/>
    <w:rsid w:val="00E57060"/>
    <w:rsid w:val="00E570B7"/>
    <w:rsid w:val="00E571AD"/>
    <w:rsid w:val="00E57467"/>
    <w:rsid w:val="00E5771A"/>
    <w:rsid w:val="00E57813"/>
    <w:rsid w:val="00E57823"/>
    <w:rsid w:val="00E579CA"/>
    <w:rsid w:val="00E57D25"/>
    <w:rsid w:val="00E57E08"/>
    <w:rsid w:val="00E5C105"/>
    <w:rsid w:val="00E601B2"/>
    <w:rsid w:val="00E60420"/>
    <w:rsid w:val="00E60586"/>
    <w:rsid w:val="00E60B80"/>
    <w:rsid w:val="00E61154"/>
    <w:rsid w:val="00E613DE"/>
    <w:rsid w:val="00E615AB"/>
    <w:rsid w:val="00E615AD"/>
    <w:rsid w:val="00E61798"/>
    <w:rsid w:val="00E617B8"/>
    <w:rsid w:val="00E61B86"/>
    <w:rsid w:val="00E61BC1"/>
    <w:rsid w:val="00E61C8C"/>
    <w:rsid w:val="00E61F73"/>
    <w:rsid w:val="00E61FB9"/>
    <w:rsid w:val="00E62286"/>
    <w:rsid w:val="00E6236B"/>
    <w:rsid w:val="00E6286F"/>
    <w:rsid w:val="00E629A1"/>
    <w:rsid w:val="00E62D88"/>
    <w:rsid w:val="00E62F22"/>
    <w:rsid w:val="00E63026"/>
    <w:rsid w:val="00E6379A"/>
    <w:rsid w:val="00E638AB"/>
    <w:rsid w:val="00E63C0D"/>
    <w:rsid w:val="00E64249"/>
    <w:rsid w:val="00E647AF"/>
    <w:rsid w:val="00E6482C"/>
    <w:rsid w:val="00E648AE"/>
    <w:rsid w:val="00E64C06"/>
    <w:rsid w:val="00E64CA2"/>
    <w:rsid w:val="00E64D4B"/>
    <w:rsid w:val="00E65727"/>
    <w:rsid w:val="00E65778"/>
    <w:rsid w:val="00E659F2"/>
    <w:rsid w:val="00E65A79"/>
    <w:rsid w:val="00E65B30"/>
    <w:rsid w:val="00E66320"/>
    <w:rsid w:val="00E66469"/>
    <w:rsid w:val="00E6654E"/>
    <w:rsid w:val="00E66637"/>
    <w:rsid w:val="00E669A6"/>
    <w:rsid w:val="00E66D9A"/>
    <w:rsid w:val="00E67039"/>
    <w:rsid w:val="00E67084"/>
    <w:rsid w:val="00E674F9"/>
    <w:rsid w:val="00E67820"/>
    <w:rsid w:val="00E678A6"/>
    <w:rsid w:val="00E6794C"/>
    <w:rsid w:val="00E6E2B2"/>
    <w:rsid w:val="00E70025"/>
    <w:rsid w:val="00E70380"/>
    <w:rsid w:val="00E70470"/>
    <w:rsid w:val="00E70554"/>
    <w:rsid w:val="00E7096E"/>
    <w:rsid w:val="00E70FB9"/>
    <w:rsid w:val="00E70FF2"/>
    <w:rsid w:val="00E710EA"/>
    <w:rsid w:val="00E710F5"/>
    <w:rsid w:val="00E71248"/>
    <w:rsid w:val="00E71591"/>
    <w:rsid w:val="00E71726"/>
    <w:rsid w:val="00E71A27"/>
    <w:rsid w:val="00E71CEB"/>
    <w:rsid w:val="00E7227A"/>
    <w:rsid w:val="00E72932"/>
    <w:rsid w:val="00E72DE9"/>
    <w:rsid w:val="00E73537"/>
    <w:rsid w:val="00E73681"/>
    <w:rsid w:val="00E7373C"/>
    <w:rsid w:val="00E73744"/>
    <w:rsid w:val="00E737C1"/>
    <w:rsid w:val="00E73966"/>
    <w:rsid w:val="00E7399B"/>
    <w:rsid w:val="00E73AE1"/>
    <w:rsid w:val="00E73C7C"/>
    <w:rsid w:val="00E73F6B"/>
    <w:rsid w:val="00E741BB"/>
    <w:rsid w:val="00E7420C"/>
    <w:rsid w:val="00E74402"/>
    <w:rsid w:val="00E7474F"/>
    <w:rsid w:val="00E74980"/>
    <w:rsid w:val="00E74AE7"/>
    <w:rsid w:val="00E7506F"/>
    <w:rsid w:val="00E75085"/>
    <w:rsid w:val="00E750B3"/>
    <w:rsid w:val="00E75567"/>
    <w:rsid w:val="00E7556E"/>
    <w:rsid w:val="00E7567F"/>
    <w:rsid w:val="00E759FE"/>
    <w:rsid w:val="00E75D2B"/>
    <w:rsid w:val="00E75F54"/>
    <w:rsid w:val="00E7609D"/>
    <w:rsid w:val="00E76458"/>
    <w:rsid w:val="00E76831"/>
    <w:rsid w:val="00E76844"/>
    <w:rsid w:val="00E7689B"/>
    <w:rsid w:val="00E7692F"/>
    <w:rsid w:val="00E76AE7"/>
    <w:rsid w:val="00E76B97"/>
    <w:rsid w:val="00E76C16"/>
    <w:rsid w:val="00E76D14"/>
    <w:rsid w:val="00E774BF"/>
    <w:rsid w:val="00E77653"/>
    <w:rsid w:val="00E777B5"/>
    <w:rsid w:val="00E778F7"/>
    <w:rsid w:val="00E77B23"/>
    <w:rsid w:val="00E77D60"/>
    <w:rsid w:val="00E77DB2"/>
    <w:rsid w:val="00E80042"/>
    <w:rsid w:val="00E80047"/>
    <w:rsid w:val="00E8045D"/>
    <w:rsid w:val="00E808D9"/>
    <w:rsid w:val="00E80D5A"/>
    <w:rsid w:val="00E80DE3"/>
    <w:rsid w:val="00E81359"/>
    <w:rsid w:val="00E8141B"/>
    <w:rsid w:val="00E81A59"/>
    <w:rsid w:val="00E81DA8"/>
    <w:rsid w:val="00E81F98"/>
    <w:rsid w:val="00E82038"/>
    <w:rsid w:val="00E8214E"/>
    <w:rsid w:val="00E821FA"/>
    <w:rsid w:val="00E828B8"/>
    <w:rsid w:val="00E82B6F"/>
    <w:rsid w:val="00E82BCE"/>
    <w:rsid w:val="00E82C41"/>
    <w:rsid w:val="00E82C55"/>
    <w:rsid w:val="00E82C92"/>
    <w:rsid w:val="00E82E2C"/>
    <w:rsid w:val="00E82F2C"/>
    <w:rsid w:val="00E83087"/>
    <w:rsid w:val="00E835BA"/>
    <w:rsid w:val="00E838BD"/>
    <w:rsid w:val="00E83994"/>
    <w:rsid w:val="00E83CD4"/>
    <w:rsid w:val="00E83E2C"/>
    <w:rsid w:val="00E840B9"/>
    <w:rsid w:val="00E84680"/>
    <w:rsid w:val="00E846F9"/>
    <w:rsid w:val="00E84A5E"/>
    <w:rsid w:val="00E84C53"/>
    <w:rsid w:val="00E84D90"/>
    <w:rsid w:val="00E84E9F"/>
    <w:rsid w:val="00E84ECE"/>
    <w:rsid w:val="00E84FC4"/>
    <w:rsid w:val="00E85388"/>
    <w:rsid w:val="00E854E0"/>
    <w:rsid w:val="00E85CAA"/>
    <w:rsid w:val="00E85E85"/>
    <w:rsid w:val="00E85EA7"/>
    <w:rsid w:val="00E85FA1"/>
    <w:rsid w:val="00E85FA2"/>
    <w:rsid w:val="00E860D6"/>
    <w:rsid w:val="00E86144"/>
    <w:rsid w:val="00E8615A"/>
    <w:rsid w:val="00E86194"/>
    <w:rsid w:val="00E86239"/>
    <w:rsid w:val="00E86405"/>
    <w:rsid w:val="00E866DE"/>
    <w:rsid w:val="00E866EC"/>
    <w:rsid w:val="00E86744"/>
    <w:rsid w:val="00E86C3E"/>
    <w:rsid w:val="00E86C56"/>
    <w:rsid w:val="00E86C5D"/>
    <w:rsid w:val="00E86CC4"/>
    <w:rsid w:val="00E86D53"/>
    <w:rsid w:val="00E86E1E"/>
    <w:rsid w:val="00E86F3F"/>
    <w:rsid w:val="00E872F8"/>
    <w:rsid w:val="00E8739C"/>
    <w:rsid w:val="00E87427"/>
    <w:rsid w:val="00E874EB"/>
    <w:rsid w:val="00E874F3"/>
    <w:rsid w:val="00E87599"/>
    <w:rsid w:val="00E8760E"/>
    <w:rsid w:val="00E8787E"/>
    <w:rsid w:val="00E87D33"/>
    <w:rsid w:val="00E9017A"/>
    <w:rsid w:val="00E90184"/>
    <w:rsid w:val="00E901E3"/>
    <w:rsid w:val="00E9020E"/>
    <w:rsid w:val="00E9042A"/>
    <w:rsid w:val="00E90658"/>
    <w:rsid w:val="00E90AD5"/>
    <w:rsid w:val="00E90CD8"/>
    <w:rsid w:val="00E911C2"/>
    <w:rsid w:val="00E91228"/>
    <w:rsid w:val="00E912C5"/>
    <w:rsid w:val="00E912F5"/>
    <w:rsid w:val="00E9135B"/>
    <w:rsid w:val="00E91446"/>
    <w:rsid w:val="00E916AC"/>
    <w:rsid w:val="00E91B2B"/>
    <w:rsid w:val="00E91CEB"/>
    <w:rsid w:val="00E91D63"/>
    <w:rsid w:val="00E91F6F"/>
    <w:rsid w:val="00E92200"/>
    <w:rsid w:val="00E9221C"/>
    <w:rsid w:val="00E92486"/>
    <w:rsid w:val="00E9253E"/>
    <w:rsid w:val="00E92607"/>
    <w:rsid w:val="00E92AC3"/>
    <w:rsid w:val="00E92B7B"/>
    <w:rsid w:val="00E92C75"/>
    <w:rsid w:val="00E92CBE"/>
    <w:rsid w:val="00E9308A"/>
    <w:rsid w:val="00E9320D"/>
    <w:rsid w:val="00E9326C"/>
    <w:rsid w:val="00E9340F"/>
    <w:rsid w:val="00E93BFE"/>
    <w:rsid w:val="00E93FB5"/>
    <w:rsid w:val="00E94AAC"/>
    <w:rsid w:val="00E95046"/>
    <w:rsid w:val="00E950FA"/>
    <w:rsid w:val="00E9513D"/>
    <w:rsid w:val="00E9520B"/>
    <w:rsid w:val="00E952E6"/>
    <w:rsid w:val="00E9541E"/>
    <w:rsid w:val="00E954DB"/>
    <w:rsid w:val="00E9551E"/>
    <w:rsid w:val="00E955AA"/>
    <w:rsid w:val="00E956A7"/>
    <w:rsid w:val="00E95DBB"/>
    <w:rsid w:val="00E95E2F"/>
    <w:rsid w:val="00E9602A"/>
    <w:rsid w:val="00E960BC"/>
    <w:rsid w:val="00E96113"/>
    <w:rsid w:val="00E963A8"/>
    <w:rsid w:val="00E96A26"/>
    <w:rsid w:val="00E96A66"/>
    <w:rsid w:val="00E96AB3"/>
    <w:rsid w:val="00E96C7E"/>
    <w:rsid w:val="00E96D0B"/>
    <w:rsid w:val="00E96D3C"/>
    <w:rsid w:val="00E97087"/>
    <w:rsid w:val="00E97219"/>
    <w:rsid w:val="00E975A0"/>
    <w:rsid w:val="00E977D5"/>
    <w:rsid w:val="00E97F80"/>
    <w:rsid w:val="00EA0003"/>
    <w:rsid w:val="00EA002E"/>
    <w:rsid w:val="00EA0032"/>
    <w:rsid w:val="00EA0172"/>
    <w:rsid w:val="00EA0180"/>
    <w:rsid w:val="00EA0606"/>
    <w:rsid w:val="00EA0A6B"/>
    <w:rsid w:val="00EA0C08"/>
    <w:rsid w:val="00EA106D"/>
    <w:rsid w:val="00EA1231"/>
    <w:rsid w:val="00EA1248"/>
    <w:rsid w:val="00EA13B7"/>
    <w:rsid w:val="00EA1716"/>
    <w:rsid w:val="00EA18B5"/>
    <w:rsid w:val="00EA1BC6"/>
    <w:rsid w:val="00EA22B0"/>
    <w:rsid w:val="00EA2348"/>
    <w:rsid w:val="00EA258F"/>
    <w:rsid w:val="00EA25D4"/>
    <w:rsid w:val="00EA2950"/>
    <w:rsid w:val="00EA2F6A"/>
    <w:rsid w:val="00EA3234"/>
    <w:rsid w:val="00EA3B2B"/>
    <w:rsid w:val="00EA40D5"/>
    <w:rsid w:val="00EA4240"/>
    <w:rsid w:val="00EA43AD"/>
    <w:rsid w:val="00EA4491"/>
    <w:rsid w:val="00EA48A7"/>
    <w:rsid w:val="00EA4950"/>
    <w:rsid w:val="00EA4CCF"/>
    <w:rsid w:val="00EA54A4"/>
    <w:rsid w:val="00EA57F8"/>
    <w:rsid w:val="00EA5B1B"/>
    <w:rsid w:val="00EA5C5A"/>
    <w:rsid w:val="00EA5D3B"/>
    <w:rsid w:val="00EA67CE"/>
    <w:rsid w:val="00EA68DE"/>
    <w:rsid w:val="00EA6A8B"/>
    <w:rsid w:val="00EA6FF8"/>
    <w:rsid w:val="00EA70AB"/>
    <w:rsid w:val="00EA720D"/>
    <w:rsid w:val="00EA769B"/>
    <w:rsid w:val="00EA7777"/>
    <w:rsid w:val="00EA7C9E"/>
    <w:rsid w:val="00EA7E18"/>
    <w:rsid w:val="00EB00E0"/>
    <w:rsid w:val="00EB0498"/>
    <w:rsid w:val="00EB05D5"/>
    <w:rsid w:val="00EB0B14"/>
    <w:rsid w:val="00EB1004"/>
    <w:rsid w:val="00EB1359"/>
    <w:rsid w:val="00EB13BF"/>
    <w:rsid w:val="00EB1787"/>
    <w:rsid w:val="00EB1E29"/>
    <w:rsid w:val="00EB1EA4"/>
    <w:rsid w:val="00EB2013"/>
    <w:rsid w:val="00EB219C"/>
    <w:rsid w:val="00EB21E8"/>
    <w:rsid w:val="00EB220A"/>
    <w:rsid w:val="00EB2259"/>
    <w:rsid w:val="00EB23AF"/>
    <w:rsid w:val="00EB25DC"/>
    <w:rsid w:val="00EB25E1"/>
    <w:rsid w:val="00EB273D"/>
    <w:rsid w:val="00EB275B"/>
    <w:rsid w:val="00EB28E7"/>
    <w:rsid w:val="00EB2B77"/>
    <w:rsid w:val="00EB2BBD"/>
    <w:rsid w:val="00EB2D94"/>
    <w:rsid w:val="00EB2DA1"/>
    <w:rsid w:val="00EB2DDB"/>
    <w:rsid w:val="00EB32C7"/>
    <w:rsid w:val="00EB34F1"/>
    <w:rsid w:val="00EB3A03"/>
    <w:rsid w:val="00EB3B18"/>
    <w:rsid w:val="00EB3B5B"/>
    <w:rsid w:val="00EB3DF6"/>
    <w:rsid w:val="00EB3F8E"/>
    <w:rsid w:val="00EB3FED"/>
    <w:rsid w:val="00EB400D"/>
    <w:rsid w:val="00EB408F"/>
    <w:rsid w:val="00EB4325"/>
    <w:rsid w:val="00EB437B"/>
    <w:rsid w:val="00EB44CE"/>
    <w:rsid w:val="00EB44D7"/>
    <w:rsid w:val="00EB4715"/>
    <w:rsid w:val="00EB472A"/>
    <w:rsid w:val="00EB47B6"/>
    <w:rsid w:val="00EB4BC7"/>
    <w:rsid w:val="00EB4BCA"/>
    <w:rsid w:val="00EB4BF2"/>
    <w:rsid w:val="00EB4DE1"/>
    <w:rsid w:val="00EB50B4"/>
    <w:rsid w:val="00EB5242"/>
    <w:rsid w:val="00EB548E"/>
    <w:rsid w:val="00EB5683"/>
    <w:rsid w:val="00EB56B9"/>
    <w:rsid w:val="00EB5784"/>
    <w:rsid w:val="00EB57B6"/>
    <w:rsid w:val="00EB5D43"/>
    <w:rsid w:val="00EB60FC"/>
    <w:rsid w:val="00EB6490"/>
    <w:rsid w:val="00EB65C7"/>
    <w:rsid w:val="00EB6627"/>
    <w:rsid w:val="00EB6B90"/>
    <w:rsid w:val="00EB6E00"/>
    <w:rsid w:val="00EB6F27"/>
    <w:rsid w:val="00EB6F65"/>
    <w:rsid w:val="00EB70B9"/>
    <w:rsid w:val="00EB71D3"/>
    <w:rsid w:val="00EB72F4"/>
    <w:rsid w:val="00EB7408"/>
    <w:rsid w:val="00EB743C"/>
    <w:rsid w:val="00EB77FF"/>
    <w:rsid w:val="00EB7906"/>
    <w:rsid w:val="00EB7D54"/>
    <w:rsid w:val="00EB7FF5"/>
    <w:rsid w:val="00EC000E"/>
    <w:rsid w:val="00EC02E0"/>
    <w:rsid w:val="00EC03A4"/>
    <w:rsid w:val="00EC059F"/>
    <w:rsid w:val="00EC06DE"/>
    <w:rsid w:val="00EC0825"/>
    <w:rsid w:val="00EC0A2F"/>
    <w:rsid w:val="00EC0A81"/>
    <w:rsid w:val="00EC0A93"/>
    <w:rsid w:val="00EC0F6E"/>
    <w:rsid w:val="00EC110A"/>
    <w:rsid w:val="00EC11B3"/>
    <w:rsid w:val="00EC16E1"/>
    <w:rsid w:val="00EC185C"/>
    <w:rsid w:val="00EC1936"/>
    <w:rsid w:val="00EC1B0D"/>
    <w:rsid w:val="00EC1F24"/>
    <w:rsid w:val="00EC1FFA"/>
    <w:rsid w:val="00EC2286"/>
    <w:rsid w:val="00EC22E9"/>
    <w:rsid w:val="00EC22F6"/>
    <w:rsid w:val="00EC262B"/>
    <w:rsid w:val="00EC26C4"/>
    <w:rsid w:val="00EC275A"/>
    <w:rsid w:val="00EC29A8"/>
    <w:rsid w:val="00EC2A6D"/>
    <w:rsid w:val="00EC2B59"/>
    <w:rsid w:val="00EC2E7A"/>
    <w:rsid w:val="00EC2EEF"/>
    <w:rsid w:val="00EC2F90"/>
    <w:rsid w:val="00EC3365"/>
    <w:rsid w:val="00EC340F"/>
    <w:rsid w:val="00EC35C2"/>
    <w:rsid w:val="00EC35E2"/>
    <w:rsid w:val="00EC36D5"/>
    <w:rsid w:val="00EC3711"/>
    <w:rsid w:val="00EC3DB9"/>
    <w:rsid w:val="00EC3F63"/>
    <w:rsid w:val="00EC3FF3"/>
    <w:rsid w:val="00EC40B2"/>
    <w:rsid w:val="00EC40F5"/>
    <w:rsid w:val="00EC4450"/>
    <w:rsid w:val="00EC4481"/>
    <w:rsid w:val="00EC44C7"/>
    <w:rsid w:val="00EC4541"/>
    <w:rsid w:val="00EC4CCD"/>
    <w:rsid w:val="00EC501B"/>
    <w:rsid w:val="00EC5155"/>
    <w:rsid w:val="00EC5184"/>
    <w:rsid w:val="00EC51D3"/>
    <w:rsid w:val="00EC534A"/>
    <w:rsid w:val="00EC57CB"/>
    <w:rsid w:val="00EC57D3"/>
    <w:rsid w:val="00EC58EE"/>
    <w:rsid w:val="00EC597F"/>
    <w:rsid w:val="00EC5B95"/>
    <w:rsid w:val="00EC6027"/>
    <w:rsid w:val="00EC61EB"/>
    <w:rsid w:val="00EC6300"/>
    <w:rsid w:val="00EC66B3"/>
    <w:rsid w:val="00EC6C84"/>
    <w:rsid w:val="00EC6D94"/>
    <w:rsid w:val="00EC6DE1"/>
    <w:rsid w:val="00EC708B"/>
    <w:rsid w:val="00EC718B"/>
    <w:rsid w:val="00EC7231"/>
    <w:rsid w:val="00EC73F2"/>
    <w:rsid w:val="00EC75F7"/>
    <w:rsid w:val="00EC7818"/>
    <w:rsid w:val="00EC79B8"/>
    <w:rsid w:val="00EC7AD8"/>
    <w:rsid w:val="00ED0061"/>
    <w:rsid w:val="00ED0513"/>
    <w:rsid w:val="00ED0542"/>
    <w:rsid w:val="00ED0A88"/>
    <w:rsid w:val="00ED0B45"/>
    <w:rsid w:val="00ED0BC4"/>
    <w:rsid w:val="00ED1092"/>
    <w:rsid w:val="00ED1106"/>
    <w:rsid w:val="00ED1232"/>
    <w:rsid w:val="00ED14CC"/>
    <w:rsid w:val="00ED1570"/>
    <w:rsid w:val="00ED1663"/>
    <w:rsid w:val="00ED167E"/>
    <w:rsid w:val="00ED1998"/>
    <w:rsid w:val="00ED1A24"/>
    <w:rsid w:val="00ED21AF"/>
    <w:rsid w:val="00ED21F5"/>
    <w:rsid w:val="00ED2225"/>
    <w:rsid w:val="00ED284E"/>
    <w:rsid w:val="00ED2D58"/>
    <w:rsid w:val="00ED2ECB"/>
    <w:rsid w:val="00ED2EFC"/>
    <w:rsid w:val="00ED32DF"/>
    <w:rsid w:val="00ED34E6"/>
    <w:rsid w:val="00ED3551"/>
    <w:rsid w:val="00ED3637"/>
    <w:rsid w:val="00ED3E32"/>
    <w:rsid w:val="00ED41FF"/>
    <w:rsid w:val="00ED424A"/>
    <w:rsid w:val="00ED4876"/>
    <w:rsid w:val="00ED4C7B"/>
    <w:rsid w:val="00ED52E7"/>
    <w:rsid w:val="00ED559F"/>
    <w:rsid w:val="00ED5604"/>
    <w:rsid w:val="00ED5939"/>
    <w:rsid w:val="00ED597E"/>
    <w:rsid w:val="00ED5B9B"/>
    <w:rsid w:val="00ED64F1"/>
    <w:rsid w:val="00ED6A41"/>
    <w:rsid w:val="00ED6BAD"/>
    <w:rsid w:val="00ED6C5A"/>
    <w:rsid w:val="00ED7051"/>
    <w:rsid w:val="00ED70B3"/>
    <w:rsid w:val="00ED730D"/>
    <w:rsid w:val="00ED7447"/>
    <w:rsid w:val="00ED7452"/>
    <w:rsid w:val="00ED748B"/>
    <w:rsid w:val="00ED7589"/>
    <w:rsid w:val="00ED7762"/>
    <w:rsid w:val="00ED784C"/>
    <w:rsid w:val="00ED79FB"/>
    <w:rsid w:val="00ED7AEC"/>
    <w:rsid w:val="00ED7B95"/>
    <w:rsid w:val="00EE00D6"/>
    <w:rsid w:val="00EE094B"/>
    <w:rsid w:val="00EE0968"/>
    <w:rsid w:val="00EE0B11"/>
    <w:rsid w:val="00EE0E3A"/>
    <w:rsid w:val="00EE0EFF"/>
    <w:rsid w:val="00EE119A"/>
    <w:rsid w:val="00EE11E7"/>
    <w:rsid w:val="00EE1398"/>
    <w:rsid w:val="00EE1479"/>
    <w:rsid w:val="00EE1488"/>
    <w:rsid w:val="00EE1874"/>
    <w:rsid w:val="00EE1BDF"/>
    <w:rsid w:val="00EE1D3C"/>
    <w:rsid w:val="00EE21C1"/>
    <w:rsid w:val="00EE2200"/>
    <w:rsid w:val="00EE26EE"/>
    <w:rsid w:val="00EE271E"/>
    <w:rsid w:val="00EE2949"/>
    <w:rsid w:val="00EE29AD"/>
    <w:rsid w:val="00EE2E1B"/>
    <w:rsid w:val="00EE3416"/>
    <w:rsid w:val="00EE38E0"/>
    <w:rsid w:val="00EE391C"/>
    <w:rsid w:val="00EE3E24"/>
    <w:rsid w:val="00EE414F"/>
    <w:rsid w:val="00EE4218"/>
    <w:rsid w:val="00EE4711"/>
    <w:rsid w:val="00EE4A6D"/>
    <w:rsid w:val="00EE4D5D"/>
    <w:rsid w:val="00EE4E6C"/>
    <w:rsid w:val="00EE5131"/>
    <w:rsid w:val="00EE527F"/>
    <w:rsid w:val="00EE539C"/>
    <w:rsid w:val="00EE53C3"/>
    <w:rsid w:val="00EE565D"/>
    <w:rsid w:val="00EE56A4"/>
    <w:rsid w:val="00EE5ACF"/>
    <w:rsid w:val="00EE63EB"/>
    <w:rsid w:val="00EE66A7"/>
    <w:rsid w:val="00EE6A57"/>
    <w:rsid w:val="00EE6A8E"/>
    <w:rsid w:val="00EE6B37"/>
    <w:rsid w:val="00EE6C28"/>
    <w:rsid w:val="00EE6EB5"/>
    <w:rsid w:val="00EE6FE4"/>
    <w:rsid w:val="00EE77AE"/>
    <w:rsid w:val="00EE7D78"/>
    <w:rsid w:val="00EE7F85"/>
    <w:rsid w:val="00EF0002"/>
    <w:rsid w:val="00EF004B"/>
    <w:rsid w:val="00EF0213"/>
    <w:rsid w:val="00EF0776"/>
    <w:rsid w:val="00EF079F"/>
    <w:rsid w:val="00EF08E7"/>
    <w:rsid w:val="00EF097F"/>
    <w:rsid w:val="00EF0A85"/>
    <w:rsid w:val="00EF0B80"/>
    <w:rsid w:val="00EF0C91"/>
    <w:rsid w:val="00EF109B"/>
    <w:rsid w:val="00EF151D"/>
    <w:rsid w:val="00EF1C14"/>
    <w:rsid w:val="00EF1C80"/>
    <w:rsid w:val="00EF1E9C"/>
    <w:rsid w:val="00EF201C"/>
    <w:rsid w:val="00EF24DF"/>
    <w:rsid w:val="00EF2657"/>
    <w:rsid w:val="00EF2665"/>
    <w:rsid w:val="00EF2789"/>
    <w:rsid w:val="00EF2812"/>
    <w:rsid w:val="00EF2996"/>
    <w:rsid w:val="00EF2B3E"/>
    <w:rsid w:val="00EF2C72"/>
    <w:rsid w:val="00EF2E8F"/>
    <w:rsid w:val="00EF35A6"/>
    <w:rsid w:val="00EF36AF"/>
    <w:rsid w:val="00EF37F8"/>
    <w:rsid w:val="00EF4703"/>
    <w:rsid w:val="00EF4A3D"/>
    <w:rsid w:val="00EF4A93"/>
    <w:rsid w:val="00EF4C58"/>
    <w:rsid w:val="00EF4C98"/>
    <w:rsid w:val="00EF5675"/>
    <w:rsid w:val="00EF56DB"/>
    <w:rsid w:val="00EF59A3"/>
    <w:rsid w:val="00EF5CC1"/>
    <w:rsid w:val="00EF6675"/>
    <w:rsid w:val="00EF68BF"/>
    <w:rsid w:val="00EF695E"/>
    <w:rsid w:val="00EF6A48"/>
    <w:rsid w:val="00EF6A88"/>
    <w:rsid w:val="00EF6A8C"/>
    <w:rsid w:val="00EF6CE5"/>
    <w:rsid w:val="00EF6D86"/>
    <w:rsid w:val="00EF715C"/>
    <w:rsid w:val="00EF734E"/>
    <w:rsid w:val="00EF73CC"/>
    <w:rsid w:val="00EF754C"/>
    <w:rsid w:val="00EF762B"/>
    <w:rsid w:val="00EF7638"/>
    <w:rsid w:val="00EF79A2"/>
    <w:rsid w:val="00EF7A94"/>
    <w:rsid w:val="00EF7B71"/>
    <w:rsid w:val="00EF7D69"/>
    <w:rsid w:val="00F0063D"/>
    <w:rsid w:val="00F00897"/>
    <w:rsid w:val="00F00B48"/>
    <w:rsid w:val="00F00C77"/>
    <w:rsid w:val="00F00EAC"/>
    <w:rsid w:val="00F00F9C"/>
    <w:rsid w:val="00F011E4"/>
    <w:rsid w:val="00F0128F"/>
    <w:rsid w:val="00F0184C"/>
    <w:rsid w:val="00F01AE1"/>
    <w:rsid w:val="00F01B72"/>
    <w:rsid w:val="00F01C32"/>
    <w:rsid w:val="00F01E5F"/>
    <w:rsid w:val="00F02094"/>
    <w:rsid w:val="00F02215"/>
    <w:rsid w:val="00F024F3"/>
    <w:rsid w:val="00F02592"/>
    <w:rsid w:val="00F02769"/>
    <w:rsid w:val="00F027B3"/>
    <w:rsid w:val="00F027C7"/>
    <w:rsid w:val="00F027FB"/>
    <w:rsid w:val="00F029B7"/>
    <w:rsid w:val="00F02ABA"/>
    <w:rsid w:val="00F02D25"/>
    <w:rsid w:val="00F02D44"/>
    <w:rsid w:val="00F02E93"/>
    <w:rsid w:val="00F02E98"/>
    <w:rsid w:val="00F02F0A"/>
    <w:rsid w:val="00F02FEF"/>
    <w:rsid w:val="00F03345"/>
    <w:rsid w:val="00F033FB"/>
    <w:rsid w:val="00F03819"/>
    <w:rsid w:val="00F03935"/>
    <w:rsid w:val="00F03BCF"/>
    <w:rsid w:val="00F03CE3"/>
    <w:rsid w:val="00F0437A"/>
    <w:rsid w:val="00F043D2"/>
    <w:rsid w:val="00F04624"/>
    <w:rsid w:val="00F04E95"/>
    <w:rsid w:val="00F04F9F"/>
    <w:rsid w:val="00F0516F"/>
    <w:rsid w:val="00F053EB"/>
    <w:rsid w:val="00F0579F"/>
    <w:rsid w:val="00F06170"/>
    <w:rsid w:val="00F061DA"/>
    <w:rsid w:val="00F06225"/>
    <w:rsid w:val="00F0642B"/>
    <w:rsid w:val="00F06C83"/>
    <w:rsid w:val="00F06E3D"/>
    <w:rsid w:val="00F06F32"/>
    <w:rsid w:val="00F07D53"/>
    <w:rsid w:val="00F10190"/>
    <w:rsid w:val="00F101B8"/>
    <w:rsid w:val="00F10636"/>
    <w:rsid w:val="00F10893"/>
    <w:rsid w:val="00F10CC9"/>
    <w:rsid w:val="00F11037"/>
    <w:rsid w:val="00F116D9"/>
    <w:rsid w:val="00F11948"/>
    <w:rsid w:val="00F1194C"/>
    <w:rsid w:val="00F119C1"/>
    <w:rsid w:val="00F11B6A"/>
    <w:rsid w:val="00F11CC3"/>
    <w:rsid w:val="00F11D2D"/>
    <w:rsid w:val="00F1203B"/>
    <w:rsid w:val="00F1229B"/>
    <w:rsid w:val="00F12645"/>
    <w:rsid w:val="00F1271A"/>
    <w:rsid w:val="00F1279D"/>
    <w:rsid w:val="00F127E3"/>
    <w:rsid w:val="00F12983"/>
    <w:rsid w:val="00F12E10"/>
    <w:rsid w:val="00F12FE1"/>
    <w:rsid w:val="00F1335B"/>
    <w:rsid w:val="00F134DE"/>
    <w:rsid w:val="00F13D7C"/>
    <w:rsid w:val="00F14659"/>
    <w:rsid w:val="00F14B99"/>
    <w:rsid w:val="00F14CE2"/>
    <w:rsid w:val="00F14EA6"/>
    <w:rsid w:val="00F1507E"/>
    <w:rsid w:val="00F15477"/>
    <w:rsid w:val="00F155C5"/>
    <w:rsid w:val="00F15C22"/>
    <w:rsid w:val="00F15D75"/>
    <w:rsid w:val="00F15DAF"/>
    <w:rsid w:val="00F15F18"/>
    <w:rsid w:val="00F15F6C"/>
    <w:rsid w:val="00F15F90"/>
    <w:rsid w:val="00F16645"/>
    <w:rsid w:val="00F16667"/>
    <w:rsid w:val="00F166D4"/>
    <w:rsid w:val="00F16A89"/>
    <w:rsid w:val="00F16B94"/>
    <w:rsid w:val="00F16F1B"/>
    <w:rsid w:val="00F1746C"/>
    <w:rsid w:val="00F17525"/>
    <w:rsid w:val="00F17C7B"/>
    <w:rsid w:val="00F2005B"/>
    <w:rsid w:val="00F20328"/>
    <w:rsid w:val="00F20337"/>
    <w:rsid w:val="00F20434"/>
    <w:rsid w:val="00F2055C"/>
    <w:rsid w:val="00F2078B"/>
    <w:rsid w:val="00F207B1"/>
    <w:rsid w:val="00F208E0"/>
    <w:rsid w:val="00F2096A"/>
    <w:rsid w:val="00F20B72"/>
    <w:rsid w:val="00F20C48"/>
    <w:rsid w:val="00F20CA6"/>
    <w:rsid w:val="00F20CF0"/>
    <w:rsid w:val="00F2121E"/>
    <w:rsid w:val="00F21232"/>
    <w:rsid w:val="00F21349"/>
    <w:rsid w:val="00F2168C"/>
    <w:rsid w:val="00F216BC"/>
    <w:rsid w:val="00F218C7"/>
    <w:rsid w:val="00F218EA"/>
    <w:rsid w:val="00F21952"/>
    <w:rsid w:val="00F21991"/>
    <w:rsid w:val="00F219FC"/>
    <w:rsid w:val="00F21BEE"/>
    <w:rsid w:val="00F21E58"/>
    <w:rsid w:val="00F2220B"/>
    <w:rsid w:val="00F2271B"/>
    <w:rsid w:val="00F2277E"/>
    <w:rsid w:val="00F22789"/>
    <w:rsid w:val="00F2283C"/>
    <w:rsid w:val="00F228D6"/>
    <w:rsid w:val="00F229C1"/>
    <w:rsid w:val="00F22C04"/>
    <w:rsid w:val="00F22C80"/>
    <w:rsid w:val="00F22D0D"/>
    <w:rsid w:val="00F22FE5"/>
    <w:rsid w:val="00F2320D"/>
    <w:rsid w:val="00F23280"/>
    <w:rsid w:val="00F23321"/>
    <w:rsid w:val="00F23AE2"/>
    <w:rsid w:val="00F23D5A"/>
    <w:rsid w:val="00F24223"/>
    <w:rsid w:val="00F24382"/>
    <w:rsid w:val="00F246FD"/>
    <w:rsid w:val="00F24829"/>
    <w:rsid w:val="00F249F3"/>
    <w:rsid w:val="00F250A9"/>
    <w:rsid w:val="00F25180"/>
    <w:rsid w:val="00F252FD"/>
    <w:rsid w:val="00F258ED"/>
    <w:rsid w:val="00F2595E"/>
    <w:rsid w:val="00F2596F"/>
    <w:rsid w:val="00F25C52"/>
    <w:rsid w:val="00F25D49"/>
    <w:rsid w:val="00F25D5D"/>
    <w:rsid w:val="00F25EB0"/>
    <w:rsid w:val="00F25F70"/>
    <w:rsid w:val="00F2608F"/>
    <w:rsid w:val="00F26255"/>
    <w:rsid w:val="00F262D9"/>
    <w:rsid w:val="00F267AF"/>
    <w:rsid w:val="00F26CD6"/>
    <w:rsid w:val="00F26DEC"/>
    <w:rsid w:val="00F2706D"/>
    <w:rsid w:val="00F27259"/>
    <w:rsid w:val="00F272D8"/>
    <w:rsid w:val="00F279DC"/>
    <w:rsid w:val="00F27EFE"/>
    <w:rsid w:val="00F27F55"/>
    <w:rsid w:val="00F30299"/>
    <w:rsid w:val="00F30578"/>
    <w:rsid w:val="00F30738"/>
    <w:rsid w:val="00F30975"/>
    <w:rsid w:val="00F30AB6"/>
    <w:rsid w:val="00F30DAA"/>
    <w:rsid w:val="00F30FD9"/>
    <w:rsid w:val="00F30FF4"/>
    <w:rsid w:val="00F3122E"/>
    <w:rsid w:val="00F3123C"/>
    <w:rsid w:val="00F314A7"/>
    <w:rsid w:val="00F314A8"/>
    <w:rsid w:val="00F318DC"/>
    <w:rsid w:val="00F31BE4"/>
    <w:rsid w:val="00F31E47"/>
    <w:rsid w:val="00F32026"/>
    <w:rsid w:val="00F321C9"/>
    <w:rsid w:val="00F32368"/>
    <w:rsid w:val="00F3236B"/>
    <w:rsid w:val="00F3238A"/>
    <w:rsid w:val="00F323D4"/>
    <w:rsid w:val="00F32464"/>
    <w:rsid w:val="00F3251C"/>
    <w:rsid w:val="00F326EA"/>
    <w:rsid w:val="00F3271E"/>
    <w:rsid w:val="00F331AD"/>
    <w:rsid w:val="00F33207"/>
    <w:rsid w:val="00F33752"/>
    <w:rsid w:val="00F337E4"/>
    <w:rsid w:val="00F33A08"/>
    <w:rsid w:val="00F3414C"/>
    <w:rsid w:val="00F346FC"/>
    <w:rsid w:val="00F3482D"/>
    <w:rsid w:val="00F34A97"/>
    <w:rsid w:val="00F34B7C"/>
    <w:rsid w:val="00F34D1B"/>
    <w:rsid w:val="00F34E43"/>
    <w:rsid w:val="00F35287"/>
    <w:rsid w:val="00F35305"/>
    <w:rsid w:val="00F358ED"/>
    <w:rsid w:val="00F35ED3"/>
    <w:rsid w:val="00F36694"/>
    <w:rsid w:val="00F36CD8"/>
    <w:rsid w:val="00F36EBF"/>
    <w:rsid w:val="00F376D9"/>
    <w:rsid w:val="00F40157"/>
    <w:rsid w:val="00F40195"/>
    <w:rsid w:val="00F401F3"/>
    <w:rsid w:val="00F40201"/>
    <w:rsid w:val="00F40A70"/>
    <w:rsid w:val="00F40BBA"/>
    <w:rsid w:val="00F40C76"/>
    <w:rsid w:val="00F40E1D"/>
    <w:rsid w:val="00F40F53"/>
    <w:rsid w:val="00F40F72"/>
    <w:rsid w:val="00F40FBC"/>
    <w:rsid w:val="00F41139"/>
    <w:rsid w:val="00F41213"/>
    <w:rsid w:val="00F4125D"/>
    <w:rsid w:val="00F4131E"/>
    <w:rsid w:val="00F41480"/>
    <w:rsid w:val="00F41558"/>
    <w:rsid w:val="00F41792"/>
    <w:rsid w:val="00F4180E"/>
    <w:rsid w:val="00F41815"/>
    <w:rsid w:val="00F41B07"/>
    <w:rsid w:val="00F41C05"/>
    <w:rsid w:val="00F41CF7"/>
    <w:rsid w:val="00F41DA0"/>
    <w:rsid w:val="00F421E9"/>
    <w:rsid w:val="00F426D0"/>
    <w:rsid w:val="00F4298A"/>
    <w:rsid w:val="00F429ED"/>
    <w:rsid w:val="00F432BA"/>
    <w:rsid w:val="00F4346B"/>
    <w:rsid w:val="00F43A37"/>
    <w:rsid w:val="00F43CC5"/>
    <w:rsid w:val="00F44326"/>
    <w:rsid w:val="00F44352"/>
    <w:rsid w:val="00F446E1"/>
    <w:rsid w:val="00F4475A"/>
    <w:rsid w:val="00F4480F"/>
    <w:rsid w:val="00F44C54"/>
    <w:rsid w:val="00F44D33"/>
    <w:rsid w:val="00F44EA9"/>
    <w:rsid w:val="00F451EE"/>
    <w:rsid w:val="00F45430"/>
    <w:rsid w:val="00F455E6"/>
    <w:rsid w:val="00F4578F"/>
    <w:rsid w:val="00F458B7"/>
    <w:rsid w:val="00F459A1"/>
    <w:rsid w:val="00F45E9E"/>
    <w:rsid w:val="00F461AD"/>
    <w:rsid w:val="00F4641B"/>
    <w:rsid w:val="00F46594"/>
    <w:rsid w:val="00F46EB8"/>
    <w:rsid w:val="00F470B0"/>
    <w:rsid w:val="00F472F7"/>
    <w:rsid w:val="00F47610"/>
    <w:rsid w:val="00F47718"/>
    <w:rsid w:val="00F47E10"/>
    <w:rsid w:val="00F47F6E"/>
    <w:rsid w:val="00F505C9"/>
    <w:rsid w:val="00F505E6"/>
    <w:rsid w:val="00F50CD1"/>
    <w:rsid w:val="00F50FDB"/>
    <w:rsid w:val="00F511B5"/>
    <w:rsid w:val="00F511E4"/>
    <w:rsid w:val="00F51307"/>
    <w:rsid w:val="00F5186D"/>
    <w:rsid w:val="00F51BA4"/>
    <w:rsid w:val="00F51BAD"/>
    <w:rsid w:val="00F51D30"/>
    <w:rsid w:val="00F51DC0"/>
    <w:rsid w:val="00F520E0"/>
    <w:rsid w:val="00F520E5"/>
    <w:rsid w:val="00F521AE"/>
    <w:rsid w:val="00F52530"/>
    <w:rsid w:val="00F52533"/>
    <w:rsid w:val="00F5274E"/>
    <w:rsid w:val="00F52BE5"/>
    <w:rsid w:val="00F52C5C"/>
    <w:rsid w:val="00F52D09"/>
    <w:rsid w:val="00F52E08"/>
    <w:rsid w:val="00F531AE"/>
    <w:rsid w:val="00F537CD"/>
    <w:rsid w:val="00F539A5"/>
    <w:rsid w:val="00F53A66"/>
    <w:rsid w:val="00F541EA"/>
    <w:rsid w:val="00F542DA"/>
    <w:rsid w:val="00F5448A"/>
    <w:rsid w:val="00F5462D"/>
    <w:rsid w:val="00F54730"/>
    <w:rsid w:val="00F54DA3"/>
    <w:rsid w:val="00F5545B"/>
    <w:rsid w:val="00F557B6"/>
    <w:rsid w:val="00F557CA"/>
    <w:rsid w:val="00F55A44"/>
    <w:rsid w:val="00F55B21"/>
    <w:rsid w:val="00F55CF9"/>
    <w:rsid w:val="00F55DE6"/>
    <w:rsid w:val="00F56206"/>
    <w:rsid w:val="00F5629F"/>
    <w:rsid w:val="00F56CE4"/>
    <w:rsid w:val="00F56DC2"/>
    <w:rsid w:val="00F56EF6"/>
    <w:rsid w:val="00F5747B"/>
    <w:rsid w:val="00F578FE"/>
    <w:rsid w:val="00F579B9"/>
    <w:rsid w:val="00F57F18"/>
    <w:rsid w:val="00F57F74"/>
    <w:rsid w:val="00F57F96"/>
    <w:rsid w:val="00F57F97"/>
    <w:rsid w:val="00F60082"/>
    <w:rsid w:val="00F60126"/>
    <w:rsid w:val="00F60741"/>
    <w:rsid w:val="00F6091B"/>
    <w:rsid w:val="00F60DA3"/>
    <w:rsid w:val="00F60DDD"/>
    <w:rsid w:val="00F60E3A"/>
    <w:rsid w:val="00F60F06"/>
    <w:rsid w:val="00F60FC2"/>
    <w:rsid w:val="00F611AD"/>
    <w:rsid w:val="00F6121E"/>
    <w:rsid w:val="00F612ED"/>
    <w:rsid w:val="00F613F0"/>
    <w:rsid w:val="00F61656"/>
    <w:rsid w:val="00F617E0"/>
    <w:rsid w:val="00F61A9F"/>
    <w:rsid w:val="00F61B5F"/>
    <w:rsid w:val="00F61DB9"/>
    <w:rsid w:val="00F62052"/>
    <w:rsid w:val="00F62438"/>
    <w:rsid w:val="00F62A9D"/>
    <w:rsid w:val="00F62DBA"/>
    <w:rsid w:val="00F62E50"/>
    <w:rsid w:val="00F63070"/>
    <w:rsid w:val="00F6323E"/>
    <w:rsid w:val="00F63444"/>
    <w:rsid w:val="00F63741"/>
    <w:rsid w:val="00F6385F"/>
    <w:rsid w:val="00F63ABA"/>
    <w:rsid w:val="00F63EDD"/>
    <w:rsid w:val="00F640BA"/>
    <w:rsid w:val="00F64385"/>
    <w:rsid w:val="00F644A0"/>
    <w:rsid w:val="00F645C7"/>
    <w:rsid w:val="00F64696"/>
    <w:rsid w:val="00F64B13"/>
    <w:rsid w:val="00F64BED"/>
    <w:rsid w:val="00F64F2F"/>
    <w:rsid w:val="00F6526F"/>
    <w:rsid w:val="00F652EF"/>
    <w:rsid w:val="00F654A0"/>
    <w:rsid w:val="00F656A8"/>
    <w:rsid w:val="00F6582D"/>
    <w:rsid w:val="00F65AA9"/>
    <w:rsid w:val="00F65C42"/>
    <w:rsid w:val="00F65F2C"/>
    <w:rsid w:val="00F661AB"/>
    <w:rsid w:val="00F66684"/>
    <w:rsid w:val="00F66A5D"/>
    <w:rsid w:val="00F66CFD"/>
    <w:rsid w:val="00F66E0C"/>
    <w:rsid w:val="00F6768F"/>
    <w:rsid w:val="00F67CC3"/>
    <w:rsid w:val="00F67E7F"/>
    <w:rsid w:val="00F67F79"/>
    <w:rsid w:val="00F701B4"/>
    <w:rsid w:val="00F701ED"/>
    <w:rsid w:val="00F70232"/>
    <w:rsid w:val="00F70345"/>
    <w:rsid w:val="00F70CD8"/>
    <w:rsid w:val="00F711E6"/>
    <w:rsid w:val="00F712B9"/>
    <w:rsid w:val="00F714F7"/>
    <w:rsid w:val="00F71800"/>
    <w:rsid w:val="00F71A3D"/>
    <w:rsid w:val="00F71AB4"/>
    <w:rsid w:val="00F71BC8"/>
    <w:rsid w:val="00F72C2C"/>
    <w:rsid w:val="00F7309E"/>
    <w:rsid w:val="00F73199"/>
    <w:rsid w:val="00F734FD"/>
    <w:rsid w:val="00F736D8"/>
    <w:rsid w:val="00F73A8C"/>
    <w:rsid w:val="00F74062"/>
    <w:rsid w:val="00F74079"/>
    <w:rsid w:val="00F741F2"/>
    <w:rsid w:val="00F7424E"/>
    <w:rsid w:val="00F74554"/>
    <w:rsid w:val="00F74BA2"/>
    <w:rsid w:val="00F74DA9"/>
    <w:rsid w:val="00F74F5B"/>
    <w:rsid w:val="00F75309"/>
    <w:rsid w:val="00F75615"/>
    <w:rsid w:val="00F7573C"/>
    <w:rsid w:val="00F757B2"/>
    <w:rsid w:val="00F75982"/>
    <w:rsid w:val="00F75CC0"/>
    <w:rsid w:val="00F75CD2"/>
    <w:rsid w:val="00F76C12"/>
    <w:rsid w:val="00F76CAB"/>
    <w:rsid w:val="00F76F60"/>
    <w:rsid w:val="00F772C6"/>
    <w:rsid w:val="00F773EF"/>
    <w:rsid w:val="00F778B8"/>
    <w:rsid w:val="00F77901"/>
    <w:rsid w:val="00F77953"/>
    <w:rsid w:val="00F77C03"/>
    <w:rsid w:val="00F8048D"/>
    <w:rsid w:val="00F804C7"/>
    <w:rsid w:val="00F80776"/>
    <w:rsid w:val="00F80825"/>
    <w:rsid w:val="00F80884"/>
    <w:rsid w:val="00F809D9"/>
    <w:rsid w:val="00F80C0E"/>
    <w:rsid w:val="00F80CA0"/>
    <w:rsid w:val="00F8106F"/>
    <w:rsid w:val="00F8140E"/>
    <w:rsid w:val="00F81499"/>
    <w:rsid w:val="00F815B5"/>
    <w:rsid w:val="00F8161B"/>
    <w:rsid w:val="00F81ACF"/>
    <w:rsid w:val="00F81C69"/>
    <w:rsid w:val="00F81D0C"/>
    <w:rsid w:val="00F820A9"/>
    <w:rsid w:val="00F826D9"/>
    <w:rsid w:val="00F8273E"/>
    <w:rsid w:val="00F82B09"/>
    <w:rsid w:val="00F82CEC"/>
    <w:rsid w:val="00F82F25"/>
    <w:rsid w:val="00F8310B"/>
    <w:rsid w:val="00F8312B"/>
    <w:rsid w:val="00F8323A"/>
    <w:rsid w:val="00F832A0"/>
    <w:rsid w:val="00F8346C"/>
    <w:rsid w:val="00F834F4"/>
    <w:rsid w:val="00F83549"/>
    <w:rsid w:val="00F835C1"/>
    <w:rsid w:val="00F8363B"/>
    <w:rsid w:val="00F837B4"/>
    <w:rsid w:val="00F83A54"/>
    <w:rsid w:val="00F83D6B"/>
    <w:rsid w:val="00F84050"/>
    <w:rsid w:val="00F840EA"/>
    <w:rsid w:val="00F842E4"/>
    <w:rsid w:val="00F84426"/>
    <w:rsid w:val="00F8457C"/>
    <w:rsid w:val="00F848F9"/>
    <w:rsid w:val="00F84A7F"/>
    <w:rsid w:val="00F84BA7"/>
    <w:rsid w:val="00F84E7C"/>
    <w:rsid w:val="00F84FB7"/>
    <w:rsid w:val="00F85039"/>
    <w:rsid w:val="00F85195"/>
    <w:rsid w:val="00F8531E"/>
    <w:rsid w:val="00F85468"/>
    <w:rsid w:val="00F854E3"/>
    <w:rsid w:val="00F855F1"/>
    <w:rsid w:val="00F855FA"/>
    <w:rsid w:val="00F8575E"/>
    <w:rsid w:val="00F859BE"/>
    <w:rsid w:val="00F85F51"/>
    <w:rsid w:val="00F860CB"/>
    <w:rsid w:val="00F862E8"/>
    <w:rsid w:val="00F86341"/>
    <w:rsid w:val="00F865D3"/>
    <w:rsid w:val="00F86644"/>
    <w:rsid w:val="00F86828"/>
    <w:rsid w:val="00F8689E"/>
    <w:rsid w:val="00F868E3"/>
    <w:rsid w:val="00F86AB1"/>
    <w:rsid w:val="00F86AD5"/>
    <w:rsid w:val="00F86BA4"/>
    <w:rsid w:val="00F870EF"/>
    <w:rsid w:val="00F8744E"/>
    <w:rsid w:val="00F87820"/>
    <w:rsid w:val="00F87A01"/>
    <w:rsid w:val="00F87A9C"/>
    <w:rsid w:val="00F87B38"/>
    <w:rsid w:val="00F87DB6"/>
    <w:rsid w:val="00F87F93"/>
    <w:rsid w:val="00F8C60C"/>
    <w:rsid w:val="00F9035B"/>
    <w:rsid w:val="00F90D16"/>
    <w:rsid w:val="00F91042"/>
    <w:rsid w:val="00F910C8"/>
    <w:rsid w:val="00F910D0"/>
    <w:rsid w:val="00F912F2"/>
    <w:rsid w:val="00F916F9"/>
    <w:rsid w:val="00F919FB"/>
    <w:rsid w:val="00F91A09"/>
    <w:rsid w:val="00F91AB2"/>
    <w:rsid w:val="00F91ACF"/>
    <w:rsid w:val="00F91ADB"/>
    <w:rsid w:val="00F91B5D"/>
    <w:rsid w:val="00F91C17"/>
    <w:rsid w:val="00F91FB5"/>
    <w:rsid w:val="00F925AB"/>
    <w:rsid w:val="00F92814"/>
    <w:rsid w:val="00F92913"/>
    <w:rsid w:val="00F92B13"/>
    <w:rsid w:val="00F92C09"/>
    <w:rsid w:val="00F93129"/>
    <w:rsid w:val="00F932DB"/>
    <w:rsid w:val="00F93321"/>
    <w:rsid w:val="00F933CC"/>
    <w:rsid w:val="00F93652"/>
    <w:rsid w:val="00F93802"/>
    <w:rsid w:val="00F938BA"/>
    <w:rsid w:val="00F93ACA"/>
    <w:rsid w:val="00F93BE4"/>
    <w:rsid w:val="00F93C73"/>
    <w:rsid w:val="00F93D7C"/>
    <w:rsid w:val="00F93EBD"/>
    <w:rsid w:val="00F93F59"/>
    <w:rsid w:val="00F94607"/>
    <w:rsid w:val="00F949EE"/>
    <w:rsid w:val="00F94D4B"/>
    <w:rsid w:val="00F94D89"/>
    <w:rsid w:val="00F95248"/>
    <w:rsid w:val="00F953D5"/>
    <w:rsid w:val="00F9551D"/>
    <w:rsid w:val="00F95687"/>
    <w:rsid w:val="00F95A13"/>
    <w:rsid w:val="00F95A59"/>
    <w:rsid w:val="00F95DD6"/>
    <w:rsid w:val="00F96132"/>
    <w:rsid w:val="00F9628C"/>
    <w:rsid w:val="00F963DA"/>
    <w:rsid w:val="00F963FD"/>
    <w:rsid w:val="00F96456"/>
    <w:rsid w:val="00F966B5"/>
    <w:rsid w:val="00F966FC"/>
    <w:rsid w:val="00F96B54"/>
    <w:rsid w:val="00F9731E"/>
    <w:rsid w:val="00F9748F"/>
    <w:rsid w:val="00F97822"/>
    <w:rsid w:val="00F97919"/>
    <w:rsid w:val="00F979CD"/>
    <w:rsid w:val="00F97A4D"/>
    <w:rsid w:val="00FA02D2"/>
    <w:rsid w:val="00FA050B"/>
    <w:rsid w:val="00FA0805"/>
    <w:rsid w:val="00FA08D8"/>
    <w:rsid w:val="00FA11B1"/>
    <w:rsid w:val="00FA14EE"/>
    <w:rsid w:val="00FA15F6"/>
    <w:rsid w:val="00FA1747"/>
    <w:rsid w:val="00FA1BD3"/>
    <w:rsid w:val="00FA2053"/>
    <w:rsid w:val="00FA229F"/>
    <w:rsid w:val="00FA267B"/>
    <w:rsid w:val="00FA26F1"/>
    <w:rsid w:val="00FA27C0"/>
    <w:rsid w:val="00FA2B4D"/>
    <w:rsid w:val="00FA2C46"/>
    <w:rsid w:val="00FA2C7F"/>
    <w:rsid w:val="00FA2C8C"/>
    <w:rsid w:val="00FA3407"/>
    <w:rsid w:val="00FA3525"/>
    <w:rsid w:val="00FA36D8"/>
    <w:rsid w:val="00FA3A3D"/>
    <w:rsid w:val="00FA3D76"/>
    <w:rsid w:val="00FA45EB"/>
    <w:rsid w:val="00FA4937"/>
    <w:rsid w:val="00FA4F58"/>
    <w:rsid w:val="00FA5194"/>
    <w:rsid w:val="00FA56C2"/>
    <w:rsid w:val="00FA59BC"/>
    <w:rsid w:val="00FA5A0B"/>
    <w:rsid w:val="00FA5A53"/>
    <w:rsid w:val="00FA5D65"/>
    <w:rsid w:val="00FA60B9"/>
    <w:rsid w:val="00FA6707"/>
    <w:rsid w:val="00FA67F3"/>
    <w:rsid w:val="00FA6827"/>
    <w:rsid w:val="00FA6934"/>
    <w:rsid w:val="00FA7334"/>
    <w:rsid w:val="00FA755C"/>
    <w:rsid w:val="00FA791A"/>
    <w:rsid w:val="00FA796E"/>
    <w:rsid w:val="00FA7FB6"/>
    <w:rsid w:val="00FB0021"/>
    <w:rsid w:val="00FB011D"/>
    <w:rsid w:val="00FB019A"/>
    <w:rsid w:val="00FB032C"/>
    <w:rsid w:val="00FB0422"/>
    <w:rsid w:val="00FB0841"/>
    <w:rsid w:val="00FB0A90"/>
    <w:rsid w:val="00FB0BA9"/>
    <w:rsid w:val="00FB0D27"/>
    <w:rsid w:val="00FB0D6F"/>
    <w:rsid w:val="00FB0F1F"/>
    <w:rsid w:val="00FB12C8"/>
    <w:rsid w:val="00FB13E4"/>
    <w:rsid w:val="00FB1444"/>
    <w:rsid w:val="00FB1766"/>
    <w:rsid w:val="00FB1B53"/>
    <w:rsid w:val="00FB1F6E"/>
    <w:rsid w:val="00FB213A"/>
    <w:rsid w:val="00FB218C"/>
    <w:rsid w:val="00FB25DC"/>
    <w:rsid w:val="00FB2BAF"/>
    <w:rsid w:val="00FB2E34"/>
    <w:rsid w:val="00FB3027"/>
    <w:rsid w:val="00FB3154"/>
    <w:rsid w:val="00FB3366"/>
    <w:rsid w:val="00FB377C"/>
    <w:rsid w:val="00FB3AA8"/>
    <w:rsid w:val="00FB3B7A"/>
    <w:rsid w:val="00FB3C42"/>
    <w:rsid w:val="00FB3F73"/>
    <w:rsid w:val="00FB4059"/>
    <w:rsid w:val="00FB40BA"/>
    <w:rsid w:val="00FB4391"/>
    <w:rsid w:val="00FB46E5"/>
    <w:rsid w:val="00FB4769"/>
    <w:rsid w:val="00FB4C14"/>
    <w:rsid w:val="00FB4C20"/>
    <w:rsid w:val="00FB4CDA"/>
    <w:rsid w:val="00FB4F25"/>
    <w:rsid w:val="00FB530D"/>
    <w:rsid w:val="00FB5634"/>
    <w:rsid w:val="00FB58DD"/>
    <w:rsid w:val="00FB5CCE"/>
    <w:rsid w:val="00FB5F6D"/>
    <w:rsid w:val="00FB6101"/>
    <w:rsid w:val="00FB612F"/>
    <w:rsid w:val="00FB621A"/>
    <w:rsid w:val="00FB6223"/>
    <w:rsid w:val="00FB6481"/>
    <w:rsid w:val="00FB661D"/>
    <w:rsid w:val="00FB6750"/>
    <w:rsid w:val="00FB6D36"/>
    <w:rsid w:val="00FB6E4C"/>
    <w:rsid w:val="00FB6E5E"/>
    <w:rsid w:val="00FB6F20"/>
    <w:rsid w:val="00FB707A"/>
    <w:rsid w:val="00FB7162"/>
    <w:rsid w:val="00FB7207"/>
    <w:rsid w:val="00FB7401"/>
    <w:rsid w:val="00FB7D57"/>
    <w:rsid w:val="00FC00E9"/>
    <w:rsid w:val="00FC0695"/>
    <w:rsid w:val="00FC0965"/>
    <w:rsid w:val="00FC0F81"/>
    <w:rsid w:val="00FC17CA"/>
    <w:rsid w:val="00FC1E03"/>
    <w:rsid w:val="00FC1EA5"/>
    <w:rsid w:val="00FC223A"/>
    <w:rsid w:val="00FC24A9"/>
    <w:rsid w:val="00FC252F"/>
    <w:rsid w:val="00FC25C1"/>
    <w:rsid w:val="00FC287D"/>
    <w:rsid w:val="00FC2959"/>
    <w:rsid w:val="00FC2C3B"/>
    <w:rsid w:val="00FC2E87"/>
    <w:rsid w:val="00FC2FDC"/>
    <w:rsid w:val="00FC35A6"/>
    <w:rsid w:val="00FC36AD"/>
    <w:rsid w:val="00FC37FC"/>
    <w:rsid w:val="00FC395C"/>
    <w:rsid w:val="00FC3D75"/>
    <w:rsid w:val="00FC4116"/>
    <w:rsid w:val="00FC4231"/>
    <w:rsid w:val="00FC4351"/>
    <w:rsid w:val="00FC4540"/>
    <w:rsid w:val="00FC4A22"/>
    <w:rsid w:val="00FC4EB9"/>
    <w:rsid w:val="00FC4FFE"/>
    <w:rsid w:val="00FC50AE"/>
    <w:rsid w:val="00FC5B17"/>
    <w:rsid w:val="00FC5CD7"/>
    <w:rsid w:val="00FC5E8E"/>
    <w:rsid w:val="00FC6088"/>
    <w:rsid w:val="00FC6108"/>
    <w:rsid w:val="00FC6289"/>
    <w:rsid w:val="00FC6315"/>
    <w:rsid w:val="00FC63ED"/>
    <w:rsid w:val="00FC6E40"/>
    <w:rsid w:val="00FC7041"/>
    <w:rsid w:val="00FC711C"/>
    <w:rsid w:val="00FC720E"/>
    <w:rsid w:val="00FC7473"/>
    <w:rsid w:val="00FC748A"/>
    <w:rsid w:val="00FC7652"/>
    <w:rsid w:val="00FC797D"/>
    <w:rsid w:val="00FC7A49"/>
    <w:rsid w:val="00FC7AB6"/>
    <w:rsid w:val="00FC7C91"/>
    <w:rsid w:val="00FC7CA3"/>
    <w:rsid w:val="00FD03EB"/>
    <w:rsid w:val="00FD0484"/>
    <w:rsid w:val="00FD04C0"/>
    <w:rsid w:val="00FD05D9"/>
    <w:rsid w:val="00FD0A57"/>
    <w:rsid w:val="00FD0A85"/>
    <w:rsid w:val="00FD0A98"/>
    <w:rsid w:val="00FD0C2D"/>
    <w:rsid w:val="00FD1030"/>
    <w:rsid w:val="00FD137F"/>
    <w:rsid w:val="00FD14B8"/>
    <w:rsid w:val="00FD19C2"/>
    <w:rsid w:val="00FD1FC0"/>
    <w:rsid w:val="00FD2208"/>
    <w:rsid w:val="00FD236B"/>
    <w:rsid w:val="00FD238E"/>
    <w:rsid w:val="00FD239F"/>
    <w:rsid w:val="00FD23A0"/>
    <w:rsid w:val="00FD26C4"/>
    <w:rsid w:val="00FD27DB"/>
    <w:rsid w:val="00FD27F2"/>
    <w:rsid w:val="00FD2A26"/>
    <w:rsid w:val="00FD2B37"/>
    <w:rsid w:val="00FD2E15"/>
    <w:rsid w:val="00FD2F5E"/>
    <w:rsid w:val="00FD2FA2"/>
    <w:rsid w:val="00FD3213"/>
    <w:rsid w:val="00FD3766"/>
    <w:rsid w:val="00FD3AFA"/>
    <w:rsid w:val="00FD3D05"/>
    <w:rsid w:val="00FD3E46"/>
    <w:rsid w:val="00FD3ED9"/>
    <w:rsid w:val="00FD40EE"/>
    <w:rsid w:val="00FD44C5"/>
    <w:rsid w:val="00FD4562"/>
    <w:rsid w:val="00FD4565"/>
    <w:rsid w:val="00FD47C4"/>
    <w:rsid w:val="00FD4EAC"/>
    <w:rsid w:val="00FD54AF"/>
    <w:rsid w:val="00FD552B"/>
    <w:rsid w:val="00FD57ED"/>
    <w:rsid w:val="00FD590F"/>
    <w:rsid w:val="00FD5982"/>
    <w:rsid w:val="00FD5A32"/>
    <w:rsid w:val="00FD5CF1"/>
    <w:rsid w:val="00FD5D7D"/>
    <w:rsid w:val="00FD60CC"/>
    <w:rsid w:val="00FD65B2"/>
    <w:rsid w:val="00FD67E2"/>
    <w:rsid w:val="00FD6E56"/>
    <w:rsid w:val="00FD6EEE"/>
    <w:rsid w:val="00FD6F45"/>
    <w:rsid w:val="00FD7030"/>
    <w:rsid w:val="00FD737F"/>
    <w:rsid w:val="00FD7B94"/>
    <w:rsid w:val="00FD7C25"/>
    <w:rsid w:val="00FD7F6A"/>
    <w:rsid w:val="00FE0097"/>
    <w:rsid w:val="00FE018E"/>
    <w:rsid w:val="00FE062F"/>
    <w:rsid w:val="00FE068E"/>
    <w:rsid w:val="00FE09B3"/>
    <w:rsid w:val="00FE0AF6"/>
    <w:rsid w:val="00FE0C07"/>
    <w:rsid w:val="00FE0C0E"/>
    <w:rsid w:val="00FE0F24"/>
    <w:rsid w:val="00FE10CA"/>
    <w:rsid w:val="00FE1263"/>
    <w:rsid w:val="00FE136C"/>
    <w:rsid w:val="00FE1741"/>
    <w:rsid w:val="00FE18AC"/>
    <w:rsid w:val="00FE1D71"/>
    <w:rsid w:val="00FE1DC3"/>
    <w:rsid w:val="00FE1F61"/>
    <w:rsid w:val="00FE207C"/>
    <w:rsid w:val="00FE2161"/>
    <w:rsid w:val="00FE2267"/>
    <w:rsid w:val="00FE233A"/>
    <w:rsid w:val="00FE258B"/>
    <w:rsid w:val="00FE2595"/>
    <w:rsid w:val="00FE285E"/>
    <w:rsid w:val="00FE2870"/>
    <w:rsid w:val="00FE2BCC"/>
    <w:rsid w:val="00FE2D94"/>
    <w:rsid w:val="00FE2DCF"/>
    <w:rsid w:val="00FE2DEF"/>
    <w:rsid w:val="00FE2FD2"/>
    <w:rsid w:val="00FE321F"/>
    <w:rsid w:val="00FE328D"/>
    <w:rsid w:val="00FE36AA"/>
    <w:rsid w:val="00FE3B6A"/>
    <w:rsid w:val="00FE3B85"/>
    <w:rsid w:val="00FE3E5D"/>
    <w:rsid w:val="00FE3FA7"/>
    <w:rsid w:val="00FE402E"/>
    <w:rsid w:val="00FE4081"/>
    <w:rsid w:val="00FE427B"/>
    <w:rsid w:val="00FE4357"/>
    <w:rsid w:val="00FE44F7"/>
    <w:rsid w:val="00FE47F4"/>
    <w:rsid w:val="00FE4871"/>
    <w:rsid w:val="00FE4F78"/>
    <w:rsid w:val="00FE505A"/>
    <w:rsid w:val="00FE5516"/>
    <w:rsid w:val="00FE5813"/>
    <w:rsid w:val="00FE592E"/>
    <w:rsid w:val="00FE5955"/>
    <w:rsid w:val="00FE5FC4"/>
    <w:rsid w:val="00FE6715"/>
    <w:rsid w:val="00FE6BA1"/>
    <w:rsid w:val="00FE6E55"/>
    <w:rsid w:val="00FE6E6C"/>
    <w:rsid w:val="00FE73C2"/>
    <w:rsid w:val="00FE74AB"/>
    <w:rsid w:val="00FE74DF"/>
    <w:rsid w:val="00FE75DE"/>
    <w:rsid w:val="00FE773F"/>
    <w:rsid w:val="00FE77A6"/>
    <w:rsid w:val="00FE77AC"/>
    <w:rsid w:val="00FE78AF"/>
    <w:rsid w:val="00FE79C0"/>
    <w:rsid w:val="00FE7A22"/>
    <w:rsid w:val="00FE7B95"/>
    <w:rsid w:val="00FE7E76"/>
    <w:rsid w:val="00FE7E8C"/>
    <w:rsid w:val="00FE7F07"/>
    <w:rsid w:val="00FF0096"/>
    <w:rsid w:val="00FF058D"/>
    <w:rsid w:val="00FF05D3"/>
    <w:rsid w:val="00FF07F9"/>
    <w:rsid w:val="00FF09EF"/>
    <w:rsid w:val="00FF0C48"/>
    <w:rsid w:val="00FF0C6A"/>
    <w:rsid w:val="00FF0CBB"/>
    <w:rsid w:val="00FF0E2A"/>
    <w:rsid w:val="00FF12A7"/>
    <w:rsid w:val="00FF12BD"/>
    <w:rsid w:val="00FF13EC"/>
    <w:rsid w:val="00FF1440"/>
    <w:rsid w:val="00FF16F2"/>
    <w:rsid w:val="00FF1706"/>
    <w:rsid w:val="00FF1742"/>
    <w:rsid w:val="00FF1D09"/>
    <w:rsid w:val="00FF2180"/>
    <w:rsid w:val="00FF2243"/>
    <w:rsid w:val="00FF2578"/>
    <w:rsid w:val="00FF2A4E"/>
    <w:rsid w:val="00FF2A86"/>
    <w:rsid w:val="00FF2D46"/>
    <w:rsid w:val="00FF2D92"/>
    <w:rsid w:val="00FF2FCE"/>
    <w:rsid w:val="00FF314F"/>
    <w:rsid w:val="00FF3797"/>
    <w:rsid w:val="00FF3888"/>
    <w:rsid w:val="00FF38F4"/>
    <w:rsid w:val="00FF392F"/>
    <w:rsid w:val="00FF3AE6"/>
    <w:rsid w:val="00FF3CBF"/>
    <w:rsid w:val="00FF3FC6"/>
    <w:rsid w:val="00FF421D"/>
    <w:rsid w:val="00FF479B"/>
    <w:rsid w:val="00FF48BD"/>
    <w:rsid w:val="00FF493C"/>
    <w:rsid w:val="00FF4F7D"/>
    <w:rsid w:val="00FF5421"/>
    <w:rsid w:val="00FF5D21"/>
    <w:rsid w:val="00FF5F96"/>
    <w:rsid w:val="00FF5FD3"/>
    <w:rsid w:val="00FF6129"/>
    <w:rsid w:val="00FF62DB"/>
    <w:rsid w:val="00FF63C1"/>
    <w:rsid w:val="00FF650C"/>
    <w:rsid w:val="00FF6798"/>
    <w:rsid w:val="00FF6976"/>
    <w:rsid w:val="00FF6B91"/>
    <w:rsid w:val="00FF6D9D"/>
    <w:rsid w:val="00FF7620"/>
    <w:rsid w:val="00FF7742"/>
    <w:rsid w:val="00FF79EA"/>
    <w:rsid w:val="00FF7DD5"/>
    <w:rsid w:val="00FF7E28"/>
    <w:rsid w:val="01060154"/>
    <w:rsid w:val="0106583D"/>
    <w:rsid w:val="010A014E"/>
    <w:rsid w:val="01269541"/>
    <w:rsid w:val="013091A5"/>
    <w:rsid w:val="0130D533"/>
    <w:rsid w:val="01336F3B"/>
    <w:rsid w:val="013E4B3B"/>
    <w:rsid w:val="015E11EC"/>
    <w:rsid w:val="0169D137"/>
    <w:rsid w:val="016EE3E7"/>
    <w:rsid w:val="0171864E"/>
    <w:rsid w:val="0185B772"/>
    <w:rsid w:val="018AAF5B"/>
    <w:rsid w:val="019B7938"/>
    <w:rsid w:val="019DE289"/>
    <w:rsid w:val="01A17F3A"/>
    <w:rsid w:val="01A9CD54"/>
    <w:rsid w:val="01A9DD74"/>
    <w:rsid w:val="01B028EC"/>
    <w:rsid w:val="01BBBF14"/>
    <w:rsid w:val="01C70A0B"/>
    <w:rsid w:val="01CEA60F"/>
    <w:rsid w:val="01D0DF60"/>
    <w:rsid w:val="01E4F887"/>
    <w:rsid w:val="01E71D2A"/>
    <w:rsid w:val="01F11F71"/>
    <w:rsid w:val="01F1ECFF"/>
    <w:rsid w:val="01F4F639"/>
    <w:rsid w:val="0206D0BE"/>
    <w:rsid w:val="0209A478"/>
    <w:rsid w:val="020B96F5"/>
    <w:rsid w:val="02157C6F"/>
    <w:rsid w:val="0217DBA5"/>
    <w:rsid w:val="0248C138"/>
    <w:rsid w:val="024B90C9"/>
    <w:rsid w:val="025DA7D2"/>
    <w:rsid w:val="026EC58C"/>
    <w:rsid w:val="027026A1"/>
    <w:rsid w:val="02716C76"/>
    <w:rsid w:val="02770D9E"/>
    <w:rsid w:val="02793312"/>
    <w:rsid w:val="028557F5"/>
    <w:rsid w:val="0286A364"/>
    <w:rsid w:val="02893EC9"/>
    <w:rsid w:val="028B85BB"/>
    <w:rsid w:val="028FD3D1"/>
    <w:rsid w:val="0291017D"/>
    <w:rsid w:val="02A566F4"/>
    <w:rsid w:val="02B242EA"/>
    <w:rsid w:val="02BEEF51"/>
    <w:rsid w:val="02CAA00F"/>
    <w:rsid w:val="02D33708"/>
    <w:rsid w:val="02D8341A"/>
    <w:rsid w:val="02E2A2E9"/>
    <w:rsid w:val="02E3044C"/>
    <w:rsid w:val="02E6B0A2"/>
    <w:rsid w:val="02E9F797"/>
    <w:rsid w:val="02EB12AA"/>
    <w:rsid w:val="02F99EBB"/>
    <w:rsid w:val="0302AD4C"/>
    <w:rsid w:val="03130F4D"/>
    <w:rsid w:val="03213F6C"/>
    <w:rsid w:val="032769FC"/>
    <w:rsid w:val="0336421B"/>
    <w:rsid w:val="033B2297"/>
    <w:rsid w:val="03438676"/>
    <w:rsid w:val="03453D9B"/>
    <w:rsid w:val="0348F88B"/>
    <w:rsid w:val="034943CB"/>
    <w:rsid w:val="03531589"/>
    <w:rsid w:val="0355B65A"/>
    <w:rsid w:val="03578F75"/>
    <w:rsid w:val="0360ACC1"/>
    <w:rsid w:val="036C9E06"/>
    <w:rsid w:val="0373EE31"/>
    <w:rsid w:val="037E7A6E"/>
    <w:rsid w:val="0382F493"/>
    <w:rsid w:val="038D5FEE"/>
    <w:rsid w:val="039016B5"/>
    <w:rsid w:val="039377F1"/>
    <w:rsid w:val="0395E2A5"/>
    <w:rsid w:val="0396FB27"/>
    <w:rsid w:val="03A183EC"/>
    <w:rsid w:val="03ACD1AD"/>
    <w:rsid w:val="03AEFE8F"/>
    <w:rsid w:val="03B52AF5"/>
    <w:rsid w:val="03BE8C58"/>
    <w:rsid w:val="03C2F83A"/>
    <w:rsid w:val="03C843F9"/>
    <w:rsid w:val="03D5E1D4"/>
    <w:rsid w:val="03D70D90"/>
    <w:rsid w:val="03E84EDA"/>
    <w:rsid w:val="03EC8C5B"/>
    <w:rsid w:val="03F0AB99"/>
    <w:rsid w:val="03F5034F"/>
    <w:rsid w:val="0406513F"/>
    <w:rsid w:val="041038ED"/>
    <w:rsid w:val="041078C8"/>
    <w:rsid w:val="0412BC1A"/>
    <w:rsid w:val="041930C3"/>
    <w:rsid w:val="043BA16D"/>
    <w:rsid w:val="043BF13B"/>
    <w:rsid w:val="043D2321"/>
    <w:rsid w:val="04452422"/>
    <w:rsid w:val="045436F2"/>
    <w:rsid w:val="045F9DFF"/>
    <w:rsid w:val="046BED8A"/>
    <w:rsid w:val="0473D28E"/>
    <w:rsid w:val="04748443"/>
    <w:rsid w:val="0479A67B"/>
    <w:rsid w:val="047BA8E0"/>
    <w:rsid w:val="048E080B"/>
    <w:rsid w:val="0492F96F"/>
    <w:rsid w:val="0495D755"/>
    <w:rsid w:val="04A6B3FD"/>
    <w:rsid w:val="04A9F5F9"/>
    <w:rsid w:val="04AB5E1C"/>
    <w:rsid w:val="04B0B274"/>
    <w:rsid w:val="04B9C553"/>
    <w:rsid w:val="04B9F7F7"/>
    <w:rsid w:val="04BB1754"/>
    <w:rsid w:val="04CFC030"/>
    <w:rsid w:val="04D0087E"/>
    <w:rsid w:val="04D52424"/>
    <w:rsid w:val="04D8CAA2"/>
    <w:rsid w:val="04E711D5"/>
    <w:rsid w:val="04F66591"/>
    <w:rsid w:val="04F88433"/>
    <w:rsid w:val="05024711"/>
    <w:rsid w:val="0506A916"/>
    <w:rsid w:val="050ECE27"/>
    <w:rsid w:val="050F4B97"/>
    <w:rsid w:val="0510C6DF"/>
    <w:rsid w:val="051F2AD1"/>
    <w:rsid w:val="0522715F"/>
    <w:rsid w:val="0524DA71"/>
    <w:rsid w:val="05259BCB"/>
    <w:rsid w:val="0528F6D6"/>
    <w:rsid w:val="052B98AC"/>
    <w:rsid w:val="052CC7CF"/>
    <w:rsid w:val="05303D57"/>
    <w:rsid w:val="053501F9"/>
    <w:rsid w:val="05356DF9"/>
    <w:rsid w:val="0538E442"/>
    <w:rsid w:val="053CBF6F"/>
    <w:rsid w:val="0545E4C1"/>
    <w:rsid w:val="0548DBFD"/>
    <w:rsid w:val="054FE616"/>
    <w:rsid w:val="05545602"/>
    <w:rsid w:val="0557484A"/>
    <w:rsid w:val="05594A91"/>
    <w:rsid w:val="05618A00"/>
    <w:rsid w:val="05681215"/>
    <w:rsid w:val="056F71AC"/>
    <w:rsid w:val="05966FC9"/>
    <w:rsid w:val="05998903"/>
    <w:rsid w:val="05A970D3"/>
    <w:rsid w:val="05AF71A9"/>
    <w:rsid w:val="05B1E14D"/>
    <w:rsid w:val="05BA328C"/>
    <w:rsid w:val="05BDF0E6"/>
    <w:rsid w:val="05C4F10B"/>
    <w:rsid w:val="05C66396"/>
    <w:rsid w:val="05C9CE0B"/>
    <w:rsid w:val="05D107F4"/>
    <w:rsid w:val="05D7AD91"/>
    <w:rsid w:val="05D94E8E"/>
    <w:rsid w:val="05DAEFE7"/>
    <w:rsid w:val="05E1E4E2"/>
    <w:rsid w:val="05E524C3"/>
    <w:rsid w:val="05E6F398"/>
    <w:rsid w:val="05E85F4E"/>
    <w:rsid w:val="05F20684"/>
    <w:rsid w:val="05F48D82"/>
    <w:rsid w:val="06050FA1"/>
    <w:rsid w:val="06068FC7"/>
    <w:rsid w:val="0608DB59"/>
    <w:rsid w:val="0614D063"/>
    <w:rsid w:val="06186CB7"/>
    <w:rsid w:val="0620E83B"/>
    <w:rsid w:val="06217B1C"/>
    <w:rsid w:val="062245AD"/>
    <w:rsid w:val="062528B7"/>
    <w:rsid w:val="063906C7"/>
    <w:rsid w:val="063B3D56"/>
    <w:rsid w:val="064E09D8"/>
    <w:rsid w:val="06502C42"/>
    <w:rsid w:val="065DE6D3"/>
    <w:rsid w:val="065DF069"/>
    <w:rsid w:val="066031F3"/>
    <w:rsid w:val="066D0547"/>
    <w:rsid w:val="0676FAF9"/>
    <w:rsid w:val="0679D1D2"/>
    <w:rsid w:val="0691398D"/>
    <w:rsid w:val="06944B03"/>
    <w:rsid w:val="069711EA"/>
    <w:rsid w:val="06A19EBA"/>
    <w:rsid w:val="06AD0408"/>
    <w:rsid w:val="06B45D91"/>
    <w:rsid w:val="06B6CFDB"/>
    <w:rsid w:val="06C9724C"/>
    <w:rsid w:val="06C9BCC8"/>
    <w:rsid w:val="06D186BF"/>
    <w:rsid w:val="06D3D017"/>
    <w:rsid w:val="06E1EAA8"/>
    <w:rsid w:val="06E4D050"/>
    <w:rsid w:val="06E8792A"/>
    <w:rsid w:val="06EE6A20"/>
    <w:rsid w:val="06F73C3C"/>
    <w:rsid w:val="06F7F9AF"/>
    <w:rsid w:val="06FACCF1"/>
    <w:rsid w:val="06FF3A02"/>
    <w:rsid w:val="0701950C"/>
    <w:rsid w:val="070D56B3"/>
    <w:rsid w:val="07101D98"/>
    <w:rsid w:val="0717CBC1"/>
    <w:rsid w:val="071EE213"/>
    <w:rsid w:val="071FA41A"/>
    <w:rsid w:val="0723F3D3"/>
    <w:rsid w:val="07271998"/>
    <w:rsid w:val="07292B40"/>
    <w:rsid w:val="0729AFF2"/>
    <w:rsid w:val="073CDF16"/>
    <w:rsid w:val="0741D68B"/>
    <w:rsid w:val="0743D3C7"/>
    <w:rsid w:val="0747364D"/>
    <w:rsid w:val="07489217"/>
    <w:rsid w:val="07714090"/>
    <w:rsid w:val="0773F371"/>
    <w:rsid w:val="07741EC3"/>
    <w:rsid w:val="0782DCF1"/>
    <w:rsid w:val="078E0C1C"/>
    <w:rsid w:val="07A2602B"/>
    <w:rsid w:val="07AC1860"/>
    <w:rsid w:val="07B7EF15"/>
    <w:rsid w:val="07BBD9A2"/>
    <w:rsid w:val="07C9955A"/>
    <w:rsid w:val="07C9E80C"/>
    <w:rsid w:val="07CC02AA"/>
    <w:rsid w:val="07CD7489"/>
    <w:rsid w:val="07CF7055"/>
    <w:rsid w:val="07D5144E"/>
    <w:rsid w:val="07D75DDB"/>
    <w:rsid w:val="07F165A2"/>
    <w:rsid w:val="07FC6701"/>
    <w:rsid w:val="0801EDFF"/>
    <w:rsid w:val="0801FC85"/>
    <w:rsid w:val="0809BD48"/>
    <w:rsid w:val="08105605"/>
    <w:rsid w:val="0810804F"/>
    <w:rsid w:val="081D2BC0"/>
    <w:rsid w:val="081D3E3E"/>
    <w:rsid w:val="081F6CB7"/>
    <w:rsid w:val="081FE324"/>
    <w:rsid w:val="0829CE97"/>
    <w:rsid w:val="082E118D"/>
    <w:rsid w:val="0839BABC"/>
    <w:rsid w:val="0845E97C"/>
    <w:rsid w:val="0849F98F"/>
    <w:rsid w:val="084FC6CD"/>
    <w:rsid w:val="08540F7D"/>
    <w:rsid w:val="08571901"/>
    <w:rsid w:val="08687FC0"/>
    <w:rsid w:val="086A3C67"/>
    <w:rsid w:val="086A96ED"/>
    <w:rsid w:val="086B7850"/>
    <w:rsid w:val="086FA08C"/>
    <w:rsid w:val="08708749"/>
    <w:rsid w:val="087D80E2"/>
    <w:rsid w:val="0880CDBD"/>
    <w:rsid w:val="08970190"/>
    <w:rsid w:val="08993196"/>
    <w:rsid w:val="08ABFC97"/>
    <w:rsid w:val="08AF7547"/>
    <w:rsid w:val="08B354FC"/>
    <w:rsid w:val="08CC2365"/>
    <w:rsid w:val="08CF2EA0"/>
    <w:rsid w:val="08D77989"/>
    <w:rsid w:val="08DED8B4"/>
    <w:rsid w:val="08E01E2B"/>
    <w:rsid w:val="08F1F50A"/>
    <w:rsid w:val="0901F06E"/>
    <w:rsid w:val="0902796C"/>
    <w:rsid w:val="090FC7BA"/>
    <w:rsid w:val="0913B5F4"/>
    <w:rsid w:val="0921FBCF"/>
    <w:rsid w:val="092FB839"/>
    <w:rsid w:val="093FA752"/>
    <w:rsid w:val="0947A65D"/>
    <w:rsid w:val="0947A858"/>
    <w:rsid w:val="094986AD"/>
    <w:rsid w:val="094F07CE"/>
    <w:rsid w:val="09572B5A"/>
    <w:rsid w:val="09578F0E"/>
    <w:rsid w:val="0975EBBB"/>
    <w:rsid w:val="0979E24E"/>
    <w:rsid w:val="097C07B3"/>
    <w:rsid w:val="097CA72E"/>
    <w:rsid w:val="097F1B94"/>
    <w:rsid w:val="0987672F"/>
    <w:rsid w:val="0990209B"/>
    <w:rsid w:val="09931B3A"/>
    <w:rsid w:val="099463B4"/>
    <w:rsid w:val="099F2B7F"/>
    <w:rsid w:val="09A4ECFB"/>
    <w:rsid w:val="09AF58BB"/>
    <w:rsid w:val="09BBD5DA"/>
    <w:rsid w:val="09BC00F7"/>
    <w:rsid w:val="09BDEB9A"/>
    <w:rsid w:val="09C3B0E8"/>
    <w:rsid w:val="09D735E4"/>
    <w:rsid w:val="09E24029"/>
    <w:rsid w:val="09EA4C81"/>
    <w:rsid w:val="09ED15B0"/>
    <w:rsid w:val="09F81E65"/>
    <w:rsid w:val="09FC17E8"/>
    <w:rsid w:val="0A019539"/>
    <w:rsid w:val="0A091296"/>
    <w:rsid w:val="0A1BEBA3"/>
    <w:rsid w:val="0A224EBA"/>
    <w:rsid w:val="0A2BB8E4"/>
    <w:rsid w:val="0A3AF62E"/>
    <w:rsid w:val="0A3EA4D2"/>
    <w:rsid w:val="0A432C9A"/>
    <w:rsid w:val="0A45098A"/>
    <w:rsid w:val="0A4E3C17"/>
    <w:rsid w:val="0A52EFB1"/>
    <w:rsid w:val="0A55C44D"/>
    <w:rsid w:val="0A5720D1"/>
    <w:rsid w:val="0A7B9433"/>
    <w:rsid w:val="0A803A57"/>
    <w:rsid w:val="0A810BEC"/>
    <w:rsid w:val="0A815EF8"/>
    <w:rsid w:val="0A8985DE"/>
    <w:rsid w:val="0A9BB7A8"/>
    <w:rsid w:val="0A9CE8BA"/>
    <w:rsid w:val="0A9FDA72"/>
    <w:rsid w:val="0AA24071"/>
    <w:rsid w:val="0AA2862C"/>
    <w:rsid w:val="0AA43C1C"/>
    <w:rsid w:val="0AAF5DAF"/>
    <w:rsid w:val="0ABA5C94"/>
    <w:rsid w:val="0ABE5313"/>
    <w:rsid w:val="0AC68D4F"/>
    <w:rsid w:val="0AC97092"/>
    <w:rsid w:val="0ACEDAF9"/>
    <w:rsid w:val="0ACF8753"/>
    <w:rsid w:val="0AEE35A6"/>
    <w:rsid w:val="0AF394AF"/>
    <w:rsid w:val="0AF43679"/>
    <w:rsid w:val="0AF8557C"/>
    <w:rsid w:val="0AFD3D88"/>
    <w:rsid w:val="0B09C0F3"/>
    <w:rsid w:val="0B0D672C"/>
    <w:rsid w:val="0B0D960D"/>
    <w:rsid w:val="0B112950"/>
    <w:rsid w:val="0B19A5DF"/>
    <w:rsid w:val="0B1BD9C7"/>
    <w:rsid w:val="0B2BA1AE"/>
    <w:rsid w:val="0B2FC7F0"/>
    <w:rsid w:val="0B2FECBE"/>
    <w:rsid w:val="0B33C996"/>
    <w:rsid w:val="0B3793B6"/>
    <w:rsid w:val="0B393185"/>
    <w:rsid w:val="0B4EF025"/>
    <w:rsid w:val="0B4F1169"/>
    <w:rsid w:val="0B50FC7C"/>
    <w:rsid w:val="0B5414B7"/>
    <w:rsid w:val="0B599C06"/>
    <w:rsid w:val="0B6CE70C"/>
    <w:rsid w:val="0B6FF151"/>
    <w:rsid w:val="0B74042A"/>
    <w:rsid w:val="0B74EA84"/>
    <w:rsid w:val="0B877072"/>
    <w:rsid w:val="0B8EAF0A"/>
    <w:rsid w:val="0B9855DF"/>
    <w:rsid w:val="0BA2DDA2"/>
    <w:rsid w:val="0BAA0E9C"/>
    <w:rsid w:val="0BAAB49C"/>
    <w:rsid w:val="0BAEFD6B"/>
    <w:rsid w:val="0BAFBD9E"/>
    <w:rsid w:val="0BAFF676"/>
    <w:rsid w:val="0BB2B0B5"/>
    <w:rsid w:val="0BB86EA8"/>
    <w:rsid w:val="0BBD7537"/>
    <w:rsid w:val="0BBDADF8"/>
    <w:rsid w:val="0BBEED88"/>
    <w:rsid w:val="0BBF859C"/>
    <w:rsid w:val="0BC0026A"/>
    <w:rsid w:val="0BD2535B"/>
    <w:rsid w:val="0BD415D4"/>
    <w:rsid w:val="0BDC60E6"/>
    <w:rsid w:val="0BDE3D0A"/>
    <w:rsid w:val="0BE3E801"/>
    <w:rsid w:val="0BEDBCBB"/>
    <w:rsid w:val="0BF94F11"/>
    <w:rsid w:val="0C0141E7"/>
    <w:rsid w:val="0C04D032"/>
    <w:rsid w:val="0C1FBE70"/>
    <w:rsid w:val="0C2605E1"/>
    <w:rsid w:val="0C3060C6"/>
    <w:rsid w:val="0C358442"/>
    <w:rsid w:val="0C3CF7EF"/>
    <w:rsid w:val="0C3F65F6"/>
    <w:rsid w:val="0C50428D"/>
    <w:rsid w:val="0C51B86F"/>
    <w:rsid w:val="0C579A8D"/>
    <w:rsid w:val="0C58BDF2"/>
    <w:rsid w:val="0C590466"/>
    <w:rsid w:val="0C5E56A3"/>
    <w:rsid w:val="0C61575F"/>
    <w:rsid w:val="0C793841"/>
    <w:rsid w:val="0C7CF488"/>
    <w:rsid w:val="0C88804C"/>
    <w:rsid w:val="0C894DA8"/>
    <w:rsid w:val="0C8BCB61"/>
    <w:rsid w:val="0C8CFB1C"/>
    <w:rsid w:val="0C965340"/>
    <w:rsid w:val="0C9D5552"/>
    <w:rsid w:val="0C9D918F"/>
    <w:rsid w:val="0CA7DCE6"/>
    <w:rsid w:val="0CAA455E"/>
    <w:rsid w:val="0CAB7353"/>
    <w:rsid w:val="0CB4D3B6"/>
    <w:rsid w:val="0CB5EA81"/>
    <w:rsid w:val="0CC05701"/>
    <w:rsid w:val="0CD006EF"/>
    <w:rsid w:val="0CD5B93E"/>
    <w:rsid w:val="0CD83F11"/>
    <w:rsid w:val="0CD9956D"/>
    <w:rsid w:val="0CDC428E"/>
    <w:rsid w:val="0CE0A70A"/>
    <w:rsid w:val="0CE48180"/>
    <w:rsid w:val="0CF75B35"/>
    <w:rsid w:val="0D00BB48"/>
    <w:rsid w:val="0D050EC8"/>
    <w:rsid w:val="0D060EDC"/>
    <w:rsid w:val="0D126AA3"/>
    <w:rsid w:val="0D162949"/>
    <w:rsid w:val="0D182BC8"/>
    <w:rsid w:val="0D192CA6"/>
    <w:rsid w:val="0D221C24"/>
    <w:rsid w:val="0D2868BC"/>
    <w:rsid w:val="0D2EBD9B"/>
    <w:rsid w:val="0D35107A"/>
    <w:rsid w:val="0D363E9C"/>
    <w:rsid w:val="0D382ECF"/>
    <w:rsid w:val="0D3D359B"/>
    <w:rsid w:val="0D3E80DF"/>
    <w:rsid w:val="0D500604"/>
    <w:rsid w:val="0D52DC6C"/>
    <w:rsid w:val="0D64365A"/>
    <w:rsid w:val="0D6A905D"/>
    <w:rsid w:val="0D7502EF"/>
    <w:rsid w:val="0D77B468"/>
    <w:rsid w:val="0D85087D"/>
    <w:rsid w:val="0D872BC3"/>
    <w:rsid w:val="0D968B83"/>
    <w:rsid w:val="0D986F76"/>
    <w:rsid w:val="0D98A64D"/>
    <w:rsid w:val="0DA48314"/>
    <w:rsid w:val="0DA86E9C"/>
    <w:rsid w:val="0DABBD2F"/>
    <w:rsid w:val="0DB1B93C"/>
    <w:rsid w:val="0DCC21F1"/>
    <w:rsid w:val="0DCFEF6E"/>
    <w:rsid w:val="0DD11359"/>
    <w:rsid w:val="0DD3A672"/>
    <w:rsid w:val="0DDA8956"/>
    <w:rsid w:val="0DDD161A"/>
    <w:rsid w:val="0DE27C28"/>
    <w:rsid w:val="0DF0545D"/>
    <w:rsid w:val="0DF86873"/>
    <w:rsid w:val="0DFC15B6"/>
    <w:rsid w:val="0DFD23E0"/>
    <w:rsid w:val="0DFFE4AB"/>
    <w:rsid w:val="0E0C1206"/>
    <w:rsid w:val="0E187F2D"/>
    <w:rsid w:val="0E18C831"/>
    <w:rsid w:val="0E1DF52D"/>
    <w:rsid w:val="0E254D0E"/>
    <w:rsid w:val="0E25A8DC"/>
    <w:rsid w:val="0E2B53EA"/>
    <w:rsid w:val="0E30BC81"/>
    <w:rsid w:val="0E31BE57"/>
    <w:rsid w:val="0E3A04FF"/>
    <w:rsid w:val="0E3C77B9"/>
    <w:rsid w:val="0E422865"/>
    <w:rsid w:val="0E43A4BD"/>
    <w:rsid w:val="0E4D3D1E"/>
    <w:rsid w:val="0E527FE6"/>
    <w:rsid w:val="0E53AD41"/>
    <w:rsid w:val="0E540992"/>
    <w:rsid w:val="0E596436"/>
    <w:rsid w:val="0E6302C0"/>
    <w:rsid w:val="0E6F41F8"/>
    <w:rsid w:val="0E6FA452"/>
    <w:rsid w:val="0E806E37"/>
    <w:rsid w:val="0E811461"/>
    <w:rsid w:val="0E9996C4"/>
    <w:rsid w:val="0EA52577"/>
    <w:rsid w:val="0EA84D80"/>
    <w:rsid w:val="0EAB962F"/>
    <w:rsid w:val="0EB35501"/>
    <w:rsid w:val="0EC03530"/>
    <w:rsid w:val="0ECE1F72"/>
    <w:rsid w:val="0ED8435E"/>
    <w:rsid w:val="0EDBA812"/>
    <w:rsid w:val="0EE1C209"/>
    <w:rsid w:val="0EE21690"/>
    <w:rsid w:val="0EE5D019"/>
    <w:rsid w:val="0EEA0FA8"/>
    <w:rsid w:val="0EEB5529"/>
    <w:rsid w:val="0EF2C67A"/>
    <w:rsid w:val="0F018860"/>
    <w:rsid w:val="0F0C7073"/>
    <w:rsid w:val="0F0E6FE4"/>
    <w:rsid w:val="0F108E83"/>
    <w:rsid w:val="0F145C21"/>
    <w:rsid w:val="0F1D7D61"/>
    <w:rsid w:val="0F1E981A"/>
    <w:rsid w:val="0F271FE6"/>
    <w:rsid w:val="0F29C9BC"/>
    <w:rsid w:val="0F2CE5C5"/>
    <w:rsid w:val="0F345082"/>
    <w:rsid w:val="0F3E2EB7"/>
    <w:rsid w:val="0F56E67B"/>
    <w:rsid w:val="0F6B4C6C"/>
    <w:rsid w:val="0F6FE3D4"/>
    <w:rsid w:val="0F71A107"/>
    <w:rsid w:val="0F71FB16"/>
    <w:rsid w:val="0F72413A"/>
    <w:rsid w:val="0F81F69D"/>
    <w:rsid w:val="0F837C47"/>
    <w:rsid w:val="0F8459E9"/>
    <w:rsid w:val="0F851DE4"/>
    <w:rsid w:val="0F90FA93"/>
    <w:rsid w:val="0F9D13F2"/>
    <w:rsid w:val="0F9D3355"/>
    <w:rsid w:val="0FA1AFE8"/>
    <w:rsid w:val="0FA52B73"/>
    <w:rsid w:val="0FB76DC5"/>
    <w:rsid w:val="0FBD125A"/>
    <w:rsid w:val="0FBE96BD"/>
    <w:rsid w:val="0FC7CA7A"/>
    <w:rsid w:val="0FD86D53"/>
    <w:rsid w:val="0FDDF2C3"/>
    <w:rsid w:val="0FE4542E"/>
    <w:rsid w:val="0FE61CA0"/>
    <w:rsid w:val="0FE6BEEC"/>
    <w:rsid w:val="0FEE2278"/>
    <w:rsid w:val="0FF1ED37"/>
    <w:rsid w:val="0FF4D673"/>
    <w:rsid w:val="0FF63EAB"/>
    <w:rsid w:val="0FFDAAA3"/>
    <w:rsid w:val="1007A1EF"/>
    <w:rsid w:val="10175C00"/>
    <w:rsid w:val="101B244B"/>
    <w:rsid w:val="101B3899"/>
    <w:rsid w:val="101B73D1"/>
    <w:rsid w:val="10215AF6"/>
    <w:rsid w:val="102F81BC"/>
    <w:rsid w:val="104764FE"/>
    <w:rsid w:val="104B2225"/>
    <w:rsid w:val="1050762C"/>
    <w:rsid w:val="105F71F2"/>
    <w:rsid w:val="10648A60"/>
    <w:rsid w:val="106BB280"/>
    <w:rsid w:val="106E70EC"/>
    <w:rsid w:val="106EDE5C"/>
    <w:rsid w:val="10705FEE"/>
    <w:rsid w:val="1078C474"/>
    <w:rsid w:val="1081C802"/>
    <w:rsid w:val="1085AD4D"/>
    <w:rsid w:val="10971B4B"/>
    <w:rsid w:val="109A721D"/>
    <w:rsid w:val="109D9AFA"/>
    <w:rsid w:val="10B01ACF"/>
    <w:rsid w:val="10C0FB71"/>
    <w:rsid w:val="10CB3A1D"/>
    <w:rsid w:val="10D0BB64"/>
    <w:rsid w:val="10D13D81"/>
    <w:rsid w:val="10D1BD7E"/>
    <w:rsid w:val="10DBC6C1"/>
    <w:rsid w:val="10DC0383"/>
    <w:rsid w:val="10DD428D"/>
    <w:rsid w:val="10E3A612"/>
    <w:rsid w:val="10E6B07E"/>
    <w:rsid w:val="10E719F3"/>
    <w:rsid w:val="10EF2452"/>
    <w:rsid w:val="10FA0F22"/>
    <w:rsid w:val="10FD850E"/>
    <w:rsid w:val="110B78E4"/>
    <w:rsid w:val="111F80B6"/>
    <w:rsid w:val="112511EB"/>
    <w:rsid w:val="112D5E65"/>
    <w:rsid w:val="11527133"/>
    <w:rsid w:val="11530252"/>
    <w:rsid w:val="1156470D"/>
    <w:rsid w:val="115ACAE7"/>
    <w:rsid w:val="116177C2"/>
    <w:rsid w:val="1164BB43"/>
    <w:rsid w:val="116C8C0F"/>
    <w:rsid w:val="116E4117"/>
    <w:rsid w:val="116F0C01"/>
    <w:rsid w:val="1180056D"/>
    <w:rsid w:val="1186C732"/>
    <w:rsid w:val="118EAFB2"/>
    <w:rsid w:val="11904315"/>
    <w:rsid w:val="1192F4CA"/>
    <w:rsid w:val="11A0111D"/>
    <w:rsid w:val="11A1EA28"/>
    <w:rsid w:val="11A3CE7E"/>
    <w:rsid w:val="11B019B1"/>
    <w:rsid w:val="11B1D740"/>
    <w:rsid w:val="11B4A70B"/>
    <w:rsid w:val="11B4FA76"/>
    <w:rsid w:val="11B60505"/>
    <w:rsid w:val="11C5A600"/>
    <w:rsid w:val="11D1FD46"/>
    <w:rsid w:val="11D35F57"/>
    <w:rsid w:val="11DC75EC"/>
    <w:rsid w:val="11DE6905"/>
    <w:rsid w:val="11E14FD2"/>
    <w:rsid w:val="11E8B6D8"/>
    <w:rsid w:val="11F45C07"/>
    <w:rsid w:val="11FFE547"/>
    <w:rsid w:val="12001AE3"/>
    <w:rsid w:val="1209E55A"/>
    <w:rsid w:val="120E7AC6"/>
    <w:rsid w:val="120EB968"/>
    <w:rsid w:val="121B041B"/>
    <w:rsid w:val="122000C5"/>
    <w:rsid w:val="122DC1FC"/>
    <w:rsid w:val="122FFC43"/>
    <w:rsid w:val="12342EF0"/>
    <w:rsid w:val="123D6C26"/>
    <w:rsid w:val="1240B29B"/>
    <w:rsid w:val="1241B991"/>
    <w:rsid w:val="124F5675"/>
    <w:rsid w:val="12660788"/>
    <w:rsid w:val="12687637"/>
    <w:rsid w:val="126FBC98"/>
    <w:rsid w:val="1276C587"/>
    <w:rsid w:val="127A18B2"/>
    <w:rsid w:val="127F70BA"/>
    <w:rsid w:val="128CA947"/>
    <w:rsid w:val="1294B477"/>
    <w:rsid w:val="12ADA97A"/>
    <w:rsid w:val="12AFCAAA"/>
    <w:rsid w:val="12C452F2"/>
    <w:rsid w:val="12C4CC7A"/>
    <w:rsid w:val="12C53219"/>
    <w:rsid w:val="12CB3D44"/>
    <w:rsid w:val="12D33A8B"/>
    <w:rsid w:val="12E5A968"/>
    <w:rsid w:val="12EBB75D"/>
    <w:rsid w:val="12EF3E0C"/>
    <w:rsid w:val="12EFE697"/>
    <w:rsid w:val="1300C388"/>
    <w:rsid w:val="1305DACE"/>
    <w:rsid w:val="13121BE4"/>
    <w:rsid w:val="1319ECEE"/>
    <w:rsid w:val="131BB1A1"/>
    <w:rsid w:val="131E521D"/>
    <w:rsid w:val="13244174"/>
    <w:rsid w:val="132450BF"/>
    <w:rsid w:val="1325FDCF"/>
    <w:rsid w:val="132D62C0"/>
    <w:rsid w:val="132DCD27"/>
    <w:rsid w:val="1331545B"/>
    <w:rsid w:val="13336B6A"/>
    <w:rsid w:val="1339B634"/>
    <w:rsid w:val="133CE0A1"/>
    <w:rsid w:val="133F17FB"/>
    <w:rsid w:val="13451641"/>
    <w:rsid w:val="1350DF47"/>
    <w:rsid w:val="1354A3CA"/>
    <w:rsid w:val="1354B6CB"/>
    <w:rsid w:val="13587841"/>
    <w:rsid w:val="135C3282"/>
    <w:rsid w:val="1362F5F3"/>
    <w:rsid w:val="13640B43"/>
    <w:rsid w:val="1366E02C"/>
    <w:rsid w:val="136746DF"/>
    <w:rsid w:val="1370C2BF"/>
    <w:rsid w:val="13773FE9"/>
    <w:rsid w:val="137D6873"/>
    <w:rsid w:val="137E3ED0"/>
    <w:rsid w:val="139BB5A8"/>
    <w:rsid w:val="13A027CD"/>
    <w:rsid w:val="13B62E26"/>
    <w:rsid w:val="13B986C6"/>
    <w:rsid w:val="13C7C6EA"/>
    <w:rsid w:val="13D0FBE2"/>
    <w:rsid w:val="13D5D0D6"/>
    <w:rsid w:val="13D7CDB2"/>
    <w:rsid w:val="13D806B2"/>
    <w:rsid w:val="13E1BBA1"/>
    <w:rsid w:val="13E328AA"/>
    <w:rsid w:val="13EA3688"/>
    <w:rsid w:val="13F1C89C"/>
    <w:rsid w:val="13FA17A9"/>
    <w:rsid w:val="13FF8231"/>
    <w:rsid w:val="140B29D5"/>
    <w:rsid w:val="140BF2C0"/>
    <w:rsid w:val="140C4435"/>
    <w:rsid w:val="141613BE"/>
    <w:rsid w:val="141948C4"/>
    <w:rsid w:val="141F1C0B"/>
    <w:rsid w:val="141FC01A"/>
    <w:rsid w:val="1422E961"/>
    <w:rsid w:val="1437DF42"/>
    <w:rsid w:val="143F4566"/>
    <w:rsid w:val="1442C449"/>
    <w:rsid w:val="144807EF"/>
    <w:rsid w:val="1451C8E6"/>
    <w:rsid w:val="14562A26"/>
    <w:rsid w:val="145AC2DC"/>
    <w:rsid w:val="1476EF80"/>
    <w:rsid w:val="147E6C9D"/>
    <w:rsid w:val="1484726F"/>
    <w:rsid w:val="1485C490"/>
    <w:rsid w:val="1497684D"/>
    <w:rsid w:val="1497C7CB"/>
    <w:rsid w:val="149CB073"/>
    <w:rsid w:val="14A4B63E"/>
    <w:rsid w:val="14A9B30F"/>
    <w:rsid w:val="14ACB98F"/>
    <w:rsid w:val="14B12FF1"/>
    <w:rsid w:val="14B8ABBA"/>
    <w:rsid w:val="14BE2091"/>
    <w:rsid w:val="14BFF796"/>
    <w:rsid w:val="14D4F872"/>
    <w:rsid w:val="14DA31B9"/>
    <w:rsid w:val="14DB02A4"/>
    <w:rsid w:val="14DC66C5"/>
    <w:rsid w:val="14E28633"/>
    <w:rsid w:val="14EA631C"/>
    <w:rsid w:val="14EBFF80"/>
    <w:rsid w:val="14EF3763"/>
    <w:rsid w:val="14F479C0"/>
    <w:rsid w:val="14F70ACB"/>
    <w:rsid w:val="14F7AC84"/>
    <w:rsid w:val="1503F84C"/>
    <w:rsid w:val="1504DCC1"/>
    <w:rsid w:val="1527DBCC"/>
    <w:rsid w:val="15394EBB"/>
    <w:rsid w:val="153CBA0B"/>
    <w:rsid w:val="153E91D9"/>
    <w:rsid w:val="1545156B"/>
    <w:rsid w:val="154E6EF9"/>
    <w:rsid w:val="15544926"/>
    <w:rsid w:val="1555FDBA"/>
    <w:rsid w:val="1557C686"/>
    <w:rsid w:val="155C7CB0"/>
    <w:rsid w:val="155E118E"/>
    <w:rsid w:val="1567C9E7"/>
    <w:rsid w:val="156E34A1"/>
    <w:rsid w:val="1580FBD5"/>
    <w:rsid w:val="1581C845"/>
    <w:rsid w:val="158BC355"/>
    <w:rsid w:val="1596AFB0"/>
    <w:rsid w:val="1597C1BE"/>
    <w:rsid w:val="159A9723"/>
    <w:rsid w:val="15A3619E"/>
    <w:rsid w:val="15A61EE6"/>
    <w:rsid w:val="15AEAEC2"/>
    <w:rsid w:val="15BCAF30"/>
    <w:rsid w:val="15C54360"/>
    <w:rsid w:val="15C9EE72"/>
    <w:rsid w:val="15D4CEED"/>
    <w:rsid w:val="15DE3A7B"/>
    <w:rsid w:val="15DF2D25"/>
    <w:rsid w:val="15F32496"/>
    <w:rsid w:val="15F518D7"/>
    <w:rsid w:val="1606D3E0"/>
    <w:rsid w:val="160BDD7A"/>
    <w:rsid w:val="1610039E"/>
    <w:rsid w:val="161F6493"/>
    <w:rsid w:val="161FCB8C"/>
    <w:rsid w:val="16265D6C"/>
    <w:rsid w:val="1630E6CF"/>
    <w:rsid w:val="1642AFC1"/>
    <w:rsid w:val="16440762"/>
    <w:rsid w:val="164628F2"/>
    <w:rsid w:val="164B4E52"/>
    <w:rsid w:val="164F33AD"/>
    <w:rsid w:val="164F6B4E"/>
    <w:rsid w:val="16549604"/>
    <w:rsid w:val="16666B79"/>
    <w:rsid w:val="16790412"/>
    <w:rsid w:val="167FCB16"/>
    <w:rsid w:val="1682F77C"/>
    <w:rsid w:val="16861779"/>
    <w:rsid w:val="168E8C08"/>
    <w:rsid w:val="169BE376"/>
    <w:rsid w:val="16AA0D72"/>
    <w:rsid w:val="16B44BA7"/>
    <w:rsid w:val="16B50BA4"/>
    <w:rsid w:val="16BBFA54"/>
    <w:rsid w:val="16C209EC"/>
    <w:rsid w:val="16C4EB00"/>
    <w:rsid w:val="16C79604"/>
    <w:rsid w:val="16C9DF91"/>
    <w:rsid w:val="16D05A25"/>
    <w:rsid w:val="16D659C2"/>
    <w:rsid w:val="16D69532"/>
    <w:rsid w:val="16DBDA04"/>
    <w:rsid w:val="16EA19F7"/>
    <w:rsid w:val="16F41555"/>
    <w:rsid w:val="17042FD2"/>
    <w:rsid w:val="1708F4DD"/>
    <w:rsid w:val="1710F26E"/>
    <w:rsid w:val="171BE7F9"/>
    <w:rsid w:val="172172A3"/>
    <w:rsid w:val="17378CA3"/>
    <w:rsid w:val="173A29A1"/>
    <w:rsid w:val="1743CA9B"/>
    <w:rsid w:val="17498884"/>
    <w:rsid w:val="174B13F6"/>
    <w:rsid w:val="1751B965"/>
    <w:rsid w:val="1759780D"/>
    <w:rsid w:val="175C05F7"/>
    <w:rsid w:val="1762A34C"/>
    <w:rsid w:val="1762F14D"/>
    <w:rsid w:val="17687003"/>
    <w:rsid w:val="176DF87A"/>
    <w:rsid w:val="177CCE86"/>
    <w:rsid w:val="1783AC34"/>
    <w:rsid w:val="178BAF33"/>
    <w:rsid w:val="17918B69"/>
    <w:rsid w:val="17ACE24C"/>
    <w:rsid w:val="17B0BB8C"/>
    <w:rsid w:val="17B30A77"/>
    <w:rsid w:val="17B57AFA"/>
    <w:rsid w:val="17D99214"/>
    <w:rsid w:val="17E39BE1"/>
    <w:rsid w:val="17E5E0C8"/>
    <w:rsid w:val="17FA0FFC"/>
    <w:rsid w:val="17FC188E"/>
    <w:rsid w:val="17FD7C64"/>
    <w:rsid w:val="17FE87F9"/>
    <w:rsid w:val="1820BFBE"/>
    <w:rsid w:val="182410E4"/>
    <w:rsid w:val="1837E4BD"/>
    <w:rsid w:val="184261F9"/>
    <w:rsid w:val="18440E43"/>
    <w:rsid w:val="18588A46"/>
    <w:rsid w:val="185A9188"/>
    <w:rsid w:val="18636A12"/>
    <w:rsid w:val="186798D3"/>
    <w:rsid w:val="1869A673"/>
    <w:rsid w:val="186C3AEE"/>
    <w:rsid w:val="187BBDB8"/>
    <w:rsid w:val="188DE463"/>
    <w:rsid w:val="188F2B55"/>
    <w:rsid w:val="18A81567"/>
    <w:rsid w:val="18AE2DB7"/>
    <w:rsid w:val="18B43261"/>
    <w:rsid w:val="18B62B84"/>
    <w:rsid w:val="18B95435"/>
    <w:rsid w:val="18BBB7E2"/>
    <w:rsid w:val="18CA349F"/>
    <w:rsid w:val="18D0C1C8"/>
    <w:rsid w:val="18D1042E"/>
    <w:rsid w:val="18D308F5"/>
    <w:rsid w:val="18D9506A"/>
    <w:rsid w:val="18D9EC59"/>
    <w:rsid w:val="18DB1CAC"/>
    <w:rsid w:val="18DFC80F"/>
    <w:rsid w:val="18E6EB58"/>
    <w:rsid w:val="18EFDC36"/>
    <w:rsid w:val="1902037E"/>
    <w:rsid w:val="1907346E"/>
    <w:rsid w:val="1910F5DD"/>
    <w:rsid w:val="191680A1"/>
    <w:rsid w:val="1918263B"/>
    <w:rsid w:val="19200BE8"/>
    <w:rsid w:val="1921AA85"/>
    <w:rsid w:val="1927AEAF"/>
    <w:rsid w:val="19285941"/>
    <w:rsid w:val="192BA8F7"/>
    <w:rsid w:val="192E35BA"/>
    <w:rsid w:val="19388B99"/>
    <w:rsid w:val="193E3F8C"/>
    <w:rsid w:val="19426693"/>
    <w:rsid w:val="194274FA"/>
    <w:rsid w:val="194291B4"/>
    <w:rsid w:val="19456D5E"/>
    <w:rsid w:val="194F2210"/>
    <w:rsid w:val="194F5BE2"/>
    <w:rsid w:val="194FEC8F"/>
    <w:rsid w:val="195F4BF1"/>
    <w:rsid w:val="19624F49"/>
    <w:rsid w:val="1963A7A8"/>
    <w:rsid w:val="19662401"/>
    <w:rsid w:val="1967F10E"/>
    <w:rsid w:val="196B5EF2"/>
    <w:rsid w:val="196D0DAD"/>
    <w:rsid w:val="197BA97C"/>
    <w:rsid w:val="197BE37B"/>
    <w:rsid w:val="197F15BF"/>
    <w:rsid w:val="19829A63"/>
    <w:rsid w:val="19880031"/>
    <w:rsid w:val="19A4AFF5"/>
    <w:rsid w:val="19B3A10C"/>
    <w:rsid w:val="19C4D90A"/>
    <w:rsid w:val="19C8E814"/>
    <w:rsid w:val="19CD9071"/>
    <w:rsid w:val="19D872F1"/>
    <w:rsid w:val="19DD32CB"/>
    <w:rsid w:val="19E247B6"/>
    <w:rsid w:val="19F6A135"/>
    <w:rsid w:val="19FBE0B4"/>
    <w:rsid w:val="1A12FB4C"/>
    <w:rsid w:val="1A180A27"/>
    <w:rsid w:val="1A1BB18C"/>
    <w:rsid w:val="1A1C6C6F"/>
    <w:rsid w:val="1A1D546D"/>
    <w:rsid w:val="1A1F13CD"/>
    <w:rsid w:val="1A26AD51"/>
    <w:rsid w:val="1A2DE5D8"/>
    <w:rsid w:val="1A3B62F7"/>
    <w:rsid w:val="1A453CD8"/>
    <w:rsid w:val="1A4552BC"/>
    <w:rsid w:val="1A4560C2"/>
    <w:rsid w:val="1A45E8B7"/>
    <w:rsid w:val="1A492990"/>
    <w:rsid w:val="1A4FA982"/>
    <w:rsid w:val="1A5FBA7E"/>
    <w:rsid w:val="1A621624"/>
    <w:rsid w:val="1A68237F"/>
    <w:rsid w:val="1A6985CB"/>
    <w:rsid w:val="1A733D77"/>
    <w:rsid w:val="1A7D1A6E"/>
    <w:rsid w:val="1A84F79E"/>
    <w:rsid w:val="1A87E901"/>
    <w:rsid w:val="1A9B0074"/>
    <w:rsid w:val="1A9CEB8D"/>
    <w:rsid w:val="1AA9ABA4"/>
    <w:rsid w:val="1AABD887"/>
    <w:rsid w:val="1AB4BB15"/>
    <w:rsid w:val="1ABD8742"/>
    <w:rsid w:val="1AC67A41"/>
    <w:rsid w:val="1AD41CC7"/>
    <w:rsid w:val="1AD69174"/>
    <w:rsid w:val="1ADD8A23"/>
    <w:rsid w:val="1ADEC25F"/>
    <w:rsid w:val="1AEE3914"/>
    <w:rsid w:val="1AF3EBD7"/>
    <w:rsid w:val="1B0BC414"/>
    <w:rsid w:val="1B1F14DF"/>
    <w:rsid w:val="1B20B783"/>
    <w:rsid w:val="1B232A29"/>
    <w:rsid w:val="1B2866A5"/>
    <w:rsid w:val="1B2D4298"/>
    <w:rsid w:val="1B358CAB"/>
    <w:rsid w:val="1B3DD68B"/>
    <w:rsid w:val="1B4EEA5A"/>
    <w:rsid w:val="1B61A1FA"/>
    <w:rsid w:val="1B622817"/>
    <w:rsid w:val="1B678A4D"/>
    <w:rsid w:val="1B716F08"/>
    <w:rsid w:val="1B7D6CCA"/>
    <w:rsid w:val="1B825147"/>
    <w:rsid w:val="1B9F6F7D"/>
    <w:rsid w:val="1BA12B9F"/>
    <w:rsid w:val="1BB0E38A"/>
    <w:rsid w:val="1BBE2685"/>
    <w:rsid w:val="1BDA4DD7"/>
    <w:rsid w:val="1BDDFAF5"/>
    <w:rsid w:val="1BDE9935"/>
    <w:rsid w:val="1BE0F822"/>
    <w:rsid w:val="1BE118B3"/>
    <w:rsid w:val="1BE3AF94"/>
    <w:rsid w:val="1BE61CDC"/>
    <w:rsid w:val="1BEA83B3"/>
    <w:rsid w:val="1BEFAB47"/>
    <w:rsid w:val="1BFBAD1E"/>
    <w:rsid w:val="1BFE2D13"/>
    <w:rsid w:val="1C0B7B56"/>
    <w:rsid w:val="1C0D3E95"/>
    <w:rsid w:val="1C0D6740"/>
    <w:rsid w:val="1C0FF951"/>
    <w:rsid w:val="1C2355B1"/>
    <w:rsid w:val="1C2BB64D"/>
    <w:rsid w:val="1C2EEC8E"/>
    <w:rsid w:val="1C321119"/>
    <w:rsid w:val="1C375C00"/>
    <w:rsid w:val="1C39F889"/>
    <w:rsid w:val="1C407484"/>
    <w:rsid w:val="1C54E88B"/>
    <w:rsid w:val="1C5BF2A7"/>
    <w:rsid w:val="1C6839C6"/>
    <w:rsid w:val="1C6AD178"/>
    <w:rsid w:val="1C7CA52D"/>
    <w:rsid w:val="1C7FD6AB"/>
    <w:rsid w:val="1C9B88F6"/>
    <w:rsid w:val="1C9BE270"/>
    <w:rsid w:val="1CAF18D6"/>
    <w:rsid w:val="1CAFEC77"/>
    <w:rsid w:val="1CB17342"/>
    <w:rsid w:val="1CB46DCD"/>
    <w:rsid w:val="1CC892D4"/>
    <w:rsid w:val="1CC90099"/>
    <w:rsid w:val="1CCA91F4"/>
    <w:rsid w:val="1CCF0615"/>
    <w:rsid w:val="1CD1AE43"/>
    <w:rsid w:val="1CD23A43"/>
    <w:rsid w:val="1CD9D229"/>
    <w:rsid w:val="1CE480A7"/>
    <w:rsid w:val="1CEB1444"/>
    <w:rsid w:val="1CEC5DF7"/>
    <w:rsid w:val="1CF2452F"/>
    <w:rsid w:val="1CFE1AAD"/>
    <w:rsid w:val="1CFEB2E1"/>
    <w:rsid w:val="1D0A4C97"/>
    <w:rsid w:val="1D1439DD"/>
    <w:rsid w:val="1D1C5B80"/>
    <w:rsid w:val="1D1CBF6B"/>
    <w:rsid w:val="1D1FA210"/>
    <w:rsid w:val="1D2313D6"/>
    <w:rsid w:val="1D2415E6"/>
    <w:rsid w:val="1D2633D9"/>
    <w:rsid w:val="1D290D95"/>
    <w:rsid w:val="1D2B08F3"/>
    <w:rsid w:val="1D30B346"/>
    <w:rsid w:val="1D3C6EB8"/>
    <w:rsid w:val="1D3FFBB2"/>
    <w:rsid w:val="1D408E98"/>
    <w:rsid w:val="1D4632BE"/>
    <w:rsid w:val="1D48EFDD"/>
    <w:rsid w:val="1D4C4BDA"/>
    <w:rsid w:val="1D53A31B"/>
    <w:rsid w:val="1D59D250"/>
    <w:rsid w:val="1D5A1557"/>
    <w:rsid w:val="1D60B8EE"/>
    <w:rsid w:val="1D6CECE1"/>
    <w:rsid w:val="1D77BB31"/>
    <w:rsid w:val="1D7A27E1"/>
    <w:rsid w:val="1D7AF336"/>
    <w:rsid w:val="1D825E63"/>
    <w:rsid w:val="1D8B1110"/>
    <w:rsid w:val="1D8B4B63"/>
    <w:rsid w:val="1DADFE0D"/>
    <w:rsid w:val="1DB0C0D3"/>
    <w:rsid w:val="1DB59EC6"/>
    <w:rsid w:val="1DBACF87"/>
    <w:rsid w:val="1DBFA9A6"/>
    <w:rsid w:val="1DC518E3"/>
    <w:rsid w:val="1DD1FCFD"/>
    <w:rsid w:val="1DD50E57"/>
    <w:rsid w:val="1DE1C859"/>
    <w:rsid w:val="1DF6B3DA"/>
    <w:rsid w:val="1DF9212F"/>
    <w:rsid w:val="1DFC74C7"/>
    <w:rsid w:val="1E00659F"/>
    <w:rsid w:val="1E008204"/>
    <w:rsid w:val="1E17C801"/>
    <w:rsid w:val="1E1A419D"/>
    <w:rsid w:val="1E224E06"/>
    <w:rsid w:val="1E2C2CB6"/>
    <w:rsid w:val="1E374C4D"/>
    <w:rsid w:val="1E39979B"/>
    <w:rsid w:val="1E3C5E02"/>
    <w:rsid w:val="1E3F76AA"/>
    <w:rsid w:val="1E4299DA"/>
    <w:rsid w:val="1E4BF66E"/>
    <w:rsid w:val="1E55FC56"/>
    <w:rsid w:val="1E56DFEC"/>
    <w:rsid w:val="1E5D01F0"/>
    <w:rsid w:val="1E5E1535"/>
    <w:rsid w:val="1E5EDFE4"/>
    <w:rsid w:val="1E617B1D"/>
    <w:rsid w:val="1E8DADE9"/>
    <w:rsid w:val="1E8ED558"/>
    <w:rsid w:val="1E9379E2"/>
    <w:rsid w:val="1E99CF9A"/>
    <w:rsid w:val="1E9C8B26"/>
    <w:rsid w:val="1EA0FC6E"/>
    <w:rsid w:val="1EA1F9C6"/>
    <w:rsid w:val="1EA7B08B"/>
    <w:rsid w:val="1EB002F8"/>
    <w:rsid w:val="1EB54AE6"/>
    <w:rsid w:val="1EB9F8B8"/>
    <w:rsid w:val="1EBB13BF"/>
    <w:rsid w:val="1EC9B552"/>
    <w:rsid w:val="1ED5F622"/>
    <w:rsid w:val="1EDC8BCE"/>
    <w:rsid w:val="1EE0B382"/>
    <w:rsid w:val="1EE10B1D"/>
    <w:rsid w:val="1EE51D14"/>
    <w:rsid w:val="1EE7FD05"/>
    <w:rsid w:val="1EEE24BF"/>
    <w:rsid w:val="1EF31D76"/>
    <w:rsid w:val="1EF383B2"/>
    <w:rsid w:val="1F022FA9"/>
    <w:rsid w:val="1F03D41C"/>
    <w:rsid w:val="1F1ACDBA"/>
    <w:rsid w:val="1F23301F"/>
    <w:rsid w:val="1F244E50"/>
    <w:rsid w:val="1F2DBFE6"/>
    <w:rsid w:val="1F2DC414"/>
    <w:rsid w:val="1F35F356"/>
    <w:rsid w:val="1F388525"/>
    <w:rsid w:val="1F3B2E08"/>
    <w:rsid w:val="1F42EF85"/>
    <w:rsid w:val="1F4543A0"/>
    <w:rsid w:val="1F495EEE"/>
    <w:rsid w:val="1F542E7E"/>
    <w:rsid w:val="1F5641AE"/>
    <w:rsid w:val="1F6407AD"/>
    <w:rsid w:val="1F6484F8"/>
    <w:rsid w:val="1F697AC9"/>
    <w:rsid w:val="1F6D2245"/>
    <w:rsid w:val="1F7743F7"/>
    <w:rsid w:val="1F7F317D"/>
    <w:rsid w:val="1F8422E5"/>
    <w:rsid w:val="1F94934E"/>
    <w:rsid w:val="1F971E48"/>
    <w:rsid w:val="1F9B7E91"/>
    <w:rsid w:val="1FA25EB3"/>
    <w:rsid w:val="1FB24F1E"/>
    <w:rsid w:val="1FB728B7"/>
    <w:rsid w:val="1FBE1D49"/>
    <w:rsid w:val="1FC5F7D3"/>
    <w:rsid w:val="1FC85A30"/>
    <w:rsid w:val="1FC93121"/>
    <w:rsid w:val="1FCBBCDF"/>
    <w:rsid w:val="1FD7FD21"/>
    <w:rsid w:val="1FDD8B8E"/>
    <w:rsid w:val="1FE1B580"/>
    <w:rsid w:val="1FE7B3C9"/>
    <w:rsid w:val="1FE84CA5"/>
    <w:rsid w:val="1FE89760"/>
    <w:rsid w:val="1FE98A3A"/>
    <w:rsid w:val="1FEDBE3E"/>
    <w:rsid w:val="1FF11CB6"/>
    <w:rsid w:val="1FF4CAA7"/>
    <w:rsid w:val="1FFD4B7E"/>
    <w:rsid w:val="20006F02"/>
    <w:rsid w:val="2000979A"/>
    <w:rsid w:val="2001BEDF"/>
    <w:rsid w:val="200202EF"/>
    <w:rsid w:val="2005EC2A"/>
    <w:rsid w:val="200A43A8"/>
    <w:rsid w:val="200F9426"/>
    <w:rsid w:val="2011C25F"/>
    <w:rsid w:val="2012C161"/>
    <w:rsid w:val="2013B032"/>
    <w:rsid w:val="202090C2"/>
    <w:rsid w:val="203602CB"/>
    <w:rsid w:val="2036432B"/>
    <w:rsid w:val="2036D5CA"/>
    <w:rsid w:val="20385935"/>
    <w:rsid w:val="203ED1C0"/>
    <w:rsid w:val="2046E9D5"/>
    <w:rsid w:val="20498267"/>
    <w:rsid w:val="204DFB60"/>
    <w:rsid w:val="204FCF75"/>
    <w:rsid w:val="20524F7C"/>
    <w:rsid w:val="20574BBB"/>
    <w:rsid w:val="2059357D"/>
    <w:rsid w:val="205E2258"/>
    <w:rsid w:val="2072A9DC"/>
    <w:rsid w:val="20784694"/>
    <w:rsid w:val="207B29FE"/>
    <w:rsid w:val="2080F2A9"/>
    <w:rsid w:val="2091C442"/>
    <w:rsid w:val="2092F295"/>
    <w:rsid w:val="20990669"/>
    <w:rsid w:val="209918B8"/>
    <w:rsid w:val="209D1A6C"/>
    <w:rsid w:val="20A0F015"/>
    <w:rsid w:val="20A73BEB"/>
    <w:rsid w:val="20AA89E0"/>
    <w:rsid w:val="20AB9771"/>
    <w:rsid w:val="20B50D9F"/>
    <w:rsid w:val="20BF0297"/>
    <w:rsid w:val="20C3648F"/>
    <w:rsid w:val="20CB169D"/>
    <w:rsid w:val="20D15970"/>
    <w:rsid w:val="20D71687"/>
    <w:rsid w:val="20D98DFC"/>
    <w:rsid w:val="20DFF3FF"/>
    <w:rsid w:val="20E373CA"/>
    <w:rsid w:val="20E6A6C4"/>
    <w:rsid w:val="20EB0294"/>
    <w:rsid w:val="20F19D27"/>
    <w:rsid w:val="20F8F4EE"/>
    <w:rsid w:val="20F9645F"/>
    <w:rsid w:val="20FA0D30"/>
    <w:rsid w:val="20FBA75B"/>
    <w:rsid w:val="2105B024"/>
    <w:rsid w:val="21191E06"/>
    <w:rsid w:val="211C2207"/>
    <w:rsid w:val="211FE45D"/>
    <w:rsid w:val="21210E58"/>
    <w:rsid w:val="212BFB4A"/>
    <w:rsid w:val="21373939"/>
    <w:rsid w:val="21405055"/>
    <w:rsid w:val="2160F8AE"/>
    <w:rsid w:val="21689C9D"/>
    <w:rsid w:val="216BD52F"/>
    <w:rsid w:val="216C159B"/>
    <w:rsid w:val="217B0A28"/>
    <w:rsid w:val="2194E9D8"/>
    <w:rsid w:val="21A4FD45"/>
    <w:rsid w:val="21AB020F"/>
    <w:rsid w:val="21B6CC8A"/>
    <w:rsid w:val="21B90F40"/>
    <w:rsid w:val="21B9D22C"/>
    <w:rsid w:val="21BA1A9F"/>
    <w:rsid w:val="21BA3D7D"/>
    <w:rsid w:val="21BEA85C"/>
    <w:rsid w:val="21C2F0BA"/>
    <w:rsid w:val="21C30D1E"/>
    <w:rsid w:val="21CC14BB"/>
    <w:rsid w:val="21D7066F"/>
    <w:rsid w:val="21DC6344"/>
    <w:rsid w:val="21DCE5E8"/>
    <w:rsid w:val="21E48893"/>
    <w:rsid w:val="21F1333B"/>
    <w:rsid w:val="220033C2"/>
    <w:rsid w:val="2200B60E"/>
    <w:rsid w:val="220140F9"/>
    <w:rsid w:val="2203CEF1"/>
    <w:rsid w:val="2209FB09"/>
    <w:rsid w:val="220D218A"/>
    <w:rsid w:val="220DFE53"/>
    <w:rsid w:val="2212DB61"/>
    <w:rsid w:val="2225C581"/>
    <w:rsid w:val="2225FCC3"/>
    <w:rsid w:val="22269FEA"/>
    <w:rsid w:val="2226F014"/>
    <w:rsid w:val="222C6FD6"/>
    <w:rsid w:val="2231CA2C"/>
    <w:rsid w:val="2236AB5B"/>
    <w:rsid w:val="223D5424"/>
    <w:rsid w:val="223F0EE7"/>
    <w:rsid w:val="2241C4A2"/>
    <w:rsid w:val="2242DEF2"/>
    <w:rsid w:val="2249A6EE"/>
    <w:rsid w:val="224F7C5B"/>
    <w:rsid w:val="22676BA2"/>
    <w:rsid w:val="22689C7E"/>
    <w:rsid w:val="227D29F5"/>
    <w:rsid w:val="227F0350"/>
    <w:rsid w:val="22818458"/>
    <w:rsid w:val="228CBC61"/>
    <w:rsid w:val="229070F6"/>
    <w:rsid w:val="2292D5ED"/>
    <w:rsid w:val="2299587D"/>
    <w:rsid w:val="22AEF219"/>
    <w:rsid w:val="22AF7C31"/>
    <w:rsid w:val="22B5A1BA"/>
    <w:rsid w:val="22C1FEEE"/>
    <w:rsid w:val="22CD68F5"/>
    <w:rsid w:val="22D97AA3"/>
    <w:rsid w:val="22E08638"/>
    <w:rsid w:val="22EB8F59"/>
    <w:rsid w:val="22F067B4"/>
    <w:rsid w:val="22F5FBC4"/>
    <w:rsid w:val="22F70061"/>
    <w:rsid w:val="22F74E41"/>
    <w:rsid w:val="22F9932B"/>
    <w:rsid w:val="22FBFD38"/>
    <w:rsid w:val="230EF215"/>
    <w:rsid w:val="23121741"/>
    <w:rsid w:val="231F0622"/>
    <w:rsid w:val="23242713"/>
    <w:rsid w:val="232432FD"/>
    <w:rsid w:val="2327A1E8"/>
    <w:rsid w:val="2328F886"/>
    <w:rsid w:val="232EF8D3"/>
    <w:rsid w:val="23305B1B"/>
    <w:rsid w:val="233173CD"/>
    <w:rsid w:val="233A6894"/>
    <w:rsid w:val="2348B4E2"/>
    <w:rsid w:val="234AD321"/>
    <w:rsid w:val="234C376B"/>
    <w:rsid w:val="234DB143"/>
    <w:rsid w:val="235BDEAB"/>
    <w:rsid w:val="23647DB1"/>
    <w:rsid w:val="23695503"/>
    <w:rsid w:val="237729F1"/>
    <w:rsid w:val="237FEC29"/>
    <w:rsid w:val="2386E31C"/>
    <w:rsid w:val="238A3D28"/>
    <w:rsid w:val="239C52F7"/>
    <w:rsid w:val="239FF8A8"/>
    <w:rsid w:val="23A677EB"/>
    <w:rsid w:val="23AA4A9E"/>
    <w:rsid w:val="23ADB9E9"/>
    <w:rsid w:val="23B060D6"/>
    <w:rsid w:val="23BA4155"/>
    <w:rsid w:val="23C5B110"/>
    <w:rsid w:val="23C80EA6"/>
    <w:rsid w:val="23CF783B"/>
    <w:rsid w:val="23D349CD"/>
    <w:rsid w:val="23DDEB38"/>
    <w:rsid w:val="23E2FF7E"/>
    <w:rsid w:val="23E30227"/>
    <w:rsid w:val="23E5A96B"/>
    <w:rsid w:val="23E97C91"/>
    <w:rsid w:val="23EB851B"/>
    <w:rsid w:val="23F64FBE"/>
    <w:rsid w:val="23FB4F49"/>
    <w:rsid w:val="23FEBAD4"/>
    <w:rsid w:val="241C28BA"/>
    <w:rsid w:val="24269256"/>
    <w:rsid w:val="242F9938"/>
    <w:rsid w:val="24333DE1"/>
    <w:rsid w:val="2433C901"/>
    <w:rsid w:val="24387FC6"/>
    <w:rsid w:val="2442BAE2"/>
    <w:rsid w:val="24488FE9"/>
    <w:rsid w:val="244D3751"/>
    <w:rsid w:val="244EE920"/>
    <w:rsid w:val="245042B1"/>
    <w:rsid w:val="24546BD0"/>
    <w:rsid w:val="24587978"/>
    <w:rsid w:val="245DFDA7"/>
    <w:rsid w:val="24614BD0"/>
    <w:rsid w:val="24685D74"/>
    <w:rsid w:val="246CD049"/>
    <w:rsid w:val="247B8FB7"/>
    <w:rsid w:val="247D15E8"/>
    <w:rsid w:val="247D9CD7"/>
    <w:rsid w:val="2485AFE4"/>
    <w:rsid w:val="248BE0F3"/>
    <w:rsid w:val="248CA9A4"/>
    <w:rsid w:val="248F43F2"/>
    <w:rsid w:val="2490DDE5"/>
    <w:rsid w:val="2493B676"/>
    <w:rsid w:val="24948347"/>
    <w:rsid w:val="24978AEB"/>
    <w:rsid w:val="2499F19B"/>
    <w:rsid w:val="24A35659"/>
    <w:rsid w:val="24AC183A"/>
    <w:rsid w:val="24AE6BC2"/>
    <w:rsid w:val="24B2342D"/>
    <w:rsid w:val="24C19BBB"/>
    <w:rsid w:val="24C566BF"/>
    <w:rsid w:val="24C83E0A"/>
    <w:rsid w:val="24D41A5D"/>
    <w:rsid w:val="24DA8202"/>
    <w:rsid w:val="24DC82C6"/>
    <w:rsid w:val="24EA5014"/>
    <w:rsid w:val="24F74820"/>
    <w:rsid w:val="24F95306"/>
    <w:rsid w:val="24FBE3B2"/>
    <w:rsid w:val="24FEE051"/>
    <w:rsid w:val="250FDC00"/>
    <w:rsid w:val="25157FC1"/>
    <w:rsid w:val="251677B5"/>
    <w:rsid w:val="25167FE7"/>
    <w:rsid w:val="251849AF"/>
    <w:rsid w:val="2518EF14"/>
    <w:rsid w:val="251B13A3"/>
    <w:rsid w:val="252598A3"/>
    <w:rsid w:val="253632D0"/>
    <w:rsid w:val="25368F6E"/>
    <w:rsid w:val="2536E843"/>
    <w:rsid w:val="25391354"/>
    <w:rsid w:val="253A8000"/>
    <w:rsid w:val="255000C3"/>
    <w:rsid w:val="25559AC1"/>
    <w:rsid w:val="2559182B"/>
    <w:rsid w:val="255AAD50"/>
    <w:rsid w:val="256121B0"/>
    <w:rsid w:val="2563C885"/>
    <w:rsid w:val="256453BB"/>
    <w:rsid w:val="2569267B"/>
    <w:rsid w:val="25716E95"/>
    <w:rsid w:val="259404B2"/>
    <w:rsid w:val="25943847"/>
    <w:rsid w:val="259C54D8"/>
    <w:rsid w:val="25AA4A19"/>
    <w:rsid w:val="25B0600E"/>
    <w:rsid w:val="25C32077"/>
    <w:rsid w:val="25CAAC08"/>
    <w:rsid w:val="25CB21F4"/>
    <w:rsid w:val="25D13096"/>
    <w:rsid w:val="25D55902"/>
    <w:rsid w:val="25D90772"/>
    <w:rsid w:val="25D9FD51"/>
    <w:rsid w:val="25E0A9B4"/>
    <w:rsid w:val="25E10EF8"/>
    <w:rsid w:val="25E18D0E"/>
    <w:rsid w:val="25E1DE96"/>
    <w:rsid w:val="25E47091"/>
    <w:rsid w:val="25ED613D"/>
    <w:rsid w:val="25EEF6DD"/>
    <w:rsid w:val="2601B2C6"/>
    <w:rsid w:val="2603CC7E"/>
    <w:rsid w:val="260FD3F0"/>
    <w:rsid w:val="26182EF4"/>
    <w:rsid w:val="261E14B6"/>
    <w:rsid w:val="261E6B58"/>
    <w:rsid w:val="26203434"/>
    <w:rsid w:val="2623F486"/>
    <w:rsid w:val="262C8E01"/>
    <w:rsid w:val="262F875A"/>
    <w:rsid w:val="263498AB"/>
    <w:rsid w:val="2635D460"/>
    <w:rsid w:val="2639C362"/>
    <w:rsid w:val="2639EC7D"/>
    <w:rsid w:val="263A1569"/>
    <w:rsid w:val="263D8FE5"/>
    <w:rsid w:val="263EB235"/>
    <w:rsid w:val="2646F9D9"/>
    <w:rsid w:val="264797EA"/>
    <w:rsid w:val="2654EAF9"/>
    <w:rsid w:val="2661CB47"/>
    <w:rsid w:val="266B84AC"/>
    <w:rsid w:val="266CF1AC"/>
    <w:rsid w:val="2671881F"/>
    <w:rsid w:val="26779CD7"/>
    <w:rsid w:val="267B481E"/>
    <w:rsid w:val="268C8F8F"/>
    <w:rsid w:val="268D969D"/>
    <w:rsid w:val="26956B90"/>
    <w:rsid w:val="26981B5F"/>
    <w:rsid w:val="26985053"/>
    <w:rsid w:val="26A4D54A"/>
    <w:rsid w:val="26A6B840"/>
    <w:rsid w:val="26A9F190"/>
    <w:rsid w:val="26ACE44B"/>
    <w:rsid w:val="26B012EE"/>
    <w:rsid w:val="26B11688"/>
    <w:rsid w:val="26BB888C"/>
    <w:rsid w:val="26C68A70"/>
    <w:rsid w:val="26D04622"/>
    <w:rsid w:val="26D14292"/>
    <w:rsid w:val="26D6F9D2"/>
    <w:rsid w:val="26E1F115"/>
    <w:rsid w:val="26E30F01"/>
    <w:rsid w:val="26ECE74B"/>
    <w:rsid w:val="26EE04F3"/>
    <w:rsid w:val="27121E2E"/>
    <w:rsid w:val="27125E90"/>
    <w:rsid w:val="2722B497"/>
    <w:rsid w:val="272C8F0B"/>
    <w:rsid w:val="272F965B"/>
    <w:rsid w:val="2734B84F"/>
    <w:rsid w:val="2735FD8C"/>
    <w:rsid w:val="27372F92"/>
    <w:rsid w:val="27391C85"/>
    <w:rsid w:val="273B8D10"/>
    <w:rsid w:val="2744C359"/>
    <w:rsid w:val="274F37E7"/>
    <w:rsid w:val="274F651F"/>
    <w:rsid w:val="2750C694"/>
    <w:rsid w:val="2760F4F2"/>
    <w:rsid w:val="2769D2CF"/>
    <w:rsid w:val="2769D4D3"/>
    <w:rsid w:val="276A3F16"/>
    <w:rsid w:val="276EA7A7"/>
    <w:rsid w:val="276F1992"/>
    <w:rsid w:val="277766EC"/>
    <w:rsid w:val="2780F774"/>
    <w:rsid w:val="278AB134"/>
    <w:rsid w:val="27901A3A"/>
    <w:rsid w:val="2791CEEC"/>
    <w:rsid w:val="2797DAD8"/>
    <w:rsid w:val="279860C4"/>
    <w:rsid w:val="27993AE8"/>
    <w:rsid w:val="279B33EF"/>
    <w:rsid w:val="279E9C2F"/>
    <w:rsid w:val="27A8542F"/>
    <w:rsid w:val="27B1BEFD"/>
    <w:rsid w:val="27B33C98"/>
    <w:rsid w:val="27BC24D2"/>
    <w:rsid w:val="27C15C48"/>
    <w:rsid w:val="27CD002F"/>
    <w:rsid w:val="27CE7700"/>
    <w:rsid w:val="27DAAAFA"/>
    <w:rsid w:val="27E1F713"/>
    <w:rsid w:val="27E6CDAE"/>
    <w:rsid w:val="27EA5AB6"/>
    <w:rsid w:val="27EAF90D"/>
    <w:rsid w:val="27EBBBDC"/>
    <w:rsid w:val="27FAA654"/>
    <w:rsid w:val="2804F9DB"/>
    <w:rsid w:val="2806C17C"/>
    <w:rsid w:val="28096FDA"/>
    <w:rsid w:val="280B33CB"/>
    <w:rsid w:val="282A7F53"/>
    <w:rsid w:val="282B32EC"/>
    <w:rsid w:val="283D0171"/>
    <w:rsid w:val="28449F7B"/>
    <w:rsid w:val="2845DA9D"/>
    <w:rsid w:val="28474B61"/>
    <w:rsid w:val="284A3FAC"/>
    <w:rsid w:val="286A23DD"/>
    <w:rsid w:val="286EB352"/>
    <w:rsid w:val="288F069C"/>
    <w:rsid w:val="28A7A0CF"/>
    <w:rsid w:val="28AD7175"/>
    <w:rsid w:val="28AD9BC7"/>
    <w:rsid w:val="28B9EE63"/>
    <w:rsid w:val="28BBE079"/>
    <w:rsid w:val="28BFB8EF"/>
    <w:rsid w:val="28C72078"/>
    <w:rsid w:val="28C92E9B"/>
    <w:rsid w:val="28D45A41"/>
    <w:rsid w:val="28D578E9"/>
    <w:rsid w:val="28DC7CDD"/>
    <w:rsid w:val="28DE3340"/>
    <w:rsid w:val="28ED9076"/>
    <w:rsid w:val="28EEF98C"/>
    <w:rsid w:val="28EFE303"/>
    <w:rsid w:val="28F3EE70"/>
    <w:rsid w:val="28F6B84D"/>
    <w:rsid w:val="29071A6D"/>
    <w:rsid w:val="2908912A"/>
    <w:rsid w:val="29095956"/>
    <w:rsid w:val="290C505B"/>
    <w:rsid w:val="292AC632"/>
    <w:rsid w:val="292B07BB"/>
    <w:rsid w:val="2930D094"/>
    <w:rsid w:val="2931D7EA"/>
    <w:rsid w:val="293281D0"/>
    <w:rsid w:val="293B7CD1"/>
    <w:rsid w:val="293E4ED6"/>
    <w:rsid w:val="2940D368"/>
    <w:rsid w:val="2944F6CA"/>
    <w:rsid w:val="294614C9"/>
    <w:rsid w:val="294D8F5E"/>
    <w:rsid w:val="294EDDCB"/>
    <w:rsid w:val="295652F3"/>
    <w:rsid w:val="295B0A3D"/>
    <w:rsid w:val="295BA5A7"/>
    <w:rsid w:val="2964C52C"/>
    <w:rsid w:val="296CD975"/>
    <w:rsid w:val="296EAFF7"/>
    <w:rsid w:val="296EF8CB"/>
    <w:rsid w:val="2971AEA4"/>
    <w:rsid w:val="298E28EB"/>
    <w:rsid w:val="29A2985F"/>
    <w:rsid w:val="29AA3D50"/>
    <w:rsid w:val="29AEFBE2"/>
    <w:rsid w:val="29BA2DFB"/>
    <w:rsid w:val="29C67DDD"/>
    <w:rsid w:val="29D9BA09"/>
    <w:rsid w:val="29DB000C"/>
    <w:rsid w:val="29E2334F"/>
    <w:rsid w:val="29F4FD73"/>
    <w:rsid w:val="29F61B73"/>
    <w:rsid w:val="29F67C4F"/>
    <w:rsid w:val="2A024E5D"/>
    <w:rsid w:val="2A06D324"/>
    <w:rsid w:val="2A0B949F"/>
    <w:rsid w:val="2A0E29D7"/>
    <w:rsid w:val="2A45643E"/>
    <w:rsid w:val="2A535989"/>
    <w:rsid w:val="2A5901C0"/>
    <w:rsid w:val="2A5B425A"/>
    <w:rsid w:val="2A62F2FC"/>
    <w:rsid w:val="2A69849D"/>
    <w:rsid w:val="2A88F953"/>
    <w:rsid w:val="2A8B11DA"/>
    <w:rsid w:val="2A8DAE01"/>
    <w:rsid w:val="2A9E1078"/>
    <w:rsid w:val="2A9F8E01"/>
    <w:rsid w:val="2A9FCB93"/>
    <w:rsid w:val="2AAB755A"/>
    <w:rsid w:val="2ABD027A"/>
    <w:rsid w:val="2ABD218F"/>
    <w:rsid w:val="2AC21AB3"/>
    <w:rsid w:val="2AC7BAFC"/>
    <w:rsid w:val="2AC86142"/>
    <w:rsid w:val="2ACF2749"/>
    <w:rsid w:val="2ACFB88C"/>
    <w:rsid w:val="2AE4FBE2"/>
    <w:rsid w:val="2AE52987"/>
    <w:rsid w:val="2AEEEF3B"/>
    <w:rsid w:val="2AF0CD74"/>
    <w:rsid w:val="2AF76C80"/>
    <w:rsid w:val="2AFB5198"/>
    <w:rsid w:val="2B088202"/>
    <w:rsid w:val="2B0FD3E0"/>
    <w:rsid w:val="2B10A706"/>
    <w:rsid w:val="2B1866F3"/>
    <w:rsid w:val="2B22ADB7"/>
    <w:rsid w:val="2B23E41E"/>
    <w:rsid w:val="2B26B705"/>
    <w:rsid w:val="2B275883"/>
    <w:rsid w:val="2B278D99"/>
    <w:rsid w:val="2B2D279E"/>
    <w:rsid w:val="2B3B25EA"/>
    <w:rsid w:val="2B3F3211"/>
    <w:rsid w:val="2B3F85CE"/>
    <w:rsid w:val="2B3FFEB1"/>
    <w:rsid w:val="2B47BE30"/>
    <w:rsid w:val="2B4D4B64"/>
    <w:rsid w:val="2B5004CA"/>
    <w:rsid w:val="2B52B52B"/>
    <w:rsid w:val="2B598994"/>
    <w:rsid w:val="2B5EABCE"/>
    <w:rsid w:val="2B6226A0"/>
    <w:rsid w:val="2B64393F"/>
    <w:rsid w:val="2B643FD4"/>
    <w:rsid w:val="2B6F98B5"/>
    <w:rsid w:val="2B78C166"/>
    <w:rsid w:val="2B89883E"/>
    <w:rsid w:val="2B8A70A4"/>
    <w:rsid w:val="2B8D5DDB"/>
    <w:rsid w:val="2B916953"/>
    <w:rsid w:val="2B95824B"/>
    <w:rsid w:val="2B983882"/>
    <w:rsid w:val="2B9D1B15"/>
    <w:rsid w:val="2BA2C6BE"/>
    <w:rsid w:val="2BA3E1B6"/>
    <w:rsid w:val="2BA45458"/>
    <w:rsid w:val="2BAA5F65"/>
    <w:rsid w:val="2BB51080"/>
    <w:rsid w:val="2BBABD4B"/>
    <w:rsid w:val="2BBAF42B"/>
    <w:rsid w:val="2BBBE34B"/>
    <w:rsid w:val="2BC02C50"/>
    <w:rsid w:val="2BC53694"/>
    <w:rsid w:val="2BCCBF30"/>
    <w:rsid w:val="2BCE25B7"/>
    <w:rsid w:val="2BD6EBFD"/>
    <w:rsid w:val="2BD9A343"/>
    <w:rsid w:val="2BE6D7A4"/>
    <w:rsid w:val="2BE75B52"/>
    <w:rsid w:val="2BF00748"/>
    <w:rsid w:val="2BF69E89"/>
    <w:rsid w:val="2BF75BEE"/>
    <w:rsid w:val="2C00B7B9"/>
    <w:rsid w:val="2C01D5C0"/>
    <w:rsid w:val="2C11EB30"/>
    <w:rsid w:val="2C19E619"/>
    <w:rsid w:val="2C1D81FD"/>
    <w:rsid w:val="2C1DD2DA"/>
    <w:rsid w:val="2C1E28C9"/>
    <w:rsid w:val="2C23FDE5"/>
    <w:rsid w:val="2C257FCA"/>
    <w:rsid w:val="2C2A488D"/>
    <w:rsid w:val="2C3B9613"/>
    <w:rsid w:val="2C413338"/>
    <w:rsid w:val="2C42E63B"/>
    <w:rsid w:val="2C433E5D"/>
    <w:rsid w:val="2C638B5D"/>
    <w:rsid w:val="2C664729"/>
    <w:rsid w:val="2C6AF497"/>
    <w:rsid w:val="2C6D59ED"/>
    <w:rsid w:val="2C72F593"/>
    <w:rsid w:val="2C7387C6"/>
    <w:rsid w:val="2C75F84E"/>
    <w:rsid w:val="2C7840B6"/>
    <w:rsid w:val="2C85795C"/>
    <w:rsid w:val="2C89ADD3"/>
    <w:rsid w:val="2C923AD9"/>
    <w:rsid w:val="2C92EC71"/>
    <w:rsid w:val="2C9EC340"/>
    <w:rsid w:val="2CA1CD5B"/>
    <w:rsid w:val="2CA645AB"/>
    <w:rsid w:val="2CA8CE76"/>
    <w:rsid w:val="2CACB35E"/>
    <w:rsid w:val="2CB7D6D8"/>
    <w:rsid w:val="2CB8CAA9"/>
    <w:rsid w:val="2CBB0D32"/>
    <w:rsid w:val="2CBDEE35"/>
    <w:rsid w:val="2CC4816D"/>
    <w:rsid w:val="2CCD9E80"/>
    <w:rsid w:val="2CCDA399"/>
    <w:rsid w:val="2CCE9907"/>
    <w:rsid w:val="2CD6EAD8"/>
    <w:rsid w:val="2CD73F0B"/>
    <w:rsid w:val="2CDA329F"/>
    <w:rsid w:val="2CDFECE7"/>
    <w:rsid w:val="2CE78818"/>
    <w:rsid w:val="2CE96A44"/>
    <w:rsid w:val="2CF8202C"/>
    <w:rsid w:val="2D0BFF0C"/>
    <w:rsid w:val="2D0C65E5"/>
    <w:rsid w:val="2D18B346"/>
    <w:rsid w:val="2D1B4797"/>
    <w:rsid w:val="2D1DBE60"/>
    <w:rsid w:val="2D2064DE"/>
    <w:rsid w:val="2D21DCA5"/>
    <w:rsid w:val="2D2E5884"/>
    <w:rsid w:val="2D2E8E20"/>
    <w:rsid w:val="2D31691A"/>
    <w:rsid w:val="2D33F413"/>
    <w:rsid w:val="2D387871"/>
    <w:rsid w:val="2D48BE46"/>
    <w:rsid w:val="2D4931B8"/>
    <w:rsid w:val="2D4DDFF7"/>
    <w:rsid w:val="2D4F4898"/>
    <w:rsid w:val="2D4FB742"/>
    <w:rsid w:val="2D56AE49"/>
    <w:rsid w:val="2D5AD940"/>
    <w:rsid w:val="2D5DC6D1"/>
    <w:rsid w:val="2D67F600"/>
    <w:rsid w:val="2D69637A"/>
    <w:rsid w:val="2D6A3C78"/>
    <w:rsid w:val="2D6F3202"/>
    <w:rsid w:val="2D708440"/>
    <w:rsid w:val="2D7DD8DA"/>
    <w:rsid w:val="2D7FFB26"/>
    <w:rsid w:val="2D81F160"/>
    <w:rsid w:val="2D84A0FE"/>
    <w:rsid w:val="2D878F73"/>
    <w:rsid w:val="2D8A2C20"/>
    <w:rsid w:val="2D8CB86C"/>
    <w:rsid w:val="2D956C63"/>
    <w:rsid w:val="2D95B89B"/>
    <w:rsid w:val="2D98B3EF"/>
    <w:rsid w:val="2D9A4001"/>
    <w:rsid w:val="2DA53AF8"/>
    <w:rsid w:val="2DA5B4BE"/>
    <w:rsid w:val="2DA90C43"/>
    <w:rsid w:val="2DBDC0B1"/>
    <w:rsid w:val="2DC3D0BB"/>
    <w:rsid w:val="2DC475C7"/>
    <w:rsid w:val="2DC7E956"/>
    <w:rsid w:val="2DCC0F44"/>
    <w:rsid w:val="2DD4E3C4"/>
    <w:rsid w:val="2DD93E0F"/>
    <w:rsid w:val="2DE3226D"/>
    <w:rsid w:val="2DF060FF"/>
    <w:rsid w:val="2E0E752B"/>
    <w:rsid w:val="2E18B3AB"/>
    <w:rsid w:val="2E1ABF4A"/>
    <w:rsid w:val="2E1B665A"/>
    <w:rsid w:val="2E28C435"/>
    <w:rsid w:val="2E2E6D19"/>
    <w:rsid w:val="2E3DE2F2"/>
    <w:rsid w:val="2E4CF882"/>
    <w:rsid w:val="2E4E4134"/>
    <w:rsid w:val="2E5548AB"/>
    <w:rsid w:val="2E5E2CF4"/>
    <w:rsid w:val="2E5EC49C"/>
    <w:rsid w:val="2E66FB5D"/>
    <w:rsid w:val="2E6DF448"/>
    <w:rsid w:val="2E740E7F"/>
    <w:rsid w:val="2E7674A5"/>
    <w:rsid w:val="2E7EC630"/>
    <w:rsid w:val="2E830384"/>
    <w:rsid w:val="2E83A06B"/>
    <w:rsid w:val="2E86AD03"/>
    <w:rsid w:val="2E87E441"/>
    <w:rsid w:val="2E883368"/>
    <w:rsid w:val="2E88C859"/>
    <w:rsid w:val="2E89B6B2"/>
    <w:rsid w:val="2E8C9084"/>
    <w:rsid w:val="2E9F54B4"/>
    <w:rsid w:val="2EA18A17"/>
    <w:rsid w:val="2EA344DB"/>
    <w:rsid w:val="2EAA17E6"/>
    <w:rsid w:val="2EB9143A"/>
    <w:rsid w:val="2EBC64B2"/>
    <w:rsid w:val="2EC00209"/>
    <w:rsid w:val="2EC71828"/>
    <w:rsid w:val="2ED1EE16"/>
    <w:rsid w:val="2ED2B72C"/>
    <w:rsid w:val="2ED32608"/>
    <w:rsid w:val="2ED4FC6D"/>
    <w:rsid w:val="2EDCCE6A"/>
    <w:rsid w:val="2EEC1175"/>
    <w:rsid w:val="2EEFD33D"/>
    <w:rsid w:val="2EF01711"/>
    <w:rsid w:val="2EF161EE"/>
    <w:rsid w:val="2EF667B1"/>
    <w:rsid w:val="2EF9B0AE"/>
    <w:rsid w:val="2F018783"/>
    <w:rsid w:val="2F052210"/>
    <w:rsid w:val="2F081051"/>
    <w:rsid w:val="2F0B5522"/>
    <w:rsid w:val="2F0C9659"/>
    <w:rsid w:val="2F0CC40E"/>
    <w:rsid w:val="2F0CF314"/>
    <w:rsid w:val="2F0F669F"/>
    <w:rsid w:val="2F1ADA75"/>
    <w:rsid w:val="2F1B31D4"/>
    <w:rsid w:val="2F1CC8A6"/>
    <w:rsid w:val="2F237094"/>
    <w:rsid w:val="2F259D2F"/>
    <w:rsid w:val="2F264035"/>
    <w:rsid w:val="2F26C2C8"/>
    <w:rsid w:val="2F2A88F6"/>
    <w:rsid w:val="2F325C01"/>
    <w:rsid w:val="2F383B55"/>
    <w:rsid w:val="2F3A460C"/>
    <w:rsid w:val="2F3E7A47"/>
    <w:rsid w:val="2F43E3D5"/>
    <w:rsid w:val="2F4417BC"/>
    <w:rsid w:val="2F500B29"/>
    <w:rsid w:val="2F5BF8B7"/>
    <w:rsid w:val="2F688966"/>
    <w:rsid w:val="2F6DDDD1"/>
    <w:rsid w:val="2F7A904A"/>
    <w:rsid w:val="2F879622"/>
    <w:rsid w:val="2F887524"/>
    <w:rsid w:val="2F8B5799"/>
    <w:rsid w:val="2F90240D"/>
    <w:rsid w:val="2F92CB3D"/>
    <w:rsid w:val="2F955895"/>
    <w:rsid w:val="2F98BEC1"/>
    <w:rsid w:val="2F9B7062"/>
    <w:rsid w:val="2F9F960A"/>
    <w:rsid w:val="2FA19928"/>
    <w:rsid w:val="2FA82BEF"/>
    <w:rsid w:val="2FACB545"/>
    <w:rsid w:val="2FB7E8A4"/>
    <w:rsid w:val="2FBA05B8"/>
    <w:rsid w:val="2FCB27BC"/>
    <w:rsid w:val="2FEA4EB7"/>
    <w:rsid w:val="2FF65398"/>
    <w:rsid w:val="2FFADE23"/>
    <w:rsid w:val="2FFC5B65"/>
    <w:rsid w:val="30036715"/>
    <w:rsid w:val="3008B3B3"/>
    <w:rsid w:val="300BFB45"/>
    <w:rsid w:val="300F5151"/>
    <w:rsid w:val="301AF974"/>
    <w:rsid w:val="30230464"/>
    <w:rsid w:val="302BE39E"/>
    <w:rsid w:val="302EB498"/>
    <w:rsid w:val="303004E6"/>
    <w:rsid w:val="30375EB8"/>
    <w:rsid w:val="303DDD8C"/>
    <w:rsid w:val="303E6201"/>
    <w:rsid w:val="30410633"/>
    <w:rsid w:val="30488809"/>
    <w:rsid w:val="305FB542"/>
    <w:rsid w:val="3061AF9C"/>
    <w:rsid w:val="306B375D"/>
    <w:rsid w:val="306D471D"/>
    <w:rsid w:val="3072F796"/>
    <w:rsid w:val="30769FAF"/>
    <w:rsid w:val="307B5568"/>
    <w:rsid w:val="307D2CCD"/>
    <w:rsid w:val="30902BFA"/>
    <w:rsid w:val="30A016D2"/>
    <w:rsid w:val="30B09769"/>
    <w:rsid w:val="30BA7659"/>
    <w:rsid w:val="30C8BAB3"/>
    <w:rsid w:val="30CD9AC5"/>
    <w:rsid w:val="30CE1E02"/>
    <w:rsid w:val="30CF8750"/>
    <w:rsid w:val="30ED8EA8"/>
    <w:rsid w:val="30F5B86C"/>
    <w:rsid w:val="30FB150F"/>
    <w:rsid w:val="30FF8971"/>
    <w:rsid w:val="3102C665"/>
    <w:rsid w:val="310A04B0"/>
    <w:rsid w:val="310D51FF"/>
    <w:rsid w:val="311A4847"/>
    <w:rsid w:val="31284579"/>
    <w:rsid w:val="3132E89A"/>
    <w:rsid w:val="31336BC5"/>
    <w:rsid w:val="31349733"/>
    <w:rsid w:val="3134AAB3"/>
    <w:rsid w:val="313DFDF1"/>
    <w:rsid w:val="31476D2A"/>
    <w:rsid w:val="3152D030"/>
    <w:rsid w:val="3153C313"/>
    <w:rsid w:val="3159C09C"/>
    <w:rsid w:val="3167B647"/>
    <w:rsid w:val="3169FF2F"/>
    <w:rsid w:val="316A7A93"/>
    <w:rsid w:val="316B2021"/>
    <w:rsid w:val="31816171"/>
    <w:rsid w:val="3188BD44"/>
    <w:rsid w:val="318BF7AF"/>
    <w:rsid w:val="318DA964"/>
    <w:rsid w:val="318F505A"/>
    <w:rsid w:val="31939093"/>
    <w:rsid w:val="319F32D5"/>
    <w:rsid w:val="31A0C244"/>
    <w:rsid w:val="31A72288"/>
    <w:rsid w:val="31AB118A"/>
    <w:rsid w:val="31AD3FF8"/>
    <w:rsid w:val="31B0508E"/>
    <w:rsid w:val="31B66A11"/>
    <w:rsid w:val="31BA695D"/>
    <w:rsid w:val="31C0A231"/>
    <w:rsid w:val="31C35848"/>
    <w:rsid w:val="31CA8202"/>
    <w:rsid w:val="31DE681A"/>
    <w:rsid w:val="31E2B678"/>
    <w:rsid w:val="31E98B47"/>
    <w:rsid w:val="31EBDD6D"/>
    <w:rsid w:val="31EDDCAC"/>
    <w:rsid w:val="31F10E5F"/>
    <w:rsid w:val="31FAB73D"/>
    <w:rsid w:val="32045BA6"/>
    <w:rsid w:val="320D6AC8"/>
    <w:rsid w:val="321A3861"/>
    <w:rsid w:val="3221B56A"/>
    <w:rsid w:val="3233F6F8"/>
    <w:rsid w:val="3235B6BC"/>
    <w:rsid w:val="32387AA1"/>
    <w:rsid w:val="3243135F"/>
    <w:rsid w:val="32473BEB"/>
    <w:rsid w:val="324921FD"/>
    <w:rsid w:val="324B2787"/>
    <w:rsid w:val="32529252"/>
    <w:rsid w:val="32536D49"/>
    <w:rsid w:val="325453BB"/>
    <w:rsid w:val="32576E8D"/>
    <w:rsid w:val="32610D94"/>
    <w:rsid w:val="3268E729"/>
    <w:rsid w:val="326DAB23"/>
    <w:rsid w:val="326E7137"/>
    <w:rsid w:val="327115AF"/>
    <w:rsid w:val="3278A8CA"/>
    <w:rsid w:val="327D86AC"/>
    <w:rsid w:val="327DBC6A"/>
    <w:rsid w:val="3283FCD0"/>
    <w:rsid w:val="32860DB4"/>
    <w:rsid w:val="328FBE0F"/>
    <w:rsid w:val="3292468C"/>
    <w:rsid w:val="32A2F9C6"/>
    <w:rsid w:val="32A7583B"/>
    <w:rsid w:val="32A765D4"/>
    <w:rsid w:val="32A7B4BB"/>
    <w:rsid w:val="32ABE77F"/>
    <w:rsid w:val="32B2CDEE"/>
    <w:rsid w:val="32B91D99"/>
    <w:rsid w:val="32BEDE2A"/>
    <w:rsid w:val="32C43B23"/>
    <w:rsid w:val="32C55662"/>
    <w:rsid w:val="32CBD4AE"/>
    <w:rsid w:val="32CD21A4"/>
    <w:rsid w:val="32CEEC85"/>
    <w:rsid w:val="32DCEF72"/>
    <w:rsid w:val="32E1A919"/>
    <w:rsid w:val="32F9BCC5"/>
    <w:rsid w:val="32FA1EFE"/>
    <w:rsid w:val="33039F93"/>
    <w:rsid w:val="330A87B1"/>
    <w:rsid w:val="330B169F"/>
    <w:rsid w:val="330F459B"/>
    <w:rsid w:val="3326AF83"/>
    <w:rsid w:val="333146AC"/>
    <w:rsid w:val="3334068F"/>
    <w:rsid w:val="33351F04"/>
    <w:rsid w:val="3335D600"/>
    <w:rsid w:val="33411043"/>
    <w:rsid w:val="334739D4"/>
    <w:rsid w:val="334F4DE5"/>
    <w:rsid w:val="3353DFEB"/>
    <w:rsid w:val="3363C4B0"/>
    <w:rsid w:val="336C3D4C"/>
    <w:rsid w:val="33720DF2"/>
    <w:rsid w:val="33722300"/>
    <w:rsid w:val="3396EA24"/>
    <w:rsid w:val="339F1A71"/>
    <w:rsid w:val="33A3E2FF"/>
    <w:rsid w:val="33A6865E"/>
    <w:rsid w:val="33A6B7FD"/>
    <w:rsid w:val="33B84C87"/>
    <w:rsid w:val="33BEFD12"/>
    <w:rsid w:val="33C0BDDF"/>
    <w:rsid w:val="33D1B506"/>
    <w:rsid w:val="33D38873"/>
    <w:rsid w:val="33D73538"/>
    <w:rsid w:val="33EA2EC5"/>
    <w:rsid w:val="33EE4154"/>
    <w:rsid w:val="33F3122B"/>
    <w:rsid w:val="33F4809C"/>
    <w:rsid w:val="33F5DB10"/>
    <w:rsid w:val="33FABA22"/>
    <w:rsid w:val="34106C20"/>
    <w:rsid w:val="341C7926"/>
    <w:rsid w:val="34276395"/>
    <w:rsid w:val="34345311"/>
    <w:rsid w:val="343F228B"/>
    <w:rsid w:val="34417190"/>
    <w:rsid w:val="34516055"/>
    <w:rsid w:val="3451DC6C"/>
    <w:rsid w:val="34529B9F"/>
    <w:rsid w:val="345EBA07"/>
    <w:rsid w:val="34637B9E"/>
    <w:rsid w:val="346E1C11"/>
    <w:rsid w:val="34719F89"/>
    <w:rsid w:val="347A3718"/>
    <w:rsid w:val="3482D7BA"/>
    <w:rsid w:val="348C0876"/>
    <w:rsid w:val="3492B86D"/>
    <w:rsid w:val="3493599C"/>
    <w:rsid w:val="34A7282D"/>
    <w:rsid w:val="34A88E3B"/>
    <w:rsid w:val="34B61870"/>
    <w:rsid w:val="34C134F6"/>
    <w:rsid w:val="34C4BA02"/>
    <w:rsid w:val="34C7478A"/>
    <w:rsid w:val="34C7CD98"/>
    <w:rsid w:val="34C95609"/>
    <w:rsid w:val="34C99831"/>
    <w:rsid w:val="34CE5F94"/>
    <w:rsid w:val="34D5C251"/>
    <w:rsid w:val="34DAB1A3"/>
    <w:rsid w:val="34E153A4"/>
    <w:rsid w:val="34E2EC1C"/>
    <w:rsid w:val="34ED20EF"/>
    <w:rsid w:val="34EF7934"/>
    <w:rsid w:val="34FEA22B"/>
    <w:rsid w:val="3501B5DA"/>
    <w:rsid w:val="3514CF97"/>
    <w:rsid w:val="351965C3"/>
    <w:rsid w:val="352F8A70"/>
    <w:rsid w:val="35318A71"/>
    <w:rsid w:val="3538BF52"/>
    <w:rsid w:val="35393B17"/>
    <w:rsid w:val="354AD17D"/>
    <w:rsid w:val="354D5D33"/>
    <w:rsid w:val="354E0C1F"/>
    <w:rsid w:val="354F227B"/>
    <w:rsid w:val="35571D85"/>
    <w:rsid w:val="356BA4E5"/>
    <w:rsid w:val="35703829"/>
    <w:rsid w:val="357668F4"/>
    <w:rsid w:val="35871681"/>
    <w:rsid w:val="3591BB8B"/>
    <w:rsid w:val="35979991"/>
    <w:rsid w:val="35981946"/>
    <w:rsid w:val="35A8C288"/>
    <w:rsid w:val="35B0CF32"/>
    <w:rsid w:val="35C23B0C"/>
    <w:rsid w:val="35C40FE6"/>
    <w:rsid w:val="35CE206B"/>
    <w:rsid w:val="35CF49E4"/>
    <w:rsid w:val="35D1E4BD"/>
    <w:rsid w:val="35DB9F91"/>
    <w:rsid w:val="35E0BEA9"/>
    <w:rsid w:val="35E79136"/>
    <w:rsid w:val="35EAA738"/>
    <w:rsid w:val="35EF934A"/>
    <w:rsid w:val="35F9E2FA"/>
    <w:rsid w:val="35FEE50D"/>
    <w:rsid w:val="360A0029"/>
    <w:rsid w:val="360B0DDE"/>
    <w:rsid w:val="36154C6A"/>
    <w:rsid w:val="3620E91E"/>
    <w:rsid w:val="362D53F5"/>
    <w:rsid w:val="36373060"/>
    <w:rsid w:val="3641FE36"/>
    <w:rsid w:val="36437B5C"/>
    <w:rsid w:val="36483479"/>
    <w:rsid w:val="364D2DC4"/>
    <w:rsid w:val="36520B13"/>
    <w:rsid w:val="3652725D"/>
    <w:rsid w:val="365AC46C"/>
    <w:rsid w:val="365FF2A2"/>
    <w:rsid w:val="3664561A"/>
    <w:rsid w:val="3665266A"/>
    <w:rsid w:val="3665FC57"/>
    <w:rsid w:val="366634C1"/>
    <w:rsid w:val="366DBCA5"/>
    <w:rsid w:val="36742FBA"/>
    <w:rsid w:val="3675E754"/>
    <w:rsid w:val="36760B81"/>
    <w:rsid w:val="367650E1"/>
    <w:rsid w:val="36803EF5"/>
    <w:rsid w:val="368059AD"/>
    <w:rsid w:val="3687024A"/>
    <w:rsid w:val="36929ACB"/>
    <w:rsid w:val="3695997D"/>
    <w:rsid w:val="369B5BF8"/>
    <w:rsid w:val="36A4D396"/>
    <w:rsid w:val="36AB1EF5"/>
    <w:rsid w:val="36BCAE58"/>
    <w:rsid w:val="36BF6ADA"/>
    <w:rsid w:val="36C333A8"/>
    <w:rsid w:val="36C7BECE"/>
    <w:rsid w:val="36D1817E"/>
    <w:rsid w:val="36DAFB20"/>
    <w:rsid w:val="36DC2BFA"/>
    <w:rsid w:val="36DDFCC3"/>
    <w:rsid w:val="36E19B44"/>
    <w:rsid w:val="36E3F008"/>
    <w:rsid w:val="36EB4C4F"/>
    <w:rsid w:val="36F72F87"/>
    <w:rsid w:val="3700703D"/>
    <w:rsid w:val="37073BE8"/>
    <w:rsid w:val="370D7CD4"/>
    <w:rsid w:val="370DE8A9"/>
    <w:rsid w:val="370ED159"/>
    <w:rsid w:val="37142FF3"/>
    <w:rsid w:val="3719B704"/>
    <w:rsid w:val="372B8126"/>
    <w:rsid w:val="37366413"/>
    <w:rsid w:val="37388A3C"/>
    <w:rsid w:val="3742D2CF"/>
    <w:rsid w:val="3745E82C"/>
    <w:rsid w:val="374B1659"/>
    <w:rsid w:val="374B4602"/>
    <w:rsid w:val="374FE4D8"/>
    <w:rsid w:val="3751671D"/>
    <w:rsid w:val="37569105"/>
    <w:rsid w:val="375ADEC0"/>
    <w:rsid w:val="375E0FE0"/>
    <w:rsid w:val="375F682C"/>
    <w:rsid w:val="37609E45"/>
    <w:rsid w:val="376166A2"/>
    <w:rsid w:val="377726CD"/>
    <w:rsid w:val="377A8866"/>
    <w:rsid w:val="37849F69"/>
    <w:rsid w:val="37889407"/>
    <w:rsid w:val="379318DE"/>
    <w:rsid w:val="37971DC3"/>
    <w:rsid w:val="3798779E"/>
    <w:rsid w:val="3799F74B"/>
    <w:rsid w:val="379AB56E"/>
    <w:rsid w:val="379DAECD"/>
    <w:rsid w:val="37A04F69"/>
    <w:rsid w:val="37ADFE4C"/>
    <w:rsid w:val="37AE5B79"/>
    <w:rsid w:val="37C8906A"/>
    <w:rsid w:val="37CEEAB5"/>
    <w:rsid w:val="37DF3C4A"/>
    <w:rsid w:val="37E0D4FF"/>
    <w:rsid w:val="37E23589"/>
    <w:rsid w:val="37F54C7A"/>
    <w:rsid w:val="37F5738E"/>
    <w:rsid w:val="37FE78AE"/>
    <w:rsid w:val="3808635B"/>
    <w:rsid w:val="38103FB0"/>
    <w:rsid w:val="381994D0"/>
    <w:rsid w:val="381D6843"/>
    <w:rsid w:val="3826C0C7"/>
    <w:rsid w:val="382A8A64"/>
    <w:rsid w:val="382B742E"/>
    <w:rsid w:val="38364788"/>
    <w:rsid w:val="384226D9"/>
    <w:rsid w:val="384AFC74"/>
    <w:rsid w:val="3852422E"/>
    <w:rsid w:val="38527E42"/>
    <w:rsid w:val="385707F8"/>
    <w:rsid w:val="385805D7"/>
    <w:rsid w:val="385A27B6"/>
    <w:rsid w:val="385A5181"/>
    <w:rsid w:val="38604FCC"/>
    <w:rsid w:val="3864CE03"/>
    <w:rsid w:val="3869CE5B"/>
    <w:rsid w:val="386F108E"/>
    <w:rsid w:val="387153B2"/>
    <w:rsid w:val="38889CF4"/>
    <w:rsid w:val="3889CF94"/>
    <w:rsid w:val="388D7FD9"/>
    <w:rsid w:val="3893B7C4"/>
    <w:rsid w:val="389D2088"/>
    <w:rsid w:val="38AD8028"/>
    <w:rsid w:val="38B51BB1"/>
    <w:rsid w:val="38B75BFF"/>
    <w:rsid w:val="38B98037"/>
    <w:rsid w:val="38C925F4"/>
    <w:rsid w:val="38CA4B2B"/>
    <w:rsid w:val="38D549E6"/>
    <w:rsid w:val="38D61868"/>
    <w:rsid w:val="38D9B679"/>
    <w:rsid w:val="38DCBE7C"/>
    <w:rsid w:val="38E5FE36"/>
    <w:rsid w:val="38E62B16"/>
    <w:rsid w:val="38ED1141"/>
    <w:rsid w:val="38EE0434"/>
    <w:rsid w:val="38FF8DA9"/>
    <w:rsid w:val="3903D48C"/>
    <w:rsid w:val="390AE64B"/>
    <w:rsid w:val="390EC7F9"/>
    <w:rsid w:val="3910552B"/>
    <w:rsid w:val="3911C386"/>
    <w:rsid w:val="39138FCA"/>
    <w:rsid w:val="3918AD29"/>
    <w:rsid w:val="392C1CFF"/>
    <w:rsid w:val="392FDC29"/>
    <w:rsid w:val="3937C065"/>
    <w:rsid w:val="394C6EB8"/>
    <w:rsid w:val="394EC211"/>
    <w:rsid w:val="39592E0B"/>
    <w:rsid w:val="395C5648"/>
    <w:rsid w:val="395EAB63"/>
    <w:rsid w:val="3967222D"/>
    <w:rsid w:val="3969077D"/>
    <w:rsid w:val="3970A853"/>
    <w:rsid w:val="39712A86"/>
    <w:rsid w:val="39788AB3"/>
    <w:rsid w:val="39830C72"/>
    <w:rsid w:val="39955D40"/>
    <w:rsid w:val="39992003"/>
    <w:rsid w:val="399B39E6"/>
    <w:rsid w:val="399BE4FC"/>
    <w:rsid w:val="39A1A8E9"/>
    <w:rsid w:val="39A759B1"/>
    <w:rsid w:val="39A9A001"/>
    <w:rsid w:val="39AA1D6B"/>
    <w:rsid w:val="39C5F4DE"/>
    <w:rsid w:val="39DFD2B5"/>
    <w:rsid w:val="39E7DD22"/>
    <w:rsid w:val="39EC7FD5"/>
    <w:rsid w:val="39EEE182"/>
    <w:rsid w:val="39F21B1D"/>
    <w:rsid w:val="39F4C9DC"/>
    <w:rsid w:val="39FB73AF"/>
    <w:rsid w:val="39FF5C5E"/>
    <w:rsid w:val="3A030C4F"/>
    <w:rsid w:val="3A12ECD1"/>
    <w:rsid w:val="3A14D0B0"/>
    <w:rsid w:val="3A199963"/>
    <w:rsid w:val="3A260B33"/>
    <w:rsid w:val="3A26AD50"/>
    <w:rsid w:val="3A2AA073"/>
    <w:rsid w:val="3A2C6F11"/>
    <w:rsid w:val="3A2EE00D"/>
    <w:rsid w:val="3A3790C4"/>
    <w:rsid w:val="3A380A53"/>
    <w:rsid w:val="3A39FA57"/>
    <w:rsid w:val="3A450D35"/>
    <w:rsid w:val="3A471941"/>
    <w:rsid w:val="3A4C223D"/>
    <w:rsid w:val="3A509B0E"/>
    <w:rsid w:val="3A514DEE"/>
    <w:rsid w:val="3A54296A"/>
    <w:rsid w:val="3A59EC46"/>
    <w:rsid w:val="3A5A8ACB"/>
    <w:rsid w:val="3A5DEC97"/>
    <w:rsid w:val="3A6192B9"/>
    <w:rsid w:val="3A643A4D"/>
    <w:rsid w:val="3A66CA59"/>
    <w:rsid w:val="3A7A77DD"/>
    <w:rsid w:val="3A7DF0F1"/>
    <w:rsid w:val="3A7EC841"/>
    <w:rsid w:val="3A8252FC"/>
    <w:rsid w:val="3A8C8362"/>
    <w:rsid w:val="3A950F7B"/>
    <w:rsid w:val="3A9F5097"/>
    <w:rsid w:val="3AA005A8"/>
    <w:rsid w:val="3AA3AE23"/>
    <w:rsid w:val="3AA70BBD"/>
    <w:rsid w:val="3AA879A7"/>
    <w:rsid w:val="3AB81A10"/>
    <w:rsid w:val="3ABE99EB"/>
    <w:rsid w:val="3AC95F12"/>
    <w:rsid w:val="3ACDA2DF"/>
    <w:rsid w:val="3AD4CCF0"/>
    <w:rsid w:val="3AE22117"/>
    <w:rsid w:val="3AE424D5"/>
    <w:rsid w:val="3AE4EA38"/>
    <w:rsid w:val="3AEAD814"/>
    <w:rsid w:val="3AF8E695"/>
    <w:rsid w:val="3AFBCA05"/>
    <w:rsid w:val="3B03D6BF"/>
    <w:rsid w:val="3B0609C9"/>
    <w:rsid w:val="3B1C9F19"/>
    <w:rsid w:val="3B237756"/>
    <w:rsid w:val="3B2786D8"/>
    <w:rsid w:val="3B3C9A01"/>
    <w:rsid w:val="3B3D18AE"/>
    <w:rsid w:val="3B3E1BFF"/>
    <w:rsid w:val="3B45C164"/>
    <w:rsid w:val="3B4A27FA"/>
    <w:rsid w:val="3B4ECD0F"/>
    <w:rsid w:val="3B535CF4"/>
    <w:rsid w:val="3B552B5F"/>
    <w:rsid w:val="3B5B08E1"/>
    <w:rsid w:val="3B630882"/>
    <w:rsid w:val="3B650CEE"/>
    <w:rsid w:val="3B75B148"/>
    <w:rsid w:val="3B83D22A"/>
    <w:rsid w:val="3B84775E"/>
    <w:rsid w:val="3B8554D8"/>
    <w:rsid w:val="3B8E0D3B"/>
    <w:rsid w:val="3B8EFF78"/>
    <w:rsid w:val="3B954C42"/>
    <w:rsid w:val="3BA70866"/>
    <w:rsid w:val="3BAFB224"/>
    <w:rsid w:val="3BB70170"/>
    <w:rsid w:val="3BB8877A"/>
    <w:rsid w:val="3BBCF0F7"/>
    <w:rsid w:val="3BD6686F"/>
    <w:rsid w:val="3BD71F2A"/>
    <w:rsid w:val="3BDEA230"/>
    <w:rsid w:val="3BE4F420"/>
    <w:rsid w:val="3BE4F548"/>
    <w:rsid w:val="3BE51ED9"/>
    <w:rsid w:val="3BF2C52F"/>
    <w:rsid w:val="3BF74CF9"/>
    <w:rsid w:val="3C0C0F21"/>
    <w:rsid w:val="3C1211DA"/>
    <w:rsid w:val="3C153309"/>
    <w:rsid w:val="3C17C798"/>
    <w:rsid w:val="3C1F7D49"/>
    <w:rsid w:val="3C250904"/>
    <w:rsid w:val="3C251D75"/>
    <w:rsid w:val="3C31FEE1"/>
    <w:rsid w:val="3C3E9E08"/>
    <w:rsid w:val="3C41AF72"/>
    <w:rsid w:val="3C4241D1"/>
    <w:rsid w:val="3C49B49C"/>
    <w:rsid w:val="3C4B606F"/>
    <w:rsid w:val="3C4E282B"/>
    <w:rsid w:val="3C5194CF"/>
    <w:rsid w:val="3C594ECD"/>
    <w:rsid w:val="3C5BF9F0"/>
    <w:rsid w:val="3C6001BF"/>
    <w:rsid w:val="3C71D6D9"/>
    <w:rsid w:val="3C80FBD9"/>
    <w:rsid w:val="3CA46404"/>
    <w:rsid w:val="3CA4D58D"/>
    <w:rsid w:val="3CBA2521"/>
    <w:rsid w:val="3CBC5BF1"/>
    <w:rsid w:val="3CCC0F03"/>
    <w:rsid w:val="3CCDB291"/>
    <w:rsid w:val="3CD60F56"/>
    <w:rsid w:val="3CDFC638"/>
    <w:rsid w:val="3CE3092A"/>
    <w:rsid w:val="3CE8930F"/>
    <w:rsid w:val="3D00DAF1"/>
    <w:rsid w:val="3D020CB9"/>
    <w:rsid w:val="3D070B9D"/>
    <w:rsid w:val="3D0979E4"/>
    <w:rsid w:val="3D0A34B2"/>
    <w:rsid w:val="3D129C2A"/>
    <w:rsid w:val="3D143870"/>
    <w:rsid w:val="3D15A5B1"/>
    <w:rsid w:val="3D1D35BC"/>
    <w:rsid w:val="3D2366B6"/>
    <w:rsid w:val="3D2B987A"/>
    <w:rsid w:val="3D32C984"/>
    <w:rsid w:val="3D356DF9"/>
    <w:rsid w:val="3D40E70D"/>
    <w:rsid w:val="3D45C38F"/>
    <w:rsid w:val="3D4620B8"/>
    <w:rsid w:val="3D4B3DB2"/>
    <w:rsid w:val="3D4B8289"/>
    <w:rsid w:val="3D518250"/>
    <w:rsid w:val="3D51FCB2"/>
    <w:rsid w:val="3D699446"/>
    <w:rsid w:val="3D69E57C"/>
    <w:rsid w:val="3D6AE7A8"/>
    <w:rsid w:val="3D6DF1EE"/>
    <w:rsid w:val="3D7C7D80"/>
    <w:rsid w:val="3D8A9D68"/>
    <w:rsid w:val="3D9E9E35"/>
    <w:rsid w:val="3DA12E75"/>
    <w:rsid w:val="3DA1EF84"/>
    <w:rsid w:val="3DA4DDD3"/>
    <w:rsid w:val="3DB51246"/>
    <w:rsid w:val="3DBCC9B3"/>
    <w:rsid w:val="3DBD5CD4"/>
    <w:rsid w:val="3DC084F5"/>
    <w:rsid w:val="3DC09A27"/>
    <w:rsid w:val="3DC692A2"/>
    <w:rsid w:val="3DCFA7D7"/>
    <w:rsid w:val="3DD21EED"/>
    <w:rsid w:val="3DDE273B"/>
    <w:rsid w:val="3DE7E2BF"/>
    <w:rsid w:val="3DF058C5"/>
    <w:rsid w:val="3DF1621D"/>
    <w:rsid w:val="3DF4BF09"/>
    <w:rsid w:val="3DF4EC4C"/>
    <w:rsid w:val="3DF65E0F"/>
    <w:rsid w:val="3E071CC7"/>
    <w:rsid w:val="3E0882FC"/>
    <w:rsid w:val="3E0B4622"/>
    <w:rsid w:val="3E0CD785"/>
    <w:rsid w:val="3E141DE0"/>
    <w:rsid w:val="3E151E91"/>
    <w:rsid w:val="3E170EAA"/>
    <w:rsid w:val="3E184769"/>
    <w:rsid w:val="3E1D6D0E"/>
    <w:rsid w:val="3E290287"/>
    <w:rsid w:val="3E29F854"/>
    <w:rsid w:val="3E2BC379"/>
    <w:rsid w:val="3E3290B0"/>
    <w:rsid w:val="3E484288"/>
    <w:rsid w:val="3E4B84D3"/>
    <w:rsid w:val="3E4ECBD7"/>
    <w:rsid w:val="3E56B35B"/>
    <w:rsid w:val="3E58F468"/>
    <w:rsid w:val="3E596DEC"/>
    <w:rsid w:val="3E5A54AB"/>
    <w:rsid w:val="3E67DA37"/>
    <w:rsid w:val="3E6B0609"/>
    <w:rsid w:val="3E6E2B39"/>
    <w:rsid w:val="3E8BF1E2"/>
    <w:rsid w:val="3E8E5914"/>
    <w:rsid w:val="3E8FCF70"/>
    <w:rsid w:val="3EBD31DE"/>
    <w:rsid w:val="3EBDFCC9"/>
    <w:rsid w:val="3EC2C201"/>
    <w:rsid w:val="3ED7972D"/>
    <w:rsid w:val="3EDF4DC5"/>
    <w:rsid w:val="3EE72B8D"/>
    <w:rsid w:val="3EE77ACA"/>
    <w:rsid w:val="3EE9190F"/>
    <w:rsid w:val="3EF3F10D"/>
    <w:rsid w:val="3EF562C5"/>
    <w:rsid w:val="3EFDDAEB"/>
    <w:rsid w:val="3EFF465A"/>
    <w:rsid w:val="3F042057"/>
    <w:rsid w:val="3F05344D"/>
    <w:rsid w:val="3F07A9E2"/>
    <w:rsid w:val="3F0A8059"/>
    <w:rsid w:val="3F14D2E5"/>
    <w:rsid w:val="3F15ED3B"/>
    <w:rsid w:val="3F163C7D"/>
    <w:rsid w:val="3F18632F"/>
    <w:rsid w:val="3F187FE7"/>
    <w:rsid w:val="3F1D9ADE"/>
    <w:rsid w:val="3F218EDD"/>
    <w:rsid w:val="3F26D6DC"/>
    <w:rsid w:val="3F2DA6F0"/>
    <w:rsid w:val="3F3354B9"/>
    <w:rsid w:val="3F35CA4B"/>
    <w:rsid w:val="3F3EAF83"/>
    <w:rsid w:val="3F4A5D05"/>
    <w:rsid w:val="3F4A764E"/>
    <w:rsid w:val="3F59BFE8"/>
    <w:rsid w:val="3F6A82A6"/>
    <w:rsid w:val="3F716A7B"/>
    <w:rsid w:val="3F786E03"/>
    <w:rsid w:val="3F78F143"/>
    <w:rsid w:val="3F7B8B4C"/>
    <w:rsid w:val="3F80F21D"/>
    <w:rsid w:val="3F843863"/>
    <w:rsid w:val="3F8966BF"/>
    <w:rsid w:val="3F8BA796"/>
    <w:rsid w:val="3F8BFACE"/>
    <w:rsid w:val="3F91F0F0"/>
    <w:rsid w:val="3F972E7E"/>
    <w:rsid w:val="3FA5EEFF"/>
    <w:rsid w:val="3FAF4AB0"/>
    <w:rsid w:val="3FB9C911"/>
    <w:rsid w:val="3FBB9948"/>
    <w:rsid w:val="3FD21FCF"/>
    <w:rsid w:val="3FDBB281"/>
    <w:rsid w:val="3FDFFB89"/>
    <w:rsid w:val="3FEA79DB"/>
    <w:rsid w:val="3FF13776"/>
    <w:rsid w:val="3FF62E8B"/>
    <w:rsid w:val="3FFEECAD"/>
    <w:rsid w:val="4002BB4E"/>
    <w:rsid w:val="4002FB15"/>
    <w:rsid w:val="400A892C"/>
    <w:rsid w:val="40103E35"/>
    <w:rsid w:val="401435E2"/>
    <w:rsid w:val="40170830"/>
    <w:rsid w:val="401A972B"/>
    <w:rsid w:val="401A9F51"/>
    <w:rsid w:val="4021B675"/>
    <w:rsid w:val="4024111E"/>
    <w:rsid w:val="402E592A"/>
    <w:rsid w:val="4035EA13"/>
    <w:rsid w:val="40384776"/>
    <w:rsid w:val="40457F7B"/>
    <w:rsid w:val="404E9F34"/>
    <w:rsid w:val="40555521"/>
    <w:rsid w:val="4055E859"/>
    <w:rsid w:val="405A6E98"/>
    <w:rsid w:val="406D1D68"/>
    <w:rsid w:val="40744FFA"/>
    <w:rsid w:val="4078695E"/>
    <w:rsid w:val="4078B703"/>
    <w:rsid w:val="408E3605"/>
    <w:rsid w:val="408EB2B8"/>
    <w:rsid w:val="409F2067"/>
    <w:rsid w:val="40A0AA39"/>
    <w:rsid w:val="40A2E409"/>
    <w:rsid w:val="40A3482E"/>
    <w:rsid w:val="40A39209"/>
    <w:rsid w:val="40AE3846"/>
    <w:rsid w:val="40B3B6CF"/>
    <w:rsid w:val="40B57EC7"/>
    <w:rsid w:val="40B6446F"/>
    <w:rsid w:val="40B6AB51"/>
    <w:rsid w:val="40C1B156"/>
    <w:rsid w:val="40C6F12E"/>
    <w:rsid w:val="40C8DECC"/>
    <w:rsid w:val="40C9A8E2"/>
    <w:rsid w:val="40CE1E29"/>
    <w:rsid w:val="40D07B92"/>
    <w:rsid w:val="40D54267"/>
    <w:rsid w:val="40D982E6"/>
    <w:rsid w:val="40E02DAC"/>
    <w:rsid w:val="40E28799"/>
    <w:rsid w:val="40EE1C95"/>
    <w:rsid w:val="40EF768A"/>
    <w:rsid w:val="40F0BA8A"/>
    <w:rsid w:val="40F53BB4"/>
    <w:rsid w:val="40F770A0"/>
    <w:rsid w:val="40FD73E7"/>
    <w:rsid w:val="410620A4"/>
    <w:rsid w:val="410F86E7"/>
    <w:rsid w:val="4110981C"/>
    <w:rsid w:val="411DC49B"/>
    <w:rsid w:val="411EAC01"/>
    <w:rsid w:val="411FBE21"/>
    <w:rsid w:val="41205E5C"/>
    <w:rsid w:val="412486ED"/>
    <w:rsid w:val="412524AE"/>
    <w:rsid w:val="4126FC57"/>
    <w:rsid w:val="412777CA"/>
    <w:rsid w:val="412C3C0D"/>
    <w:rsid w:val="4131B593"/>
    <w:rsid w:val="413CB2BE"/>
    <w:rsid w:val="4151A358"/>
    <w:rsid w:val="41540B19"/>
    <w:rsid w:val="415EECDE"/>
    <w:rsid w:val="4162729E"/>
    <w:rsid w:val="416F6C9F"/>
    <w:rsid w:val="4174BE4B"/>
    <w:rsid w:val="417E47F0"/>
    <w:rsid w:val="419C5FF3"/>
    <w:rsid w:val="419CEA38"/>
    <w:rsid w:val="41A1165E"/>
    <w:rsid w:val="41AC9B0B"/>
    <w:rsid w:val="41B31A4A"/>
    <w:rsid w:val="41BD7BB8"/>
    <w:rsid w:val="41C2746C"/>
    <w:rsid w:val="41D1525E"/>
    <w:rsid w:val="41D9B1BB"/>
    <w:rsid w:val="41DADA9B"/>
    <w:rsid w:val="41E7511B"/>
    <w:rsid w:val="41F16299"/>
    <w:rsid w:val="41F4C770"/>
    <w:rsid w:val="41F639A0"/>
    <w:rsid w:val="41F8D104"/>
    <w:rsid w:val="41F9E3B0"/>
    <w:rsid w:val="41FF993C"/>
    <w:rsid w:val="4200520C"/>
    <w:rsid w:val="420236BF"/>
    <w:rsid w:val="420C5472"/>
    <w:rsid w:val="420CA24C"/>
    <w:rsid w:val="4214E504"/>
    <w:rsid w:val="421C1799"/>
    <w:rsid w:val="421E4FE0"/>
    <w:rsid w:val="4222C95F"/>
    <w:rsid w:val="423EF8A4"/>
    <w:rsid w:val="4246F5D5"/>
    <w:rsid w:val="4257CB2F"/>
    <w:rsid w:val="4259DFA5"/>
    <w:rsid w:val="425A34F4"/>
    <w:rsid w:val="425CA102"/>
    <w:rsid w:val="425D520F"/>
    <w:rsid w:val="42616501"/>
    <w:rsid w:val="42861FB6"/>
    <w:rsid w:val="42894635"/>
    <w:rsid w:val="4293325D"/>
    <w:rsid w:val="42942727"/>
    <w:rsid w:val="42A52661"/>
    <w:rsid w:val="42A78CAE"/>
    <w:rsid w:val="42A8B0C0"/>
    <w:rsid w:val="42B432AB"/>
    <w:rsid w:val="42B9C70E"/>
    <w:rsid w:val="42BE4B28"/>
    <w:rsid w:val="42C0CA3E"/>
    <w:rsid w:val="42C16103"/>
    <w:rsid w:val="42C26D69"/>
    <w:rsid w:val="42D53C1D"/>
    <w:rsid w:val="42D55C74"/>
    <w:rsid w:val="42D90B9F"/>
    <w:rsid w:val="42DBBD8B"/>
    <w:rsid w:val="42DEAFE5"/>
    <w:rsid w:val="42E04786"/>
    <w:rsid w:val="42F12612"/>
    <w:rsid w:val="42F462C7"/>
    <w:rsid w:val="42F48A97"/>
    <w:rsid w:val="4303763A"/>
    <w:rsid w:val="43099509"/>
    <w:rsid w:val="431350CD"/>
    <w:rsid w:val="4317FBA3"/>
    <w:rsid w:val="431B0889"/>
    <w:rsid w:val="4326BD5C"/>
    <w:rsid w:val="432B5702"/>
    <w:rsid w:val="4337414D"/>
    <w:rsid w:val="433BB3B2"/>
    <w:rsid w:val="43431AE5"/>
    <w:rsid w:val="43495437"/>
    <w:rsid w:val="43498879"/>
    <w:rsid w:val="434A44E7"/>
    <w:rsid w:val="43506A50"/>
    <w:rsid w:val="435566E8"/>
    <w:rsid w:val="4357F216"/>
    <w:rsid w:val="435A767F"/>
    <w:rsid w:val="435E1A81"/>
    <w:rsid w:val="436342A2"/>
    <w:rsid w:val="436B70AA"/>
    <w:rsid w:val="437AB343"/>
    <w:rsid w:val="437DD73B"/>
    <w:rsid w:val="437E1C24"/>
    <w:rsid w:val="438D9B54"/>
    <w:rsid w:val="4392519A"/>
    <w:rsid w:val="439A81B2"/>
    <w:rsid w:val="439DE2EE"/>
    <w:rsid w:val="43A7644E"/>
    <w:rsid w:val="43A7A53A"/>
    <w:rsid w:val="43AEE94E"/>
    <w:rsid w:val="43B5F192"/>
    <w:rsid w:val="43BD492B"/>
    <w:rsid w:val="43BD7CE8"/>
    <w:rsid w:val="43D48DB2"/>
    <w:rsid w:val="43D51B5A"/>
    <w:rsid w:val="43E53004"/>
    <w:rsid w:val="43F84D00"/>
    <w:rsid w:val="43F8D777"/>
    <w:rsid w:val="43F9823A"/>
    <w:rsid w:val="43F98E39"/>
    <w:rsid w:val="43FAFF82"/>
    <w:rsid w:val="43FB2786"/>
    <w:rsid w:val="43FDE28B"/>
    <w:rsid w:val="4402B1C4"/>
    <w:rsid w:val="44067C60"/>
    <w:rsid w:val="440A7DD4"/>
    <w:rsid w:val="4418A084"/>
    <w:rsid w:val="442ADF06"/>
    <w:rsid w:val="442DAC3B"/>
    <w:rsid w:val="44322C79"/>
    <w:rsid w:val="443702BC"/>
    <w:rsid w:val="443D812F"/>
    <w:rsid w:val="4442C89C"/>
    <w:rsid w:val="4444DA32"/>
    <w:rsid w:val="44453A07"/>
    <w:rsid w:val="44498B46"/>
    <w:rsid w:val="4450359B"/>
    <w:rsid w:val="446E2C31"/>
    <w:rsid w:val="447071CE"/>
    <w:rsid w:val="44716C98"/>
    <w:rsid w:val="44727C6E"/>
    <w:rsid w:val="4472CB72"/>
    <w:rsid w:val="448025D2"/>
    <w:rsid w:val="4480BF0F"/>
    <w:rsid w:val="4486CC28"/>
    <w:rsid w:val="448AC43F"/>
    <w:rsid w:val="448CB444"/>
    <w:rsid w:val="4492A7CB"/>
    <w:rsid w:val="4493344C"/>
    <w:rsid w:val="44957570"/>
    <w:rsid w:val="44982C1E"/>
    <w:rsid w:val="449B8344"/>
    <w:rsid w:val="44A7F946"/>
    <w:rsid w:val="44A898C4"/>
    <w:rsid w:val="44A9D8DA"/>
    <w:rsid w:val="44B8A19A"/>
    <w:rsid w:val="44C06E65"/>
    <w:rsid w:val="44C9DDBA"/>
    <w:rsid w:val="44CB50E1"/>
    <w:rsid w:val="44D0B20C"/>
    <w:rsid w:val="44DAF66C"/>
    <w:rsid w:val="44DB73DC"/>
    <w:rsid w:val="44DC9957"/>
    <w:rsid w:val="44E58058"/>
    <w:rsid w:val="44E9386D"/>
    <w:rsid w:val="44EDFDAB"/>
    <w:rsid w:val="44F3B0A7"/>
    <w:rsid w:val="44F9C878"/>
    <w:rsid w:val="44F9DD0A"/>
    <w:rsid w:val="44FAD21E"/>
    <w:rsid w:val="4508EA5B"/>
    <w:rsid w:val="450E02CC"/>
    <w:rsid w:val="45154A06"/>
    <w:rsid w:val="45157492"/>
    <w:rsid w:val="45283B6B"/>
    <w:rsid w:val="452C62D2"/>
    <w:rsid w:val="452E2EA1"/>
    <w:rsid w:val="452E473C"/>
    <w:rsid w:val="45314F16"/>
    <w:rsid w:val="4539B18D"/>
    <w:rsid w:val="453B37A8"/>
    <w:rsid w:val="453F8804"/>
    <w:rsid w:val="45444755"/>
    <w:rsid w:val="4544D18C"/>
    <w:rsid w:val="4553420E"/>
    <w:rsid w:val="45566781"/>
    <w:rsid w:val="45576F5A"/>
    <w:rsid w:val="456447FA"/>
    <w:rsid w:val="456DAE82"/>
    <w:rsid w:val="456E8EBD"/>
    <w:rsid w:val="457E714E"/>
    <w:rsid w:val="457FA1D0"/>
    <w:rsid w:val="458256AC"/>
    <w:rsid w:val="458258C4"/>
    <w:rsid w:val="4589BE4B"/>
    <w:rsid w:val="458D501D"/>
    <w:rsid w:val="458F6934"/>
    <w:rsid w:val="459D3EFC"/>
    <w:rsid w:val="45A3B51C"/>
    <w:rsid w:val="45B04745"/>
    <w:rsid w:val="45B271F5"/>
    <w:rsid w:val="45B3A0DA"/>
    <w:rsid w:val="45B3E8C1"/>
    <w:rsid w:val="45BDF547"/>
    <w:rsid w:val="45C724C8"/>
    <w:rsid w:val="45CA56EA"/>
    <w:rsid w:val="45CB9D65"/>
    <w:rsid w:val="45CEE89D"/>
    <w:rsid w:val="45D607DC"/>
    <w:rsid w:val="45D9FDE7"/>
    <w:rsid w:val="45DA3F2A"/>
    <w:rsid w:val="45DC4633"/>
    <w:rsid w:val="45E6C43B"/>
    <w:rsid w:val="45FBC186"/>
    <w:rsid w:val="460B1F25"/>
    <w:rsid w:val="4612BFE9"/>
    <w:rsid w:val="46165874"/>
    <w:rsid w:val="4619865B"/>
    <w:rsid w:val="4627B213"/>
    <w:rsid w:val="46372BD1"/>
    <w:rsid w:val="463A5FD0"/>
    <w:rsid w:val="464658B4"/>
    <w:rsid w:val="4653A5D1"/>
    <w:rsid w:val="46543829"/>
    <w:rsid w:val="465576D6"/>
    <w:rsid w:val="465A2FF5"/>
    <w:rsid w:val="465E48D8"/>
    <w:rsid w:val="467B34EE"/>
    <w:rsid w:val="467E7150"/>
    <w:rsid w:val="4682E1CB"/>
    <w:rsid w:val="46897163"/>
    <w:rsid w:val="4689F7B3"/>
    <w:rsid w:val="468BCFDD"/>
    <w:rsid w:val="468FF142"/>
    <w:rsid w:val="4699BA77"/>
    <w:rsid w:val="469C7988"/>
    <w:rsid w:val="469E2C29"/>
    <w:rsid w:val="46A0DAE7"/>
    <w:rsid w:val="46AE798A"/>
    <w:rsid w:val="46C3F51B"/>
    <w:rsid w:val="46C5A237"/>
    <w:rsid w:val="46CD9263"/>
    <w:rsid w:val="46D132A7"/>
    <w:rsid w:val="46D28D35"/>
    <w:rsid w:val="46D2D97B"/>
    <w:rsid w:val="46D5A425"/>
    <w:rsid w:val="46F534B6"/>
    <w:rsid w:val="46F670B3"/>
    <w:rsid w:val="4703C00E"/>
    <w:rsid w:val="470DEA0F"/>
    <w:rsid w:val="472054AF"/>
    <w:rsid w:val="47249A52"/>
    <w:rsid w:val="4724F2E7"/>
    <w:rsid w:val="472A25F3"/>
    <w:rsid w:val="472FE148"/>
    <w:rsid w:val="4731DC94"/>
    <w:rsid w:val="4732204C"/>
    <w:rsid w:val="473A075D"/>
    <w:rsid w:val="473EDC00"/>
    <w:rsid w:val="47497EC1"/>
    <w:rsid w:val="47512506"/>
    <w:rsid w:val="475214FB"/>
    <w:rsid w:val="4754763F"/>
    <w:rsid w:val="47595101"/>
    <w:rsid w:val="4764CACC"/>
    <w:rsid w:val="47684D73"/>
    <w:rsid w:val="476C9A6E"/>
    <w:rsid w:val="47738BD2"/>
    <w:rsid w:val="4779081B"/>
    <w:rsid w:val="4786413E"/>
    <w:rsid w:val="478B098D"/>
    <w:rsid w:val="47977CEA"/>
    <w:rsid w:val="479ACDE2"/>
    <w:rsid w:val="47B2B222"/>
    <w:rsid w:val="47B3D20B"/>
    <w:rsid w:val="47B932D9"/>
    <w:rsid w:val="47C2880D"/>
    <w:rsid w:val="47C47087"/>
    <w:rsid w:val="47D31C03"/>
    <w:rsid w:val="47D5E0A7"/>
    <w:rsid w:val="47DA817A"/>
    <w:rsid w:val="47E17596"/>
    <w:rsid w:val="47E43F00"/>
    <w:rsid w:val="47E7896A"/>
    <w:rsid w:val="47EF3B7D"/>
    <w:rsid w:val="47F08815"/>
    <w:rsid w:val="47F1C70C"/>
    <w:rsid w:val="47F5C204"/>
    <w:rsid w:val="4802D247"/>
    <w:rsid w:val="48098C20"/>
    <w:rsid w:val="480A79EA"/>
    <w:rsid w:val="481028F3"/>
    <w:rsid w:val="4812BD02"/>
    <w:rsid w:val="481EAEA0"/>
    <w:rsid w:val="48275ED2"/>
    <w:rsid w:val="48290312"/>
    <w:rsid w:val="4834033E"/>
    <w:rsid w:val="48434D73"/>
    <w:rsid w:val="4848AD9A"/>
    <w:rsid w:val="48525E0B"/>
    <w:rsid w:val="48589ADF"/>
    <w:rsid w:val="48625B6C"/>
    <w:rsid w:val="486AD5DD"/>
    <w:rsid w:val="4879DF64"/>
    <w:rsid w:val="48820DDE"/>
    <w:rsid w:val="48831481"/>
    <w:rsid w:val="48837694"/>
    <w:rsid w:val="48870972"/>
    <w:rsid w:val="488827CE"/>
    <w:rsid w:val="488928CA"/>
    <w:rsid w:val="4889BA44"/>
    <w:rsid w:val="488F47A5"/>
    <w:rsid w:val="4890F8C9"/>
    <w:rsid w:val="489BA81F"/>
    <w:rsid w:val="48A025A4"/>
    <w:rsid w:val="48A9445F"/>
    <w:rsid w:val="48BC49FC"/>
    <w:rsid w:val="48D46EC4"/>
    <w:rsid w:val="48DB69FE"/>
    <w:rsid w:val="48EC36A2"/>
    <w:rsid w:val="490280AF"/>
    <w:rsid w:val="490B5116"/>
    <w:rsid w:val="490F2FDA"/>
    <w:rsid w:val="4916A4D5"/>
    <w:rsid w:val="491A1C2E"/>
    <w:rsid w:val="49278A44"/>
    <w:rsid w:val="492A581B"/>
    <w:rsid w:val="492DD29A"/>
    <w:rsid w:val="49316EA6"/>
    <w:rsid w:val="493A2C8B"/>
    <w:rsid w:val="494184B9"/>
    <w:rsid w:val="494EAC5E"/>
    <w:rsid w:val="4959AE92"/>
    <w:rsid w:val="495AB952"/>
    <w:rsid w:val="49617FDF"/>
    <w:rsid w:val="496507C3"/>
    <w:rsid w:val="497E686C"/>
    <w:rsid w:val="4980D136"/>
    <w:rsid w:val="49847B6C"/>
    <w:rsid w:val="49891028"/>
    <w:rsid w:val="498AB030"/>
    <w:rsid w:val="499AF672"/>
    <w:rsid w:val="499B0D66"/>
    <w:rsid w:val="49AFAE82"/>
    <w:rsid w:val="49B4FDCD"/>
    <w:rsid w:val="49B704FD"/>
    <w:rsid w:val="49BC9490"/>
    <w:rsid w:val="49C67A48"/>
    <w:rsid w:val="49DA8FE9"/>
    <w:rsid w:val="49E01273"/>
    <w:rsid w:val="49E04A27"/>
    <w:rsid w:val="49E20809"/>
    <w:rsid w:val="49E26B2A"/>
    <w:rsid w:val="49E3ECC4"/>
    <w:rsid w:val="49FE4A30"/>
    <w:rsid w:val="4A01046A"/>
    <w:rsid w:val="4A07A02E"/>
    <w:rsid w:val="4A0961EF"/>
    <w:rsid w:val="4A0A5EDC"/>
    <w:rsid w:val="4A0DBBE4"/>
    <w:rsid w:val="4A137248"/>
    <w:rsid w:val="4A16B04B"/>
    <w:rsid w:val="4A1D8083"/>
    <w:rsid w:val="4A1DCE62"/>
    <w:rsid w:val="4A20CBA3"/>
    <w:rsid w:val="4A266324"/>
    <w:rsid w:val="4A284B9E"/>
    <w:rsid w:val="4A3A3CB8"/>
    <w:rsid w:val="4A3C4866"/>
    <w:rsid w:val="4A401A4D"/>
    <w:rsid w:val="4A45D2E0"/>
    <w:rsid w:val="4A46A86D"/>
    <w:rsid w:val="4A489BF7"/>
    <w:rsid w:val="4A48BD94"/>
    <w:rsid w:val="4A4CE93F"/>
    <w:rsid w:val="4A53EC94"/>
    <w:rsid w:val="4A6FD9FA"/>
    <w:rsid w:val="4A853B22"/>
    <w:rsid w:val="4A86FE20"/>
    <w:rsid w:val="4A8C2C66"/>
    <w:rsid w:val="4A9B3E82"/>
    <w:rsid w:val="4AA6AD5E"/>
    <w:rsid w:val="4AB20F87"/>
    <w:rsid w:val="4AB2CBEC"/>
    <w:rsid w:val="4AB3A8CD"/>
    <w:rsid w:val="4AB52AFE"/>
    <w:rsid w:val="4AB7E044"/>
    <w:rsid w:val="4AC9A120"/>
    <w:rsid w:val="4ACEFF5E"/>
    <w:rsid w:val="4ACF1EA4"/>
    <w:rsid w:val="4AD78509"/>
    <w:rsid w:val="4AE44476"/>
    <w:rsid w:val="4AE4B7A8"/>
    <w:rsid w:val="4AE64A2F"/>
    <w:rsid w:val="4AE7796F"/>
    <w:rsid w:val="4AEA5D9F"/>
    <w:rsid w:val="4AEEC3F6"/>
    <w:rsid w:val="4AF0AD66"/>
    <w:rsid w:val="4AF5A3EC"/>
    <w:rsid w:val="4AF7AA02"/>
    <w:rsid w:val="4B0C3075"/>
    <w:rsid w:val="4B116D0F"/>
    <w:rsid w:val="4B1577D3"/>
    <w:rsid w:val="4B1D5E15"/>
    <w:rsid w:val="4B1EB1FE"/>
    <w:rsid w:val="4B3A0CD8"/>
    <w:rsid w:val="4B3F9931"/>
    <w:rsid w:val="4B47748D"/>
    <w:rsid w:val="4B4FEF30"/>
    <w:rsid w:val="4B519B45"/>
    <w:rsid w:val="4B5944BD"/>
    <w:rsid w:val="4B5C7D9D"/>
    <w:rsid w:val="4B6388D7"/>
    <w:rsid w:val="4B708160"/>
    <w:rsid w:val="4B756843"/>
    <w:rsid w:val="4B756C3F"/>
    <w:rsid w:val="4B7E83EB"/>
    <w:rsid w:val="4B858A60"/>
    <w:rsid w:val="4B877FFD"/>
    <w:rsid w:val="4B9041C8"/>
    <w:rsid w:val="4B9326F2"/>
    <w:rsid w:val="4B94242A"/>
    <w:rsid w:val="4B978503"/>
    <w:rsid w:val="4B9A2EFA"/>
    <w:rsid w:val="4BAAF3A2"/>
    <w:rsid w:val="4BB6943B"/>
    <w:rsid w:val="4BBB691E"/>
    <w:rsid w:val="4BBED61C"/>
    <w:rsid w:val="4BC1FA0C"/>
    <w:rsid w:val="4BD2F53B"/>
    <w:rsid w:val="4BE19183"/>
    <w:rsid w:val="4BE4008C"/>
    <w:rsid w:val="4BEC8F3B"/>
    <w:rsid w:val="4BEFDDDE"/>
    <w:rsid w:val="4BFB77A3"/>
    <w:rsid w:val="4C009550"/>
    <w:rsid w:val="4C04317F"/>
    <w:rsid w:val="4C06D93E"/>
    <w:rsid w:val="4C074AE1"/>
    <w:rsid w:val="4C0A3DAA"/>
    <w:rsid w:val="4C11286B"/>
    <w:rsid w:val="4C1458E8"/>
    <w:rsid w:val="4C224527"/>
    <w:rsid w:val="4C2A6444"/>
    <w:rsid w:val="4C2F8D6B"/>
    <w:rsid w:val="4C360B13"/>
    <w:rsid w:val="4C3B6D45"/>
    <w:rsid w:val="4C4A7851"/>
    <w:rsid w:val="4C4CBC6F"/>
    <w:rsid w:val="4C4CDB8A"/>
    <w:rsid w:val="4C4EE916"/>
    <w:rsid w:val="4C505C2A"/>
    <w:rsid w:val="4C53E68C"/>
    <w:rsid w:val="4C5521C0"/>
    <w:rsid w:val="4C585BFF"/>
    <w:rsid w:val="4C65FC25"/>
    <w:rsid w:val="4C7A8A74"/>
    <w:rsid w:val="4C860F5B"/>
    <w:rsid w:val="4C896BEF"/>
    <w:rsid w:val="4C8ECF35"/>
    <w:rsid w:val="4C931923"/>
    <w:rsid w:val="4C9824C2"/>
    <w:rsid w:val="4C9AB40E"/>
    <w:rsid w:val="4CA28B90"/>
    <w:rsid w:val="4CA5023A"/>
    <w:rsid w:val="4CA783C1"/>
    <w:rsid w:val="4CB40E28"/>
    <w:rsid w:val="4CB84DC0"/>
    <w:rsid w:val="4CBA4738"/>
    <w:rsid w:val="4CBD134E"/>
    <w:rsid w:val="4CC24378"/>
    <w:rsid w:val="4CD750F8"/>
    <w:rsid w:val="4CD9BF2D"/>
    <w:rsid w:val="4CDA4509"/>
    <w:rsid w:val="4CDEFB4A"/>
    <w:rsid w:val="4CE0C116"/>
    <w:rsid w:val="4CE8576A"/>
    <w:rsid w:val="4CEA9D78"/>
    <w:rsid w:val="4D053E00"/>
    <w:rsid w:val="4D11FF73"/>
    <w:rsid w:val="4D2392C6"/>
    <w:rsid w:val="4D28F71F"/>
    <w:rsid w:val="4D2AD2AA"/>
    <w:rsid w:val="4D2FC209"/>
    <w:rsid w:val="4D33E992"/>
    <w:rsid w:val="4D359E64"/>
    <w:rsid w:val="4D3C9456"/>
    <w:rsid w:val="4D51F2BB"/>
    <w:rsid w:val="4D56808F"/>
    <w:rsid w:val="4D6DC824"/>
    <w:rsid w:val="4D772F54"/>
    <w:rsid w:val="4D78FDF2"/>
    <w:rsid w:val="4D82445E"/>
    <w:rsid w:val="4D8B6628"/>
    <w:rsid w:val="4D90C944"/>
    <w:rsid w:val="4D9D1150"/>
    <w:rsid w:val="4D9E4E0D"/>
    <w:rsid w:val="4DB1908B"/>
    <w:rsid w:val="4DC12300"/>
    <w:rsid w:val="4DD08902"/>
    <w:rsid w:val="4DD0FB0A"/>
    <w:rsid w:val="4DD2D92A"/>
    <w:rsid w:val="4DD4DE5F"/>
    <w:rsid w:val="4DD650C5"/>
    <w:rsid w:val="4DDABB1D"/>
    <w:rsid w:val="4DDDEF2A"/>
    <w:rsid w:val="4DDF6C40"/>
    <w:rsid w:val="4DE07484"/>
    <w:rsid w:val="4DED97E2"/>
    <w:rsid w:val="4DF3AD76"/>
    <w:rsid w:val="4E03B1B2"/>
    <w:rsid w:val="4E0C690F"/>
    <w:rsid w:val="4E245B20"/>
    <w:rsid w:val="4E2A1960"/>
    <w:rsid w:val="4E3316A0"/>
    <w:rsid w:val="4E44DD61"/>
    <w:rsid w:val="4E50C453"/>
    <w:rsid w:val="4E595CB8"/>
    <w:rsid w:val="4E5BBBDB"/>
    <w:rsid w:val="4E5C5FA6"/>
    <w:rsid w:val="4E6AD2E4"/>
    <w:rsid w:val="4E6EBE7D"/>
    <w:rsid w:val="4E71FE07"/>
    <w:rsid w:val="4E733C62"/>
    <w:rsid w:val="4E7973F6"/>
    <w:rsid w:val="4E7BED6A"/>
    <w:rsid w:val="4E7D8964"/>
    <w:rsid w:val="4E84E67A"/>
    <w:rsid w:val="4E8517CA"/>
    <w:rsid w:val="4E85EE6A"/>
    <w:rsid w:val="4E86066C"/>
    <w:rsid w:val="4E867244"/>
    <w:rsid w:val="4E89B847"/>
    <w:rsid w:val="4E8D0810"/>
    <w:rsid w:val="4E8FA9C9"/>
    <w:rsid w:val="4E9CA217"/>
    <w:rsid w:val="4EA295E3"/>
    <w:rsid w:val="4EBEE2BA"/>
    <w:rsid w:val="4EC700C4"/>
    <w:rsid w:val="4EC91F23"/>
    <w:rsid w:val="4ECEEF54"/>
    <w:rsid w:val="4ED241B0"/>
    <w:rsid w:val="4ED301E4"/>
    <w:rsid w:val="4ED90239"/>
    <w:rsid w:val="4EDA2ADB"/>
    <w:rsid w:val="4EE1594C"/>
    <w:rsid w:val="4EE48E59"/>
    <w:rsid w:val="4EE67118"/>
    <w:rsid w:val="4EE6A6E1"/>
    <w:rsid w:val="4EE6D7AE"/>
    <w:rsid w:val="4EF209A3"/>
    <w:rsid w:val="4EF76F7C"/>
    <w:rsid w:val="4F01D10B"/>
    <w:rsid w:val="4F05875E"/>
    <w:rsid w:val="4F0D621D"/>
    <w:rsid w:val="4F0DD4FB"/>
    <w:rsid w:val="4F102B5F"/>
    <w:rsid w:val="4F13BB17"/>
    <w:rsid w:val="4F16F014"/>
    <w:rsid w:val="4F204161"/>
    <w:rsid w:val="4F2540D9"/>
    <w:rsid w:val="4F27EBFE"/>
    <w:rsid w:val="4F2897AB"/>
    <w:rsid w:val="4F2989E4"/>
    <w:rsid w:val="4F2DFC0A"/>
    <w:rsid w:val="4F340E76"/>
    <w:rsid w:val="4F3871C7"/>
    <w:rsid w:val="4F43B2A5"/>
    <w:rsid w:val="4F44ED3D"/>
    <w:rsid w:val="4F4F65E9"/>
    <w:rsid w:val="4F54E046"/>
    <w:rsid w:val="4F56218D"/>
    <w:rsid w:val="4F5882DD"/>
    <w:rsid w:val="4F629C7E"/>
    <w:rsid w:val="4F793244"/>
    <w:rsid w:val="4F809070"/>
    <w:rsid w:val="4F849072"/>
    <w:rsid w:val="4F8DA681"/>
    <w:rsid w:val="4F901996"/>
    <w:rsid w:val="4F9B597E"/>
    <w:rsid w:val="4FA12B72"/>
    <w:rsid w:val="4FA4EAC1"/>
    <w:rsid w:val="4FA54C9A"/>
    <w:rsid w:val="4FAD07D8"/>
    <w:rsid w:val="4FB65B91"/>
    <w:rsid w:val="4FBB2094"/>
    <w:rsid w:val="4FC13AFC"/>
    <w:rsid w:val="4FC9A5A4"/>
    <w:rsid w:val="4FD6184B"/>
    <w:rsid w:val="4FDB6854"/>
    <w:rsid w:val="4FDC36D2"/>
    <w:rsid w:val="4FE0B119"/>
    <w:rsid w:val="4FEAE91C"/>
    <w:rsid w:val="4FF5DC9B"/>
    <w:rsid w:val="4FFE2DC1"/>
    <w:rsid w:val="500254DD"/>
    <w:rsid w:val="50079789"/>
    <w:rsid w:val="500A56DA"/>
    <w:rsid w:val="500A89C7"/>
    <w:rsid w:val="500C2F61"/>
    <w:rsid w:val="50170FD2"/>
    <w:rsid w:val="5020B7EA"/>
    <w:rsid w:val="5030463B"/>
    <w:rsid w:val="50357BD0"/>
    <w:rsid w:val="503DE3ED"/>
    <w:rsid w:val="5043D7CE"/>
    <w:rsid w:val="5049DBB3"/>
    <w:rsid w:val="504D85CF"/>
    <w:rsid w:val="50510DD6"/>
    <w:rsid w:val="5066CD0C"/>
    <w:rsid w:val="506ADF42"/>
    <w:rsid w:val="506DAD97"/>
    <w:rsid w:val="507606E0"/>
    <w:rsid w:val="508BA363"/>
    <w:rsid w:val="508D9DD6"/>
    <w:rsid w:val="508F1377"/>
    <w:rsid w:val="5090459F"/>
    <w:rsid w:val="5092847E"/>
    <w:rsid w:val="50993299"/>
    <w:rsid w:val="50B928D3"/>
    <w:rsid w:val="50B975F0"/>
    <w:rsid w:val="50D39017"/>
    <w:rsid w:val="50DF9CB4"/>
    <w:rsid w:val="50EE48B2"/>
    <w:rsid w:val="50EEA3C4"/>
    <w:rsid w:val="50F6A0D7"/>
    <w:rsid w:val="51036E5A"/>
    <w:rsid w:val="51099C2E"/>
    <w:rsid w:val="510A4426"/>
    <w:rsid w:val="510C7D8D"/>
    <w:rsid w:val="5118AF96"/>
    <w:rsid w:val="511CA931"/>
    <w:rsid w:val="512361BC"/>
    <w:rsid w:val="512B2E3E"/>
    <w:rsid w:val="512DA271"/>
    <w:rsid w:val="5133057D"/>
    <w:rsid w:val="5136DC38"/>
    <w:rsid w:val="513BE9AF"/>
    <w:rsid w:val="513FE13D"/>
    <w:rsid w:val="51405BA6"/>
    <w:rsid w:val="514AEF51"/>
    <w:rsid w:val="51548702"/>
    <w:rsid w:val="515C95F9"/>
    <w:rsid w:val="515D805A"/>
    <w:rsid w:val="51702CA3"/>
    <w:rsid w:val="51769616"/>
    <w:rsid w:val="517EFEF8"/>
    <w:rsid w:val="51821821"/>
    <w:rsid w:val="51854DFB"/>
    <w:rsid w:val="51863969"/>
    <w:rsid w:val="51996CDA"/>
    <w:rsid w:val="51A079D2"/>
    <w:rsid w:val="51A61F4B"/>
    <w:rsid w:val="51BEC4A9"/>
    <w:rsid w:val="51CE2346"/>
    <w:rsid w:val="51CEC488"/>
    <w:rsid w:val="51D46DBA"/>
    <w:rsid w:val="51D86B39"/>
    <w:rsid w:val="51D8AA71"/>
    <w:rsid w:val="51E27BCF"/>
    <w:rsid w:val="51E38160"/>
    <w:rsid w:val="51EDB3B2"/>
    <w:rsid w:val="51F0E5D4"/>
    <w:rsid w:val="51F55974"/>
    <w:rsid w:val="5210333E"/>
    <w:rsid w:val="521DB058"/>
    <w:rsid w:val="52300C79"/>
    <w:rsid w:val="52346410"/>
    <w:rsid w:val="5237D557"/>
    <w:rsid w:val="523A2063"/>
    <w:rsid w:val="5251936B"/>
    <w:rsid w:val="5253B18D"/>
    <w:rsid w:val="52570CB9"/>
    <w:rsid w:val="525C1EC2"/>
    <w:rsid w:val="5273AEA6"/>
    <w:rsid w:val="527AB692"/>
    <w:rsid w:val="527B0683"/>
    <w:rsid w:val="5282C4F6"/>
    <w:rsid w:val="528E3CFC"/>
    <w:rsid w:val="5292B27B"/>
    <w:rsid w:val="5296C7C3"/>
    <w:rsid w:val="5296DB63"/>
    <w:rsid w:val="5296E734"/>
    <w:rsid w:val="5296EF28"/>
    <w:rsid w:val="529EFCDA"/>
    <w:rsid w:val="52B333F6"/>
    <w:rsid w:val="52B884C9"/>
    <w:rsid w:val="52BE6BCB"/>
    <w:rsid w:val="52C78C9E"/>
    <w:rsid w:val="52D15E0D"/>
    <w:rsid w:val="52D9813E"/>
    <w:rsid w:val="52DDF722"/>
    <w:rsid w:val="52E04A56"/>
    <w:rsid w:val="52EA19FB"/>
    <w:rsid w:val="52EF6F3A"/>
    <w:rsid w:val="52F4F055"/>
    <w:rsid w:val="5300C3A9"/>
    <w:rsid w:val="53093964"/>
    <w:rsid w:val="530B3985"/>
    <w:rsid w:val="53101234"/>
    <w:rsid w:val="5319ED55"/>
    <w:rsid w:val="531B9E45"/>
    <w:rsid w:val="531F4478"/>
    <w:rsid w:val="5329B905"/>
    <w:rsid w:val="532C8043"/>
    <w:rsid w:val="533C88D7"/>
    <w:rsid w:val="534390FD"/>
    <w:rsid w:val="5343FAC1"/>
    <w:rsid w:val="53490200"/>
    <w:rsid w:val="53514546"/>
    <w:rsid w:val="5357D784"/>
    <w:rsid w:val="535F3D4A"/>
    <w:rsid w:val="535F5F81"/>
    <w:rsid w:val="535FD7B4"/>
    <w:rsid w:val="53653489"/>
    <w:rsid w:val="53724F4B"/>
    <w:rsid w:val="5379E6AD"/>
    <w:rsid w:val="538A0C37"/>
    <w:rsid w:val="53917D56"/>
    <w:rsid w:val="53AA3DC6"/>
    <w:rsid w:val="53CC7003"/>
    <w:rsid w:val="53D27B2B"/>
    <w:rsid w:val="53D378CB"/>
    <w:rsid w:val="53D4609E"/>
    <w:rsid w:val="53D71ADF"/>
    <w:rsid w:val="53DD72BA"/>
    <w:rsid w:val="53E08FF9"/>
    <w:rsid w:val="53E7407A"/>
    <w:rsid w:val="5401D2C9"/>
    <w:rsid w:val="5409316B"/>
    <w:rsid w:val="5409681E"/>
    <w:rsid w:val="540AFC09"/>
    <w:rsid w:val="541229EF"/>
    <w:rsid w:val="54167EED"/>
    <w:rsid w:val="54201CE5"/>
    <w:rsid w:val="542089D7"/>
    <w:rsid w:val="5422D70C"/>
    <w:rsid w:val="54240903"/>
    <w:rsid w:val="5426217C"/>
    <w:rsid w:val="542B2C1E"/>
    <w:rsid w:val="5438812A"/>
    <w:rsid w:val="543E54B4"/>
    <w:rsid w:val="5449D563"/>
    <w:rsid w:val="544A3C3B"/>
    <w:rsid w:val="544F795C"/>
    <w:rsid w:val="545A6352"/>
    <w:rsid w:val="545FED27"/>
    <w:rsid w:val="546243AC"/>
    <w:rsid w:val="547F426D"/>
    <w:rsid w:val="54819FFD"/>
    <w:rsid w:val="5484AD15"/>
    <w:rsid w:val="5487D7FA"/>
    <w:rsid w:val="54909F2F"/>
    <w:rsid w:val="5496CB25"/>
    <w:rsid w:val="54974372"/>
    <w:rsid w:val="549EB7B9"/>
    <w:rsid w:val="54A97013"/>
    <w:rsid w:val="54AA1CAD"/>
    <w:rsid w:val="54B2A19D"/>
    <w:rsid w:val="54B3D1FC"/>
    <w:rsid w:val="54BD59B0"/>
    <w:rsid w:val="54CCE5D6"/>
    <w:rsid w:val="54D04DBF"/>
    <w:rsid w:val="54D3E758"/>
    <w:rsid w:val="54D6F9E6"/>
    <w:rsid w:val="54DD14E6"/>
    <w:rsid w:val="54E20638"/>
    <w:rsid w:val="54E7E621"/>
    <w:rsid w:val="54EBEE41"/>
    <w:rsid w:val="54FA24C2"/>
    <w:rsid w:val="54FD57A1"/>
    <w:rsid w:val="550276CC"/>
    <w:rsid w:val="55150990"/>
    <w:rsid w:val="551539E6"/>
    <w:rsid w:val="551EBFD3"/>
    <w:rsid w:val="552DF940"/>
    <w:rsid w:val="5544276C"/>
    <w:rsid w:val="555667B0"/>
    <w:rsid w:val="556040EC"/>
    <w:rsid w:val="55610081"/>
    <w:rsid w:val="556615B5"/>
    <w:rsid w:val="556FEE71"/>
    <w:rsid w:val="55709D71"/>
    <w:rsid w:val="557C4D17"/>
    <w:rsid w:val="558330CD"/>
    <w:rsid w:val="558D637D"/>
    <w:rsid w:val="55A15644"/>
    <w:rsid w:val="55A3698F"/>
    <w:rsid w:val="55C73948"/>
    <w:rsid w:val="55D1F371"/>
    <w:rsid w:val="55E305C4"/>
    <w:rsid w:val="55EB6FDF"/>
    <w:rsid w:val="55F1E9BE"/>
    <w:rsid w:val="55F5B9FD"/>
    <w:rsid w:val="56044799"/>
    <w:rsid w:val="560EB717"/>
    <w:rsid w:val="5614524D"/>
    <w:rsid w:val="5614ADD5"/>
    <w:rsid w:val="561AC28C"/>
    <w:rsid w:val="561E4425"/>
    <w:rsid w:val="562A6215"/>
    <w:rsid w:val="562D6E61"/>
    <w:rsid w:val="563CE70D"/>
    <w:rsid w:val="5640C819"/>
    <w:rsid w:val="56493DBA"/>
    <w:rsid w:val="564EA32D"/>
    <w:rsid w:val="565B907A"/>
    <w:rsid w:val="56642729"/>
    <w:rsid w:val="5667BFCD"/>
    <w:rsid w:val="566AF782"/>
    <w:rsid w:val="5673AA3F"/>
    <w:rsid w:val="56845B16"/>
    <w:rsid w:val="5685BE63"/>
    <w:rsid w:val="569192B5"/>
    <w:rsid w:val="56A18C1D"/>
    <w:rsid w:val="56A5F518"/>
    <w:rsid w:val="56A64F94"/>
    <w:rsid w:val="56ADB765"/>
    <w:rsid w:val="56AE0157"/>
    <w:rsid w:val="56AF8EC8"/>
    <w:rsid w:val="56B4C434"/>
    <w:rsid w:val="56B7010E"/>
    <w:rsid w:val="56BA001C"/>
    <w:rsid w:val="56BD2D9D"/>
    <w:rsid w:val="56BF2FBB"/>
    <w:rsid w:val="56C92D50"/>
    <w:rsid w:val="56CE87F7"/>
    <w:rsid w:val="56DF7182"/>
    <w:rsid w:val="56F5C242"/>
    <w:rsid w:val="570296AC"/>
    <w:rsid w:val="570FD848"/>
    <w:rsid w:val="5711802F"/>
    <w:rsid w:val="5714E3D4"/>
    <w:rsid w:val="57217545"/>
    <w:rsid w:val="57226273"/>
    <w:rsid w:val="573B2C3C"/>
    <w:rsid w:val="574009A8"/>
    <w:rsid w:val="5740BF6C"/>
    <w:rsid w:val="574948C5"/>
    <w:rsid w:val="574BB8CC"/>
    <w:rsid w:val="574E89C6"/>
    <w:rsid w:val="5752A724"/>
    <w:rsid w:val="575AB393"/>
    <w:rsid w:val="575E103F"/>
    <w:rsid w:val="57690691"/>
    <w:rsid w:val="577A2D98"/>
    <w:rsid w:val="5781A815"/>
    <w:rsid w:val="5784A6CA"/>
    <w:rsid w:val="578E29B2"/>
    <w:rsid w:val="578F834E"/>
    <w:rsid w:val="57938B58"/>
    <w:rsid w:val="579BF153"/>
    <w:rsid w:val="57A0E6A6"/>
    <w:rsid w:val="57A3A811"/>
    <w:rsid w:val="57B516B1"/>
    <w:rsid w:val="57B5E331"/>
    <w:rsid w:val="57BCE453"/>
    <w:rsid w:val="57BFEFF1"/>
    <w:rsid w:val="57C191CF"/>
    <w:rsid w:val="57C864A2"/>
    <w:rsid w:val="57CDACF4"/>
    <w:rsid w:val="57D08C4E"/>
    <w:rsid w:val="57D6F412"/>
    <w:rsid w:val="57DDAB52"/>
    <w:rsid w:val="57E16465"/>
    <w:rsid w:val="57E75C99"/>
    <w:rsid w:val="57E8D9BC"/>
    <w:rsid w:val="580D3BC1"/>
    <w:rsid w:val="58235BC5"/>
    <w:rsid w:val="582444B6"/>
    <w:rsid w:val="582F7EF5"/>
    <w:rsid w:val="582FBC70"/>
    <w:rsid w:val="5836C542"/>
    <w:rsid w:val="583DB834"/>
    <w:rsid w:val="58469CB2"/>
    <w:rsid w:val="5847CB5C"/>
    <w:rsid w:val="584C3DF4"/>
    <w:rsid w:val="58551927"/>
    <w:rsid w:val="5863ACF2"/>
    <w:rsid w:val="586D6418"/>
    <w:rsid w:val="586E066B"/>
    <w:rsid w:val="58702A62"/>
    <w:rsid w:val="5871C239"/>
    <w:rsid w:val="588E225E"/>
    <w:rsid w:val="589C76C4"/>
    <w:rsid w:val="58A0672F"/>
    <w:rsid w:val="58A4E06E"/>
    <w:rsid w:val="58AC8FFE"/>
    <w:rsid w:val="58BD3FD6"/>
    <w:rsid w:val="58C819CE"/>
    <w:rsid w:val="58CE1596"/>
    <w:rsid w:val="58CECCAA"/>
    <w:rsid w:val="58D419E5"/>
    <w:rsid w:val="58D7D50B"/>
    <w:rsid w:val="58D92E13"/>
    <w:rsid w:val="58E5673A"/>
    <w:rsid w:val="58F990EF"/>
    <w:rsid w:val="5904918C"/>
    <w:rsid w:val="5909C172"/>
    <w:rsid w:val="590C62E1"/>
    <w:rsid w:val="5913548E"/>
    <w:rsid w:val="59152694"/>
    <w:rsid w:val="591EC279"/>
    <w:rsid w:val="5924C42A"/>
    <w:rsid w:val="592782D6"/>
    <w:rsid w:val="5929E0B6"/>
    <w:rsid w:val="592A490D"/>
    <w:rsid w:val="5931B379"/>
    <w:rsid w:val="59386032"/>
    <w:rsid w:val="59409DED"/>
    <w:rsid w:val="594A882F"/>
    <w:rsid w:val="594ECEA4"/>
    <w:rsid w:val="5951B392"/>
    <w:rsid w:val="5952A238"/>
    <w:rsid w:val="595E1232"/>
    <w:rsid w:val="595EFC2C"/>
    <w:rsid w:val="5969F753"/>
    <w:rsid w:val="596C92BA"/>
    <w:rsid w:val="597E688D"/>
    <w:rsid w:val="59808809"/>
    <w:rsid w:val="5988D1ED"/>
    <w:rsid w:val="5988F359"/>
    <w:rsid w:val="599482C9"/>
    <w:rsid w:val="59993958"/>
    <w:rsid w:val="599BF2F7"/>
    <w:rsid w:val="59A19E89"/>
    <w:rsid w:val="59A33B50"/>
    <w:rsid w:val="59B81A71"/>
    <w:rsid w:val="59BA80DA"/>
    <w:rsid w:val="59C1FDBB"/>
    <w:rsid w:val="59E194F7"/>
    <w:rsid w:val="59E31A88"/>
    <w:rsid w:val="59E4D860"/>
    <w:rsid w:val="59F08FCB"/>
    <w:rsid w:val="59F38876"/>
    <w:rsid w:val="59FAA3A3"/>
    <w:rsid w:val="5A00558E"/>
    <w:rsid w:val="5A05D10D"/>
    <w:rsid w:val="5A095288"/>
    <w:rsid w:val="5A0D9832"/>
    <w:rsid w:val="5A103643"/>
    <w:rsid w:val="5A284BBA"/>
    <w:rsid w:val="5A2D21F2"/>
    <w:rsid w:val="5A312A85"/>
    <w:rsid w:val="5A32ACE7"/>
    <w:rsid w:val="5A34AFD9"/>
    <w:rsid w:val="5A34EE4B"/>
    <w:rsid w:val="5A38690A"/>
    <w:rsid w:val="5A394C20"/>
    <w:rsid w:val="5A52C98F"/>
    <w:rsid w:val="5A55F89E"/>
    <w:rsid w:val="5A5EEAC0"/>
    <w:rsid w:val="5A60A00D"/>
    <w:rsid w:val="5A6A125A"/>
    <w:rsid w:val="5A6DB93B"/>
    <w:rsid w:val="5A7573F8"/>
    <w:rsid w:val="5A75B688"/>
    <w:rsid w:val="5A762018"/>
    <w:rsid w:val="5A7722B3"/>
    <w:rsid w:val="5A7D3C6F"/>
    <w:rsid w:val="5A87D029"/>
    <w:rsid w:val="5A921890"/>
    <w:rsid w:val="5AA4F423"/>
    <w:rsid w:val="5AAA2C45"/>
    <w:rsid w:val="5AAB8312"/>
    <w:rsid w:val="5AB84641"/>
    <w:rsid w:val="5ABDDD82"/>
    <w:rsid w:val="5AC8E3A9"/>
    <w:rsid w:val="5AC9136D"/>
    <w:rsid w:val="5AD0D8FE"/>
    <w:rsid w:val="5AD8A75F"/>
    <w:rsid w:val="5ADA4CD8"/>
    <w:rsid w:val="5AF34289"/>
    <w:rsid w:val="5AFA2111"/>
    <w:rsid w:val="5B0B722B"/>
    <w:rsid w:val="5B164B6A"/>
    <w:rsid w:val="5B2A5486"/>
    <w:rsid w:val="5B40965A"/>
    <w:rsid w:val="5B5132A0"/>
    <w:rsid w:val="5B57A398"/>
    <w:rsid w:val="5B6C6855"/>
    <w:rsid w:val="5B6CA6A5"/>
    <w:rsid w:val="5B707929"/>
    <w:rsid w:val="5B74F2EB"/>
    <w:rsid w:val="5B778BD9"/>
    <w:rsid w:val="5B7D2FD8"/>
    <w:rsid w:val="5B828B8A"/>
    <w:rsid w:val="5B839738"/>
    <w:rsid w:val="5B8537A5"/>
    <w:rsid w:val="5B94A5D2"/>
    <w:rsid w:val="5B97355B"/>
    <w:rsid w:val="5BA51507"/>
    <w:rsid w:val="5BAC3BE7"/>
    <w:rsid w:val="5BB44209"/>
    <w:rsid w:val="5BBAA300"/>
    <w:rsid w:val="5BBF9B07"/>
    <w:rsid w:val="5BC14E30"/>
    <w:rsid w:val="5BC3FE41"/>
    <w:rsid w:val="5BD14581"/>
    <w:rsid w:val="5BE4AD9D"/>
    <w:rsid w:val="5BE6D4CB"/>
    <w:rsid w:val="5BEA26E9"/>
    <w:rsid w:val="5BEAC8BA"/>
    <w:rsid w:val="5BF610E9"/>
    <w:rsid w:val="5BFBF6C1"/>
    <w:rsid w:val="5C001F12"/>
    <w:rsid w:val="5C0ADF32"/>
    <w:rsid w:val="5C0DB767"/>
    <w:rsid w:val="5C194672"/>
    <w:rsid w:val="5C1CC707"/>
    <w:rsid w:val="5C20512F"/>
    <w:rsid w:val="5C26A6BF"/>
    <w:rsid w:val="5C359C40"/>
    <w:rsid w:val="5C364940"/>
    <w:rsid w:val="5C3B3F7B"/>
    <w:rsid w:val="5C3EA818"/>
    <w:rsid w:val="5C3FA895"/>
    <w:rsid w:val="5C4454DA"/>
    <w:rsid w:val="5C519F9A"/>
    <w:rsid w:val="5C54EC04"/>
    <w:rsid w:val="5C558161"/>
    <w:rsid w:val="5C59D5ED"/>
    <w:rsid w:val="5C5CB6F8"/>
    <w:rsid w:val="5C5DB34B"/>
    <w:rsid w:val="5C621EC3"/>
    <w:rsid w:val="5C637E13"/>
    <w:rsid w:val="5C63A9C6"/>
    <w:rsid w:val="5C648ED7"/>
    <w:rsid w:val="5C744383"/>
    <w:rsid w:val="5C74CB27"/>
    <w:rsid w:val="5C7E716A"/>
    <w:rsid w:val="5C85BC26"/>
    <w:rsid w:val="5C881A5F"/>
    <w:rsid w:val="5C901259"/>
    <w:rsid w:val="5C923B79"/>
    <w:rsid w:val="5C981504"/>
    <w:rsid w:val="5C987F2A"/>
    <w:rsid w:val="5C9EAA28"/>
    <w:rsid w:val="5CACF0CF"/>
    <w:rsid w:val="5CB86740"/>
    <w:rsid w:val="5CB92408"/>
    <w:rsid w:val="5CBC2AF1"/>
    <w:rsid w:val="5CBE75D1"/>
    <w:rsid w:val="5CC29E80"/>
    <w:rsid w:val="5CC752B1"/>
    <w:rsid w:val="5CD20520"/>
    <w:rsid w:val="5CD5749C"/>
    <w:rsid w:val="5CD8DC8F"/>
    <w:rsid w:val="5CD96EAC"/>
    <w:rsid w:val="5CE4AC65"/>
    <w:rsid w:val="5CE588F0"/>
    <w:rsid w:val="5CEC11B0"/>
    <w:rsid w:val="5CF1CAA1"/>
    <w:rsid w:val="5CF74BF0"/>
    <w:rsid w:val="5CFEFB52"/>
    <w:rsid w:val="5D031407"/>
    <w:rsid w:val="5D03CCE2"/>
    <w:rsid w:val="5D085226"/>
    <w:rsid w:val="5D0C8EBE"/>
    <w:rsid w:val="5D0CDD25"/>
    <w:rsid w:val="5D11242D"/>
    <w:rsid w:val="5D1B785F"/>
    <w:rsid w:val="5D219723"/>
    <w:rsid w:val="5D2FCECD"/>
    <w:rsid w:val="5D31EF66"/>
    <w:rsid w:val="5D3B6A8E"/>
    <w:rsid w:val="5D3F1BBB"/>
    <w:rsid w:val="5D4DD5B4"/>
    <w:rsid w:val="5D50E24D"/>
    <w:rsid w:val="5D52D033"/>
    <w:rsid w:val="5D63B2A9"/>
    <w:rsid w:val="5D7A1C16"/>
    <w:rsid w:val="5D7EBDBB"/>
    <w:rsid w:val="5D817B27"/>
    <w:rsid w:val="5D8428FC"/>
    <w:rsid w:val="5D886E5E"/>
    <w:rsid w:val="5D943CCC"/>
    <w:rsid w:val="5D9D650D"/>
    <w:rsid w:val="5DABF6DF"/>
    <w:rsid w:val="5DB9F205"/>
    <w:rsid w:val="5DBC0AEF"/>
    <w:rsid w:val="5DCB8A1C"/>
    <w:rsid w:val="5DCF106B"/>
    <w:rsid w:val="5DD5E202"/>
    <w:rsid w:val="5DDF3ED4"/>
    <w:rsid w:val="5DE16440"/>
    <w:rsid w:val="5DE48F8E"/>
    <w:rsid w:val="5DE49ED5"/>
    <w:rsid w:val="5DEDF888"/>
    <w:rsid w:val="5DEF9679"/>
    <w:rsid w:val="5DF84379"/>
    <w:rsid w:val="5DF9080A"/>
    <w:rsid w:val="5DFAA848"/>
    <w:rsid w:val="5E0785EE"/>
    <w:rsid w:val="5E08F699"/>
    <w:rsid w:val="5E1EC0DA"/>
    <w:rsid w:val="5E21D081"/>
    <w:rsid w:val="5E261B3C"/>
    <w:rsid w:val="5E2C7456"/>
    <w:rsid w:val="5E2F8B84"/>
    <w:rsid w:val="5E30E82F"/>
    <w:rsid w:val="5E3A3837"/>
    <w:rsid w:val="5E3BE641"/>
    <w:rsid w:val="5E44B26A"/>
    <w:rsid w:val="5E4828AE"/>
    <w:rsid w:val="5E5703B4"/>
    <w:rsid w:val="5E58640A"/>
    <w:rsid w:val="5E5BEBB7"/>
    <w:rsid w:val="5E61A166"/>
    <w:rsid w:val="5E6CD425"/>
    <w:rsid w:val="5E6EB5D6"/>
    <w:rsid w:val="5E717969"/>
    <w:rsid w:val="5E71D90D"/>
    <w:rsid w:val="5E724703"/>
    <w:rsid w:val="5E7D77CF"/>
    <w:rsid w:val="5E82A015"/>
    <w:rsid w:val="5E8CC476"/>
    <w:rsid w:val="5E8EACD8"/>
    <w:rsid w:val="5E920B57"/>
    <w:rsid w:val="5E9D74BB"/>
    <w:rsid w:val="5EA19A82"/>
    <w:rsid w:val="5EA252F5"/>
    <w:rsid w:val="5EA8142A"/>
    <w:rsid w:val="5EAA0848"/>
    <w:rsid w:val="5EACECC8"/>
    <w:rsid w:val="5EB86B75"/>
    <w:rsid w:val="5EB94E38"/>
    <w:rsid w:val="5EBA8B0F"/>
    <w:rsid w:val="5EBD049A"/>
    <w:rsid w:val="5EBEC282"/>
    <w:rsid w:val="5ECE335A"/>
    <w:rsid w:val="5ED3F40B"/>
    <w:rsid w:val="5EEEA4C2"/>
    <w:rsid w:val="5EF4FBC2"/>
    <w:rsid w:val="5EF61794"/>
    <w:rsid w:val="5EF86CC0"/>
    <w:rsid w:val="5F025FA7"/>
    <w:rsid w:val="5F0B26DB"/>
    <w:rsid w:val="5F0E08FA"/>
    <w:rsid w:val="5F1147D1"/>
    <w:rsid w:val="5F1AC474"/>
    <w:rsid w:val="5F1B2683"/>
    <w:rsid w:val="5F1C88CA"/>
    <w:rsid w:val="5F235F04"/>
    <w:rsid w:val="5F25EE68"/>
    <w:rsid w:val="5F2B8199"/>
    <w:rsid w:val="5F358280"/>
    <w:rsid w:val="5F3BB323"/>
    <w:rsid w:val="5F41F155"/>
    <w:rsid w:val="5F45E827"/>
    <w:rsid w:val="5F47168F"/>
    <w:rsid w:val="5F48FB56"/>
    <w:rsid w:val="5F4D58E8"/>
    <w:rsid w:val="5F685083"/>
    <w:rsid w:val="5F767235"/>
    <w:rsid w:val="5F7CB9D2"/>
    <w:rsid w:val="5F829B9E"/>
    <w:rsid w:val="5F85FF05"/>
    <w:rsid w:val="5F8902F3"/>
    <w:rsid w:val="5F958305"/>
    <w:rsid w:val="5FA054EF"/>
    <w:rsid w:val="5FA2573C"/>
    <w:rsid w:val="5FB082C7"/>
    <w:rsid w:val="5FB4B73D"/>
    <w:rsid w:val="5FBE5D3A"/>
    <w:rsid w:val="5FCE69ED"/>
    <w:rsid w:val="5FD34B1C"/>
    <w:rsid w:val="5FD4C630"/>
    <w:rsid w:val="5FD955CA"/>
    <w:rsid w:val="5FE85265"/>
    <w:rsid w:val="601224D6"/>
    <w:rsid w:val="601375EC"/>
    <w:rsid w:val="6015C196"/>
    <w:rsid w:val="601B0ABE"/>
    <w:rsid w:val="601B7FCC"/>
    <w:rsid w:val="602014F8"/>
    <w:rsid w:val="602226AD"/>
    <w:rsid w:val="6024B2FC"/>
    <w:rsid w:val="60278955"/>
    <w:rsid w:val="60341136"/>
    <w:rsid w:val="60341FD2"/>
    <w:rsid w:val="603603BC"/>
    <w:rsid w:val="603C0923"/>
    <w:rsid w:val="60452BB7"/>
    <w:rsid w:val="604F54F6"/>
    <w:rsid w:val="605D26CF"/>
    <w:rsid w:val="605DBB3F"/>
    <w:rsid w:val="6062F716"/>
    <w:rsid w:val="6065FED3"/>
    <w:rsid w:val="606CE608"/>
    <w:rsid w:val="6070EC87"/>
    <w:rsid w:val="607AB021"/>
    <w:rsid w:val="6087D2CB"/>
    <w:rsid w:val="60907211"/>
    <w:rsid w:val="609250B7"/>
    <w:rsid w:val="60A04D05"/>
    <w:rsid w:val="60A07A45"/>
    <w:rsid w:val="60A49759"/>
    <w:rsid w:val="60AAD6F6"/>
    <w:rsid w:val="60AE22A6"/>
    <w:rsid w:val="60B24F38"/>
    <w:rsid w:val="60BD8B6D"/>
    <w:rsid w:val="60C84B8E"/>
    <w:rsid w:val="60D010F1"/>
    <w:rsid w:val="60D20076"/>
    <w:rsid w:val="60E08DAF"/>
    <w:rsid w:val="60E372BF"/>
    <w:rsid w:val="60E70702"/>
    <w:rsid w:val="610894B4"/>
    <w:rsid w:val="61093A1E"/>
    <w:rsid w:val="61190198"/>
    <w:rsid w:val="6122296C"/>
    <w:rsid w:val="6123BAD2"/>
    <w:rsid w:val="613277D2"/>
    <w:rsid w:val="61333AFE"/>
    <w:rsid w:val="6135C062"/>
    <w:rsid w:val="613C6598"/>
    <w:rsid w:val="61404400"/>
    <w:rsid w:val="61495338"/>
    <w:rsid w:val="614CCFA5"/>
    <w:rsid w:val="614F4D0A"/>
    <w:rsid w:val="6157D01F"/>
    <w:rsid w:val="615816CB"/>
    <w:rsid w:val="615CED17"/>
    <w:rsid w:val="615E6A76"/>
    <w:rsid w:val="616BE5E5"/>
    <w:rsid w:val="6174B5DA"/>
    <w:rsid w:val="61750245"/>
    <w:rsid w:val="617725A3"/>
    <w:rsid w:val="617BAA27"/>
    <w:rsid w:val="618272F2"/>
    <w:rsid w:val="6182C175"/>
    <w:rsid w:val="618B024C"/>
    <w:rsid w:val="61900FA6"/>
    <w:rsid w:val="6191F098"/>
    <w:rsid w:val="6192E1E4"/>
    <w:rsid w:val="619C4CE9"/>
    <w:rsid w:val="619D9245"/>
    <w:rsid w:val="61A797EA"/>
    <w:rsid w:val="61AB17E4"/>
    <w:rsid w:val="61B06005"/>
    <w:rsid w:val="61BC1E62"/>
    <w:rsid w:val="61C0E6B5"/>
    <w:rsid w:val="61C417D6"/>
    <w:rsid w:val="61C4B0C0"/>
    <w:rsid w:val="61CA17C0"/>
    <w:rsid w:val="61CD1489"/>
    <w:rsid w:val="61D491A3"/>
    <w:rsid w:val="61D7C89A"/>
    <w:rsid w:val="61E0B2EF"/>
    <w:rsid w:val="61E172C3"/>
    <w:rsid w:val="61E2466A"/>
    <w:rsid w:val="61E6D374"/>
    <w:rsid w:val="61EB302B"/>
    <w:rsid w:val="61F06569"/>
    <w:rsid w:val="61F30EB6"/>
    <w:rsid w:val="61F6FD99"/>
    <w:rsid w:val="6202489E"/>
    <w:rsid w:val="620667DE"/>
    <w:rsid w:val="620FE5D8"/>
    <w:rsid w:val="6217850C"/>
    <w:rsid w:val="621A8EE1"/>
    <w:rsid w:val="6226F574"/>
    <w:rsid w:val="622F9390"/>
    <w:rsid w:val="623320D0"/>
    <w:rsid w:val="62368401"/>
    <w:rsid w:val="6236A531"/>
    <w:rsid w:val="62414678"/>
    <w:rsid w:val="62434EF8"/>
    <w:rsid w:val="62487DF6"/>
    <w:rsid w:val="624A33EA"/>
    <w:rsid w:val="624FD743"/>
    <w:rsid w:val="625C9117"/>
    <w:rsid w:val="625E7D48"/>
    <w:rsid w:val="6260856D"/>
    <w:rsid w:val="627228B1"/>
    <w:rsid w:val="6277767B"/>
    <w:rsid w:val="62822DDA"/>
    <w:rsid w:val="62825640"/>
    <w:rsid w:val="6283FFEA"/>
    <w:rsid w:val="628B2230"/>
    <w:rsid w:val="628B88D4"/>
    <w:rsid w:val="628DB6DA"/>
    <w:rsid w:val="6296495D"/>
    <w:rsid w:val="629B21D9"/>
    <w:rsid w:val="62AEC23E"/>
    <w:rsid w:val="62AF4B40"/>
    <w:rsid w:val="62BA7EE5"/>
    <w:rsid w:val="62BDE12E"/>
    <w:rsid w:val="62C1EB2F"/>
    <w:rsid w:val="62CC76B9"/>
    <w:rsid w:val="62D54D8E"/>
    <w:rsid w:val="62DE86B6"/>
    <w:rsid w:val="62E7BAA7"/>
    <w:rsid w:val="62E8543F"/>
    <w:rsid w:val="63075461"/>
    <w:rsid w:val="6309C0E4"/>
    <w:rsid w:val="630FDACE"/>
    <w:rsid w:val="63153A11"/>
    <w:rsid w:val="631E4CD7"/>
    <w:rsid w:val="631E7DDF"/>
    <w:rsid w:val="63231FC4"/>
    <w:rsid w:val="63296885"/>
    <w:rsid w:val="632F672A"/>
    <w:rsid w:val="6332E2EA"/>
    <w:rsid w:val="63364841"/>
    <w:rsid w:val="633DB0E1"/>
    <w:rsid w:val="63450CA6"/>
    <w:rsid w:val="6346EBB9"/>
    <w:rsid w:val="635050E0"/>
    <w:rsid w:val="635881F6"/>
    <w:rsid w:val="6367C128"/>
    <w:rsid w:val="637091DD"/>
    <w:rsid w:val="63719B45"/>
    <w:rsid w:val="63746C83"/>
    <w:rsid w:val="6385E9D8"/>
    <w:rsid w:val="6389D47C"/>
    <w:rsid w:val="638D1463"/>
    <w:rsid w:val="63A1DF48"/>
    <w:rsid w:val="63A3693A"/>
    <w:rsid w:val="63A9C0A9"/>
    <w:rsid w:val="63AECDB9"/>
    <w:rsid w:val="63B7197F"/>
    <w:rsid w:val="63DA0A4C"/>
    <w:rsid w:val="63DD419F"/>
    <w:rsid w:val="63E6C7BB"/>
    <w:rsid w:val="63EC4787"/>
    <w:rsid w:val="63F0376B"/>
    <w:rsid w:val="63F25C7C"/>
    <w:rsid w:val="63F73F53"/>
    <w:rsid w:val="63F8B5BF"/>
    <w:rsid w:val="64083F77"/>
    <w:rsid w:val="640ADDA4"/>
    <w:rsid w:val="6412BCB0"/>
    <w:rsid w:val="641D52D1"/>
    <w:rsid w:val="64251306"/>
    <w:rsid w:val="643FC63F"/>
    <w:rsid w:val="64405643"/>
    <w:rsid w:val="644CFCB3"/>
    <w:rsid w:val="644E2969"/>
    <w:rsid w:val="6450FC26"/>
    <w:rsid w:val="64663901"/>
    <w:rsid w:val="64781D57"/>
    <w:rsid w:val="647FF076"/>
    <w:rsid w:val="6481AE39"/>
    <w:rsid w:val="6488514B"/>
    <w:rsid w:val="6488CB6B"/>
    <w:rsid w:val="648D78E3"/>
    <w:rsid w:val="6493450B"/>
    <w:rsid w:val="649BD3AF"/>
    <w:rsid w:val="64A422DE"/>
    <w:rsid w:val="64B5C021"/>
    <w:rsid w:val="64BCCF6E"/>
    <w:rsid w:val="64C20845"/>
    <w:rsid w:val="64C6E9C5"/>
    <w:rsid w:val="64CA82A6"/>
    <w:rsid w:val="64CD3875"/>
    <w:rsid w:val="64CE90A7"/>
    <w:rsid w:val="64CEC3A5"/>
    <w:rsid w:val="64D85318"/>
    <w:rsid w:val="64DA1F35"/>
    <w:rsid w:val="64EF13B0"/>
    <w:rsid w:val="64F5BF76"/>
    <w:rsid w:val="64F77F41"/>
    <w:rsid w:val="64F9E405"/>
    <w:rsid w:val="64FF42A7"/>
    <w:rsid w:val="650121AC"/>
    <w:rsid w:val="65089EAE"/>
    <w:rsid w:val="650BAFEB"/>
    <w:rsid w:val="650D7D21"/>
    <w:rsid w:val="650F0565"/>
    <w:rsid w:val="652C37BC"/>
    <w:rsid w:val="652E52D3"/>
    <w:rsid w:val="6534AB4F"/>
    <w:rsid w:val="6535E353"/>
    <w:rsid w:val="653BFED6"/>
    <w:rsid w:val="6542A35E"/>
    <w:rsid w:val="654BC0AF"/>
    <w:rsid w:val="65510BEA"/>
    <w:rsid w:val="655DEE48"/>
    <w:rsid w:val="6560304B"/>
    <w:rsid w:val="6567FDA5"/>
    <w:rsid w:val="656A36FC"/>
    <w:rsid w:val="65726B5B"/>
    <w:rsid w:val="6575E7D5"/>
    <w:rsid w:val="65772047"/>
    <w:rsid w:val="657D7859"/>
    <w:rsid w:val="65924D4F"/>
    <w:rsid w:val="659AB1F9"/>
    <w:rsid w:val="65A3C7D7"/>
    <w:rsid w:val="65A7738C"/>
    <w:rsid w:val="65A845B9"/>
    <w:rsid w:val="65ADFEFB"/>
    <w:rsid w:val="65AF09D3"/>
    <w:rsid w:val="65B69D46"/>
    <w:rsid w:val="65B81FCA"/>
    <w:rsid w:val="65CF887D"/>
    <w:rsid w:val="65D2C7DC"/>
    <w:rsid w:val="65D37191"/>
    <w:rsid w:val="65DD530F"/>
    <w:rsid w:val="65E81E48"/>
    <w:rsid w:val="65F245BF"/>
    <w:rsid w:val="65F9785D"/>
    <w:rsid w:val="66005B4C"/>
    <w:rsid w:val="6600785B"/>
    <w:rsid w:val="660CDBAA"/>
    <w:rsid w:val="66203B76"/>
    <w:rsid w:val="6622359F"/>
    <w:rsid w:val="6627F52F"/>
    <w:rsid w:val="662AD089"/>
    <w:rsid w:val="662EE0D2"/>
    <w:rsid w:val="6636B413"/>
    <w:rsid w:val="66397E18"/>
    <w:rsid w:val="66409579"/>
    <w:rsid w:val="6653D01A"/>
    <w:rsid w:val="66549F17"/>
    <w:rsid w:val="6655F10C"/>
    <w:rsid w:val="66657320"/>
    <w:rsid w:val="6667BD02"/>
    <w:rsid w:val="666D8E91"/>
    <w:rsid w:val="6671CE61"/>
    <w:rsid w:val="667230ED"/>
    <w:rsid w:val="6672D860"/>
    <w:rsid w:val="667F3D82"/>
    <w:rsid w:val="668304D7"/>
    <w:rsid w:val="66883941"/>
    <w:rsid w:val="668A7072"/>
    <w:rsid w:val="6697BF9A"/>
    <w:rsid w:val="669E775C"/>
    <w:rsid w:val="66A04F4C"/>
    <w:rsid w:val="66A3D64C"/>
    <w:rsid w:val="66A7063A"/>
    <w:rsid w:val="66AB48E0"/>
    <w:rsid w:val="66AC4AC6"/>
    <w:rsid w:val="66B154DB"/>
    <w:rsid w:val="66B4ACF5"/>
    <w:rsid w:val="66B79E94"/>
    <w:rsid w:val="66B8E945"/>
    <w:rsid w:val="66BA6602"/>
    <w:rsid w:val="66E24876"/>
    <w:rsid w:val="66F06820"/>
    <w:rsid w:val="66F3FB55"/>
    <w:rsid w:val="66F46835"/>
    <w:rsid w:val="66F7E1A4"/>
    <w:rsid w:val="6701AFFD"/>
    <w:rsid w:val="670301F7"/>
    <w:rsid w:val="67063B21"/>
    <w:rsid w:val="6708B4A3"/>
    <w:rsid w:val="671D6CE4"/>
    <w:rsid w:val="6720FE5C"/>
    <w:rsid w:val="67247399"/>
    <w:rsid w:val="67306066"/>
    <w:rsid w:val="673BC71C"/>
    <w:rsid w:val="674867F4"/>
    <w:rsid w:val="674A69E2"/>
    <w:rsid w:val="674DBD23"/>
    <w:rsid w:val="6752D5BB"/>
    <w:rsid w:val="676EF167"/>
    <w:rsid w:val="67716C59"/>
    <w:rsid w:val="677447F1"/>
    <w:rsid w:val="6776E3C7"/>
    <w:rsid w:val="6778B40E"/>
    <w:rsid w:val="67795DC8"/>
    <w:rsid w:val="67801450"/>
    <w:rsid w:val="6780915F"/>
    <w:rsid w:val="678F72C6"/>
    <w:rsid w:val="6792B9C4"/>
    <w:rsid w:val="6795E859"/>
    <w:rsid w:val="679843B8"/>
    <w:rsid w:val="679ABF2D"/>
    <w:rsid w:val="679C683B"/>
    <w:rsid w:val="67A025BF"/>
    <w:rsid w:val="67A54124"/>
    <w:rsid w:val="67A914D2"/>
    <w:rsid w:val="67A9AD6D"/>
    <w:rsid w:val="67BC4C54"/>
    <w:rsid w:val="67BE94F7"/>
    <w:rsid w:val="67BF32A5"/>
    <w:rsid w:val="67C2F286"/>
    <w:rsid w:val="67D06D7C"/>
    <w:rsid w:val="67D7F175"/>
    <w:rsid w:val="67E254A4"/>
    <w:rsid w:val="67E63582"/>
    <w:rsid w:val="67F04A29"/>
    <w:rsid w:val="67F343EB"/>
    <w:rsid w:val="6806AB5B"/>
    <w:rsid w:val="680C9BE0"/>
    <w:rsid w:val="680EFF19"/>
    <w:rsid w:val="68119EBF"/>
    <w:rsid w:val="68296C8B"/>
    <w:rsid w:val="682F3D5D"/>
    <w:rsid w:val="68338FFB"/>
    <w:rsid w:val="6836281C"/>
    <w:rsid w:val="683BA40A"/>
    <w:rsid w:val="683C6022"/>
    <w:rsid w:val="684772F9"/>
    <w:rsid w:val="684CA5C7"/>
    <w:rsid w:val="684EB675"/>
    <w:rsid w:val="68508FDE"/>
    <w:rsid w:val="685B4ADD"/>
    <w:rsid w:val="685CDF53"/>
    <w:rsid w:val="685EF963"/>
    <w:rsid w:val="68631A7D"/>
    <w:rsid w:val="6878B244"/>
    <w:rsid w:val="687BDAC8"/>
    <w:rsid w:val="687CB5DA"/>
    <w:rsid w:val="68878C74"/>
    <w:rsid w:val="688AF2CA"/>
    <w:rsid w:val="6893D675"/>
    <w:rsid w:val="68A320F6"/>
    <w:rsid w:val="68A9A0DF"/>
    <w:rsid w:val="68B517A8"/>
    <w:rsid w:val="68B7F670"/>
    <w:rsid w:val="68B9287D"/>
    <w:rsid w:val="68BC20AA"/>
    <w:rsid w:val="68CD53E7"/>
    <w:rsid w:val="68E786B6"/>
    <w:rsid w:val="68E8FBAA"/>
    <w:rsid w:val="68F7D204"/>
    <w:rsid w:val="68F9D2E4"/>
    <w:rsid w:val="68FA0239"/>
    <w:rsid w:val="68FD22B8"/>
    <w:rsid w:val="68FF5C67"/>
    <w:rsid w:val="68FF7EFE"/>
    <w:rsid w:val="690F65B7"/>
    <w:rsid w:val="6913917E"/>
    <w:rsid w:val="69251593"/>
    <w:rsid w:val="6929C895"/>
    <w:rsid w:val="69330FBB"/>
    <w:rsid w:val="6935D540"/>
    <w:rsid w:val="693C9148"/>
    <w:rsid w:val="69400426"/>
    <w:rsid w:val="69428F30"/>
    <w:rsid w:val="69453C44"/>
    <w:rsid w:val="69474B42"/>
    <w:rsid w:val="69509A49"/>
    <w:rsid w:val="6954769F"/>
    <w:rsid w:val="695B3E7E"/>
    <w:rsid w:val="696308F7"/>
    <w:rsid w:val="696A8A23"/>
    <w:rsid w:val="696E8012"/>
    <w:rsid w:val="6972BF9D"/>
    <w:rsid w:val="697C6250"/>
    <w:rsid w:val="6983DA8C"/>
    <w:rsid w:val="698403E2"/>
    <w:rsid w:val="6984F40D"/>
    <w:rsid w:val="6987C752"/>
    <w:rsid w:val="69907EDE"/>
    <w:rsid w:val="6995F420"/>
    <w:rsid w:val="69A0D581"/>
    <w:rsid w:val="69B86195"/>
    <w:rsid w:val="69BA710A"/>
    <w:rsid w:val="69DCE056"/>
    <w:rsid w:val="69EF4F1B"/>
    <w:rsid w:val="69F6ABA0"/>
    <w:rsid w:val="69FA40F6"/>
    <w:rsid w:val="69FC9EF7"/>
    <w:rsid w:val="6A006835"/>
    <w:rsid w:val="6A030BBB"/>
    <w:rsid w:val="6A06017E"/>
    <w:rsid w:val="6A0A9DC7"/>
    <w:rsid w:val="6A0F37AE"/>
    <w:rsid w:val="6A254727"/>
    <w:rsid w:val="6A256BBB"/>
    <w:rsid w:val="6A2AE590"/>
    <w:rsid w:val="6A2D54EA"/>
    <w:rsid w:val="6A30C4DF"/>
    <w:rsid w:val="6A32B649"/>
    <w:rsid w:val="6A33B790"/>
    <w:rsid w:val="6A34C0CF"/>
    <w:rsid w:val="6A3EDCC4"/>
    <w:rsid w:val="6A3F201F"/>
    <w:rsid w:val="6A43AE24"/>
    <w:rsid w:val="6A46F1E9"/>
    <w:rsid w:val="6A4DAF20"/>
    <w:rsid w:val="6A4E1426"/>
    <w:rsid w:val="6A63C135"/>
    <w:rsid w:val="6A687A6F"/>
    <w:rsid w:val="6A84C6F6"/>
    <w:rsid w:val="6A89F45C"/>
    <w:rsid w:val="6A915636"/>
    <w:rsid w:val="6AA14755"/>
    <w:rsid w:val="6AA9C020"/>
    <w:rsid w:val="6AACEBFE"/>
    <w:rsid w:val="6AB87100"/>
    <w:rsid w:val="6AB9DF58"/>
    <w:rsid w:val="6ABD37C2"/>
    <w:rsid w:val="6ABE712D"/>
    <w:rsid w:val="6AC1D954"/>
    <w:rsid w:val="6ACB8415"/>
    <w:rsid w:val="6ACD6F08"/>
    <w:rsid w:val="6AD6130E"/>
    <w:rsid w:val="6AD741C8"/>
    <w:rsid w:val="6ADA0A5F"/>
    <w:rsid w:val="6AEA9F33"/>
    <w:rsid w:val="6AED8545"/>
    <w:rsid w:val="6AF7E7C9"/>
    <w:rsid w:val="6B069C1D"/>
    <w:rsid w:val="6B073ECC"/>
    <w:rsid w:val="6B0EC518"/>
    <w:rsid w:val="6B14E108"/>
    <w:rsid w:val="6B1EE870"/>
    <w:rsid w:val="6B267970"/>
    <w:rsid w:val="6B2BD52E"/>
    <w:rsid w:val="6B340502"/>
    <w:rsid w:val="6B34AE03"/>
    <w:rsid w:val="6B364DF4"/>
    <w:rsid w:val="6B38619A"/>
    <w:rsid w:val="6B445E6B"/>
    <w:rsid w:val="6B48BED3"/>
    <w:rsid w:val="6B55667F"/>
    <w:rsid w:val="6B82BE15"/>
    <w:rsid w:val="6B884953"/>
    <w:rsid w:val="6B88B91D"/>
    <w:rsid w:val="6BA17011"/>
    <w:rsid w:val="6BA29596"/>
    <w:rsid w:val="6BA2DC11"/>
    <w:rsid w:val="6BA978CF"/>
    <w:rsid w:val="6BBA9AA7"/>
    <w:rsid w:val="6BBCAEDB"/>
    <w:rsid w:val="6BBD4312"/>
    <w:rsid w:val="6BC11524"/>
    <w:rsid w:val="6BC6BEBD"/>
    <w:rsid w:val="6BCA591C"/>
    <w:rsid w:val="6BD4952B"/>
    <w:rsid w:val="6BDE1E00"/>
    <w:rsid w:val="6BE2BBD8"/>
    <w:rsid w:val="6BE87C31"/>
    <w:rsid w:val="6BF05D56"/>
    <w:rsid w:val="6BF4F83C"/>
    <w:rsid w:val="6BF92466"/>
    <w:rsid w:val="6C005E1D"/>
    <w:rsid w:val="6C0697A4"/>
    <w:rsid w:val="6C097F38"/>
    <w:rsid w:val="6C1E8B31"/>
    <w:rsid w:val="6C20F5FD"/>
    <w:rsid w:val="6C252F79"/>
    <w:rsid w:val="6C2EB21E"/>
    <w:rsid w:val="6C2FB2DC"/>
    <w:rsid w:val="6C3BCE07"/>
    <w:rsid w:val="6C3DC6EE"/>
    <w:rsid w:val="6C4755A7"/>
    <w:rsid w:val="6C49C507"/>
    <w:rsid w:val="6C576D97"/>
    <w:rsid w:val="6C6FEA8D"/>
    <w:rsid w:val="6C814AB6"/>
    <w:rsid w:val="6C896540"/>
    <w:rsid w:val="6C8AEED6"/>
    <w:rsid w:val="6C929C52"/>
    <w:rsid w:val="6C93C1A8"/>
    <w:rsid w:val="6CA4D794"/>
    <w:rsid w:val="6CA56D8E"/>
    <w:rsid w:val="6CA745C4"/>
    <w:rsid w:val="6CA7EB94"/>
    <w:rsid w:val="6CAE3F8C"/>
    <w:rsid w:val="6CB19D38"/>
    <w:rsid w:val="6CC3FAE9"/>
    <w:rsid w:val="6CC867E2"/>
    <w:rsid w:val="6CD78896"/>
    <w:rsid w:val="6CE63F2E"/>
    <w:rsid w:val="6CFCA5B0"/>
    <w:rsid w:val="6D07011E"/>
    <w:rsid w:val="6D0EBC9A"/>
    <w:rsid w:val="6D10164B"/>
    <w:rsid w:val="6D11D871"/>
    <w:rsid w:val="6D165437"/>
    <w:rsid w:val="6D19DA02"/>
    <w:rsid w:val="6D245596"/>
    <w:rsid w:val="6D292416"/>
    <w:rsid w:val="6D337570"/>
    <w:rsid w:val="6D33C0AD"/>
    <w:rsid w:val="6D3C752A"/>
    <w:rsid w:val="6D501A08"/>
    <w:rsid w:val="6D55DD8C"/>
    <w:rsid w:val="6D5855CC"/>
    <w:rsid w:val="6D6E188E"/>
    <w:rsid w:val="6D6EA290"/>
    <w:rsid w:val="6D71F983"/>
    <w:rsid w:val="6D7453CE"/>
    <w:rsid w:val="6D7498E0"/>
    <w:rsid w:val="6D852F8E"/>
    <w:rsid w:val="6D8B5935"/>
    <w:rsid w:val="6D8BDD9B"/>
    <w:rsid w:val="6D94C00A"/>
    <w:rsid w:val="6D9559DD"/>
    <w:rsid w:val="6D9721A0"/>
    <w:rsid w:val="6D9CE5BA"/>
    <w:rsid w:val="6D9F397D"/>
    <w:rsid w:val="6DA9C2CD"/>
    <w:rsid w:val="6DBB72DD"/>
    <w:rsid w:val="6DD42C36"/>
    <w:rsid w:val="6DE7CAA2"/>
    <w:rsid w:val="6DEB7211"/>
    <w:rsid w:val="6DEB7406"/>
    <w:rsid w:val="6DFA7E7F"/>
    <w:rsid w:val="6E018CFC"/>
    <w:rsid w:val="6E0FF24E"/>
    <w:rsid w:val="6E128729"/>
    <w:rsid w:val="6E258B80"/>
    <w:rsid w:val="6E3007C0"/>
    <w:rsid w:val="6E369F79"/>
    <w:rsid w:val="6E4006B1"/>
    <w:rsid w:val="6E43E488"/>
    <w:rsid w:val="6E4919BF"/>
    <w:rsid w:val="6E4F01E0"/>
    <w:rsid w:val="6E544DCC"/>
    <w:rsid w:val="6E652901"/>
    <w:rsid w:val="6E6B1F66"/>
    <w:rsid w:val="6E8A1694"/>
    <w:rsid w:val="6E92941C"/>
    <w:rsid w:val="6E9E1D2C"/>
    <w:rsid w:val="6EA1735E"/>
    <w:rsid w:val="6EA32DF0"/>
    <w:rsid w:val="6EA5475D"/>
    <w:rsid w:val="6EC224B7"/>
    <w:rsid w:val="6EDB749C"/>
    <w:rsid w:val="6EDDED3B"/>
    <w:rsid w:val="6EDFF358"/>
    <w:rsid w:val="6EE6BC36"/>
    <w:rsid w:val="6EFF2C34"/>
    <w:rsid w:val="6F013008"/>
    <w:rsid w:val="6F01517F"/>
    <w:rsid w:val="6F0C12B3"/>
    <w:rsid w:val="6F0F566D"/>
    <w:rsid w:val="6F12D234"/>
    <w:rsid w:val="6F1792CC"/>
    <w:rsid w:val="6F26641C"/>
    <w:rsid w:val="6F2685AE"/>
    <w:rsid w:val="6F2C6192"/>
    <w:rsid w:val="6F328395"/>
    <w:rsid w:val="6F35D4B7"/>
    <w:rsid w:val="6F396458"/>
    <w:rsid w:val="6F39AED7"/>
    <w:rsid w:val="6F43AE45"/>
    <w:rsid w:val="6F44B232"/>
    <w:rsid w:val="6F5D9B46"/>
    <w:rsid w:val="6F6412D6"/>
    <w:rsid w:val="6F6ACD3B"/>
    <w:rsid w:val="6F76B8CF"/>
    <w:rsid w:val="6F779A7C"/>
    <w:rsid w:val="6F7B27CA"/>
    <w:rsid w:val="6F8E376A"/>
    <w:rsid w:val="6F912652"/>
    <w:rsid w:val="6F917162"/>
    <w:rsid w:val="6F98FCA7"/>
    <w:rsid w:val="6F9FDD25"/>
    <w:rsid w:val="6FAED2E3"/>
    <w:rsid w:val="6FBEA3DB"/>
    <w:rsid w:val="6FD470E4"/>
    <w:rsid w:val="6FDB489D"/>
    <w:rsid w:val="6FE193A8"/>
    <w:rsid w:val="6FED5531"/>
    <w:rsid w:val="6FF19054"/>
    <w:rsid w:val="6FF88470"/>
    <w:rsid w:val="70055B24"/>
    <w:rsid w:val="701C1B79"/>
    <w:rsid w:val="70274D4D"/>
    <w:rsid w:val="7030CA55"/>
    <w:rsid w:val="7033ED88"/>
    <w:rsid w:val="70341026"/>
    <w:rsid w:val="703D2885"/>
    <w:rsid w:val="703DDC56"/>
    <w:rsid w:val="703F99CE"/>
    <w:rsid w:val="704202F0"/>
    <w:rsid w:val="70477719"/>
    <w:rsid w:val="7048C748"/>
    <w:rsid w:val="7051FB47"/>
    <w:rsid w:val="70521F70"/>
    <w:rsid w:val="706ACF43"/>
    <w:rsid w:val="70702713"/>
    <w:rsid w:val="70717B9C"/>
    <w:rsid w:val="707CE589"/>
    <w:rsid w:val="708325B4"/>
    <w:rsid w:val="70880F2D"/>
    <w:rsid w:val="708D111B"/>
    <w:rsid w:val="708F04C5"/>
    <w:rsid w:val="7090CA8B"/>
    <w:rsid w:val="7092D44D"/>
    <w:rsid w:val="70979E67"/>
    <w:rsid w:val="709A4FCB"/>
    <w:rsid w:val="709F5CCF"/>
    <w:rsid w:val="70AC7459"/>
    <w:rsid w:val="70AE7750"/>
    <w:rsid w:val="70AFE735"/>
    <w:rsid w:val="70B518AF"/>
    <w:rsid w:val="70B8D225"/>
    <w:rsid w:val="70C0B374"/>
    <w:rsid w:val="70C123F7"/>
    <w:rsid w:val="70D3EF7A"/>
    <w:rsid w:val="70D4E7B6"/>
    <w:rsid w:val="70E37297"/>
    <w:rsid w:val="70E6DB4E"/>
    <w:rsid w:val="70EDBF63"/>
    <w:rsid w:val="70F78BAB"/>
    <w:rsid w:val="70FAD11F"/>
    <w:rsid w:val="70FCDDF6"/>
    <w:rsid w:val="7101F226"/>
    <w:rsid w:val="7102AFF0"/>
    <w:rsid w:val="710514F8"/>
    <w:rsid w:val="7106E9B5"/>
    <w:rsid w:val="710C3486"/>
    <w:rsid w:val="710E9DB3"/>
    <w:rsid w:val="711120CA"/>
    <w:rsid w:val="71118D11"/>
    <w:rsid w:val="7111B7D9"/>
    <w:rsid w:val="71144C41"/>
    <w:rsid w:val="71479B3D"/>
    <w:rsid w:val="7152571A"/>
    <w:rsid w:val="716B8127"/>
    <w:rsid w:val="7173A490"/>
    <w:rsid w:val="717826D5"/>
    <w:rsid w:val="71801384"/>
    <w:rsid w:val="71882094"/>
    <w:rsid w:val="7189D459"/>
    <w:rsid w:val="718ECBFF"/>
    <w:rsid w:val="7197B5E2"/>
    <w:rsid w:val="719E94DC"/>
    <w:rsid w:val="719F5CC5"/>
    <w:rsid w:val="71A865DF"/>
    <w:rsid w:val="71A9CA33"/>
    <w:rsid w:val="71AD94CF"/>
    <w:rsid w:val="71BA15E4"/>
    <w:rsid w:val="71C13F09"/>
    <w:rsid w:val="71CF7558"/>
    <w:rsid w:val="71D13F5D"/>
    <w:rsid w:val="71D60B6A"/>
    <w:rsid w:val="71E9C813"/>
    <w:rsid w:val="71F204C4"/>
    <w:rsid w:val="71F33005"/>
    <w:rsid w:val="71F688DA"/>
    <w:rsid w:val="720B2C82"/>
    <w:rsid w:val="720D7D4F"/>
    <w:rsid w:val="72101EA7"/>
    <w:rsid w:val="7214471C"/>
    <w:rsid w:val="721EE000"/>
    <w:rsid w:val="72205DDC"/>
    <w:rsid w:val="722730C8"/>
    <w:rsid w:val="72282138"/>
    <w:rsid w:val="7250118E"/>
    <w:rsid w:val="72512134"/>
    <w:rsid w:val="726825F8"/>
    <w:rsid w:val="727C30D0"/>
    <w:rsid w:val="72897B28"/>
    <w:rsid w:val="728E50A5"/>
    <w:rsid w:val="72967CCD"/>
    <w:rsid w:val="72989CCF"/>
    <w:rsid w:val="729F95A7"/>
    <w:rsid w:val="72A24DF8"/>
    <w:rsid w:val="72B81D3E"/>
    <w:rsid w:val="72C20D6D"/>
    <w:rsid w:val="72C4D70E"/>
    <w:rsid w:val="72CF3939"/>
    <w:rsid w:val="72D4F1A4"/>
    <w:rsid w:val="72D75AD3"/>
    <w:rsid w:val="72DA81F2"/>
    <w:rsid w:val="72DE317F"/>
    <w:rsid w:val="72E1CF2C"/>
    <w:rsid w:val="72E78843"/>
    <w:rsid w:val="72EF20DA"/>
    <w:rsid w:val="72F51E00"/>
    <w:rsid w:val="72FBEC46"/>
    <w:rsid w:val="7308A0BE"/>
    <w:rsid w:val="7308D55C"/>
    <w:rsid w:val="730D4D20"/>
    <w:rsid w:val="731057ED"/>
    <w:rsid w:val="7318961B"/>
    <w:rsid w:val="731C12CE"/>
    <w:rsid w:val="73207CB0"/>
    <w:rsid w:val="7320EB6C"/>
    <w:rsid w:val="73334DE1"/>
    <w:rsid w:val="73346351"/>
    <w:rsid w:val="733FD1A5"/>
    <w:rsid w:val="73405BE1"/>
    <w:rsid w:val="73416BAA"/>
    <w:rsid w:val="7343A67B"/>
    <w:rsid w:val="734A1A2E"/>
    <w:rsid w:val="7355B1A4"/>
    <w:rsid w:val="735AC35B"/>
    <w:rsid w:val="735F7CE4"/>
    <w:rsid w:val="73689ACD"/>
    <w:rsid w:val="7373331E"/>
    <w:rsid w:val="7375566B"/>
    <w:rsid w:val="737D2C49"/>
    <w:rsid w:val="7387D3F1"/>
    <w:rsid w:val="738DF171"/>
    <w:rsid w:val="73901225"/>
    <w:rsid w:val="73973AE2"/>
    <w:rsid w:val="739A2B78"/>
    <w:rsid w:val="73A6F4E1"/>
    <w:rsid w:val="73AED25F"/>
    <w:rsid w:val="73AF817B"/>
    <w:rsid w:val="73B52DFC"/>
    <w:rsid w:val="73B5B15F"/>
    <w:rsid w:val="73B9B442"/>
    <w:rsid w:val="73BBD946"/>
    <w:rsid w:val="73D0A923"/>
    <w:rsid w:val="73D27058"/>
    <w:rsid w:val="73F34E1A"/>
    <w:rsid w:val="73F6B7D2"/>
    <w:rsid w:val="73F9CD4B"/>
    <w:rsid w:val="73FD1CC6"/>
    <w:rsid w:val="73FF2AF2"/>
    <w:rsid w:val="7405E0D3"/>
    <w:rsid w:val="74171C71"/>
    <w:rsid w:val="741F24F1"/>
    <w:rsid w:val="74239D27"/>
    <w:rsid w:val="74281A59"/>
    <w:rsid w:val="742A0C85"/>
    <w:rsid w:val="7437C194"/>
    <w:rsid w:val="743854AF"/>
    <w:rsid w:val="74393F2F"/>
    <w:rsid w:val="7452641C"/>
    <w:rsid w:val="745DA42A"/>
    <w:rsid w:val="74645335"/>
    <w:rsid w:val="746AC382"/>
    <w:rsid w:val="7470E452"/>
    <w:rsid w:val="7476D678"/>
    <w:rsid w:val="747A3D79"/>
    <w:rsid w:val="748B0196"/>
    <w:rsid w:val="748BF6D2"/>
    <w:rsid w:val="748E7559"/>
    <w:rsid w:val="749375C4"/>
    <w:rsid w:val="7496AD8A"/>
    <w:rsid w:val="7499CE32"/>
    <w:rsid w:val="74A4529A"/>
    <w:rsid w:val="74A68F01"/>
    <w:rsid w:val="74B9DD29"/>
    <w:rsid w:val="74BBED42"/>
    <w:rsid w:val="74C16937"/>
    <w:rsid w:val="74C2E27B"/>
    <w:rsid w:val="74C8E18F"/>
    <w:rsid w:val="74DA7718"/>
    <w:rsid w:val="74F6C5CC"/>
    <w:rsid w:val="74F8B5D6"/>
    <w:rsid w:val="74FA7DB9"/>
    <w:rsid w:val="74FCBE44"/>
    <w:rsid w:val="74FE7FEA"/>
    <w:rsid w:val="75014058"/>
    <w:rsid w:val="75131AE2"/>
    <w:rsid w:val="7515A5BB"/>
    <w:rsid w:val="75227E54"/>
    <w:rsid w:val="75231EBC"/>
    <w:rsid w:val="75289080"/>
    <w:rsid w:val="752A619A"/>
    <w:rsid w:val="752D53DE"/>
    <w:rsid w:val="752DB1E9"/>
    <w:rsid w:val="75334898"/>
    <w:rsid w:val="753E5E42"/>
    <w:rsid w:val="7557EE76"/>
    <w:rsid w:val="7558233E"/>
    <w:rsid w:val="755AFFC4"/>
    <w:rsid w:val="7566887C"/>
    <w:rsid w:val="756AD6A4"/>
    <w:rsid w:val="756E04E2"/>
    <w:rsid w:val="757B8D70"/>
    <w:rsid w:val="7585A4A9"/>
    <w:rsid w:val="7586326A"/>
    <w:rsid w:val="75867108"/>
    <w:rsid w:val="758C3633"/>
    <w:rsid w:val="759CC7CF"/>
    <w:rsid w:val="759CE324"/>
    <w:rsid w:val="759E5490"/>
    <w:rsid w:val="759E9EB6"/>
    <w:rsid w:val="75A997A0"/>
    <w:rsid w:val="75B12129"/>
    <w:rsid w:val="75D0E64A"/>
    <w:rsid w:val="75D577A1"/>
    <w:rsid w:val="75D8296D"/>
    <w:rsid w:val="75D83A2A"/>
    <w:rsid w:val="75D9DD26"/>
    <w:rsid w:val="75E1C61D"/>
    <w:rsid w:val="75EEE533"/>
    <w:rsid w:val="75F25771"/>
    <w:rsid w:val="75F77681"/>
    <w:rsid w:val="76103A49"/>
    <w:rsid w:val="76107EE7"/>
    <w:rsid w:val="76114CD9"/>
    <w:rsid w:val="76258258"/>
    <w:rsid w:val="7627DFBB"/>
    <w:rsid w:val="762C55C7"/>
    <w:rsid w:val="762C8F89"/>
    <w:rsid w:val="764475BA"/>
    <w:rsid w:val="76595BB3"/>
    <w:rsid w:val="7659ABB4"/>
    <w:rsid w:val="765BB0B6"/>
    <w:rsid w:val="765CFFD2"/>
    <w:rsid w:val="765F9AD8"/>
    <w:rsid w:val="766F23A0"/>
    <w:rsid w:val="76778F68"/>
    <w:rsid w:val="767A7709"/>
    <w:rsid w:val="767D8416"/>
    <w:rsid w:val="76835BD6"/>
    <w:rsid w:val="7683A248"/>
    <w:rsid w:val="768B2C44"/>
    <w:rsid w:val="769D439C"/>
    <w:rsid w:val="769DA8A7"/>
    <w:rsid w:val="769F5A1D"/>
    <w:rsid w:val="76A36FAD"/>
    <w:rsid w:val="76A3CE41"/>
    <w:rsid w:val="76A4AFFF"/>
    <w:rsid w:val="76A4BC13"/>
    <w:rsid w:val="76A6B331"/>
    <w:rsid w:val="76ABAC55"/>
    <w:rsid w:val="76B45D8B"/>
    <w:rsid w:val="76B93CF5"/>
    <w:rsid w:val="76B9A870"/>
    <w:rsid w:val="76BA4E77"/>
    <w:rsid w:val="76C99305"/>
    <w:rsid w:val="76C99791"/>
    <w:rsid w:val="76D3ABFF"/>
    <w:rsid w:val="76D8CB95"/>
    <w:rsid w:val="76DD6A46"/>
    <w:rsid w:val="76E0915D"/>
    <w:rsid w:val="76E86D0D"/>
    <w:rsid w:val="76FB4D9D"/>
    <w:rsid w:val="7701D25E"/>
    <w:rsid w:val="77254F75"/>
    <w:rsid w:val="772B22DA"/>
    <w:rsid w:val="772D967E"/>
    <w:rsid w:val="77308036"/>
    <w:rsid w:val="7731BB95"/>
    <w:rsid w:val="773C3950"/>
    <w:rsid w:val="774321E1"/>
    <w:rsid w:val="77517A37"/>
    <w:rsid w:val="775F3A4B"/>
    <w:rsid w:val="7763765C"/>
    <w:rsid w:val="7772A3E2"/>
    <w:rsid w:val="779427B2"/>
    <w:rsid w:val="779557D8"/>
    <w:rsid w:val="77AA9403"/>
    <w:rsid w:val="77AB4782"/>
    <w:rsid w:val="77C4648A"/>
    <w:rsid w:val="77D114CE"/>
    <w:rsid w:val="77EE32F1"/>
    <w:rsid w:val="7801B953"/>
    <w:rsid w:val="780490B7"/>
    <w:rsid w:val="78066B7B"/>
    <w:rsid w:val="7806D65A"/>
    <w:rsid w:val="7819107D"/>
    <w:rsid w:val="781D0035"/>
    <w:rsid w:val="784118BF"/>
    <w:rsid w:val="784240BE"/>
    <w:rsid w:val="785F6925"/>
    <w:rsid w:val="786E446D"/>
    <w:rsid w:val="7877BC37"/>
    <w:rsid w:val="787A5023"/>
    <w:rsid w:val="787A8D8C"/>
    <w:rsid w:val="78826FDB"/>
    <w:rsid w:val="78863FBC"/>
    <w:rsid w:val="788D46F4"/>
    <w:rsid w:val="7890A7B4"/>
    <w:rsid w:val="7894A6CE"/>
    <w:rsid w:val="78951934"/>
    <w:rsid w:val="7895CE3A"/>
    <w:rsid w:val="789826E7"/>
    <w:rsid w:val="789DB039"/>
    <w:rsid w:val="78A6C28C"/>
    <w:rsid w:val="78ADFB39"/>
    <w:rsid w:val="78B7FC97"/>
    <w:rsid w:val="78BC7683"/>
    <w:rsid w:val="78BC80C7"/>
    <w:rsid w:val="78BF043A"/>
    <w:rsid w:val="78BF9660"/>
    <w:rsid w:val="78C160F2"/>
    <w:rsid w:val="78C2969C"/>
    <w:rsid w:val="78C5C60B"/>
    <w:rsid w:val="78CA22B9"/>
    <w:rsid w:val="78CBB610"/>
    <w:rsid w:val="78CD9863"/>
    <w:rsid w:val="78D50229"/>
    <w:rsid w:val="78D57A73"/>
    <w:rsid w:val="78DDD94D"/>
    <w:rsid w:val="78E6BBC2"/>
    <w:rsid w:val="78E9255F"/>
    <w:rsid w:val="78FA24BE"/>
    <w:rsid w:val="78FDE768"/>
    <w:rsid w:val="79009CA3"/>
    <w:rsid w:val="7906FAC8"/>
    <w:rsid w:val="790F8F17"/>
    <w:rsid w:val="79123E63"/>
    <w:rsid w:val="79131DD9"/>
    <w:rsid w:val="791F21F9"/>
    <w:rsid w:val="793283EF"/>
    <w:rsid w:val="793B01A1"/>
    <w:rsid w:val="793BC204"/>
    <w:rsid w:val="793E2EDA"/>
    <w:rsid w:val="793F6203"/>
    <w:rsid w:val="79489F86"/>
    <w:rsid w:val="794BDDDF"/>
    <w:rsid w:val="794D9238"/>
    <w:rsid w:val="79513FD8"/>
    <w:rsid w:val="79575A2F"/>
    <w:rsid w:val="795EF923"/>
    <w:rsid w:val="795F8A1F"/>
    <w:rsid w:val="796351F6"/>
    <w:rsid w:val="79647066"/>
    <w:rsid w:val="79656019"/>
    <w:rsid w:val="79659349"/>
    <w:rsid w:val="796936EF"/>
    <w:rsid w:val="796B49F6"/>
    <w:rsid w:val="797A3526"/>
    <w:rsid w:val="797A7DB8"/>
    <w:rsid w:val="797DABCB"/>
    <w:rsid w:val="79809A4C"/>
    <w:rsid w:val="79836498"/>
    <w:rsid w:val="798B0694"/>
    <w:rsid w:val="799AD2A7"/>
    <w:rsid w:val="79B04E52"/>
    <w:rsid w:val="79B06748"/>
    <w:rsid w:val="79B0FAFD"/>
    <w:rsid w:val="79B4A956"/>
    <w:rsid w:val="79BD475D"/>
    <w:rsid w:val="79C33FE5"/>
    <w:rsid w:val="79C3B16E"/>
    <w:rsid w:val="79C78263"/>
    <w:rsid w:val="79CD6CBF"/>
    <w:rsid w:val="79D981F0"/>
    <w:rsid w:val="79DAD52B"/>
    <w:rsid w:val="79DD1354"/>
    <w:rsid w:val="79DE0502"/>
    <w:rsid w:val="79F065C6"/>
    <w:rsid w:val="79F06D7D"/>
    <w:rsid w:val="79F0D52C"/>
    <w:rsid w:val="79F93296"/>
    <w:rsid w:val="79F959D5"/>
    <w:rsid w:val="79FCF3C1"/>
    <w:rsid w:val="7A020061"/>
    <w:rsid w:val="7A0EA40E"/>
    <w:rsid w:val="7A13E22E"/>
    <w:rsid w:val="7A1479A3"/>
    <w:rsid w:val="7A1C8872"/>
    <w:rsid w:val="7A353A5D"/>
    <w:rsid w:val="7A556205"/>
    <w:rsid w:val="7A598BE1"/>
    <w:rsid w:val="7A625B3F"/>
    <w:rsid w:val="7A830E7F"/>
    <w:rsid w:val="7A865CE2"/>
    <w:rsid w:val="7A8676BC"/>
    <w:rsid w:val="7A895305"/>
    <w:rsid w:val="7A8CE3F8"/>
    <w:rsid w:val="7A8D4D2D"/>
    <w:rsid w:val="7A94CDFA"/>
    <w:rsid w:val="7A9BBFC8"/>
    <w:rsid w:val="7A9C5CF5"/>
    <w:rsid w:val="7A9D38D4"/>
    <w:rsid w:val="7AA5754A"/>
    <w:rsid w:val="7AA58ABE"/>
    <w:rsid w:val="7AAE3DB1"/>
    <w:rsid w:val="7AB80AFA"/>
    <w:rsid w:val="7ABBEEE7"/>
    <w:rsid w:val="7ABFE9EC"/>
    <w:rsid w:val="7AE95D55"/>
    <w:rsid w:val="7AFDAFDF"/>
    <w:rsid w:val="7B032131"/>
    <w:rsid w:val="7B069F80"/>
    <w:rsid w:val="7B094945"/>
    <w:rsid w:val="7B0D8E4C"/>
    <w:rsid w:val="7B0F01FC"/>
    <w:rsid w:val="7B0F94E6"/>
    <w:rsid w:val="7B111BA0"/>
    <w:rsid w:val="7B160587"/>
    <w:rsid w:val="7B33FBEC"/>
    <w:rsid w:val="7B3DE58B"/>
    <w:rsid w:val="7B465025"/>
    <w:rsid w:val="7B495D7E"/>
    <w:rsid w:val="7B4B5A75"/>
    <w:rsid w:val="7B4F37C4"/>
    <w:rsid w:val="7B52604E"/>
    <w:rsid w:val="7B5D6ACB"/>
    <w:rsid w:val="7B62DAA5"/>
    <w:rsid w:val="7B62FE1D"/>
    <w:rsid w:val="7B67F75A"/>
    <w:rsid w:val="7B79D563"/>
    <w:rsid w:val="7B814F5B"/>
    <w:rsid w:val="7B9329B5"/>
    <w:rsid w:val="7B94BA2A"/>
    <w:rsid w:val="7B9FD75B"/>
    <w:rsid w:val="7BA1230C"/>
    <w:rsid w:val="7BA4C20D"/>
    <w:rsid w:val="7BAAE84C"/>
    <w:rsid w:val="7BADF169"/>
    <w:rsid w:val="7BB65908"/>
    <w:rsid w:val="7BB9C543"/>
    <w:rsid w:val="7BC07106"/>
    <w:rsid w:val="7BCE74E7"/>
    <w:rsid w:val="7BD059CA"/>
    <w:rsid w:val="7BD387C1"/>
    <w:rsid w:val="7BD3B25E"/>
    <w:rsid w:val="7BE24F3A"/>
    <w:rsid w:val="7BE2D196"/>
    <w:rsid w:val="7BE5027E"/>
    <w:rsid w:val="7BE8789D"/>
    <w:rsid w:val="7BEB05C2"/>
    <w:rsid w:val="7BEB977B"/>
    <w:rsid w:val="7BF18B69"/>
    <w:rsid w:val="7BF3F2D8"/>
    <w:rsid w:val="7BF4A97B"/>
    <w:rsid w:val="7C05225A"/>
    <w:rsid w:val="7C07FC6A"/>
    <w:rsid w:val="7C091990"/>
    <w:rsid w:val="7C153E32"/>
    <w:rsid w:val="7C159444"/>
    <w:rsid w:val="7C1BED0B"/>
    <w:rsid w:val="7C2F5B41"/>
    <w:rsid w:val="7C35D558"/>
    <w:rsid w:val="7C38227C"/>
    <w:rsid w:val="7C385318"/>
    <w:rsid w:val="7C3B4E1F"/>
    <w:rsid w:val="7C47E053"/>
    <w:rsid w:val="7C4A32F0"/>
    <w:rsid w:val="7C4AFD2C"/>
    <w:rsid w:val="7C4B4001"/>
    <w:rsid w:val="7C5DAC53"/>
    <w:rsid w:val="7C6928B8"/>
    <w:rsid w:val="7C8B6B2C"/>
    <w:rsid w:val="7C8E7BC0"/>
    <w:rsid w:val="7C8F10AF"/>
    <w:rsid w:val="7CA3E5B9"/>
    <w:rsid w:val="7CB09075"/>
    <w:rsid w:val="7CB2A50A"/>
    <w:rsid w:val="7CB422DC"/>
    <w:rsid w:val="7CB6D517"/>
    <w:rsid w:val="7CBF25F2"/>
    <w:rsid w:val="7CC07912"/>
    <w:rsid w:val="7CCBB55B"/>
    <w:rsid w:val="7CD661B8"/>
    <w:rsid w:val="7CD6B8D7"/>
    <w:rsid w:val="7CDD4059"/>
    <w:rsid w:val="7CE3F305"/>
    <w:rsid w:val="7CEBAC00"/>
    <w:rsid w:val="7CEDF1DE"/>
    <w:rsid w:val="7CF3AC24"/>
    <w:rsid w:val="7CFD224D"/>
    <w:rsid w:val="7D029CB8"/>
    <w:rsid w:val="7D0765BF"/>
    <w:rsid w:val="7D12B6EF"/>
    <w:rsid w:val="7D1442E6"/>
    <w:rsid w:val="7D2601F2"/>
    <w:rsid w:val="7D26FD36"/>
    <w:rsid w:val="7D2F0BDD"/>
    <w:rsid w:val="7D3153AF"/>
    <w:rsid w:val="7D431908"/>
    <w:rsid w:val="7D45CD14"/>
    <w:rsid w:val="7D4AEA55"/>
    <w:rsid w:val="7D4E22C5"/>
    <w:rsid w:val="7D511831"/>
    <w:rsid w:val="7D556DF6"/>
    <w:rsid w:val="7D6132A7"/>
    <w:rsid w:val="7D83A60E"/>
    <w:rsid w:val="7D8490C1"/>
    <w:rsid w:val="7D8774A9"/>
    <w:rsid w:val="7D893DEC"/>
    <w:rsid w:val="7D9337D4"/>
    <w:rsid w:val="7D9CDE39"/>
    <w:rsid w:val="7DA37F69"/>
    <w:rsid w:val="7DA68427"/>
    <w:rsid w:val="7DA9BB24"/>
    <w:rsid w:val="7DAF8438"/>
    <w:rsid w:val="7DB27B80"/>
    <w:rsid w:val="7DBDEFB4"/>
    <w:rsid w:val="7DBE2F59"/>
    <w:rsid w:val="7DD145D7"/>
    <w:rsid w:val="7DDC118B"/>
    <w:rsid w:val="7DDE0120"/>
    <w:rsid w:val="7DED18BE"/>
    <w:rsid w:val="7DEE583C"/>
    <w:rsid w:val="7DF4AC79"/>
    <w:rsid w:val="7DF62043"/>
    <w:rsid w:val="7E017C47"/>
    <w:rsid w:val="7E05B403"/>
    <w:rsid w:val="7E0ABBBE"/>
    <w:rsid w:val="7E0D4B4D"/>
    <w:rsid w:val="7E11CEB7"/>
    <w:rsid w:val="7E1767A0"/>
    <w:rsid w:val="7E1911CF"/>
    <w:rsid w:val="7E24DF18"/>
    <w:rsid w:val="7E320ECF"/>
    <w:rsid w:val="7E3344D0"/>
    <w:rsid w:val="7E42D876"/>
    <w:rsid w:val="7E462D8F"/>
    <w:rsid w:val="7E48FA55"/>
    <w:rsid w:val="7E4EDBCD"/>
    <w:rsid w:val="7E51B5B5"/>
    <w:rsid w:val="7E5E087B"/>
    <w:rsid w:val="7E69EE73"/>
    <w:rsid w:val="7E6FEC23"/>
    <w:rsid w:val="7E712BB6"/>
    <w:rsid w:val="7E71BF0A"/>
    <w:rsid w:val="7E8B5987"/>
    <w:rsid w:val="7E8CD7C6"/>
    <w:rsid w:val="7E9171CF"/>
    <w:rsid w:val="7E9645F6"/>
    <w:rsid w:val="7E96DDCE"/>
    <w:rsid w:val="7E989EF3"/>
    <w:rsid w:val="7E9CAAB6"/>
    <w:rsid w:val="7E9CEEF8"/>
    <w:rsid w:val="7EB108A5"/>
    <w:rsid w:val="7EB2E7FE"/>
    <w:rsid w:val="7EB425E1"/>
    <w:rsid w:val="7EB4EB58"/>
    <w:rsid w:val="7EB5906F"/>
    <w:rsid w:val="7EB736B1"/>
    <w:rsid w:val="7EC7A06A"/>
    <w:rsid w:val="7EDC6E53"/>
    <w:rsid w:val="7EDE18E5"/>
    <w:rsid w:val="7EDF3F85"/>
    <w:rsid w:val="7EE0E4EA"/>
    <w:rsid w:val="7EE6D28D"/>
    <w:rsid w:val="7EF457ED"/>
    <w:rsid w:val="7EF77953"/>
    <w:rsid w:val="7EFAFEB0"/>
    <w:rsid w:val="7F048751"/>
    <w:rsid w:val="7F0CF8AF"/>
    <w:rsid w:val="7F0DA6BF"/>
    <w:rsid w:val="7F10ECE7"/>
    <w:rsid w:val="7F16D416"/>
    <w:rsid w:val="7F18EFEA"/>
    <w:rsid w:val="7F2177E0"/>
    <w:rsid w:val="7F397520"/>
    <w:rsid w:val="7F452323"/>
    <w:rsid w:val="7F60EFAF"/>
    <w:rsid w:val="7F668E43"/>
    <w:rsid w:val="7F6BD2FC"/>
    <w:rsid w:val="7F70C458"/>
    <w:rsid w:val="7F70F5A8"/>
    <w:rsid w:val="7F7B25CB"/>
    <w:rsid w:val="7F89ED74"/>
    <w:rsid w:val="7F8A757A"/>
    <w:rsid w:val="7F9178E0"/>
    <w:rsid w:val="7F987680"/>
    <w:rsid w:val="7F994BC5"/>
    <w:rsid w:val="7F9B9CAB"/>
    <w:rsid w:val="7FA9FAB7"/>
    <w:rsid w:val="7FADA332"/>
    <w:rsid w:val="7FB77FEA"/>
    <w:rsid w:val="7FBCDF37"/>
    <w:rsid w:val="7FC2D39D"/>
    <w:rsid w:val="7FCF85FC"/>
    <w:rsid w:val="7FD1FFC8"/>
    <w:rsid w:val="7FD63D7D"/>
    <w:rsid w:val="7FD8E6F1"/>
    <w:rsid w:val="7FDCD231"/>
    <w:rsid w:val="7FEB5674"/>
    <w:rsid w:val="7FEBE2AC"/>
    <w:rsid w:val="7FECDD24"/>
    <w:rsid w:val="7FEDA57F"/>
    <w:rsid w:val="7FF0D251"/>
    <w:rsid w:val="7FF75557"/>
    <w:rsid w:val="7FFCEF9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659081"/>
  <w15:docId w15:val="{9A2D83C6-20BF-4DB2-B1B9-2F9631EE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1" w:qFormat="1"/>
    <w:lsdException w:name="heading 4" w:uiPriority="1" w:qFormat="1"/>
    <w:lsdException w:name="heading 5" w:uiPriority="9" w:qFormat="1"/>
    <w:lsdException w:name="heading 6" w:semiHidden="1" w:uiPriority="0" w:unhideWhenUsed="1" w:qFormat="1"/>
    <w:lsdException w:name="heading 7" w:semiHidden="1" w:uiPriority="98" w:unhideWhenUsed="1" w:qFormat="1"/>
    <w:lsdException w:name="heading 8" w:semiHidden="1" w:uiPriority="9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8" w:unhideWhenUsed="1"/>
    <w:lsdException w:name="footnote text" w:semiHidden="1"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4" w:unhideWhenUsed="1" w:qFormat="1"/>
    <w:lsdException w:name="table of figures" w:semiHidden="1" w:unhideWhenUsed="1" w:qFormat="1"/>
    <w:lsdException w:name="envelope address" w:semiHidden="1" w:uiPriority="98" w:unhideWhenUsed="1"/>
    <w:lsdException w:name="envelope return" w:semiHidden="1" w:uiPriority="98" w:unhideWhenUsed="1"/>
    <w:lsdException w:name="footnote reference" w:semiHidden="1" w:unhideWhenUsed="1"/>
    <w:lsdException w:name="annotation reference" w:semiHidden="1" w:unhideWhenUsed="1"/>
    <w:lsdException w:name="line number" w:semiHidden="1" w:uiPriority="98" w:unhideWhenUsed="1"/>
    <w:lsdException w:name="page number" w:semiHidden="1" w:unhideWhenUsed="1"/>
    <w:lsdException w:name="endnote reference" w:semiHidden="1" w:unhideWhenUsed="1"/>
    <w:lsdException w:name="endnote text" w:semiHidden="1" w:uiPriority="98" w:unhideWhenUsed="1"/>
    <w:lsdException w:name="table of authorities" w:semiHidden="1" w:unhideWhenUsed="1"/>
    <w:lsdException w:name="macro" w:semiHidden="1" w:unhideWhenUsed="1"/>
    <w:lsdException w:name="toa heading" w:semiHidden="1" w:unhideWhenUsed="1"/>
    <w:lsdException w:name="List" w:semiHidden="1" w:uiPriority="98" w:unhideWhenUsed="1"/>
    <w:lsdException w:name="List Bullet" w:semiHidden="1" w:uiPriority="98" w:unhideWhenUsed="1"/>
    <w:lsdException w:name="List Number" w:semiHidden="1" w:uiPriority="98" w:unhideWhenUsed="1"/>
    <w:lsdException w:name="List 2" w:semiHidden="1" w:uiPriority="98" w:unhideWhenUsed="1"/>
    <w:lsdException w:name="List 3" w:semiHidden="1" w:uiPriority="98" w:unhideWhenUsed="1"/>
    <w:lsdException w:name="List 4" w:semiHidden="1" w:uiPriority="98" w:unhideWhenUsed="1"/>
    <w:lsdException w:name="List 5" w:semiHidden="1" w:uiPriority="98" w:unhideWhenUsed="1"/>
    <w:lsdException w:name="List Bullet 2" w:semiHidden="1" w:uiPriority="98" w:unhideWhenUsed="1"/>
    <w:lsdException w:name="List Bullet 3" w:semiHidden="1" w:uiPriority="98" w:unhideWhenUsed="1"/>
    <w:lsdException w:name="List Bullet 4" w:semiHidden="1" w:uiPriority="98" w:unhideWhenUsed="1"/>
    <w:lsdException w:name="List Bullet 5" w:semiHidden="1" w:uiPriority="98"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10" w:qFormat="1"/>
    <w:lsdException w:name="Closing" w:semiHidden="1" w:unhideWhenUsed="1"/>
    <w:lsdException w:name="Signature" w:semiHidden="1" w:uiPriority="98" w:unhideWhenUsed="1"/>
    <w:lsdException w:name="Default Paragraph Font" w:semiHidden="1" w:uiPriority="1" w:unhideWhenUsed="1"/>
    <w:lsdException w:name="Body Text" w:semiHidden="1" w:uiPriority="98" w:unhideWhenUsed="1"/>
    <w:lsdException w:name="Body Text Indent" w:semiHidden="1" w:uiPriority="98" w:unhideWhenUsed="1"/>
    <w:lsdException w:name="List Continue" w:semiHidden="1" w:uiPriority="98" w:unhideWhenUsed="1"/>
    <w:lsdException w:name="List Continue 2" w:semiHidden="1" w:uiPriority="98" w:unhideWhenUsed="1"/>
    <w:lsdException w:name="List Continue 3" w:semiHidden="1" w:uiPriority="98" w:unhideWhenUsed="1"/>
    <w:lsdException w:name="List Continue 4" w:semiHidden="1" w:uiPriority="98" w:unhideWhenUsed="1"/>
    <w:lsdException w:name="List Continue 5" w:semiHidden="1" w:uiPriority="98" w:unhideWhenUsed="1"/>
    <w:lsdException w:name="Message Header" w:semiHidden="1" w:uiPriority="98" w:unhideWhenUsed="1"/>
    <w:lsdException w:name="Subtitle" w:uiPriority="11" w:qFormat="1"/>
    <w:lsdException w:name="Salutation" w:semiHidden="1" w:uiPriority="98" w:unhideWhenUsed="1"/>
    <w:lsdException w:name="Date" w:semiHidden="1" w:uiPriority="98" w:unhideWhenUsed="1"/>
    <w:lsdException w:name="Body Text First Indent" w:semiHidden="1" w:uiPriority="98" w:unhideWhenUsed="1"/>
    <w:lsdException w:name="Body Text First Indent 2" w:semiHidden="1" w:uiPriority="98" w:unhideWhenUsed="1"/>
    <w:lsdException w:name="Note Heading" w:semiHidden="1" w:unhideWhenUsed="1"/>
    <w:lsdException w:name="Body Text 2" w:semiHidden="1" w:uiPriority="98" w:unhideWhenUsed="1"/>
    <w:lsdException w:name="Body Text 3" w:semiHidden="1" w:uiPriority="98" w:unhideWhenUsed="1"/>
    <w:lsdException w:name="Body Text Indent 2" w:semiHidden="1" w:uiPriority="98" w:unhideWhenUsed="1"/>
    <w:lsdException w:name="Body Text Indent 3" w:semiHidden="1" w:uiPriority="98"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iPriority="98" w:unhideWhenUsed="1"/>
    <w:lsdException w:name="E-mail Signature" w:semiHidden="1" w:uiPriority="98" w:unhideWhenUsed="1"/>
    <w:lsdException w:name="HTML Top of Form" w:semiHidden="1" w:unhideWhenUsed="1"/>
    <w:lsdException w:name="HTML Bottom of Form" w:semiHidden="1" w:unhideWhenUsed="1"/>
    <w:lsdException w:name="Normal (Web)" w:semiHidden="1" w:uiPriority="98" w:unhideWhenUsed="1"/>
    <w:lsdException w:name="HTML Acronym" w:semiHidden="1" w:uiPriority="98" w:unhideWhenUsed="1"/>
    <w:lsdException w:name="HTML Address" w:semiHidden="1" w:uiPriority="98" w:unhideWhenUsed="1"/>
    <w:lsdException w:name="HTML Cite" w:semiHidden="1" w:uiPriority="98" w:unhideWhenUsed="1"/>
    <w:lsdException w:name="HTML Code" w:semiHidden="1" w:uiPriority="98" w:unhideWhenUsed="1"/>
    <w:lsdException w:name="HTML Definition" w:semiHidden="1" w:uiPriority="98" w:unhideWhenUsed="1"/>
    <w:lsdException w:name="HTML Keyboard" w:semiHidden="1" w:uiPriority="98" w:unhideWhenUsed="1"/>
    <w:lsdException w:name="HTML Preformatted" w:semiHidden="1" w:uiPriority="98" w:unhideWhenUsed="1"/>
    <w:lsdException w:name="HTML Sample" w:semiHidden="1" w:uiPriority="98" w:unhideWhenUsed="1"/>
    <w:lsdException w:name="HTML Typewriter" w:semiHidden="1" w:uiPriority="98" w:unhideWhenUsed="1"/>
    <w:lsdException w:name="HTML Variable" w:semiHidden="1" w:uiPriority="98"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8"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67047"/>
    <w:pPr>
      <w:spacing w:after="120" w:line="280" w:lineRule="atLeast"/>
    </w:pPr>
    <w:rPr>
      <w:rFonts w:ascii="Arial" w:hAnsi="Arial"/>
      <w:sz w:val="21"/>
      <w:lang w:eastAsia="en-US"/>
    </w:rPr>
  </w:style>
  <w:style w:type="paragraph" w:styleId="Heading1">
    <w:name w:val="heading 1"/>
    <w:next w:val="Body"/>
    <w:link w:val="Heading1Char"/>
    <w:qFormat/>
    <w:rsid w:val="00D51451"/>
    <w:pPr>
      <w:keepNext/>
      <w:keepLines/>
      <w:pageBreakBefore/>
      <w:numPr>
        <w:numId w:val="38"/>
      </w:numPr>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9522D1"/>
    <w:pPr>
      <w:keepNext/>
      <w:keepLines/>
      <w:pageBreakBefore/>
      <w:numPr>
        <w:ilvl w:val="1"/>
        <w:numId w:val="33"/>
      </w:numPr>
      <w:spacing w:after="240" w:line="480" w:lineRule="atLeast"/>
      <w:ind w:left="1418" w:hanging="1418"/>
      <w:outlineLvl w:val="1"/>
    </w:pPr>
    <w:rPr>
      <w:rFonts w:ascii="Arial" w:hAnsi="Arial"/>
      <w:color w:val="201547"/>
      <w:sz w:val="44"/>
      <w:szCs w:val="28"/>
      <w:lang w:eastAsia="en-US"/>
    </w:rPr>
  </w:style>
  <w:style w:type="paragraph" w:styleId="Heading3">
    <w:name w:val="heading 3"/>
    <w:next w:val="Body"/>
    <w:link w:val="Heading3Char"/>
    <w:uiPriority w:val="1"/>
    <w:qFormat/>
    <w:rsid w:val="00E737C1"/>
    <w:pPr>
      <w:keepNext/>
      <w:keepLines/>
      <w:numPr>
        <w:ilvl w:val="2"/>
        <w:numId w:val="39"/>
      </w:numPr>
      <w:spacing w:before="360" w:after="120" w:line="340" w:lineRule="atLeast"/>
      <w:ind w:left="1134"/>
      <w:outlineLvl w:val="2"/>
    </w:pPr>
    <w:rPr>
      <w:rFonts w:ascii="Arial" w:eastAsia="MS Gothic" w:hAnsi="Arial"/>
      <w:b/>
      <w:bCs/>
      <w:color w:val="53565A"/>
      <w:sz w:val="32"/>
      <w:szCs w:val="26"/>
      <w:lang w:eastAsia="en-US"/>
    </w:rPr>
  </w:style>
  <w:style w:type="paragraph" w:styleId="Heading4">
    <w:name w:val="heading 4"/>
    <w:next w:val="Body"/>
    <w:link w:val="Heading4Char"/>
    <w:uiPriority w:val="1"/>
    <w:qFormat/>
    <w:rsid w:val="00296999"/>
    <w:pPr>
      <w:keepNext/>
      <w:keepLines/>
      <w:numPr>
        <w:ilvl w:val="3"/>
        <w:numId w:val="39"/>
      </w:numPr>
      <w:spacing w:before="360" w:after="120" w:line="300" w:lineRule="atLeast"/>
      <w:outlineLvl w:val="3"/>
    </w:pPr>
    <w:rPr>
      <w:rFonts w:ascii="Arial" w:eastAsia="MS Mincho" w:hAnsi="Arial"/>
      <w:bCs/>
      <w:color w:val="53565A"/>
      <w:sz w:val="28"/>
      <w:szCs w:val="22"/>
      <w:lang w:eastAsia="en-US"/>
    </w:rPr>
  </w:style>
  <w:style w:type="paragraph" w:styleId="Heading5">
    <w:name w:val="heading 5"/>
    <w:basedOn w:val="Normal"/>
    <w:next w:val="Body"/>
    <w:link w:val="Heading5Char"/>
    <w:uiPriority w:val="9"/>
    <w:qFormat/>
    <w:rsid w:val="00F22C04"/>
    <w:pPr>
      <w:keepNext/>
      <w:keepLines/>
      <w:numPr>
        <w:ilvl w:val="4"/>
        <w:numId w:val="39"/>
      </w:numPr>
      <w:spacing w:before="240" w:after="80"/>
      <w:outlineLvl w:val="4"/>
    </w:pPr>
    <w:rPr>
      <w:rFonts w:eastAsia="MS Mincho"/>
      <w:b/>
      <w:bCs/>
      <w:iCs/>
      <w:color w:val="53565A"/>
      <w:sz w:val="24"/>
      <w:szCs w:val="26"/>
    </w:rPr>
  </w:style>
  <w:style w:type="paragraph" w:styleId="Heading6">
    <w:name w:val="heading 6"/>
    <w:basedOn w:val="Normal"/>
    <w:next w:val="Normal"/>
    <w:link w:val="Heading6Char"/>
    <w:qFormat/>
    <w:rsid w:val="00540BAE"/>
    <w:pPr>
      <w:keepNext/>
      <w:keepLines/>
      <w:spacing w:before="240"/>
      <w:outlineLvl w:val="5"/>
    </w:pPr>
    <w:rPr>
      <w:rFonts w:eastAsiaTheme="majorEastAsia" w:cs="Arial"/>
      <w:b/>
      <w:iCs/>
      <w:color w:val="595959" w:themeColor="text1" w:themeTint="A6"/>
      <w:sz w:val="24"/>
    </w:rPr>
  </w:style>
  <w:style w:type="paragraph" w:styleId="Heading7">
    <w:name w:val="heading 7"/>
    <w:basedOn w:val="Normal"/>
    <w:next w:val="Normal"/>
    <w:link w:val="Heading7Char"/>
    <w:uiPriority w:val="98"/>
    <w:semiHidden/>
    <w:qFormat/>
    <w:rsid w:val="000B27B9"/>
    <w:pPr>
      <w:numPr>
        <w:ilvl w:val="6"/>
        <w:numId w:val="39"/>
      </w:numPr>
      <w:spacing w:before="240" w:after="60" w:line="240" w:lineRule="auto"/>
      <w:outlineLvl w:val="6"/>
    </w:pPr>
    <w:rPr>
      <w:rFonts w:ascii="Calibri" w:hAnsi="Calibri"/>
      <w:sz w:val="24"/>
      <w:szCs w:val="24"/>
    </w:rPr>
  </w:style>
  <w:style w:type="paragraph" w:styleId="Heading8">
    <w:name w:val="heading 8"/>
    <w:basedOn w:val="Normal"/>
    <w:next w:val="Normal"/>
    <w:link w:val="Heading8Char"/>
    <w:uiPriority w:val="98"/>
    <w:semiHidden/>
    <w:qFormat/>
    <w:rsid w:val="000B27B9"/>
    <w:pPr>
      <w:numPr>
        <w:ilvl w:val="7"/>
        <w:numId w:val="39"/>
      </w:numPr>
      <w:spacing w:before="240" w:after="60" w:line="240" w:lineRule="auto"/>
      <w:outlineLvl w:val="7"/>
    </w:pPr>
    <w:rPr>
      <w:rFonts w:ascii="Calibri" w:hAnsi="Calibri"/>
      <w:i/>
      <w:iCs/>
      <w:sz w:val="24"/>
      <w:szCs w:val="24"/>
    </w:rPr>
  </w:style>
  <w:style w:type="paragraph" w:styleId="Heading9">
    <w:name w:val="heading 9"/>
    <w:basedOn w:val="Normal"/>
    <w:next w:val="Normal"/>
    <w:link w:val="Heading9Char"/>
    <w:uiPriority w:val="98"/>
    <w:semiHidden/>
    <w:qFormat/>
    <w:rsid w:val="000B27B9"/>
    <w:pPr>
      <w:numPr>
        <w:ilvl w:val="8"/>
        <w:numId w:val="39"/>
      </w:numPr>
      <w:spacing w:before="240" w:after="60" w:line="240"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DE520F"/>
    <w:pPr>
      <w:spacing w:after="120" w:line="280" w:lineRule="atLeast"/>
    </w:pPr>
    <w:rPr>
      <w:rFonts w:ascii="Arial" w:eastAsia="Times" w:hAnsi="Arial"/>
      <w:sz w:val="21"/>
      <w:lang w:eastAsia="en-US"/>
    </w:rPr>
  </w:style>
  <w:style w:type="character" w:customStyle="1" w:styleId="Heading1Char">
    <w:name w:val="Heading 1 Char"/>
    <w:link w:val="Heading1"/>
    <w:rsid w:val="0064265C"/>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9522D1"/>
    <w:rPr>
      <w:rFonts w:ascii="Arial" w:hAnsi="Arial"/>
      <w:color w:val="201547"/>
      <w:sz w:val="44"/>
      <w:szCs w:val="28"/>
      <w:lang w:eastAsia="en-US"/>
    </w:rPr>
  </w:style>
  <w:style w:type="character" w:customStyle="1" w:styleId="Heading3Char">
    <w:name w:val="Heading 3 Char"/>
    <w:link w:val="Heading3"/>
    <w:uiPriority w:val="1"/>
    <w:rsid w:val="00E737C1"/>
    <w:rPr>
      <w:rFonts w:ascii="Arial" w:eastAsia="MS Gothic" w:hAnsi="Arial"/>
      <w:b/>
      <w:bCs/>
      <w:color w:val="53565A"/>
      <w:sz w:val="32"/>
      <w:szCs w:val="26"/>
      <w:lang w:eastAsia="en-US"/>
    </w:rPr>
  </w:style>
  <w:style w:type="character" w:customStyle="1" w:styleId="Heading4Char">
    <w:name w:val="Heading 4 Char"/>
    <w:link w:val="Heading4"/>
    <w:uiPriority w:val="1"/>
    <w:rsid w:val="006832EE"/>
    <w:rPr>
      <w:rFonts w:ascii="Arial" w:eastAsia="MS Mincho" w:hAnsi="Arial"/>
      <w:bCs/>
      <w:color w:val="53565A"/>
      <w:sz w:val="28"/>
      <w:szCs w:val="22"/>
      <w:lang w:eastAsia="en-US"/>
    </w:rPr>
  </w:style>
  <w:style w:type="paragraph" w:styleId="Header">
    <w:name w:val="header"/>
    <w:link w:val="HeaderCha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styleId="EndnoteText">
    <w:name w:val="endnote text"/>
    <w:basedOn w:val="Normal"/>
    <w:link w:val="EndnoteTextChar"/>
    <w:uiPriority w:val="98"/>
    <w:semiHidden/>
    <w:rsid w:val="00EA6F2B"/>
    <w:rPr>
      <w:sz w:val="24"/>
      <w:szCs w:val="24"/>
    </w:rPr>
  </w:style>
  <w:style w:type="character" w:customStyle="1" w:styleId="EndnoteTextChar">
    <w:name w:val="Endnote Text Char"/>
    <w:link w:val="EndnoteText"/>
    <w:uiPriority w:val="98"/>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
    <w:uiPriority w:val="98"/>
    <w:qFormat/>
    <w:rsid w:val="00AE6427"/>
    <w:pPr>
      <w:numPr>
        <w:numId w:val="1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rsid w:val="004F5EE5"/>
    <w:rPr>
      <w:color w:val="auto"/>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F22C04"/>
    <w:rPr>
      <w:rFonts w:ascii="Arial" w:eastAsia="MS Mincho" w:hAnsi="Arial"/>
      <w:b/>
      <w:bCs/>
      <w:iCs/>
      <w:color w:val="53565A"/>
      <w:sz w:val="24"/>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64265C"/>
    <w:pPr>
      <w:keepNext/>
      <w:keepLines/>
      <w:tabs>
        <w:tab w:val="left" w:pos="794"/>
        <w:tab w:val="right" w:leader="dot" w:pos="9299"/>
      </w:tabs>
      <w:spacing w:before="160" w:after="60"/>
      <w:ind w:left="794" w:hanging="794"/>
    </w:pPr>
    <w:rPr>
      <w:b/>
      <w:bCs/>
      <w:noProof/>
    </w:rPr>
  </w:style>
  <w:style w:type="paragraph" w:styleId="TOC3">
    <w:name w:val="toc 3"/>
    <w:basedOn w:val="Normal"/>
    <w:next w:val="Normal"/>
    <w:uiPriority w:val="39"/>
    <w:rsid w:val="0064265C"/>
    <w:pPr>
      <w:keepLines/>
      <w:tabs>
        <w:tab w:val="left" w:pos="794"/>
        <w:tab w:val="right" w:leader="dot" w:pos="9299"/>
      </w:tabs>
      <w:spacing w:after="60"/>
      <w:ind w:left="794" w:hanging="794"/>
    </w:pPr>
    <w:rPr>
      <w:rFonts w:cs="Arial"/>
    </w:rPr>
  </w:style>
  <w:style w:type="paragraph" w:styleId="TOC4">
    <w:name w:val="toc 4"/>
    <w:basedOn w:val="TOC3"/>
    <w:uiPriority w:val="39"/>
    <w:rsid w:val="0064265C"/>
    <w:pPr>
      <w:tabs>
        <w:tab w:val="clear" w:pos="794"/>
      </w:tabs>
      <w:ind w:left="0" w:firstLine="0"/>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aliases w:val="fr,(NECG) 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uiPriority w:val="98"/>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AE6427"/>
    <w:pPr>
      <w:numPr>
        <w:ilvl w:val="1"/>
        <w:numId w:val="18"/>
      </w:numPr>
      <w:spacing w:after="40"/>
    </w:pPr>
  </w:style>
  <w:style w:type="paragraph" w:customStyle="1" w:styleId="Bodyafterbullets">
    <w:name w:val="Body after bullets"/>
    <w:basedOn w:val="Body"/>
    <w:uiPriority w:val="11"/>
    <w:rsid w:val="00DE520F"/>
    <w:pPr>
      <w:spacing w:before="120"/>
    </w:pPr>
  </w:style>
  <w:style w:type="paragraph" w:customStyle="1" w:styleId="Tablebullet2">
    <w:name w:val="Table bullet 2"/>
    <w:basedOn w:val="Tabletext"/>
    <w:uiPriority w:val="11"/>
    <w:rsid w:val="006832EE"/>
    <w:pPr>
      <w:numPr>
        <w:ilvl w:val="1"/>
        <w:numId w:val="2"/>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6832EE"/>
    <w:pPr>
      <w:numPr>
        <w:numId w:val="2"/>
      </w:numPr>
    </w:pPr>
  </w:style>
  <w:style w:type="numbering" w:customStyle="1" w:styleId="ZZTablebullets105pt">
    <w:name w:val="ZZ Table bullets 10.5pt"/>
    <w:basedOn w:val="NoList"/>
    <w:rsid w:val="006832EE"/>
    <w:pPr>
      <w:numPr>
        <w:numId w:val="2"/>
      </w:numPr>
    </w:pPr>
  </w:style>
  <w:style w:type="paragraph" w:customStyle="1" w:styleId="Tablecolhead">
    <w:name w:val="Table col head"/>
    <w:uiPriority w:val="3"/>
    <w:qFormat/>
    <w:rsid w:val="00584A1F"/>
    <w:pPr>
      <w:spacing w:before="80" w:after="60"/>
    </w:pPr>
    <w:rPr>
      <w:rFonts w:ascii="Arial" w:hAnsi="Arial"/>
      <w:b/>
      <w:color w:val="53565A"/>
      <w:lang w:eastAsia="en-US"/>
    </w:rPr>
  </w:style>
  <w:style w:type="paragraph" w:customStyle="1" w:styleId="Bulletafternumbers1">
    <w:name w:val="Bullet after numbers 1"/>
    <w:basedOn w:val="Body"/>
    <w:uiPriority w:val="4"/>
    <w:rsid w:val="00AE6427"/>
    <w:pPr>
      <w:numPr>
        <w:ilvl w:val="2"/>
        <w:numId w:val="31"/>
      </w:numPr>
      <w:tabs>
        <w:tab w:val="num" w:pos="360"/>
      </w:tabs>
      <w:ind w:left="0" w:firstLine="0"/>
    </w:pPr>
  </w:style>
  <w:style w:type="character" w:styleId="Hyperlink">
    <w:name w:val="Hyperlink"/>
    <w:uiPriority w:val="99"/>
    <w:qFormat/>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aliases w:val="(NECG) Footnote Text,Footnote Text Char1 Char,Footnote Text Char Char1 Char,Footnote Text Char Char Char Char Char1,Footnote Text Char Char Char,Footnote Text Char Char Char Char"/>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aliases w:val="(NECG) Footnote Text Char,Footnote Text Char1 Char Char,Footnote Text Char Char1 Char Char,Footnote Text Char Char Char Char Char1 Char,Footnote Text Char Char Char Char1,Footnote Text Char Char Char Char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Normal"/>
    <w:semiHidden/>
    <w:rsid w:val="00355011"/>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6832EE"/>
    <w:pPr>
      <w:numPr>
        <w:numId w:val="19"/>
      </w:numPr>
    </w:pPr>
  </w:style>
  <w:style w:type="numbering" w:customStyle="1" w:styleId="ZZQuotebullets">
    <w:name w:val="ZZ Quote bullets"/>
    <w:basedOn w:val="NoList"/>
    <w:rsid w:val="006832EE"/>
    <w:pPr>
      <w:numPr>
        <w:numId w:val="22"/>
      </w:numPr>
    </w:pPr>
  </w:style>
  <w:style w:type="paragraph" w:customStyle="1" w:styleId="Numberdigit">
    <w:name w:val="Number digit"/>
    <w:basedOn w:val="Body"/>
    <w:uiPriority w:val="2"/>
    <w:rsid w:val="00AE6427"/>
    <w:pPr>
      <w:numPr>
        <w:numId w:val="31"/>
      </w:numPr>
    </w:pPr>
  </w:style>
  <w:style w:type="paragraph" w:customStyle="1" w:styleId="Numberloweralphaindent">
    <w:name w:val="Number lower alpha indent"/>
    <w:basedOn w:val="Body"/>
    <w:uiPriority w:val="3"/>
    <w:rsid w:val="006832EE"/>
    <w:pPr>
      <w:numPr>
        <w:ilvl w:val="1"/>
        <w:numId w:val="21"/>
      </w:numPr>
    </w:pPr>
  </w:style>
  <w:style w:type="paragraph" w:customStyle="1" w:styleId="Numberdigitindent">
    <w:name w:val="Number digit indent"/>
    <w:basedOn w:val="Numberloweralphaindent"/>
    <w:uiPriority w:val="3"/>
    <w:rsid w:val="00AE6427"/>
    <w:pPr>
      <w:numPr>
        <w:numId w:val="31"/>
      </w:numPr>
      <w:tabs>
        <w:tab w:val="num" w:pos="360"/>
      </w:tabs>
    </w:pPr>
  </w:style>
  <w:style w:type="paragraph" w:customStyle="1" w:styleId="Numberloweralpha">
    <w:name w:val="Number lower alpha"/>
    <w:basedOn w:val="Body"/>
    <w:uiPriority w:val="3"/>
    <w:rsid w:val="006832EE"/>
    <w:pPr>
      <w:numPr>
        <w:numId w:val="21"/>
      </w:numPr>
    </w:pPr>
  </w:style>
  <w:style w:type="paragraph" w:customStyle="1" w:styleId="Numberlowerroman">
    <w:name w:val="Number lower roman"/>
    <w:basedOn w:val="Body"/>
    <w:uiPriority w:val="3"/>
    <w:rsid w:val="006832EE"/>
    <w:pPr>
      <w:numPr>
        <w:numId w:val="22"/>
      </w:numPr>
    </w:pPr>
  </w:style>
  <w:style w:type="paragraph" w:customStyle="1" w:styleId="Numberlowerromanindent">
    <w:name w:val="Number lower roman indent"/>
    <w:basedOn w:val="Body"/>
    <w:uiPriority w:val="3"/>
    <w:rsid w:val="006832EE"/>
    <w:pPr>
      <w:numPr>
        <w:ilvl w:val="1"/>
        <w:numId w:val="22"/>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DE520F"/>
    <w:pPr>
      <w:spacing w:before="240"/>
    </w:pPr>
  </w:style>
  <w:style w:type="paragraph" w:customStyle="1" w:styleId="Bulletafternumbers2">
    <w:name w:val="Bullet after numbers 2"/>
    <w:basedOn w:val="Body"/>
    <w:uiPriority w:val="98"/>
    <w:rsid w:val="00AE6427"/>
    <w:pPr>
      <w:numPr>
        <w:ilvl w:val="3"/>
        <w:numId w:val="31"/>
      </w:numPr>
      <w:tabs>
        <w:tab w:val="num" w:pos="360"/>
      </w:tabs>
      <w:ind w:left="0" w:firstLine="0"/>
    </w:pPr>
  </w:style>
  <w:style w:type="numbering" w:customStyle="1" w:styleId="ZZNumbersloweralpha">
    <w:name w:val="ZZ Numbers lower alpha"/>
    <w:basedOn w:val="NoList"/>
    <w:rsid w:val="006832EE"/>
    <w:pPr>
      <w:numPr>
        <w:numId w:val="21"/>
      </w:numPr>
    </w:pPr>
  </w:style>
  <w:style w:type="paragraph" w:customStyle="1" w:styleId="Quotebullet1">
    <w:name w:val="Quote bullet 1"/>
    <w:basedOn w:val="Quotetext"/>
    <w:uiPriority w:val="98"/>
    <w:rsid w:val="006832EE"/>
    <w:pPr>
      <w:tabs>
        <w:tab w:val="num" w:pos="397"/>
      </w:tabs>
      <w:ind w:hanging="397"/>
    </w:pPr>
  </w:style>
  <w:style w:type="paragraph" w:customStyle="1" w:styleId="Quotebullet2">
    <w:name w:val="Quote bullet 2"/>
    <w:basedOn w:val="Quotetext"/>
    <w:uiPriority w:val="98"/>
    <w:rsid w:val="006832EE"/>
    <w:pPr>
      <w:tabs>
        <w:tab w:val="num" w:pos="794"/>
      </w:tabs>
      <w:ind w:left="794" w:hanging="397"/>
    </w:pPr>
  </w:style>
  <w:style w:type="paragraph" w:styleId="CommentText">
    <w:name w:val="annotation text"/>
    <w:basedOn w:val="Normal"/>
    <w:link w:val="CommentTextChar"/>
    <w:uiPriority w:val="99"/>
    <w:rsid w:val="00982454"/>
  </w:style>
  <w:style w:type="character" w:customStyle="1" w:styleId="CommentTextChar">
    <w:name w:val="Comment Text Char"/>
    <w:basedOn w:val="DefaultParagraphFont"/>
    <w:link w:val="CommentText"/>
    <w:uiPriority w:val="99"/>
    <w:rsid w:val="00355011"/>
    <w:rPr>
      <w:rFonts w:ascii="Arial" w:hAnsi="Arial"/>
      <w:sz w:val="21"/>
      <w:lang w:eastAsia="en-US"/>
    </w:rPr>
  </w:style>
  <w:style w:type="character" w:styleId="CommentReference">
    <w:name w:val="annotation reference"/>
    <w:basedOn w:val="DefaultParagraphFont"/>
    <w:uiPriority w:val="99"/>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sz w:val="21"/>
      <w:lang w:eastAsia="en-US"/>
    </w:rPr>
  </w:style>
  <w:style w:type="character" w:customStyle="1" w:styleId="BodyChar">
    <w:name w:val="Body Char"/>
    <w:basedOn w:val="DefaultParagraphFont"/>
    <w:link w:val="Body"/>
    <w:rsid w:val="00DE520F"/>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Heading6Char">
    <w:name w:val="Heading 6 Char"/>
    <w:basedOn w:val="DefaultParagraphFont"/>
    <w:link w:val="Heading6"/>
    <w:rsid w:val="00355011"/>
    <w:rPr>
      <w:rFonts w:ascii="Arial" w:eastAsiaTheme="majorEastAsia" w:hAnsi="Arial" w:cs="Arial"/>
      <w:b/>
      <w:iCs/>
      <w:color w:val="595959" w:themeColor="text1" w:themeTint="A6"/>
      <w:sz w:val="24"/>
      <w:lang w:eastAsia="en-US"/>
    </w:rPr>
  </w:style>
  <w:style w:type="character" w:customStyle="1" w:styleId="Heading7Char">
    <w:name w:val="Heading 7 Char"/>
    <w:basedOn w:val="DefaultParagraphFont"/>
    <w:link w:val="Heading7"/>
    <w:uiPriority w:val="98"/>
    <w:semiHidden/>
    <w:rsid w:val="00355011"/>
    <w:rPr>
      <w:rFonts w:ascii="Calibri" w:hAnsi="Calibri"/>
      <w:sz w:val="24"/>
      <w:szCs w:val="24"/>
      <w:lang w:eastAsia="en-US"/>
    </w:rPr>
  </w:style>
  <w:style w:type="character" w:customStyle="1" w:styleId="Heading8Char">
    <w:name w:val="Heading 8 Char"/>
    <w:basedOn w:val="DefaultParagraphFont"/>
    <w:link w:val="Heading8"/>
    <w:uiPriority w:val="98"/>
    <w:semiHidden/>
    <w:rsid w:val="00355011"/>
    <w:rPr>
      <w:rFonts w:ascii="Calibri" w:hAnsi="Calibri"/>
      <w:i/>
      <w:iCs/>
      <w:sz w:val="24"/>
      <w:szCs w:val="24"/>
      <w:lang w:eastAsia="en-US"/>
    </w:rPr>
  </w:style>
  <w:style w:type="character" w:customStyle="1" w:styleId="Heading9Char">
    <w:name w:val="Heading 9 Char"/>
    <w:basedOn w:val="DefaultParagraphFont"/>
    <w:link w:val="Heading9"/>
    <w:uiPriority w:val="98"/>
    <w:semiHidden/>
    <w:rsid w:val="00355011"/>
    <w:rPr>
      <w:rFonts w:ascii="Cambria" w:hAnsi="Cambria"/>
      <w:sz w:val="22"/>
      <w:szCs w:val="22"/>
      <w:lang w:eastAsia="en-US"/>
    </w:rPr>
  </w:style>
  <w:style w:type="paragraph" w:styleId="ListParagraph">
    <w:name w:val="List Paragraph"/>
    <w:basedOn w:val="Normal"/>
    <w:link w:val="ListParagraphChar"/>
    <w:uiPriority w:val="34"/>
    <w:qFormat/>
    <w:rsid w:val="000B27B9"/>
    <w:pPr>
      <w:spacing w:after="0" w:line="240" w:lineRule="auto"/>
      <w:ind w:left="720"/>
    </w:pPr>
    <w:rPr>
      <w:rFonts w:ascii="Cambria" w:hAnsi="Cambria"/>
      <w:sz w:val="20"/>
    </w:rPr>
  </w:style>
  <w:style w:type="paragraph" w:customStyle="1" w:styleId="Tablefigurenote9pt">
    <w:name w:val="Table/figure note 9pt"/>
    <w:uiPriority w:val="4"/>
    <w:rsid w:val="000B27B9"/>
    <w:pPr>
      <w:spacing w:before="60" w:after="60" w:line="240" w:lineRule="exact"/>
    </w:pPr>
    <w:rPr>
      <w:rFonts w:ascii="Arial" w:hAnsi="Arial"/>
      <w:sz w:val="18"/>
      <w:lang w:eastAsia="en-US"/>
    </w:rPr>
  </w:style>
  <w:style w:type="paragraph" w:customStyle="1" w:styleId="Tabletext9pt">
    <w:name w:val="Table text 9pt"/>
    <w:uiPriority w:val="3"/>
    <w:qFormat/>
    <w:rsid w:val="000B27B9"/>
    <w:pPr>
      <w:spacing w:before="80" w:after="60"/>
    </w:pPr>
    <w:rPr>
      <w:rFonts w:ascii="Arial" w:hAnsi="Arial"/>
      <w:sz w:val="18"/>
      <w:lang w:eastAsia="en-US"/>
    </w:rPr>
  </w:style>
  <w:style w:type="paragraph" w:customStyle="1" w:styleId="Acronym">
    <w:name w:val="Acronym"/>
    <w:basedOn w:val="Normal"/>
    <w:uiPriority w:val="8"/>
    <w:rsid w:val="000B27B9"/>
    <w:pPr>
      <w:tabs>
        <w:tab w:val="left" w:pos="1418"/>
      </w:tabs>
      <w:spacing w:after="60" w:line="270" w:lineRule="atLeast"/>
    </w:pPr>
    <w:rPr>
      <w:rFonts w:eastAsia="Times"/>
      <w:sz w:val="20"/>
    </w:rPr>
  </w:style>
  <w:style w:type="character" w:styleId="UnresolvedMention">
    <w:name w:val="Unresolved Mention"/>
    <w:basedOn w:val="DefaultParagraphFont"/>
    <w:uiPriority w:val="99"/>
    <w:unhideWhenUsed/>
    <w:rsid w:val="009C3286"/>
    <w:rPr>
      <w:color w:val="605E5C"/>
      <w:shd w:val="clear" w:color="auto" w:fill="E1DFDD"/>
    </w:rPr>
  </w:style>
  <w:style w:type="paragraph" w:customStyle="1" w:styleId="Tablecolhead9pt">
    <w:name w:val="Table col head 9pt"/>
    <w:uiPriority w:val="99"/>
    <w:qFormat/>
    <w:rsid w:val="000B27B9"/>
    <w:pPr>
      <w:spacing w:before="80" w:after="60"/>
    </w:pPr>
    <w:rPr>
      <w:rFonts w:ascii="Arial" w:hAnsi="Arial"/>
      <w:b/>
      <w:color w:val="FFFFFF"/>
      <w:sz w:val="18"/>
      <w:lang w:eastAsia="en-US"/>
    </w:rPr>
  </w:style>
  <w:style w:type="paragraph" w:customStyle="1" w:styleId="Tablebullet9pt">
    <w:name w:val="Table bullet 9pt"/>
    <w:basedOn w:val="Tabletext9pt"/>
    <w:uiPriority w:val="3"/>
    <w:qFormat/>
    <w:rsid w:val="006832EE"/>
    <w:pPr>
      <w:numPr>
        <w:numId w:val="40"/>
      </w:numPr>
    </w:pPr>
  </w:style>
  <w:style w:type="character" w:styleId="Emphasis">
    <w:name w:val="Emphasis"/>
    <w:uiPriority w:val="20"/>
    <w:qFormat/>
    <w:rsid w:val="000B27B9"/>
    <w:rPr>
      <w:i/>
      <w:iCs/>
    </w:rPr>
  </w:style>
  <w:style w:type="table" w:styleId="MediumShading2-Accent5">
    <w:name w:val="Medium Shading 2 Accent 5"/>
    <w:basedOn w:val="TableNormal"/>
    <w:uiPriority w:val="69"/>
    <w:rsid w:val="000B27B9"/>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9"/>
    <w:rsid w:val="000B27B9"/>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OCHeading">
    <w:name w:val="TOC Heading"/>
    <w:basedOn w:val="Heading1"/>
    <w:next w:val="Normal"/>
    <w:uiPriority w:val="39"/>
    <w:semiHidden/>
    <w:qFormat/>
    <w:rsid w:val="000B27B9"/>
    <w:pPr>
      <w:spacing w:before="480" w:after="0" w:line="276" w:lineRule="auto"/>
      <w:outlineLvl w:val="9"/>
    </w:pPr>
    <w:rPr>
      <w:rFonts w:ascii="Cambria" w:hAnsi="Cambria" w:cs="Times New Roman"/>
      <w:b/>
      <w:color w:val="365F91"/>
      <w:kern w:val="0"/>
      <w:sz w:val="28"/>
      <w:szCs w:val="28"/>
      <w:lang w:val="en-US" w:eastAsia="ja-JP"/>
    </w:rPr>
  </w:style>
  <w:style w:type="paragraph" w:styleId="Caption">
    <w:name w:val="caption"/>
    <w:next w:val="Normal"/>
    <w:uiPriority w:val="4"/>
    <w:semiHidden/>
    <w:qFormat/>
    <w:rsid w:val="000B27B9"/>
    <w:pPr>
      <w:keepNext/>
      <w:keepLines/>
      <w:spacing w:before="240" w:after="120" w:line="270" w:lineRule="exact"/>
    </w:pPr>
    <w:rPr>
      <w:rFonts w:ascii="Arial" w:hAnsi="Arial"/>
      <w:b/>
      <w:bCs/>
      <w:lang w:eastAsia="en-US"/>
    </w:rPr>
  </w:style>
  <w:style w:type="paragraph" w:styleId="TableofFigures">
    <w:name w:val="table of figures"/>
    <w:basedOn w:val="Normal"/>
    <w:next w:val="Normal"/>
    <w:link w:val="TableofFiguresChar"/>
    <w:uiPriority w:val="99"/>
    <w:qFormat/>
    <w:rsid w:val="000B27B9"/>
    <w:pPr>
      <w:spacing w:after="0" w:line="240" w:lineRule="auto"/>
      <w:jc w:val="right"/>
    </w:pPr>
    <w:rPr>
      <w:rFonts w:ascii="Calibri" w:hAnsi="Calibri"/>
      <w:sz w:val="20"/>
      <w:szCs w:val="18"/>
    </w:rPr>
  </w:style>
  <w:style w:type="character" w:customStyle="1" w:styleId="TableofFiguresChar">
    <w:name w:val="Table of Figures Char"/>
    <w:link w:val="TableofFigures"/>
    <w:uiPriority w:val="98"/>
    <w:semiHidden/>
    <w:rsid w:val="000B27B9"/>
    <w:rPr>
      <w:rFonts w:ascii="Calibri" w:hAnsi="Calibri"/>
      <w:szCs w:val="18"/>
      <w:lang w:eastAsia="en-US"/>
    </w:rPr>
  </w:style>
  <w:style w:type="character" w:customStyle="1" w:styleId="ListParagraphChar">
    <w:name w:val="List Paragraph Char"/>
    <w:link w:val="ListParagraph"/>
    <w:uiPriority w:val="34"/>
    <w:qFormat/>
    <w:locked/>
    <w:rsid w:val="000B27B9"/>
    <w:rPr>
      <w:rFonts w:ascii="Cambria" w:hAnsi="Cambria"/>
      <w:lang w:eastAsia="en-US"/>
    </w:rPr>
  </w:style>
  <w:style w:type="character" w:customStyle="1" w:styleId="Mention1">
    <w:name w:val="Mention1"/>
    <w:basedOn w:val="DefaultParagraphFont"/>
    <w:uiPriority w:val="99"/>
    <w:semiHidden/>
    <w:unhideWhenUsed/>
    <w:rsid w:val="000B27B9"/>
    <w:rPr>
      <w:color w:val="2B579A"/>
      <w:shd w:val="clear" w:color="auto" w:fill="E6E6E6"/>
    </w:rPr>
  </w:style>
  <w:style w:type="paragraph" w:styleId="ListBullet">
    <w:name w:val="List Bullet"/>
    <w:basedOn w:val="Normal"/>
    <w:uiPriority w:val="98"/>
    <w:semiHidden/>
    <w:rsid w:val="000B27B9"/>
    <w:pPr>
      <w:tabs>
        <w:tab w:val="num" w:pos="360"/>
      </w:tabs>
      <w:spacing w:after="0" w:line="240" w:lineRule="auto"/>
      <w:ind w:left="360" w:hanging="360"/>
      <w:contextualSpacing/>
    </w:pPr>
    <w:rPr>
      <w:rFonts w:ascii="Cambria" w:hAnsi="Cambria"/>
      <w:sz w:val="20"/>
    </w:rPr>
  </w:style>
  <w:style w:type="table" w:customStyle="1" w:styleId="TableGrid1">
    <w:name w:val="Table Grid1"/>
    <w:basedOn w:val="TableNormal"/>
    <w:next w:val="TableGrid"/>
    <w:uiPriority w:val="59"/>
    <w:rsid w:val="00DE7D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tblPr/>
      <w:tcPr>
        <w:shd w:val="clear" w:color="auto" w:fill="201547"/>
      </w:tcPr>
    </w:tblStylePr>
  </w:style>
  <w:style w:type="paragraph" w:styleId="NormalWeb">
    <w:name w:val="Normal (Web)"/>
    <w:basedOn w:val="Normal"/>
    <w:uiPriority w:val="98"/>
    <w:semiHidden/>
    <w:unhideWhenUsed/>
    <w:rsid w:val="000B27B9"/>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link w:val="DefaultChar"/>
    <w:rsid w:val="000B27B9"/>
    <w:pPr>
      <w:autoSpaceDE w:val="0"/>
      <w:autoSpaceDN w:val="0"/>
      <w:adjustRightInd w:val="0"/>
    </w:pPr>
    <w:rPr>
      <w:rFonts w:ascii="Arial" w:eastAsiaTheme="minorHAnsi" w:hAnsi="Arial" w:cs="Arial"/>
      <w:color w:val="000000"/>
      <w:sz w:val="24"/>
      <w:szCs w:val="24"/>
      <w:lang w:eastAsia="en-US"/>
    </w:rPr>
  </w:style>
  <w:style w:type="character" w:customStyle="1" w:styleId="Hyperlinkitalic">
    <w:name w:val="Hyperlink italic"/>
    <w:basedOn w:val="Hyperlink"/>
    <w:uiPriority w:val="1"/>
    <w:qFormat/>
    <w:rsid w:val="00B229F3"/>
    <w:rPr>
      <w:i/>
      <w:color w:val="004C97"/>
      <w:u w:val="dotted"/>
    </w:rPr>
  </w:style>
  <w:style w:type="paragraph" w:customStyle="1" w:styleId="Heading1PartOpener">
    <w:name w:val="Heading 1 Part Opener"/>
    <w:basedOn w:val="Heading1"/>
    <w:uiPriority w:val="98"/>
    <w:rsid w:val="00296999"/>
    <w:pPr>
      <w:pageBreakBefore w:val="0"/>
      <w:tabs>
        <w:tab w:val="left" w:pos="720"/>
      </w:tabs>
      <w:spacing w:before="2640" w:after="440" w:line="440" w:lineRule="atLeast"/>
    </w:pPr>
    <w:rPr>
      <w:rFonts w:eastAsia="Times New Roman" w:cs="Times New Roman"/>
      <w:kern w:val="0"/>
      <w:sz w:val="60"/>
      <w:szCs w:val="60"/>
    </w:rPr>
  </w:style>
  <w:style w:type="character" w:customStyle="1" w:styleId="HeaderChar">
    <w:name w:val="Header Char"/>
    <w:link w:val="Header"/>
    <w:uiPriority w:val="10"/>
    <w:locked/>
    <w:rsid w:val="000B27B9"/>
    <w:rPr>
      <w:rFonts w:ascii="Arial" w:hAnsi="Arial" w:cs="Arial"/>
      <w:b/>
      <w:color w:val="53565A"/>
      <w:sz w:val="18"/>
      <w:szCs w:val="18"/>
      <w:lang w:eastAsia="en-US"/>
    </w:rPr>
  </w:style>
  <w:style w:type="character" w:customStyle="1" w:styleId="FooterChar">
    <w:name w:val="Footer Char"/>
    <w:link w:val="Footer"/>
    <w:uiPriority w:val="8"/>
    <w:locked/>
    <w:rsid w:val="000B27B9"/>
    <w:rPr>
      <w:rFonts w:ascii="Arial" w:hAnsi="Arial" w:cs="Arial"/>
      <w:szCs w:val="18"/>
      <w:lang w:eastAsia="en-US"/>
    </w:rPr>
  </w:style>
  <w:style w:type="paragraph" w:customStyle="1" w:styleId="ColorfulShading-Accent11">
    <w:name w:val="Colorful Shading - Accent 11"/>
    <w:hidden/>
    <w:uiPriority w:val="99"/>
    <w:rsid w:val="000B27B9"/>
    <w:rPr>
      <w:rFonts w:ascii="Cambria" w:hAnsi="Cambria"/>
      <w:lang w:eastAsia="en-US"/>
    </w:rPr>
  </w:style>
  <w:style w:type="paragraph" w:styleId="BodyText">
    <w:name w:val="Body Text"/>
    <w:basedOn w:val="Normal"/>
    <w:link w:val="BodyTextChar1"/>
    <w:uiPriority w:val="98"/>
    <w:semiHidden/>
    <w:rsid w:val="000B27B9"/>
    <w:pPr>
      <w:spacing w:after="0" w:line="240" w:lineRule="auto"/>
    </w:pPr>
    <w:rPr>
      <w:rFonts w:ascii="Verdana" w:hAnsi="Verdana"/>
      <w:sz w:val="18"/>
    </w:rPr>
  </w:style>
  <w:style w:type="character" w:customStyle="1" w:styleId="BodyTextChar">
    <w:name w:val="Body Text Char"/>
    <w:basedOn w:val="DefaultParagraphFont"/>
    <w:uiPriority w:val="99"/>
    <w:semiHidden/>
    <w:rsid w:val="000B27B9"/>
    <w:rPr>
      <w:rFonts w:ascii="Arial" w:hAnsi="Arial"/>
      <w:sz w:val="21"/>
      <w:lang w:eastAsia="en-US"/>
    </w:rPr>
  </w:style>
  <w:style w:type="paragraph" w:customStyle="1" w:styleId="LightList-Accent31">
    <w:name w:val="Light List - Accent 31"/>
    <w:hidden/>
    <w:uiPriority w:val="99"/>
    <w:semiHidden/>
    <w:rsid w:val="000B27B9"/>
    <w:rPr>
      <w:rFonts w:ascii="Cambria" w:hAnsi="Cambria"/>
      <w:lang w:eastAsia="en-US"/>
    </w:rPr>
  </w:style>
  <w:style w:type="paragraph" w:customStyle="1" w:styleId="SubtleEmphasis1">
    <w:name w:val="Subtle Emphasis1"/>
    <w:basedOn w:val="Normal"/>
    <w:uiPriority w:val="99"/>
    <w:semiHidden/>
    <w:rsid w:val="000B27B9"/>
    <w:pPr>
      <w:spacing w:after="0" w:line="240" w:lineRule="auto"/>
      <w:ind w:left="720"/>
      <w:contextualSpacing/>
    </w:pPr>
    <w:rPr>
      <w:rFonts w:ascii="Verdana" w:hAnsi="Verdana"/>
      <w:sz w:val="20"/>
    </w:rPr>
  </w:style>
  <w:style w:type="character" w:customStyle="1" w:styleId="DefaultChar">
    <w:name w:val="Default Char"/>
    <w:link w:val="Default"/>
    <w:semiHidden/>
    <w:locked/>
    <w:rsid w:val="00355011"/>
    <w:rPr>
      <w:rFonts w:ascii="Arial" w:eastAsiaTheme="minorHAnsi" w:hAnsi="Arial" w:cs="Arial"/>
      <w:color w:val="000000"/>
      <w:sz w:val="24"/>
      <w:szCs w:val="24"/>
      <w:lang w:eastAsia="en-US"/>
    </w:rPr>
  </w:style>
  <w:style w:type="character" w:styleId="HTMLCite">
    <w:name w:val="HTML Cite"/>
    <w:uiPriority w:val="98"/>
    <w:semiHidden/>
    <w:rsid w:val="000B27B9"/>
    <w:rPr>
      <w:rFonts w:cs="Times New Roman"/>
      <w:i/>
    </w:rPr>
  </w:style>
  <w:style w:type="paragraph" w:styleId="ListNumber">
    <w:name w:val="List Number"/>
    <w:basedOn w:val="Normal"/>
    <w:uiPriority w:val="98"/>
    <w:semiHidden/>
    <w:rsid w:val="000B27B9"/>
    <w:pPr>
      <w:tabs>
        <w:tab w:val="num" w:pos="360"/>
      </w:tabs>
      <w:spacing w:after="0" w:line="240" w:lineRule="auto"/>
      <w:ind w:left="360" w:hanging="360"/>
    </w:pPr>
    <w:rPr>
      <w:rFonts w:ascii="Verdana" w:hAnsi="Verdana"/>
      <w:sz w:val="20"/>
    </w:rPr>
  </w:style>
  <w:style w:type="paragraph" w:customStyle="1" w:styleId="ColorfulGrid-Accent61">
    <w:name w:val="Colorful Grid - Accent 61"/>
    <w:hidden/>
    <w:uiPriority w:val="99"/>
    <w:rsid w:val="000B27B9"/>
    <w:rPr>
      <w:rFonts w:ascii="Verdana" w:hAnsi="Verdana"/>
      <w:lang w:eastAsia="en-US"/>
    </w:rPr>
  </w:style>
  <w:style w:type="paragraph" w:customStyle="1" w:styleId="Tablefooternote">
    <w:name w:val="Table footer note"/>
    <w:basedOn w:val="Footer"/>
    <w:autoRedefine/>
    <w:uiPriority w:val="99"/>
    <w:semiHidden/>
    <w:rsid w:val="000B27B9"/>
    <w:pPr>
      <w:tabs>
        <w:tab w:val="center" w:pos="4153"/>
        <w:tab w:val="right" w:pos="8306"/>
      </w:tabs>
      <w:spacing w:before="120" w:after="120"/>
      <w:jc w:val="left"/>
    </w:pPr>
    <w:rPr>
      <w:rFonts w:ascii="Verdana" w:hAnsi="Verdana" w:cs="CorporateSBQ-Med"/>
      <w:color w:val="000080"/>
      <w:sz w:val="16"/>
      <w:szCs w:val="20"/>
      <w:lang w:val="en-US" w:eastAsia="en-AU"/>
    </w:rPr>
  </w:style>
  <w:style w:type="paragraph" w:customStyle="1" w:styleId="DraftFooter">
    <w:name w:val="Draft Footer"/>
    <w:basedOn w:val="Footer"/>
    <w:uiPriority w:val="99"/>
    <w:semiHidden/>
    <w:rsid w:val="000B27B9"/>
    <w:pPr>
      <w:tabs>
        <w:tab w:val="center" w:pos="4153"/>
        <w:tab w:val="right" w:pos="8306"/>
      </w:tabs>
      <w:spacing w:before="0"/>
      <w:ind w:left="-91"/>
      <w:jc w:val="left"/>
    </w:pPr>
    <w:rPr>
      <w:rFonts w:ascii="Centaur" w:hAnsi="Centaur" w:cs="Times New Roman"/>
      <w:noProof/>
      <w:sz w:val="16"/>
      <w:szCs w:val="24"/>
      <w:lang w:eastAsia="en-AU"/>
    </w:rPr>
  </w:style>
  <w:style w:type="paragraph" w:styleId="Date">
    <w:name w:val="Date"/>
    <w:basedOn w:val="Normal"/>
    <w:next w:val="Normal"/>
    <w:link w:val="DateChar"/>
    <w:uiPriority w:val="98"/>
    <w:semiHidden/>
    <w:rsid w:val="000B27B9"/>
    <w:pPr>
      <w:spacing w:after="0" w:line="240" w:lineRule="auto"/>
      <w:ind w:left="-91"/>
    </w:pPr>
    <w:rPr>
      <w:rFonts w:ascii="Verdana" w:hAnsi="Verdana"/>
      <w:noProof/>
      <w:sz w:val="20"/>
      <w:szCs w:val="24"/>
      <w:lang w:eastAsia="en-AU"/>
    </w:rPr>
  </w:style>
  <w:style w:type="character" w:customStyle="1" w:styleId="DateChar">
    <w:name w:val="Date Char"/>
    <w:basedOn w:val="DefaultParagraphFont"/>
    <w:link w:val="Date"/>
    <w:uiPriority w:val="98"/>
    <w:semiHidden/>
    <w:rsid w:val="000B27B9"/>
    <w:rPr>
      <w:rFonts w:ascii="Verdana" w:hAnsi="Verdana"/>
      <w:noProof/>
      <w:szCs w:val="24"/>
    </w:rPr>
  </w:style>
  <w:style w:type="paragraph" w:customStyle="1" w:styleId="Superscript">
    <w:name w:val="Superscript"/>
    <w:basedOn w:val="Normal"/>
    <w:link w:val="SuperscriptChar"/>
    <w:autoRedefine/>
    <w:uiPriority w:val="99"/>
    <w:semiHidden/>
    <w:rsid w:val="000B27B9"/>
    <w:pPr>
      <w:spacing w:after="200" w:line="276" w:lineRule="auto"/>
      <w:ind w:left="-91"/>
    </w:pPr>
    <w:rPr>
      <w:rFonts w:ascii="CorporateSBQ-Regular" w:hAnsi="CorporateSBQ-Regular"/>
      <w:bCs/>
      <w:sz w:val="20"/>
      <w:szCs w:val="17"/>
      <w:vertAlign w:val="superscript"/>
      <w:lang w:val="en-US"/>
    </w:rPr>
  </w:style>
  <w:style w:type="paragraph" w:customStyle="1" w:styleId="TableFotternotewithbullets">
    <w:name w:val="Table Fotter note with bullets"/>
    <w:basedOn w:val="Tablefooternote"/>
    <w:autoRedefine/>
    <w:uiPriority w:val="99"/>
    <w:semiHidden/>
    <w:rsid w:val="000B27B9"/>
    <w:pPr>
      <w:numPr>
        <w:numId w:val="3"/>
      </w:numPr>
      <w:tabs>
        <w:tab w:val="num" w:pos="360"/>
      </w:tabs>
      <w:spacing w:before="0" w:after="0" w:line="276" w:lineRule="auto"/>
    </w:pPr>
    <w:rPr>
      <w:rFonts w:cs="Times New Roman"/>
      <w:szCs w:val="16"/>
      <w:lang w:val="en-AU" w:eastAsia="en-US"/>
    </w:rPr>
  </w:style>
  <w:style w:type="paragraph" w:customStyle="1" w:styleId="Tablefirstlineheader">
    <w:name w:val="Table first line header"/>
    <w:basedOn w:val="Normal"/>
    <w:autoRedefine/>
    <w:uiPriority w:val="99"/>
    <w:semiHidden/>
    <w:rsid w:val="000B27B9"/>
    <w:pPr>
      <w:spacing w:before="30" w:after="30" w:line="276" w:lineRule="auto"/>
      <w:ind w:left="-91"/>
    </w:pPr>
    <w:rPr>
      <w:rFonts w:ascii="CorporateSBQ-Med" w:hAnsi="CorporateSBQ-Med"/>
      <w:bCs/>
      <w:sz w:val="20"/>
      <w:szCs w:val="17"/>
      <w:lang w:val="en-US"/>
    </w:rPr>
  </w:style>
  <w:style w:type="character" w:customStyle="1" w:styleId="SuperscriptChar">
    <w:name w:val="Superscript Char"/>
    <w:link w:val="Superscript"/>
    <w:uiPriority w:val="99"/>
    <w:locked/>
    <w:rsid w:val="000B27B9"/>
    <w:rPr>
      <w:rFonts w:ascii="CorporateSBQ-Regular" w:hAnsi="CorporateSBQ-Regular"/>
      <w:bCs/>
      <w:szCs w:val="17"/>
      <w:vertAlign w:val="superscript"/>
      <w:lang w:val="en-US" w:eastAsia="en-US"/>
    </w:rPr>
  </w:style>
  <w:style w:type="paragraph" w:styleId="BodyText2">
    <w:name w:val="Body Text 2"/>
    <w:basedOn w:val="Normal"/>
    <w:link w:val="BodyText2Char"/>
    <w:uiPriority w:val="98"/>
    <w:semiHidden/>
    <w:rsid w:val="000B27B9"/>
    <w:pPr>
      <w:spacing w:line="480" w:lineRule="auto"/>
      <w:ind w:left="-91"/>
    </w:pPr>
    <w:rPr>
      <w:rFonts w:ascii="Verdana" w:hAnsi="Verdana"/>
      <w:sz w:val="20"/>
      <w:szCs w:val="22"/>
    </w:rPr>
  </w:style>
  <w:style w:type="character" w:customStyle="1" w:styleId="BodyText2Char">
    <w:name w:val="Body Text 2 Char"/>
    <w:basedOn w:val="DefaultParagraphFont"/>
    <w:link w:val="BodyText2"/>
    <w:uiPriority w:val="98"/>
    <w:semiHidden/>
    <w:rsid w:val="000B27B9"/>
    <w:rPr>
      <w:rFonts w:ascii="Verdana" w:hAnsi="Verdana"/>
      <w:szCs w:val="22"/>
      <w:lang w:eastAsia="en-US"/>
    </w:rPr>
  </w:style>
  <w:style w:type="paragraph" w:styleId="BodyText3">
    <w:name w:val="Body Text 3"/>
    <w:basedOn w:val="Normal"/>
    <w:link w:val="BodyText3Char"/>
    <w:uiPriority w:val="98"/>
    <w:semiHidden/>
    <w:rsid w:val="000B27B9"/>
    <w:pPr>
      <w:spacing w:line="276" w:lineRule="auto"/>
      <w:ind w:left="-91"/>
    </w:pPr>
    <w:rPr>
      <w:rFonts w:ascii="Verdana" w:hAnsi="Verdana"/>
      <w:sz w:val="16"/>
      <w:szCs w:val="16"/>
    </w:rPr>
  </w:style>
  <w:style w:type="character" w:customStyle="1" w:styleId="BodyText3Char">
    <w:name w:val="Body Text 3 Char"/>
    <w:basedOn w:val="DefaultParagraphFont"/>
    <w:link w:val="BodyText3"/>
    <w:uiPriority w:val="98"/>
    <w:semiHidden/>
    <w:rsid w:val="000B27B9"/>
    <w:rPr>
      <w:rFonts w:ascii="Verdana" w:hAnsi="Verdana"/>
      <w:sz w:val="16"/>
      <w:szCs w:val="16"/>
      <w:lang w:eastAsia="en-US"/>
    </w:rPr>
  </w:style>
  <w:style w:type="paragraph" w:styleId="BodyTextFirstIndent">
    <w:name w:val="Body Text First Indent"/>
    <w:basedOn w:val="BodyText"/>
    <w:link w:val="BodyTextFirstIndentChar"/>
    <w:uiPriority w:val="98"/>
    <w:semiHidden/>
    <w:rsid w:val="000B27B9"/>
    <w:pPr>
      <w:spacing w:after="120" w:line="276" w:lineRule="auto"/>
      <w:ind w:left="-91" w:firstLine="210"/>
    </w:pPr>
    <w:rPr>
      <w:sz w:val="20"/>
      <w:szCs w:val="22"/>
    </w:rPr>
  </w:style>
  <w:style w:type="character" w:customStyle="1" w:styleId="BodyTextFirstIndentChar">
    <w:name w:val="Body Text First Indent Char"/>
    <w:basedOn w:val="BodyTextChar"/>
    <w:link w:val="BodyTextFirstIndent"/>
    <w:uiPriority w:val="98"/>
    <w:semiHidden/>
    <w:rsid w:val="000B27B9"/>
    <w:rPr>
      <w:rFonts w:ascii="Verdana" w:hAnsi="Verdana"/>
      <w:sz w:val="21"/>
      <w:szCs w:val="22"/>
      <w:lang w:eastAsia="en-US"/>
    </w:rPr>
  </w:style>
  <w:style w:type="character" w:customStyle="1" w:styleId="BodyTextChar1">
    <w:name w:val="Body Text Char1"/>
    <w:link w:val="BodyText"/>
    <w:uiPriority w:val="98"/>
    <w:semiHidden/>
    <w:locked/>
    <w:rsid w:val="000B27B9"/>
    <w:rPr>
      <w:rFonts w:ascii="Verdana" w:hAnsi="Verdana"/>
      <w:sz w:val="18"/>
      <w:lang w:eastAsia="en-US"/>
    </w:rPr>
  </w:style>
  <w:style w:type="paragraph" w:styleId="BodyTextIndent">
    <w:name w:val="Body Text Indent"/>
    <w:basedOn w:val="Normal"/>
    <w:link w:val="BodyTextIndentChar"/>
    <w:uiPriority w:val="98"/>
    <w:semiHidden/>
    <w:rsid w:val="000B27B9"/>
    <w:pPr>
      <w:spacing w:line="276" w:lineRule="auto"/>
      <w:ind w:left="283"/>
    </w:pPr>
    <w:rPr>
      <w:rFonts w:ascii="Verdana" w:hAnsi="Verdana"/>
      <w:sz w:val="20"/>
      <w:szCs w:val="22"/>
    </w:rPr>
  </w:style>
  <w:style w:type="character" w:customStyle="1" w:styleId="BodyTextIndentChar">
    <w:name w:val="Body Text Indent Char"/>
    <w:basedOn w:val="DefaultParagraphFont"/>
    <w:link w:val="BodyTextIndent"/>
    <w:uiPriority w:val="98"/>
    <w:semiHidden/>
    <w:rsid w:val="000B27B9"/>
    <w:rPr>
      <w:rFonts w:ascii="Verdana" w:hAnsi="Verdana"/>
      <w:szCs w:val="22"/>
      <w:lang w:eastAsia="en-US"/>
    </w:rPr>
  </w:style>
  <w:style w:type="paragraph" w:styleId="BodyTextFirstIndent2">
    <w:name w:val="Body Text First Indent 2"/>
    <w:basedOn w:val="BodyTextIndent"/>
    <w:link w:val="BodyTextFirstIndent2Char"/>
    <w:uiPriority w:val="98"/>
    <w:semiHidden/>
    <w:rsid w:val="000B27B9"/>
    <w:pPr>
      <w:ind w:firstLine="210"/>
    </w:pPr>
  </w:style>
  <w:style w:type="character" w:customStyle="1" w:styleId="BodyTextFirstIndent2Char">
    <w:name w:val="Body Text First Indent 2 Char"/>
    <w:basedOn w:val="BodyTextIndentChar"/>
    <w:link w:val="BodyTextFirstIndent2"/>
    <w:uiPriority w:val="98"/>
    <w:semiHidden/>
    <w:rsid w:val="000B27B9"/>
    <w:rPr>
      <w:rFonts w:ascii="Verdana" w:hAnsi="Verdana"/>
      <w:szCs w:val="22"/>
      <w:lang w:eastAsia="en-US"/>
    </w:rPr>
  </w:style>
  <w:style w:type="paragraph" w:styleId="BodyTextIndent2">
    <w:name w:val="Body Text Indent 2"/>
    <w:basedOn w:val="Normal"/>
    <w:link w:val="BodyTextIndent2Char"/>
    <w:uiPriority w:val="98"/>
    <w:semiHidden/>
    <w:rsid w:val="000B27B9"/>
    <w:pPr>
      <w:spacing w:line="480" w:lineRule="auto"/>
      <w:ind w:left="283"/>
    </w:pPr>
    <w:rPr>
      <w:rFonts w:ascii="Verdana" w:hAnsi="Verdana"/>
      <w:sz w:val="20"/>
      <w:szCs w:val="22"/>
    </w:rPr>
  </w:style>
  <w:style w:type="character" w:customStyle="1" w:styleId="BodyTextIndent2Char">
    <w:name w:val="Body Text Indent 2 Char"/>
    <w:basedOn w:val="DefaultParagraphFont"/>
    <w:link w:val="BodyTextIndent2"/>
    <w:uiPriority w:val="98"/>
    <w:semiHidden/>
    <w:rsid w:val="000B27B9"/>
    <w:rPr>
      <w:rFonts w:ascii="Verdana" w:hAnsi="Verdana"/>
      <w:szCs w:val="22"/>
      <w:lang w:eastAsia="en-US"/>
    </w:rPr>
  </w:style>
  <w:style w:type="paragraph" w:styleId="BodyTextIndent3">
    <w:name w:val="Body Text Indent 3"/>
    <w:basedOn w:val="Normal"/>
    <w:link w:val="BodyTextIndent3Char"/>
    <w:uiPriority w:val="98"/>
    <w:semiHidden/>
    <w:rsid w:val="000B27B9"/>
    <w:pPr>
      <w:spacing w:line="276" w:lineRule="auto"/>
      <w:ind w:left="283"/>
    </w:pPr>
    <w:rPr>
      <w:rFonts w:ascii="Verdana" w:hAnsi="Verdana"/>
      <w:sz w:val="16"/>
      <w:szCs w:val="16"/>
    </w:rPr>
  </w:style>
  <w:style w:type="character" w:customStyle="1" w:styleId="BodyTextIndent3Char">
    <w:name w:val="Body Text Indent 3 Char"/>
    <w:basedOn w:val="DefaultParagraphFont"/>
    <w:link w:val="BodyTextIndent3"/>
    <w:uiPriority w:val="98"/>
    <w:semiHidden/>
    <w:rsid w:val="000B27B9"/>
    <w:rPr>
      <w:rFonts w:ascii="Verdana" w:hAnsi="Verdana"/>
      <w:sz w:val="16"/>
      <w:szCs w:val="16"/>
      <w:lang w:eastAsia="en-US"/>
    </w:rPr>
  </w:style>
  <w:style w:type="paragraph" w:styleId="E-mailSignature">
    <w:name w:val="E-mail Signature"/>
    <w:basedOn w:val="Normal"/>
    <w:link w:val="E-mailSignatureChar"/>
    <w:uiPriority w:val="98"/>
    <w:semiHidden/>
    <w:rsid w:val="000B27B9"/>
    <w:pPr>
      <w:spacing w:after="200" w:line="276" w:lineRule="auto"/>
      <w:ind w:left="-91"/>
    </w:pPr>
    <w:rPr>
      <w:rFonts w:ascii="Verdana" w:hAnsi="Verdana"/>
      <w:sz w:val="20"/>
      <w:szCs w:val="22"/>
    </w:rPr>
  </w:style>
  <w:style w:type="character" w:customStyle="1" w:styleId="E-mailSignatureChar">
    <w:name w:val="E-mail Signature Char"/>
    <w:basedOn w:val="DefaultParagraphFont"/>
    <w:link w:val="E-mailSignature"/>
    <w:uiPriority w:val="98"/>
    <w:semiHidden/>
    <w:rsid w:val="000B27B9"/>
    <w:rPr>
      <w:rFonts w:ascii="Verdana" w:hAnsi="Verdana"/>
      <w:szCs w:val="22"/>
      <w:lang w:eastAsia="en-US"/>
    </w:rPr>
  </w:style>
  <w:style w:type="paragraph" w:styleId="EnvelopeAddress">
    <w:name w:val="envelope address"/>
    <w:basedOn w:val="Normal"/>
    <w:uiPriority w:val="98"/>
    <w:semiHidden/>
    <w:rsid w:val="000B27B9"/>
    <w:pPr>
      <w:framePr w:w="7920" w:h="1980" w:hRule="exact" w:hSpace="180" w:wrap="auto" w:hAnchor="page" w:xAlign="center" w:yAlign="bottom"/>
      <w:spacing w:after="200" w:line="276" w:lineRule="auto"/>
      <w:ind w:left="2880"/>
    </w:pPr>
    <w:rPr>
      <w:sz w:val="24"/>
      <w:szCs w:val="24"/>
    </w:rPr>
  </w:style>
  <w:style w:type="paragraph" w:styleId="EnvelopeReturn">
    <w:name w:val="envelope return"/>
    <w:basedOn w:val="Normal"/>
    <w:uiPriority w:val="98"/>
    <w:semiHidden/>
    <w:rsid w:val="000B27B9"/>
    <w:pPr>
      <w:spacing w:after="200" w:line="276" w:lineRule="auto"/>
      <w:ind w:left="-91"/>
    </w:pPr>
    <w:rPr>
      <w:sz w:val="20"/>
      <w:szCs w:val="22"/>
    </w:rPr>
  </w:style>
  <w:style w:type="character" w:styleId="HTMLAcronym">
    <w:name w:val="HTML Acronym"/>
    <w:uiPriority w:val="98"/>
    <w:semiHidden/>
    <w:rsid w:val="000B27B9"/>
    <w:rPr>
      <w:rFonts w:cs="Times New Roman"/>
    </w:rPr>
  </w:style>
  <w:style w:type="character" w:styleId="HTMLCode">
    <w:name w:val="HTML Code"/>
    <w:uiPriority w:val="98"/>
    <w:semiHidden/>
    <w:rsid w:val="000B27B9"/>
    <w:rPr>
      <w:rFonts w:ascii="Courier New" w:hAnsi="Courier New" w:cs="Times New Roman"/>
      <w:sz w:val="20"/>
    </w:rPr>
  </w:style>
  <w:style w:type="character" w:styleId="HTMLDefinition">
    <w:name w:val="HTML Definition"/>
    <w:uiPriority w:val="98"/>
    <w:semiHidden/>
    <w:rsid w:val="000B27B9"/>
    <w:rPr>
      <w:rFonts w:cs="Times New Roman"/>
      <w:i/>
    </w:rPr>
  </w:style>
  <w:style w:type="character" w:styleId="HTMLKeyboard">
    <w:name w:val="HTML Keyboard"/>
    <w:uiPriority w:val="98"/>
    <w:semiHidden/>
    <w:rsid w:val="000B27B9"/>
    <w:rPr>
      <w:rFonts w:ascii="Courier New" w:hAnsi="Courier New" w:cs="Times New Roman"/>
      <w:sz w:val="20"/>
    </w:rPr>
  </w:style>
  <w:style w:type="paragraph" w:styleId="HTMLPreformatted">
    <w:name w:val="HTML Preformatted"/>
    <w:basedOn w:val="Normal"/>
    <w:link w:val="HTMLPreformattedChar"/>
    <w:uiPriority w:val="98"/>
    <w:semiHidden/>
    <w:rsid w:val="000B27B9"/>
    <w:pPr>
      <w:spacing w:after="200" w:line="276" w:lineRule="auto"/>
      <w:ind w:left="-91"/>
    </w:pPr>
    <w:rPr>
      <w:rFonts w:ascii="Courier New" w:hAnsi="Courier New" w:cs="Courier New"/>
      <w:sz w:val="20"/>
      <w:szCs w:val="22"/>
    </w:rPr>
  </w:style>
  <w:style w:type="character" w:customStyle="1" w:styleId="HTMLPreformattedChar">
    <w:name w:val="HTML Preformatted Char"/>
    <w:basedOn w:val="DefaultParagraphFont"/>
    <w:link w:val="HTMLPreformatted"/>
    <w:uiPriority w:val="98"/>
    <w:semiHidden/>
    <w:rsid w:val="000B27B9"/>
    <w:rPr>
      <w:rFonts w:ascii="Courier New" w:hAnsi="Courier New" w:cs="Courier New"/>
      <w:szCs w:val="22"/>
      <w:lang w:eastAsia="en-US"/>
    </w:rPr>
  </w:style>
  <w:style w:type="character" w:styleId="HTMLSample">
    <w:name w:val="HTML Sample"/>
    <w:uiPriority w:val="98"/>
    <w:semiHidden/>
    <w:rsid w:val="000B27B9"/>
    <w:rPr>
      <w:rFonts w:ascii="Courier New" w:hAnsi="Courier New" w:cs="Times New Roman"/>
    </w:rPr>
  </w:style>
  <w:style w:type="character" w:styleId="HTMLTypewriter">
    <w:name w:val="HTML Typewriter"/>
    <w:uiPriority w:val="98"/>
    <w:semiHidden/>
    <w:rsid w:val="000B27B9"/>
    <w:rPr>
      <w:rFonts w:ascii="Courier New" w:hAnsi="Courier New" w:cs="Times New Roman"/>
      <w:sz w:val="20"/>
    </w:rPr>
  </w:style>
  <w:style w:type="character" w:styleId="HTMLVariable">
    <w:name w:val="HTML Variable"/>
    <w:uiPriority w:val="98"/>
    <w:semiHidden/>
    <w:rsid w:val="000B27B9"/>
    <w:rPr>
      <w:rFonts w:cs="Times New Roman"/>
      <w:i/>
    </w:rPr>
  </w:style>
  <w:style w:type="character" w:styleId="LineNumber">
    <w:name w:val="line number"/>
    <w:uiPriority w:val="98"/>
    <w:semiHidden/>
    <w:rsid w:val="000B27B9"/>
    <w:rPr>
      <w:rFonts w:cs="Times New Roman"/>
    </w:rPr>
  </w:style>
  <w:style w:type="paragraph" w:styleId="List">
    <w:name w:val="List"/>
    <w:basedOn w:val="Normal"/>
    <w:uiPriority w:val="98"/>
    <w:semiHidden/>
    <w:rsid w:val="000B27B9"/>
    <w:pPr>
      <w:spacing w:after="200" w:line="276" w:lineRule="auto"/>
      <w:ind w:left="283" w:hanging="283"/>
    </w:pPr>
    <w:rPr>
      <w:rFonts w:ascii="Verdana" w:hAnsi="Verdana"/>
      <w:sz w:val="20"/>
      <w:szCs w:val="22"/>
    </w:rPr>
  </w:style>
  <w:style w:type="paragraph" w:styleId="List2">
    <w:name w:val="List 2"/>
    <w:basedOn w:val="Normal"/>
    <w:uiPriority w:val="98"/>
    <w:semiHidden/>
    <w:rsid w:val="000B27B9"/>
    <w:pPr>
      <w:spacing w:after="200" w:line="276" w:lineRule="auto"/>
      <w:ind w:left="566" w:hanging="283"/>
    </w:pPr>
    <w:rPr>
      <w:rFonts w:ascii="Verdana" w:hAnsi="Verdana"/>
      <w:sz w:val="20"/>
      <w:szCs w:val="22"/>
    </w:rPr>
  </w:style>
  <w:style w:type="paragraph" w:styleId="List3">
    <w:name w:val="List 3"/>
    <w:basedOn w:val="Normal"/>
    <w:uiPriority w:val="98"/>
    <w:semiHidden/>
    <w:rsid w:val="000B27B9"/>
    <w:pPr>
      <w:spacing w:after="200" w:line="276" w:lineRule="auto"/>
      <w:ind w:left="849" w:hanging="283"/>
    </w:pPr>
    <w:rPr>
      <w:rFonts w:ascii="Verdana" w:hAnsi="Verdana"/>
      <w:sz w:val="20"/>
      <w:szCs w:val="22"/>
    </w:rPr>
  </w:style>
  <w:style w:type="paragraph" w:styleId="List4">
    <w:name w:val="List 4"/>
    <w:basedOn w:val="Normal"/>
    <w:uiPriority w:val="98"/>
    <w:semiHidden/>
    <w:rsid w:val="000B27B9"/>
    <w:pPr>
      <w:spacing w:after="200" w:line="276" w:lineRule="auto"/>
      <w:ind w:left="1132" w:hanging="283"/>
    </w:pPr>
    <w:rPr>
      <w:rFonts w:ascii="Verdana" w:hAnsi="Verdana"/>
      <w:sz w:val="20"/>
      <w:szCs w:val="22"/>
    </w:rPr>
  </w:style>
  <w:style w:type="paragraph" w:styleId="List5">
    <w:name w:val="List 5"/>
    <w:basedOn w:val="Normal"/>
    <w:uiPriority w:val="98"/>
    <w:semiHidden/>
    <w:rsid w:val="000B27B9"/>
    <w:pPr>
      <w:spacing w:after="200" w:line="276" w:lineRule="auto"/>
      <w:ind w:left="1415" w:hanging="283"/>
    </w:pPr>
    <w:rPr>
      <w:rFonts w:ascii="Verdana" w:hAnsi="Verdana"/>
      <w:sz w:val="20"/>
      <w:szCs w:val="22"/>
    </w:rPr>
  </w:style>
  <w:style w:type="paragraph" w:styleId="ListBullet2">
    <w:name w:val="List Bullet 2"/>
    <w:basedOn w:val="Normal"/>
    <w:uiPriority w:val="98"/>
    <w:semiHidden/>
    <w:rsid w:val="000B27B9"/>
    <w:pPr>
      <w:tabs>
        <w:tab w:val="num" w:pos="643"/>
        <w:tab w:val="num" w:pos="3015"/>
      </w:tabs>
      <w:spacing w:after="200" w:line="276" w:lineRule="auto"/>
      <w:ind w:left="643" w:hanging="870"/>
    </w:pPr>
    <w:rPr>
      <w:rFonts w:ascii="Verdana" w:hAnsi="Verdana"/>
      <w:sz w:val="20"/>
      <w:szCs w:val="22"/>
    </w:rPr>
  </w:style>
  <w:style w:type="paragraph" w:styleId="ListBullet3">
    <w:name w:val="List Bullet 3"/>
    <w:basedOn w:val="Normal"/>
    <w:uiPriority w:val="98"/>
    <w:semiHidden/>
    <w:rsid w:val="000B27B9"/>
    <w:pPr>
      <w:tabs>
        <w:tab w:val="num" w:pos="360"/>
        <w:tab w:val="num" w:pos="926"/>
      </w:tabs>
      <w:spacing w:after="200" w:line="276" w:lineRule="auto"/>
      <w:ind w:left="926" w:hanging="283"/>
    </w:pPr>
    <w:rPr>
      <w:rFonts w:ascii="Verdana" w:hAnsi="Verdana"/>
      <w:sz w:val="20"/>
      <w:szCs w:val="22"/>
    </w:rPr>
  </w:style>
  <w:style w:type="paragraph" w:styleId="ListBullet4">
    <w:name w:val="List Bullet 4"/>
    <w:basedOn w:val="Normal"/>
    <w:uiPriority w:val="98"/>
    <w:semiHidden/>
    <w:rsid w:val="000B27B9"/>
    <w:pPr>
      <w:tabs>
        <w:tab w:val="num" w:pos="360"/>
        <w:tab w:val="num" w:pos="1209"/>
      </w:tabs>
      <w:spacing w:after="200" w:line="276" w:lineRule="auto"/>
      <w:ind w:left="1209" w:hanging="360"/>
    </w:pPr>
    <w:rPr>
      <w:rFonts w:ascii="Verdana" w:hAnsi="Verdana"/>
      <w:sz w:val="20"/>
      <w:szCs w:val="22"/>
    </w:rPr>
  </w:style>
  <w:style w:type="paragraph" w:styleId="ListBullet5">
    <w:name w:val="List Bullet 5"/>
    <w:basedOn w:val="Normal"/>
    <w:uiPriority w:val="98"/>
    <w:semiHidden/>
    <w:rsid w:val="000B27B9"/>
    <w:pPr>
      <w:tabs>
        <w:tab w:val="num" w:pos="720"/>
        <w:tab w:val="num" w:pos="1492"/>
      </w:tabs>
      <w:spacing w:after="200" w:line="276" w:lineRule="auto"/>
      <w:ind w:left="1492" w:hanging="360"/>
    </w:pPr>
    <w:rPr>
      <w:rFonts w:ascii="Verdana" w:hAnsi="Verdana"/>
      <w:sz w:val="20"/>
      <w:szCs w:val="22"/>
    </w:rPr>
  </w:style>
  <w:style w:type="paragraph" w:styleId="ListContinue">
    <w:name w:val="List Continue"/>
    <w:basedOn w:val="Normal"/>
    <w:uiPriority w:val="98"/>
    <w:semiHidden/>
    <w:rsid w:val="000B27B9"/>
    <w:pPr>
      <w:spacing w:line="276" w:lineRule="auto"/>
      <w:ind w:left="283"/>
    </w:pPr>
    <w:rPr>
      <w:rFonts w:ascii="Verdana" w:hAnsi="Verdana"/>
      <w:sz w:val="20"/>
      <w:szCs w:val="22"/>
    </w:rPr>
  </w:style>
  <w:style w:type="paragraph" w:styleId="ListContinue2">
    <w:name w:val="List Continue 2"/>
    <w:basedOn w:val="Normal"/>
    <w:uiPriority w:val="98"/>
    <w:semiHidden/>
    <w:rsid w:val="000B27B9"/>
    <w:pPr>
      <w:spacing w:line="276" w:lineRule="auto"/>
      <w:ind w:left="566"/>
    </w:pPr>
    <w:rPr>
      <w:rFonts w:ascii="Verdana" w:hAnsi="Verdana"/>
      <w:sz w:val="20"/>
      <w:szCs w:val="22"/>
    </w:rPr>
  </w:style>
  <w:style w:type="paragraph" w:styleId="ListContinue3">
    <w:name w:val="List Continue 3"/>
    <w:basedOn w:val="Normal"/>
    <w:uiPriority w:val="98"/>
    <w:semiHidden/>
    <w:rsid w:val="000B27B9"/>
    <w:pPr>
      <w:spacing w:line="276" w:lineRule="auto"/>
      <w:ind w:left="849"/>
    </w:pPr>
    <w:rPr>
      <w:rFonts w:ascii="Verdana" w:hAnsi="Verdana"/>
      <w:sz w:val="20"/>
      <w:szCs w:val="22"/>
    </w:rPr>
  </w:style>
  <w:style w:type="paragraph" w:styleId="ListContinue4">
    <w:name w:val="List Continue 4"/>
    <w:basedOn w:val="Normal"/>
    <w:uiPriority w:val="98"/>
    <w:semiHidden/>
    <w:rsid w:val="000B27B9"/>
    <w:pPr>
      <w:spacing w:line="276" w:lineRule="auto"/>
      <w:ind w:left="1132"/>
    </w:pPr>
    <w:rPr>
      <w:rFonts w:ascii="Verdana" w:hAnsi="Verdana"/>
      <w:sz w:val="20"/>
      <w:szCs w:val="22"/>
    </w:rPr>
  </w:style>
  <w:style w:type="paragraph" w:styleId="ListContinue5">
    <w:name w:val="List Continue 5"/>
    <w:basedOn w:val="Normal"/>
    <w:uiPriority w:val="98"/>
    <w:semiHidden/>
    <w:rsid w:val="000B27B9"/>
    <w:pPr>
      <w:spacing w:line="276" w:lineRule="auto"/>
      <w:ind w:left="1415"/>
    </w:pPr>
    <w:rPr>
      <w:rFonts w:ascii="Verdana" w:hAnsi="Verdana"/>
      <w:sz w:val="20"/>
      <w:szCs w:val="22"/>
    </w:rPr>
  </w:style>
  <w:style w:type="paragraph" w:styleId="ListNumber2">
    <w:name w:val="List Number 2"/>
    <w:basedOn w:val="Normal"/>
    <w:uiPriority w:val="98"/>
    <w:semiHidden/>
    <w:rsid w:val="000B27B9"/>
    <w:pPr>
      <w:tabs>
        <w:tab w:val="num" w:pos="207"/>
        <w:tab w:val="num" w:pos="643"/>
      </w:tabs>
      <w:spacing w:after="200" w:line="276" w:lineRule="auto"/>
      <w:ind w:left="643" w:hanging="851"/>
    </w:pPr>
    <w:rPr>
      <w:rFonts w:ascii="Verdana" w:hAnsi="Verdana"/>
      <w:sz w:val="20"/>
      <w:szCs w:val="22"/>
    </w:rPr>
  </w:style>
  <w:style w:type="paragraph" w:styleId="ListNumber3">
    <w:name w:val="List Number 3"/>
    <w:basedOn w:val="Normal"/>
    <w:uiPriority w:val="98"/>
    <w:semiHidden/>
    <w:rsid w:val="000B27B9"/>
    <w:pPr>
      <w:tabs>
        <w:tab w:val="num" w:pos="207"/>
        <w:tab w:val="num" w:pos="926"/>
      </w:tabs>
      <w:spacing w:after="200" w:line="276" w:lineRule="auto"/>
      <w:ind w:left="926" w:hanging="851"/>
    </w:pPr>
    <w:rPr>
      <w:rFonts w:ascii="Verdana" w:hAnsi="Verdana"/>
      <w:sz w:val="20"/>
      <w:szCs w:val="22"/>
    </w:rPr>
  </w:style>
  <w:style w:type="paragraph" w:styleId="ListNumber4">
    <w:name w:val="List Number 4"/>
    <w:basedOn w:val="Normal"/>
    <w:uiPriority w:val="98"/>
    <w:semiHidden/>
    <w:rsid w:val="000B27B9"/>
    <w:pPr>
      <w:tabs>
        <w:tab w:val="num" w:pos="207"/>
        <w:tab w:val="num" w:pos="1209"/>
      </w:tabs>
      <w:spacing w:after="200" w:line="276" w:lineRule="auto"/>
      <w:ind w:left="1209" w:hanging="851"/>
    </w:pPr>
    <w:rPr>
      <w:rFonts w:ascii="Verdana" w:hAnsi="Verdana"/>
      <w:sz w:val="20"/>
      <w:szCs w:val="22"/>
    </w:rPr>
  </w:style>
  <w:style w:type="paragraph" w:styleId="ListNumber5">
    <w:name w:val="List Number 5"/>
    <w:basedOn w:val="Normal"/>
    <w:uiPriority w:val="98"/>
    <w:semiHidden/>
    <w:rsid w:val="000B27B9"/>
    <w:pPr>
      <w:tabs>
        <w:tab w:val="num" w:pos="1492"/>
        <w:tab w:val="num" w:pos="2836"/>
      </w:tabs>
      <w:spacing w:after="200" w:line="276" w:lineRule="auto"/>
      <w:ind w:left="1492" w:hanging="907"/>
    </w:pPr>
    <w:rPr>
      <w:rFonts w:ascii="Verdana" w:hAnsi="Verdana"/>
      <w:sz w:val="20"/>
      <w:szCs w:val="22"/>
    </w:rPr>
  </w:style>
  <w:style w:type="paragraph" w:styleId="MessageHeader">
    <w:name w:val="Message Header"/>
    <w:basedOn w:val="Normal"/>
    <w:link w:val="MessageHeaderChar"/>
    <w:uiPriority w:val="98"/>
    <w:semiHidden/>
    <w:rsid w:val="000B27B9"/>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sz w:val="24"/>
      <w:szCs w:val="24"/>
    </w:rPr>
  </w:style>
  <w:style w:type="character" w:customStyle="1" w:styleId="MessageHeaderChar">
    <w:name w:val="Message Header Char"/>
    <w:basedOn w:val="DefaultParagraphFont"/>
    <w:link w:val="MessageHeader"/>
    <w:uiPriority w:val="98"/>
    <w:semiHidden/>
    <w:rsid w:val="000B27B9"/>
    <w:rPr>
      <w:rFonts w:ascii="Arial" w:hAnsi="Arial"/>
      <w:sz w:val="24"/>
      <w:szCs w:val="24"/>
      <w:shd w:val="pct20" w:color="auto" w:fill="auto"/>
      <w:lang w:eastAsia="en-US"/>
    </w:rPr>
  </w:style>
  <w:style w:type="paragraph" w:styleId="NormalIndent">
    <w:name w:val="Normal Indent"/>
    <w:basedOn w:val="Normal"/>
    <w:uiPriority w:val="98"/>
    <w:semiHidden/>
    <w:rsid w:val="000B27B9"/>
    <w:pPr>
      <w:spacing w:after="200" w:line="276" w:lineRule="auto"/>
      <w:ind w:left="720"/>
    </w:pPr>
    <w:rPr>
      <w:rFonts w:ascii="Verdana" w:hAnsi="Verdana"/>
      <w:sz w:val="20"/>
      <w:szCs w:val="22"/>
    </w:rPr>
  </w:style>
  <w:style w:type="paragraph" w:styleId="PlainText">
    <w:name w:val="Plain Text"/>
    <w:basedOn w:val="Normal"/>
    <w:link w:val="PlainTextChar"/>
    <w:uiPriority w:val="98"/>
    <w:semiHidden/>
    <w:rsid w:val="000B27B9"/>
    <w:pPr>
      <w:spacing w:after="200" w:line="276" w:lineRule="auto"/>
      <w:ind w:left="-91"/>
    </w:pPr>
    <w:rPr>
      <w:rFonts w:ascii="Courier New" w:hAnsi="Courier New" w:cs="Courier New"/>
      <w:sz w:val="20"/>
      <w:szCs w:val="22"/>
    </w:rPr>
  </w:style>
  <w:style w:type="character" w:customStyle="1" w:styleId="PlainTextChar">
    <w:name w:val="Plain Text Char"/>
    <w:basedOn w:val="DefaultParagraphFont"/>
    <w:link w:val="PlainText"/>
    <w:uiPriority w:val="98"/>
    <w:semiHidden/>
    <w:rsid w:val="000B27B9"/>
    <w:rPr>
      <w:rFonts w:ascii="Courier New" w:hAnsi="Courier New" w:cs="Courier New"/>
      <w:szCs w:val="22"/>
      <w:lang w:eastAsia="en-US"/>
    </w:rPr>
  </w:style>
  <w:style w:type="paragraph" w:styleId="Salutation">
    <w:name w:val="Salutation"/>
    <w:basedOn w:val="Normal"/>
    <w:next w:val="Normal"/>
    <w:link w:val="SalutationChar"/>
    <w:uiPriority w:val="98"/>
    <w:semiHidden/>
    <w:rsid w:val="000B27B9"/>
    <w:pPr>
      <w:spacing w:after="200" w:line="276" w:lineRule="auto"/>
      <w:ind w:left="-91"/>
    </w:pPr>
    <w:rPr>
      <w:rFonts w:ascii="Verdana" w:hAnsi="Verdana"/>
      <w:sz w:val="20"/>
      <w:szCs w:val="22"/>
    </w:rPr>
  </w:style>
  <w:style w:type="character" w:customStyle="1" w:styleId="SalutationChar">
    <w:name w:val="Salutation Char"/>
    <w:basedOn w:val="DefaultParagraphFont"/>
    <w:link w:val="Salutation"/>
    <w:uiPriority w:val="98"/>
    <w:semiHidden/>
    <w:rsid w:val="000B27B9"/>
    <w:rPr>
      <w:rFonts w:ascii="Verdana" w:hAnsi="Verdana"/>
      <w:szCs w:val="22"/>
      <w:lang w:eastAsia="en-US"/>
    </w:rPr>
  </w:style>
  <w:style w:type="paragraph" w:styleId="Signature">
    <w:name w:val="Signature"/>
    <w:basedOn w:val="Normal"/>
    <w:link w:val="SignatureChar"/>
    <w:uiPriority w:val="98"/>
    <w:semiHidden/>
    <w:rsid w:val="000B27B9"/>
    <w:pPr>
      <w:spacing w:after="200" w:line="276" w:lineRule="auto"/>
      <w:ind w:left="4252"/>
    </w:pPr>
    <w:rPr>
      <w:rFonts w:ascii="Verdana" w:hAnsi="Verdana"/>
      <w:sz w:val="20"/>
      <w:szCs w:val="22"/>
    </w:rPr>
  </w:style>
  <w:style w:type="character" w:customStyle="1" w:styleId="SignatureChar">
    <w:name w:val="Signature Char"/>
    <w:basedOn w:val="DefaultParagraphFont"/>
    <w:link w:val="Signature"/>
    <w:uiPriority w:val="98"/>
    <w:semiHidden/>
    <w:rsid w:val="000B27B9"/>
    <w:rPr>
      <w:rFonts w:ascii="Verdana" w:hAnsi="Verdana"/>
      <w:szCs w:val="22"/>
      <w:lang w:eastAsia="en-US"/>
    </w:rPr>
  </w:style>
  <w:style w:type="table" w:styleId="TableClassic2">
    <w:name w:val="Table Classic 2"/>
    <w:basedOn w:val="TableNormal"/>
    <w:uiPriority w:val="99"/>
    <w:rsid w:val="000B27B9"/>
    <w:pPr>
      <w:autoSpaceDE w:val="0"/>
      <w:autoSpaceDN w:val="0"/>
      <w:adjustRightInd w:val="0"/>
    </w:pPr>
    <w:rPr>
      <w:rFonts w:ascii="Calibri" w:hAnsi="Calibri"/>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B27B9"/>
    <w:pPr>
      <w:autoSpaceDE w:val="0"/>
      <w:autoSpaceDN w:val="0"/>
      <w:adjustRightInd w:val="0"/>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B27B9"/>
    <w:pPr>
      <w:autoSpaceDE w:val="0"/>
      <w:autoSpaceDN w:val="0"/>
      <w:adjustRightInd w:val="0"/>
    </w:pPr>
    <w:rPr>
      <w:rFonts w:ascii="Calibri" w:hAnsi="Calibri"/>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B27B9"/>
    <w:pPr>
      <w:autoSpaceDE w:val="0"/>
      <w:autoSpaceDN w:val="0"/>
      <w:adjustRightInd w:val="0"/>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B27B9"/>
    <w:pPr>
      <w:autoSpaceDE w:val="0"/>
      <w:autoSpaceDN w:val="0"/>
      <w:adjustRightInd w:val="0"/>
    </w:pPr>
    <w:rPr>
      <w:rFonts w:ascii="Calibri" w:hAnsi="Calibri"/>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B27B9"/>
    <w:pPr>
      <w:autoSpaceDE w:val="0"/>
      <w:autoSpaceDN w:val="0"/>
      <w:adjustRightInd w:val="0"/>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B27B9"/>
    <w:pPr>
      <w:autoSpaceDE w:val="0"/>
      <w:autoSpaceDN w:val="0"/>
      <w:adjustRightInd w:val="0"/>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B27B9"/>
    <w:pPr>
      <w:autoSpaceDE w:val="0"/>
      <w:autoSpaceDN w:val="0"/>
      <w:adjustRightInd w:val="0"/>
    </w:pPr>
    <w:rPr>
      <w:rFonts w:ascii="Calibri" w:hAnsi="Calibri"/>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B27B9"/>
    <w:pPr>
      <w:autoSpaceDE w:val="0"/>
      <w:autoSpaceDN w:val="0"/>
      <w:adjustRightInd w:val="0"/>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B27B9"/>
    <w:pPr>
      <w:autoSpaceDE w:val="0"/>
      <w:autoSpaceDN w:val="0"/>
      <w:adjustRightInd w:val="0"/>
    </w:pPr>
    <w:rPr>
      <w:rFonts w:ascii="Calibri" w:hAnsi="Calibri"/>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B27B9"/>
    <w:pPr>
      <w:autoSpaceDE w:val="0"/>
      <w:autoSpaceDN w:val="0"/>
      <w:adjustRightInd w:val="0"/>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B27B9"/>
    <w:pPr>
      <w:autoSpaceDE w:val="0"/>
      <w:autoSpaceDN w:val="0"/>
      <w:adjustRightInd w:val="0"/>
    </w:pPr>
    <w:rPr>
      <w:rFonts w:ascii="Calibri" w:hAnsi="Calibri"/>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B27B9"/>
    <w:pPr>
      <w:autoSpaceDE w:val="0"/>
      <w:autoSpaceDN w:val="0"/>
      <w:adjustRightInd w:val="0"/>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uiPriority w:val="99"/>
    <w:rsid w:val="000B27B9"/>
    <w:pPr>
      <w:autoSpaceDE w:val="0"/>
      <w:autoSpaceDN w:val="0"/>
      <w:adjustRightInd w:val="0"/>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B27B9"/>
    <w:pPr>
      <w:autoSpaceDE w:val="0"/>
      <w:autoSpaceDN w:val="0"/>
      <w:adjustRightInd w:val="0"/>
    </w:pPr>
    <w:rPr>
      <w:rFonts w:ascii="Calibri" w:hAnsi="Calibri"/>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B27B9"/>
    <w:pPr>
      <w:autoSpaceDE w:val="0"/>
      <w:autoSpaceDN w:val="0"/>
      <w:adjustRightInd w:val="0"/>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B27B9"/>
    <w:pPr>
      <w:autoSpaceDE w:val="0"/>
      <w:autoSpaceDN w:val="0"/>
      <w:adjustRightInd w:val="0"/>
    </w:pPr>
    <w:rPr>
      <w:rFonts w:ascii="Calibri" w:hAnsi="Calibri"/>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B27B9"/>
    <w:pPr>
      <w:autoSpaceDE w:val="0"/>
      <w:autoSpaceDN w:val="0"/>
      <w:adjustRightInd w:val="0"/>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B27B9"/>
    <w:pPr>
      <w:autoSpaceDE w:val="0"/>
      <w:autoSpaceDN w:val="0"/>
      <w:adjustRightInd w:val="0"/>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B27B9"/>
    <w:pPr>
      <w:autoSpaceDE w:val="0"/>
      <w:autoSpaceDN w:val="0"/>
      <w:adjustRightInd w:val="0"/>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B27B9"/>
    <w:pPr>
      <w:autoSpaceDE w:val="0"/>
      <w:autoSpaceDN w:val="0"/>
      <w:adjustRightInd w:val="0"/>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B27B9"/>
    <w:pPr>
      <w:autoSpaceDE w:val="0"/>
      <w:autoSpaceDN w:val="0"/>
      <w:adjustRightInd w:val="0"/>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B27B9"/>
    <w:pPr>
      <w:autoSpaceDE w:val="0"/>
      <w:autoSpaceDN w:val="0"/>
      <w:adjustRightInd w:val="0"/>
    </w:pPr>
    <w:rPr>
      <w:rFonts w:ascii="Calibri" w:hAnsi="Calibri"/>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B27B9"/>
    <w:pPr>
      <w:autoSpaceDE w:val="0"/>
      <w:autoSpaceDN w:val="0"/>
      <w:adjustRightInd w:val="0"/>
    </w:pPr>
    <w:rPr>
      <w:rFonts w:ascii="Calibri" w:hAnsi="Calibri"/>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B27B9"/>
    <w:pPr>
      <w:autoSpaceDE w:val="0"/>
      <w:autoSpaceDN w:val="0"/>
      <w:adjustRightInd w:val="0"/>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B27B9"/>
    <w:pPr>
      <w:autoSpaceDE w:val="0"/>
      <w:autoSpaceDN w:val="0"/>
      <w:adjustRightInd w:val="0"/>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B27B9"/>
    <w:pPr>
      <w:autoSpaceDE w:val="0"/>
      <w:autoSpaceDN w:val="0"/>
      <w:adjustRightInd w:val="0"/>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B27B9"/>
    <w:pPr>
      <w:autoSpaceDE w:val="0"/>
      <w:autoSpaceDN w:val="0"/>
      <w:adjustRightInd w:val="0"/>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B27B9"/>
    <w:pPr>
      <w:autoSpaceDE w:val="0"/>
      <w:autoSpaceDN w:val="0"/>
      <w:adjustRightInd w:val="0"/>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Simple1">
    <w:name w:val="Table Simple 1"/>
    <w:basedOn w:val="TableNormal"/>
    <w:uiPriority w:val="99"/>
    <w:rsid w:val="000B27B9"/>
    <w:pPr>
      <w:autoSpaceDE w:val="0"/>
      <w:autoSpaceDN w:val="0"/>
      <w:adjustRightInd w:val="0"/>
    </w:pPr>
    <w:rPr>
      <w:rFonts w:ascii="Calibri" w:hAnsi="Calibr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B27B9"/>
    <w:pPr>
      <w:autoSpaceDE w:val="0"/>
      <w:autoSpaceDN w:val="0"/>
      <w:adjustRightInd w:val="0"/>
    </w:pPr>
    <w:rPr>
      <w:rFonts w:ascii="Calibri" w:hAnsi="Calibri"/>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B27B9"/>
    <w:pPr>
      <w:autoSpaceDE w:val="0"/>
      <w:autoSpaceDN w:val="0"/>
      <w:adjustRightInd w:val="0"/>
    </w:pPr>
    <w:rPr>
      <w:rFonts w:ascii="Calibri" w:hAnsi="Calibri"/>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B27B9"/>
    <w:pPr>
      <w:autoSpaceDE w:val="0"/>
      <w:autoSpaceDN w:val="0"/>
      <w:adjustRightInd w:val="0"/>
    </w:pPr>
    <w:rPr>
      <w:rFonts w:ascii="Calibri" w:hAnsi="Calibri"/>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B27B9"/>
    <w:pPr>
      <w:autoSpaceDE w:val="0"/>
      <w:autoSpaceDN w:val="0"/>
      <w:adjustRightInd w:val="0"/>
    </w:pPr>
    <w:rPr>
      <w:rFonts w:ascii="Calibri" w:hAnsi="Calibri"/>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B27B9"/>
    <w:pPr>
      <w:autoSpaceDE w:val="0"/>
      <w:autoSpaceDN w:val="0"/>
      <w:adjustRightInd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B27B9"/>
    <w:pPr>
      <w:autoSpaceDE w:val="0"/>
      <w:autoSpaceDN w:val="0"/>
      <w:adjustRightInd w:val="0"/>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B27B9"/>
    <w:pPr>
      <w:autoSpaceDE w:val="0"/>
      <w:autoSpaceDN w:val="0"/>
      <w:adjustRightInd w:val="0"/>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B27B9"/>
    <w:pPr>
      <w:autoSpaceDE w:val="0"/>
      <w:autoSpaceDN w:val="0"/>
      <w:adjustRightInd w:val="0"/>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HTMLAddress">
    <w:name w:val="HTML Address"/>
    <w:basedOn w:val="Normal"/>
    <w:link w:val="HTMLAddressChar"/>
    <w:uiPriority w:val="98"/>
    <w:semiHidden/>
    <w:rsid w:val="000B27B9"/>
    <w:pPr>
      <w:spacing w:after="200" w:line="276" w:lineRule="auto"/>
      <w:ind w:left="-91"/>
    </w:pPr>
    <w:rPr>
      <w:rFonts w:ascii="Verdana" w:hAnsi="Verdana"/>
      <w:i/>
      <w:iCs/>
      <w:sz w:val="20"/>
      <w:szCs w:val="22"/>
    </w:rPr>
  </w:style>
  <w:style w:type="character" w:customStyle="1" w:styleId="HTMLAddressChar">
    <w:name w:val="HTML Address Char"/>
    <w:basedOn w:val="DefaultParagraphFont"/>
    <w:link w:val="HTMLAddress"/>
    <w:uiPriority w:val="98"/>
    <w:semiHidden/>
    <w:rsid w:val="000B27B9"/>
    <w:rPr>
      <w:rFonts w:ascii="Verdana" w:hAnsi="Verdana"/>
      <w:i/>
      <w:iCs/>
      <w:szCs w:val="22"/>
      <w:lang w:eastAsia="en-US"/>
    </w:rPr>
  </w:style>
  <w:style w:type="paragraph" w:customStyle="1" w:styleId="IntenseEmphasis1">
    <w:name w:val="Intense Emphasis1"/>
    <w:basedOn w:val="Normal"/>
    <w:next w:val="Normal"/>
    <w:link w:val="IntenseEmphasisChar"/>
    <w:uiPriority w:val="99"/>
    <w:semiHidden/>
    <w:rsid w:val="000B27B9"/>
    <w:pPr>
      <w:spacing w:after="200" w:line="276" w:lineRule="auto"/>
      <w:ind w:left="-91"/>
    </w:pPr>
    <w:rPr>
      <w:rFonts w:ascii="Verdana" w:hAnsi="Verdana"/>
      <w:i/>
      <w:iCs/>
      <w:color w:val="000000"/>
      <w:sz w:val="20"/>
    </w:rPr>
  </w:style>
  <w:style w:type="character" w:customStyle="1" w:styleId="IntenseEmphasisChar">
    <w:name w:val="Intense Emphasis Char"/>
    <w:link w:val="IntenseEmphasis1"/>
    <w:uiPriority w:val="99"/>
    <w:semiHidden/>
    <w:locked/>
    <w:rsid w:val="000B27B9"/>
    <w:rPr>
      <w:rFonts w:ascii="Verdana" w:hAnsi="Verdana"/>
      <w:i/>
      <w:iCs/>
      <w:color w:val="000000"/>
      <w:lang w:eastAsia="en-US"/>
    </w:rPr>
  </w:style>
  <w:style w:type="character" w:customStyle="1" w:styleId="SubtleReference1">
    <w:name w:val="Subtle Reference1"/>
    <w:uiPriority w:val="99"/>
    <w:semiHidden/>
    <w:rsid w:val="000B27B9"/>
    <w:rPr>
      <w:smallCaps/>
      <w:color w:val="C0504D"/>
      <w:u w:val="single"/>
    </w:rPr>
  </w:style>
  <w:style w:type="character" w:customStyle="1" w:styleId="CommentTextChar1">
    <w:name w:val="Comment Text Char1"/>
    <w:uiPriority w:val="99"/>
    <w:semiHidden/>
    <w:locked/>
    <w:rsid w:val="000B27B9"/>
    <w:rPr>
      <w:rFonts w:ascii="Verdana" w:hAnsi="Verdana"/>
      <w:lang w:eastAsia="en-US"/>
    </w:rPr>
  </w:style>
  <w:style w:type="paragraph" w:customStyle="1" w:styleId="MediumList2-Accent21">
    <w:name w:val="Medium List 2 - Accent 21"/>
    <w:hidden/>
    <w:uiPriority w:val="99"/>
    <w:rsid w:val="000B27B9"/>
    <w:rPr>
      <w:rFonts w:ascii="Cambria" w:hAnsi="Cambria"/>
      <w:lang w:eastAsia="en-US"/>
    </w:rPr>
  </w:style>
  <w:style w:type="paragraph" w:customStyle="1" w:styleId="SubtleEmphasis2">
    <w:name w:val="Subtle Emphasis2"/>
    <w:basedOn w:val="Normal"/>
    <w:uiPriority w:val="99"/>
    <w:semiHidden/>
    <w:rsid w:val="000B27B9"/>
    <w:pPr>
      <w:spacing w:after="0" w:line="240" w:lineRule="auto"/>
      <w:ind w:left="720"/>
      <w:contextualSpacing/>
    </w:pPr>
    <w:rPr>
      <w:rFonts w:ascii="Verdana" w:hAnsi="Verdana"/>
      <w:sz w:val="20"/>
    </w:rPr>
  </w:style>
  <w:style w:type="paragraph" w:customStyle="1" w:styleId="ColorfulGrid-Accent62">
    <w:name w:val="Colorful Grid - Accent 62"/>
    <w:hidden/>
    <w:uiPriority w:val="99"/>
    <w:rsid w:val="000B27B9"/>
    <w:rPr>
      <w:rFonts w:ascii="Verdana" w:hAnsi="Verdana"/>
      <w:lang w:eastAsia="en-US"/>
    </w:rPr>
  </w:style>
  <w:style w:type="paragraph" w:customStyle="1" w:styleId="IntenseEmphasis2">
    <w:name w:val="Intense Emphasis2"/>
    <w:basedOn w:val="Normal"/>
    <w:next w:val="Normal"/>
    <w:uiPriority w:val="99"/>
    <w:semiHidden/>
    <w:rsid w:val="000B27B9"/>
    <w:pPr>
      <w:spacing w:after="200" w:line="276" w:lineRule="auto"/>
      <w:ind w:left="-91"/>
    </w:pPr>
    <w:rPr>
      <w:rFonts w:ascii="Verdana" w:hAnsi="Verdana"/>
      <w:i/>
      <w:iCs/>
      <w:color w:val="000000"/>
      <w:sz w:val="20"/>
      <w:szCs w:val="22"/>
    </w:rPr>
  </w:style>
  <w:style w:type="character" w:customStyle="1" w:styleId="SubtleReference2">
    <w:name w:val="Subtle Reference2"/>
    <w:uiPriority w:val="99"/>
    <w:semiHidden/>
    <w:rsid w:val="000B27B9"/>
    <w:rPr>
      <w:smallCaps/>
      <w:color w:val="C0504D"/>
      <w:u w:val="single"/>
    </w:rPr>
  </w:style>
  <w:style w:type="numbering" w:customStyle="1" w:styleId="1ai1">
    <w:name w:val="1 / a / i1"/>
    <w:rsid w:val="000B27B9"/>
    <w:pPr>
      <w:numPr>
        <w:numId w:val="17"/>
      </w:numPr>
    </w:pPr>
  </w:style>
  <w:style w:type="numbering" w:styleId="111111">
    <w:name w:val="Outline List 2"/>
    <w:basedOn w:val="NoList"/>
    <w:uiPriority w:val="99"/>
    <w:semiHidden/>
    <w:unhideWhenUsed/>
    <w:rsid w:val="000B27B9"/>
    <w:pPr>
      <w:numPr>
        <w:numId w:val="18"/>
      </w:numPr>
    </w:pPr>
  </w:style>
  <w:style w:type="numbering" w:customStyle="1" w:styleId="1111111">
    <w:name w:val="1 / 1.1 / 1.1.11"/>
    <w:rsid w:val="000B27B9"/>
    <w:pPr>
      <w:numPr>
        <w:numId w:val="16"/>
      </w:numPr>
    </w:pPr>
  </w:style>
  <w:style w:type="paragraph" w:customStyle="1" w:styleId="Tabletext8pt">
    <w:name w:val="Table text 8pt"/>
    <w:basedOn w:val="Tabletext9pt"/>
    <w:qFormat/>
    <w:rsid w:val="00DA050E"/>
    <w:rPr>
      <w:sz w:val="15"/>
      <w:szCs w:val="16"/>
    </w:rPr>
  </w:style>
  <w:style w:type="paragraph" w:customStyle="1" w:styleId="ColorfulShading-Accent110">
    <w:name w:val="Colorful Shading - Accent 110"/>
    <w:hidden/>
    <w:uiPriority w:val="99"/>
    <w:semiHidden/>
    <w:rsid w:val="000B27B9"/>
    <w:rPr>
      <w:rFonts w:ascii="Cambria" w:hAnsi="Cambria"/>
      <w:lang w:eastAsia="en-US"/>
    </w:rPr>
  </w:style>
  <w:style w:type="character" w:customStyle="1" w:styleId="BookTitle1">
    <w:name w:val="Book Title1"/>
    <w:uiPriority w:val="33"/>
    <w:semiHidden/>
    <w:qFormat/>
    <w:rsid w:val="000B27B9"/>
    <w:rPr>
      <w:b/>
      <w:bCs/>
      <w:smallCaps/>
      <w:spacing w:val="5"/>
    </w:rPr>
  </w:style>
  <w:style w:type="paragraph" w:customStyle="1" w:styleId="Heading3notforTOC">
    <w:name w:val="Heading 3 not for TOC"/>
    <w:basedOn w:val="Heading3"/>
    <w:uiPriority w:val="98"/>
    <w:rsid w:val="000B27B9"/>
    <w:pPr>
      <w:spacing w:before="200" w:after="90"/>
    </w:pPr>
    <w:rPr>
      <w:rFonts w:cs="Arial"/>
      <w:b w:val="0"/>
      <w:color w:val="201547"/>
      <w:sz w:val="28"/>
    </w:rPr>
  </w:style>
  <w:style w:type="paragraph" w:customStyle="1" w:styleId="Boxbullet1">
    <w:name w:val="Box bullet 1"/>
    <w:basedOn w:val="Normal"/>
    <w:link w:val="Boxbullet1Char"/>
    <w:uiPriority w:val="98"/>
    <w:qFormat/>
    <w:rsid w:val="006832EE"/>
    <w:pPr>
      <w:numPr>
        <w:numId w:val="13"/>
      </w:numPr>
      <w:spacing w:after="80" w:line="220" w:lineRule="atLeast"/>
    </w:pPr>
    <w:rPr>
      <w:rFonts w:eastAsia="MS Mincho"/>
      <w:sz w:val="18"/>
      <w:szCs w:val="24"/>
    </w:rPr>
  </w:style>
  <w:style w:type="character" w:customStyle="1" w:styleId="Boxbullet1Char">
    <w:name w:val="Box bullet 1 Char"/>
    <w:link w:val="Boxbullet1"/>
    <w:uiPriority w:val="98"/>
    <w:locked/>
    <w:rsid w:val="006832EE"/>
    <w:rPr>
      <w:rFonts w:ascii="Arial" w:eastAsia="MS Mincho" w:hAnsi="Arial"/>
      <w:sz w:val="18"/>
      <w:szCs w:val="24"/>
      <w:lang w:eastAsia="en-US"/>
    </w:rPr>
  </w:style>
  <w:style w:type="paragraph" w:customStyle="1" w:styleId="Boxbullet2">
    <w:name w:val="Box bullet 2"/>
    <w:basedOn w:val="Normal"/>
    <w:link w:val="Boxbullet2Char"/>
    <w:uiPriority w:val="98"/>
    <w:qFormat/>
    <w:rsid w:val="006832EE"/>
    <w:pPr>
      <w:numPr>
        <w:ilvl w:val="1"/>
        <w:numId w:val="13"/>
      </w:numPr>
      <w:spacing w:after="80" w:line="220" w:lineRule="atLeast"/>
    </w:pPr>
    <w:rPr>
      <w:rFonts w:eastAsia="MS Mincho"/>
      <w:sz w:val="18"/>
      <w:szCs w:val="24"/>
    </w:rPr>
  </w:style>
  <w:style w:type="character" w:customStyle="1" w:styleId="Boxbullet2Char">
    <w:name w:val="Box bullet 2 Char"/>
    <w:link w:val="Boxbullet2"/>
    <w:uiPriority w:val="98"/>
    <w:locked/>
    <w:rsid w:val="006832EE"/>
    <w:rPr>
      <w:rFonts w:ascii="Arial" w:eastAsia="MS Mincho" w:hAnsi="Arial"/>
      <w:sz w:val="18"/>
      <w:szCs w:val="24"/>
      <w:lang w:eastAsia="en-US"/>
    </w:rPr>
  </w:style>
  <w:style w:type="paragraph" w:customStyle="1" w:styleId="Tablenoteroman">
    <w:name w:val="Table note roman"/>
    <w:basedOn w:val="Tablefigurenote9pt"/>
    <w:uiPriority w:val="4"/>
    <w:qFormat/>
    <w:rsid w:val="006832EE"/>
    <w:pPr>
      <w:numPr>
        <w:numId w:val="23"/>
      </w:numPr>
      <w:tabs>
        <w:tab w:val="num" w:pos="720"/>
      </w:tabs>
    </w:pPr>
    <w:rPr>
      <w:rFonts w:eastAsia="Times"/>
    </w:rPr>
  </w:style>
  <w:style w:type="paragraph" w:customStyle="1" w:styleId="Heading2Addendums">
    <w:name w:val="Heading 2 Addendums"/>
    <w:basedOn w:val="Heading2"/>
    <w:link w:val="Heading2AddendumsChar"/>
    <w:uiPriority w:val="99"/>
    <w:rsid w:val="006832EE"/>
    <w:pPr>
      <w:numPr>
        <w:ilvl w:val="0"/>
        <w:numId w:val="24"/>
      </w:numPr>
      <w:spacing w:after="440"/>
    </w:pPr>
    <w:rPr>
      <w:rFonts w:cs="Arial"/>
    </w:rPr>
  </w:style>
  <w:style w:type="character" w:customStyle="1" w:styleId="Heading2AddendumsChar">
    <w:name w:val="Heading 2 Addendums Char"/>
    <w:link w:val="Heading2Addendums"/>
    <w:uiPriority w:val="99"/>
    <w:locked/>
    <w:rsid w:val="006832EE"/>
    <w:rPr>
      <w:rFonts w:ascii="Arial" w:hAnsi="Arial" w:cs="Arial"/>
      <w:color w:val="201547"/>
      <w:sz w:val="44"/>
      <w:szCs w:val="28"/>
      <w:lang w:eastAsia="en-US"/>
    </w:rPr>
  </w:style>
  <w:style w:type="paragraph" w:customStyle="1" w:styleId="Heading3Addendums">
    <w:name w:val="Heading 3 Addendums"/>
    <w:basedOn w:val="Heading3"/>
    <w:link w:val="Heading3AddendumsChar"/>
    <w:uiPriority w:val="99"/>
    <w:rsid w:val="006832EE"/>
    <w:pPr>
      <w:numPr>
        <w:ilvl w:val="1"/>
        <w:numId w:val="24"/>
      </w:numPr>
      <w:tabs>
        <w:tab w:val="clear" w:pos="1361"/>
        <w:tab w:val="num" w:pos="794"/>
      </w:tabs>
      <w:ind w:left="794" w:hanging="397"/>
    </w:pPr>
    <w:rPr>
      <w:rFonts w:cs="Arial"/>
    </w:rPr>
  </w:style>
  <w:style w:type="character" w:customStyle="1" w:styleId="Heading3AddendumsChar">
    <w:name w:val="Heading 3 Addendums Char"/>
    <w:link w:val="Heading3Addendums"/>
    <w:uiPriority w:val="99"/>
    <w:locked/>
    <w:rsid w:val="006832EE"/>
    <w:rPr>
      <w:rFonts w:ascii="Arial" w:eastAsia="MS Gothic" w:hAnsi="Arial" w:cs="Arial"/>
      <w:b/>
      <w:bCs/>
      <w:color w:val="53565A"/>
      <w:sz w:val="32"/>
      <w:szCs w:val="26"/>
      <w:lang w:eastAsia="en-US"/>
    </w:rPr>
  </w:style>
  <w:style w:type="paragraph" w:customStyle="1" w:styleId="Heading4Addendums">
    <w:name w:val="Heading 4 Addendums"/>
    <w:basedOn w:val="Heading4"/>
    <w:link w:val="Heading4AddendumsChar"/>
    <w:uiPriority w:val="99"/>
    <w:rsid w:val="006832EE"/>
    <w:pPr>
      <w:numPr>
        <w:ilvl w:val="2"/>
        <w:numId w:val="24"/>
      </w:numPr>
      <w:tabs>
        <w:tab w:val="clear" w:pos="1361"/>
        <w:tab w:val="num" w:pos="6917"/>
      </w:tabs>
      <w:spacing w:line="320" w:lineRule="atLeast"/>
      <w:ind w:left="794" w:hanging="397"/>
    </w:pPr>
    <w:rPr>
      <w:rFonts w:cs="Arial"/>
      <w:sz w:val="30"/>
      <w:szCs w:val="20"/>
    </w:rPr>
  </w:style>
  <w:style w:type="character" w:customStyle="1" w:styleId="Heading4AddendumsChar">
    <w:name w:val="Heading 4 Addendums Char"/>
    <w:link w:val="Heading4Addendums"/>
    <w:uiPriority w:val="99"/>
    <w:locked/>
    <w:rsid w:val="006832EE"/>
    <w:rPr>
      <w:rFonts w:ascii="Arial" w:eastAsia="MS Mincho" w:hAnsi="Arial" w:cs="Arial"/>
      <w:bCs/>
      <w:color w:val="53565A"/>
      <w:sz w:val="30"/>
      <w:lang w:eastAsia="en-US"/>
    </w:rPr>
  </w:style>
  <w:style w:type="numbering" w:customStyle="1" w:styleId="ZZBoxbullets">
    <w:name w:val="ZZ Box bullets"/>
    <w:basedOn w:val="NoList"/>
    <w:uiPriority w:val="99"/>
    <w:rsid w:val="006832EE"/>
    <w:pPr>
      <w:numPr>
        <w:numId w:val="13"/>
      </w:numPr>
    </w:pPr>
  </w:style>
  <w:style w:type="numbering" w:customStyle="1" w:styleId="ZZTablenoteroman">
    <w:name w:val="ZZ Table note roman"/>
    <w:basedOn w:val="NoList"/>
    <w:rsid w:val="006832EE"/>
    <w:pPr>
      <w:numPr>
        <w:numId w:val="43"/>
      </w:numPr>
    </w:pPr>
  </w:style>
  <w:style w:type="paragraph" w:customStyle="1" w:styleId="Boxtext">
    <w:name w:val="Box text"/>
    <w:link w:val="BoxtextChar"/>
    <w:qFormat/>
    <w:rsid w:val="000B27B9"/>
    <w:pPr>
      <w:tabs>
        <w:tab w:val="left" w:pos="340"/>
        <w:tab w:val="left" w:pos="680"/>
        <w:tab w:val="left" w:pos="1021"/>
        <w:tab w:val="left" w:pos="1361"/>
        <w:tab w:val="left" w:pos="1701"/>
      </w:tabs>
      <w:spacing w:after="80" w:line="220" w:lineRule="atLeast"/>
    </w:pPr>
    <w:rPr>
      <w:rFonts w:ascii="Arial" w:eastAsia="MS Mincho" w:hAnsi="Arial"/>
      <w:sz w:val="18"/>
      <w:szCs w:val="24"/>
      <w:lang w:eastAsia="en-US"/>
    </w:rPr>
  </w:style>
  <w:style w:type="character" w:customStyle="1" w:styleId="BoxtextChar">
    <w:name w:val="Box text Char"/>
    <w:link w:val="Boxtext"/>
    <w:rsid w:val="000B27B9"/>
    <w:rPr>
      <w:rFonts w:ascii="Arial" w:eastAsia="MS Mincho" w:hAnsi="Arial"/>
      <w:sz w:val="18"/>
      <w:szCs w:val="24"/>
      <w:lang w:eastAsia="en-US"/>
    </w:rPr>
  </w:style>
  <w:style w:type="paragraph" w:customStyle="1" w:styleId="Boxcaption">
    <w:name w:val="Box caption"/>
    <w:basedOn w:val="Normal"/>
    <w:next w:val="Normal"/>
    <w:link w:val="BoxcaptionChar"/>
    <w:uiPriority w:val="1"/>
    <w:rsid w:val="009C3286"/>
    <w:pPr>
      <w:keepNext/>
      <w:keepLines/>
      <w:spacing w:before="240" w:line="240" w:lineRule="atLeast"/>
    </w:pPr>
    <w:rPr>
      <w:rFonts w:eastAsia="MS Mincho"/>
      <w:b/>
      <w:sz w:val="20"/>
      <w:lang w:eastAsia="en-AU"/>
    </w:rPr>
  </w:style>
  <w:style w:type="character" w:customStyle="1" w:styleId="BoxcaptionChar">
    <w:name w:val="Box caption Char"/>
    <w:link w:val="Boxcaption"/>
    <w:uiPriority w:val="1"/>
    <w:locked/>
    <w:rsid w:val="000B27B9"/>
    <w:rPr>
      <w:rFonts w:ascii="Arial" w:eastAsia="MS Mincho" w:hAnsi="Arial"/>
      <w:b/>
    </w:rPr>
  </w:style>
  <w:style w:type="paragraph" w:customStyle="1" w:styleId="Boxnumberroman">
    <w:name w:val="Box number roman"/>
    <w:basedOn w:val="Boxtext"/>
    <w:uiPriority w:val="14"/>
    <w:qFormat/>
    <w:rsid w:val="006832EE"/>
    <w:pPr>
      <w:numPr>
        <w:numId w:val="14"/>
      </w:numPr>
      <w:tabs>
        <w:tab w:val="clear" w:pos="340"/>
        <w:tab w:val="clear" w:pos="680"/>
        <w:tab w:val="left" w:pos="397"/>
      </w:tabs>
    </w:pPr>
  </w:style>
  <w:style w:type="paragraph" w:customStyle="1" w:styleId="Tablecolhead8pt">
    <w:name w:val="Table col head 8pt"/>
    <w:basedOn w:val="Tablecolhead9pt"/>
    <w:uiPriority w:val="98"/>
    <w:qFormat/>
    <w:rsid w:val="000B27B9"/>
    <w:rPr>
      <w:sz w:val="16"/>
      <w:szCs w:val="16"/>
    </w:rPr>
  </w:style>
  <w:style w:type="paragraph" w:customStyle="1" w:styleId="Tablesubheadrownavy8pt">
    <w:name w:val="Table subhead row navy 8pt"/>
    <w:basedOn w:val="Tablecolhead9pt"/>
    <w:uiPriority w:val="98"/>
    <w:qFormat/>
    <w:rsid w:val="00555153"/>
    <w:pPr>
      <w:keepNext/>
    </w:pPr>
    <w:rPr>
      <w:rFonts w:eastAsiaTheme="minorHAnsi" w:cstheme="minorBidi"/>
      <w:color w:val="201547"/>
      <w:sz w:val="16"/>
      <w:szCs w:val="16"/>
      <w:lang w:eastAsia="en-AU"/>
    </w:rPr>
  </w:style>
  <w:style w:type="paragraph" w:customStyle="1" w:styleId="ColorfulShading-Accent12">
    <w:name w:val="Colorful Shading - Accent 12"/>
    <w:hidden/>
    <w:uiPriority w:val="71"/>
    <w:rsid w:val="000B27B9"/>
    <w:rPr>
      <w:rFonts w:ascii="Cambria" w:hAnsi="Cambria"/>
      <w:lang w:eastAsia="en-US"/>
    </w:rPr>
  </w:style>
  <w:style w:type="paragraph" w:customStyle="1" w:styleId="ColorfulShading-Accent111">
    <w:name w:val="Colorful Shading - Accent 111"/>
    <w:hidden/>
    <w:uiPriority w:val="99"/>
    <w:rsid w:val="000B27B9"/>
    <w:rPr>
      <w:rFonts w:ascii="Cambria" w:hAnsi="Cambria"/>
      <w:lang w:eastAsia="en-US"/>
    </w:rPr>
  </w:style>
  <w:style w:type="table" w:customStyle="1" w:styleId="AppendicesBox">
    <w:name w:val="Appendices Box"/>
    <w:basedOn w:val="TableNormal"/>
    <w:uiPriority w:val="99"/>
    <w:rsid w:val="000B2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284" w:type="dxa"/>
        <w:bottom w:w="284" w:type="dxa"/>
        <w:right w:w="284" w:type="dxa"/>
      </w:tblCellMar>
    </w:tblPr>
  </w:style>
  <w:style w:type="character" w:styleId="PlaceholderText">
    <w:name w:val="Placeholder Text"/>
    <w:basedOn w:val="DefaultParagraphFont"/>
    <w:uiPriority w:val="98"/>
    <w:semiHidden/>
    <w:rsid w:val="000B27B9"/>
    <w:rPr>
      <w:color w:val="808080"/>
    </w:rPr>
  </w:style>
  <w:style w:type="paragraph" w:customStyle="1" w:styleId="LightGrid-Accent31">
    <w:name w:val="Light Grid - Accent 31"/>
    <w:basedOn w:val="Normal"/>
    <w:uiPriority w:val="72"/>
    <w:semiHidden/>
    <w:qFormat/>
    <w:rsid w:val="000B27B9"/>
    <w:pPr>
      <w:spacing w:after="0" w:line="240" w:lineRule="auto"/>
      <w:ind w:left="720"/>
    </w:pPr>
    <w:rPr>
      <w:rFonts w:ascii="Cambria" w:hAnsi="Cambria"/>
      <w:sz w:val="20"/>
    </w:rPr>
  </w:style>
  <w:style w:type="paragraph" w:customStyle="1" w:styleId="Footerleft">
    <w:name w:val="Footer left"/>
    <w:basedOn w:val="Footer"/>
    <w:uiPriority w:val="98"/>
    <w:qFormat/>
    <w:rsid w:val="000B27B9"/>
    <w:pPr>
      <w:tabs>
        <w:tab w:val="left" w:pos="1134"/>
        <w:tab w:val="right" w:pos="9299"/>
      </w:tabs>
      <w:spacing w:before="0"/>
      <w:jc w:val="left"/>
    </w:pPr>
    <w:rPr>
      <w:sz w:val="18"/>
    </w:rPr>
  </w:style>
  <w:style w:type="table" w:customStyle="1" w:styleId="TableGrid11">
    <w:name w:val="Table Grid11"/>
    <w:basedOn w:val="TableNormal"/>
    <w:next w:val="TableGrid"/>
    <w:uiPriority w:val="59"/>
    <w:rsid w:val="000B27B9"/>
    <w:rPr>
      <w:rFonts w:ascii="Calibri" w:eastAsia="Calibri" w:hAnsi="Calibri"/>
      <w:sz w:val="22"/>
      <w:szCs w:val="22"/>
      <w:lang w:eastAsia="en-US"/>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tblPr/>
      <w:tcPr>
        <w:shd w:val="clear" w:color="auto" w:fill="201547"/>
        <w:vAlign w:val="bottom"/>
      </w:tcPr>
    </w:tblStylePr>
  </w:style>
  <w:style w:type="numbering" w:customStyle="1" w:styleId="ZZNumberedheadingsaddendums">
    <w:name w:val="ZZ Numbered headings addendums"/>
    <w:basedOn w:val="NoList"/>
    <w:uiPriority w:val="99"/>
    <w:rsid w:val="006832EE"/>
    <w:pPr>
      <w:numPr>
        <w:numId w:val="20"/>
      </w:numPr>
    </w:pPr>
  </w:style>
  <w:style w:type="paragraph" w:customStyle="1" w:styleId="Heading2nonumber">
    <w:name w:val="Heading 2 no number"/>
    <w:next w:val="Normal"/>
    <w:rsid w:val="00B05F25"/>
    <w:pPr>
      <w:keepNext/>
      <w:keepLines/>
      <w:suppressAutoHyphens/>
      <w:spacing w:before="360" w:after="120" w:line="340" w:lineRule="atLeast"/>
      <w:outlineLvl w:val="1"/>
    </w:pPr>
    <w:rPr>
      <w:rFonts w:ascii="Arial" w:hAnsi="Arial" w:cs="Arial"/>
      <w:b/>
      <w:color w:val="53565A"/>
      <w:sz w:val="32"/>
      <w:szCs w:val="28"/>
      <w:lang w:eastAsia="en-US"/>
    </w:rPr>
  </w:style>
  <w:style w:type="paragraph" w:customStyle="1" w:styleId="Heading3nonumber">
    <w:name w:val="Heading 3 no number"/>
    <w:uiPriority w:val="98"/>
    <w:rsid w:val="00382CFB"/>
    <w:pPr>
      <w:keepNext/>
      <w:keepLines/>
      <w:spacing w:before="360" w:after="120" w:line="320" w:lineRule="atLeast"/>
      <w:outlineLvl w:val="2"/>
    </w:pPr>
    <w:rPr>
      <w:rFonts w:ascii="Arial" w:eastAsia="MS Mincho" w:hAnsi="Arial" w:cs="Arial"/>
      <w:bCs/>
      <w:color w:val="53565A"/>
      <w:sz w:val="28"/>
      <w:lang w:eastAsia="en-US"/>
    </w:rPr>
  </w:style>
  <w:style w:type="numbering" w:customStyle="1" w:styleId="ZZBoxnumbersroman">
    <w:name w:val="ZZ Box numbers roman"/>
    <w:basedOn w:val="NoList"/>
    <w:uiPriority w:val="99"/>
    <w:rsid w:val="006832EE"/>
    <w:pPr>
      <w:numPr>
        <w:numId w:val="15"/>
      </w:numPr>
    </w:pPr>
  </w:style>
  <w:style w:type="paragraph" w:customStyle="1" w:styleId="Bodynospace">
    <w:name w:val="Body no space"/>
    <w:basedOn w:val="Body"/>
    <w:uiPriority w:val="1"/>
    <w:rsid w:val="00DE520F"/>
    <w:pPr>
      <w:spacing w:after="0"/>
    </w:pPr>
  </w:style>
  <w:style w:type="character" w:styleId="Mention">
    <w:name w:val="Mention"/>
    <w:basedOn w:val="DefaultParagraphFont"/>
    <w:uiPriority w:val="99"/>
    <w:unhideWhenUsed/>
    <w:rsid w:val="004568FD"/>
    <w:rPr>
      <w:color w:val="2B579A"/>
      <w:shd w:val="clear" w:color="auto" w:fill="E1DFDD"/>
    </w:rPr>
  </w:style>
  <w:style w:type="paragraph" w:customStyle="1" w:styleId="xmsonormal">
    <w:name w:val="x_msonormal"/>
    <w:basedOn w:val="Normal"/>
    <w:uiPriority w:val="98"/>
    <w:rsid w:val="00E42B8E"/>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xnormaltextrun">
    <w:name w:val="x_normaltextrun"/>
    <w:basedOn w:val="DefaultParagraphFont"/>
    <w:rsid w:val="00E42B8E"/>
  </w:style>
  <w:style w:type="character" w:customStyle="1" w:styleId="xfindhit">
    <w:name w:val="x_findhit"/>
    <w:basedOn w:val="DefaultParagraphFont"/>
    <w:rsid w:val="00E42B8E"/>
  </w:style>
  <w:style w:type="character" w:customStyle="1" w:styleId="xeop">
    <w:name w:val="x_eop"/>
    <w:basedOn w:val="DefaultParagraphFont"/>
    <w:rsid w:val="00E42B8E"/>
  </w:style>
  <w:style w:type="paragraph" w:customStyle="1" w:styleId="xparagraph">
    <w:name w:val="x_paragraph"/>
    <w:basedOn w:val="Normal"/>
    <w:uiPriority w:val="98"/>
    <w:rsid w:val="00C35D61"/>
    <w:pPr>
      <w:spacing w:after="0" w:line="240" w:lineRule="auto"/>
    </w:pPr>
    <w:rPr>
      <w:rFonts w:ascii="Calibri" w:eastAsiaTheme="minorHAnsi" w:hAnsi="Calibri" w:cs="Calibri"/>
      <w:sz w:val="22"/>
      <w:szCs w:val="22"/>
      <w:lang w:eastAsia="en-AU"/>
    </w:rPr>
  </w:style>
  <w:style w:type="character" w:customStyle="1" w:styleId="xtextrun">
    <w:name w:val="x_textrun"/>
    <w:basedOn w:val="DefaultParagraphFont"/>
    <w:rsid w:val="0048052F"/>
  </w:style>
  <w:style w:type="paragraph" w:customStyle="1" w:styleId="DHHSbody">
    <w:name w:val="DHHS body"/>
    <w:link w:val="DHHSbodyChar"/>
    <w:qFormat/>
    <w:rsid w:val="005D703B"/>
    <w:pPr>
      <w:spacing w:after="120" w:line="270" w:lineRule="atLeast"/>
    </w:pPr>
    <w:rPr>
      <w:rFonts w:ascii="Arial" w:eastAsia="Times" w:hAnsi="Arial"/>
      <w:lang w:eastAsia="en-US"/>
    </w:rPr>
  </w:style>
  <w:style w:type="character" w:customStyle="1" w:styleId="DHHSbodyChar">
    <w:name w:val="DHHS body Char"/>
    <w:link w:val="DHHSbody"/>
    <w:locked/>
    <w:rsid w:val="005D703B"/>
    <w:rPr>
      <w:rFonts w:ascii="Arial" w:eastAsia="Times" w:hAnsi="Arial"/>
      <w:lang w:eastAsia="en-US"/>
    </w:rPr>
  </w:style>
  <w:style w:type="paragraph" w:customStyle="1" w:styleId="Heading4nonumber">
    <w:name w:val="Heading 4 no number"/>
    <w:basedOn w:val="Heading5"/>
    <w:uiPriority w:val="11"/>
    <w:rsid w:val="00296999"/>
    <w:pPr>
      <w:outlineLvl w:val="3"/>
    </w:pPr>
  </w:style>
  <w:style w:type="paragraph" w:customStyle="1" w:styleId="NOTOCHeading2">
    <w:name w:val="NO TOC Heading 2"/>
    <w:basedOn w:val="Heading2nonumber"/>
    <w:uiPriority w:val="11"/>
    <w:rsid w:val="007D64B5"/>
  </w:style>
  <w:style w:type="paragraph" w:customStyle="1" w:styleId="NOTOCHeading3">
    <w:name w:val="NO TOC Heading 3"/>
    <w:basedOn w:val="Heading3nonumber"/>
    <w:uiPriority w:val="11"/>
    <w:rsid w:val="007D64B5"/>
  </w:style>
  <w:style w:type="paragraph" w:customStyle="1" w:styleId="DHHSbodyafterbullets">
    <w:name w:val="DHHS body after bullets"/>
    <w:basedOn w:val="DHHSbody"/>
    <w:uiPriority w:val="98"/>
    <w:qFormat/>
    <w:rsid w:val="00115126"/>
    <w:pPr>
      <w:spacing w:before="120"/>
    </w:pPr>
  </w:style>
  <w:style w:type="paragraph" w:customStyle="1" w:styleId="DHHSbullet1">
    <w:name w:val="DHHS bullet 1"/>
    <w:basedOn w:val="DHHSbody"/>
    <w:link w:val="DHHSbullet1Char"/>
    <w:uiPriority w:val="99"/>
    <w:qFormat/>
    <w:rsid w:val="00A1506E"/>
    <w:pPr>
      <w:spacing w:after="40"/>
      <w:ind w:left="284" w:hanging="284"/>
    </w:pPr>
  </w:style>
  <w:style w:type="paragraph" w:customStyle="1" w:styleId="DHHSbullet2">
    <w:name w:val="DHHS bullet 2"/>
    <w:basedOn w:val="DHHSbody"/>
    <w:uiPriority w:val="2"/>
    <w:qFormat/>
    <w:rsid w:val="00A1506E"/>
    <w:pPr>
      <w:spacing w:after="40"/>
      <w:ind w:left="567" w:hanging="283"/>
    </w:pPr>
  </w:style>
  <w:style w:type="character" w:customStyle="1" w:styleId="DHHSbullet1Char">
    <w:name w:val="DHHS bullet 1 Char"/>
    <w:link w:val="DHHSbullet1"/>
    <w:uiPriority w:val="99"/>
    <w:rsid w:val="00A1506E"/>
    <w:rPr>
      <w:rFonts w:ascii="Arial" w:eastAsia="Times" w:hAnsi="Arial"/>
      <w:lang w:eastAsia="en-US"/>
    </w:rPr>
  </w:style>
  <w:style w:type="paragraph" w:customStyle="1" w:styleId="DHHStabletext">
    <w:name w:val="DHHS table text"/>
    <w:uiPriority w:val="3"/>
    <w:qFormat/>
    <w:rsid w:val="000D02B0"/>
    <w:pPr>
      <w:spacing w:before="80" w:after="60"/>
    </w:pPr>
    <w:rPr>
      <w:rFonts w:ascii="Arial" w:hAnsi="Arial"/>
      <w:sz w:val="18"/>
      <w:lang w:eastAsia="en-US"/>
    </w:rPr>
  </w:style>
  <w:style w:type="character" w:customStyle="1" w:styleId="normaltextrun">
    <w:name w:val="normaltextrun"/>
    <w:basedOn w:val="DefaultParagraphFont"/>
    <w:rsid w:val="007914BD"/>
  </w:style>
  <w:style w:type="paragraph" w:customStyle="1" w:styleId="sub">
    <w:name w:val="sub"/>
    <w:basedOn w:val="Body"/>
    <w:uiPriority w:val="11"/>
    <w:rsid w:val="00D47072"/>
    <w:pPr>
      <w:keepNext/>
      <w:spacing w:before="240"/>
    </w:pPr>
    <w:rPr>
      <w:rFonts w:eastAsia="MS Mincho"/>
      <w:b/>
      <w:bCs/>
      <w:iCs/>
      <w:color w:val="53565A"/>
      <w:sz w:val="24"/>
      <w:szCs w:val="26"/>
    </w:rPr>
  </w:style>
  <w:style w:type="paragraph" w:customStyle="1" w:styleId="paragraph">
    <w:name w:val="paragraph"/>
    <w:basedOn w:val="Normal"/>
    <w:rsid w:val="005B4D83"/>
    <w:pPr>
      <w:spacing w:before="100" w:beforeAutospacing="1" w:after="100" w:afterAutospacing="1" w:line="240" w:lineRule="auto"/>
    </w:pPr>
    <w:rPr>
      <w:rFonts w:ascii="Times New Roman" w:hAnsi="Times New Roman"/>
      <w:sz w:val="24"/>
      <w:szCs w:val="24"/>
      <w:lang w:eastAsia="en-AU"/>
    </w:rPr>
  </w:style>
  <w:style w:type="paragraph" w:customStyle="1" w:styleId="Imprint">
    <w:name w:val="Imprint"/>
    <w:basedOn w:val="Normal"/>
    <w:uiPriority w:val="11"/>
    <w:rsid w:val="0035453F"/>
    <w:pPr>
      <w:spacing w:after="60" w:line="270" w:lineRule="atLeast"/>
    </w:pPr>
    <w:rPr>
      <w:rFonts w:eastAsia="Times"/>
      <w:color w:val="000000"/>
      <w:sz w:val="20"/>
    </w:rPr>
  </w:style>
  <w:style w:type="paragraph" w:customStyle="1" w:styleId="PFGPart">
    <w:name w:val="PFG Part"/>
    <w:basedOn w:val="Heading1PartOpener"/>
    <w:uiPriority w:val="11"/>
    <w:rsid w:val="0035453F"/>
  </w:style>
  <w:style w:type="character" w:customStyle="1" w:styleId="eop">
    <w:name w:val="eop"/>
    <w:basedOn w:val="DefaultParagraphFont"/>
    <w:rsid w:val="00EB25DC"/>
  </w:style>
  <w:style w:type="character" w:styleId="SmartLink">
    <w:name w:val="Smart Link"/>
    <w:basedOn w:val="DefaultParagraphFont"/>
    <w:uiPriority w:val="99"/>
    <w:semiHidden/>
    <w:unhideWhenUsed/>
    <w:rsid w:val="008152C3"/>
    <w:rPr>
      <w:color w:val="0000FF"/>
      <w:u w:val="single"/>
      <w:shd w:val="clear" w:color="auto" w:fill="F3F2F1"/>
    </w:rPr>
  </w:style>
  <w:style w:type="paragraph" w:customStyle="1" w:styleId="DHHSfooter">
    <w:name w:val="DHHS footer"/>
    <w:qFormat/>
    <w:rsid w:val="00D00A67"/>
    <w:pPr>
      <w:tabs>
        <w:tab w:val="right" w:pos="9299"/>
      </w:tabs>
    </w:pPr>
    <w:rPr>
      <w:rFonts w:ascii="Arial" w:hAnsi="Arial" w:cs="Arial"/>
      <w:sz w:val="18"/>
      <w:szCs w:val="18"/>
      <w:lang w:eastAsia="en-US"/>
    </w:rPr>
  </w:style>
  <w:style w:type="paragraph" w:customStyle="1" w:styleId="DHHSheaderright">
    <w:name w:val="DHHS header right"/>
    <w:basedOn w:val="Normal"/>
    <w:rsid w:val="00D00A67"/>
    <w:pPr>
      <w:tabs>
        <w:tab w:val="right" w:pos="9299"/>
      </w:tabs>
      <w:spacing w:after="0" w:line="240" w:lineRule="auto"/>
      <w:jc w:val="right"/>
    </w:pPr>
    <w:rPr>
      <w:sz w:val="18"/>
      <w:szCs w:val="18"/>
    </w:rPr>
  </w:style>
  <w:style w:type="paragraph" w:customStyle="1" w:styleId="msonormal0">
    <w:name w:val="msonormal"/>
    <w:basedOn w:val="Normal"/>
    <w:rsid w:val="0077295B"/>
    <w:pPr>
      <w:spacing w:before="100" w:beforeAutospacing="1" w:after="100" w:afterAutospacing="1" w:line="240" w:lineRule="auto"/>
    </w:pPr>
    <w:rPr>
      <w:rFonts w:ascii="Times New Roman" w:hAnsi="Times New Roman"/>
      <w:sz w:val="24"/>
      <w:szCs w:val="24"/>
      <w:lang w:eastAsia="en-AU"/>
    </w:rPr>
  </w:style>
  <w:style w:type="paragraph" w:customStyle="1" w:styleId="Introtext">
    <w:name w:val="Intro text"/>
    <w:basedOn w:val="Body"/>
    <w:uiPriority w:val="11"/>
    <w:semiHidden/>
    <w:rsid w:val="0077295B"/>
    <w:pPr>
      <w:spacing w:line="320" w:lineRule="atLeast"/>
    </w:pPr>
    <w:rPr>
      <w:color w:val="201547"/>
      <w:sz w:val="24"/>
    </w:rPr>
  </w:style>
  <w:style w:type="paragraph" w:customStyle="1" w:styleId="Tabletext6pt">
    <w:name w:val="Table text + 6pt"/>
    <w:basedOn w:val="Tabletext"/>
    <w:uiPriority w:val="98"/>
    <w:semiHidden/>
    <w:rsid w:val="0077295B"/>
    <w:pPr>
      <w:spacing w:after="120"/>
    </w:pPr>
  </w:style>
  <w:style w:type="numbering" w:customStyle="1" w:styleId="ZZTablebullets">
    <w:name w:val="ZZ Table bullets"/>
    <w:rsid w:val="0077295B"/>
    <w:pPr>
      <w:numPr>
        <w:numId w:val="31"/>
      </w:numPr>
    </w:pPr>
  </w:style>
  <w:style w:type="numbering" w:customStyle="1" w:styleId="CurrentList1">
    <w:name w:val="Current List1"/>
    <w:uiPriority w:val="99"/>
    <w:rsid w:val="0077295B"/>
    <w:pPr>
      <w:numPr>
        <w:numId w:val="32"/>
      </w:numPr>
    </w:pPr>
  </w:style>
  <w:style w:type="paragraph" w:customStyle="1" w:styleId="DHHSaccessibilitypara">
    <w:name w:val="DHHS accessibility para"/>
    <w:uiPriority w:val="8"/>
    <w:rsid w:val="00741904"/>
    <w:pPr>
      <w:spacing w:after="300" w:line="300" w:lineRule="atLeast"/>
    </w:pPr>
    <w:rPr>
      <w:rFonts w:ascii="Arial" w:eastAsia="Times" w:hAnsi="Arial"/>
      <w:sz w:val="24"/>
      <w:szCs w:val="19"/>
      <w:lang w:eastAsia="en-US"/>
    </w:rPr>
  </w:style>
  <w:style w:type="paragraph" w:customStyle="1" w:styleId="xl65">
    <w:name w:val="xl65"/>
    <w:basedOn w:val="Normal"/>
    <w:rsid w:val="008776E3"/>
    <w:pPr>
      <w:spacing w:before="100" w:beforeAutospacing="1" w:after="100" w:afterAutospacing="1" w:line="240" w:lineRule="auto"/>
    </w:pPr>
    <w:rPr>
      <w:rFonts w:ascii="Times New Roman" w:hAnsi="Times New Roman"/>
      <w:sz w:val="24"/>
      <w:szCs w:val="24"/>
      <w:lang w:eastAsia="en-AU"/>
    </w:rPr>
  </w:style>
  <w:style w:type="paragraph" w:customStyle="1" w:styleId="xl66">
    <w:name w:val="xl66"/>
    <w:basedOn w:val="Normal"/>
    <w:rsid w:val="008776E3"/>
    <w:pPr>
      <w:pBdr>
        <w:top w:val="single" w:sz="4" w:space="0" w:color="auto"/>
        <w:left w:val="single" w:sz="4" w:space="0" w:color="auto"/>
        <w:bottom w:val="single" w:sz="4" w:space="0" w:color="auto"/>
        <w:right w:val="single" w:sz="4" w:space="0" w:color="auto"/>
      </w:pBdr>
      <w:shd w:val="clear" w:color="000000" w:fill="201547"/>
      <w:spacing w:before="100" w:beforeAutospacing="1" w:after="100" w:afterAutospacing="1" w:line="240" w:lineRule="auto"/>
    </w:pPr>
    <w:rPr>
      <w:rFonts w:cs="Arial"/>
      <w:b/>
      <w:bCs/>
      <w:color w:val="FFFFFF"/>
      <w:sz w:val="16"/>
      <w:szCs w:val="16"/>
      <w:lang w:eastAsia="en-AU"/>
    </w:rPr>
  </w:style>
  <w:style w:type="paragraph" w:customStyle="1" w:styleId="xl67">
    <w:name w:val="xl67"/>
    <w:basedOn w:val="Normal"/>
    <w:rsid w:val="00877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6"/>
      <w:szCs w:val="16"/>
      <w:lang w:eastAsia="en-AU"/>
    </w:rPr>
  </w:style>
  <w:style w:type="paragraph" w:customStyle="1" w:styleId="xl68">
    <w:name w:val="xl68"/>
    <w:basedOn w:val="Normal"/>
    <w:rsid w:val="00877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6"/>
      <w:szCs w:val="16"/>
      <w:lang w:eastAsia="en-AU"/>
    </w:rPr>
  </w:style>
  <w:style w:type="paragraph" w:customStyle="1" w:styleId="xl69">
    <w:name w:val="xl69"/>
    <w:basedOn w:val="Normal"/>
    <w:rsid w:val="008776E3"/>
    <w:pPr>
      <w:pBdr>
        <w:top w:val="single" w:sz="4" w:space="0" w:color="auto"/>
        <w:left w:val="single" w:sz="4" w:space="0" w:color="auto"/>
        <w:bottom w:val="single" w:sz="4" w:space="0" w:color="auto"/>
        <w:right w:val="single" w:sz="4" w:space="0" w:color="auto"/>
      </w:pBdr>
      <w:shd w:val="clear" w:color="000000" w:fill="201547"/>
      <w:spacing w:before="100" w:beforeAutospacing="1" w:after="100" w:afterAutospacing="1" w:line="240" w:lineRule="auto"/>
    </w:pPr>
    <w:rPr>
      <w:rFonts w:cs="Arial"/>
      <w:b/>
      <w:bCs/>
      <w:color w:val="FFFFFF"/>
      <w:sz w:val="16"/>
      <w:szCs w:val="16"/>
      <w:lang w:eastAsia="en-AU"/>
    </w:rPr>
  </w:style>
  <w:style w:type="paragraph" w:customStyle="1" w:styleId="xl71">
    <w:name w:val="xl71"/>
    <w:basedOn w:val="Normal"/>
    <w:rsid w:val="008776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cs="Arial"/>
      <w:sz w:val="16"/>
      <w:szCs w:val="16"/>
      <w:lang w:eastAsia="en-AU"/>
    </w:rPr>
  </w:style>
  <w:style w:type="paragraph" w:customStyle="1" w:styleId="xl72">
    <w:name w:val="xl72"/>
    <w:basedOn w:val="Normal"/>
    <w:rsid w:val="008776E3"/>
    <w:pPr>
      <w:pBdr>
        <w:top w:val="single" w:sz="4" w:space="0" w:color="auto"/>
        <w:left w:val="single" w:sz="4" w:space="0" w:color="auto"/>
        <w:bottom w:val="single" w:sz="4" w:space="0" w:color="auto"/>
        <w:right w:val="single" w:sz="4" w:space="0" w:color="auto"/>
      </w:pBdr>
      <w:shd w:val="clear" w:color="000000" w:fill="201547"/>
      <w:spacing w:before="100" w:beforeAutospacing="1" w:after="100" w:afterAutospacing="1" w:line="240" w:lineRule="auto"/>
    </w:pPr>
    <w:rPr>
      <w:rFonts w:cs="Arial"/>
      <w:b/>
      <w:bCs/>
      <w:color w:val="FFFFFF"/>
      <w:sz w:val="13"/>
      <w:szCs w:val="13"/>
      <w:lang w:eastAsia="en-AU"/>
    </w:rPr>
  </w:style>
  <w:style w:type="paragraph" w:customStyle="1" w:styleId="xl273">
    <w:name w:val="xl273"/>
    <w:basedOn w:val="Normal"/>
    <w:rsid w:val="007D2325"/>
    <w:pPr>
      <w:spacing w:before="100" w:beforeAutospacing="1" w:after="100" w:afterAutospacing="1" w:line="240" w:lineRule="auto"/>
    </w:pPr>
    <w:rPr>
      <w:rFonts w:ascii="Times New Roman" w:hAnsi="Times New Roman"/>
      <w:b/>
      <w:bCs/>
      <w:sz w:val="24"/>
      <w:szCs w:val="24"/>
      <w:lang w:eastAsia="en-AU"/>
    </w:rPr>
  </w:style>
  <w:style w:type="paragraph" w:customStyle="1" w:styleId="xl274">
    <w:name w:val="xl274"/>
    <w:basedOn w:val="Normal"/>
    <w:rsid w:val="007D232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cs="Arial"/>
      <w:sz w:val="16"/>
      <w:szCs w:val="16"/>
      <w:lang w:eastAsia="en-AU"/>
    </w:rPr>
  </w:style>
  <w:style w:type="paragraph" w:customStyle="1" w:styleId="xl275">
    <w:name w:val="xl275"/>
    <w:basedOn w:val="Normal"/>
    <w:rsid w:val="007D2325"/>
    <w:pPr>
      <w:pBdr>
        <w:left w:val="single" w:sz="8" w:space="0" w:color="auto"/>
        <w:bottom w:val="single" w:sz="8" w:space="0" w:color="auto"/>
        <w:right w:val="single" w:sz="8" w:space="0" w:color="auto"/>
      </w:pBdr>
      <w:shd w:val="clear" w:color="000000" w:fill="201547"/>
      <w:spacing w:before="100" w:beforeAutospacing="1" w:after="100" w:afterAutospacing="1" w:line="240" w:lineRule="auto"/>
      <w:textAlignment w:val="center"/>
    </w:pPr>
    <w:rPr>
      <w:rFonts w:cs="Arial"/>
      <w:b/>
      <w:bCs/>
      <w:color w:val="FFFFFF"/>
      <w:sz w:val="16"/>
      <w:szCs w:val="16"/>
      <w:lang w:eastAsia="en-AU"/>
    </w:rPr>
  </w:style>
  <w:style w:type="paragraph" w:customStyle="1" w:styleId="xl276">
    <w:name w:val="xl276"/>
    <w:basedOn w:val="Normal"/>
    <w:rsid w:val="007D232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cs="Arial"/>
      <w:sz w:val="16"/>
      <w:szCs w:val="16"/>
      <w:lang w:eastAsia="en-AU"/>
    </w:rPr>
  </w:style>
  <w:style w:type="paragraph" w:customStyle="1" w:styleId="xl277">
    <w:name w:val="xl277"/>
    <w:basedOn w:val="Normal"/>
    <w:rsid w:val="007D2325"/>
    <w:pPr>
      <w:pBdr>
        <w:left w:val="single" w:sz="8" w:space="0" w:color="auto"/>
        <w:bottom w:val="single" w:sz="8" w:space="0" w:color="auto"/>
        <w:right w:val="single" w:sz="8" w:space="0" w:color="auto"/>
      </w:pBdr>
      <w:shd w:val="clear" w:color="000000" w:fill="201547"/>
      <w:spacing w:before="100" w:beforeAutospacing="1" w:after="100" w:afterAutospacing="1" w:line="240" w:lineRule="auto"/>
      <w:textAlignment w:val="center"/>
    </w:pPr>
    <w:rPr>
      <w:rFonts w:cs="Arial"/>
      <w:b/>
      <w:bCs/>
      <w:color w:val="FFFFFF"/>
      <w:sz w:val="16"/>
      <w:szCs w:val="16"/>
      <w:lang w:eastAsia="en-AU"/>
    </w:rPr>
  </w:style>
  <w:style w:type="paragraph" w:customStyle="1" w:styleId="xl278">
    <w:name w:val="xl278"/>
    <w:basedOn w:val="Normal"/>
    <w:rsid w:val="007D2325"/>
    <w:pPr>
      <w:pBdr>
        <w:left w:val="single" w:sz="8" w:space="0" w:color="auto"/>
        <w:bottom w:val="single" w:sz="8" w:space="0" w:color="auto"/>
      </w:pBdr>
      <w:shd w:val="clear" w:color="000000" w:fill="201547"/>
      <w:spacing w:before="100" w:beforeAutospacing="1" w:after="100" w:afterAutospacing="1" w:line="240" w:lineRule="auto"/>
      <w:jc w:val="center"/>
      <w:textAlignment w:val="center"/>
    </w:pPr>
    <w:rPr>
      <w:rFonts w:cs="Arial"/>
      <w:b/>
      <w:bCs/>
      <w:color w:val="FFFFFF"/>
      <w:sz w:val="16"/>
      <w:szCs w:val="16"/>
      <w:lang w:eastAsia="en-AU"/>
    </w:rPr>
  </w:style>
  <w:style w:type="paragraph" w:customStyle="1" w:styleId="xl279">
    <w:name w:val="xl279"/>
    <w:basedOn w:val="Normal"/>
    <w:rsid w:val="007D2325"/>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en-AU"/>
    </w:rPr>
  </w:style>
  <w:style w:type="paragraph" w:customStyle="1" w:styleId="xl280">
    <w:name w:val="xl280"/>
    <w:basedOn w:val="Normal"/>
    <w:rsid w:val="007D232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en-AU"/>
    </w:rPr>
  </w:style>
  <w:style w:type="paragraph" w:customStyle="1" w:styleId="xl281">
    <w:name w:val="xl281"/>
    <w:basedOn w:val="Normal"/>
    <w:rsid w:val="007D2325"/>
    <w:pPr>
      <w:pBdr>
        <w:left w:val="single" w:sz="8" w:space="0" w:color="auto"/>
        <w:right w:val="single" w:sz="8" w:space="0" w:color="auto"/>
      </w:pBdr>
      <w:shd w:val="clear" w:color="000000" w:fill="201547"/>
      <w:spacing w:before="100" w:beforeAutospacing="1" w:after="100" w:afterAutospacing="1" w:line="240" w:lineRule="auto"/>
    </w:pPr>
    <w:rPr>
      <w:rFonts w:cs="Arial"/>
      <w:b/>
      <w:bCs/>
      <w:color w:val="FFFFFF"/>
      <w:sz w:val="16"/>
      <w:szCs w:val="16"/>
      <w:lang w:eastAsia="en-AU"/>
    </w:rPr>
  </w:style>
  <w:style w:type="paragraph" w:customStyle="1" w:styleId="xl282">
    <w:name w:val="xl282"/>
    <w:basedOn w:val="Normal"/>
    <w:rsid w:val="007D2325"/>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lang w:eastAsia="en-AU"/>
    </w:rPr>
  </w:style>
  <w:style w:type="paragraph" w:customStyle="1" w:styleId="xl283">
    <w:name w:val="xl283"/>
    <w:basedOn w:val="Normal"/>
    <w:rsid w:val="007D2325"/>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lang w:eastAsia="en-AU"/>
    </w:rPr>
  </w:style>
  <w:style w:type="paragraph" w:customStyle="1" w:styleId="BriefingPara">
    <w:name w:val="Briefing Para"/>
    <w:basedOn w:val="Normal"/>
    <w:qFormat/>
    <w:rsid w:val="00904187"/>
    <w:pPr>
      <w:numPr>
        <w:numId w:val="41"/>
      </w:numPr>
      <w:spacing w:line="240" w:lineRule="auto"/>
      <w:jc w:val="both"/>
    </w:pPr>
    <w:rPr>
      <w:rFonts w:eastAsia="Arial" w:cs="Arial"/>
      <w:color w:val="000000" w:themeColor="text1"/>
    </w:rPr>
  </w:style>
  <w:style w:type="paragraph" w:customStyle="1" w:styleId="Tablecolheadlandscape">
    <w:name w:val="Table col head landscape"/>
    <w:basedOn w:val="Tablecolhead"/>
    <w:uiPriority w:val="11"/>
    <w:rsid w:val="00DA050E"/>
    <w:rPr>
      <w:sz w:val="16"/>
      <w:szCs w:val="16"/>
    </w:rPr>
  </w:style>
  <w:style w:type="character" w:customStyle="1" w:styleId="ui-provider">
    <w:name w:val="ui-provider"/>
    <w:basedOn w:val="DefaultParagraphFont"/>
    <w:rsid w:val="00A01B28"/>
  </w:style>
  <w:style w:type="paragraph" w:customStyle="1" w:styleId="xl70">
    <w:name w:val="xl70"/>
    <w:basedOn w:val="Normal"/>
    <w:rsid w:val="00B469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b/>
      <w:bCs/>
      <w:sz w:val="15"/>
      <w:szCs w:val="15"/>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703">
      <w:bodyDiv w:val="1"/>
      <w:marLeft w:val="0"/>
      <w:marRight w:val="0"/>
      <w:marTop w:val="0"/>
      <w:marBottom w:val="0"/>
      <w:divBdr>
        <w:top w:val="none" w:sz="0" w:space="0" w:color="auto"/>
        <w:left w:val="none" w:sz="0" w:space="0" w:color="auto"/>
        <w:bottom w:val="none" w:sz="0" w:space="0" w:color="auto"/>
        <w:right w:val="none" w:sz="0" w:space="0" w:color="auto"/>
      </w:divBdr>
    </w:div>
    <w:div w:id="33581954">
      <w:bodyDiv w:val="1"/>
      <w:marLeft w:val="0"/>
      <w:marRight w:val="0"/>
      <w:marTop w:val="0"/>
      <w:marBottom w:val="0"/>
      <w:divBdr>
        <w:top w:val="none" w:sz="0" w:space="0" w:color="auto"/>
        <w:left w:val="none" w:sz="0" w:space="0" w:color="auto"/>
        <w:bottom w:val="none" w:sz="0" w:space="0" w:color="auto"/>
        <w:right w:val="none" w:sz="0" w:space="0" w:color="auto"/>
      </w:divBdr>
    </w:div>
    <w:div w:id="47844938">
      <w:bodyDiv w:val="1"/>
      <w:marLeft w:val="0"/>
      <w:marRight w:val="0"/>
      <w:marTop w:val="0"/>
      <w:marBottom w:val="0"/>
      <w:divBdr>
        <w:top w:val="none" w:sz="0" w:space="0" w:color="auto"/>
        <w:left w:val="none" w:sz="0" w:space="0" w:color="auto"/>
        <w:bottom w:val="none" w:sz="0" w:space="0" w:color="auto"/>
        <w:right w:val="none" w:sz="0" w:space="0" w:color="auto"/>
      </w:divBdr>
    </w:div>
    <w:div w:id="52195044">
      <w:bodyDiv w:val="1"/>
      <w:marLeft w:val="0"/>
      <w:marRight w:val="0"/>
      <w:marTop w:val="0"/>
      <w:marBottom w:val="0"/>
      <w:divBdr>
        <w:top w:val="none" w:sz="0" w:space="0" w:color="auto"/>
        <w:left w:val="none" w:sz="0" w:space="0" w:color="auto"/>
        <w:bottom w:val="none" w:sz="0" w:space="0" w:color="auto"/>
        <w:right w:val="none" w:sz="0" w:space="0" w:color="auto"/>
      </w:divBdr>
    </w:div>
    <w:div w:id="64190051">
      <w:bodyDiv w:val="1"/>
      <w:marLeft w:val="0"/>
      <w:marRight w:val="0"/>
      <w:marTop w:val="0"/>
      <w:marBottom w:val="0"/>
      <w:divBdr>
        <w:top w:val="none" w:sz="0" w:space="0" w:color="auto"/>
        <w:left w:val="none" w:sz="0" w:space="0" w:color="auto"/>
        <w:bottom w:val="none" w:sz="0" w:space="0" w:color="auto"/>
        <w:right w:val="none" w:sz="0" w:space="0" w:color="auto"/>
      </w:divBdr>
    </w:div>
    <w:div w:id="71585061">
      <w:bodyDiv w:val="1"/>
      <w:marLeft w:val="0"/>
      <w:marRight w:val="0"/>
      <w:marTop w:val="0"/>
      <w:marBottom w:val="0"/>
      <w:divBdr>
        <w:top w:val="none" w:sz="0" w:space="0" w:color="auto"/>
        <w:left w:val="none" w:sz="0" w:space="0" w:color="auto"/>
        <w:bottom w:val="none" w:sz="0" w:space="0" w:color="auto"/>
        <w:right w:val="none" w:sz="0" w:space="0" w:color="auto"/>
      </w:divBdr>
    </w:div>
    <w:div w:id="100030408">
      <w:bodyDiv w:val="1"/>
      <w:marLeft w:val="0"/>
      <w:marRight w:val="0"/>
      <w:marTop w:val="0"/>
      <w:marBottom w:val="0"/>
      <w:divBdr>
        <w:top w:val="none" w:sz="0" w:space="0" w:color="auto"/>
        <w:left w:val="none" w:sz="0" w:space="0" w:color="auto"/>
        <w:bottom w:val="none" w:sz="0" w:space="0" w:color="auto"/>
        <w:right w:val="none" w:sz="0" w:space="0" w:color="auto"/>
      </w:divBdr>
      <w:divsChild>
        <w:div w:id="368459983">
          <w:marLeft w:val="403"/>
          <w:marRight w:val="0"/>
          <w:marTop w:val="80"/>
          <w:marBottom w:val="80"/>
          <w:divBdr>
            <w:top w:val="none" w:sz="0" w:space="0" w:color="auto"/>
            <w:left w:val="none" w:sz="0" w:space="0" w:color="auto"/>
            <w:bottom w:val="none" w:sz="0" w:space="0" w:color="auto"/>
            <w:right w:val="none" w:sz="0" w:space="0" w:color="auto"/>
          </w:divBdr>
        </w:div>
        <w:div w:id="1297489319">
          <w:marLeft w:val="792"/>
          <w:marRight w:val="0"/>
          <w:marTop w:val="0"/>
          <w:marBottom w:val="80"/>
          <w:divBdr>
            <w:top w:val="none" w:sz="0" w:space="0" w:color="auto"/>
            <w:left w:val="none" w:sz="0" w:space="0" w:color="auto"/>
            <w:bottom w:val="none" w:sz="0" w:space="0" w:color="auto"/>
            <w:right w:val="none" w:sz="0" w:space="0" w:color="auto"/>
          </w:divBdr>
        </w:div>
        <w:div w:id="2030720636">
          <w:marLeft w:val="792"/>
          <w:marRight w:val="0"/>
          <w:marTop w:val="0"/>
          <w:marBottom w:val="80"/>
          <w:divBdr>
            <w:top w:val="none" w:sz="0" w:space="0" w:color="auto"/>
            <w:left w:val="none" w:sz="0" w:space="0" w:color="auto"/>
            <w:bottom w:val="none" w:sz="0" w:space="0" w:color="auto"/>
            <w:right w:val="none" w:sz="0" w:space="0" w:color="auto"/>
          </w:divBdr>
        </w:div>
        <w:div w:id="2054770864">
          <w:marLeft w:val="792"/>
          <w:marRight w:val="0"/>
          <w:marTop w:val="0"/>
          <w:marBottom w:val="80"/>
          <w:divBdr>
            <w:top w:val="none" w:sz="0" w:space="0" w:color="auto"/>
            <w:left w:val="none" w:sz="0" w:space="0" w:color="auto"/>
            <w:bottom w:val="none" w:sz="0" w:space="0" w:color="auto"/>
            <w:right w:val="none" w:sz="0" w:space="0" w:color="auto"/>
          </w:divBdr>
        </w:div>
        <w:div w:id="2066099471">
          <w:marLeft w:val="792"/>
          <w:marRight w:val="0"/>
          <w:marTop w:val="0"/>
          <w:marBottom w:val="80"/>
          <w:divBdr>
            <w:top w:val="none" w:sz="0" w:space="0" w:color="auto"/>
            <w:left w:val="none" w:sz="0" w:space="0" w:color="auto"/>
            <w:bottom w:val="none" w:sz="0" w:space="0" w:color="auto"/>
            <w:right w:val="none" w:sz="0" w:space="0" w:color="auto"/>
          </w:divBdr>
        </w:div>
        <w:div w:id="2069957785">
          <w:marLeft w:val="792"/>
          <w:marRight w:val="0"/>
          <w:marTop w:val="0"/>
          <w:marBottom w:val="80"/>
          <w:divBdr>
            <w:top w:val="none" w:sz="0" w:space="0" w:color="auto"/>
            <w:left w:val="none" w:sz="0" w:space="0" w:color="auto"/>
            <w:bottom w:val="none" w:sz="0" w:space="0" w:color="auto"/>
            <w:right w:val="none" w:sz="0" w:space="0" w:color="auto"/>
          </w:divBdr>
        </w:div>
        <w:div w:id="2075471461">
          <w:marLeft w:val="403"/>
          <w:marRight w:val="0"/>
          <w:marTop w:val="80"/>
          <w:marBottom w:val="80"/>
          <w:divBdr>
            <w:top w:val="none" w:sz="0" w:space="0" w:color="auto"/>
            <w:left w:val="none" w:sz="0" w:space="0" w:color="auto"/>
            <w:bottom w:val="none" w:sz="0" w:space="0" w:color="auto"/>
            <w:right w:val="none" w:sz="0" w:space="0" w:color="auto"/>
          </w:divBdr>
        </w:div>
      </w:divsChild>
    </w:div>
    <w:div w:id="118108650">
      <w:bodyDiv w:val="1"/>
      <w:marLeft w:val="0"/>
      <w:marRight w:val="0"/>
      <w:marTop w:val="0"/>
      <w:marBottom w:val="0"/>
      <w:divBdr>
        <w:top w:val="none" w:sz="0" w:space="0" w:color="auto"/>
        <w:left w:val="none" w:sz="0" w:space="0" w:color="auto"/>
        <w:bottom w:val="none" w:sz="0" w:space="0" w:color="auto"/>
        <w:right w:val="none" w:sz="0" w:space="0" w:color="auto"/>
      </w:divBdr>
    </w:div>
    <w:div w:id="122774738">
      <w:bodyDiv w:val="1"/>
      <w:marLeft w:val="0"/>
      <w:marRight w:val="0"/>
      <w:marTop w:val="0"/>
      <w:marBottom w:val="0"/>
      <w:divBdr>
        <w:top w:val="none" w:sz="0" w:space="0" w:color="auto"/>
        <w:left w:val="none" w:sz="0" w:space="0" w:color="auto"/>
        <w:bottom w:val="none" w:sz="0" w:space="0" w:color="auto"/>
        <w:right w:val="none" w:sz="0" w:space="0" w:color="auto"/>
      </w:divBdr>
    </w:div>
    <w:div w:id="130176913">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0343643">
      <w:bodyDiv w:val="1"/>
      <w:marLeft w:val="0"/>
      <w:marRight w:val="0"/>
      <w:marTop w:val="0"/>
      <w:marBottom w:val="0"/>
      <w:divBdr>
        <w:top w:val="none" w:sz="0" w:space="0" w:color="auto"/>
        <w:left w:val="none" w:sz="0" w:space="0" w:color="auto"/>
        <w:bottom w:val="none" w:sz="0" w:space="0" w:color="auto"/>
        <w:right w:val="none" w:sz="0" w:space="0" w:color="auto"/>
      </w:divBdr>
    </w:div>
    <w:div w:id="170415582">
      <w:bodyDiv w:val="1"/>
      <w:marLeft w:val="0"/>
      <w:marRight w:val="0"/>
      <w:marTop w:val="0"/>
      <w:marBottom w:val="0"/>
      <w:divBdr>
        <w:top w:val="none" w:sz="0" w:space="0" w:color="auto"/>
        <w:left w:val="none" w:sz="0" w:space="0" w:color="auto"/>
        <w:bottom w:val="none" w:sz="0" w:space="0" w:color="auto"/>
        <w:right w:val="none" w:sz="0" w:space="0" w:color="auto"/>
      </w:divBdr>
    </w:div>
    <w:div w:id="175122351">
      <w:bodyDiv w:val="1"/>
      <w:marLeft w:val="0"/>
      <w:marRight w:val="0"/>
      <w:marTop w:val="0"/>
      <w:marBottom w:val="0"/>
      <w:divBdr>
        <w:top w:val="none" w:sz="0" w:space="0" w:color="auto"/>
        <w:left w:val="none" w:sz="0" w:space="0" w:color="auto"/>
        <w:bottom w:val="none" w:sz="0" w:space="0" w:color="auto"/>
        <w:right w:val="none" w:sz="0" w:space="0" w:color="auto"/>
      </w:divBdr>
    </w:div>
    <w:div w:id="175727695">
      <w:bodyDiv w:val="1"/>
      <w:marLeft w:val="0"/>
      <w:marRight w:val="0"/>
      <w:marTop w:val="0"/>
      <w:marBottom w:val="0"/>
      <w:divBdr>
        <w:top w:val="none" w:sz="0" w:space="0" w:color="auto"/>
        <w:left w:val="none" w:sz="0" w:space="0" w:color="auto"/>
        <w:bottom w:val="none" w:sz="0" w:space="0" w:color="auto"/>
        <w:right w:val="none" w:sz="0" w:space="0" w:color="auto"/>
      </w:divBdr>
    </w:div>
    <w:div w:id="178786497">
      <w:bodyDiv w:val="1"/>
      <w:marLeft w:val="0"/>
      <w:marRight w:val="0"/>
      <w:marTop w:val="0"/>
      <w:marBottom w:val="0"/>
      <w:divBdr>
        <w:top w:val="none" w:sz="0" w:space="0" w:color="auto"/>
        <w:left w:val="none" w:sz="0" w:space="0" w:color="auto"/>
        <w:bottom w:val="none" w:sz="0" w:space="0" w:color="auto"/>
        <w:right w:val="none" w:sz="0" w:space="0" w:color="auto"/>
      </w:divBdr>
    </w:div>
    <w:div w:id="186023378">
      <w:bodyDiv w:val="1"/>
      <w:marLeft w:val="0"/>
      <w:marRight w:val="0"/>
      <w:marTop w:val="0"/>
      <w:marBottom w:val="0"/>
      <w:divBdr>
        <w:top w:val="none" w:sz="0" w:space="0" w:color="auto"/>
        <w:left w:val="none" w:sz="0" w:space="0" w:color="auto"/>
        <w:bottom w:val="none" w:sz="0" w:space="0" w:color="auto"/>
        <w:right w:val="none" w:sz="0" w:space="0" w:color="auto"/>
      </w:divBdr>
    </w:div>
    <w:div w:id="186794831">
      <w:bodyDiv w:val="1"/>
      <w:marLeft w:val="0"/>
      <w:marRight w:val="0"/>
      <w:marTop w:val="0"/>
      <w:marBottom w:val="0"/>
      <w:divBdr>
        <w:top w:val="none" w:sz="0" w:space="0" w:color="auto"/>
        <w:left w:val="none" w:sz="0" w:space="0" w:color="auto"/>
        <w:bottom w:val="none" w:sz="0" w:space="0" w:color="auto"/>
        <w:right w:val="none" w:sz="0" w:space="0" w:color="auto"/>
      </w:divBdr>
    </w:div>
    <w:div w:id="189804133">
      <w:bodyDiv w:val="1"/>
      <w:marLeft w:val="0"/>
      <w:marRight w:val="0"/>
      <w:marTop w:val="0"/>
      <w:marBottom w:val="0"/>
      <w:divBdr>
        <w:top w:val="none" w:sz="0" w:space="0" w:color="auto"/>
        <w:left w:val="none" w:sz="0" w:space="0" w:color="auto"/>
        <w:bottom w:val="none" w:sz="0" w:space="0" w:color="auto"/>
        <w:right w:val="none" w:sz="0" w:space="0" w:color="auto"/>
      </w:divBdr>
    </w:div>
    <w:div w:id="200747003">
      <w:bodyDiv w:val="1"/>
      <w:marLeft w:val="0"/>
      <w:marRight w:val="0"/>
      <w:marTop w:val="0"/>
      <w:marBottom w:val="0"/>
      <w:divBdr>
        <w:top w:val="none" w:sz="0" w:space="0" w:color="auto"/>
        <w:left w:val="none" w:sz="0" w:space="0" w:color="auto"/>
        <w:bottom w:val="none" w:sz="0" w:space="0" w:color="auto"/>
        <w:right w:val="none" w:sz="0" w:space="0" w:color="auto"/>
      </w:divBdr>
    </w:div>
    <w:div w:id="204609586">
      <w:bodyDiv w:val="1"/>
      <w:marLeft w:val="0"/>
      <w:marRight w:val="0"/>
      <w:marTop w:val="0"/>
      <w:marBottom w:val="0"/>
      <w:divBdr>
        <w:top w:val="none" w:sz="0" w:space="0" w:color="auto"/>
        <w:left w:val="none" w:sz="0" w:space="0" w:color="auto"/>
        <w:bottom w:val="none" w:sz="0" w:space="0" w:color="auto"/>
        <w:right w:val="none" w:sz="0" w:space="0" w:color="auto"/>
      </w:divBdr>
    </w:div>
    <w:div w:id="211230235">
      <w:bodyDiv w:val="1"/>
      <w:marLeft w:val="0"/>
      <w:marRight w:val="0"/>
      <w:marTop w:val="0"/>
      <w:marBottom w:val="0"/>
      <w:divBdr>
        <w:top w:val="none" w:sz="0" w:space="0" w:color="auto"/>
        <w:left w:val="none" w:sz="0" w:space="0" w:color="auto"/>
        <w:bottom w:val="none" w:sz="0" w:space="0" w:color="auto"/>
        <w:right w:val="none" w:sz="0" w:space="0" w:color="auto"/>
      </w:divBdr>
    </w:div>
    <w:div w:id="223565101">
      <w:bodyDiv w:val="1"/>
      <w:marLeft w:val="0"/>
      <w:marRight w:val="0"/>
      <w:marTop w:val="0"/>
      <w:marBottom w:val="0"/>
      <w:divBdr>
        <w:top w:val="none" w:sz="0" w:space="0" w:color="auto"/>
        <w:left w:val="none" w:sz="0" w:space="0" w:color="auto"/>
        <w:bottom w:val="none" w:sz="0" w:space="0" w:color="auto"/>
        <w:right w:val="none" w:sz="0" w:space="0" w:color="auto"/>
      </w:divBdr>
    </w:div>
    <w:div w:id="239800727">
      <w:bodyDiv w:val="1"/>
      <w:marLeft w:val="0"/>
      <w:marRight w:val="0"/>
      <w:marTop w:val="0"/>
      <w:marBottom w:val="0"/>
      <w:divBdr>
        <w:top w:val="none" w:sz="0" w:space="0" w:color="auto"/>
        <w:left w:val="none" w:sz="0" w:space="0" w:color="auto"/>
        <w:bottom w:val="none" w:sz="0" w:space="0" w:color="auto"/>
        <w:right w:val="none" w:sz="0" w:space="0" w:color="auto"/>
      </w:divBdr>
    </w:div>
    <w:div w:id="241331900">
      <w:bodyDiv w:val="1"/>
      <w:marLeft w:val="0"/>
      <w:marRight w:val="0"/>
      <w:marTop w:val="0"/>
      <w:marBottom w:val="0"/>
      <w:divBdr>
        <w:top w:val="none" w:sz="0" w:space="0" w:color="auto"/>
        <w:left w:val="none" w:sz="0" w:space="0" w:color="auto"/>
        <w:bottom w:val="none" w:sz="0" w:space="0" w:color="auto"/>
        <w:right w:val="none" w:sz="0" w:space="0" w:color="auto"/>
      </w:divBdr>
    </w:div>
    <w:div w:id="243340973">
      <w:bodyDiv w:val="1"/>
      <w:marLeft w:val="0"/>
      <w:marRight w:val="0"/>
      <w:marTop w:val="0"/>
      <w:marBottom w:val="0"/>
      <w:divBdr>
        <w:top w:val="none" w:sz="0" w:space="0" w:color="auto"/>
        <w:left w:val="none" w:sz="0" w:space="0" w:color="auto"/>
        <w:bottom w:val="none" w:sz="0" w:space="0" w:color="auto"/>
        <w:right w:val="none" w:sz="0" w:space="0" w:color="auto"/>
      </w:divBdr>
    </w:div>
    <w:div w:id="266425369">
      <w:bodyDiv w:val="1"/>
      <w:marLeft w:val="0"/>
      <w:marRight w:val="0"/>
      <w:marTop w:val="0"/>
      <w:marBottom w:val="0"/>
      <w:divBdr>
        <w:top w:val="none" w:sz="0" w:space="0" w:color="auto"/>
        <w:left w:val="none" w:sz="0" w:space="0" w:color="auto"/>
        <w:bottom w:val="none" w:sz="0" w:space="0" w:color="auto"/>
        <w:right w:val="none" w:sz="0" w:space="0" w:color="auto"/>
      </w:divBdr>
    </w:div>
    <w:div w:id="281503458">
      <w:bodyDiv w:val="1"/>
      <w:marLeft w:val="0"/>
      <w:marRight w:val="0"/>
      <w:marTop w:val="0"/>
      <w:marBottom w:val="0"/>
      <w:divBdr>
        <w:top w:val="none" w:sz="0" w:space="0" w:color="auto"/>
        <w:left w:val="none" w:sz="0" w:space="0" w:color="auto"/>
        <w:bottom w:val="none" w:sz="0" w:space="0" w:color="auto"/>
        <w:right w:val="none" w:sz="0" w:space="0" w:color="auto"/>
      </w:divBdr>
    </w:div>
    <w:div w:id="28524180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49651628">
      <w:bodyDiv w:val="1"/>
      <w:marLeft w:val="0"/>
      <w:marRight w:val="0"/>
      <w:marTop w:val="0"/>
      <w:marBottom w:val="0"/>
      <w:divBdr>
        <w:top w:val="none" w:sz="0" w:space="0" w:color="auto"/>
        <w:left w:val="none" w:sz="0" w:space="0" w:color="auto"/>
        <w:bottom w:val="none" w:sz="0" w:space="0" w:color="auto"/>
        <w:right w:val="none" w:sz="0" w:space="0" w:color="auto"/>
      </w:divBdr>
    </w:div>
    <w:div w:id="354811970">
      <w:bodyDiv w:val="1"/>
      <w:marLeft w:val="0"/>
      <w:marRight w:val="0"/>
      <w:marTop w:val="0"/>
      <w:marBottom w:val="0"/>
      <w:divBdr>
        <w:top w:val="none" w:sz="0" w:space="0" w:color="auto"/>
        <w:left w:val="none" w:sz="0" w:space="0" w:color="auto"/>
        <w:bottom w:val="none" w:sz="0" w:space="0" w:color="auto"/>
        <w:right w:val="none" w:sz="0" w:space="0" w:color="auto"/>
      </w:divBdr>
    </w:div>
    <w:div w:id="390930045">
      <w:bodyDiv w:val="1"/>
      <w:marLeft w:val="0"/>
      <w:marRight w:val="0"/>
      <w:marTop w:val="0"/>
      <w:marBottom w:val="0"/>
      <w:divBdr>
        <w:top w:val="none" w:sz="0" w:space="0" w:color="auto"/>
        <w:left w:val="none" w:sz="0" w:space="0" w:color="auto"/>
        <w:bottom w:val="none" w:sz="0" w:space="0" w:color="auto"/>
        <w:right w:val="none" w:sz="0" w:space="0" w:color="auto"/>
      </w:divBdr>
    </w:div>
    <w:div w:id="394817387">
      <w:bodyDiv w:val="1"/>
      <w:marLeft w:val="0"/>
      <w:marRight w:val="0"/>
      <w:marTop w:val="0"/>
      <w:marBottom w:val="0"/>
      <w:divBdr>
        <w:top w:val="none" w:sz="0" w:space="0" w:color="auto"/>
        <w:left w:val="none" w:sz="0" w:space="0" w:color="auto"/>
        <w:bottom w:val="none" w:sz="0" w:space="0" w:color="auto"/>
        <w:right w:val="none" w:sz="0" w:space="0" w:color="auto"/>
      </w:divBdr>
    </w:div>
    <w:div w:id="407122164">
      <w:bodyDiv w:val="1"/>
      <w:marLeft w:val="0"/>
      <w:marRight w:val="0"/>
      <w:marTop w:val="0"/>
      <w:marBottom w:val="0"/>
      <w:divBdr>
        <w:top w:val="none" w:sz="0" w:space="0" w:color="auto"/>
        <w:left w:val="none" w:sz="0" w:space="0" w:color="auto"/>
        <w:bottom w:val="none" w:sz="0" w:space="0" w:color="auto"/>
        <w:right w:val="none" w:sz="0" w:space="0" w:color="auto"/>
      </w:divBdr>
    </w:div>
    <w:div w:id="427887940">
      <w:bodyDiv w:val="1"/>
      <w:marLeft w:val="0"/>
      <w:marRight w:val="0"/>
      <w:marTop w:val="0"/>
      <w:marBottom w:val="0"/>
      <w:divBdr>
        <w:top w:val="none" w:sz="0" w:space="0" w:color="auto"/>
        <w:left w:val="none" w:sz="0" w:space="0" w:color="auto"/>
        <w:bottom w:val="none" w:sz="0" w:space="0" w:color="auto"/>
        <w:right w:val="none" w:sz="0" w:space="0" w:color="auto"/>
      </w:divBdr>
      <w:divsChild>
        <w:div w:id="1635214854">
          <w:marLeft w:val="792"/>
          <w:marRight w:val="0"/>
          <w:marTop w:val="0"/>
          <w:marBottom w:val="80"/>
          <w:divBdr>
            <w:top w:val="none" w:sz="0" w:space="0" w:color="auto"/>
            <w:left w:val="none" w:sz="0" w:space="0" w:color="auto"/>
            <w:bottom w:val="none" w:sz="0" w:space="0" w:color="auto"/>
            <w:right w:val="none" w:sz="0" w:space="0" w:color="auto"/>
          </w:divBdr>
        </w:div>
      </w:divsChild>
    </w:div>
    <w:div w:id="444232487">
      <w:bodyDiv w:val="1"/>
      <w:marLeft w:val="0"/>
      <w:marRight w:val="0"/>
      <w:marTop w:val="0"/>
      <w:marBottom w:val="0"/>
      <w:divBdr>
        <w:top w:val="none" w:sz="0" w:space="0" w:color="auto"/>
        <w:left w:val="none" w:sz="0" w:space="0" w:color="auto"/>
        <w:bottom w:val="none" w:sz="0" w:space="0" w:color="auto"/>
        <w:right w:val="none" w:sz="0" w:space="0" w:color="auto"/>
      </w:divBdr>
    </w:div>
    <w:div w:id="451486989">
      <w:bodyDiv w:val="1"/>
      <w:marLeft w:val="0"/>
      <w:marRight w:val="0"/>
      <w:marTop w:val="0"/>
      <w:marBottom w:val="0"/>
      <w:divBdr>
        <w:top w:val="none" w:sz="0" w:space="0" w:color="auto"/>
        <w:left w:val="none" w:sz="0" w:space="0" w:color="auto"/>
        <w:bottom w:val="none" w:sz="0" w:space="0" w:color="auto"/>
        <w:right w:val="none" w:sz="0" w:space="0" w:color="auto"/>
      </w:divBdr>
    </w:div>
    <w:div w:id="455954113">
      <w:bodyDiv w:val="1"/>
      <w:marLeft w:val="0"/>
      <w:marRight w:val="0"/>
      <w:marTop w:val="0"/>
      <w:marBottom w:val="0"/>
      <w:divBdr>
        <w:top w:val="none" w:sz="0" w:space="0" w:color="auto"/>
        <w:left w:val="none" w:sz="0" w:space="0" w:color="auto"/>
        <w:bottom w:val="none" w:sz="0" w:space="0" w:color="auto"/>
        <w:right w:val="none" w:sz="0" w:space="0" w:color="auto"/>
      </w:divBdr>
    </w:div>
    <w:div w:id="472985343">
      <w:bodyDiv w:val="1"/>
      <w:marLeft w:val="0"/>
      <w:marRight w:val="0"/>
      <w:marTop w:val="0"/>
      <w:marBottom w:val="0"/>
      <w:divBdr>
        <w:top w:val="none" w:sz="0" w:space="0" w:color="auto"/>
        <w:left w:val="none" w:sz="0" w:space="0" w:color="auto"/>
        <w:bottom w:val="none" w:sz="0" w:space="0" w:color="auto"/>
        <w:right w:val="none" w:sz="0" w:space="0" w:color="auto"/>
      </w:divBdr>
    </w:div>
    <w:div w:id="503786269">
      <w:bodyDiv w:val="1"/>
      <w:marLeft w:val="0"/>
      <w:marRight w:val="0"/>
      <w:marTop w:val="0"/>
      <w:marBottom w:val="0"/>
      <w:divBdr>
        <w:top w:val="none" w:sz="0" w:space="0" w:color="auto"/>
        <w:left w:val="none" w:sz="0" w:space="0" w:color="auto"/>
        <w:bottom w:val="none" w:sz="0" w:space="0" w:color="auto"/>
        <w:right w:val="none" w:sz="0" w:space="0" w:color="auto"/>
      </w:divBdr>
    </w:div>
    <w:div w:id="565921841">
      <w:bodyDiv w:val="1"/>
      <w:marLeft w:val="0"/>
      <w:marRight w:val="0"/>
      <w:marTop w:val="0"/>
      <w:marBottom w:val="0"/>
      <w:divBdr>
        <w:top w:val="none" w:sz="0" w:space="0" w:color="auto"/>
        <w:left w:val="none" w:sz="0" w:space="0" w:color="auto"/>
        <w:bottom w:val="none" w:sz="0" w:space="0" w:color="auto"/>
        <w:right w:val="none" w:sz="0" w:space="0" w:color="auto"/>
      </w:divBdr>
    </w:div>
    <w:div w:id="566771757">
      <w:bodyDiv w:val="1"/>
      <w:marLeft w:val="0"/>
      <w:marRight w:val="0"/>
      <w:marTop w:val="0"/>
      <w:marBottom w:val="0"/>
      <w:divBdr>
        <w:top w:val="none" w:sz="0" w:space="0" w:color="auto"/>
        <w:left w:val="none" w:sz="0" w:space="0" w:color="auto"/>
        <w:bottom w:val="none" w:sz="0" w:space="0" w:color="auto"/>
        <w:right w:val="none" w:sz="0" w:space="0" w:color="auto"/>
      </w:divBdr>
    </w:div>
    <w:div w:id="569585230">
      <w:bodyDiv w:val="1"/>
      <w:marLeft w:val="0"/>
      <w:marRight w:val="0"/>
      <w:marTop w:val="0"/>
      <w:marBottom w:val="0"/>
      <w:divBdr>
        <w:top w:val="none" w:sz="0" w:space="0" w:color="auto"/>
        <w:left w:val="none" w:sz="0" w:space="0" w:color="auto"/>
        <w:bottom w:val="none" w:sz="0" w:space="0" w:color="auto"/>
        <w:right w:val="none" w:sz="0" w:space="0" w:color="auto"/>
      </w:divBdr>
    </w:div>
    <w:div w:id="574390112">
      <w:bodyDiv w:val="1"/>
      <w:marLeft w:val="0"/>
      <w:marRight w:val="0"/>
      <w:marTop w:val="0"/>
      <w:marBottom w:val="0"/>
      <w:divBdr>
        <w:top w:val="none" w:sz="0" w:space="0" w:color="auto"/>
        <w:left w:val="none" w:sz="0" w:space="0" w:color="auto"/>
        <w:bottom w:val="none" w:sz="0" w:space="0" w:color="auto"/>
        <w:right w:val="none" w:sz="0" w:space="0" w:color="auto"/>
      </w:divBdr>
    </w:div>
    <w:div w:id="579215937">
      <w:bodyDiv w:val="1"/>
      <w:marLeft w:val="0"/>
      <w:marRight w:val="0"/>
      <w:marTop w:val="0"/>
      <w:marBottom w:val="0"/>
      <w:divBdr>
        <w:top w:val="none" w:sz="0" w:space="0" w:color="auto"/>
        <w:left w:val="none" w:sz="0" w:space="0" w:color="auto"/>
        <w:bottom w:val="none" w:sz="0" w:space="0" w:color="auto"/>
        <w:right w:val="none" w:sz="0" w:space="0" w:color="auto"/>
      </w:divBdr>
    </w:div>
    <w:div w:id="580212355">
      <w:bodyDiv w:val="1"/>
      <w:marLeft w:val="0"/>
      <w:marRight w:val="0"/>
      <w:marTop w:val="0"/>
      <w:marBottom w:val="0"/>
      <w:divBdr>
        <w:top w:val="none" w:sz="0" w:space="0" w:color="auto"/>
        <w:left w:val="none" w:sz="0" w:space="0" w:color="auto"/>
        <w:bottom w:val="none" w:sz="0" w:space="0" w:color="auto"/>
        <w:right w:val="none" w:sz="0" w:space="0" w:color="auto"/>
      </w:divBdr>
    </w:div>
    <w:div w:id="592517587">
      <w:bodyDiv w:val="1"/>
      <w:marLeft w:val="0"/>
      <w:marRight w:val="0"/>
      <w:marTop w:val="0"/>
      <w:marBottom w:val="0"/>
      <w:divBdr>
        <w:top w:val="none" w:sz="0" w:space="0" w:color="auto"/>
        <w:left w:val="none" w:sz="0" w:space="0" w:color="auto"/>
        <w:bottom w:val="none" w:sz="0" w:space="0" w:color="auto"/>
        <w:right w:val="none" w:sz="0" w:space="0" w:color="auto"/>
      </w:divBdr>
    </w:div>
    <w:div w:id="604456788">
      <w:bodyDiv w:val="1"/>
      <w:marLeft w:val="0"/>
      <w:marRight w:val="0"/>
      <w:marTop w:val="0"/>
      <w:marBottom w:val="0"/>
      <w:divBdr>
        <w:top w:val="none" w:sz="0" w:space="0" w:color="auto"/>
        <w:left w:val="none" w:sz="0" w:space="0" w:color="auto"/>
        <w:bottom w:val="none" w:sz="0" w:space="0" w:color="auto"/>
        <w:right w:val="none" w:sz="0" w:space="0" w:color="auto"/>
      </w:divBdr>
    </w:div>
    <w:div w:id="610555422">
      <w:bodyDiv w:val="1"/>
      <w:marLeft w:val="0"/>
      <w:marRight w:val="0"/>
      <w:marTop w:val="0"/>
      <w:marBottom w:val="0"/>
      <w:divBdr>
        <w:top w:val="none" w:sz="0" w:space="0" w:color="auto"/>
        <w:left w:val="none" w:sz="0" w:space="0" w:color="auto"/>
        <w:bottom w:val="none" w:sz="0" w:space="0" w:color="auto"/>
        <w:right w:val="none" w:sz="0" w:space="0" w:color="auto"/>
      </w:divBdr>
    </w:div>
    <w:div w:id="624897092">
      <w:bodyDiv w:val="1"/>
      <w:marLeft w:val="0"/>
      <w:marRight w:val="0"/>
      <w:marTop w:val="0"/>
      <w:marBottom w:val="0"/>
      <w:divBdr>
        <w:top w:val="none" w:sz="0" w:space="0" w:color="auto"/>
        <w:left w:val="none" w:sz="0" w:space="0" w:color="auto"/>
        <w:bottom w:val="none" w:sz="0" w:space="0" w:color="auto"/>
        <w:right w:val="none" w:sz="0" w:space="0" w:color="auto"/>
      </w:divBdr>
    </w:div>
    <w:div w:id="628366171">
      <w:bodyDiv w:val="1"/>
      <w:marLeft w:val="0"/>
      <w:marRight w:val="0"/>
      <w:marTop w:val="0"/>
      <w:marBottom w:val="0"/>
      <w:divBdr>
        <w:top w:val="none" w:sz="0" w:space="0" w:color="auto"/>
        <w:left w:val="none" w:sz="0" w:space="0" w:color="auto"/>
        <w:bottom w:val="none" w:sz="0" w:space="0" w:color="auto"/>
        <w:right w:val="none" w:sz="0" w:space="0" w:color="auto"/>
      </w:divBdr>
    </w:div>
    <w:div w:id="641690782">
      <w:bodyDiv w:val="1"/>
      <w:marLeft w:val="0"/>
      <w:marRight w:val="0"/>
      <w:marTop w:val="0"/>
      <w:marBottom w:val="0"/>
      <w:divBdr>
        <w:top w:val="none" w:sz="0" w:space="0" w:color="auto"/>
        <w:left w:val="none" w:sz="0" w:space="0" w:color="auto"/>
        <w:bottom w:val="none" w:sz="0" w:space="0" w:color="auto"/>
        <w:right w:val="none" w:sz="0" w:space="0" w:color="auto"/>
      </w:divBdr>
    </w:div>
    <w:div w:id="642273488">
      <w:bodyDiv w:val="1"/>
      <w:marLeft w:val="0"/>
      <w:marRight w:val="0"/>
      <w:marTop w:val="0"/>
      <w:marBottom w:val="0"/>
      <w:divBdr>
        <w:top w:val="none" w:sz="0" w:space="0" w:color="auto"/>
        <w:left w:val="none" w:sz="0" w:space="0" w:color="auto"/>
        <w:bottom w:val="none" w:sz="0" w:space="0" w:color="auto"/>
        <w:right w:val="none" w:sz="0" w:space="0" w:color="auto"/>
      </w:divBdr>
    </w:div>
    <w:div w:id="642736058">
      <w:bodyDiv w:val="1"/>
      <w:marLeft w:val="0"/>
      <w:marRight w:val="0"/>
      <w:marTop w:val="0"/>
      <w:marBottom w:val="0"/>
      <w:divBdr>
        <w:top w:val="none" w:sz="0" w:space="0" w:color="auto"/>
        <w:left w:val="none" w:sz="0" w:space="0" w:color="auto"/>
        <w:bottom w:val="none" w:sz="0" w:space="0" w:color="auto"/>
        <w:right w:val="none" w:sz="0" w:space="0" w:color="auto"/>
      </w:divBdr>
    </w:div>
    <w:div w:id="647248191">
      <w:bodyDiv w:val="1"/>
      <w:marLeft w:val="0"/>
      <w:marRight w:val="0"/>
      <w:marTop w:val="0"/>
      <w:marBottom w:val="0"/>
      <w:divBdr>
        <w:top w:val="none" w:sz="0" w:space="0" w:color="auto"/>
        <w:left w:val="none" w:sz="0" w:space="0" w:color="auto"/>
        <w:bottom w:val="none" w:sz="0" w:space="0" w:color="auto"/>
        <w:right w:val="none" w:sz="0" w:space="0" w:color="auto"/>
      </w:divBdr>
    </w:div>
    <w:div w:id="668753460">
      <w:bodyDiv w:val="1"/>
      <w:marLeft w:val="0"/>
      <w:marRight w:val="0"/>
      <w:marTop w:val="0"/>
      <w:marBottom w:val="0"/>
      <w:divBdr>
        <w:top w:val="none" w:sz="0" w:space="0" w:color="auto"/>
        <w:left w:val="none" w:sz="0" w:space="0" w:color="auto"/>
        <w:bottom w:val="none" w:sz="0" w:space="0" w:color="auto"/>
        <w:right w:val="none" w:sz="0" w:space="0" w:color="auto"/>
      </w:divBdr>
    </w:div>
    <w:div w:id="695278375">
      <w:bodyDiv w:val="1"/>
      <w:marLeft w:val="0"/>
      <w:marRight w:val="0"/>
      <w:marTop w:val="0"/>
      <w:marBottom w:val="0"/>
      <w:divBdr>
        <w:top w:val="none" w:sz="0" w:space="0" w:color="auto"/>
        <w:left w:val="none" w:sz="0" w:space="0" w:color="auto"/>
        <w:bottom w:val="none" w:sz="0" w:space="0" w:color="auto"/>
        <w:right w:val="none" w:sz="0" w:space="0" w:color="auto"/>
      </w:divBdr>
    </w:div>
    <w:div w:id="697580652">
      <w:bodyDiv w:val="1"/>
      <w:marLeft w:val="0"/>
      <w:marRight w:val="0"/>
      <w:marTop w:val="0"/>
      <w:marBottom w:val="0"/>
      <w:divBdr>
        <w:top w:val="none" w:sz="0" w:space="0" w:color="auto"/>
        <w:left w:val="none" w:sz="0" w:space="0" w:color="auto"/>
        <w:bottom w:val="none" w:sz="0" w:space="0" w:color="auto"/>
        <w:right w:val="none" w:sz="0" w:space="0" w:color="auto"/>
      </w:divBdr>
    </w:div>
    <w:div w:id="698512622">
      <w:bodyDiv w:val="1"/>
      <w:marLeft w:val="0"/>
      <w:marRight w:val="0"/>
      <w:marTop w:val="0"/>
      <w:marBottom w:val="0"/>
      <w:divBdr>
        <w:top w:val="none" w:sz="0" w:space="0" w:color="auto"/>
        <w:left w:val="none" w:sz="0" w:space="0" w:color="auto"/>
        <w:bottom w:val="none" w:sz="0" w:space="0" w:color="auto"/>
        <w:right w:val="none" w:sz="0" w:space="0" w:color="auto"/>
      </w:divBdr>
    </w:div>
    <w:div w:id="705564009">
      <w:bodyDiv w:val="1"/>
      <w:marLeft w:val="0"/>
      <w:marRight w:val="0"/>
      <w:marTop w:val="0"/>
      <w:marBottom w:val="0"/>
      <w:divBdr>
        <w:top w:val="none" w:sz="0" w:space="0" w:color="auto"/>
        <w:left w:val="none" w:sz="0" w:space="0" w:color="auto"/>
        <w:bottom w:val="none" w:sz="0" w:space="0" w:color="auto"/>
        <w:right w:val="none" w:sz="0" w:space="0" w:color="auto"/>
      </w:divBdr>
    </w:div>
    <w:div w:id="711268539">
      <w:bodyDiv w:val="1"/>
      <w:marLeft w:val="0"/>
      <w:marRight w:val="0"/>
      <w:marTop w:val="0"/>
      <w:marBottom w:val="0"/>
      <w:divBdr>
        <w:top w:val="none" w:sz="0" w:space="0" w:color="auto"/>
        <w:left w:val="none" w:sz="0" w:space="0" w:color="auto"/>
        <w:bottom w:val="none" w:sz="0" w:space="0" w:color="auto"/>
        <w:right w:val="none" w:sz="0" w:space="0" w:color="auto"/>
      </w:divBdr>
    </w:div>
    <w:div w:id="727194484">
      <w:bodyDiv w:val="1"/>
      <w:marLeft w:val="0"/>
      <w:marRight w:val="0"/>
      <w:marTop w:val="0"/>
      <w:marBottom w:val="0"/>
      <w:divBdr>
        <w:top w:val="none" w:sz="0" w:space="0" w:color="auto"/>
        <w:left w:val="none" w:sz="0" w:space="0" w:color="auto"/>
        <w:bottom w:val="none" w:sz="0" w:space="0" w:color="auto"/>
        <w:right w:val="none" w:sz="0" w:space="0" w:color="auto"/>
      </w:divBdr>
    </w:div>
    <w:div w:id="729354007">
      <w:bodyDiv w:val="1"/>
      <w:marLeft w:val="0"/>
      <w:marRight w:val="0"/>
      <w:marTop w:val="0"/>
      <w:marBottom w:val="0"/>
      <w:divBdr>
        <w:top w:val="none" w:sz="0" w:space="0" w:color="auto"/>
        <w:left w:val="none" w:sz="0" w:space="0" w:color="auto"/>
        <w:bottom w:val="none" w:sz="0" w:space="0" w:color="auto"/>
        <w:right w:val="none" w:sz="0" w:space="0" w:color="auto"/>
      </w:divBdr>
    </w:div>
    <w:div w:id="746154849">
      <w:bodyDiv w:val="1"/>
      <w:marLeft w:val="0"/>
      <w:marRight w:val="0"/>
      <w:marTop w:val="0"/>
      <w:marBottom w:val="0"/>
      <w:divBdr>
        <w:top w:val="none" w:sz="0" w:space="0" w:color="auto"/>
        <w:left w:val="none" w:sz="0" w:space="0" w:color="auto"/>
        <w:bottom w:val="none" w:sz="0" w:space="0" w:color="auto"/>
        <w:right w:val="none" w:sz="0" w:space="0" w:color="auto"/>
      </w:divBdr>
      <w:divsChild>
        <w:div w:id="48381758">
          <w:marLeft w:val="0"/>
          <w:marRight w:val="0"/>
          <w:marTop w:val="0"/>
          <w:marBottom w:val="0"/>
          <w:divBdr>
            <w:top w:val="none" w:sz="0" w:space="0" w:color="auto"/>
            <w:left w:val="none" w:sz="0" w:space="0" w:color="auto"/>
            <w:bottom w:val="none" w:sz="0" w:space="0" w:color="auto"/>
            <w:right w:val="none" w:sz="0" w:space="0" w:color="auto"/>
          </w:divBdr>
        </w:div>
        <w:div w:id="1298997465">
          <w:marLeft w:val="0"/>
          <w:marRight w:val="0"/>
          <w:marTop w:val="0"/>
          <w:marBottom w:val="0"/>
          <w:divBdr>
            <w:top w:val="none" w:sz="0" w:space="0" w:color="auto"/>
            <w:left w:val="none" w:sz="0" w:space="0" w:color="auto"/>
            <w:bottom w:val="none" w:sz="0" w:space="0" w:color="auto"/>
            <w:right w:val="none" w:sz="0" w:space="0" w:color="auto"/>
          </w:divBdr>
        </w:div>
      </w:divsChild>
    </w:div>
    <w:div w:id="758134908">
      <w:bodyDiv w:val="1"/>
      <w:marLeft w:val="0"/>
      <w:marRight w:val="0"/>
      <w:marTop w:val="0"/>
      <w:marBottom w:val="0"/>
      <w:divBdr>
        <w:top w:val="none" w:sz="0" w:space="0" w:color="auto"/>
        <w:left w:val="none" w:sz="0" w:space="0" w:color="auto"/>
        <w:bottom w:val="none" w:sz="0" w:space="0" w:color="auto"/>
        <w:right w:val="none" w:sz="0" w:space="0" w:color="auto"/>
      </w:divBdr>
      <w:divsChild>
        <w:div w:id="672728115">
          <w:marLeft w:val="792"/>
          <w:marRight w:val="0"/>
          <w:marTop w:val="0"/>
          <w:marBottom w:val="80"/>
          <w:divBdr>
            <w:top w:val="none" w:sz="0" w:space="0" w:color="auto"/>
            <w:left w:val="none" w:sz="0" w:space="0" w:color="auto"/>
            <w:bottom w:val="none" w:sz="0" w:space="0" w:color="auto"/>
            <w:right w:val="none" w:sz="0" w:space="0" w:color="auto"/>
          </w:divBdr>
        </w:div>
      </w:divsChild>
    </w:div>
    <w:div w:id="759453789">
      <w:bodyDiv w:val="1"/>
      <w:marLeft w:val="0"/>
      <w:marRight w:val="0"/>
      <w:marTop w:val="0"/>
      <w:marBottom w:val="0"/>
      <w:divBdr>
        <w:top w:val="none" w:sz="0" w:space="0" w:color="auto"/>
        <w:left w:val="none" w:sz="0" w:space="0" w:color="auto"/>
        <w:bottom w:val="none" w:sz="0" w:space="0" w:color="auto"/>
        <w:right w:val="none" w:sz="0" w:space="0" w:color="auto"/>
      </w:divBdr>
    </w:div>
    <w:div w:id="783767394">
      <w:bodyDiv w:val="1"/>
      <w:marLeft w:val="0"/>
      <w:marRight w:val="0"/>
      <w:marTop w:val="0"/>
      <w:marBottom w:val="0"/>
      <w:divBdr>
        <w:top w:val="none" w:sz="0" w:space="0" w:color="auto"/>
        <w:left w:val="none" w:sz="0" w:space="0" w:color="auto"/>
        <w:bottom w:val="none" w:sz="0" w:space="0" w:color="auto"/>
        <w:right w:val="none" w:sz="0" w:space="0" w:color="auto"/>
      </w:divBdr>
    </w:div>
    <w:div w:id="786656810">
      <w:bodyDiv w:val="1"/>
      <w:marLeft w:val="0"/>
      <w:marRight w:val="0"/>
      <w:marTop w:val="0"/>
      <w:marBottom w:val="0"/>
      <w:divBdr>
        <w:top w:val="none" w:sz="0" w:space="0" w:color="auto"/>
        <w:left w:val="none" w:sz="0" w:space="0" w:color="auto"/>
        <w:bottom w:val="none" w:sz="0" w:space="0" w:color="auto"/>
        <w:right w:val="none" w:sz="0" w:space="0" w:color="auto"/>
      </w:divBdr>
    </w:div>
    <w:div w:id="813331183">
      <w:bodyDiv w:val="1"/>
      <w:marLeft w:val="0"/>
      <w:marRight w:val="0"/>
      <w:marTop w:val="0"/>
      <w:marBottom w:val="0"/>
      <w:divBdr>
        <w:top w:val="none" w:sz="0" w:space="0" w:color="auto"/>
        <w:left w:val="none" w:sz="0" w:space="0" w:color="auto"/>
        <w:bottom w:val="none" w:sz="0" w:space="0" w:color="auto"/>
        <w:right w:val="none" w:sz="0" w:space="0" w:color="auto"/>
      </w:divBdr>
    </w:div>
    <w:div w:id="819152475">
      <w:bodyDiv w:val="1"/>
      <w:marLeft w:val="0"/>
      <w:marRight w:val="0"/>
      <w:marTop w:val="0"/>
      <w:marBottom w:val="0"/>
      <w:divBdr>
        <w:top w:val="none" w:sz="0" w:space="0" w:color="auto"/>
        <w:left w:val="none" w:sz="0" w:space="0" w:color="auto"/>
        <w:bottom w:val="none" w:sz="0" w:space="0" w:color="auto"/>
        <w:right w:val="none" w:sz="0" w:space="0" w:color="auto"/>
      </w:divBdr>
    </w:div>
    <w:div w:id="820804845">
      <w:bodyDiv w:val="1"/>
      <w:marLeft w:val="0"/>
      <w:marRight w:val="0"/>
      <w:marTop w:val="0"/>
      <w:marBottom w:val="0"/>
      <w:divBdr>
        <w:top w:val="none" w:sz="0" w:space="0" w:color="auto"/>
        <w:left w:val="none" w:sz="0" w:space="0" w:color="auto"/>
        <w:bottom w:val="none" w:sz="0" w:space="0" w:color="auto"/>
        <w:right w:val="none" w:sz="0" w:space="0" w:color="auto"/>
      </w:divBdr>
    </w:div>
    <w:div w:id="822234739">
      <w:bodyDiv w:val="1"/>
      <w:marLeft w:val="0"/>
      <w:marRight w:val="0"/>
      <w:marTop w:val="0"/>
      <w:marBottom w:val="0"/>
      <w:divBdr>
        <w:top w:val="none" w:sz="0" w:space="0" w:color="auto"/>
        <w:left w:val="none" w:sz="0" w:space="0" w:color="auto"/>
        <w:bottom w:val="none" w:sz="0" w:space="0" w:color="auto"/>
        <w:right w:val="none" w:sz="0" w:space="0" w:color="auto"/>
      </w:divBdr>
    </w:div>
    <w:div w:id="825902841">
      <w:bodyDiv w:val="1"/>
      <w:marLeft w:val="0"/>
      <w:marRight w:val="0"/>
      <w:marTop w:val="0"/>
      <w:marBottom w:val="0"/>
      <w:divBdr>
        <w:top w:val="none" w:sz="0" w:space="0" w:color="auto"/>
        <w:left w:val="none" w:sz="0" w:space="0" w:color="auto"/>
        <w:bottom w:val="none" w:sz="0" w:space="0" w:color="auto"/>
        <w:right w:val="none" w:sz="0" w:space="0" w:color="auto"/>
      </w:divBdr>
    </w:div>
    <w:div w:id="832793141">
      <w:bodyDiv w:val="1"/>
      <w:marLeft w:val="0"/>
      <w:marRight w:val="0"/>
      <w:marTop w:val="0"/>
      <w:marBottom w:val="0"/>
      <w:divBdr>
        <w:top w:val="none" w:sz="0" w:space="0" w:color="auto"/>
        <w:left w:val="none" w:sz="0" w:space="0" w:color="auto"/>
        <w:bottom w:val="none" w:sz="0" w:space="0" w:color="auto"/>
        <w:right w:val="none" w:sz="0" w:space="0" w:color="auto"/>
      </w:divBdr>
    </w:div>
    <w:div w:id="834610038">
      <w:bodyDiv w:val="1"/>
      <w:marLeft w:val="0"/>
      <w:marRight w:val="0"/>
      <w:marTop w:val="0"/>
      <w:marBottom w:val="0"/>
      <w:divBdr>
        <w:top w:val="none" w:sz="0" w:space="0" w:color="auto"/>
        <w:left w:val="none" w:sz="0" w:space="0" w:color="auto"/>
        <w:bottom w:val="none" w:sz="0" w:space="0" w:color="auto"/>
        <w:right w:val="none" w:sz="0" w:space="0" w:color="auto"/>
      </w:divBdr>
    </w:div>
    <w:div w:id="83853834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2717257">
      <w:bodyDiv w:val="1"/>
      <w:marLeft w:val="0"/>
      <w:marRight w:val="0"/>
      <w:marTop w:val="0"/>
      <w:marBottom w:val="0"/>
      <w:divBdr>
        <w:top w:val="none" w:sz="0" w:space="0" w:color="auto"/>
        <w:left w:val="none" w:sz="0" w:space="0" w:color="auto"/>
        <w:bottom w:val="none" w:sz="0" w:space="0" w:color="auto"/>
        <w:right w:val="none" w:sz="0" w:space="0" w:color="auto"/>
      </w:divBdr>
    </w:div>
    <w:div w:id="887766065">
      <w:bodyDiv w:val="1"/>
      <w:marLeft w:val="0"/>
      <w:marRight w:val="0"/>
      <w:marTop w:val="0"/>
      <w:marBottom w:val="0"/>
      <w:divBdr>
        <w:top w:val="none" w:sz="0" w:space="0" w:color="auto"/>
        <w:left w:val="none" w:sz="0" w:space="0" w:color="auto"/>
        <w:bottom w:val="none" w:sz="0" w:space="0" w:color="auto"/>
        <w:right w:val="none" w:sz="0" w:space="0" w:color="auto"/>
      </w:divBdr>
    </w:div>
    <w:div w:id="904947651">
      <w:bodyDiv w:val="1"/>
      <w:marLeft w:val="0"/>
      <w:marRight w:val="0"/>
      <w:marTop w:val="0"/>
      <w:marBottom w:val="0"/>
      <w:divBdr>
        <w:top w:val="none" w:sz="0" w:space="0" w:color="auto"/>
        <w:left w:val="none" w:sz="0" w:space="0" w:color="auto"/>
        <w:bottom w:val="none" w:sz="0" w:space="0" w:color="auto"/>
        <w:right w:val="none" w:sz="0" w:space="0" w:color="auto"/>
      </w:divBdr>
    </w:div>
    <w:div w:id="929316754">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6199521">
      <w:bodyDiv w:val="1"/>
      <w:marLeft w:val="0"/>
      <w:marRight w:val="0"/>
      <w:marTop w:val="0"/>
      <w:marBottom w:val="0"/>
      <w:divBdr>
        <w:top w:val="none" w:sz="0" w:space="0" w:color="auto"/>
        <w:left w:val="none" w:sz="0" w:space="0" w:color="auto"/>
        <w:bottom w:val="none" w:sz="0" w:space="0" w:color="auto"/>
        <w:right w:val="none" w:sz="0" w:space="0" w:color="auto"/>
      </w:divBdr>
    </w:div>
    <w:div w:id="968055166">
      <w:bodyDiv w:val="1"/>
      <w:marLeft w:val="0"/>
      <w:marRight w:val="0"/>
      <w:marTop w:val="0"/>
      <w:marBottom w:val="0"/>
      <w:divBdr>
        <w:top w:val="none" w:sz="0" w:space="0" w:color="auto"/>
        <w:left w:val="none" w:sz="0" w:space="0" w:color="auto"/>
        <w:bottom w:val="none" w:sz="0" w:space="0" w:color="auto"/>
        <w:right w:val="none" w:sz="0" w:space="0" w:color="auto"/>
      </w:divBdr>
    </w:div>
    <w:div w:id="970791418">
      <w:bodyDiv w:val="1"/>
      <w:marLeft w:val="0"/>
      <w:marRight w:val="0"/>
      <w:marTop w:val="0"/>
      <w:marBottom w:val="0"/>
      <w:divBdr>
        <w:top w:val="none" w:sz="0" w:space="0" w:color="auto"/>
        <w:left w:val="none" w:sz="0" w:space="0" w:color="auto"/>
        <w:bottom w:val="none" w:sz="0" w:space="0" w:color="auto"/>
        <w:right w:val="none" w:sz="0" w:space="0" w:color="auto"/>
      </w:divBdr>
    </w:div>
    <w:div w:id="980380116">
      <w:bodyDiv w:val="1"/>
      <w:marLeft w:val="0"/>
      <w:marRight w:val="0"/>
      <w:marTop w:val="0"/>
      <w:marBottom w:val="0"/>
      <w:divBdr>
        <w:top w:val="none" w:sz="0" w:space="0" w:color="auto"/>
        <w:left w:val="none" w:sz="0" w:space="0" w:color="auto"/>
        <w:bottom w:val="none" w:sz="0" w:space="0" w:color="auto"/>
        <w:right w:val="none" w:sz="0" w:space="0" w:color="auto"/>
      </w:divBdr>
    </w:div>
    <w:div w:id="986937452">
      <w:bodyDiv w:val="1"/>
      <w:marLeft w:val="0"/>
      <w:marRight w:val="0"/>
      <w:marTop w:val="0"/>
      <w:marBottom w:val="0"/>
      <w:divBdr>
        <w:top w:val="none" w:sz="0" w:space="0" w:color="auto"/>
        <w:left w:val="none" w:sz="0" w:space="0" w:color="auto"/>
        <w:bottom w:val="none" w:sz="0" w:space="0" w:color="auto"/>
        <w:right w:val="none" w:sz="0" w:space="0" w:color="auto"/>
      </w:divBdr>
    </w:div>
    <w:div w:id="997420523">
      <w:bodyDiv w:val="1"/>
      <w:marLeft w:val="0"/>
      <w:marRight w:val="0"/>
      <w:marTop w:val="0"/>
      <w:marBottom w:val="0"/>
      <w:divBdr>
        <w:top w:val="none" w:sz="0" w:space="0" w:color="auto"/>
        <w:left w:val="none" w:sz="0" w:space="0" w:color="auto"/>
        <w:bottom w:val="none" w:sz="0" w:space="0" w:color="auto"/>
        <w:right w:val="none" w:sz="0" w:space="0" w:color="auto"/>
      </w:divBdr>
    </w:div>
    <w:div w:id="1004824918">
      <w:bodyDiv w:val="1"/>
      <w:marLeft w:val="0"/>
      <w:marRight w:val="0"/>
      <w:marTop w:val="0"/>
      <w:marBottom w:val="0"/>
      <w:divBdr>
        <w:top w:val="none" w:sz="0" w:space="0" w:color="auto"/>
        <w:left w:val="none" w:sz="0" w:space="0" w:color="auto"/>
        <w:bottom w:val="none" w:sz="0" w:space="0" w:color="auto"/>
        <w:right w:val="none" w:sz="0" w:space="0" w:color="auto"/>
      </w:divBdr>
    </w:div>
    <w:div w:id="1010453671">
      <w:bodyDiv w:val="1"/>
      <w:marLeft w:val="0"/>
      <w:marRight w:val="0"/>
      <w:marTop w:val="0"/>
      <w:marBottom w:val="0"/>
      <w:divBdr>
        <w:top w:val="none" w:sz="0" w:space="0" w:color="auto"/>
        <w:left w:val="none" w:sz="0" w:space="0" w:color="auto"/>
        <w:bottom w:val="none" w:sz="0" w:space="0" w:color="auto"/>
        <w:right w:val="none" w:sz="0" w:space="0" w:color="auto"/>
      </w:divBdr>
    </w:div>
    <w:div w:id="1025209430">
      <w:bodyDiv w:val="1"/>
      <w:marLeft w:val="0"/>
      <w:marRight w:val="0"/>
      <w:marTop w:val="0"/>
      <w:marBottom w:val="0"/>
      <w:divBdr>
        <w:top w:val="none" w:sz="0" w:space="0" w:color="auto"/>
        <w:left w:val="none" w:sz="0" w:space="0" w:color="auto"/>
        <w:bottom w:val="none" w:sz="0" w:space="0" w:color="auto"/>
        <w:right w:val="none" w:sz="0" w:space="0" w:color="auto"/>
      </w:divBdr>
    </w:div>
    <w:div w:id="1031300765">
      <w:bodyDiv w:val="1"/>
      <w:marLeft w:val="0"/>
      <w:marRight w:val="0"/>
      <w:marTop w:val="0"/>
      <w:marBottom w:val="0"/>
      <w:divBdr>
        <w:top w:val="none" w:sz="0" w:space="0" w:color="auto"/>
        <w:left w:val="none" w:sz="0" w:space="0" w:color="auto"/>
        <w:bottom w:val="none" w:sz="0" w:space="0" w:color="auto"/>
        <w:right w:val="none" w:sz="0" w:space="0" w:color="auto"/>
      </w:divBdr>
    </w:div>
    <w:div w:id="1034618151">
      <w:bodyDiv w:val="1"/>
      <w:marLeft w:val="0"/>
      <w:marRight w:val="0"/>
      <w:marTop w:val="0"/>
      <w:marBottom w:val="0"/>
      <w:divBdr>
        <w:top w:val="none" w:sz="0" w:space="0" w:color="auto"/>
        <w:left w:val="none" w:sz="0" w:space="0" w:color="auto"/>
        <w:bottom w:val="none" w:sz="0" w:space="0" w:color="auto"/>
        <w:right w:val="none" w:sz="0" w:space="0" w:color="auto"/>
      </w:divBdr>
    </w:div>
    <w:div w:id="1042049999">
      <w:bodyDiv w:val="1"/>
      <w:marLeft w:val="0"/>
      <w:marRight w:val="0"/>
      <w:marTop w:val="0"/>
      <w:marBottom w:val="0"/>
      <w:divBdr>
        <w:top w:val="none" w:sz="0" w:space="0" w:color="auto"/>
        <w:left w:val="none" w:sz="0" w:space="0" w:color="auto"/>
        <w:bottom w:val="none" w:sz="0" w:space="0" w:color="auto"/>
        <w:right w:val="none" w:sz="0" w:space="0" w:color="auto"/>
      </w:divBdr>
    </w:div>
    <w:div w:id="1061366571">
      <w:bodyDiv w:val="1"/>
      <w:marLeft w:val="0"/>
      <w:marRight w:val="0"/>
      <w:marTop w:val="0"/>
      <w:marBottom w:val="0"/>
      <w:divBdr>
        <w:top w:val="none" w:sz="0" w:space="0" w:color="auto"/>
        <w:left w:val="none" w:sz="0" w:space="0" w:color="auto"/>
        <w:bottom w:val="none" w:sz="0" w:space="0" w:color="auto"/>
        <w:right w:val="none" w:sz="0" w:space="0" w:color="auto"/>
      </w:divBdr>
    </w:div>
    <w:div w:id="1088192462">
      <w:bodyDiv w:val="1"/>
      <w:marLeft w:val="0"/>
      <w:marRight w:val="0"/>
      <w:marTop w:val="0"/>
      <w:marBottom w:val="0"/>
      <w:divBdr>
        <w:top w:val="none" w:sz="0" w:space="0" w:color="auto"/>
        <w:left w:val="none" w:sz="0" w:space="0" w:color="auto"/>
        <w:bottom w:val="none" w:sz="0" w:space="0" w:color="auto"/>
        <w:right w:val="none" w:sz="0" w:space="0" w:color="auto"/>
      </w:divBdr>
    </w:div>
    <w:div w:id="1094933744">
      <w:bodyDiv w:val="1"/>
      <w:marLeft w:val="0"/>
      <w:marRight w:val="0"/>
      <w:marTop w:val="0"/>
      <w:marBottom w:val="0"/>
      <w:divBdr>
        <w:top w:val="none" w:sz="0" w:space="0" w:color="auto"/>
        <w:left w:val="none" w:sz="0" w:space="0" w:color="auto"/>
        <w:bottom w:val="none" w:sz="0" w:space="0" w:color="auto"/>
        <w:right w:val="none" w:sz="0" w:space="0" w:color="auto"/>
      </w:divBdr>
    </w:div>
    <w:div w:id="1102532358">
      <w:bodyDiv w:val="1"/>
      <w:marLeft w:val="0"/>
      <w:marRight w:val="0"/>
      <w:marTop w:val="0"/>
      <w:marBottom w:val="0"/>
      <w:divBdr>
        <w:top w:val="none" w:sz="0" w:space="0" w:color="auto"/>
        <w:left w:val="none" w:sz="0" w:space="0" w:color="auto"/>
        <w:bottom w:val="none" w:sz="0" w:space="0" w:color="auto"/>
        <w:right w:val="none" w:sz="0" w:space="0" w:color="auto"/>
      </w:divBdr>
    </w:div>
    <w:div w:id="1107459836">
      <w:bodyDiv w:val="1"/>
      <w:marLeft w:val="0"/>
      <w:marRight w:val="0"/>
      <w:marTop w:val="0"/>
      <w:marBottom w:val="0"/>
      <w:divBdr>
        <w:top w:val="none" w:sz="0" w:space="0" w:color="auto"/>
        <w:left w:val="none" w:sz="0" w:space="0" w:color="auto"/>
        <w:bottom w:val="none" w:sz="0" w:space="0" w:color="auto"/>
        <w:right w:val="none" w:sz="0" w:space="0" w:color="auto"/>
      </w:divBdr>
    </w:div>
    <w:div w:id="1110393569">
      <w:bodyDiv w:val="1"/>
      <w:marLeft w:val="0"/>
      <w:marRight w:val="0"/>
      <w:marTop w:val="0"/>
      <w:marBottom w:val="0"/>
      <w:divBdr>
        <w:top w:val="none" w:sz="0" w:space="0" w:color="auto"/>
        <w:left w:val="none" w:sz="0" w:space="0" w:color="auto"/>
        <w:bottom w:val="none" w:sz="0" w:space="0" w:color="auto"/>
        <w:right w:val="none" w:sz="0" w:space="0" w:color="auto"/>
      </w:divBdr>
    </w:div>
    <w:div w:id="1110586480">
      <w:bodyDiv w:val="1"/>
      <w:marLeft w:val="0"/>
      <w:marRight w:val="0"/>
      <w:marTop w:val="0"/>
      <w:marBottom w:val="0"/>
      <w:divBdr>
        <w:top w:val="none" w:sz="0" w:space="0" w:color="auto"/>
        <w:left w:val="none" w:sz="0" w:space="0" w:color="auto"/>
        <w:bottom w:val="none" w:sz="0" w:space="0" w:color="auto"/>
        <w:right w:val="none" w:sz="0" w:space="0" w:color="auto"/>
      </w:divBdr>
    </w:div>
    <w:div w:id="1114638825">
      <w:bodyDiv w:val="1"/>
      <w:marLeft w:val="0"/>
      <w:marRight w:val="0"/>
      <w:marTop w:val="0"/>
      <w:marBottom w:val="0"/>
      <w:divBdr>
        <w:top w:val="none" w:sz="0" w:space="0" w:color="auto"/>
        <w:left w:val="none" w:sz="0" w:space="0" w:color="auto"/>
        <w:bottom w:val="none" w:sz="0" w:space="0" w:color="auto"/>
        <w:right w:val="none" w:sz="0" w:space="0" w:color="auto"/>
      </w:divBdr>
    </w:div>
    <w:div w:id="1123311386">
      <w:bodyDiv w:val="1"/>
      <w:marLeft w:val="0"/>
      <w:marRight w:val="0"/>
      <w:marTop w:val="0"/>
      <w:marBottom w:val="0"/>
      <w:divBdr>
        <w:top w:val="none" w:sz="0" w:space="0" w:color="auto"/>
        <w:left w:val="none" w:sz="0" w:space="0" w:color="auto"/>
        <w:bottom w:val="none" w:sz="0" w:space="0" w:color="auto"/>
        <w:right w:val="none" w:sz="0" w:space="0" w:color="auto"/>
      </w:divBdr>
    </w:div>
    <w:div w:id="1130368343">
      <w:bodyDiv w:val="1"/>
      <w:marLeft w:val="0"/>
      <w:marRight w:val="0"/>
      <w:marTop w:val="0"/>
      <w:marBottom w:val="0"/>
      <w:divBdr>
        <w:top w:val="none" w:sz="0" w:space="0" w:color="auto"/>
        <w:left w:val="none" w:sz="0" w:space="0" w:color="auto"/>
        <w:bottom w:val="none" w:sz="0" w:space="0" w:color="auto"/>
        <w:right w:val="none" w:sz="0" w:space="0" w:color="auto"/>
      </w:divBdr>
    </w:div>
    <w:div w:id="1139110371">
      <w:bodyDiv w:val="1"/>
      <w:marLeft w:val="0"/>
      <w:marRight w:val="0"/>
      <w:marTop w:val="0"/>
      <w:marBottom w:val="0"/>
      <w:divBdr>
        <w:top w:val="none" w:sz="0" w:space="0" w:color="auto"/>
        <w:left w:val="none" w:sz="0" w:space="0" w:color="auto"/>
        <w:bottom w:val="none" w:sz="0" w:space="0" w:color="auto"/>
        <w:right w:val="none" w:sz="0" w:space="0" w:color="auto"/>
      </w:divBdr>
    </w:div>
    <w:div w:id="1141264160">
      <w:bodyDiv w:val="1"/>
      <w:marLeft w:val="0"/>
      <w:marRight w:val="0"/>
      <w:marTop w:val="0"/>
      <w:marBottom w:val="0"/>
      <w:divBdr>
        <w:top w:val="none" w:sz="0" w:space="0" w:color="auto"/>
        <w:left w:val="none" w:sz="0" w:space="0" w:color="auto"/>
        <w:bottom w:val="none" w:sz="0" w:space="0" w:color="auto"/>
        <w:right w:val="none" w:sz="0" w:space="0" w:color="auto"/>
      </w:divBdr>
    </w:div>
    <w:div w:id="1157305190">
      <w:bodyDiv w:val="1"/>
      <w:marLeft w:val="0"/>
      <w:marRight w:val="0"/>
      <w:marTop w:val="0"/>
      <w:marBottom w:val="0"/>
      <w:divBdr>
        <w:top w:val="none" w:sz="0" w:space="0" w:color="auto"/>
        <w:left w:val="none" w:sz="0" w:space="0" w:color="auto"/>
        <w:bottom w:val="none" w:sz="0" w:space="0" w:color="auto"/>
        <w:right w:val="none" w:sz="0" w:space="0" w:color="auto"/>
      </w:divBdr>
    </w:div>
    <w:div w:id="1159882008">
      <w:bodyDiv w:val="1"/>
      <w:marLeft w:val="0"/>
      <w:marRight w:val="0"/>
      <w:marTop w:val="0"/>
      <w:marBottom w:val="0"/>
      <w:divBdr>
        <w:top w:val="none" w:sz="0" w:space="0" w:color="auto"/>
        <w:left w:val="none" w:sz="0" w:space="0" w:color="auto"/>
        <w:bottom w:val="none" w:sz="0" w:space="0" w:color="auto"/>
        <w:right w:val="none" w:sz="0" w:space="0" w:color="auto"/>
      </w:divBdr>
    </w:div>
    <w:div w:id="1163007098">
      <w:bodyDiv w:val="1"/>
      <w:marLeft w:val="0"/>
      <w:marRight w:val="0"/>
      <w:marTop w:val="0"/>
      <w:marBottom w:val="0"/>
      <w:divBdr>
        <w:top w:val="none" w:sz="0" w:space="0" w:color="auto"/>
        <w:left w:val="none" w:sz="0" w:space="0" w:color="auto"/>
        <w:bottom w:val="none" w:sz="0" w:space="0" w:color="auto"/>
        <w:right w:val="none" w:sz="0" w:space="0" w:color="auto"/>
      </w:divBdr>
    </w:div>
    <w:div w:id="1168666681">
      <w:bodyDiv w:val="1"/>
      <w:marLeft w:val="0"/>
      <w:marRight w:val="0"/>
      <w:marTop w:val="0"/>
      <w:marBottom w:val="0"/>
      <w:divBdr>
        <w:top w:val="none" w:sz="0" w:space="0" w:color="auto"/>
        <w:left w:val="none" w:sz="0" w:space="0" w:color="auto"/>
        <w:bottom w:val="none" w:sz="0" w:space="0" w:color="auto"/>
        <w:right w:val="none" w:sz="0" w:space="0" w:color="auto"/>
      </w:divBdr>
    </w:div>
    <w:div w:id="1174147101">
      <w:bodyDiv w:val="1"/>
      <w:marLeft w:val="0"/>
      <w:marRight w:val="0"/>
      <w:marTop w:val="0"/>
      <w:marBottom w:val="0"/>
      <w:divBdr>
        <w:top w:val="none" w:sz="0" w:space="0" w:color="auto"/>
        <w:left w:val="none" w:sz="0" w:space="0" w:color="auto"/>
        <w:bottom w:val="none" w:sz="0" w:space="0" w:color="auto"/>
        <w:right w:val="none" w:sz="0" w:space="0" w:color="auto"/>
      </w:divBdr>
    </w:div>
    <w:div w:id="1179151573">
      <w:bodyDiv w:val="1"/>
      <w:marLeft w:val="0"/>
      <w:marRight w:val="0"/>
      <w:marTop w:val="0"/>
      <w:marBottom w:val="0"/>
      <w:divBdr>
        <w:top w:val="none" w:sz="0" w:space="0" w:color="auto"/>
        <w:left w:val="none" w:sz="0" w:space="0" w:color="auto"/>
        <w:bottom w:val="none" w:sz="0" w:space="0" w:color="auto"/>
        <w:right w:val="none" w:sz="0" w:space="0" w:color="auto"/>
      </w:divBdr>
    </w:div>
    <w:div w:id="1211770728">
      <w:bodyDiv w:val="1"/>
      <w:marLeft w:val="0"/>
      <w:marRight w:val="0"/>
      <w:marTop w:val="0"/>
      <w:marBottom w:val="0"/>
      <w:divBdr>
        <w:top w:val="none" w:sz="0" w:space="0" w:color="auto"/>
        <w:left w:val="none" w:sz="0" w:space="0" w:color="auto"/>
        <w:bottom w:val="none" w:sz="0" w:space="0" w:color="auto"/>
        <w:right w:val="none" w:sz="0" w:space="0" w:color="auto"/>
      </w:divBdr>
    </w:div>
    <w:div w:id="1217008598">
      <w:bodyDiv w:val="1"/>
      <w:marLeft w:val="0"/>
      <w:marRight w:val="0"/>
      <w:marTop w:val="0"/>
      <w:marBottom w:val="0"/>
      <w:divBdr>
        <w:top w:val="none" w:sz="0" w:space="0" w:color="auto"/>
        <w:left w:val="none" w:sz="0" w:space="0" w:color="auto"/>
        <w:bottom w:val="none" w:sz="0" w:space="0" w:color="auto"/>
        <w:right w:val="none" w:sz="0" w:space="0" w:color="auto"/>
      </w:divBdr>
    </w:div>
    <w:div w:id="1229339348">
      <w:bodyDiv w:val="1"/>
      <w:marLeft w:val="0"/>
      <w:marRight w:val="0"/>
      <w:marTop w:val="0"/>
      <w:marBottom w:val="0"/>
      <w:divBdr>
        <w:top w:val="none" w:sz="0" w:space="0" w:color="auto"/>
        <w:left w:val="none" w:sz="0" w:space="0" w:color="auto"/>
        <w:bottom w:val="none" w:sz="0" w:space="0" w:color="auto"/>
        <w:right w:val="none" w:sz="0" w:space="0" w:color="auto"/>
      </w:divBdr>
    </w:div>
    <w:div w:id="1230769832">
      <w:bodyDiv w:val="1"/>
      <w:marLeft w:val="0"/>
      <w:marRight w:val="0"/>
      <w:marTop w:val="0"/>
      <w:marBottom w:val="0"/>
      <w:divBdr>
        <w:top w:val="none" w:sz="0" w:space="0" w:color="auto"/>
        <w:left w:val="none" w:sz="0" w:space="0" w:color="auto"/>
        <w:bottom w:val="none" w:sz="0" w:space="0" w:color="auto"/>
        <w:right w:val="none" w:sz="0" w:space="0" w:color="auto"/>
      </w:divBdr>
    </w:div>
    <w:div w:id="1243760106">
      <w:bodyDiv w:val="1"/>
      <w:marLeft w:val="0"/>
      <w:marRight w:val="0"/>
      <w:marTop w:val="0"/>
      <w:marBottom w:val="0"/>
      <w:divBdr>
        <w:top w:val="none" w:sz="0" w:space="0" w:color="auto"/>
        <w:left w:val="none" w:sz="0" w:space="0" w:color="auto"/>
        <w:bottom w:val="none" w:sz="0" w:space="0" w:color="auto"/>
        <w:right w:val="none" w:sz="0" w:space="0" w:color="auto"/>
      </w:divBdr>
    </w:div>
    <w:div w:id="1260454065">
      <w:bodyDiv w:val="1"/>
      <w:marLeft w:val="0"/>
      <w:marRight w:val="0"/>
      <w:marTop w:val="0"/>
      <w:marBottom w:val="0"/>
      <w:divBdr>
        <w:top w:val="none" w:sz="0" w:space="0" w:color="auto"/>
        <w:left w:val="none" w:sz="0" w:space="0" w:color="auto"/>
        <w:bottom w:val="none" w:sz="0" w:space="0" w:color="auto"/>
        <w:right w:val="none" w:sz="0" w:space="0" w:color="auto"/>
      </w:divBdr>
    </w:div>
    <w:div w:id="1261138634">
      <w:bodyDiv w:val="1"/>
      <w:marLeft w:val="0"/>
      <w:marRight w:val="0"/>
      <w:marTop w:val="0"/>
      <w:marBottom w:val="0"/>
      <w:divBdr>
        <w:top w:val="none" w:sz="0" w:space="0" w:color="auto"/>
        <w:left w:val="none" w:sz="0" w:space="0" w:color="auto"/>
        <w:bottom w:val="none" w:sz="0" w:space="0" w:color="auto"/>
        <w:right w:val="none" w:sz="0" w:space="0" w:color="auto"/>
      </w:divBdr>
    </w:div>
    <w:div w:id="1281112808">
      <w:bodyDiv w:val="1"/>
      <w:marLeft w:val="0"/>
      <w:marRight w:val="0"/>
      <w:marTop w:val="0"/>
      <w:marBottom w:val="0"/>
      <w:divBdr>
        <w:top w:val="none" w:sz="0" w:space="0" w:color="auto"/>
        <w:left w:val="none" w:sz="0" w:space="0" w:color="auto"/>
        <w:bottom w:val="none" w:sz="0" w:space="0" w:color="auto"/>
        <w:right w:val="none" w:sz="0" w:space="0" w:color="auto"/>
      </w:divBdr>
    </w:div>
    <w:div w:id="1290550077">
      <w:bodyDiv w:val="1"/>
      <w:marLeft w:val="0"/>
      <w:marRight w:val="0"/>
      <w:marTop w:val="0"/>
      <w:marBottom w:val="0"/>
      <w:divBdr>
        <w:top w:val="none" w:sz="0" w:space="0" w:color="auto"/>
        <w:left w:val="none" w:sz="0" w:space="0" w:color="auto"/>
        <w:bottom w:val="none" w:sz="0" w:space="0" w:color="auto"/>
        <w:right w:val="none" w:sz="0" w:space="0" w:color="auto"/>
      </w:divBdr>
    </w:div>
    <w:div w:id="1293712716">
      <w:bodyDiv w:val="1"/>
      <w:marLeft w:val="0"/>
      <w:marRight w:val="0"/>
      <w:marTop w:val="0"/>
      <w:marBottom w:val="0"/>
      <w:divBdr>
        <w:top w:val="none" w:sz="0" w:space="0" w:color="auto"/>
        <w:left w:val="none" w:sz="0" w:space="0" w:color="auto"/>
        <w:bottom w:val="none" w:sz="0" w:space="0" w:color="auto"/>
        <w:right w:val="none" w:sz="0" w:space="0" w:color="auto"/>
      </w:divBdr>
    </w:div>
    <w:div w:id="1294484076">
      <w:bodyDiv w:val="1"/>
      <w:marLeft w:val="0"/>
      <w:marRight w:val="0"/>
      <w:marTop w:val="0"/>
      <w:marBottom w:val="0"/>
      <w:divBdr>
        <w:top w:val="none" w:sz="0" w:space="0" w:color="auto"/>
        <w:left w:val="none" w:sz="0" w:space="0" w:color="auto"/>
        <w:bottom w:val="none" w:sz="0" w:space="0" w:color="auto"/>
        <w:right w:val="none" w:sz="0" w:space="0" w:color="auto"/>
      </w:divBdr>
    </w:div>
    <w:div w:id="1301839161">
      <w:bodyDiv w:val="1"/>
      <w:marLeft w:val="0"/>
      <w:marRight w:val="0"/>
      <w:marTop w:val="0"/>
      <w:marBottom w:val="0"/>
      <w:divBdr>
        <w:top w:val="none" w:sz="0" w:space="0" w:color="auto"/>
        <w:left w:val="none" w:sz="0" w:space="0" w:color="auto"/>
        <w:bottom w:val="none" w:sz="0" w:space="0" w:color="auto"/>
        <w:right w:val="none" w:sz="0" w:space="0" w:color="auto"/>
      </w:divBdr>
    </w:div>
    <w:div w:id="1303996593">
      <w:bodyDiv w:val="1"/>
      <w:marLeft w:val="0"/>
      <w:marRight w:val="0"/>
      <w:marTop w:val="0"/>
      <w:marBottom w:val="0"/>
      <w:divBdr>
        <w:top w:val="none" w:sz="0" w:space="0" w:color="auto"/>
        <w:left w:val="none" w:sz="0" w:space="0" w:color="auto"/>
        <w:bottom w:val="none" w:sz="0" w:space="0" w:color="auto"/>
        <w:right w:val="none" w:sz="0" w:space="0" w:color="auto"/>
      </w:divBdr>
    </w:div>
    <w:div w:id="1327903288">
      <w:bodyDiv w:val="1"/>
      <w:marLeft w:val="0"/>
      <w:marRight w:val="0"/>
      <w:marTop w:val="0"/>
      <w:marBottom w:val="0"/>
      <w:divBdr>
        <w:top w:val="none" w:sz="0" w:space="0" w:color="auto"/>
        <w:left w:val="none" w:sz="0" w:space="0" w:color="auto"/>
        <w:bottom w:val="none" w:sz="0" w:space="0" w:color="auto"/>
        <w:right w:val="none" w:sz="0" w:space="0" w:color="auto"/>
      </w:divBdr>
    </w:div>
    <w:div w:id="1330331176">
      <w:bodyDiv w:val="1"/>
      <w:marLeft w:val="0"/>
      <w:marRight w:val="0"/>
      <w:marTop w:val="0"/>
      <w:marBottom w:val="0"/>
      <w:divBdr>
        <w:top w:val="none" w:sz="0" w:space="0" w:color="auto"/>
        <w:left w:val="none" w:sz="0" w:space="0" w:color="auto"/>
        <w:bottom w:val="none" w:sz="0" w:space="0" w:color="auto"/>
        <w:right w:val="none" w:sz="0" w:space="0" w:color="auto"/>
      </w:divBdr>
    </w:div>
    <w:div w:id="1339502232">
      <w:bodyDiv w:val="1"/>
      <w:marLeft w:val="0"/>
      <w:marRight w:val="0"/>
      <w:marTop w:val="0"/>
      <w:marBottom w:val="0"/>
      <w:divBdr>
        <w:top w:val="none" w:sz="0" w:space="0" w:color="auto"/>
        <w:left w:val="none" w:sz="0" w:space="0" w:color="auto"/>
        <w:bottom w:val="none" w:sz="0" w:space="0" w:color="auto"/>
        <w:right w:val="none" w:sz="0" w:space="0" w:color="auto"/>
      </w:divBdr>
    </w:div>
    <w:div w:id="1375041146">
      <w:bodyDiv w:val="1"/>
      <w:marLeft w:val="0"/>
      <w:marRight w:val="0"/>
      <w:marTop w:val="0"/>
      <w:marBottom w:val="0"/>
      <w:divBdr>
        <w:top w:val="none" w:sz="0" w:space="0" w:color="auto"/>
        <w:left w:val="none" w:sz="0" w:space="0" w:color="auto"/>
        <w:bottom w:val="none" w:sz="0" w:space="0" w:color="auto"/>
        <w:right w:val="none" w:sz="0" w:space="0" w:color="auto"/>
      </w:divBdr>
    </w:div>
    <w:div w:id="140517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5687884">
      <w:bodyDiv w:val="1"/>
      <w:marLeft w:val="0"/>
      <w:marRight w:val="0"/>
      <w:marTop w:val="0"/>
      <w:marBottom w:val="0"/>
      <w:divBdr>
        <w:top w:val="none" w:sz="0" w:space="0" w:color="auto"/>
        <w:left w:val="none" w:sz="0" w:space="0" w:color="auto"/>
        <w:bottom w:val="none" w:sz="0" w:space="0" w:color="auto"/>
        <w:right w:val="none" w:sz="0" w:space="0" w:color="auto"/>
      </w:divBdr>
    </w:div>
    <w:div w:id="1427187168">
      <w:bodyDiv w:val="1"/>
      <w:marLeft w:val="0"/>
      <w:marRight w:val="0"/>
      <w:marTop w:val="0"/>
      <w:marBottom w:val="0"/>
      <w:divBdr>
        <w:top w:val="none" w:sz="0" w:space="0" w:color="auto"/>
        <w:left w:val="none" w:sz="0" w:space="0" w:color="auto"/>
        <w:bottom w:val="none" w:sz="0" w:space="0" w:color="auto"/>
        <w:right w:val="none" w:sz="0" w:space="0" w:color="auto"/>
      </w:divBdr>
    </w:div>
    <w:div w:id="1430733731">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5877847">
      <w:bodyDiv w:val="1"/>
      <w:marLeft w:val="0"/>
      <w:marRight w:val="0"/>
      <w:marTop w:val="0"/>
      <w:marBottom w:val="0"/>
      <w:divBdr>
        <w:top w:val="none" w:sz="0" w:space="0" w:color="auto"/>
        <w:left w:val="none" w:sz="0" w:space="0" w:color="auto"/>
        <w:bottom w:val="none" w:sz="0" w:space="0" w:color="auto"/>
        <w:right w:val="none" w:sz="0" w:space="0" w:color="auto"/>
      </w:divBdr>
    </w:div>
    <w:div w:id="1451819502">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7840464">
      <w:bodyDiv w:val="1"/>
      <w:marLeft w:val="0"/>
      <w:marRight w:val="0"/>
      <w:marTop w:val="0"/>
      <w:marBottom w:val="0"/>
      <w:divBdr>
        <w:top w:val="none" w:sz="0" w:space="0" w:color="auto"/>
        <w:left w:val="none" w:sz="0" w:space="0" w:color="auto"/>
        <w:bottom w:val="none" w:sz="0" w:space="0" w:color="auto"/>
        <w:right w:val="none" w:sz="0" w:space="0" w:color="auto"/>
      </w:divBdr>
    </w:div>
    <w:div w:id="1531845648">
      <w:bodyDiv w:val="1"/>
      <w:marLeft w:val="0"/>
      <w:marRight w:val="0"/>
      <w:marTop w:val="0"/>
      <w:marBottom w:val="0"/>
      <w:divBdr>
        <w:top w:val="none" w:sz="0" w:space="0" w:color="auto"/>
        <w:left w:val="none" w:sz="0" w:space="0" w:color="auto"/>
        <w:bottom w:val="none" w:sz="0" w:space="0" w:color="auto"/>
        <w:right w:val="none" w:sz="0" w:space="0" w:color="auto"/>
      </w:divBdr>
    </w:div>
    <w:div w:id="1547835836">
      <w:bodyDiv w:val="1"/>
      <w:marLeft w:val="0"/>
      <w:marRight w:val="0"/>
      <w:marTop w:val="0"/>
      <w:marBottom w:val="0"/>
      <w:divBdr>
        <w:top w:val="none" w:sz="0" w:space="0" w:color="auto"/>
        <w:left w:val="none" w:sz="0" w:space="0" w:color="auto"/>
        <w:bottom w:val="none" w:sz="0" w:space="0" w:color="auto"/>
        <w:right w:val="none" w:sz="0" w:space="0" w:color="auto"/>
      </w:divBdr>
    </w:div>
    <w:div w:id="1575890155">
      <w:bodyDiv w:val="1"/>
      <w:marLeft w:val="0"/>
      <w:marRight w:val="0"/>
      <w:marTop w:val="0"/>
      <w:marBottom w:val="0"/>
      <w:divBdr>
        <w:top w:val="none" w:sz="0" w:space="0" w:color="auto"/>
        <w:left w:val="none" w:sz="0" w:space="0" w:color="auto"/>
        <w:bottom w:val="none" w:sz="0" w:space="0" w:color="auto"/>
        <w:right w:val="none" w:sz="0" w:space="0" w:color="auto"/>
      </w:divBdr>
    </w:div>
    <w:div w:id="1584413924">
      <w:bodyDiv w:val="1"/>
      <w:marLeft w:val="0"/>
      <w:marRight w:val="0"/>
      <w:marTop w:val="0"/>
      <w:marBottom w:val="0"/>
      <w:divBdr>
        <w:top w:val="none" w:sz="0" w:space="0" w:color="auto"/>
        <w:left w:val="none" w:sz="0" w:space="0" w:color="auto"/>
        <w:bottom w:val="none" w:sz="0" w:space="0" w:color="auto"/>
        <w:right w:val="none" w:sz="0" w:space="0" w:color="auto"/>
      </w:divBdr>
    </w:div>
    <w:div w:id="1589726342">
      <w:bodyDiv w:val="1"/>
      <w:marLeft w:val="0"/>
      <w:marRight w:val="0"/>
      <w:marTop w:val="0"/>
      <w:marBottom w:val="0"/>
      <w:divBdr>
        <w:top w:val="none" w:sz="0" w:space="0" w:color="auto"/>
        <w:left w:val="none" w:sz="0" w:space="0" w:color="auto"/>
        <w:bottom w:val="none" w:sz="0" w:space="0" w:color="auto"/>
        <w:right w:val="none" w:sz="0" w:space="0" w:color="auto"/>
      </w:divBdr>
    </w:div>
    <w:div w:id="1592078768">
      <w:bodyDiv w:val="1"/>
      <w:marLeft w:val="0"/>
      <w:marRight w:val="0"/>
      <w:marTop w:val="0"/>
      <w:marBottom w:val="0"/>
      <w:divBdr>
        <w:top w:val="none" w:sz="0" w:space="0" w:color="auto"/>
        <w:left w:val="none" w:sz="0" w:space="0" w:color="auto"/>
        <w:bottom w:val="none" w:sz="0" w:space="0" w:color="auto"/>
        <w:right w:val="none" w:sz="0" w:space="0" w:color="auto"/>
      </w:divBdr>
    </w:div>
    <w:div w:id="1593736235">
      <w:bodyDiv w:val="1"/>
      <w:marLeft w:val="0"/>
      <w:marRight w:val="0"/>
      <w:marTop w:val="0"/>
      <w:marBottom w:val="0"/>
      <w:divBdr>
        <w:top w:val="none" w:sz="0" w:space="0" w:color="auto"/>
        <w:left w:val="none" w:sz="0" w:space="0" w:color="auto"/>
        <w:bottom w:val="none" w:sz="0" w:space="0" w:color="auto"/>
        <w:right w:val="none" w:sz="0" w:space="0" w:color="auto"/>
      </w:divBdr>
    </w:div>
    <w:div w:id="1603227251">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5746036">
      <w:bodyDiv w:val="1"/>
      <w:marLeft w:val="0"/>
      <w:marRight w:val="0"/>
      <w:marTop w:val="0"/>
      <w:marBottom w:val="0"/>
      <w:divBdr>
        <w:top w:val="none" w:sz="0" w:space="0" w:color="auto"/>
        <w:left w:val="none" w:sz="0" w:space="0" w:color="auto"/>
        <w:bottom w:val="none" w:sz="0" w:space="0" w:color="auto"/>
        <w:right w:val="none" w:sz="0" w:space="0" w:color="auto"/>
      </w:divBdr>
    </w:div>
    <w:div w:id="1635019273">
      <w:bodyDiv w:val="1"/>
      <w:marLeft w:val="0"/>
      <w:marRight w:val="0"/>
      <w:marTop w:val="0"/>
      <w:marBottom w:val="0"/>
      <w:divBdr>
        <w:top w:val="none" w:sz="0" w:space="0" w:color="auto"/>
        <w:left w:val="none" w:sz="0" w:space="0" w:color="auto"/>
        <w:bottom w:val="none" w:sz="0" w:space="0" w:color="auto"/>
        <w:right w:val="none" w:sz="0" w:space="0" w:color="auto"/>
      </w:divBdr>
    </w:div>
    <w:div w:id="1639190068">
      <w:bodyDiv w:val="1"/>
      <w:marLeft w:val="0"/>
      <w:marRight w:val="0"/>
      <w:marTop w:val="0"/>
      <w:marBottom w:val="0"/>
      <w:divBdr>
        <w:top w:val="none" w:sz="0" w:space="0" w:color="auto"/>
        <w:left w:val="none" w:sz="0" w:space="0" w:color="auto"/>
        <w:bottom w:val="none" w:sz="0" w:space="0" w:color="auto"/>
        <w:right w:val="none" w:sz="0" w:space="0" w:color="auto"/>
      </w:divBdr>
    </w:div>
    <w:div w:id="1645771453">
      <w:bodyDiv w:val="1"/>
      <w:marLeft w:val="0"/>
      <w:marRight w:val="0"/>
      <w:marTop w:val="0"/>
      <w:marBottom w:val="0"/>
      <w:divBdr>
        <w:top w:val="none" w:sz="0" w:space="0" w:color="auto"/>
        <w:left w:val="none" w:sz="0" w:space="0" w:color="auto"/>
        <w:bottom w:val="none" w:sz="0" w:space="0" w:color="auto"/>
        <w:right w:val="none" w:sz="0" w:space="0" w:color="auto"/>
      </w:divBdr>
    </w:div>
    <w:div w:id="1647777868">
      <w:bodyDiv w:val="1"/>
      <w:marLeft w:val="0"/>
      <w:marRight w:val="0"/>
      <w:marTop w:val="0"/>
      <w:marBottom w:val="0"/>
      <w:divBdr>
        <w:top w:val="none" w:sz="0" w:space="0" w:color="auto"/>
        <w:left w:val="none" w:sz="0" w:space="0" w:color="auto"/>
        <w:bottom w:val="none" w:sz="0" w:space="0" w:color="auto"/>
        <w:right w:val="none" w:sz="0" w:space="0" w:color="auto"/>
      </w:divBdr>
    </w:div>
    <w:div w:id="1654406134">
      <w:bodyDiv w:val="1"/>
      <w:marLeft w:val="0"/>
      <w:marRight w:val="0"/>
      <w:marTop w:val="0"/>
      <w:marBottom w:val="0"/>
      <w:divBdr>
        <w:top w:val="none" w:sz="0" w:space="0" w:color="auto"/>
        <w:left w:val="none" w:sz="0" w:space="0" w:color="auto"/>
        <w:bottom w:val="none" w:sz="0" w:space="0" w:color="auto"/>
        <w:right w:val="none" w:sz="0" w:space="0" w:color="auto"/>
      </w:divBdr>
    </w:div>
    <w:div w:id="1657219256">
      <w:bodyDiv w:val="1"/>
      <w:marLeft w:val="0"/>
      <w:marRight w:val="0"/>
      <w:marTop w:val="0"/>
      <w:marBottom w:val="0"/>
      <w:divBdr>
        <w:top w:val="none" w:sz="0" w:space="0" w:color="auto"/>
        <w:left w:val="none" w:sz="0" w:space="0" w:color="auto"/>
        <w:bottom w:val="none" w:sz="0" w:space="0" w:color="auto"/>
        <w:right w:val="none" w:sz="0" w:space="0" w:color="auto"/>
      </w:divBdr>
    </w:div>
    <w:div w:id="1667434929">
      <w:bodyDiv w:val="1"/>
      <w:marLeft w:val="0"/>
      <w:marRight w:val="0"/>
      <w:marTop w:val="0"/>
      <w:marBottom w:val="0"/>
      <w:divBdr>
        <w:top w:val="none" w:sz="0" w:space="0" w:color="auto"/>
        <w:left w:val="none" w:sz="0" w:space="0" w:color="auto"/>
        <w:bottom w:val="none" w:sz="0" w:space="0" w:color="auto"/>
        <w:right w:val="none" w:sz="0" w:space="0" w:color="auto"/>
      </w:divBdr>
    </w:div>
    <w:div w:id="1672489172">
      <w:bodyDiv w:val="1"/>
      <w:marLeft w:val="0"/>
      <w:marRight w:val="0"/>
      <w:marTop w:val="0"/>
      <w:marBottom w:val="0"/>
      <w:divBdr>
        <w:top w:val="none" w:sz="0" w:space="0" w:color="auto"/>
        <w:left w:val="none" w:sz="0" w:space="0" w:color="auto"/>
        <w:bottom w:val="none" w:sz="0" w:space="0" w:color="auto"/>
        <w:right w:val="none" w:sz="0" w:space="0" w:color="auto"/>
      </w:divBdr>
    </w:div>
    <w:div w:id="1686052932">
      <w:bodyDiv w:val="1"/>
      <w:marLeft w:val="0"/>
      <w:marRight w:val="0"/>
      <w:marTop w:val="0"/>
      <w:marBottom w:val="0"/>
      <w:divBdr>
        <w:top w:val="none" w:sz="0" w:space="0" w:color="auto"/>
        <w:left w:val="none" w:sz="0" w:space="0" w:color="auto"/>
        <w:bottom w:val="none" w:sz="0" w:space="0" w:color="auto"/>
        <w:right w:val="none" w:sz="0" w:space="0" w:color="auto"/>
      </w:divBdr>
    </w:div>
    <w:div w:id="1690837267">
      <w:bodyDiv w:val="1"/>
      <w:marLeft w:val="0"/>
      <w:marRight w:val="0"/>
      <w:marTop w:val="0"/>
      <w:marBottom w:val="0"/>
      <w:divBdr>
        <w:top w:val="none" w:sz="0" w:space="0" w:color="auto"/>
        <w:left w:val="none" w:sz="0" w:space="0" w:color="auto"/>
        <w:bottom w:val="none" w:sz="0" w:space="0" w:color="auto"/>
        <w:right w:val="none" w:sz="0" w:space="0" w:color="auto"/>
      </w:divBdr>
    </w:div>
    <w:div w:id="1692800694">
      <w:bodyDiv w:val="1"/>
      <w:marLeft w:val="0"/>
      <w:marRight w:val="0"/>
      <w:marTop w:val="0"/>
      <w:marBottom w:val="0"/>
      <w:divBdr>
        <w:top w:val="none" w:sz="0" w:space="0" w:color="auto"/>
        <w:left w:val="none" w:sz="0" w:space="0" w:color="auto"/>
        <w:bottom w:val="none" w:sz="0" w:space="0" w:color="auto"/>
        <w:right w:val="none" w:sz="0" w:space="0" w:color="auto"/>
      </w:divBdr>
      <w:divsChild>
        <w:div w:id="1935362339">
          <w:marLeft w:val="0"/>
          <w:marRight w:val="0"/>
          <w:marTop w:val="0"/>
          <w:marBottom w:val="0"/>
          <w:divBdr>
            <w:top w:val="none" w:sz="0" w:space="0" w:color="auto"/>
            <w:left w:val="none" w:sz="0" w:space="0" w:color="auto"/>
            <w:bottom w:val="none" w:sz="0" w:space="0" w:color="auto"/>
            <w:right w:val="none" w:sz="0" w:space="0" w:color="auto"/>
          </w:divBdr>
        </w:div>
        <w:div w:id="2052802845">
          <w:marLeft w:val="0"/>
          <w:marRight w:val="0"/>
          <w:marTop w:val="0"/>
          <w:marBottom w:val="0"/>
          <w:divBdr>
            <w:top w:val="none" w:sz="0" w:space="0" w:color="auto"/>
            <w:left w:val="none" w:sz="0" w:space="0" w:color="auto"/>
            <w:bottom w:val="none" w:sz="0" w:space="0" w:color="auto"/>
            <w:right w:val="none" w:sz="0" w:space="0" w:color="auto"/>
          </w:divBdr>
          <w:divsChild>
            <w:div w:id="1722634329">
              <w:marLeft w:val="-75"/>
              <w:marRight w:val="0"/>
              <w:marTop w:val="30"/>
              <w:marBottom w:val="30"/>
              <w:divBdr>
                <w:top w:val="none" w:sz="0" w:space="0" w:color="auto"/>
                <w:left w:val="none" w:sz="0" w:space="0" w:color="auto"/>
                <w:bottom w:val="none" w:sz="0" w:space="0" w:color="auto"/>
                <w:right w:val="none" w:sz="0" w:space="0" w:color="auto"/>
              </w:divBdr>
              <w:divsChild>
                <w:div w:id="13727182">
                  <w:marLeft w:val="0"/>
                  <w:marRight w:val="0"/>
                  <w:marTop w:val="0"/>
                  <w:marBottom w:val="0"/>
                  <w:divBdr>
                    <w:top w:val="none" w:sz="0" w:space="0" w:color="auto"/>
                    <w:left w:val="none" w:sz="0" w:space="0" w:color="auto"/>
                    <w:bottom w:val="none" w:sz="0" w:space="0" w:color="auto"/>
                    <w:right w:val="none" w:sz="0" w:space="0" w:color="auto"/>
                  </w:divBdr>
                  <w:divsChild>
                    <w:div w:id="1404256237">
                      <w:marLeft w:val="0"/>
                      <w:marRight w:val="0"/>
                      <w:marTop w:val="0"/>
                      <w:marBottom w:val="0"/>
                      <w:divBdr>
                        <w:top w:val="none" w:sz="0" w:space="0" w:color="auto"/>
                        <w:left w:val="none" w:sz="0" w:space="0" w:color="auto"/>
                        <w:bottom w:val="none" w:sz="0" w:space="0" w:color="auto"/>
                        <w:right w:val="none" w:sz="0" w:space="0" w:color="auto"/>
                      </w:divBdr>
                    </w:div>
                  </w:divsChild>
                </w:div>
                <w:div w:id="57287226">
                  <w:marLeft w:val="0"/>
                  <w:marRight w:val="0"/>
                  <w:marTop w:val="0"/>
                  <w:marBottom w:val="0"/>
                  <w:divBdr>
                    <w:top w:val="none" w:sz="0" w:space="0" w:color="auto"/>
                    <w:left w:val="none" w:sz="0" w:space="0" w:color="auto"/>
                    <w:bottom w:val="none" w:sz="0" w:space="0" w:color="auto"/>
                    <w:right w:val="none" w:sz="0" w:space="0" w:color="auto"/>
                  </w:divBdr>
                  <w:divsChild>
                    <w:div w:id="2035229785">
                      <w:marLeft w:val="0"/>
                      <w:marRight w:val="0"/>
                      <w:marTop w:val="0"/>
                      <w:marBottom w:val="0"/>
                      <w:divBdr>
                        <w:top w:val="none" w:sz="0" w:space="0" w:color="auto"/>
                        <w:left w:val="none" w:sz="0" w:space="0" w:color="auto"/>
                        <w:bottom w:val="none" w:sz="0" w:space="0" w:color="auto"/>
                        <w:right w:val="none" w:sz="0" w:space="0" w:color="auto"/>
                      </w:divBdr>
                    </w:div>
                  </w:divsChild>
                </w:div>
                <w:div w:id="62534775">
                  <w:marLeft w:val="0"/>
                  <w:marRight w:val="0"/>
                  <w:marTop w:val="0"/>
                  <w:marBottom w:val="0"/>
                  <w:divBdr>
                    <w:top w:val="none" w:sz="0" w:space="0" w:color="auto"/>
                    <w:left w:val="none" w:sz="0" w:space="0" w:color="auto"/>
                    <w:bottom w:val="none" w:sz="0" w:space="0" w:color="auto"/>
                    <w:right w:val="none" w:sz="0" w:space="0" w:color="auto"/>
                  </w:divBdr>
                  <w:divsChild>
                    <w:div w:id="275989686">
                      <w:marLeft w:val="0"/>
                      <w:marRight w:val="0"/>
                      <w:marTop w:val="0"/>
                      <w:marBottom w:val="0"/>
                      <w:divBdr>
                        <w:top w:val="none" w:sz="0" w:space="0" w:color="auto"/>
                        <w:left w:val="none" w:sz="0" w:space="0" w:color="auto"/>
                        <w:bottom w:val="none" w:sz="0" w:space="0" w:color="auto"/>
                        <w:right w:val="none" w:sz="0" w:space="0" w:color="auto"/>
                      </w:divBdr>
                    </w:div>
                  </w:divsChild>
                </w:div>
                <w:div w:id="74010662">
                  <w:marLeft w:val="0"/>
                  <w:marRight w:val="0"/>
                  <w:marTop w:val="0"/>
                  <w:marBottom w:val="0"/>
                  <w:divBdr>
                    <w:top w:val="none" w:sz="0" w:space="0" w:color="auto"/>
                    <w:left w:val="none" w:sz="0" w:space="0" w:color="auto"/>
                    <w:bottom w:val="none" w:sz="0" w:space="0" w:color="auto"/>
                    <w:right w:val="none" w:sz="0" w:space="0" w:color="auto"/>
                  </w:divBdr>
                  <w:divsChild>
                    <w:div w:id="174853982">
                      <w:marLeft w:val="0"/>
                      <w:marRight w:val="0"/>
                      <w:marTop w:val="0"/>
                      <w:marBottom w:val="0"/>
                      <w:divBdr>
                        <w:top w:val="none" w:sz="0" w:space="0" w:color="auto"/>
                        <w:left w:val="none" w:sz="0" w:space="0" w:color="auto"/>
                        <w:bottom w:val="none" w:sz="0" w:space="0" w:color="auto"/>
                        <w:right w:val="none" w:sz="0" w:space="0" w:color="auto"/>
                      </w:divBdr>
                    </w:div>
                  </w:divsChild>
                </w:div>
                <w:div w:id="81416700">
                  <w:marLeft w:val="0"/>
                  <w:marRight w:val="0"/>
                  <w:marTop w:val="0"/>
                  <w:marBottom w:val="0"/>
                  <w:divBdr>
                    <w:top w:val="none" w:sz="0" w:space="0" w:color="auto"/>
                    <w:left w:val="none" w:sz="0" w:space="0" w:color="auto"/>
                    <w:bottom w:val="none" w:sz="0" w:space="0" w:color="auto"/>
                    <w:right w:val="none" w:sz="0" w:space="0" w:color="auto"/>
                  </w:divBdr>
                  <w:divsChild>
                    <w:div w:id="1195581676">
                      <w:marLeft w:val="0"/>
                      <w:marRight w:val="0"/>
                      <w:marTop w:val="0"/>
                      <w:marBottom w:val="0"/>
                      <w:divBdr>
                        <w:top w:val="none" w:sz="0" w:space="0" w:color="auto"/>
                        <w:left w:val="none" w:sz="0" w:space="0" w:color="auto"/>
                        <w:bottom w:val="none" w:sz="0" w:space="0" w:color="auto"/>
                        <w:right w:val="none" w:sz="0" w:space="0" w:color="auto"/>
                      </w:divBdr>
                    </w:div>
                  </w:divsChild>
                </w:div>
                <w:div w:id="137654759">
                  <w:marLeft w:val="0"/>
                  <w:marRight w:val="0"/>
                  <w:marTop w:val="0"/>
                  <w:marBottom w:val="0"/>
                  <w:divBdr>
                    <w:top w:val="none" w:sz="0" w:space="0" w:color="auto"/>
                    <w:left w:val="none" w:sz="0" w:space="0" w:color="auto"/>
                    <w:bottom w:val="none" w:sz="0" w:space="0" w:color="auto"/>
                    <w:right w:val="none" w:sz="0" w:space="0" w:color="auto"/>
                  </w:divBdr>
                  <w:divsChild>
                    <w:div w:id="701051150">
                      <w:marLeft w:val="0"/>
                      <w:marRight w:val="0"/>
                      <w:marTop w:val="0"/>
                      <w:marBottom w:val="0"/>
                      <w:divBdr>
                        <w:top w:val="none" w:sz="0" w:space="0" w:color="auto"/>
                        <w:left w:val="none" w:sz="0" w:space="0" w:color="auto"/>
                        <w:bottom w:val="none" w:sz="0" w:space="0" w:color="auto"/>
                        <w:right w:val="none" w:sz="0" w:space="0" w:color="auto"/>
                      </w:divBdr>
                    </w:div>
                  </w:divsChild>
                </w:div>
                <w:div w:id="140930309">
                  <w:marLeft w:val="0"/>
                  <w:marRight w:val="0"/>
                  <w:marTop w:val="0"/>
                  <w:marBottom w:val="0"/>
                  <w:divBdr>
                    <w:top w:val="none" w:sz="0" w:space="0" w:color="auto"/>
                    <w:left w:val="none" w:sz="0" w:space="0" w:color="auto"/>
                    <w:bottom w:val="none" w:sz="0" w:space="0" w:color="auto"/>
                    <w:right w:val="none" w:sz="0" w:space="0" w:color="auto"/>
                  </w:divBdr>
                  <w:divsChild>
                    <w:div w:id="1242105216">
                      <w:marLeft w:val="0"/>
                      <w:marRight w:val="0"/>
                      <w:marTop w:val="0"/>
                      <w:marBottom w:val="0"/>
                      <w:divBdr>
                        <w:top w:val="none" w:sz="0" w:space="0" w:color="auto"/>
                        <w:left w:val="none" w:sz="0" w:space="0" w:color="auto"/>
                        <w:bottom w:val="none" w:sz="0" w:space="0" w:color="auto"/>
                        <w:right w:val="none" w:sz="0" w:space="0" w:color="auto"/>
                      </w:divBdr>
                    </w:div>
                  </w:divsChild>
                </w:div>
                <w:div w:id="155194428">
                  <w:marLeft w:val="0"/>
                  <w:marRight w:val="0"/>
                  <w:marTop w:val="0"/>
                  <w:marBottom w:val="0"/>
                  <w:divBdr>
                    <w:top w:val="none" w:sz="0" w:space="0" w:color="auto"/>
                    <w:left w:val="none" w:sz="0" w:space="0" w:color="auto"/>
                    <w:bottom w:val="none" w:sz="0" w:space="0" w:color="auto"/>
                    <w:right w:val="none" w:sz="0" w:space="0" w:color="auto"/>
                  </w:divBdr>
                  <w:divsChild>
                    <w:div w:id="533232732">
                      <w:marLeft w:val="0"/>
                      <w:marRight w:val="0"/>
                      <w:marTop w:val="0"/>
                      <w:marBottom w:val="0"/>
                      <w:divBdr>
                        <w:top w:val="none" w:sz="0" w:space="0" w:color="auto"/>
                        <w:left w:val="none" w:sz="0" w:space="0" w:color="auto"/>
                        <w:bottom w:val="none" w:sz="0" w:space="0" w:color="auto"/>
                        <w:right w:val="none" w:sz="0" w:space="0" w:color="auto"/>
                      </w:divBdr>
                    </w:div>
                  </w:divsChild>
                </w:div>
                <w:div w:id="165949963">
                  <w:marLeft w:val="0"/>
                  <w:marRight w:val="0"/>
                  <w:marTop w:val="0"/>
                  <w:marBottom w:val="0"/>
                  <w:divBdr>
                    <w:top w:val="none" w:sz="0" w:space="0" w:color="auto"/>
                    <w:left w:val="none" w:sz="0" w:space="0" w:color="auto"/>
                    <w:bottom w:val="none" w:sz="0" w:space="0" w:color="auto"/>
                    <w:right w:val="none" w:sz="0" w:space="0" w:color="auto"/>
                  </w:divBdr>
                  <w:divsChild>
                    <w:div w:id="1457523076">
                      <w:marLeft w:val="0"/>
                      <w:marRight w:val="0"/>
                      <w:marTop w:val="0"/>
                      <w:marBottom w:val="0"/>
                      <w:divBdr>
                        <w:top w:val="none" w:sz="0" w:space="0" w:color="auto"/>
                        <w:left w:val="none" w:sz="0" w:space="0" w:color="auto"/>
                        <w:bottom w:val="none" w:sz="0" w:space="0" w:color="auto"/>
                        <w:right w:val="none" w:sz="0" w:space="0" w:color="auto"/>
                      </w:divBdr>
                    </w:div>
                  </w:divsChild>
                </w:div>
                <w:div w:id="173230149">
                  <w:marLeft w:val="0"/>
                  <w:marRight w:val="0"/>
                  <w:marTop w:val="0"/>
                  <w:marBottom w:val="0"/>
                  <w:divBdr>
                    <w:top w:val="none" w:sz="0" w:space="0" w:color="auto"/>
                    <w:left w:val="none" w:sz="0" w:space="0" w:color="auto"/>
                    <w:bottom w:val="none" w:sz="0" w:space="0" w:color="auto"/>
                    <w:right w:val="none" w:sz="0" w:space="0" w:color="auto"/>
                  </w:divBdr>
                  <w:divsChild>
                    <w:div w:id="769620717">
                      <w:marLeft w:val="0"/>
                      <w:marRight w:val="0"/>
                      <w:marTop w:val="0"/>
                      <w:marBottom w:val="0"/>
                      <w:divBdr>
                        <w:top w:val="none" w:sz="0" w:space="0" w:color="auto"/>
                        <w:left w:val="none" w:sz="0" w:space="0" w:color="auto"/>
                        <w:bottom w:val="none" w:sz="0" w:space="0" w:color="auto"/>
                        <w:right w:val="none" w:sz="0" w:space="0" w:color="auto"/>
                      </w:divBdr>
                    </w:div>
                  </w:divsChild>
                </w:div>
                <w:div w:id="177892544">
                  <w:marLeft w:val="0"/>
                  <w:marRight w:val="0"/>
                  <w:marTop w:val="0"/>
                  <w:marBottom w:val="0"/>
                  <w:divBdr>
                    <w:top w:val="none" w:sz="0" w:space="0" w:color="auto"/>
                    <w:left w:val="none" w:sz="0" w:space="0" w:color="auto"/>
                    <w:bottom w:val="none" w:sz="0" w:space="0" w:color="auto"/>
                    <w:right w:val="none" w:sz="0" w:space="0" w:color="auto"/>
                  </w:divBdr>
                  <w:divsChild>
                    <w:div w:id="264650750">
                      <w:marLeft w:val="0"/>
                      <w:marRight w:val="0"/>
                      <w:marTop w:val="0"/>
                      <w:marBottom w:val="0"/>
                      <w:divBdr>
                        <w:top w:val="none" w:sz="0" w:space="0" w:color="auto"/>
                        <w:left w:val="none" w:sz="0" w:space="0" w:color="auto"/>
                        <w:bottom w:val="none" w:sz="0" w:space="0" w:color="auto"/>
                        <w:right w:val="none" w:sz="0" w:space="0" w:color="auto"/>
                      </w:divBdr>
                    </w:div>
                  </w:divsChild>
                </w:div>
                <w:div w:id="225839766">
                  <w:marLeft w:val="0"/>
                  <w:marRight w:val="0"/>
                  <w:marTop w:val="0"/>
                  <w:marBottom w:val="0"/>
                  <w:divBdr>
                    <w:top w:val="none" w:sz="0" w:space="0" w:color="auto"/>
                    <w:left w:val="none" w:sz="0" w:space="0" w:color="auto"/>
                    <w:bottom w:val="none" w:sz="0" w:space="0" w:color="auto"/>
                    <w:right w:val="none" w:sz="0" w:space="0" w:color="auto"/>
                  </w:divBdr>
                  <w:divsChild>
                    <w:div w:id="608778751">
                      <w:marLeft w:val="0"/>
                      <w:marRight w:val="0"/>
                      <w:marTop w:val="0"/>
                      <w:marBottom w:val="0"/>
                      <w:divBdr>
                        <w:top w:val="none" w:sz="0" w:space="0" w:color="auto"/>
                        <w:left w:val="none" w:sz="0" w:space="0" w:color="auto"/>
                        <w:bottom w:val="none" w:sz="0" w:space="0" w:color="auto"/>
                        <w:right w:val="none" w:sz="0" w:space="0" w:color="auto"/>
                      </w:divBdr>
                    </w:div>
                  </w:divsChild>
                </w:div>
                <w:div w:id="233129195">
                  <w:marLeft w:val="0"/>
                  <w:marRight w:val="0"/>
                  <w:marTop w:val="0"/>
                  <w:marBottom w:val="0"/>
                  <w:divBdr>
                    <w:top w:val="none" w:sz="0" w:space="0" w:color="auto"/>
                    <w:left w:val="none" w:sz="0" w:space="0" w:color="auto"/>
                    <w:bottom w:val="none" w:sz="0" w:space="0" w:color="auto"/>
                    <w:right w:val="none" w:sz="0" w:space="0" w:color="auto"/>
                  </w:divBdr>
                  <w:divsChild>
                    <w:div w:id="1377119689">
                      <w:marLeft w:val="0"/>
                      <w:marRight w:val="0"/>
                      <w:marTop w:val="0"/>
                      <w:marBottom w:val="0"/>
                      <w:divBdr>
                        <w:top w:val="none" w:sz="0" w:space="0" w:color="auto"/>
                        <w:left w:val="none" w:sz="0" w:space="0" w:color="auto"/>
                        <w:bottom w:val="none" w:sz="0" w:space="0" w:color="auto"/>
                        <w:right w:val="none" w:sz="0" w:space="0" w:color="auto"/>
                      </w:divBdr>
                    </w:div>
                  </w:divsChild>
                </w:div>
                <w:div w:id="277834399">
                  <w:marLeft w:val="0"/>
                  <w:marRight w:val="0"/>
                  <w:marTop w:val="0"/>
                  <w:marBottom w:val="0"/>
                  <w:divBdr>
                    <w:top w:val="none" w:sz="0" w:space="0" w:color="auto"/>
                    <w:left w:val="none" w:sz="0" w:space="0" w:color="auto"/>
                    <w:bottom w:val="none" w:sz="0" w:space="0" w:color="auto"/>
                    <w:right w:val="none" w:sz="0" w:space="0" w:color="auto"/>
                  </w:divBdr>
                  <w:divsChild>
                    <w:div w:id="1608464155">
                      <w:marLeft w:val="0"/>
                      <w:marRight w:val="0"/>
                      <w:marTop w:val="0"/>
                      <w:marBottom w:val="0"/>
                      <w:divBdr>
                        <w:top w:val="none" w:sz="0" w:space="0" w:color="auto"/>
                        <w:left w:val="none" w:sz="0" w:space="0" w:color="auto"/>
                        <w:bottom w:val="none" w:sz="0" w:space="0" w:color="auto"/>
                        <w:right w:val="none" w:sz="0" w:space="0" w:color="auto"/>
                      </w:divBdr>
                    </w:div>
                  </w:divsChild>
                </w:div>
                <w:div w:id="283004799">
                  <w:marLeft w:val="0"/>
                  <w:marRight w:val="0"/>
                  <w:marTop w:val="0"/>
                  <w:marBottom w:val="0"/>
                  <w:divBdr>
                    <w:top w:val="none" w:sz="0" w:space="0" w:color="auto"/>
                    <w:left w:val="none" w:sz="0" w:space="0" w:color="auto"/>
                    <w:bottom w:val="none" w:sz="0" w:space="0" w:color="auto"/>
                    <w:right w:val="none" w:sz="0" w:space="0" w:color="auto"/>
                  </w:divBdr>
                  <w:divsChild>
                    <w:div w:id="1547986975">
                      <w:marLeft w:val="0"/>
                      <w:marRight w:val="0"/>
                      <w:marTop w:val="0"/>
                      <w:marBottom w:val="0"/>
                      <w:divBdr>
                        <w:top w:val="none" w:sz="0" w:space="0" w:color="auto"/>
                        <w:left w:val="none" w:sz="0" w:space="0" w:color="auto"/>
                        <w:bottom w:val="none" w:sz="0" w:space="0" w:color="auto"/>
                        <w:right w:val="none" w:sz="0" w:space="0" w:color="auto"/>
                      </w:divBdr>
                    </w:div>
                  </w:divsChild>
                </w:div>
                <w:div w:id="304629212">
                  <w:marLeft w:val="0"/>
                  <w:marRight w:val="0"/>
                  <w:marTop w:val="0"/>
                  <w:marBottom w:val="0"/>
                  <w:divBdr>
                    <w:top w:val="none" w:sz="0" w:space="0" w:color="auto"/>
                    <w:left w:val="none" w:sz="0" w:space="0" w:color="auto"/>
                    <w:bottom w:val="none" w:sz="0" w:space="0" w:color="auto"/>
                    <w:right w:val="none" w:sz="0" w:space="0" w:color="auto"/>
                  </w:divBdr>
                  <w:divsChild>
                    <w:div w:id="1891459229">
                      <w:marLeft w:val="0"/>
                      <w:marRight w:val="0"/>
                      <w:marTop w:val="0"/>
                      <w:marBottom w:val="0"/>
                      <w:divBdr>
                        <w:top w:val="none" w:sz="0" w:space="0" w:color="auto"/>
                        <w:left w:val="none" w:sz="0" w:space="0" w:color="auto"/>
                        <w:bottom w:val="none" w:sz="0" w:space="0" w:color="auto"/>
                        <w:right w:val="none" w:sz="0" w:space="0" w:color="auto"/>
                      </w:divBdr>
                    </w:div>
                  </w:divsChild>
                </w:div>
                <w:div w:id="323709447">
                  <w:marLeft w:val="0"/>
                  <w:marRight w:val="0"/>
                  <w:marTop w:val="0"/>
                  <w:marBottom w:val="0"/>
                  <w:divBdr>
                    <w:top w:val="none" w:sz="0" w:space="0" w:color="auto"/>
                    <w:left w:val="none" w:sz="0" w:space="0" w:color="auto"/>
                    <w:bottom w:val="none" w:sz="0" w:space="0" w:color="auto"/>
                    <w:right w:val="none" w:sz="0" w:space="0" w:color="auto"/>
                  </w:divBdr>
                  <w:divsChild>
                    <w:div w:id="675113745">
                      <w:marLeft w:val="0"/>
                      <w:marRight w:val="0"/>
                      <w:marTop w:val="0"/>
                      <w:marBottom w:val="0"/>
                      <w:divBdr>
                        <w:top w:val="none" w:sz="0" w:space="0" w:color="auto"/>
                        <w:left w:val="none" w:sz="0" w:space="0" w:color="auto"/>
                        <w:bottom w:val="none" w:sz="0" w:space="0" w:color="auto"/>
                        <w:right w:val="none" w:sz="0" w:space="0" w:color="auto"/>
                      </w:divBdr>
                    </w:div>
                  </w:divsChild>
                </w:div>
                <w:div w:id="355734808">
                  <w:marLeft w:val="0"/>
                  <w:marRight w:val="0"/>
                  <w:marTop w:val="0"/>
                  <w:marBottom w:val="0"/>
                  <w:divBdr>
                    <w:top w:val="none" w:sz="0" w:space="0" w:color="auto"/>
                    <w:left w:val="none" w:sz="0" w:space="0" w:color="auto"/>
                    <w:bottom w:val="none" w:sz="0" w:space="0" w:color="auto"/>
                    <w:right w:val="none" w:sz="0" w:space="0" w:color="auto"/>
                  </w:divBdr>
                  <w:divsChild>
                    <w:div w:id="207113459">
                      <w:marLeft w:val="0"/>
                      <w:marRight w:val="0"/>
                      <w:marTop w:val="0"/>
                      <w:marBottom w:val="0"/>
                      <w:divBdr>
                        <w:top w:val="none" w:sz="0" w:space="0" w:color="auto"/>
                        <w:left w:val="none" w:sz="0" w:space="0" w:color="auto"/>
                        <w:bottom w:val="none" w:sz="0" w:space="0" w:color="auto"/>
                        <w:right w:val="none" w:sz="0" w:space="0" w:color="auto"/>
                      </w:divBdr>
                    </w:div>
                  </w:divsChild>
                </w:div>
                <w:div w:id="392391167">
                  <w:marLeft w:val="0"/>
                  <w:marRight w:val="0"/>
                  <w:marTop w:val="0"/>
                  <w:marBottom w:val="0"/>
                  <w:divBdr>
                    <w:top w:val="none" w:sz="0" w:space="0" w:color="auto"/>
                    <w:left w:val="none" w:sz="0" w:space="0" w:color="auto"/>
                    <w:bottom w:val="none" w:sz="0" w:space="0" w:color="auto"/>
                    <w:right w:val="none" w:sz="0" w:space="0" w:color="auto"/>
                  </w:divBdr>
                  <w:divsChild>
                    <w:div w:id="1607149411">
                      <w:marLeft w:val="0"/>
                      <w:marRight w:val="0"/>
                      <w:marTop w:val="0"/>
                      <w:marBottom w:val="0"/>
                      <w:divBdr>
                        <w:top w:val="none" w:sz="0" w:space="0" w:color="auto"/>
                        <w:left w:val="none" w:sz="0" w:space="0" w:color="auto"/>
                        <w:bottom w:val="none" w:sz="0" w:space="0" w:color="auto"/>
                        <w:right w:val="none" w:sz="0" w:space="0" w:color="auto"/>
                      </w:divBdr>
                    </w:div>
                  </w:divsChild>
                </w:div>
                <w:div w:id="396561771">
                  <w:marLeft w:val="0"/>
                  <w:marRight w:val="0"/>
                  <w:marTop w:val="0"/>
                  <w:marBottom w:val="0"/>
                  <w:divBdr>
                    <w:top w:val="none" w:sz="0" w:space="0" w:color="auto"/>
                    <w:left w:val="none" w:sz="0" w:space="0" w:color="auto"/>
                    <w:bottom w:val="none" w:sz="0" w:space="0" w:color="auto"/>
                    <w:right w:val="none" w:sz="0" w:space="0" w:color="auto"/>
                  </w:divBdr>
                  <w:divsChild>
                    <w:div w:id="1558206694">
                      <w:marLeft w:val="0"/>
                      <w:marRight w:val="0"/>
                      <w:marTop w:val="0"/>
                      <w:marBottom w:val="0"/>
                      <w:divBdr>
                        <w:top w:val="none" w:sz="0" w:space="0" w:color="auto"/>
                        <w:left w:val="none" w:sz="0" w:space="0" w:color="auto"/>
                        <w:bottom w:val="none" w:sz="0" w:space="0" w:color="auto"/>
                        <w:right w:val="none" w:sz="0" w:space="0" w:color="auto"/>
                      </w:divBdr>
                    </w:div>
                  </w:divsChild>
                </w:div>
                <w:div w:id="405146971">
                  <w:marLeft w:val="0"/>
                  <w:marRight w:val="0"/>
                  <w:marTop w:val="0"/>
                  <w:marBottom w:val="0"/>
                  <w:divBdr>
                    <w:top w:val="none" w:sz="0" w:space="0" w:color="auto"/>
                    <w:left w:val="none" w:sz="0" w:space="0" w:color="auto"/>
                    <w:bottom w:val="none" w:sz="0" w:space="0" w:color="auto"/>
                    <w:right w:val="none" w:sz="0" w:space="0" w:color="auto"/>
                  </w:divBdr>
                  <w:divsChild>
                    <w:div w:id="653491246">
                      <w:marLeft w:val="0"/>
                      <w:marRight w:val="0"/>
                      <w:marTop w:val="0"/>
                      <w:marBottom w:val="0"/>
                      <w:divBdr>
                        <w:top w:val="none" w:sz="0" w:space="0" w:color="auto"/>
                        <w:left w:val="none" w:sz="0" w:space="0" w:color="auto"/>
                        <w:bottom w:val="none" w:sz="0" w:space="0" w:color="auto"/>
                        <w:right w:val="none" w:sz="0" w:space="0" w:color="auto"/>
                      </w:divBdr>
                    </w:div>
                  </w:divsChild>
                </w:div>
                <w:div w:id="413094395">
                  <w:marLeft w:val="0"/>
                  <w:marRight w:val="0"/>
                  <w:marTop w:val="0"/>
                  <w:marBottom w:val="0"/>
                  <w:divBdr>
                    <w:top w:val="none" w:sz="0" w:space="0" w:color="auto"/>
                    <w:left w:val="none" w:sz="0" w:space="0" w:color="auto"/>
                    <w:bottom w:val="none" w:sz="0" w:space="0" w:color="auto"/>
                    <w:right w:val="none" w:sz="0" w:space="0" w:color="auto"/>
                  </w:divBdr>
                  <w:divsChild>
                    <w:div w:id="1400832014">
                      <w:marLeft w:val="0"/>
                      <w:marRight w:val="0"/>
                      <w:marTop w:val="0"/>
                      <w:marBottom w:val="0"/>
                      <w:divBdr>
                        <w:top w:val="none" w:sz="0" w:space="0" w:color="auto"/>
                        <w:left w:val="none" w:sz="0" w:space="0" w:color="auto"/>
                        <w:bottom w:val="none" w:sz="0" w:space="0" w:color="auto"/>
                        <w:right w:val="none" w:sz="0" w:space="0" w:color="auto"/>
                      </w:divBdr>
                    </w:div>
                  </w:divsChild>
                </w:div>
                <w:div w:id="446122257">
                  <w:marLeft w:val="0"/>
                  <w:marRight w:val="0"/>
                  <w:marTop w:val="0"/>
                  <w:marBottom w:val="0"/>
                  <w:divBdr>
                    <w:top w:val="none" w:sz="0" w:space="0" w:color="auto"/>
                    <w:left w:val="none" w:sz="0" w:space="0" w:color="auto"/>
                    <w:bottom w:val="none" w:sz="0" w:space="0" w:color="auto"/>
                    <w:right w:val="none" w:sz="0" w:space="0" w:color="auto"/>
                  </w:divBdr>
                  <w:divsChild>
                    <w:div w:id="1283027463">
                      <w:marLeft w:val="0"/>
                      <w:marRight w:val="0"/>
                      <w:marTop w:val="0"/>
                      <w:marBottom w:val="0"/>
                      <w:divBdr>
                        <w:top w:val="none" w:sz="0" w:space="0" w:color="auto"/>
                        <w:left w:val="none" w:sz="0" w:space="0" w:color="auto"/>
                        <w:bottom w:val="none" w:sz="0" w:space="0" w:color="auto"/>
                        <w:right w:val="none" w:sz="0" w:space="0" w:color="auto"/>
                      </w:divBdr>
                    </w:div>
                  </w:divsChild>
                </w:div>
                <w:div w:id="446582018">
                  <w:marLeft w:val="0"/>
                  <w:marRight w:val="0"/>
                  <w:marTop w:val="0"/>
                  <w:marBottom w:val="0"/>
                  <w:divBdr>
                    <w:top w:val="none" w:sz="0" w:space="0" w:color="auto"/>
                    <w:left w:val="none" w:sz="0" w:space="0" w:color="auto"/>
                    <w:bottom w:val="none" w:sz="0" w:space="0" w:color="auto"/>
                    <w:right w:val="none" w:sz="0" w:space="0" w:color="auto"/>
                  </w:divBdr>
                  <w:divsChild>
                    <w:div w:id="537553174">
                      <w:marLeft w:val="0"/>
                      <w:marRight w:val="0"/>
                      <w:marTop w:val="0"/>
                      <w:marBottom w:val="0"/>
                      <w:divBdr>
                        <w:top w:val="none" w:sz="0" w:space="0" w:color="auto"/>
                        <w:left w:val="none" w:sz="0" w:space="0" w:color="auto"/>
                        <w:bottom w:val="none" w:sz="0" w:space="0" w:color="auto"/>
                        <w:right w:val="none" w:sz="0" w:space="0" w:color="auto"/>
                      </w:divBdr>
                    </w:div>
                  </w:divsChild>
                </w:div>
                <w:div w:id="474301934">
                  <w:marLeft w:val="0"/>
                  <w:marRight w:val="0"/>
                  <w:marTop w:val="0"/>
                  <w:marBottom w:val="0"/>
                  <w:divBdr>
                    <w:top w:val="none" w:sz="0" w:space="0" w:color="auto"/>
                    <w:left w:val="none" w:sz="0" w:space="0" w:color="auto"/>
                    <w:bottom w:val="none" w:sz="0" w:space="0" w:color="auto"/>
                    <w:right w:val="none" w:sz="0" w:space="0" w:color="auto"/>
                  </w:divBdr>
                  <w:divsChild>
                    <w:div w:id="555707437">
                      <w:marLeft w:val="0"/>
                      <w:marRight w:val="0"/>
                      <w:marTop w:val="0"/>
                      <w:marBottom w:val="0"/>
                      <w:divBdr>
                        <w:top w:val="none" w:sz="0" w:space="0" w:color="auto"/>
                        <w:left w:val="none" w:sz="0" w:space="0" w:color="auto"/>
                        <w:bottom w:val="none" w:sz="0" w:space="0" w:color="auto"/>
                        <w:right w:val="none" w:sz="0" w:space="0" w:color="auto"/>
                      </w:divBdr>
                    </w:div>
                  </w:divsChild>
                </w:div>
                <w:div w:id="475027446">
                  <w:marLeft w:val="0"/>
                  <w:marRight w:val="0"/>
                  <w:marTop w:val="0"/>
                  <w:marBottom w:val="0"/>
                  <w:divBdr>
                    <w:top w:val="none" w:sz="0" w:space="0" w:color="auto"/>
                    <w:left w:val="none" w:sz="0" w:space="0" w:color="auto"/>
                    <w:bottom w:val="none" w:sz="0" w:space="0" w:color="auto"/>
                    <w:right w:val="none" w:sz="0" w:space="0" w:color="auto"/>
                  </w:divBdr>
                  <w:divsChild>
                    <w:div w:id="272826836">
                      <w:marLeft w:val="0"/>
                      <w:marRight w:val="0"/>
                      <w:marTop w:val="0"/>
                      <w:marBottom w:val="0"/>
                      <w:divBdr>
                        <w:top w:val="none" w:sz="0" w:space="0" w:color="auto"/>
                        <w:left w:val="none" w:sz="0" w:space="0" w:color="auto"/>
                        <w:bottom w:val="none" w:sz="0" w:space="0" w:color="auto"/>
                        <w:right w:val="none" w:sz="0" w:space="0" w:color="auto"/>
                      </w:divBdr>
                    </w:div>
                  </w:divsChild>
                </w:div>
                <w:div w:id="509224006">
                  <w:marLeft w:val="0"/>
                  <w:marRight w:val="0"/>
                  <w:marTop w:val="0"/>
                  <w:marBottom w:val="0"/>
                  <w:divBdr>
                    <w:top w:val="none" w:sz="0" w:space="0" w:color="auto"/>
                    <w:left w:val="none" w:sz="0" w:space="0" w:color="auto"/>
                    <w:bottom w:val="none" w:sz="0" w:space="0" w:color="auto"/>
                    <w:right w:val="none" w:sz="0" w:space="0" w:color="auto"/>
                  </w:divBdr>
                  <w:divsChild>
                    <w:div w:id="1056778721">
                      <w:marLeft w:val="0"/>
                      <w:marRight w:val="0"/>
                      <w:marTop w:val="0"/>
                      <w:marBottom w:val="0"/>
                      <w:divBdr>
                        <w:top w:val="none" w:sz="0" w:space="0" w:color="auto"/>
                        <w:left w:val="none" w:sz="0" w:space="0" w:color="auto"/>
                        <w:bottom w:val="none" w:sz="0" w:space="0" w:color="auto"/>
                        <w:right w:val="none" w:sz="0" w:space="0" w:color="auto"/>
                      </w:divBdr>
                    </w:div>
                  </w:divsChild>
                </w:div>
                <w:div w:id="517354155">
                  <w:marLeft w:val="0"/>
                  <w:marRight w:val="0"/>
                  <w:marTop w:val="0"/>
                  <w:marBottom w:val="0"/>
                  <w:divBdr>
                    <w:top w:val="none" w:sz="0" w:space="0" w:color="auto"/>
                    <w:left w:val="none" w:sz="0" w:space="0" w:color="auto"/>
                    <w:bottom w:val="none" w:sz="0" w:space="0" w:color="auto"/>
                    <w:right w:val="none" w:sz="0" w:space="0" w:color="auto"/>
                  </w:divBdr>
                  <w:divsChild>
                    <w:div w:id="428505404">
                      <w:marLeft w:val="0"/>
                      <w:marRight w:val="0"/>
                      <w:marTop w:val="0"/>
                      <w:marBottom w:val="0"/>
                      <w:divBdr>
                        <w:top w:val="none" w:sz="0" w:space="0" w:color="auto"/>
                        <w:left w:val="none" w:sz="0" w:space="0" w:color="auto"/>
                        <w:bottom w:val="none" w:sz="0" w:space="0" w:color="auto"/>
                        <w:right w:val="none" w:sz="0" w:space="0" w:color="auto"/>
                      </w:divBdr>
                    </w:div>
                  </w:divsChild>
                </w:div>
                <w:div w:id="531918813">
                  <w:marLeft w:val="0"/>
                  <w:marRight w:val="0"/>
                  <w:marTop w:val="0"/>
                  <w:marBottom w:val="0"/>
                  <w:divBdr>
                    <w:top w:val="none" w:sz="0" w:space="0" w:color="auto"/>
                    <w:left w:val="none" w:sz="0" w:space="0" w:color="auto"/>
                    <w:bottom w:val="none" w:sz="0" w:space="0" w:color="auto"/>
                    <w:right w:val="none" w:sz="0" w:space="0" w:color="auto"/>
                  </w:divBdr>
                  <w:divsChild>
                    <w:div w:id="1095439549">
                      <w:marLeft w:val="0"/>
                      <w:marRight w:val="0"/>
                      <w:marTop w:val="0"/>
                      <w:marBottom w:val="0"/>
                      <w:divBdr>
                        <w:top w:val="none" w:sz="0" w:space="0" w:color="auto"/>
                        <w:left w:val="none" w:sz="0" w:space="0" w:color="auto"/>
                        <w:bottom w:val="none" w:sz="0" w:space="0" w:color="auto"/>
                        <w:right w:val="none" w:sz="0" w:space="0" w:color="auto"/>
                      </w:divBdr>
                    </w:div>
                  </w:divsChild>
                </w:div>
                <w:div w:id="542863962">
                  <w:marLeft w:val="0"/>
                  <w:marRight w:val="0"/>
                  <w:marTop w:val="0"/>
                  <w:marBottom w:val="0"/>
                  <w:divBdr>
                    <w:top w:val="none" w:sz="0" w:space="0" w:color="auto"/>
                    <w:left w:val="none" w:sz="0" w:space="0" w:color="auto"/>
                    <w:bottom w:val="none" w:sz="0" w:space="0" w:color="auto"/>
                    <w:right w:val="none" w:sz="0" w:space="0" w:color="auto"/>
                  </w:divBdr>
                  <w:divsChild>
                    <w:div w:id="982394443">
                      <w:marLeft w:val="0"/>
                      <w:marRight w:val="0"/>
                      <w:marTop w:val="0"/>
                      <w:marBottom w:val="0"/>
                      <w:divBdr>
                        <w:top w:val="none" w:sz="0" w:space="0" w:color="auto"/>
                        <w:left w:val="none" w:sz="0" w:space="0" w:color="auto"/>
                        <w:bottom w:val="none" w:sz="0" w:space="0" w:color="auto"/>
                        <w:right w:val="none" w:sz="0" w:space="0" w:color="auto"/>
                      </w:divBdr>
                    </w:div>
                  </w:divsChild>
                </w:div>
                <w:div w:id="558517653">
                  <w:marLeft w:val="0"/>
                  <w:marRight w:val="0"/>
                  <w:marTop w:val="0"/>
                  <w:marBottom w:val="0"/>
                  <w:divBdr>
                    <w:top w:val="none" w:sz="0" w:space="0" w:color="auto"/>
                    <w:left w:val="none" w:sz="0" w:space="0" w:color="auto"/>
                    <w:bottom w:val="none" w:sz="0" w:space="0" w:color="auto"/>
                    <w:right w:val="none" w:sz="0" w:space="0" w:color="auto"/>
                  </w:divBdr>
                  <w:divsChild>
                    <w:div w:id="297076851">
                      <w:marLeft w:val="0"/>
                      <w:marRight w:val="0"/>
                      <w:marTop w:val="0"/>
                      <w:marBottom w:val="0"/>
                      <w:divBdr>
                        <w:top w:val="none" w:sz="0" w:space="0" w:color="auto"/>
                        <w:left w:val="none" w:sz="0" w:space="0" w:color="auto"/>
                        <w:bottom w:val="none" w:sz="0" w:space="0" w:color="auto"/>
                        <w:right w:val="none" w:sz="0" w:space="0" w:color="auto"/>
                      </w:divBdr>
                    </w:div>
                  </w:divsChild>
                </w:div>
                <w:div w:id="590704488">
                  <w:marLeft w:val="0"/>
                  <w:marRight w:val="0"/>
                  <w:marTop w:val="0"/>
                  <w:marBottom w:val="0"/>
                  <w:divBdr>
                    <w:top w:val="none" w:sz="0" w:space="0" w:color="auto"/>
                    <w:left w:val="none" w:sz="0" w:space="0" w:color="auto"/>
                    <w:bottom w:val="none" w:sz="0" w:space="0" w:color="auto"/>
                    <w:right w:val="none" w:sz="0" w:space="0" w:color="auto"/>
                  </w:divBdr>
                  <w:divsChild>
                    <w:div w:id="1266772633">
                      <w:marLeft w:val="0"/>
                      <w:marRight w:val="0"/>
                      <w:marTop w:val="0"/>
                      <w:marBottom w:val="0"/>
                      <w:divBdr>
                        <w:top w:val="none" w:sz="0" w:space="0" w:color="auto"/>
                        <w:left w:val="none" w:sz="0" w:space="0" w:color="auto"/>
                        <w:bottom w:val="none" w:sz="0" w:space="0" w:color="auto"/>
                        <w:right w:val="none" w:sz="0" w:space="0" w:color="auto"/>
                      </w:divBdr>
                    </w:div>
                  </w:divsChild>
                </w:div>
                <w:div w:id="601381832">
                  <w:marLeft w:val="0"/>
                  <w:marRight w:val="0"/>
                  <w:marTop w:val="0"/>
                  <w:marBottom w:val="0"/>
                  <w:divBdr>
                    <w:top w:val="none" w:sz="0" w:space="0" w:color="auto"/>
                    <w:left w:val="none" w:sz="0" w:space="0" w:color="auto"/>
                    <w:bottom w:val="none" w:sz="0" w:space="0" w:color="auto"/>
                    <w:right w:val="none" w:sz="0" w:space="0" w:color="auto"/>
                  </w:divBdr>
                  <w:divsChild>
                    <w:div w:id="301817079">
                      <w:marLeft w:val="0"/>
                      <w:marRight w:val="0"/>
                      <w:marTop w:val="0"/>
                      <w:marBottom w:val="0"/>
                      <w:divBdr>
                        <w:top w:val="none" w:sz="0" w:space="0" w:color="auto"/>
                        <w:left w:val="none" w:sz="0" w:space="0" w:color="auto"/>
                        <w:bottom w:val="none" w:sz="0" w:space="0" w:color="auto"/>
                        <w:right w:val="none" w:sz="0" w:space="0" w:color="auto"/>
                      </w:divBdr>
                    </w:div>
                  </w:divsChild>
                </w:div>
                <w:div w:id="602031615">
                  <w:marLeft w:val="0"/>
                  <w:marRight w:val="0"/>
                  <w:marTop w:val="0"/>
                  <w:marBottom w:val="0"/>
                  <w:divBdr>
                    <w:top w:val="none" w:sz="0" w:space="0" w:color="auto"/>
                    <w:left w:val="none" w:sz="0" w:space="0" w:color="auto"/>
                    <w:bottom w:val="none" w:sz="0" w:space="0" w:color="auto"/>
                    <w:right w:val="none" w:sz="0" w:space="0" w:color="auto"/>
                  </w:divBdr>
                  <w:divsChild>
                    <w:div w:id="1628504989">
                      <w:marLeft w:val="0"/>
                      <w:marRight w:val="0"/>
                      <w:marTop w:val="0"/>
                      <w:marBottom w:val="0"/>
                      <w:divBdr>
                        <w:top w:val="none" w:sz="0" w:space="0" w:color="auto"/>
                        <w:left w:val="none" w:sz="0" w:space="0" w:color="auto"/>
                        <w:bottom w:val="none" w:sz="0" w:space="0" w:color="auto"/>
                        <w:right w:val="none" w:sz="0" w:space="0" w:color="auto"/>
                      </w:divBdr>
                    </w:div>
                  </w:divsChild>
                </w:div>
                <w:div w:id="624196512">
                  <w:marLeft w:val="0"/>
                  <w:marRight w:val="0"/>
                  <w:marTop w:val="0"/>
                  <w:marBottom w:val="0"/>
                  <w:divBdr>
                    <w:top w:val="none" w:sz="0" w:space="0" w:color="auto"/>
                    <w:left w:val="none" w:sz="0" w:space="0" w:color="auto"/>
                    <w:bottom w:val="none" w:sz="0" w:space="0" w:color="auto"/>
                    <w:right w:val="none" w:sz="0" w:space="0" w:color="auto"/>
                  </w:divBdr>
                  <w:divsChild>
                    <w:div w:id="1771658991">
                      <w:marLeft w:val="0"/>
                      <w:marRight w:val="0"/>
                      <w:marTop w:val="0"/>
                      <w:marBottom w:val="0"/>
                      <w:divBdr>
                        <w:top w:val="none" w:sz="0" w:space="0" w:color="auto"/>
                        <w:left w:val="none" w:sz="0" w:space="0" w:color="auto"/>
                        <w:bottom w:val="none" w:sz="0" w:space="0" w:color="auto"/>
                        <w:right w:val="none" w:sz="0" w:space="0" w:color="auto"/>
                      </w:divBdr>
                    </w:div>
                  </w:divsChild>
                </w:div>
                <w:div w:id="648629327">
                  <w:marLeft w:val="0"/>
                  <w:marRight w:val="0"/>
                  <w:marTop w:val="0"/>
                  <w:marBottom w:val="0"/>
                  <w:divBdr>
                    <w:top w:val="none" w:sz="0" w:space="0" w:color="auto"/>
                    <w:left w:val="none" w:sz="0" w:space="0" w:color="auto"/>
                    <w:bottom w:val="none" w:sz="0" w:space="0" w:color="auto"/>
                    <w:right w:val="none" w:sz="0" w:space="0" w:color="auto"/>
                  </w:divBdr>
                  <w:divsChild>
                    <w:div w:id="1641960898">
                      <w:marLeft w:val="0"/>
                      <w:marRight w:val="0"/>
                      <w:marTop w:val="0"/>
                      <w:marBottom w:val="0"/>
                      <w:divBdr>
                        <w:top w:val="none" w:sz="0" w:space="0" w:color="auto"/>
                        <w:left w:val="none" w:sz="0" w:space="0" w:color="auto"/>
                        <w:bottom w:val="none" w:sz="0" w:space="0" w:color="auto"/>
                        <w:right w:val="none" w:sz="0" w:space="0" w:color="auto"/>
                      </w:divBdr>
                    </w:div>
                  </w:divsChild>
                </w:div>
                <w:div w:id="656303192">
                  <w:marLeft w:val="0"/>
                  <w:marRight w:val="0"/>
                  <w:marTop w:val="0"/>
                  <w:marBottom w:val="0"/>
                  <w:divBdr>
                    <w:top w:val="none" w:sz="0" w:space="0" w:color="auto"/>
                    <w:left w:val="none" w:sz="0" w:space="0" w:color="auto"/>
                    <w:bottom w:val="none" w:sz="0" w:space="0" w:color="auto"/>
                    <w:right w:val="none" w:sz="0" w:space="0" w:color="auto"/>
                  </w:divBdr>
                  <w:divsChild>
                    <w:div w:id="1460681833">
                      <w:marLeft w:val="0"/>
                      <w:marRight w:val="0"/>
                      <w:marTop w:val="0"/>
                      <w:marBottom w:val="0"/>
                      <w:divBdr>
                        <w:top w:val="none" w:sz="0" w:space="0" w:color="auto"/>
                        <w:left w:val="none" w:sz="0" w:space="0" w:color="auto"/>
                        <w:bottom w:val="none" w:sz="0" w:space="0" w:color="auto"/>
                        <w:right w:val="none" w:sz="0" w:space="0" w:color="auto"/>
                      </w:divBdr>
                    </w:div>
                  </w:divsChild>
                </w:div>
                <w:div w:id="674964621">
                  <w:marLeft w:val="0"/>
                  <w:marRight w:val="0"/>
                  <w:marTop w:val="0"/>
                  <w:marBottom w:val="0"/>
                  <w:divBdr>
                    <w:top w:val="none" w:sz="0" w:space="0" w:color="auto"/>
                    <w:left w:val="none" w:sz="0" w:space="0" w:color="auto"/>
                    <w:bottom w:val="none" w:sz="0" w:space="0" w:color="auto"/>
                    <w:right w:val="none" w:sz="0" w:space="0" w:color="auto"/>
                  </w:divBdr>
                  <w:divsChild>
                    <w:div w:id="992416020">
                      <w:marLeft w:val="0"/>
                      <w:marRight w:val="0"/>
                      <w:marTop w:val="0"/>
                      <w:marBottom w:val="0"/>
                      <w:divBdr>
                        <w:top w:val="none" w:sz="0" w:space="0" w:color="auto"/>
                        <w:left w:val="none" w:sz="0" w:space="0" w:color="auto"/>
                        <w:bottom w:val="none" w:sz="0" w:space="0" w:color="auto"/>
                        <w:right w:val="none" w:sz="0" w:space="0" w:color="auto"/>
                      </w:divBdr>
                    </w:div>
                  </w:divsChild>
                </w:div>
                <w:div w:id="689112283">
                  <w:marLeft w:val="0"/>
                  <w:marRight w:val="0"/>
                  <w:marTop w:val="0"/>
                  <w:marBottom w:val="0"/>
                  <w:divBdr>
                    <w:top w:val="none" w:sz="0" w:space="0" w:color="auto"/>
                    <w:left w:val="none" w:sz="0" w:space="0" w:color="auto"/>
                    <w:bottom w:val="none" w:sz="0" w:space="0" w:color="auto"/>
                    <w:right w:val="none" w:sz="0" w:space="0" w:color="auto"/>
                  </w:divBdr>
                  <w:divsChild>
                    <w:div w:id="2104573203">
                      <w:marLeft w:val="0"/>
                      <w:marRight w:val="0"/>
                      <w:marTop w:val="0"/>
                      <w:marBottom w:val="0"/>
                      <w:divBdr>
                        <w:top w:val="none" w:sz="0" w:space="0" w:color="auto"/>
                        <w:left w:val="none" w:sz="0" w:space="0" w:color="auto"/>
                        <w:bottom w:val="none" w:sz="0" w:space="0" w:color="auto"/>
                        <w:right w:val="none" w:sz="0" w:space="0" w:color="auto"/>
                      </w:divBdr>
                    </w:div>
                  </w:divsChild>
                </w:div>
                <w:div w:id="697700056">
                  <w:marLeft w:val="0"/>
                  <w:marRight w:val="0"/>
                  <w:marTop w:val="0"/>
                  <w:marBottom w:val="0"/>
                  <w:divBdr>
                    <w:top w:val="none" w:sz="0" w:space="0" w:color="auto"/>
                    <w:left w:val="none" w:sz="0" w:space="0" w:color="auto"/>
                    <w:bottom w:val="none" w:sz="0" w:space="0" w:color="auto"/>
                    <w:right w:val="none" w:sz="0" w:space="0" w:color="auto"/>
                  </w:divBdr>
                  <w:divsChild>
                    <w:div w:id="460151905">
                      <w:marLeft w:val="0"/>
                      <w:marRight w:val="0"/>
                      <w:marTop w:val="0"/>
                      <w:marBottom w:val="0"/>
                      <w:divBdr>
                        <w:top w:val="none" w:sz="0" w:space="0" w:color="auto"/>
                        <w:left w:val="none" w:sz="0" w:space="0" w:color="auto"/>
                        <w:bottom w:val="none" w:sz="0" w:space="0" w:color="auto"/>
                        <w:right w:val="none" w:sz="0" w:space="0" w:color="auto"/>
                      </w:divBdr>
                    </w:div>
                  </w:divsChild>
                </w:div>
                <w:div w:id="714743136">
                  <w:marLeft w:val="0"/>
                  <w:marRight w:val="0"/>
                  <w:marTop w:val="0"/>
                  <w:marBottom w:val="0"/>
                  <w:divBdr>
                    <w:top w:val="none" w:sz="0" w:space="0" w:color="auto"/>
                    <w:left w:val="none" w:sz="0" w:space="0" w:color="auto"/>
                    <w:bottom w:val="none" w:sz="0" w:space="0" w:color="auto"/>
                    <w:right w:val="none" w:sz="0" w:space="0" w:color="auto"/>
                  </w:divBdr>
                  <w:divsChild>
                    <w:div w:id="90705605">
                      <w:marLeft w:val="0"/>
                      <w:marRight w:val="0"/>
                      <w:marTop w:val="0"/>
                      <w:marBottom w:val="0"/>
                      <w:divBdr>
                        <w:top w:val="none" w:sz="0" w:space="0" w:color="auto"/>
                        <w:left w:val="none" w:sz="0" w:space="0" w:color="auto"/>
                        <w:bottom w:val="none" w:sz="0" w:space="0" w:color="auto"/>
                        <w:right w:val="none" w:sz="0" w:space="0" w:color="auto"/>
                      </w:divBdr>
                    </w:div>
                  </w:divsChild>
                </w:div>
                <w:div w:id="721749938">
                  <w:marLeft w:val="0"/>
                  <w:marRight w:val="0"/>
                  <w:marTop w:val="0"/>
                  <w:marBottom w:val="0"/>
                  <w:divBdr>
                    <w:top w:val="none" w:sz="0" w:space="0" w:color="auto"/>
                    <w:left w:val="none" w:sz="0" w:space="0" w:color="auto"/>
                    <w:bottom w:val="none" w:sz="0" w:space="0" w:color="auto"/>
                    <w:right w:val="none" w:sz="0" w:space="0" w:color="auto"/>
                  </w:divBdr>
                  <w:divsChild>
                    <w:div w:id="1749647337">
                      <w:marLeft w:val="0"/>
                      <w:marRight w:val="0"/>
                      <w:marTop w:val="0"/>
                      <w:marBottom w:val="0"/>
                      <w:divBdr>
                        <w:top w:val="none" w:sz="0" w:space="0" w:color="auto"/>
                        <w:left w:val="none" w:sz="0" w:space="0" w:color="auto"/>
                        <w:bottom w:val="none" w:sz="0" w:space="0" w:color="auto"/>
                        <w:right w:val="none" w:sz="0" w:space="0" w:color="auto"/>
                      </w:divBdr>
                    </w:div>
                  </w:divsChild>
                </w:div>
                <w:div w:id="784496469">
                  <w:marLeft w:val="0"/>
                  <w:marRight w:val="0"/>
                  <w:marTop w:val="0"/>
                  <w:marBottom w:val="0"/>
                  <w:divBdr>
                    <w:top w:val="none" w:sz="0" w:space="0" w:color="auto"/>
                    <w:left w:val="none" w:sz="0" w:space="0" w:color="auto"/>
                    <w:bottom w:val="none" w:sz="0" w:space="0" w:color="auto"/>
                    <w:right w:val="none" w:sz="0" w:space="0" w:color="auto"/>
                  </w:divBdr>
                  <w:divsChild>
                    <w:div w:id="1325472844">
                      <w:marLeft w:val="0"/>
                      <w:marRight w:val="0"/>
                      <w:marTop w:val="0"/>
                      <w:marBottom w:val="0"/>
                      <w:divBdr>
                        <w:top w:val="none" w:sz="0" w:space="0" w:color="auto"/>
                        <w:left w:val="none" w:sz="0" w:space="0" w:color="auto"/>
                        <w:bottom w:val="none" w:sz="0" w:space="0" w:color="auto"/>
                        <w:right w:val="none" w:sz="0" w:space="0" w:color="auto"/>
                      </w:divBdr>
                    </w:div>
                  </w:divsChild>
                </w:div>
                <w:div w:id="789520312">
                  <w:marLeft w:val="0"/>
                  <w:marRight w:val="0"/>
                  <w:marTop w:val="0"/>
                  <w:marBottom w:val="0"/>
                  <w:divBdr>
                    <w:top w:val="none" w:sz="0" w:space="0" w:color="auto"/>
                    <w:left w:val="none" w:sz="0" w:space="0" w:color="auto"/>
                    <w:bottom w:val="none" w:sz="0" w:space="0" w:color="auto"/>
                    <w:right w:val="none" w:sz="0" w:space="0" w:color="auto"/>
                  </w:divBdr>
                  <w:divsChild>
                    <w:div w:id="574902786">
                      <w:marLeft w:val="0"/>
                      <w:marRight w:val="0"/>
                      <w:marTop w:val="0"/>
                      <w:marBottom w:val="0"/>
                      <w:divBdr>
                        <w:top w:val="none" w:sz="0" w:space="0" w:color="auto"/>
                        <w:left w:val="none" w:sz="0" w:space="0" w:color="auto"/>
                        <w:bottom w:val="none" w:sz="0" w:space="0" w:color="auto"/>
                        <w:right w:val="none" w:sz="0" w:space="0" w:color="auto"/>
                      </w:divBdr>
                    </w:div>
                  </w:divsChild>
                </w:div>
                <w:div w:id="802237550">
                  <w:marLeft w:val="0"/>
                  <w:marRight w:val="0"/>
                  <w:marTop w:val="0"/>
                  <w:marBottom w:val="0"/>
                  <w:divBdr>
                    <w:top w:val="none" w:sz="0" w:space="0" w:color="auto"/>
                    <w:left w:val="none" w:sz="0" w:space="0" w:color="auto"/>
                    <w:bottom w:val="none" w:sz="0" w:space="0" w:color="auto"/>
                    <w:right w:val="none" w:sz="0" w:space="0" w:color="auto"/>
                  </w:divBdr>
                  <w:divsChild>
                    <w:div w:id="1112631408">
                      <w:marLeft w:val="0"/>
                      <w:marRight w:val="0"/>
                      <w:marTop w:val="0"/>
                      <w:marBottom w:val="0"/>
                      <w:divBdr>
                        <w:top w:val="none" w:sz="0" w:space="0" w:color="auto"/>
                        <w:left w:val="none" w:sz="0" w:space="0" w:color="auto"/>
                        <w:bottom w:val="none" w:sz="0" w:space="0" w:color="auto"/>
                        <w:right w:val="none" w:sz="0" w:space="0" w:color="auto"/>
                      </w:divBdr>
                    </w:div>
                  </w:divsChild>
                </w:div>
                <w:div w:id="828866550">
                  <w:marLeft w:val="0"/>
                  <w:marRight w:val="0"/>
                  <w:marTop w:val="0"/>
                  <w:marBottom w:val="0"/>
                  <w:divBdr>
                    <w:top w:val="none" w:sz="0" w:space="0" w:color="auto"/>
                    <w:left w:val="none" w:sz="0" w:space="0" w:color="auto"/>
                    <w:bottom w:val="none" w:sz="0" w:space="0" w:color="auto"/>
                    <w:right w:val="none" w:sz="0" w:space="0" w:color="auto"/>
                  </w:divBdr>
                  <w:divsChild>
                    <w:div w:id="9138315">
                      <w:marLeft w:val="0"/>
                      <w:marRight w:val="0"/>
                      <w:marTop w:val="0"/>
                      <w:marBottom w:val="0"/>
                      <w:divBdr>
                        <w:top w:val="none" w:sz="0" w:space="0" w:color="auto"/>
                        <w:left w:val="none" w:sz="0" w:space="0" w:color="auto"/>
                        <w:bottom w:val="none" w:sz="0" w:space="0" w:color="auto"/>
                        <w:right w:val="none" w:sz="0" w:space="0" w:color="auto"/>
                      </w:divBdr>
                    </w:div>
                  </w:divsChild>
                </w:div>
                <w:div w:id="830103339">
                  <w:marLeft w:val="0"/>
                  <w:marRight w:val="0"/>
                  <w:marTop w:val="0"/>
                  <w:marBottom w:val="0"/>
                  <w:divBdr>
                    <w:top w:val="none" w:sz="0" w:space="0" w:color="auto"/>
                    <w:left w:val="none" w:sz="0" w:space="0" w:color="auto"/>
                    <w:bottom w:val="none" w:sz="0" w:space="0" w:color="auto"/>
                    <w:right w:val="none" w:sz="0" w:space="0" w:color="auto"/>
                  </w:divBdr>
                  <w:divsChild>
                    <w:div w:id="1847673211">
                      <w:marLeft w:val="0"/>
                      <w:marRight w:val="0"/>
                      <w:marTop w:val="0"/>
                      <w:marBottom w:val="0"/>
                      <w:divBdr>
                        <w:top w:val="none" w:sz="0" w:space="0" w:color="auto"/>
                        <w:left w:val="none" w:sz="0" w:space="0" w:color="auto"/>
                        <w:bottom w:val="none" w:sz="0" w:space="0" w:color="auto"/>
                        <w:right w:val="none" w:sz="0" w:space="0" w:color="auto"/>
                      </w:divBdr>
                    </w:div>
                  </w:divsChild>
                </w:div>
                <w:div w:id="838271472">
                  <w:marLeft w:val="0"/>
                  <w:marRight w:val="0"/>
                  <w:marTop w:val="0"/>
                  <w:marBottom w:val="0"/>
                  <w:divBdr>
                    <w:top w:val="none" w:sz="0" w:space="0" w:color="auto"/>
                    <w:left w:val="none" w:sz="0" w:space="0" w:color="auto"/>
                    <w:bottom w:val="none" w:sz="0" w:space="0" w:color="auto"/>
                    <w:right w:val="none" w:sz="0" w:space="0" w:color="auto"/>
                  </w:divBdr>
                  <w:divsChild>
                    <w:div w:id="1988120923">
                      <w:marLeft w:val="0"/>
                      <w:marRight w:val="0"/>
                      <w:marTop w:val="0"/>
                      <w:marBottom w:val="0"/>
                      <w:divBdr>
                        <w:top w:val="none" w:sz="0" w:space="0" w:color="auto"/>
                        <w:left w:val="none" w:sz="0" w:space="0" w:color="auto"/>
                        <w:bottom w:val="none" w:sz="0" w:space="0" w:color="auto"/>
                        <w:right w:val="none" w:sz="0" w:space="0" w:color="auto"/>
                      </w:divBdr>
                    </w:div>
                  </w:divsChild>
                </w:div>
                <w:div w:id="856577120">
                  <w:marLeft w:val="0"/>
                  <w:marRight w:val="0"/>
                  <w:marTop w:val="0"/>
                  <w:marBottom w:val="0"/>
                  <w:divBdr>
                    <w:top w:val="none" w:sz="0" w:space="0" w:color="auto"/>
                    <w:left w:val="none" w:sz="0" w:space="0" w:color="auto"/>
                    <w:bottom w:val="none" w:sz="0" w:space="0" w:color="auto"/>
                    <w:right w:val="none" w:sz="0" w:space="0" w:color="auto"/>
                  </w:divBdr>
                  <w:divsChild>
                    <w:div w:id="1562403251">
                      <w:marLeft w:val="0"/>
                      <w:marRight w:val="0"/>
                      <w:marTop w:val="0"/>
                      <w:marBottom w:val="0"/>
                      <w:divBdr>
                        <w:top w:val="none" w:sz="0" w:space="0" w:color="auto"/>
                        <w:left w:val="none" w:sz="0" w:space="0" w:color="auto"/>
                        <w:bottom w:val="none" w:sz="0" w:space="0" w:color="auto"/>
                        <w:right w:val="none" w:sz="0" w:space="0" w:color="auto"/>
                      </w:divBdr>
                    </w:div>
                  </w:divsChild>
                </w:div>
                <w:div w:id="922642730">
                  <w:marLeft w:val="0"/>
                  <w:marRight w:val="0"/>
                  <w:marTop w:val="0"/>
                  <w:marBottom w:val="0"/>
                  <w:divBdr>
                    <w:top w:val="none" w:sz="0" w:space="0" w:color="auto"/>
                    <w:left w:val="none" w:sz="0" w:space="0" w:color="auto"/>
                    <w:bottom w:val="none" w:sz="0" w:space="0" w:color="auto"/>
                    <w:right w:val="none" w:sz="0" w:space="0" w:color="auto"/>
                  </w:divBdr>
                  <w:divsChild>
                    <w:div w:id="124126403">
                      <w:marLeft w:val="0"/>
                      <w:marRight w:val="0"/>
                      <w:marTop w:val="0"/>
                      <w:marBottom w:val="0"/>
                      <w:divBdr>
                        <w:top w:val="none" w:sz="0" w:space="0" w:color="auto"/>
                        <w:left w:val="none" w:sz="0" w:space="0" w:color="auto"/>
                        <w:bottom w:val="none" w:sz="0" w:space="0" w:color="auto"/>
                        <w:right w:val="none" w:sz="0" w:space="0" w:color="auto"/>
                      </w:divBdr>
                    </w:div>
                  </w:divsChild>
                </w:div>
                <w:div w:id="941380973">
                  <w:marLeft w:val="0"/>
                  <w:marRight w:val="0"/>
                  <w:marTop w:val="0"/>
                  <w:marBottom w:val="0"/>
                  <w:divBdr>
                    <w:top w:val="none" w:sz="0" w:space="0" w:color="auto"/>
                    <w:left w:val="none" w:sz="0" w:space="0" w:color="auto"/>
                    <w:bottom w:val="none" w:sz="0" w:space="0" w:color="auto"/>
                    <w:right w:val="none" w:sz="0" w:space="0" w:color="auto"/>
                  </w:divBdr>
                  <w:divsChild>
                    <w:div w:id="266010709">
                      <w:marLeft w:val="0"/>
                      <w:marRight w:val="0"/>
                      <w:marTop w:val="0"/>
                      <w:marBottom w:val="0"/>
                      <w:divBdr>
                        <w:top w:val="none" w:sz="0" w:space="0" w:color="auto"/>
                        <w:left w:val="none" w:sz="0" w:space="0" w:color="auto"/>
                        <w:bottom w:val="none" w:sz="0" w:space="0" w:color="auto"/>
                        <w:right w:val="none" w:sz="0" w:space="0" w:color="auto"/>
                      </w:divBdr>
                    </w:div>
                  </w:divsChild>
                </w:div>
                <w:div w:id="947736080">
                  <w:marLeft w:val="0"/>
                  <w:marRight w:val="0"/>
                  <w:marTop w:val="0"/>
                  <w:marBottom w:val="0"/>
                  <w:divBdr>
                    <w:top w:val="none" w:sz="0" w:space="0" w:color="auto"/>
                    <w:left w:val="none" w:sz="0" w:space="0" w:color="auto"/>
                    <w:bottom w:val="none" w:sz="0" w:space="0" w:color="auto"/>
                    <w:right w:val="none" w:sz="0" w:space="0" w:color="auto"/>
                  </w:divBdr>
                  <w:divsChild>
                    <w:div w:id="750929126">
                      <w:marLeft w:val="0"/>
                      <w:marRight w:val="0"/>
                      <w:marTop w:val="0"/>
                      <w:marBottom w:val="0"/>
                      <w:divBdr>
                        <w:top w:val="none" w:sz="0" w:space="0" w:color="auto"/>
                        <w:left w:val="none" w:sz="0" w:space="0" w:color="auto"/>
                        <w:bottom w:val="none" w:sz="0" w:space="0" w:color="auto"/>
                        <w:right w:val="none" w:sz="0" w:space="0" w:color="auto"/>
                      </w:divBdr>
                    </w:div>
                  </w:divsChild>
                </w:div>
                <w:div w:id="1002196978">
                  <w:marLeft w:val="0"/>
                  <w:marRight w:val="0"/>
                  <w:marTop w:val="0"/>
                  <w:marBottom w:val="0"/>
                  <w:divBdr>
                    <w:top w:val="none" w:sz="0" w:space="0" w:color="auto"/>
                    <w:left w:val="none" w:sz="0" w:space="0" w:color="auto"/>
                    <w:bottom w:val="none" w:sz="0" w:space="0" w:color="auto"/>
                    <w:right w:val="none" w:sz="0" w:space="0" w:color="auto"/>
                  </w:divBdr>
                  <w:divsChild>
                    <w:div w:id="2023169207">
                      <w:marLeft w:val="0"/>
                      <w:marRight w:val="0"/>
                      <w:marTop w:val="0"/>
                      <w:marBottom w:val="0"/>
                      <w:divBdr>
                        <w:top w:val="none" w:sz="0" w:space="0" w:color="auto"/>
                        <w:left w:val="none" w:sz="0" w:space="0" w:color="auto"/>
                        <w:bottom w:val="none" w:sz="0" w:space="0" w:color="auto"/>
                        <w:right w:val="none" w:sz="0" w:space="0" w:color="auto"/>
                      </w:divBdr>
                    </w:div>
                  </w:divsChild>
                </w:div>
                <w:div w:id="1045569944">
                  <w:marLeft w:val="0"/>
                  <w:marRight w:val="0"/>
                  <w:marTop w:val="0"/>
                  <w:marBottom w:val="0"/>
                  <w:divBdr>
                    <w:top w:val="none" w:sz="0" w:space="0" w:color="auto"/>
                    <w:left w:val="none" w:sz="0" w:space="0" w:color="auto"/>
                    <w:bottom w:val="none" w:sz="0" w:space="0" w:color="auto"/>
                    <w:right w:val="none" w:sz="0" w:space="0" w:color="auto"/>
                  </w:divBdr>
                  <w:divsChild>
                    <w:div w:id="53630590">
                      <w:marLeft w:val="0"/>
                      <w:marRight w:val="0"/>
                      <w:marTop w:val="0"/>
                      <w:marBottom w:val="0"/>
                      <w:divBdr>
                        <w:top w:val="none" w:sz="0" w:space="0" w:color="auto"/>
                        <w:left w:val="none" w:sz="0" w:space="0" w:color="auto"/>
                        <w:bottom w:val="none" w:sz="0" w:space="0" w:color="auto"/>
                        <w:right w:val="none" w:sz="0" w:space="0" w:color="auto"/>
                      </w:divBdr>
                    </w:div>
                  </w:divsChild>
                </w:div>
                <w:div w:id="1079715496">
                  <w:marLeft w:val="0"/>
                  <w:marRight w:val="0"/>
                  <w:marTop w:val="0"/>
                  <w:marBottom w:val="0"/>
                  <w:divBdr>
                    <w:top w:val="none" w:sz="0" w:space="0" w:color="auto"/>
                    <w:left w:val="none" w:sz="0" w:space="0" w:color="auto"/>
                    <w:bottom w:val="none" w:sz="0" w:space="0" w:color="auto"/>
                    <w:right w:val="none" w:sz="0" w:space="0" w:color="auto"/>
                  </w:divBdr>
                  <w:divsChild>
                    <w:div w:id="813258219">
                      <w:marLeft w:val="0"/>
                      <w:marRight w:val="0"/>
                      <w:marTop w:val="0"/>
                      <w:marBottom w:val="0"/>
                      <w:divBdr>
                        <w:top w:val="none" w:sz="0" w:space="0" w:color="auto"/>
                        <w:left w:val="none" w:sz="0" w:space="0" w:color="auto"/>
                        <w:bottom w:val="none" w:sz="0" w:space="0" w:color="auto"/>
                        <w:right w:val="none" w:sz="0" w:space="0" w:color="auto"/>
                      </w:divBdr>
                    </w:div>
                  </w:divsChild>
                </w:div>
                <w:div w:id="1083599195">
                  <w:marLeft w:val="0"/>
                  <w:marRight w:val="0"/>
                  <w:marTop w:val="0"/>
                  <w:marBottom w:val="0"/>
                  <w:divBdr>
                    <w:top w:val="none" w:sz="0" w:space="0" w:color="auto"/>
                    <w:left w:val="none" w:sz="0" w:space="0" w:color="auto"/>
                    <w:bottom w:val="none" w:sz="0" w:space="0" w:color="auto"/>
                    <w:right w:val="none" w:sz="0" w:space="0" w:color="auto"/>
                  </w:divBdr>
                  <w:divsChild>
                    <w:div w:id="19745712">
                      <w:marLeft w:val="0"/>
                      <w:marRight w:val="0"/>
                      <w:marTop w:val="0"/>
                      <w:marBottom w:val="0"/>
                      <w:divBdr>
                        <w:top w:val="none" w:sz="0" w:space="0" w:color="auto"/>
                        <w:left w:val="none" w:sz="0" w:space="0" w:color="auto"/>
                        <w:bottom w:val="none" w:sz="0" w:space="0" w:color="auto"/>
                        <w:right w:val="none" w:sz="0" w:space="0" w:color="auto"/>
                      </w:divBdr>
                    </w:div>
                  </w:divsChild>
                </w:div>
                <w:div w:id="1119296587">
                  <w:marLeft w:val="0"/>
                  <w:marRight w:val="0"/>
                  <w:marTop w:val="0"/>
                  <w:marBottom w:val="0"/>
                  <w:divBdr>
                    <w:top w:val="none" w:sz="0" w:space="0" w:color="auto"/>
                    <w:left w:val="none" w:sz="0" w:space="0" w:color="auto"/>
                    <w:bottom w:val="none" w:sz="0" w:space="0" w:color="auto"/>
                    <w:right w:val="none" w:sz="0" w:space="0" w:color="auto"/>
                  </w:divBdr>
                  <w:divsChild>
                    <w:div w:id="633948901">
                      <w:marLeft w:val="0"/>
                      <w:marRight w:val="0"/>
                      <w:marTop w:val="0"/>
                      <w:marBottom w:val="0"/>
                      <w:divBdr>
                        <w:top w:val="none" w:sz="0" w:space="0" w:color="auto"/>
                        <w:left w:val="none" w:sz="0" w:space="0" w:color="auto"/>
                        <w:bottom w:val="none" w:sz="0" w:space="0" w:color="auto"/>
                        <w:right w:val="none" w:sz="0" w:space="0" w:color="auto"/>
                      </w:divBdr>
                    </w:div>
                  </w:divsChild>
                </w:div>
                <w:div w:id="1136338547">
                  <w:marLeft w:val="0"/>
                  <w:marRight w:val="0"/>
                  <w:marTop w:val="0"/>
                  <w:marBottom w:val="0"/>
                  <w:divBdr>
                    <w:top w:val="none" w:sz="0" w:space="0" w:color="auto"/>
                    <w:left w:val="none" w:sz="0" w:space="0" w:color="auto"/>
                    <w:bottom w:val="none" w:sz="0" w:space="0" w:color="auto"/>
                    <w:right w:val="none" w:sz="0" w:space="0" w:color="auto"/>
                  </w:divBdr>
                  <w:divsChild>
                    <w:div w:id="596796335">
                      <w:marLeft w:val="0"/>
                      <w:marRight w:val="0"/>
                      <w:marTop w:val="0"/>
                      <w:marBottom w:val="0"/>
                      <w:divBdr>
                        <w:top w:val="none" w:sz="0" w:space="0" w:color="auto"/>
                        <w:left w:val="none" w:sz="0" w:space="0" w:color="auto"/>
                        <w:bottom w:val="none" w:sz="0" w:space="0" w:color="auto"/>
                        <w:right w:val="none" w:sz="0" w:space="0" w:color="auto"/>
                      </w:divBdr>
                    </w:div>
                  </w:divsChild>
                </w:div>
                <w:div w:id="1185364758">
                  <w:marLeft w:val="0"/>
                  <w:marRight w:val="0"/>
                  <w:marTop w:val="0"/>
                  <w:marBottom w:val="0"/>
                  <w:divBdr>
                    <w:top w:val="none" w:sz="0" w:space="0" w:color="auto"/>
                    <w:left w:val="none" w:sz="0" w:space="0" w:color="auto"/>
                    <w:bottom w:val="none" w:sz="0" w:space="0" w:color="auto"/>
                    <w:right w:val="none" w:sz="0" w:space="0" w:color="auto"/>
                  </w:divBdr>
                  <w:divsChild>
                    <w:div w:id="71781233">
                      <w:marLeft w:val="0"/>
                      <w:marRight w:val="0"/>
                      <w:marTop w:val="0"/>
                      <w:marBottom w:val="0"/>
                      <w:divBdr>
                        <w:top w:val="none" w:sz="0" w:space="0" w:color="auto"/>
                        <w:left w:val="none" w:sz="0" w:space="0" w:color="auto"/>
                        <w:bottom w:val="none" w:sz="0" w:space="0" w:color="auto"/>
                        <w:right w:val="none" w:sz="0" w:space="0" w:color="auto"/>
                      </w:divBdr>
                    </w:div>
                  </w:divsChild>
                </w:div>
                <w:div w:id="1188566516">
                  <w:marLeft w:val="0"/>
                  <w:marRight w:val="0"/>
                  <w:marTop w:val="0"/>
                  <w:marBottom w:val="0"/>
                  <w:divBdr>
                    <w:top w:val="none" w:sz="0" w:space="0" w:color="auto"/>
                    <w:left w:val="none" w:sz="0" w:space="0" w:color="auto"/>
                    <w:bottom w:val="none" w:sz="0" w:space="0" w:color="auto"/>
                    <w:right w:val="none" w:sz="0" w:space="0" w:color="auto"/>
                  </w:divBdr>
                  <w:divsChild>
                    <w:div w:id="1645158304">
                      <w:marLeft w:val="0"/>
                      <w:marRight w:val="0"/>
                      <w:marTop w:val="0"/>
                      <w:marBottom w:val="0"/>
                      <w:divBdr>
                        <w:top w:val="none" w:sz="0" w:space="0" w:color="auto"/>
                        <w:left w:val="none" w:sz="0" w:space="0" w:color="auto"/>
                        <w:bottom w:val="none" w:sz="0" w:space="0" w:color="auto"/>
                        <w:right w:val="none" w:sz="0" w:space="0" w:color="auto"/>
                      </w:divBdr>
                    </w:div>
                  </w:divsChild>
                </w:div>
                <w:div w:id="1190804336">
                  <w:marLeft w:val="0"/>
                  <w:marRight w:val="0"/>
                  <w:marTop w:val="0"/>
                  <w:marBottom w:val="0"/>
                  <w:divBdr>
                    <w:top w:val="none" w:sz="0" w:space="0" w:color="auto"/>
                    <w:left w:val="none" w:sz="0" w:space="0" w:color="auto"/>
                    <w:bottom w:val="none" w:sz="0" w:space="0" w:color="auto"/>
                    <w:right w:val="none" w:sz="0" w:space="0" w:color="auto"/>
                  </w:divBdr>
                  <w:divsChild>
                    <w:div w:id="1121997098">
                      <w:marLeft w:val="0"/>
                      <w:marRight w:val="0"/>
                      <w:marTop w:val="0"/>
                      <w:marBottom w:val="0"/>
                      <w:divBdr>
                        <w:top w:val="none" w:sz="0" w:space="0" w:color="auto"/>
                        <w:left w:val="none" w:sz="0" w:space="0" w:color="auto"/>
                        <w:bottom w:val="none" w:sz="0" w:space="0" w:color="auto"/>
                        <w:right w:val="none" w:sz="0" w:space="0" w:color="auto"/>
                      </w:divBdr>
                    </w:div>
                  </w:divsChild>
                </w:div>
                <w:div w:id="1298072452">
                  <w:marLeft w:val="0"/>
                  <w:marRight w:val="0"/>
                  <w:marTop w:val="0"/>
                  <w:marBottom w:val="0"/>
                  <w:divBdr>
                    <w:top w:val="none" w:sz="0" w:space="0" w:color="auto"/>
                    <w:left w:val="none" w:sz="0" w:space="0" w:color="auto"/>
                    <w:bottom w:val="none" w:sz="0" w:space="0" w:color="auto"/>
                    <w:right w:val="none" w:sz="0" w:space="0" w:color="auto"/>
                  </w:divBdr>
                  <w:divsChild>
                    <w:div w:id="1665626702">
                      <w:marLeft w:val="0"/>
                      <w:marRight w:val="0"/>
                      <w:marTop w:val="0"/>
                      <w:marBottom w:val="0"/>
                      <w:divBdr>
                        <w:top w:val="none" w:sz="0" w:space="0" w:color="auto"/>
                        <w:left w:val="none" w:sz="0" w:space="0" w:color="auto"/>
                        <w:bottom w:val="none" w:sz="0" w:space="0" w:color="auto"/>
                        <w:right w:val="none" w:sz="0" w:space="0" w:color="auto"/>
                      </w:divBdr>
                    </w:div>
                  </w:divsChild>
                </w:div>
                <w:div w:id="1307247625">
                  <w:marLeft w:val="0"/>
                  <w:marRight w:val="0"/>
                  <w:marTop w:val="0"/>
                  <w:marBottom w:val="0"/>
                  <w:divBdr>
                    <w:top w:val="none" w:sz="0" w:space="0" w:color="auto"/>
                    <w:left w:val="none" w:sz="0" w:space="0" w:color="auto"/>
                    <w:bottom w:val="none" w:sz="0" w:space="0" w:color="auto"/>
                    <w:right w:val="none" w:sz="0" w:space="0" w:color="auto"/>
                  </w:divBdr>
                  <w:divsChild>
                    <w:div w:id="60374002">
                      <w:marLeft w:val="0"/>
                      <w:marRight w:val="0"/>
                      <w:marTop w:val="0"/>
                      <w:marBottom w:val="0"/>
                      <w:divBdr>
                        <w:top w:val="none" w:sz="0" w:space="0" w:color="auto"/>
                        <w:left w:val="none" w:sz="0" w:space="0" w:color="auto"/>
                        <w:bottom w:val="none" w:sz="0" w:space="0" w:color="auto"/>
                        <w:right w:val="none" w:sz="0" w:space="0" w:color="auto"/>
                      </w:divBdr>
                    </w:div>
                  </w:divsChild>
                </w:div>
                <w:div w:id="1357660586">
                  <w:marLeft w:val="0"/>
                  <w:marRight w:val="0"/>
                  <w:marTop w:val="0"/>
                  <w:marBottom w:val="0"/>
                  <w:divBdr>
                    <w:top w:val="none" w:sz="0" w:space="0" w:color="auto"/>
                    <w:left w:val="none" w:sz="0" w:space="0" w:color="auto"/>
                    <w:bottom w:val="none" w:sz="0" w:space="0" w:color="auto"/>
                    <w:right w:val="none" w:sz="0" w:space="0" w:color="auto"/>
                  </w:divBdr>
                  <w:divsChild>
                    <w:div w:id="229967347">
                      <w:marLeft w:val="0"/>
                      <w:marRight w:val="0"/>
                      <w:marTop w:val="0"/>
                      <w:marBottom w:val="0"/>
                      <w:divBdr>
                        <w:top w:val="none" w:sz="0" w:space="0" w:color="auto"/>
                        <w:left w:val="none" w:sz="0" w:space="0" w:color="auto"/>
                        <w:bottom w:val="none" w:sz="0" w:space="0" w:color="auto"/>
                        <w:right w:val="none" w:sz="0" w:space="0" w:color="auto"/>
                      </w:divBdr>
                    </w:div>
                  </w:divsChild>
                </w:div>
                <w:div w:id="1379430161">
                  <w:marLeft w:val="0"/>
                  <w:marRight w:val="0"/>
                  <w:marTop w:val="0"/>
                  <w:marBottom w:val="0"/>
                  <w:divBdr>
                    <w:top w:val="none" w:sz="0" w:space="0" w:color="auto"/>
                    <w:left w:val="none" w:sz="0" w:space="0" w:color="auto"/>
                    <w:bottom w:val="none" w:sz="0" w:space="0" w:color="auto"/>
                    <w:right w:val="none" w:sz="0" w:space="0" w:color="auto"/>
                  </w:divBdr>
                  <w:divsChild>
                    <w:div w:id="482816155">
                      <w:marLeft w:val="0"/>
                      <w:marRight w:val="0"/>
                      <w:marTop w:val="0"/>
                      <w:marBottom w:val="0"/>
                      <w:divBdr>
                        <w:top w:val="none" w:sz="0" w:space="0" w:color="auto"/>
                        <w:left w:val="none" w:sz="0" w:space="0" w:color="auto"/>
                        <w:bottom w:val="none" w:sz="0" w:space="0" w:color="auto"/>
                        <w:right w:val="none" w:sz="0" w:space="0" w:color="auto"/>
                      </w:divBdr>
                    </w:div>
                  </w:divsChild>
                </w:div>
                <w:div w:id="1388142571">
                  <w:marLeft w:val="0"/>
                  <w:marRight w:val="0"/>
                  <w:marTop w:val="0"/>
                  <w:marBottom w:val="0"/>
                  <w:divBdr>
                    <w:top w:val="none" w:sz="0" w:space="0" w:color="auto"/>
                    <w:left w:val="none" w:sz="0" w:space="0" w:color="auto"/>
                    <w:bottom w:val="none" w:sz="0" w:space="0" w:color="auto"/>
                    <w:right w:val="none" w:sz="0" w:space="0" w:color="auto"/>
                  </w:divBdr>
                  <w:divsChild>
                    <w:div w:id="12804725">
                      <w:marLeft w:val="0"/>
                      <w:marRight w:val="0"/>
                      <w:marTop w:val="0"/>
                      <w:marBottom w:val="0"/>
                      <w:divBdr>
                        <w:top w:val="none" w:sz="0" w:space="0" w:color="auto"/>
                        <w:left w:val="none" w:sz="0" w:space="0" w:color="auto"/>
                        <w:bottom w:val="none" w:sz="0" w:space="0" w:color="auto"/>
                        <w:right w:val="none" w:sz="0" w:space="0" w:color="auto"/>
                      </w:divBdr>
                    </w:div>
                  </w:divsChild>
                </w:div>
                <w:div w:id="1396784636">
                  <w:marLeft w:val="0"/>
                  <w:marRight w:val="0"/>
                  <w:marTop w:val="0"/>
                  <w:marBottom w:val="0"/>
                  <w:divBdr>
                    <w:top w:val="none" w:sz="0" w:space="0" w:color="auto"/>
                    <w:left w:val="none" w:sz="0" w:space="0" w:color="auto"/>
                    <w:bottom w:val="none" w:sz="0" w:space="0" w:color="auto"/>
                    <w:right w:val="none" w:sz="0" w:space="0" w:color="auto"/>
                  </w:divBdr>
                  <w:divsChild>
                    <w:div w:id="1487480376">
                      <w:marLeft w:val="0"/>
                      <w:marRight w:val="0"/>
                      <w:marTop w:val="0"/>
                      <w:marBottom w:val="0"/>
                      <w:divBdr>
                        <w:top w:val="none" w:sz="0" w:space="0" w:color="auto"/>
                        <w:left w:val="none" w:sz="0" w:space="0" w:color="auto"/>
                        <w:bottom w:val="none" w:sz="0" w:space="0" w:color="auto"/>
                        <w:right w:val="none" w:sz="0" w:space="0" w:color="auto"/>
                      </w:divBdr>
                    </w:div>
                  </w:divsChild>
                </w:div>
                <w:div w:id="1453475374">
                  <w:marLeft w:val="0"/>
                  <w:marRight w:val="0"/>
                  <w:marTop w:val="0"/>
                  <w:marBottom w:val="0"/>
                  <w:divBdr>
                    <w:top w:val="none" w:sz="0" w:space="0" w:color="auto"/>
                    <w:left w:val="none" w:sz="0" w:space="0" w:color="auto"/>
                    <w:bottom w:val="none" w:sz="0" w:space="0" w:color="auto"/>
                    <w:right w:val="none" w:sz="0" w:space="0" w:color="auto"/>
                  </w:divBdr>
                  <w:divsChild>
                    <w:div w:id="1029985778">
                      <w:marLeft w:val="0"/>
                      <w:marRight w:val="0"/>
                      <w:marTop w:val="0"/>
                      <w:marBottom w:val="0"/>
                      <w:divBdr>
                        <w:top w:val="none" w:sz="0" w:space="0" w:color="auto"/>
                        <w:left w:val="none" w:sz="0" w:space="0" w:color="auto"/>
                        <w:bottom w:val="none" w:sz="0" w:space="0" w:color="auto"/>
                        <w:right w:val="none" w:sz="0" w:space="0" w:color="auto"/>
                      </w:divBdr>
                    </w:div>
                  </w:divsChild>
                </w:div>
                <w:div w:id="1481462746">
                  <w:marLeft w:val="0"/>
                  <w:marRight w:val="0"/>
                  <w:marTop w:val="0"/>
                  <w:marBottom w:val="0"/>
                  <w:divBdr>
                    <w:top w:val="none" w:sz="0" w:space="0" w:color="auto"/>
                    <w:left w:val="none" w:sz="0" w:space="0" w:color="auto"/>
                    <w:bottom w:val="none" w:sz="0" w:space="0" w:color="auto"/>
                    <w:right w:val="none" w:sz="0" w:space="0" w:color="auto"/>
                  </w:divBdr>
                  <w:divsChild>
                    <w:div w:id="109446170">
                      <w:marLeft w:val="0"/>
                      <w:marRight w:val="0"/>
                      <w:marTop w:val="0"/>
                      <w:marBottom w:val="0"/>
                      <w:divBdr>
                        <w:top w:val="none" w:sz="0" w:space="0" w:color="auto"/>
                        <w:left w:val="none" w:sz="0" w:space="0" w:color="auto"/>
                        <w:bottom w:val="none" w:sz="0" w:space="0" w:color="auto"/>
                        <w:right w:val="none" w:sz="0" w:space="0" w:color="auto"/>
                      </w:divBdr>
                    </w:div>
                  </w:divsChild>
                </w:div>
                <w:div w:id="1503737131">
                  <w:marLeft w:val="0"/>
                  <w:marRight w:val="0"/>
                  <w:marTop w:val="0"/>
                  <w:marBottom w:val="0"/>
                  <w:divBdr>
                    <w:top w:val="none" w:sz="0" w:space="0" w:color="auto"/>
                    <w:left w:val="none" w:sz="0" w:space="0" w:color="auto"/>
                    <w:bottom w:val="none" w:sz="0" w:space="0" w:color="auto"/>
                    <w:right w:val="none" w:sz="0" w:space="0" w:color="auto"/>
                  </w:divBdr>
                  <w:divsChild>
                    <w:div w:id="1937515588">
                      <w:marLeft w:val="0"/>
                      <w:marRight w:val="0"/>
                      <w:marTop w:val="0"/>
                      <w:marBottom w:val="0"/>
                      <w:divBdr>
                        <w:top w:val="none" w:sz="0" w:space="0" w:color="auto"/>
                        <w:left w:val="none" w:sz="0" w:space="0" w:color="auto"/>
                        <w:bottom w:val="none" w:sz="0" w:space="0" w:color="auto"/>
                        <w:right w:val="none" w:sz="0" w:space="0" w:color="auto"/>
                      </w:divBdr>
                    </w:div>
                  </w:divsChild>
                </w:div>
                <w:div w:id="1504737647">
                  <w:marLeft w:val="0"/>
                  <w:marRight w:val="0"/>
                  <w:marTop w:val="0"/>
                  <w:marBottom w:val="0"/>
                  <w:divBdr>
                    <w:top w:val="none" w:sz="0" w:space="0" w:color="auto"/>
                    <w:left w:val="none" w:sz="0" w:space="0" w:color="auto"/>
                    <w:bottom w:val="none" w:sz="0" w:space="0" w:color="auto"/>
                    <w:right w:val="none" w:sz="0" w:space="0" w:color="auto"/>
                  </w:divBdr>
                  <w:divsChild>
                    <w:div w:id="986980466">
                      <w:marLeft w:val="0"/>
                      <w:marRight w:val="0"/>
                      <w:marTop w:val="0"/>
                      <w:marBottom w:val="0"/>
                      <w:divBdr>
                        <w:top w:val="none" w:sz="0" w:space="0" w:color="auto"/>
                        <w:left w:val="none" w:sz="0" w:space="0" w:color="auto"/>
                        <w:bottom w:val="none" w:sz="0" w:space="0" w:color="auto"/>
                        <w:right w:val="none" w:sz="0" w:space="0" w:color="auto"/>
                      </w:divBdr>
                    </w:div>
                  </w:divsChild>
                </w:div>
                <w:div w:id="1508904304">
                  <w:marLeft w:val="0"/>
                  <w:marRight w:val="0"/>
                  <w:marTop w:val="0"/>
                  <w:marBottom w:val="0"/>
                  <w:divBdr>
                    <w:top w:val="none" w:sz="0" w:space="0" w:color="auto"/>
                    <w:left w:val="none" w:sz="0" w:space="0" w:color="auto"/>
                    <w:bottom w:val="none" w:sz="0" w:space="0" w:color="auto"/>
                    <w:right w:val="none" w:sz="0" w:space="0" w:color="auto"/>
                  </w:divBdr>
                  <w:divsChild>
                    <w:div w:id="510683699">
                      <w:marLeft w:val="0"/>
                      <w:marRight w:val="0"/>
                      <w:marTop w:val="0"/>
                      <w:marBottom w:val="0"/>
                      <w:divBdr>
                        <w:top w:val="none" w:sz="0" w:space="0" w:color="auto"/>
                        <w:left w:val="none" w:sz="0" w:space="0" w:color="auto"/>
                        <w:bottom w:val="none" w:sz="0" w:space="0" w:color="auto"/>
                        <w:right w:val="none" w:sz="0" w:space="0" w:color="auto"/>
                      </w:divBdr>
                    </w:div>
                  </w:divsChild>
                </w:div>
                <w:div w:id="1515729787">
                  <w:marLeft w:val="0"/>
                  <w:marRight w:val="0"/>
                  <w:marTop w:val="0"/>
                  <w:marBottom w:val="0"/>
                  <w:divBdr>
                    <w:top w:val="none" w:sz="0" w:space="0" w:color="auto"/>
                    <w:left w:val="none" w:sz="0" w:space="0" w:color="auto"/>
                    <w:bottom w:val="none" w:sz="0" w:space="0" w:color="auto"/>
                    <w:right w:val="none" w:sz="0" w:space="0" w:color="auto"/>
                  </w:divBdr>
                  <w:divsChild>
                    <w:div w:id="1032153104">
                      <w:marLeft w:val="0"/>
                      <w:marRight w:val="0"/>
                      <w:marTop w:val="0"/>
                      <w:marBottom w:val="0"/>
                      <w:divBdr>
                        <w:top w:val="none" w:sz="0" w:space="0" w:color="auto"/>
                        <w:left w:val="none" w:sz="0" w:space="0" w:color="auto"/>
                        <w:bottom w:val="none" w:sz="0" w:space="0" w:color="auto"/>
                        <w:right w:val="none" w:sz="0" w:space="0" w:color="auto"/>
                      </w:divBdr>
                    </w:div>
                  </w:divsChild>
                </w:div>
                <w:div w:id="1539313851">
                  <w:marLeft w:val="0"/>
                  <w:marRight w:val="0"/>
                  <w:marTop w:val="0"/>
                  <w:marBottom w:val="0"/>
                  <w:divBdr>
                    <w:top w:val="none" w:sz="0" w:space="0" w:color="auto"/>
                    <w:left w:val="none" w:sz="0" w:space="0" w:color="auto"/>
                    <w:bottom w:val="none" w:sz="0" w:space="0" w:color="auto"/>
                    <w:right w:val="none" w:sz="0" w:space="0" w:color="auto"/>
                  </w:divBdr>
                  <w:divsChild>
                    <w:div w:id="1520270540">
                      <w:marLeft w:val="0"/>
                      <w:marRight w:val="0"/>
                      <w:marTop w:val="0"/>
                      <w:marBottom w:val="0"/>
                      <w:divBdr>
                        <w:top w:val="none" w:sz="0" w:space="0" w:color="auto"/>
                        <w:left w:val="none" w:sz="0" w:space="0" w:color="auto"/>
                        <w:bottom w:val="none" w:sz="0" w:space="0" w:color="auto"/>
                        <w:right w:val="none" w:sz="0" w:space="0" w:color="auto"/>
                      </w:divBdr>
                    </w:div>
                  </w:divsChild>
                </w:div>
                <w:div w:id="1555700615">
                  <w:marLeft w:val="0"/>
                  <w:marRight w:val="0"/>
                  <w:marTop w:val="0"/>
                  <w:marBottom w:val="0"/>
                  <w:divBdr>
                    <w:top w:val="none" w:sz="0" w:space="0" w:color="auto"/>
                    <w:left w:val="none" w:sz="0" w:space="0" w:color="auto"/>
                    <w:bottom w:val="none" w:sz="0" w:space="0" w:color="auto"/>
                    <w:right w:val="none" w:sz="0" w:space="0" w:color="auto"/>
                  </w:divBdr>
                  <w:divsChild>
                    <w:div w:id="1836219059">
                      <w:marLeft w:val="0"/>
                      <w:marRight w:val="0"/>
                      <w:marTop w:val="0"/>
                      <w:marBottom w:val="0"/>
                      <w:divBdr>
                        <w:top w:val="none" w:sz="0" w:space="0" w:color="auto"/>
                        <w:left w:val="none" w:sz="0" w:space="0" w:color="auto"/>
                        <w:bottom w:val="none" w:sz="0" w:space="0" w:color="auto"/>
                        <w:right w:val="none" w:sz="0" w:space="0" w:color="auto"/>
                      </w:divBdr>
                    </w:div>
                  </w:divsChild>
                </w:div>
                <w:div w:id="1557930503">
                  <w:marLeft w:val="0"/>
                  <w:marRight w:val="0"/>
                  <w:marTop w:val="0"/>
                  <w:marBottom w:val="0"/>
                  <w:divBdr>
                    <w:top w:val="none" w:sz="0" w:space="0" w:color="auto"/>
                    <w:left w:val="none" w:sz="0" w:space="0" w:color="auto"/>
                    <w:bottom w:val="none" w:sz="0" w:space="0" w:color="auto"/>
                    <w:right w:val="none" w:sz="0" w:space="0" w:color="auto"/>
                  </w:divBdr>
                  <w:divsChild>
                    <w:div w:id="1697972356">
                      <w:marLeft w:val="0"/>
                      <w:marRight w:val="0"/>
                      <w:marTop w:val="0"/>
                      <w:marBottom w:val="0"/>
                      <w:divBdr>
                        <w:top w:val="none" w:sz="0" w:space="0" w:color="auto"/>
                        <w:left w:val="none" w:sz="0" w:space="0" w:color="auto"/>
                        <w:bottom w:val="none" w:sz="0" w:space="0" w:color="auto"/>
                        <w:right w:val="none" w:sz="0" w:space="0" w:color="auto"/>
                      </w:divBdr>
                    </w:div>
                  </w:divsChild>
                </w:div>
                <w:div w:id="1564096819">
                  <w:marLeft w:val="0"/>
                  <w:marRight w:val="0"/>
                  <w:marTop w:val="0"/>
                  <w:marBottom w:val="0"/>
                  <w:divBdr>
                    <w:top w:val="none" w:sz="0" w:space="0" w:color="auto"/>
                    <w:left w:val="none" w:sz="0" w:space="0" w:color="auto"/>
                    <w:bottom w:val="none" w:sz="0" w:space="0" w:color="auto"/>
                    <w:right w:val="none" w:sz="0" w:space="0" w:color="auto"/>
                  </w:divBdr>
                  <w:divsChild>
                    <w:div w:id="236521535">
                      <w:marLeft w:val="0"/>
                      <w:marRight w:val="0"/>
                      <w:marTop w:val="0"/>
                      <w:marBottom w:val="0"/>
                      <w:divBdr>
                        <w:top w:val="none" w:sz="0" w:space="0" w:color="auto"/>
                        <w:left w:val="none" w:sz="0" w:space="0" w:color="auto"/>
                        <w:bottom w:val="none" w:sz="0" w:space="0" w:color="auto"/>
                        <w:right w:val="none" w:sz="0" w:space="0" w:color="auto"/>
                      </w:divBdr>
                    </w:div>
                  </w:divsChild>
                </w:div>
                <w:div w:id="1568343348">
                  <w:marLeft w:val="0"/>
                  <w:marRight w:val="0"/>
                  <w:marTop w:val="0"/>
                  <w:marBottom w:val="0"/>
                  <w:divBdr>
                    <w:top w:val="none" w:sz="0" w:space="0" w:color="auto"/>
                    <w:left w:val="none" w:sz="0" w:space="0" w:color="auto"/>
                    <w:bottom w:val="none" w:sz="0" w:space="0" w:color="auto"/>
                    <w:right w:val="none" w:sz="0" w:space="0" w:color="auto"/>
                  </w:divBdr>
                  <w:divsChild>
                    <w:div w:id="750084532">
                      <w:marLeft w:val="0"/>
                      <w:marRight w:val="0"/>
                      <w:marTop w:val="0"/>
                      <w:marBottom w:val="0"/>
                      <w:divBdr>
                        <w:top w:val="none" w:sz="0" w:space="0" w:color="auto"/>
                        <w:left w:val="none" w:sz="0" w:space="0" w:color="auto"/>
                        <w:bottom w:val="none" w:sz="0" w:space="0" w:color="auto"/>
                        <w:right w:val="none" w:sz="0" w:space="0" w:color="auto"/>
                      </w:divBdr>
                    </w:div>
                  </w:divsChild>
                </w:div>
                <w:div w:id="1576428586">
                  <w:marLeft w:val="0"/>
                  <w:marRight w:val="0"/>
                  <w:marTop w:val="0"/>
                  <w:marBottom w:val="0"/>
                  <w:divBdr>
                    <w:top w:val="none" w:sz="0" w:space="0" w:color="auto"/>
                    <w:left w:val="none" w:sz="0" w:space="0" w:color="auto"/>
                    <w:bottom w:val="none" w:sz="0" w:space="0" w:color="auto"/>
                    <w:right w:val="none" w:sz="0" w:space="0" w:color="auto"/>
                  </w:divBdr>
                  <w:divsChild>
                    <w:div w:id="2033264835">
                      <w:marLeft w:val="0"/>
                      <w:marRight w:val="0"/>
                      <w:marTop w:val="0"/>
                      <w:marBottom w:val="0"/>
                      <w:divBdr>
                        <w:top w:val="none" w:sz="0" w:space="0" w:color="auto"/>
                        <w:left w:val="none" w:sz="0" w:space="0" w:color="auto"/>
                        <w:bottom w:val="none" w:sz="0" w:space="0" w:color="auto"/>
                        <w:right w:val="none" w:sz="0" w:space="0" w:color="auto"/>
                      </w:divBdr>
                    </w:div>
                  </w:divsChild>
                </w:div>
                <w:div w:id="1584534355">
                  <w:marLeft w:val="0"/>
                  <w:marRight w:val="0"/>
                  <w:marTop w:val="0"/>
                  <w:marBottom w:val="0"/>
                  <w:divBdr>
                    <w:top w:val="none" w:sz="0" w:space="0" w:color="auto"/>
                    <w:left w:val="none" w:sz="0" w:space="0" w:color="auto"/>
                    <w:bottom w:val="none" w:sz="0" w:space="0" w:color="auto"/>
                    <w:right w:val="none" w:sz="0" w:space="0" w:color="auto"/>
                  </w:divBdr>
                  <w:divsChild>
                    <w:div w:id="1117456097">
                      <w:marLeft w:val="0"/>
                      <w:marRight w:val="0"/>
                      <w:marTop w:val="0"/>
                      <w:marBottom w:val="0"/>
                      <w:divBdr>
                        <w:top w:val="none" w:sz="0" w:space="0" w:color="auto"/>
                        <w:left w:val="none" w:sz="0" w:space="0" w:color="auto"/>
                        <w:bottom w:val="none" w:sz="0" w:space="0" w:color="auto"/>
                        <w:right w:val="none" w:sz="0" w:space="0" w:color="auto"/>
                      </w:divBdr>
                    </w:div>
                  </w:divsChild>
                </w:div>
                <w:div w:id="1585146796">
                  <w:marLeft w:val="0"/>
                  <w:marRight w:val="0"/>
                  <w:marTop w:val="0"/>
                  <w:marBottom w:val="0"/>
                  <w:divBdr>
                    <w:top w:val="none" w:sz="0" w:space="0" w:color="auto"/>
                    <w:left w:val="none" w:sz="0" w:space="0" w:color="auto"/>
                    <w:bottom w:val="none" w:sz="0" w:space="0" w:color="auto"/>
                    <w:right w:val="none" w:sz="0" w:space="0" w:color="auto"/>
                  </w:divBdr>
                  <w:divsChild>
                    <w:div w:id="189490689">
                      <w:marLeft w:val="0"/>
                      <w:marRight w:val="0"/>
                      <w:marTop w:val="0"/>
                      <w:marBottom w:val="0"/>
                      <w:divBdr>
                        <w:top w:val="none" w:sz="0" w:space="0" w:color="auto"/>
                        <w:left w:val="none" w:sz="0" w:space="0" w:color="auto"/>
                        <w:bottom w:val="none" w:sz="0" w:space="0" w:color="auto"/>
                        <w:right w:val="none" w:sz="0" w:space="0" w:color="auto"/>
                      </w:divBdr>
                    </w:div>
                  </w:divsChild>
                </w:div>
                <w:div w:id="1603300751">
                  <w:marLeft w:val="0"/>
                  <w:marRight w:val="0"/>
                  <w:marTop w:val="0"/>
                  <w:marBottom w:val="0"/>
                  <w:divBdr>
                    <w:top w:val="none" w:sz="0" w:space="0" w:color="auto"/>
                    <w:left w:val="none" w:sz="0" w:space="0" w:color="auto"/>
                    <w:bottom w:val="none" w:sz="0" w:space="0" w:color="auto"/>
                    <w:right w:val="none" w:sz="0" w:space="0" w:color="auto"/>
                  </w:divBdr>
                  <w:divsChild>
                    <w:div w:id="544145510">
                      <w:marLeft w:val="0"/>
                      <w:marRight w:val="0"/>
                      <w:marTop w:val="0"/>
                      <w:marBottom w:val="0"/>
                      <w:divBdr>
                        <w:top w:val="none" w:sz="0" w:space="0" w:color="auto"/>
                        <w:left w:val="none" w:sz="0" w:space="0" w:color="auto"/>
                        <w:bottom w:val="none" w:sz="0" w:space="0" w:color="auto"/>
                        <w:right w:val="none" w:sz="0" w:space="0" w:color="auto"/>
                      </w:divBdr>
                    </w:div>
                  </w:divsChild>
                </w:div>
                <w:div w:id="1615403536">
                  <w:marLeft w:val="0"/>
                  <w:marRight w:val="0"/>
                  <w:marTop w:val="0"/>
                  <w:marBottom w:val="0"/>
                  <w:divBdr>
                    <w:top w:val="none" w:sz="0" w:space="0" w:color="auto"/>
                    <w:left w:val="none" w:sz="0" w:space="0" w:color="auto"/>
                    <w:bottom w:val="none" w:sz="0" w:space="0" w:color="auto"/>
                    <w:right w:val="none" w:sz="0" w:space="0" w:color="auto"/>
                  </w:divBdr>
                  <w:divsChild>
                    <w:div w:id="1378970093">
                      <w:marLeft w:val="0"/>
                      <w:marRight w:val="0"/>
                      <w:marTop w:val="0"/>
                      <w:marBottom w:val="0"/>
                      <w:divBdr>
                        <w:top w:val="none" w:sz="0" w:space="0" w:color="auto"/>
                        <w:left w:val="none" w:sz="0" w:space="0" w:color="auto"/>
                        <w:bottom w:val="none" w:sz="0" w:space="0" w:color="auto"/>
                        <w:right w:val="none" w:sz="0" w:space="0" w:color="auto"/>
                      </w:divBdr>
                    </w:div>
                  </w:divsChild>
                </w:div>
                <w:div w:id="1629775300">
                  <w:marLeft w:val="0"/>
                  <w:marRight w:val="0"/>
                  <w:marTop w:val="0"/>
                  <w:marBottom w:val="0"/>
                  <w:divBdr>
                    <w:top w:val="none" w:sz="0" w:space="0" w:color="auto"/>
                    <w:left w:val="none" w:sz="0" w:space="0" w:color="auto"/>
                    <w:bottom w:val="none" w:sz="0" w:space="0" w:color="auto"/>
                    <w:right w:val="none" w:sz="0" w:space="0" w:color="auto"/>
                  </w:divBdr>
                  <w:divsChild>
                    <w:div w:id="1425103477">
                      <w:marLeft w:val="0"/>
                      <w:marRight w:val="0"/>
                      <w:marTop w:val="0"/>
                      <w:marBottom w:val="0"/>
                      <w:divBdr>
                        <w:top w:val="none" w:sz="0" w:space="0" w:color="auto"/>
                        <w:left w:val="none" w:sz="0" w:space="0" w:color="auto"/>
                        <w:bottom w:val="none" w:sz="0" w:space="0" w:color="auto"/>
                        <w:right w:val="none" w:sz="0" w:space="0" w:color="auto"/>
                      </w:divBdr>
                    </w:div>
                  </w:divsChild>
                </w:div>
                <w:div w:id="1664091862">
                  <w:marLeft w:val="0"/>
                  <w:marRight w:val="0"/>
                  <w:marTop w:val="0"/>
                  <w:marBottom w:val="0"/>
                  <w:divBdr>
                    <w:top w:val="none" w:sz="0" w:space="0" w:color="auto"/>
                    <w:left w:val="none" w:sz="0" w:space="0" w:color="auto"/>
                    <w:bottom w:val="none" w:sz="0" w:space="0" w:color="auto"/>
                    <w:right w:val="none" w:sz="0" w:space="0" w:color="auto"/>
                  </w:divBdr>
                  <w:divsChild>
                    <w:div w:id="392461370">
                      <w:marLeft w:val="0"/>
                      <w:marRight w:val="0"/>
                      <w:marTop w:val="0"/>
                      <w:marBottom w:val="0"/>
                      <w:divBdr>
                        <w:top w:val="none" w:sz="0" w:space="0" w:color="auto"/>
                        <w:left w:val="none" w:sz="0" w:space="0" w:color="auto"/>
                        <w:bottom w:val="none" w:sz="0" w:space="0" w:color="auto"/>
                        <w:right w:val="none" w:sz="0" w:space="0" w:color="auto"/>
                      </w:divBdr>
                    </w:div>
                  </w:divsChild>
                </w:div>
                <w:div w:id="1673920608">
                  <w:marLeft w:val="0"/>
                  <w:marRight w:val="0"/>
                  <w:marTop w:val="0"/>
                  <w:marBottom w:val="0"/>
                  <w:divBdr>
                    <w:top w:val="none" w:sz="0" w:space="0" w:color="auto"/>
                    <w:left w:val="none" w:sz="0" w:space="0" w:color="auto"/>
                    <w:bottom w:val="none" w:sz="0" w:space="0" w:color="auto"/>
                    <w:right w:val="none" w:sz="0" w:space="0" w:color="auto"/>
                  </w:divBdr>
                  <w:divsChild>
                    <w:div w:id="1419213235">
                      <w:marLeft w:val="0"/>
                      <w:marRight w:val="0"/>
                      <w:marTop w:val="0"/>
                      <w:marBottom w:val="0"/>
                      <w:divBdr>
                        <w:top w:val="none" w:sz="0" w:space="0" w:color="auto"/>
                        <w:left w:val="none" w:sz="0" w:space="0" w:color="auto"/>
                        <w:bottom w:val="none" w:sz="0" w:space="0" w:color="auto"/>
                        <w:right w:val="none" w:sz="0" w:space="0" w:color="auto"/>
                      </w:divBdr>
                    </w:div>
                  </w:divsChild>
                </w:div>
                <w:div w:id="1680304931">
                  <w:marLeft w:val="0"/>
                  <w:marRight w:val="0"/>
                  <w:marTop w:val="0"/>
                  <w:marBottom w:val="0"/>
                  <w:divBdr>
                    <w:top w:val="none" w:sz="0" w:space="0" w:color="auto"/>
                    <w:left w:val="none" w:sz="0" w:space="0" w:color="auto"/>
                    <w:bottom w:val="none" w:sz="0" w:space="0" w:color="auto"/>
                    <w:right w:val="none" w:sz="0" w:space="0" w:color="auto"/>
                  </w:divBdr>
                  <w:divsChild>
                    <w:div w:id="517504028">
                      <w:marLeft w:val="0"/>
                      <w:marRight w:val="0"/>
                      <w:marTop w:val="0"/>
                      <w:marBottom w:val="0"/>
                      <w:divBdr>
                        <w:top w:val="none" w:sz="0" w:space="0" w:color="auto"/>
                        <w:left w:val="none" w:sz="0" w:space="0" w:color="auto"/>
                        <w:bottom w:val="none" w:sz="0" w:space="0" w:color="auto"/>
                        <w:right w:val="none" w:sz="0" w:space="0" w:color="auto"/>
                      </w:divBdr>
                    </w:div>
                  </w:divsChild>
                </w:div>
                <w:div w:id="1683436557">
                  <w:marLeft w:val="0"/>
                  <w:marRight w:val="0"/>
                  <w:marTop w:val="0"/>
                  <w:marBottom w:val="0"/>
                  <w:divBdr>
                    <w:top w:val="none" w:sz="0" w:space="0" w:color="auto"/>
                    <w:left w:val="none" w:sz="0" w:space="0" w:color="auto"/>
                    <w:bottom w:val="none" w:sz="0" w:space="0" w:color="auto"/>
                    <w:right w:val="none" w:sz="0" w:space="0" w:color="auto"/>
                  </w:divBdr>
                  <w:divsChild>
                    <w:div w:id="1641885615">
                      <w:marLeft w:val="0"/>
                      <w:marRight w:val="0"/>
                      <w:marTop w:val="0"/>
                      <w:marBottom w:val="0"/>
                      <w:divBdr>
                        <w:top w:val="none" w:sz="0" w:space="0" w:color="auto"/>
                        <w:left w:val="none" w:sz="0" w:space="0" w:color="auto"/>
                        <w:bottom w:val="none" w:sz="0" w:space="0" w:color="auto"/>
                        <w:right w:val="none" w:sz="0" w:space="0" w:color="auto"/>
                      </w:divBdr>
                    </w:div>
                  </w:divsChild>
                </w:div>
                <w:div w:id="1740051614">
                  <w:marLeft w:val="0"/>
                  <w:marRight w:val="0"/>
                  <w:marTop w:val="0"/>
                  <w:marBottom w:val="0"/>
                  <w:divBdr>
                    <w:top w:val="none" w:sz="0" w:space="0" w:color="auto"/>
                    <w:left w:val="none" w:sz="0" w:space="0" w:color="auto"/>
                    <w:bottom w:val="none" w:sz="0" w:space="0" w:color="auto"/>
                    <w:right w:val="none" w:sz="0" w:space="0" w:color="auto"/>
                  </w:divBdr>
                  <w:divsChild>
                    <w:div w:id="1901477718">
                      <w:marLeft w:val="0"/>
                      <w:marRight w:val="0"/>
                      <w:marTop w:val="0"/>
                      <w:marBottom w:val="0"/>
                      <w:divBdr>
                        <w:top w:val="none" w:sz="0" w:space="0" w:color="auto"/>
                        <w:left w:val="none" w:sz="0" w:space="0" w:color="auto"/>
                        <w:bottom w:val="none" w:sz="0" w:space="0" w:color="auto"/>
                        <w:right w:val="none" w:sz="0" w:space="0" w:color="auto"/>
                      </w:divBdr>
                    </w:div>
                  </w:divsChild>
                </w:div>
                <w:div w:id="1778940553">
                  <w:marLeft w:val="0"/>
                  <w:marRight w:val="0"/>
                  <w:marTop w:val="0"/>
                  <w:marBottom w:val="0"/>
                  <w:divBdr>
                    <w:top w:val="none" w:sz="0" w:space="0" w:color="auto"/>
                    <w:left w:val="none" w:sz="0" w:space="0" w:color="auto"/>
                    <w:bottom w:val="none" w:sz="0" w:space="0" w:color="auto"/>
                    <w:right w:val="none" w:sz="0" w:space="0" w:color="auto"/>
                  </w:divBdr>
                  <w:divsChild>
                    <w:div w:id="1658069324">
                      <w:marLeft w:val="0"/>
                      <w:marRight w:val="0"/>
                      <w:marTop w:val="0"/>
                      <w:marBottom w:val="0"/>
                      <w:divBdr>
                        <w:top w:val="none" w:sz="0" w:space="0" w:color="auto"/>
                        <w:left w:val="none" w:sz="0" w:space="0" w:color="auto"/>
                        <w:bottom w:val="none" w:sz="0" w:space="0" w:color="auto"/>
                        <w:right w:val="none" w:sz="0" w:space="0" w:color="auto"/>
                      </w:divBdr>
                    </w:div>
                  </w:divsChild>
                </w:div>
                <w:div w:id="1787651298">
                  <w:marLeft w:val="0"/>
                  <w:marRight w:val="0"/>
                  <w:marTop w:val="0"/>
                  <w:marBottom w:val="0"/>
                  <w:divBdr>
                    <w:top w:val="none" w:sz="0" w:space="0" w:color="auto"/>
                    <w:left w:val="none" w:sz="0" w:space="0" w:color="auto"/>
                    <w:bottom w:val="none" w:sz="0" w:space="0" w:color="auto"/>
                    <w:right w:val="none" w:sz="0" w:space="0" w:color="auto"/>
                  </w:divBdr>
                  <w:divsChild>
                    <w:div w:id="1908489546">
                      <w:marLeft w:val="0"/>
                      <w:marRight w:val="0"/>
                      <w:marTop w:val="0"/>
                      <w:marBottom w:val="0"/>
                      <w:divBdr>
                        <w:top w:val="none" w:sz="0" w:space="0" w:color="auto"/>
                        <w:left w:val="none" w:sz="0" w:space="0" w:color="auto"/>
                        <w:bottom w:val="none" w:sz="0" w:space="0" w:color="auto"/>
                        <w:right w:val="none" w:sz="0" w:space="0" w:color="auto"/>
                      </w:divBdr>
                    </w:div>
                  </w:divsChild>
                </w:div>
                <w:div w:id="1796486987">
                  <w:marLeft w:val="0"/>
                  <w:marRight w:val="0"/>
                  <w:marTop w:val="0"/>
                  <w:marBottom w:val="0"/>
                  <w:divBdr>
                    <w:top w:val="none" w:sz="0" w:space="0" w:color="auto"/>
                    <w:left w:val="none" w:sz="0" w:space="0" w:color="auto"/>
                    <w:bottom w:val="none" w:sz="0" w:space="0" w:color="auto"/>
                    <w:right w:val="none" w:sz="0" w:space="0" w:color="auto"/>
                  </w:divBdr>
                  <w:divsChild>
                    <w:div w:id="496307894">
                      <w:marLeft w:val="0"/>
                      <w:marRight w:val="0"/>
                      <w:marTop w:val="0"/>
                      <w:marBottom w:val="0"/>
                      <w:divBdr>
                        <w:top w:val="none" w:sz="0" w:space="0" w:color="auto"/>
                        <w:left w:val="none" w:sz="0" w:space="0" w:color="auto"/>
                        <w:bottom w:val="none" w:sz="0" w:space="0" w:color="auto"/>
                        <w:right w:val="none" w:sz="0" w:space="0" w:color="auto"/>
                      </w:divBdr>
                    </w:div>
                  </w:divsChild>
                </w:div>
                <w:div w:id="1801267037">
                  <w:marLeft w:val="0"/>
                  <w:marRight w:val="0"/>
                  <w:marTop w:val="0"/>
                  <w:marBottom w:val="0"/>
                  <w:divBdr>
                    <w:top w:val="none" w:sz="0" w:space="0" w:color="auto"/>
                    <w:left w:val="none" w:sz="0" w:space="0" w:color="auto"/>
                    <w:bottom w:val="none" w:sz="0" w:space="0" w:color="auto"/>
                    <w:right w:val="none" w:sz="0" w:space="0" w:color="auto"/>
                  </w:divBdr>
                  <w:divsChild>
                    <w:div w:id="477501481">
                      <w:marLeft w:val="0"/>
                      <w:marRight w:val="0"/>
                      <w:marTop w:val="0"/>
                      <w:marBottom w:val="0"/>
                      <w:divBdr>
                        <w:top w:val="none" w:sz="0" w:space="0" w:color="auto"/>
                        <w:left w:val="none" w:sz="0" w:space="0" w:color="auto"/>
                        <w:bottom w:val="none" w:sz="0" w:space="0" w:color="auto"/>
                        <w:right w:val="none" w:sz="0" w:space="0" w:color="auto"/>
                      </w:divBdr>
                    </w:div>
                  </w:divsChild>
                </w:div>
                <w:div w:id="1830170162">
                  <w:marLeft w:val="0"/>
                  <w:marRight w:val="0"/>
                  <w:marTop w:val="0"/>
                  <w:marBottom w:val="0"/>
                  <w:divBdr>
                    <w:top w:val="none" w:sz="0" w:space="0" w:color="auto"/>
                    <w:left w:val="none" w:sz="0" w:space="0" w:color="auto"/>
                    <w:bottom w:val="none" w:sz="0" w:space="0" w:color="auto"/>
                    <w:right w:val="none" w:sz="0" w:space="0" w:color="auto"/>
                  </w:divBdr>
                  <w:divsChild>
                    <w:div w:id="405998962">
                      <w:marLeft w:val="0"/>
                      <w:marRight w:val="0"/>
                      <w:marTop w:val="0"/>
                      <w:marBottom w:val="0"/>
                      <w:divBdr>
                        <w:top w:val="none" w:sz="0" w:space="0" w:color="auto"/>
                        <w:left w:val="none" w:sz="0" w:space="0" w:color="auto"/>
                        <w:bottom w:val="none" w:sz="0" w:space="0" w:color="auto"/>
                        <w:right w:val="none" w:sz="0" w:space="0" w:color="auto"/>
                      </w:divBdr>
                    </w:div>
                  </w:divsChild>
                </w:div>
                <w:div w:id="1831944277">
                  <w:marLeft w:val="0"/>
                  <w:marRight w:val="0"/>
                  <w:marTop w:val="0"/>
                  <w:marBottom w:val="0"/>
                  <w:divBdr>
                    <w:top w:val="none" w:sz="0" w:space="0" w:color="auto"/>
                    <w:left w:val="none" w:sz="0" w:space="0" w:color="auto"/>
                    <w:bottom w:val="none" w:sz="0" w:space="0" w:color="auto"/>
                    <w:right w:val="none" w:sz="0" w:space="0" w:color="auto"/>
                  </w:divBdr>
                  <w:divsChild>
                    <w:div w:id="1824811382">
                      <w:marLeft w:val="0"/>
                      <w:marRight w:val="0"/>
                      <w:marTop w:val="0"/>
                      <w:marBottom w:val="0"/>
                      <w:divBdr>
                        <w:top w:val="none" w:sz="0" w:space="0" w:color="auto"/>
                        <w:left w:val="none" w:sz="0" w:space="0" w:color="auto"/>
                        <w:bottom w:val="none" w:sz="0" w:space="0" w:color="auto"/>
                        <w:right w:val="none" w:sz="0" w:space="0" w:color="auto"/>
                      </w:divBdr>
                    </w:div>
                  </w:divsChild>
                </w:div>
                <w:div w:id="1877765669">
                  <w:marLeft w:val="0"/>
                  <w:marRight w:val="0"/>
                  <w:marTop w:val="0"/>
                  <w:marBottom w:val="0"/>
                  <w:divBdr>
                    <w:top w:val="none" w:sz="0" w:space="0" w:color="auto"/>
                    <w:left w:val="none" w:sz="0" w:space="0" w:color="auto"/>
                    <w:bottom w:val="none" w:sz="0" w:space="0" w:color="auto"/>
                    <w:right w:val="none" w:sz="0" w:space="0" w:color="auto"/>
                  </w:divBdr>
                  <w:divsChild>
                    <w:div w:id="118114335">
                      <w:marLeft w:val="0"/>
                      <w:marRight w:val="0"/>
                      <w:marTop w:val="0"/>
                      <w:marBottom w:val="0"/>
                      <w:divBdr>
                        <w:top w:val="none" w:sz="0" w:space="0" w:color="auto"/>
                        <w:left w:val="none" w:sz="0" w:space="0" w:color="auto"/>
                        <w:bottom w:val="none" w:sz="0" w:space="0" w:color="auto"/>
                        <w:right w:val="none" w:sz="0" w:space="0" w:color="auto"/>
                      </w:divBdr>
                    </w:div>
                  </w:divsChild>
                </w:div>
                <w:div w:id="1908412933">
                  <w:marLeft w:val="0"/>
                  <w:marRight w:val="0"/>
                  <w:marTop w:val="0"/>
                  <w:marBottom w:val="0"/>
                  <w:divBdr>
                    <w:top w:val="none" w:sz="0" w:space="0" w:color="auto"/>
                    <w:left w:val="none" w:sz="0" w:space="0" w:color="auto"/>
                    <w:bottom w:val="none" w:sz="0" w:space="0" w:color="auto"/>
                    <w:right w:val="none" w:sz="0" w:space="0" w:color="auto"/>
                  </w:divBdr>
                  <w:divsChild>
                    <w:div w:id="727076759">
                      <w:marLeft w:val="0"/>
                      <w:marRight w:val="0"/>
                      <w:marTop w:val="0"/>
                      <w:marBottom w:val="0"/>
                      <w:divBdr>
                        <w:top w:val="none" w:sz="0" w:space="0" w:color="auto"/>
                        <w:left w:val="none" w:sz="0" w:space="0" w:color="auto"/>
                        <w:bottom w:val="none" w:sz="0" w:space="0" w:color="auto"/>
                        <w:right w:val="none" w:sz="0" w:space="0" w:color="auto"/>
                      </w:divBdr>
                    </w:div>
                  </w:divsChild>
                </w:div>
                <w:div w:id="1921331901">
                  <w:marLeft w:val="0"/>
                  <w:marRight w:val="0"/>
                  <w:marTop w:val="0"/>
                  <w:marBottom w:val="0"/>
                  <w:divBdr>
                    <w:top w:val="none" w:sz="0" w:space="0" w:color="auto"/>
                    <w:left w:val="none" w:sz="0" w:space="0" w:color="auto"/>
                    <w:bottom w:val="none" w:sz="0" w:space="0" w:color="auto"/>
                    <w:right w:val="none" w:sz="0" w:space="0" w:color="auto"/>
                  </w:divBdr>
                  <w:divsChild>
                    <w:div w:id="1661694767">
                      <w:marLeft w:val="0"/>
                      <w:marRight w:val="0"/>
                      <w:marTop w:val="0"/>
                      <w:marBottom w:val="0"/>
                      <w:divBdr>
                        <w:top w:val="none" w:sz="0" w:space="0" w:color="auto"/>
                        <w:left w:val="none" w:sz="0" w:space="0" w:color="auto"/>
                        <w:bottom w:val="none" w:sz="0" w:space="0" w:color="auto"/>
                        <w:right w:val="none" w:sz="0" w:space="0" w:color="auto"/>
                      </w:divBdr>
                    </w:div>
                  </w:divsChild>
                </w:div>
                <w:div w:id="1955476110">
                  <w:marLeft w:val="0"/>
                  <w:marRight w:val="0"/>
                  <w:marTop w:val="0"/>
                  <w:marBottom w:val="0"/>
                  <w:divBdr>
                    <w:top w:val="none" w:sz="0" w:space="0" w:color="auto"/>
                    <w:left w:val="none" w:sz="0" w:space="0" w:color="auto"/>
                    <w:bottom w:val="none" w:sz="0" w:space="0" w:color="auto"/>
                    <w:right w:val="none" w:sz="0" w:space="0" w:color="auto"/>
                  </w:divBdr>
                  <w:divsChild>
                    <w:div w:id="917402865">
                      <w:marLeft w:val="0"/>
                      <w:marRight w:val="0"/>
                      <w:marTop w:val="0"/>
                      <w:marBottom w:val="0"/>
                      <w:divBdr>
                        <w:top w:val="none" w:sz="0" w:space="0" w:color="auto"/>
                        <w:left w:val="none" w:sz="0" w:space="0" w:color="auto"/>
                        <w:bottom w:val="none" w:sz="0" w:space="0" w:color="auto"/>
                        <w:right w:val="none" w:sz="0" w:space="0" w:color="auto"/>
                      </w:divBdr>
                    </w:div>
                  </w:divsChild>
                </w:div>
                <w:div w:id="1965574737">
                  <w:marLeft w:val="0"/>
                  <w:marRight w:val="0"/>
                  <w:marTop w:val="0"/>
                  <w:marBottom w:val="0"/>
                  <w:divBdr>
                    <w:top w:val="none" w:sz="0" w:space="0" w:color="auto"/>
                    <w:left w:val="none" w:sz="0" w:space="0" w:color="auto"/>
                    <w:bottom w:val="none" w:sz="0" w:space="0" w:color="auto"/>
                    <w:right w:val="none" w:sz="0" w:space="0" w:color="auto"/>
                  </w:divBdr>
                  <w:divsChild>
                    <w:div w:id="1540779092">
                      <w:marLeft w:val="0"/>
                      <w:marRight w:val="0"/>
                      <w:marTop w:val="0"/>
                      <w:marBottom w:val="0"/>
                      <w:divBdr>
                        <w:top w:val="none" w:sz="0" w:space="0" w:color="auto"/>
                        <w:left w:val="none" w:sz="0" w:space="0" w:color="auto"/>
                        <w:bottom w:val="none" w:sz="0" w:space="0" w:color="auto"/>
                        <w:right w:val="none" w:sz="0" w:space="0" w:color="auto"/>
                      </w:divBdr>
                    </w:div>
                  </w:divsChild>
                </w:div>
                <w:div w:id="1979257530">
                  <w:marLeft w:val="0"/>
                  <w:marRight w:val="0"/>
                  <w:marTop w:val="0"/>
                  <w:marBottom w:val="0"/>
                  <w:divBdr>
                    <w:top w:val="none" w:sz="0" w:space="0" w:color="auto"/>
                    <w:left w:val="none" w:sz="0" w:space="0" w:color="auto"/>
                    <w:bottom w:val="none" w:sz="0" w:space="0" w:color="auto"/>
                    <w:right w:val="none" w:sz="0" w:space="0" w:color="auto"/>
                  </w:divBdr>
                  <w:divsChild>
                    <w:div w:id="326321784">
                      <w:marLeft w:val="0"/>
                      <w:marRight w:val="0"/>
                      <w:marTop w:val="0"/>
                      <w:marBottom w:val="0"/>
                      <w:divBdr>
                        <w:top w:val="none" w:sz="0" w:space="0" w:color="auto"/>
                        <w:left w:val="none" w:sz="0" w:space="0" w:color="auto"/>
                        <w:bottom w:val="none" w:sz="0" w:space="0" w:color="auto"/>
                        <w:right w:val="none" w:sz="0" w:space="0" w:color="auto"/>
                      </w:divBdr>
                    </w:div>
                  </w:divsChild>
                </w:div>
                <w:div w:id="2027441817">
                  <w:marLeft w:val="0"/>
                  <w:marRight w:val="0"/>
                  <w:marTop w:val="0"/>
                  <w:marBottom w:val="0"/>
                  <w:divBdr>
                    <w:top w:val="none" w:sz="0" w:space="0" w:color="auto"/>
                    <w:left w:val="none" w:sz="0" w:space="0" w:color="auto"/>
                    <w:bottom w:val="none" w:sz="0" w:space="0" w:color="auto"/>
                    <w:right w:val="none" w:sz="0" w:space="0" w:color="auto"/>
                  </w:divBdr>
                  <w:divsChild>
                    <w:div w:id="1665667376">
                      <w:marLeft w:val="0"/>
                      <w:marRight w:val="0"/>
                      <w:marTop w:val="0"/>
                      <w:marBottom w:val="0"/>
                      <w:divBdr>
                        <w:top w:val="none" w:sz="0" w:space="0" w:color="auto"/>
                        <w:left w:val="none" w:sz="0" w:space="0" w:color="auto"/>
                        <w:bottom w:val="none" w:sz="0" w:space="0" w:color="auto"/>
                        <w:right w:val="none" w:sz="0" w:space="0" w:color="auto"/>
                      </w:divBdr>
                    </w:div>
                  </w:divsChild>
                </w:div>
                <w:div w:id="2101946692">
                  <w:marLeft w:val="0"/>
                  <w:marRight w:val="0"/>
                  <w:marTop w:val="0"/>
                  <w:marBottom w:val="0"/>
                  <w:divBdr>
                    <w:top w:val="none" w:sz="0" w:space="0" w:color="auto"/>
                    <w:left w:val="none" w:sz="0" w:space="0" w:color="auto"/>
                    <w:bottom w:val="none" w:sz="0" w:space="0" w:color="auto"/>
                    <w:right w:val="none" w:sz="0" w:space="0" w:color="auto"/>
                  </w:divBdr>
                  <w:divsChild>
                    <w:div w:id="1376733572">
                      <w:marLeft w:val="0"/>
                      <w:marRight w:val="0"/>
                      <w:marTop w:val="0"/>
                      <w:marBottom w:val="0"/>
                      <w:divBdr>
                        <w:top w:val="none" w:sz="0" w:space="0" w:color="auto"/>
                        <w:left w:val="none" w:sz="0" w:space="0" w:color="auto"/>
                        <w:bottom w:val="none" w:sz="0" w:space="0" w:color="auto"/>
                        <w:right w:val="none" w:sz="0" w:space="0" w:color="auto"/>
                      </w:divBdr>
                    </w:div>
                  </w:divsChild>
                </w:div>
                <w:div w:id="2139489455">
                  <w:marLeft w:val="0"/>
                  <w:marRight w:val="0"/>
                  <w:marTop w:val="0"/>
                  <w:marBottom w:val="0"/>
                  <w:divBdr>
                    <w:top w:val="none" w:sz="0" w:space="0" w:color="auto"/>
                    <w:left w:val="none" w:sz="0" w:space="0" w:color="auto"/>
                    <w:bottom w:val="none" w:sz="0" w:space="0" w:color="auto"/>
                    <w:right w:val="none" w:sz="0" w:space="0" w:color="auto"/>
                  </w:divBdr>
                  <w:divsChild>
                    <w:div w:id="20238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67588">
      <w:bodyDiv w:val="1"/>
      <w:marLeft w:val="0"/>
      <w:marRight w:val="0"/>
      <w:marTop w:val="0"/>
      <w:marBottom w:val="0"/>
      <w:divBdr>
        <w:top w:val="none" w:sz="0" w:space="0" w:color="auto"/>
        <w:left w:val="none" w:sz="0" w:space="0" w:color="auto"/>
        <w:bottom w:val="none" w:sz="0" w:space="0" w:color="auto"/>
        <w:right w:val="none" w:sz="0" w:space="0" w:color="auto"/>
      </w:divBdr>
    </w:div>
    <w:div w:id="1705326811">
      <w:bodyDiv w:val="1"/>
      <w:marLeft w:val="0"/>
      <w:marRight w:val="0"/>
      <w:marTop w:val="0"/>
      <w:marBottom w:val="0"/>
      <w:divBdr>
        <w:top w:val="none" w:sz="0" w:space="0" w:color="auto"/>
        <w:left w:val="none" w:sz="0" w:space="0" w:color="auto"/>
        <w:bottom w:val="none" w:sz="0" w:space="0" w:color="auto"/>
        <w:right w:val="none" w:sz="0" w:space="0" w:color="auto"/>
      </w:divBdr>
    </w:div>
    <w:div w:id="172576201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5736617">
      <w:bodyDiv w:val="1"/>
      <w:marLeft w:val="0"/>
      <w:marRight w:val="0"/>
      <w:marTop w:val="0"/>
      <w:marBottom w:val="0"/>
      <w:divBdr>
        <w:top w:val="none" w:sz="0" w:space="0" w:color="auto"/>
        <w:left w:val="none" w:sz="0" w:space="0" w:color="auto"/>
        <w:bottom w:val="none" w:sz="0" w:space="0" w:color="auto"/>
        <w:right w:val="none" w:sz="0" w:space="0" w:color="auto"/>
      </w:divBdr>
    </w:div>
    <w:div w:id="1757433696">
      <w:bodyDiv w:val="1"/>
      <w:marLeft w:val="0"/>
      <w:marRight w:val="0"/>
      <w:marTop w:val="0"/>
      <w:marBottom w:val="0"/>
      <w:divBdr>
        <w:top w:val="none" w:sz="0" w:space="0" w:color="auto"/>
        <w:left w:val="none" w:sz="0" w:space="0" w:color="auto"/>
        <w:bottom w:val="none" w:sz="0" w:space="0" w:color="auto"/>
        <w:right w:val="none" w:sz="0" w:space="0" w:color="auto"/>
      </w:divBdr>
    </w:div>
    <w:div w:id="1792940049">
      <w:bodyDiv w:val="1"/>
      <w:marLeft w:val="0"/>
      <w:marRight w:val="0"/>
      <w:marTop w:val="0"/>
      <w:marBottom w:val="0"/>
      <w:divBdr>
        <w:top w:val="none" w:sz="0" w:space="0" w:color="auto"/>
        <w:left w:val="none" w:sz="0" w:space="0" w:color="auto"/>
        <w:bottom w:val="none" w:sz="0" w:space="0" w:color="auto"/>
        <w:right w:val="none" w:sz="0" w:space="0" w:color="auto"/>
      </w:divBdr>
    </w:div>
    <w:div w:id="1800612795">
      <w:bodyDiv w:val="1"/>
      <w:marLeft w:val="0"/>
      <w:marRight w:val="0"/>
      <w:marTop w:val="0"/>
      <w:marBottom w:val="0"/>
      <w:divBdr>
        <w:top w:val="none" w:sz="0" w:space="0" w:color="auto"/>
        <w:left w:val="none" w:sz="0" w:space="0" w:color="auto"/>
        <w:bottom w:val="none" w:sz="0" w:space="0" w:color="auto"/>
        <w:right w:val="none" w:sz="0" w:space="0" w:color="auto"/>
      </w:divBdr>
    </w:div>
    <w:div w:id="1806703475">
      <w:bodyDiv w:val="1"/>
      <w:marLeft w:val="0"/>
      <w:marRight w:val="0"/>
      <w:marTop w:val="0"/>
      <w:marBottom w:val="0"/>
      <w:divBdr>
        <w:top w:val="none" w:sz="0" w:space="0" w:color="auto"/>
        <w:left w:val="none" w:sz="0" w:space="0" w:color="auto"/>
        <w:bottom w:val="none" w:sz="0" w:space="0" w:color="auto"/>
        <w:right w:val="none" w:sz="0" w:space="0" w:color="auto"/>
      </w:divBdr>
    </w:div>
    <w:div w:id="1834832140">
      <w:bodyDiv w:val="1"/>
      <w:marLeft w:val="0"/>
      <w:marRight w:val="0"/>
      <w:marTop w:val="0"/>
      <w:marBottom w:val="0"/>
      <w:divBdr>
        <w:top w:val="none" w:sz="0" w:space="0" w:color="auto"/>
        <w:left w:val="none" w:sz="0" w:space="0" w:color="auto"/>
        <w:bottom w:val="none" w:sz="0" w:space="0" w:color="auto"/>
        <w:right w:val="none" w:sz="0" w:space="0" w:color="auto"/>
      </w:divBdr>
    </w:div>
    <w:div w:id="1857690333">
      <w:bodyDiv w:val="1"/>
      <w:marLeft w:val="0"/>
      <w:marRight w:val="0"/>
      <w:marTop w:val="0"/>
      <w:marBottom w:val="0"/>
      <w:divBdr>
        <w:top w:val="none" w:sz="0" w:space="0" w:color="auto"/>
        <w:left w:val="none" w:sz="0" w:space="0" w:color="auto"/>
        <w:bottom w:val="none" w:sz="0" w:space="0" w:color="auto"/>
        <w:right w:val="none" w:sz="0" w:space="0" w:color="auto"/>
      </w:divBdr>
    </w:div>
    <w:div w:id="1866406337">
      <w:bodyDiv w:val="1"/>
      <w:marLeft w:val="0"/>
      <w:marRight w:val="0"/>
      <w:marTop w:val="0"/>
      <w:marBottom w:val="0"/>
      <w:divBdr>
        <w:top w:val="none" w:sz="0" w:space="0" w:color="auto"/>
        <w:left w:val="none" w:sz="0" w:space="0" w:color="auto"/>
        <w:bottom w:val="none" w:sz="0" w:space="0" w:color="auto"/>
        <w:right w:val="none" w:sz="0" w:space="0" w:color="auto"/>
      </w:divBdr>
    </w:div>
    <w:div w:id="1870751281">
      <w:bodyDiv w:val="1"/>
      <w:marLeft w:val="0"/>
      <w:marRight w:val="0"/>
      <w:marTop w:val="0"/>
      <w:marBottom w:val="0"/>
      <w:divBdr>
        <w:top w:val="none" w:sz="0" w:space="0" w:color="auto"/>
        <w:left w:val="none" w:sz="0" w:space="0" w:color="auto"/>
        <w:bottom w:val="none" w:sz="0" w:space="0" w:color="auto"/>
        <w:right w:val="none" w:sz="0" w:space="0" w:color="auto"/>
      </w:divBdr>
    </w:div>
    <w:div w:id="1881937485">
      <w:bodyDiv w:val="1"/>
      <w:marLeft w:val="0"/>
      <w:marRight w:val="0"/>
      <w:marTop w:val="0"/>
      <w:marBottom w:val="0"/>
      <w:divBdr>
        <w:top w:val="none" w:sz="0" w:space="0" w:color="auto"/>
        <w:left w:val="none" w:sz="0" w:space="0" w:color="auto"/>
        <w:bottom w:val="none" w:sz="0" w:space="0" w:color="auto"/>
        <w:right w:val="none" w:sz="0" w:space="0" w:color="auto"/>
      </w:divBdr>
    </w:div>
    <w:div w:id="1904608222">
      <w:bodyDiv w:val="1"/>
      <w:marLeft w:val="0"/>
      <w:marRight w:val="0"/>
      <w:marTop w:val="0"/>
      <w:marBottom w:val="0"/>
      <w:divBdr>
        <w:top w:val="none" w:sz="0" w:space="0" w:color="auto"/>
        <w:left w:val="none" w:sz="0" w:space="0" w:color="auto"/>
        <w:bottom w:val="none" w:sz="0" w:space="0" w:color="auto"/>
        <w:right w:val="none" w:sz="0" w:space="0" w:color="auto"/>
      </w:divBdr>
    </w:div>
    <w:div w:id="1907719569">
      <w:bodyDiv w:val="1"/>
      <w:marLeft w:val="0"/>
      <w:marRight w:val="0"/>
      <w:marTop w:val="0"/>
      <w:marBottom w:val="0"/>
      <w:divBdr>
        <w:top w:val="none" w:sz="0" w:space="0" w:color="auto"/>
        <w:left w:val="none" w:sz="0" w:space="0" w:color="auto"/>
        <w:bottom w:val="none" w:sz="0" w:space="0" w:color="auto"/>
        <w:right w:val="none" w:sz="0" w:space="0" w:color="auto"/>
      </w:divBdr>
    </w:div>
    <w:div w:id="1910647626">
      <w:bodyDiv w:val="1"/>
      <w:marLeft w:val="0"/>
      <w:marRight w:val="0"/>
      <w:marTop w:val="0"/>
      <w:marBottom w:val="0"/>
      <w:divBdr>
        <w:top w:val="none" w:sz="0" w:space="0" w:color="auto"/>
        <w:left w:val="none" w:sz="0" w:space="0" w:color="auto"/>
        <w:bottom w:val="none" w:sz="0" w:space="0" w:color="auto"/>
        <w:right w:val="none" w:sz="0" w:space="0" w:color="auto"/>
      </w:divBdr>
    </w:div>
    <w:div w:id="1912806514">
      <w:bodyDiv w:val="1"/>
      <w:marLeft w:val="0"/>
      <w:marRight w:val="0"/>
      <w:marTop w:val="0"/>
      <w:marBottom w:val="0"/>
      <w:divBdr>
        <w:top w:val="none" w:sz="0" w:space="0" w:color="auto"/>
        <w:left w:val="none" w:sz="0" w:space="0" w:color="auto"/>
        <w:bottom w:val="none" w:sz="0" w:space="0" w:color="auto"/>
        <w:right w:val="none" w:sz="0" w:space="0" w:color="auto"/>
      </w:divBdr>
    </w:div>
    <w:div w:id="1919436180">
      <w:bodyDiv w:val="1"/>
      <w:marLeft w:val="0"/>
      <w:marRight w:val="0"/>
      <w:marTop w:val="0"/>
      <w:marBottom w:val="0"/>
      <w:divBdr>
        <w:top w:val="none" w:sz="0" w:space="0" w:color="auto"/>
        <w:left w:val="none" w:sz="0" w:space="0" w:color="auto"/>
        <w:bottom w:val="none" w:sz="0" w:space="0" w:color="auto"/>
        <w:right w:val="none" w:sz="0" w:space="0" w:color="auto"/>
      </w:divBdr>
    </w:div>
    <w:div w:id="192957808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3419842">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4117702">
      <w:bodyDiv w:val="1"/>
      <w:marLeft w:val="0"/>
      <w:marRight w:val="0"/>
      <w:marTop w:val="0"/>
      <w:marBottom w:val="0"/>
      <w:divBdr>
        <w:top w:val="none" w:sz="0" w:space="0" w:color="auto"/>
        <w:left w:val="none" w:sz="0" w:space="0" w:color="auto"/>
        <w:bottom w:val="none" w:sz="0" w:space="0" w:color="auto"/>
        <w:right w:val="none" w:sz="0" w:space="0" w:color="auto"/>
      </w:divBdr>
      <w:divsChild>
        <w:div w:id="652028729">
          <w:marLeft w:val="0"/>
          <w:marRight w:val="0"/>
          <w:marTop w:val="0"/>
          <w:marBottom w:val="0"/>
          <w:divBdr>
            <w:top w:val="none" w:sz="0" w:space="0" w:color="auto"/>
            <w:left w:val="none" w:sz="0" w:space="0" w:color="auto"/>
            <w:bottom w:val="none" w:sz="0" w:space="0" w:color="auto"/>
            <w:right w:val="none" w:sz="0" w:space="0" w:color="auto"/>
          </w:divBdr>
        </w:div>
        <w:div w:id="760297218">
          <w:marLeft w:val="0"/>
          <w:marRight w:val="0"/>
          <w:marTop w:val="0"/>
          <w:marBottom w:val="0"/>
          <w:divBdr>
            <w:top w:val="none" w:sz="0" w:space="0" w:color="auto"/>
            <w:left w:val="none" w:sz="0" w:space="0" w:color="auto"/>
            <w:bottom w:val="none" w:sz="0" w:space="0" w:color="auto"/>
            <w:right w:val="none" w:sz="0" w:space="0" w:color="auto"/>
          </w:divBdr>
        </w:div>
        <w:div w:id="1355498977">
          <w:marLeft w:val="0"/>
          <w:marRight w:val="0"/>
          <w:marTop w:val="0"/>
          <w:marBottom w:val="0"/>
          <w:divBdr>
            <w:top w:val="none" w:sz="0" w:space="0" w:color="auto"/>
            <w:left w:val="none" w:sz="0" w:space="0" w:color="auto"/>
            <w:bottom w:val="none" w:sz="0" w:space="0" w:color="auto"/>
            <w:right w:val="none" w:sz="0" w:space="0" w:color="auto"/>
          </w:divBdr>
        </w:div>
        <w:div w:id="1483040951">
          <w:marLeft w:val="0"/>
          <w:marRight w:val="0"/>
          <w:marTop w:val="0"/>
          <w:marBottom w:val="0"/>
          <w:divBdr>
            <w:top w:val="none" w:sz="0" w:space="0" w:color="auto"/>
            <w:left w:val="none" w:sz="0" w:space="0" w:color="auto"/>
            <w:bottom w:val="none" w:sz="0" w:space="0" w:color="auto"/>
            <w:right w:val="none" w:sz="0" w:space="0" w:color="auto"/>
          </w:divBdr>
        </w:div>
        <w:div w:id="1669484360">
          <w:marLeft w:val="0"/>
          <w:marRight w:val="0"/>
          <w:marTop w:val="0"/>
          <w:marBottom w:val="0"/>
          <w:divBdr>
            <w:top w:val="none" w:sz="0" w:space="0" w:color="auto"/>
            <w:left w:val="none" w:sz="0" w:space="0" w:color="auto"/>
            <w:bottom w:val="none" w:sz="0" w:space="0" w:color="auto"/>
            <w:right w:val="none" w:sz="0" w:space="0" w:color="auto"/>
          </w:divBdr>
        </w:div>
        <w:div w:id="1847743367">
          <w:marLeft w:val="0"/>
          <w:marRight w:val="0"/>
          <w:marTop w:val="0"/>
          <w:marBottom w:val="0"/>
          <w:divBdr>
            <w:top w:val="none" w:sz="0" w:space="0" w:color="auto"/>
            <w:left w:val="none" w:sz="0" w:space="0" w:color="auto"/>
            <w:bottom w:val="none" w:sz="0" w:space="0" w:color="auto"/>
            <w:right w:val="none" w:sz="0" w:space="0" w:color="auto"/>
          </w:divBdr>
        </w:div>
        <w:div w:id="1950887839">
          <w:marLeft w:val="0"/>
          <w:marRight w:val="0"/>
          <w:marTop w:val="0"/>
          <w:marBottom w:val="0"/>
          <w:divBdr>
            <w:top w:val="none" w:sz="0" w:space="0" w:color="auto"/>
            <w:left w:val="none" w:sz="0" w:space="0" w:color="auto"/>
            <w:bottom w:val="none" w:sz="0" w:space="0" w:color="auto"/>
            <w:right w:val="none" w:sz="0" w:space="0" w:color="auto"/>
          </w:divBdr>
        </w:div>
      </w:divsChild>
    </w:div>
    <w:div w:id="2009669117">
      <w:bodyDiv w:val="1"/>
      <w:marLeft w:val="0"/>
      <w:marRight w:val="0"/>
      <w:marTop w:val="0"/>
      <w:marBottom w:val="0"/>
      <w:divBdr>
        <w:top w:val="none" w:sz="0" w:space="0" w:color="auto"/>
        <w:left w:val="none" w:sz="0" w:space="0" w:color="auto"/>
        <w:bottom w:val="none" w:sz="0" w:space="0" w:color="auto"/>
        <w:right w:val="none" w:sz="0" w:space="0" w:color="auto"/>
      </w:divBdr>
    </w:div>
    <w:div w:id="2017338258">
      <w:bodyDiv w:val="1"/>
      <w:marLeft w:val="0"/>
      <w:marRight w:val="0"/>
      <w:marTop w:val="0"/>
      <w:marBottom w:val="0"/>
      <w:divBdr>
        <w:top w:val="none" w:sz="0" w:space="0" w:color="auto"/>
        <w:left w:val="none" w:sz="0" w:space="0" w:color="auto"/>
        <w:bottom w:val="none" w:sz="0" w:space="0" w:color="auto"/>
        <w:right w:val="none" w:sz="0" w:space="0" w:color="auto"/>
      </w:divBdr>
    </w:div>
    <w:div w:id="2029595763">
      <w:bodyDiv w:val="1"/>
      <w:marLeft w:val="0"/>
      <w:marRight w:val="0"/>
      <w:marTop w:val="0"/>
      <w:marBottom w:val="0"/>
      <w:divBdr>
        <w:top w:val="none" w:sz="0" w:space="0" w:color="auto"/>
        <w:left w:val="none" w:sz="0" w:space="0" w:color="auto"/>
        <w:bottom w:val="none" w:sz="0" w:space="0" w:color="auto"/>
        <w:right w:val="none" w:sz="0" w:space="0" w:color="auto"/>
      </w:divBdr>
    </w:div>
    <w:div w:id="2032993765">
      <w:bodyDiv w:val="1"/>
      <w:marLeft w:val="0"/>
      <w:marRight w:val="0"/>
      <w:marTop w:val="0"/>
      <w:marBottom w:val="0"/>
      <w:divBdr>
        <w:top w:val="none" w:sz="0" w:space="0" w:color="auto"/>
        <w:left w:val="none" w:sz="0" w:space="0" w:color="auto"/>
        <w:bottom w:val="none" w:sz="0" w:space="0" w:color="auto"/>
        <w:right w:val="none" w:sz="0" w:space="0" w:color="auto"/>
      </w:divBdr>
    </w:div>
    <w:div w:id="2039351868">
      <w:bodyDiv w:val="1"/>
      <w:marLeft w:val="0"/>
      <w:marRight w:val="0"/>
      <w:marTop w:val="0"/>
      <w:marBottom w:val="0"/>
      <w:divBdr>
        <w:top w:val="none" w:sz="0" w:space="0" w:color="auto"/>
        <w:left w:val="none" w:sz="0" w:space="0" w:color="auto"/>
        <w:bottom w:val="none" w:sz="0" w:space="0" w:color="auto"/>
        <w:right w:val="none" w:sz="0" w:space="0" w:color="auto"/>
      </w:divBdr>
    </w:div>
    <w:div w:id="2051222995">
      <w:bodyDiv w:val="1"/>
      <w:marLeft w:val="0"/>
      <w:marRight w:val="0"/>
      <w:marTop w:val="0"/>
      <w:marBottom w:val="0"/>
      <w:divBdr>
        <w:top w:val="none" w:sz="0" w:space="0" w:color="auto"/>
        <w:left w:val="none" w:sz="0" w:space="0" w:color="auto"/>
        <w:bottom w:val="none" w:sz="0" w:space="0" w:color="auto"/>
        <w:right w:val="none" w:sz="0" w:space="0" w:color="auto"/>
      </w:divBdr>
    </w:div>
    <w:div w:id="2055347120">
      <w:bodyDiv w:val="1"/>
      <w:marLeft w:val="0"/>
      <w:marRight w:val="0"/>
      <w:marTop w:val="0"/>
      <w:marBottom w:val="0"/>
      <w:divBdr>
        <w:top w:val="none" w:sz="0" w:space="0" w:color="auto"/>
        <w:left w:val="none" w:sz="0" w:space="0" w:color="auto"/>
        <w:bottom w:val="none" w:sz="0" w:space="0" w:color="auto"/>
        <w:right w:val="none" w:sz="0" w:space="0" w:color="auto"/>
      </w:divBdr>
    </w:div>
    <w:div w:id="2058578513">
      <w:bodyDiv w:val="1"/>
      <w:marLeft w:val="0"/>
      <w:marRight w:val="0"/>
      <w:marTop w:val="0"/>
      <w:marBottom w:val="0"/>
      <w:divBdr>
        <w:top w:val="none" w:sz="0" w:space="0" w:color="auto"/>
        <w:left w:val="none" w:sz="0" w:space="0" w:color="auto"/>
        <w:bottom w:val="none" w:sz="0" w:space="0" w:color="auto"/>
        <w:right w:val="none" w:sz="0" w:space="0" w:color="auto"/>
      </w:divBdr>
    </w:div>
    <w:div w:id="2059039254">
      <w:bodyDiv w:val="1"/>
      <w:marLeft w:val="0"/>
      <w:marRight w:val="0"/>
      <w:marTop w:val="0"/>
      <w:marBottom w:val="0"/>
      <w:divBdr>
        <w:top w:val="none" w:sz="0" w:space="0" w:color="auto"/>
        <w:left w:val="none" w:sz="0" w:space="0" w:color="auto"/>
        <w:bottom w:val="none" w:sz="0" w:space="0" w:color="auto"/>
        <w:right w:val="none" w:sz="0" w:space="0" w:color="auto"/>
      </w:divBdr>
    </w:div>
    <w:div w:id="2088455671">
      <w:bodyDiv w:val="1"/>
      <w:marLeft w:val="0"/>
      <w:marRight w:val="0"/>
      <w:marTop w:val="0"/>
      <w:marBottom w:val="0"/>
      <w:divBdr>
        <w:top w:val="none" w:sz="0" w:space="0" w:color="auto"/>
        <w:left w:val="none" w:sz="0" w:space="0" w:color="auto"/>
        <w:bottom w:val="none" w:sz="0" w:space="0" w:color="auto"/>
        <w:right w:val="none" w:sz="0" w:space="0" w:color="auto"/>
      </w:divBdr>
    </w:div>
    <w:div w:id="2089308621">
      <w:bodyDiv w:val="1"/>
      <w:marLeft w:val="0"/>
      <w:marRight w:val="0"/>
      <w:marTop w:val="0"/>
      <w:marBottom w:val="0"/>
      <w:divBdr>
        <w:top w:val="none" w:sz="0" w:space="0" w:color="auto"/>
        <w:left w:val="none" w:sz="0" w:space="0" w:color="auto"/>
        <w:bottom w:val="none" w:sz="0" w:space="0" w:color="auto"/>
        <w:right w:val="none" w:sz="0" w:space="0" w:color="auto"/>
      </w:divBdr>
    </w:div>
    <w:div w:id="2094548962">
      <w:bodyDiv w:val="1"/>
      <w:marLeft w:val="0"/>
      <w:marRight w:val="0"/>
      <w:marTop w:val="0"/>
      <w:marBottom w:val="0"/>
      <w:divBdr>
        <w:top w:val="none" w:sz="0" w:space="0" w:color="auto"/>
        <w:left w:val="none" w:sz="0" w:space="0" w:color="auto"/>
        <w:bottom w:val="none" w:sz="0" w:space="0" w:color="auto"/>
        <w:right w:val="none" w:sz="0" w:space="0" w:color="auto"/>
      </w:divBdr>
    </w:div>
    <w:div w:id="2097044827">
      <w:bodyDiv w:val="1"/>
      <w:marLeft w:val="0"/>
      <w:marRight w:val="0"/>
      <w:marTop w:val="0"/>
      <w:marBottom w:val="0"/>
      <w:divBdr>
        <w:top w:val="none" w:sz="0" w:space="0" w:color="auto"/>
        <w:left w:val="none" w:sz="0" w:space="0" w:color="auto"/>
        <w:bottom w:val="none" w:sz="0" w:space="0" w:color="auto"/>
        <w:right w:val="none" w:sz="0" w:space="0" w:color="auto"/>
      </w:divBdr>
    </w:div>
    <w:div w:id="2116828074">
      <w:bodyDiv w:val="1"/>
      <w:marLeft w:val="0"/>
      <w:marRight w:val="0"/>
      <w:marTop w:val="0"/>
      <w:marBottom w:val="0"/>
      <w:divBdr>
        <w:top w:val="none" w:sz="0" w:space="0" w:color="auto"/>
        <w:left w:val="none" w:sz="0" w:space="0" w:color="auto"/>
        <w:bottom w:val="none" w:sz="0" w:space="0" w:color="auto"/>
        <w:right w:val="none" w:sz="0" w:space="0" w:color="auto"/>
      </w:divBdr>
    </w:div>
    <w:div w:id="2120443454">
      <w:bodyDiv w:val="1"/>
      <w:marLeft w:val="0"/>
      <w:marRight w:val="0"/>
      <w:marTop w:val="0"/>
      <w:marBottom w:val="0"/>
      <w:divBdr>
        <w:top w:val="none" w:sz="0" w:space="0" w:color="auto"/>
        <w:left w:val="none" w:sz="0" w:space="0" w:color="auto"/>
        <w:bottom w:val="none" w:sz="0" w:space="0" w:color="auto"/>
        <w:right w:val="none" w:sz="0" w:space="0" w:color="auto"/>
      </w:divBdr>
    </w:div>
    <w:div w:id="2121953212">
      <w:bodyDiv w:val="1"/>
      <w:marLeft w:val="0"/>
      <w:marRight w:val="0"/>
      <w:marTop w:val="0"/>
      <w:marBottom w:val="0"/>
      <w:divBdr>
        <w:top w:val="none" w:sz="0" w:space="0" w:color="auto"/>
        <w:left w:val="none" w:sz="0" w:space="0" w:color="auto"/>
        <w:bottom w:val="none" w:sz="0" w:space="0" w:color="auto"/>
        <w:right w:val="none" w:sz="0" w:space="0" w:color="auto"/>
      </w:divBdr>
      <w:divsChild>
        <w:div w:id="592324393">
          <w:marLeft w:val="0"/>
          <w:marRight w:val="0"/>
          <w:marTop w:val="0"/>
          <w:marBottom w:val="0"/>
          <w:divBdr>
            <w:top w:val="none" w:sz="0" w:space="0" w:color="auto"/>
            <w:left w:val="none" w:sz="0" w:space="0" w:color="auto"/>
            <w:bottom w:val="none" w:sz="0" w:space="0" w:color="auto"/>
            <w:right w:val="none" w:sz="0" w:space="0" w:color="auto"/>
          </w:divBdr>
        </w:div>
        <w:div w:id="889880322">
          <w:marLeft w:val="0"/>
          <w:marRight w:val="0"/>
          <w:marTop w:val="0"/>
          <w:marBottom w:val="0"/>
          <w:divBdr>
            <w:top w:val="none" w:sz="0" w:space="0" w:color="auto"/>
            <w:left w:val="none" w:sz="0" w:space="0" w:color="auto"/>
            <w:bottom w:val="none" w:sz="0" w:space="0" w:color="auto"/>
            <w:right w:val="none" w:sz="0" w:space="0" w:color="auto"/>
          </w:divBdr>
        </w:div>
        <w:div w:id="1912689343">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health.vic.gov.au/patient-care/subcutaneous-immunoglobulin-scig-access-program" TargetMode="External"/><Relationship Id="rId21" Type="http://schemas.openxmlformats.org/officeDocument/2006/relationships/hyperlink" Target="https://fac.dhhs.vic.gov.au/service-agreement" TargetMode="External"/><Relationship Id="rId42" Type="http://schemas.openxmlformats.org/officeDocument/2006/relationships/hyperlink" Target="https://www.health.vic.gov.au/data-reporting/health-data-standards-and-systems" TargetMode="External"/><Relationship Id="rId47" Type="http://schemas.openxmlformats.org/officeDocument/2006/relationships/hyperlink" Target="https://www.health.vic.gov.au/data-reporting/victorian-admitted-episodes-dataset" TargetMode="External"/><Relationship Id="rId63" Type="http://schemas.openxmlformats.org/officeDocument/2006/relationships/hyperlink" Target="https://www.health.vic.gov.au/patient-care/conditions-of-funding-for-palliative-care" TargetMode="External"/><Relationship Id="rId68" Type="http://schemas.openxmlformats.org/officeDocument/2006/relationships/hyperlink" Target="https://www.health.vic.gov.au/data-reporting/national-funding-model-implementation-resources" TargetMode="External"/><Relationship Id="rId84" Type="http://schemas.openxmlformats.org/officeDocument/2006/relationships/header" Target="header5.xml"/><Relationship Id="rId89" Type="http://schemas.openxmlformats.org/officeDocument/2006/relationships/header" Target="header8.xml"/><Relationship Id="rId7" Type="http://schemas.openxmlformats.org/officeDocument/2006/relationships/settings" Target="settings.xml"/><Relationship Id="rId71" Type="http://schemas.openxmlformats.org/officeDocument/2006/relationships/hyperlink" Target="http://www.dva.gov.au" TargetMode="External"/><Relationship Id="rId92"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ihacpa.gov.au/resources/national-efficient-cost-determination-2023-24" TargetMode="External"/><Relationship Id="rId11" Type="http://schemas.openxmlformats.org/officeDocument/2006/relationships/image" Target="media/image1.jpg"/><Relationship Id="rId24" Type="http://schemas.openxmlformats.org/officeDocument/2006/relationships/hyperlink" Target="http://www.ncsr.gov.au/content/ncsr/en/healthcare-providers/RegisterAccess.html" TargetMode="External"/><Relationship Id="rId32" Type="http://schemas.openxmlformats.org/officeDocument/2006/relationships/hyperlink" Target="https://www.ihacpa.gov.au/pricing/national-efficient-price-determination" TargetMode="External"/><Relationship Id="rId37" Type="http://schemas.openxmlformats.org/officeDocument/2006/relationships/hyperlink" Target="https://www.health.vic.gov.au/data-reporting/victorian-cost-data-collection-vcdc" TargetMode="External"/><Relationship Id="rId40" Type="http://schemas.openxmlformats.org/officeDocument/2006/relationships/hyperlink" Target="https://www.health.vic.gov.au/publications/hospital-access-for-people-seeking-asylum" TargetMode="External"/><Relationship Id="rId45" Type="http://schemas.openxmlformats.org/officeDocument/2006/relationships/hyperlink" Target="https://www.ihacpa.gov.au/resources/national-efficient-price-determination-2023-24" TargetMode="External"/><Relationship Id="rId53" Type="http://schemas.openxmlformats.org/officeDocument/2006/relationships/hyperlink" Target="mailto:hdss.helpdesk@health.vic.gov.au" TargetMode="External"/><Relationship Id="rId58" Type="http://schemas.openxmlformats.org/officeDocument/2006/relationships/hyperlink" Target="https://www.healthcollect.vic.gov.au" TargetMode="External"/><Relationship Id="rId66" Type="http://schemas.openxmlformats.org/officeDocument/2006/relationships/hyperlink" Target="https://www.health.vic.gov.au/local-public-health-units" TargetMode="External"/><Relationship Id="rId74" Type="http://schemas.openxmlformats.org/officeDocument/2006/relationships/hyperlink" Target="https://www.health.vic.gov.au/patient-fees-charges/worksafe-patients" TargetMode="External"/><Relationship Id="rId79" Type="http://schemas.openxmlformats.org/officeDocument/2006/relationships/hyperlink" Target="https://www.health.vic.gov.au/hospitals-and-health-services/patient-fees-and-charges-for-public-health-services" TargetMode="External"/><Relationship Id="rId87" Type="http://schemas.openxmlformats.org/officeDocument/2006/relationships/header" Target="header7.xml"/><Relationship Id="rId102" Type="http://schemas.openxmlformats.org/officeDocument/2006/relationships/header" Target="header14.xml"/><Relationship Id="rId5" Type="http://schemas.openxmlformats.org/officeDocument/2006/relationships/numbering" Target="numbering.xml"/><Relationship Id="rId61" Type="http://schemas.openxmlformats.org/officeDocument/2006/relationships/hyperlink" Target="https://www.health.vic.gov.au/funding-performance-accountability/mbs-billing-policy-framework-victorian-public-hospitals" TargetMode="External"/><Relationship Id="rId82" Type="http://schemas.openxmlformats.org/officeDocument/2006/relationships/hyperlink" Target="https://auc-word-edit.officeapps.live.com/we/wordeditorframe.aspx?ui=en%2DUS&amp;rs=en%2DAU&amp;wopisrc=https%3A%2F%2Fdhhsvicgovau.sharepoint.com%2Fsites%2FHealthServicePerformanceStrategy%2F_vti_bin%2Fwopi.ashx%2Ffiles%2Fe877230e5d794d8083ee307129a7626e&amp;wdlor=c3D1DD05C-EFB6-44F1-ACE7-A370BBAB93F9&amp;wdenableroaming=1&amp;mscc=1&amp;hid=262C696B-262C-4109-BEA4-45B6C35E8384&amp;wdorigin=Outlook-Body&amp;wdhostclicktime=1629964250913&amp;jsapi=1&amp;jsapiver=v1&amp;newsession=1&amp;corrid=2977343c-59c1-87fd-cd0b-20593153e5b4&amp;usid=2977343c-59c1-87fd-cd0b-20593153e5b4&amp;sftc=1&amp;mtf=1&amp;sfp=1&amp;instantedit=1&amp;wopicomplete=1&amp;wdredirectionreason=Unified_SingleFlush&amp;preseededsessionkey=caca07a6-5bdd-d7fe-4873-9e9d50fd848d&amp;preseededwacsessionid=2977343c-59c1-87fd-cd0b-20593153e5b4&amp;rct=Medium&amp;ctp=LeastProtected" TargetMode="External"/><Relationship Id="rId90" Type="http://schemas.openxmlformats.org/officeDocument/2006/relationships/header" Target="header9.xml"/><Relationship Id="rId95" Type="http://schemas.openxmlformats.org/officeDocument/2006/relationships/footer" Target="footer10.xml"/><Relationship Id="rId19" Type="http://schemas.openxmlformats.org/officeDocument/2006/relationships/hyperlink" Target="https://www.health.vic.gov.au/policy-and-funding-guidelines-for-health-services" TargetMode="External"/><Relationship Id="rId14" Type="http://schemas.openxmlformats.org/officeDocument/2006/relationships/footer" Target="footer1.xml"/><Relationship Id="rId22" Type="http://schemas.openxmlformats.org/officeDocument/2006/relationships/hyperlink" Target="https://providers.dffh.vic.gov.au/families-fairness-housing-health-activity-search" TargetMode="External"/><Relationship Id="rId27" Type="http://schemas.openxmlformats.org/officeDocument/2006/relationships/hyperlink" Target="https://www.ihacpa.gov.au/pricing/national-efficient-price-determination" TargetMode="External"/><Relationship Id="rId30" Type="http://schemas.openxmlformats.org/officeDocument/2006/relationships/image" Target="media/image2.png"/><Relationship Id="rId35" Type="http://schemas.openxmlformats.org/officeDocument/2006/relationships/hyperlink" Target="https://www.safetyandquality.gov.au/our-work/indicators/hospital-acquired-complications" TargetMode="External"/><Relationship Id="rId43" Type="http://schemas.openxmlformats.org/officeDocument/2006/relationships/hyperlink" Target="https://www.health.vic.gov.au/hospitals-and-health-services/patient-fees-and-charges-for-public-health-services" TargetMode="External"/><Relationship Id="rId48" Type="http://schemas.openxmlformats.org/officeDocument/2006/relationships/hyperlink" Target="https://www.health.vic.gov.au/data-reporting/victorian-admitted-episodes-dataset" TargetMode="External"/><Relationship Id="rId56" Type="http://schemas.openxmlformats.org/officeDocument/2006/relationships/hyperlink" Target="https://www.health.vic.gov.au/publications/victorian-integrated-non-admitted-health-minimum-data-set-vinah-mds-manual-2022-23" TargetMode="External"/><Relationship Id="rId64" Type="http://schemas.openxmlformats.org/officeDocument/2006/relationships/hyperlink" Target="https://www.health.vic.gov.au/health-strategies/radiotherapy-service-locations" TargetMode="External"/><Relationship Id="rId69" Type="http://schemas.openxmlformats.org/officeDocument/2006/relationships/footer" Target="footer4.xml"/><Relationship Id="rId77" Type="http://schemas.openxmlformats.org/officeDocument/2006/relationships/hyperlink" Target="https://www.health.vic.gov.au/publications/aboriginal-cultural-safety-fixed-grant-guidelines-cultural-safety-planning-and" TargetMode="External"/><Relationship Id="rId100" Type="http://schemas.openxmlformats.org/officeDocument/2006/relationships/footer" Target="footer12.xm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hacpa.gov.au/pricing/national-pricing-model-technical-specifications" TargetMode="External"/><Relationship Id="rId72" Type="http://schemas.openxmlformats.org/officeDocument/2006/relationships/hyperlink" Target="https://www.health.vic.gov.au/patient-fees-charges/transport-accident-commission-patients" TargetMode="External"/><Relationship Id="rId80" Type="http://schemas.openxmlformats.org/officeDocument/2006/relationships/hyperlink" Target="https://www.health.vic.gov.au/patient-fees-charges/private-patients" TargetMode="External"/><Relationship Id="rId85" Type="http://schemas.openxmlformats.org/officeDocument/2006/relationships/footer" Target="footer5.xml"/><Relationship Id="rId93" Type="http://schemas.openxmlformats.org/officeDocument/2006/relationships/header" Target="header10.xml"/><Relationship Id="rId98" Type="http://schemas.openxmlformats.org/officeDocument/2006/relationships/header" Target="header1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funding-performance-accountability/pricing-and-funding-framework" TargetMode="External"/><Relationship Id="rId33" Type="http://schemas.openxmlformats.org/officeDocument/2006/relationships/hyperlink" Target="https://www.ihacpa.gov.au/health-care/pricing/national-efficient-cost-determination" TargetMode="External"/><Relationship Id="rId38" Type="http://schemas.openxmlformats.org/officeDocument/2006/relationships/hyperlink" Target="https://www.health.vic.gov.au/data-reporting/health-data-standards-and-systems" TargetMode="External"/><Relationship Id="rId46" Type="http://schemas.openxmlformats.org/officeDocument/2006/relationships/hyperlink" Target="https://www.ihacpa.gov.au/health-care/pricing/national-efficient-cost-determination" TargetMode="External"/><Relationship Id="rId59" Type="http://schemas.openxmlformats.org/officeDocument/2006/relationships/hyperlink" Target="https://www.health.vic.gov.au/publications/hen-and-tpn-home-delivered-funding-arrangements-for-victorian-public-health-services" TargetMode="External"/><Relationship Id="rId67" Type="http://schemas.openxmlformats.org/officeDocument/2006/relationships/hyperlink" Target="https://www.vhba.vic.gov.au/resources/grant-programs" TargetMode="External"/><Relationship Id="rId103" Type="http://schemas.openxmlformats.org/officeDocument/2006/relationships/header" Target="header15.xml"/><Relationship Id="rId20" Type="http://schemas.openxmlformats.org/officeDocument/2006/relationships/hyperlink" Target="https://www.health.vic.gov.au/policy-and-funding-guidelines-for-health-services" TargetMode="External"/><Relationship Id="rId41" Type="http://schemas.openxmlformats.org/officeDocument/2006/relationships/hyperlink" Target="https://meteor.aihw.gov.au" TargetMode="External"/><Relationship Id="rId54" Type="http://schemas.openxmlformats.org/officeDocument/2006/relationships/hyperlink" Target="https://meteor.aihw.gov.au/content/764455" TargetMode="External"/><Relationship Id="rId62" Type="http://schemas.openxmlformats.org/officeDocument/2006/relationships/hyperlink" Target="https://www.healthcollect.vic.gov.au" TargetMode="External"/><Relationship Id="rId70" Type="http://schemas.openxmlformats.org/officeDocument/2006/relationships/hyperlink" Target="https://www.dva.gov.au/health-and-wellbeing/home-and-care/rehabilitation-appliances-program-rap" TargetMode="External"/><Relationship Id="rId75" Type="http://schemas.openxmlformats.org/officeDocument/2006/relationships/hyperlink" Target="https://www.health.vic.gov.au/hospitals-and-health-services/patient-fees-and-charges-for-public-health-services" TargetMode="External"/><Relationship Id="rId83" Type="http://schemas.openxmlformats.org/officeDocument/2006/relationships/header" Target="header4.xml"/><Relationship Id="rId88" Type="http://schemas.openxmlformats.org/officeDocument/2006/relationships/footer" Target="footer6.xml"/><Relationship Id="rId91" Type="http://schemas.openxmlformats.org/officeDocument/2006/relationships/footer" Target="footer7.xml"/><Relationship Id="rId96"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f37efa2b978242c6" Type="http://schemas.microsoft.com/office/2019/09/relationships/intelligence" Target="intelligence.xml"/><Relationship Id="rId15" Type="http://schemas.openxmlformats.org/officeDocument/2006/relationships/footer" Target="footer2.xml"/><Relationship Id="rId23" Type="http://schemas.openxmlformats.org/officeDocument/2006/relationships/hyperlink" Target="https://content.health.vic.gov.au/sites/default/files/migrated/files/collections/policies-and-guidelines/c/colonoscopy-categorisation-guidelines-2017.pdf" TargetMode="External"/><Relationship Id="rId28" Type="http://schemas.openxmlformats.org/officeDocument/2006/relationships/hyperlink" Target="https://www.ihacpa.gov.au/resources/national-pricing-model-technical-specifications-2023-24" TargetMode="External"/><Relationship Id="rId36" Type="http://schemas.openxmlformats.org/officeDocument/2006/relationships/hyperlink" Target="https://www.ihacpa.gov.au/resources/national-pricing-model-technical-specifications-2023-24" TargetMode="External"/><Relationship Id="rId49" Type="http://schemas.openxmlformats.org/officeDocument/2006/relationships/hyperlink" Target="https://www.health.vic.gov.au/patient-care/subacute-planning-framework" TargetMode="External"/><Relationship Id="rId57" Type="http://schemas.openxmlformats.org/officeDocument/2006/relationships/hyperlink" Target="https://www.ihacpa.gov.au/health-care/classification/non-admitted-care/tier-2-non-admitted-services-classification" TargetMode="External"/><Relationship Id="rId106" Type="http://schemas.microsoft.com/office/2019/05/relationships/documenttasks" Target="documenttasks/documenttasks1.xml"/><Relationship Id="rId10" Type="http://schemas.openxmlformats.org/officeDocument/2006/relationships/endnotes" Target="endnotes.xml"/><Relationship Id="rId31" Type="http://schemas.openxmlformats.org/officeDocument/2006/relationships/hyperlink" Target="https://www.ihacpa.gov.au/health-care/pricing/pricing-framework-australian-public-hospital-services" TargetMode="External"/><Relationship Id="rId44" Type="http://schemas.openxmlformats.org/officeDocument/2006/relationships/hyperlink" Target="https://www.ihacpa.gov.au/resources/national-pricing-model-technical-specifications-2023-24" TargetMode="External"/><Relationship Id="rId52" Type="http://schemas.openxmlformats.org/officeDocument/2006/relationships/hyperlink" Target="http://www.health.vic.gov.au/data-reporting/victorian-emergency-minimum-dataset-vemd" TargetMode="External"/><Relationship Id="rId60" Type="http://schemas.openxmlformats.org/officeDocument/2006/relationships/hyperlink" Target="https://www.health.vic.gov.au/publications/hen-and-tpn-home-delivered-funding-arrangements-for-victorian-public-health-services" TargetMode="External"/><Relationship Id="rId65" Type="http://schemas.openxmlformats.org/officeDocument/2006/relationships/hyperlink" Target="https://www.health.vic.gov.au/health-strategies/radiotherapy-services" TargetMode="External"/><Relationship Id="rId73" Type="http://schemas.openxmlformats.org/officeDocument/2006/relationships/hyperlink" Target="https://www.tac.vic.gov.au/providers" TargetMode="External"/><Relationship Id="rId78" Type="http://schemas.openxmlformats.org/officeDocument/2006/relationships/hyperlink" Target="mailto:hdss.helpdesk@health.vic.gov.au" TargetMode="External"/><Relationship Id="rId81" Type="http://schemas.openxmlformats.org/officeDocument/2006/relationships/hyperlink" Target="https://auc-word-edit.officeapps.live.com/we/wordeditorframe.aspx?ui=en%2DUS&amp;rs=en%2DAU&amp;wopisrc=https%3A%2F%2Fdhhsvicgovau.sharepoint.com%2Fsites%2FHealthServicePerformanceStrategy%2F_vti_bin%2Fwopi.ashx%2Ffiles%2Fe877230e5d794d8083ee307129a7626e&amp;wdlor=c3D1DD05C-EFB6-44F1-ACE7-A370BBAB93F9&amp;wdenableroaming=1&amp;mscc=1&amp;hid=262C696B-262C-4109-BEA4-45B6C35E8384&amp;wdorigin=Outlook-Body&amp;wdhostclicktime=1629964250913&amp;jsapi=1&amp;jsapiver=v1&amp;newsession=1&amp;corrid=2977343c-59c1-87fd-cd0b-20593153e5b4&amp;usid=2977343c-59c1-87fd-cd0b-20593153e5b4&amp;sftc=1&amp;mtf=1&amp;sfp=1&amp;instantedit=1&amp;wopicomplete=1&amp;wdredirectionreason=Unified_SingleFlush&amp;preseededsessionkey=caca07a6-5bdd-d7fe-4873-9e9d50fd848d&amp;preseededwacsessionid=2977343c-59c1-87fd-cd0b-20593153e5b4&amp;rct=Medium&amp;ctp=LeastProtected" TargetMode="External"/><Relationship Id="rId86" Type="http://schemas.openxmlformats.org/officeDocument/2006/relationships/header" Target="header6.xml"/><Relationship Id="rId94" Type="http://schemas.openxmlformats.org/officeDocument/2006/relationships/footer" Target="footer9.xml"/><Relationship Id="rId99" Type="http://schemas.openxmlformats.org/officeDocument/2006/relationships/header" Target="header13.xml"/><Relationship Id="rId10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accountability@health.vic.gov.au" TargetMode="External"/><Relationship Id="rId39" Type="http://schemas.openxmlformats.org/officeDocument/2006/relationships/hyperlink" Target="https://www.health.vic.gov.au/data-reporting/health-data-standards-and-systems" TargetMode="External"/><Relationship Id="rId34" Type="http://schemas.openxmlformats.org/officeDocument/2006/relationships/hyperlink" Target="https://www.ihacpa.gov.au/health-care/pricing/national-pricing-model-technical-specifications" TargetMode="External"/><Relationship Id="rId50" Type="http://schemas.openxmlformats.org/officeDocument/2006/relationships/hyperlink" Target="https://www.ihacpa.gov.au/pricing/national-efficient-price-determination" TargetMode="External"/><Relationship Id="rId55" Type="http://schemas.openxmlformats.org/officeDocument/2006/relationships/hyperlink" Target="https://www.ihacpa.gov.au/resources/tier-2-non-admitted-services-2023-24" TargetMode="External"/><Relationship Id="rId76" Type="http://schemas.openxmlformats.org/officeDocument/2006/relationships/hyperlink" Target="https://www.health.vic.gov.au/publications/aboriginal-cultural-safety-fixed-grant-guidelines-cultural-safety-planning-and" TargetMode="External"/><Relationship Id="rId97" Type="http://schemas.openxmlformats.org/officeDocument/2006/relationships/footer" Target="footer11.xml"/><Relationship Id="rId10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46ED22A5-E7CC-42BA-8F63-B8FF1368D94C}">
    <t:Anchor>
      <t:Comment id="889646858"/>
    </t:Anchor>
    <t:History>
      <t:Event id="{48FF5DA1-57DA-486A-8539-34A2CAB18660}" time="2023-11-21T03:37:02.676Z">
        <t:Attribution userId="S::rebecca.bailey@health.vic.gov.au::8f44faff-df08-446a-8e9d-5191e7c6ab0a" userProvider="AD" userName="Rebecca Bailey (Health)"/>
        <t:Anchor>
          <t:Comment id="889646858"/>
        </t:Anchor>
        <t:Create/>
      </t:Event>
      <t:Event id="{D155D794-09A0-4572-8D07-C347D3233A49}" time="2023-11-21T03:37:02.676Z">
        <t:Attribution userId="S::rebecca.bailey@health.vic.gov.au::8f44faff-df08-446a-8e9d-5191e7c6ab0a" userProvider="AD" userName="Rebecca Bailey (Health)"/>
        <t:Anchor>
          <t:Comment id="889646858"/>
        </t:Anchor>
        <t:Assign userId="S::Liz.Grunwald@health.vic.gov.au::f365d49a-a8b7-4257-8beb-032c4fbb1db8" userProvider="AD" userName="Liz Grunwald (Health)"/>
      </t:Event>
      <t:Event id="{5244A823-B92C-43CF-8592-19A28512AC4C}" time="2023-11-21T03:37:02.676Z">
        <t:Attribution userId="S::rebecca.bailey@health.vic.gov.au::8f44faff-df08-446a-8e9d-5191e7c6ab0a" userProvider="AD" userName="Rebecca Bailey (Health)"/>
        <t:Anchor>
          <t:Comment id="889646858"/>
        </t:Anchor>
        <t:SetTitle title="@Liz Grunwald (Health) The proposed changes have been discussed and approved by Stefano Scalz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964C19-E45B-2A41-B4B2-045FED6BE493}">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bd4b15-c46e-427d-a761-94c9a559e0cd" xsi:nil="true"/>
    <SharedWithUsers xmlns="07bd4b15-c46e-427d-a761-94c9a559e0cd">
      <UserInfo>
        <DisplayName>Letitia Meaney (Health)</DisplayName>
        <AccountId>191</AccountId>
        <AccountType/>
      </UserInfo>
      <UserInfo>
        <DisplayName>Remy McKenzie-Hilston (Health)</DisplayName>
        <AccountId>512</AccountId>
        <AccountType/>
      </UserInfo>
      <UserInfo>
        <DisplayName>David Stephens (Health)</DisplayName>
        <AccountId>611</AccountId>
        <AccountType/>
      </UserInfo>
      <UserInfo>
        <DisplayName>Jenny Croft (Health)</DisplayName>
        <AccountId>612</AccountId>
        <AccountType/>
      </UserInfo>
      <UserInfo>
        <DisplayName>Lia Amado (Health)</DisplayName>
        <AccountId>613</AccountId>
        <AccountType/>
      </UserInfo>
      <UserInfo>
        <DisplayName>Amanda Smith (SCV)</DisplayName>
        <AccountId>414</AccountId>
        <AccountType/>
      </UserInfo>
      <UserInfo>
        <DisplayName>Rossana de Martino (Health)</DisplayName>
        <AccountId>614</AccountId>
        <AccountType/>
      </UserInfo>
      <UserInfo>
        <DisplayName>Karene Fairbairn (Health)</DisplayName>
        <AccountId>356</AccountId>
        <AccountType/>
      </UserInfo>
      <UserInfo>
        <DisplayName>Judy Sutherland (Health)</DisplayName>
        <AccountId>297</AccountId>
        <AccountType/>
      </UserInfo>
      <UserInfo>
        <DisplayName>Eleanor Bentham (Health)</DisplayName>
        <AccountId>439</AccountId>
        <AccountType/>
      </UserInfo>
      <UserInfo>
        <DisplayName>Mary Manescu (Health)</DisplayName>
        <AccountId>615</AccountId>
        <AccountType/>
      </UserInfo>
      <UserInfo>
        <DisplayName>Alix Quirke (Health)</DisplayName>
        <AccountId>616</AccountId>
        <AccountType/>
      </UserInfo>
      <UserInfo>
        <DisplayName>Grant Lockwood (Health)</DisplayName>
        <AccountId>550</AccountId>
        <AccountType/>
      </UserInfo>
      <UserInfo>
        <DisplayName>Paula Wilton (Health)</DisplayName>
        <AccountId>617</AccountId>
        <AccountType/>
      </UserInfo>
      <UserInfo>
        <DisplayName>Duncan Baulch (Health)</DisplayName>
        <AccountId>66</AccountId>
        <AccountType/>
      </UserInfo>
      <UserInfo>
        <DisplayName>SharingLinks.9b54dfff-f75f-47e0-b245-057b16e164da.Flexible.401af5c6-11ae-4b3b-b85c-d40d92c82750</DisplayName>
        <AccountId>902</AccountId>
        <AccountType/>
      </UserInfo>
      <UserInfo>
        <DisplayName>SharingLinks.28b2ad4b-0eaa-488a-83f9-ada12736023c.Flexible.c454033c-81e6-4300-aff3-2ee05d981c5b</DisplayName>
        <AccountId>553</AccountId>
        <AccountType/>
      </UserInfo>
      <UserInfo>
        <DisplayName>Norma Fredrickson (Health)</DisplayName>
        <AccountId>208</AccountId>
        <AccountType/>
      </UserInfo>
      <UserInfo>
        <DisplayName>SharingLinks.704490f1-f138-4111-9343-348466dc8844.Flexible.172d64ca-02f4-4964-ac69-529b502c7de4</DisplayName>
        <AccountId>586</AccountId>
        <AccountType/>
      </UserInfo>
      <UserInfo>
        <DisplayName>Isabel King (Health)</DisplayName>
        <AccountId>137</AccountId>
        <AccountType/>
      </UserInfo>
      <UserInfo>
        <DisplayName>SharingLinks.9679e00e-7847-423b-92cf-074eabe59456.OrganizationEdit.437482e0-d0bd-43d8-b32f-5f84545f564a</DisplayName>
        <AccountId>795</AccountId>
        <AccountType/>
      </UserInfo>
      <UserInfo>
        <DisplayName>SharingLinks.8ce6abdf-4706-43e6-a473-6ee7901b5d5b.OrganizationView.4b1f0bdc-fa70-4b06-bd16-16e462998a44</DisplayName>
        <AccountId>1085</AccountId>
        <AccountType/>
      </UserInfo>
      <UserInfo>
        <DisplayName>SharingLinks.ba5fdd99-2059-44d5-a3cb-4d67f0088e37.OrganizationView.5201815c-46a7-4bb5-90d0-d6cd96543205</DisplayName>
        <AccountId>1086</AccountId>
        <AccountType/>
      </UserInfo>
      <UserInfo>
        <DisplayName>SharingLinks.d0c69093-3fec-434f-8829-c970f8e144ca.OrganizationEdit.86e81a78-6ba9-4fe5-90c6-18a850095817</DisplayName>
        <AccountId>804</AccountId>
        <AccountType/>
      </UserInfo>
      <UserInfo>
        <DisplayName>Andrew Sun (Health)</DisplayName>
        <AccountId>14980</AccountId>
        <AccountType/>
      </UserInfo>
      <UserInfo>
        <DisplayName>Rebecca Bailey (Health)</DisplayName>
        <AccountId>14907</AccountId>
        <AccountType/>
      </UserInfo>
      <UserInfo>
        <DisplayName>Hessam Mohseni (Health)</DisplayName>
        <AccountId>4432</AccountId>
        <AccountType/>
      </UserInfo>
      <UserInfo>
        <DisplayName>Anne McGregor (Health)</DisplayName>
        <AccountId>3187</AccountId>
        <AccountType/>
      </UserInfo>
      <UserInfo>
        <DisplayName>Stephen Kearsley (Health)</DisplayName>
        <AccountId>2613</AccountId>
        <AccountType/>
      </UserInfo>
      <UserInfo>
        <DisplayName>Sheron Segman-Etzion (Health)</DisplayName>
        <AccountId>2616</AccountId>
        <AccountType/>
      </UserInfo>
      <UserInfo>
        <DisplayName>Adrian Carmody (Health)</DisplayName>
        <AccountId>313</AccountId>
        <AccountType/>
      </UserInfo>
      <UserInfo>
        <DisplayName>Andrew J Saunders (Health)</DisplayName>
        <AccountId>312</AccountId>
        <AccountType/>
      </UserInfo>
    </SharedWithUsers>
    <Correspondent0 xmlns="6a4facd6-85e5-4aa3-92b5-27801f29cd23" xsi:nil="true"/>
    <lcf76f155ced4ddcb4097134ff3c332f xmlns="6a4facd6-85e5-4aa3-92b5-27801f29cd23">
      <Terms xmlns="http://schemas.microsoft.com/office/infopath/2007/PartnerControls"/>
    </lcf76f155ced4ddcb4097134ff3c332f>
    <SubjectTitle xmlns="6a4facd6-85e5-4aa3-92b5-27801f29cd23" xsi:nil="true"/>
    <Comment xmlns="6a4facd6-85e5-4aa3-92b5-27801f29cd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5CA5CF48551644A37572D0DEEEC129" ma:contentTypeVersion="20" ma:contentTypeDescription="Create a new document." ma:contentTypeScope="" ma:versionID="2d3be3a45e1f777067f83622c4a486ef">
  <xsd:schema xmlns:xsd="http://www.w3.org/2001/XMLSchema" xmlns:xs="http://www.w3.org/2001/XMLSchema" xmlns:p="http://schemas.microsoft.com/office/2006/metadata/properties" xmlns:ns2="6a4facd6-85e5-4aa3-92b5-27801f29cd23" xmlns:ns3="07bd4b15-c46e-427d-a761-94c9a559e0cd" targetNamespace="http://schemas.microsoft.com/office/2006/metadata/properties" ma:root="true" ma:fieldsID="12f2798d38ba2ab3b8225e559927c5aa" ns2:_="" ns3:_="">
    <xsd:import namespace="6a4facd6-85e5-4aa3-92b5-27801f29cd23"/>
    <xsd:import namespace="07bd4b15-c46e-427d-a761-94c9a559e0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SubjectTitle" minOccurs="0"/>
                <xsd:element ref="ns2:Correspondent0" minOccurs="0"/>
                <xsd:element ref="ns3:SharedWithUsers" minOccurs="0"/>
                <xsd:element ref="ns3:SharedWithDetails" minOccurs="0"/>
                <xsd:element ref="ns2:MediaServiceOCR" minOccurs="0"/>
                <xsd:element ref="ns2:Comment"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facd6-85e5-4aa3-92b5-27801f29c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SubjectTitle" ma:index="15" nillable="true" ma:displayName="SubjectTitle" ma:format="Dropdown" ma:internalName="SubjectTitle">
      <xsd:simpleType>
        <xsd:restriction base="dms:Note">
          <xsd:maxLength value="255"/>
        </xsd:restriction>
      </xsd:simpleType>
    </xsd:element>
    <xsd:element name="Correspondent0" ma:index="16" nillable="true" ma:displayName="Correspondent0" ma:format="Dropdown" ma:internalName="Correspondent0">
      <xsd:simpleType>
        <xsd:restriction base="dms:Text">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Comment" ma:index="20" nillable="true" ma:displayName="Comment" ma:format="Dropdown" ma:internalName="Comment">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bd4b15-c46e-427d-a761-94c9a559e0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943405f-9b69-47e9-a2f1-74b3b1869976}" ma:internalName="TaxCatchAll" ma:showField="CatchAllData" ma:web="07bd4b15-c46e-427d-a761-94c9a559e0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7bd4b15-c46e-427d-a761-94c9a559e0cd"/>
    <ds:schemaRef ds:uri="6a4facd6-85e5-4aa3-92b5-27801f29cd23"/>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B0CF241E-6DE3-45EA-B519-0366AD5C3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facd6-85e5-4aa3-92b5-27801f29cd23"/>
    <ds:schemaRef ds:uri="07bd4b15-c46e-427d-a761-94c9a559e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126</Pages>
  <Words>54431</Words>
  <Characters>310262</Characters>
  <Application>Microsoft Office Word</Application>
  <DocSecurity>0</DocSecurity>
  <Lines>2585</Lines>
  <Paragraphs>727</Paragraphs>
  <ScaleCrop>false</ScaleCrop>
  <HeadingPairs>
    <vt:vector size="2" baseType="variant">
      <vt:variant>
        <vt:lpstr>Title</vt:lpstr>
      </vt:variant>
      <vt:variant>
        <vt:i4>1</vt:i4>
      </vt:variant>
    </vt:vector>
  </HeadingPairs>
  <TitlesOfParts>
    <vt:vector size="1" baseType="lpstr">
      <vt:lpstr>Funding Rules 2023-24</vt:lpstr>
    </vt:vector>
  </TitlesOfParts>
  <Manager/>
  <Company>Victoria State Government, Department of Health</Company>
  <LinksUpToDate>false</LinksUpToDate>
  <CharactersWithSpaces>363966</CharactersWithSpaces>
  <SharedDoc>false</SharedDoc>
  <HyperlinkBase/>
  <HLinks>
    <vt:vector size="1626" baseType="variant">
      <vt:variant>
        <vt:i4>2031670</vt:i4>
      </vt:variant>
      <vt:variant>
        <vt:i4>1988</vt:i4>
      </vt:variant>
      <vt:variant>
        <vt:i4>0</vt:i4>
      </vt:variant>
      <vt:variant>
        <vt:i4>5</vt:i4>
      </vt:variant>
      <vt:variant>
        <vt:lpwstr/>
      </vt:variant>
      <vt:variant>
        <vt:lpwstr>_Toc156568702</vt:lpwstr>
      </vt:variant>
      <vt:variant>
        <vt:i4>2031670</vt:i4>
      </vt:variant>
      <vt:variant>
        <vt:i4>1982</vt:i4>
      </vt:variant>
      <vt:variant>
        <vt:i4>0</vt:i4>
      </vt:variant>
      <vt:variant>
        <vt:i4>5</vt:i4>
      </vt:variant>
      <vt:variant>
        <vt:lpwstr/>
      </vt:variant>
      <vt:variant>
        <vt:lpwstr>_Toc156568701</vt:lpwstr>
      </vt:variant>
      <vt:variant>
        <vt:i4>2031670</vt:i4>
      </vt:variant>
      <vt:variant>
        <vt:i4>1976</vt:i4>
      </vt:variant>
      <vt:variant>
        <vt:i4>0</vt:i4>
      </vt:variant>
      <vt:variant>
        <vt:i4>5</vt:i4>
      </vt:variant>
      <vt:variant>
        <vt:lpwstr/>
      </vt:variant>
      <vt:variant>
        <vt:lpwstr>_Toc156568700</vt:lpwstr>
      </vt:variant>
      <vt:variant>
        <vt:i4>1441847</vt:i4>
      </vt:variant>
      <vt:variant>
        <vt:i4>1970</vt:i4>
      </vt:variant>
      <vt:variant>
        <vt:i4>0</vt:i4>
      </vt:variant>
      <vt:variant>
        <vt:i4>5</vt:i4>
      </vt:variant>
      <vt:variant>
        <vt:lpwstr/>
      </vt:variant>
      <vt:variant>
        <vt:lpwstr>_Toc156568699</vt:lpwstr>
      </vt:variant>
      <vt:variant>
        <vt:i4>1441847</vt:i4>
      </vt:variant>
      <vt:variant>
        <vt:i4>1964</vt:i4>
      </vt:variant>
      <vt:variant>
        <vt:i4>0</vt:i4>
      </vt:variant>
      <vt:variant>
        <vt:i4>5</vt:i4>
      </vt:variant>
      <vt:variant>
        <vt:lpwstr/>
      </vt:variant>
      <vt:variant>
        <vt:lpwstr>_Toc156568698</vt:lpwstr>
      </vt:variant>
      <vt:variant>
        <vt:i4>1441847</vt:i4>
      </vt:variant>
      <vt:variant>
        <vt:i4>1958</vt:i4>
      </vt:variant>
      <vt:variant>
        <vt:i4>0</vt:i4>
      </vt:variant>
      <vt:variant>
        <vt:i4>5</vt:i4>
      </vt:variant>
      <vt:variant>
        <vt:lpwstr/>
      </vt:variant>
      <vt:variant>
        <vt:lpwstr>_Toc156568697</vt:lpwstr>
      </vt:variant>
      <vt:variant>
        <vt:i4>1441847</vt:i4>
      </vt:variant>
      <vt:variant>
        <vt:i4>1952</vt:i4>
      </vt:variant>
      <vt:variant>
        <vt:i4>0</vt:i4>
      </vt:variant>
      <vt:variant>
        <vt:i4>5</vt:i4>
      </vt:variant>
      <vt:variant>
        <vt:lpwstr/>
      </vt:variant>
      <vt:variant>
        <vt:lpwstr>_Toc156568696</vt:lpwstr>
      </vt:variant>
      <vt:variant>
        <vt:i4>1441847</vt:i4>
      </vt:variant>
      <vt:variant>
        <vt:i4>1946</vt:i4>
      </vt:variant>
      <vt:variant>
        <vt:i4>0</vt:i4>
      </vt:variant>
      <vt:variant>
        <vt:i4>5</vt:i4>
      </vt:variant>
      <vt:variant>
        <vt:lpwstr/>
      </vt:variant>
      <vt:variant>
        <vt:lpwstr>_Toc156568695</vt:lpwstr>
      </vt:variant>
      <vt:variant>
        <vt:i4>1441847</vt:i4>
      </vt:variant>
      <vt:variant>
        <vt:i4>1940</vt:i4>
      </vt:variant>
      <vt:variant>
        <vt:i4>0</vt:i4>
      </vt:variant>
      <vt:variant>
        <vt:i4>5</vt:i4>
      </vt:variant>
      <vt:variant>
        <vt:lpwstr/>
      </vt:variant>
      <vt:variant>
        <vt:lpwstr>_Toc156568694</vt:lpwstr>
      </vt:variant>
      <vt:variant>
        <vt:i4>1441847</vt:i4>
      </vt:variant>
      <vt:variant>
        <vt:i4>1934</vt:i4>
      </vt:variant>
      <vt:variant>
        <vt:i4>0</vt:i4>
      </vt:variant>
      <vt:variant>
        <vt:i4>5</vt:i4>
      </vt:variant>
      <vt:variant>
        <vt:lpwstr/>
      </vt:variant>
      <vt:variant>
        <vt:lpwstr>_Toc156568693</vt:lpwstr>
      </vt:variant>
      <vt:variant>
        <vt:i4>1441847</vt:i4>
      </vt:variant>
      <vt:variant>
        <vt:i4>1928</vt:i4>
      </vt:variant>
      <vt:variant>
        <vt:i4>0</vt:i4>
      </vt:variant>
      <vt:variant>
        <vt:i4>5</vt:i4>
      </vt:variant>
      <vt:variant>
        <vt:lpwstr/>
      </vt:variant>
      <vt:variant>
        <vt:lpwstr>_Toc156568692</vt:lpwstr>
      </vt:variant>
      <vt:variant>
        <vt:i4>1441847</vt:i4>
      </vt:variant>
      <vt:variant>
        <vt:i4>1922</vt:i4>
      </vt:variant>
      <vt:variant>
        <vt:i4>0</vt:i4>
      </vt:variant>
      <vt:variant>
        <vt:i4>5</vt:i4>
      </vt:variant>
      <vt:variant>
        <vt:lpwstr/>
      </vt:variant>
      <vt:variant>
        <vt:lpwstr>_Toc156568691</vt:lpwstr>
      </vt:variant>
      <vt:variant>
        <vt:i4>1441847</vt:i4>
      </vt:variant>
      <vt:variant>
        <vt:i4>1916</vt:i4>
      </vt:variant>
      <vt:variant>
        <vt:i4>0</vt:i4>
      </vt:variant>
      <vt:variant>
        <vt:i4>5</vt:i4>
      </vt:variant>
      <vt:variant>
        <vt:lpwstr/>
      </vt:variant>
      <vt:variant>
        <vt:lpwstr>_Toc156568690</vt:lpwstr>
      </vt:variant>
      <vt:variant>
        <vt:i4>1507383</vt:i4>
      </vt:variant>
      <vt:variant>
        <vt:i4>1910</vt:i4>
      </vt:variant>
      <vt:variant>
        <vt:i4>0</vt:i4>
      </vt:variant>
      <vt:variant>
        <vt:i4>5</vt:i4>
      </vt:variant>
      <vt:variant>
        <vt:lpwstr/>
      </vt:variant>
      <vt:variant>
        <vt:lpwstr>_Toc156568689</vt:lpwstr>
      </vt:variant>
      <vt:variant>
        <vt:i4>1507383</vt:i4>
      </vt:variant>
      <vt:variant>
        <vt:i4>1904</vt:i4>
      </vt:variant>
      <vt:variant>
        <vt:i4>0</vt:i4>
      </vt:variant>
      <vt:variant>
        <vt:i4>5</vt:i4>
      </vt:variant>
      <vt:variant>
        <vt:lpwstr/>
      </vt:variant>
      <vt:variant>
        <vt:lpwstr>_Toc156568688</vt:lpwstr>
      </vt:variant>
      <vt:variant>
        <vt:i4>1507383</vt:i4>
      </vt:variant>
      <vt:variant>
        <vt:i4>1898</vt:i4>
      </vt:variant>
      <vt:variant>
        <vt:i4>0</vt:i4>
      </vt:variant>
      <vt:variant>
        <vt:i4>5</vt:i4>
      </vt:variant>
      <vt:variant>
        <vt:lpwstr/>
      </vt:variant>
      <vt:variant>
        <vt:lpwstr>_Toc156568687</vt:lpwstr>
      </vt:variant>
      <vt:variant>
        <vt:i4>1507383</vt:i4>
      </vt:variant>
      <vt:variant>
        <vt:i4>1892</vt:i4>
      </vt:variant>
      <vt:variant>
        <vt:i4>0</vt:i4>
      </vt:variant>
      <vt:variant>
        <vt:i4>5</vt:i4>
      </vt:variant>
      <vt:variant>
        <vt:lpwstr/>
      </vt:variant>
      <vt:variant>
        <vt:lpwstr>_Toc156568686</vt:lpwstr>
      </vt:variant>
      <vt:variant>
        <vt:i4>1507383</vt:i4>
      </vt:variant>
      <vt:variant>
        <vt:i4>1886</vt:i4>
      </vt:variant>
      <vt:variant>
        <vt:i4>0</vt:i4>
      </vt:variant>
      <vt:variant>
        <vt:i4>5</vt:i4>
      </vt:variant>
      <vt:variant>
        <vt:lpwstr/>
      </vt:variant>
      <vt:variant>
        <vt:lpwstr>_Toc156568685</vt:lpwstr>
      </vt:variant>
      <vt:variant>
        <vt:i4>1507383</vt:i4>
      </vt:variant>
      <vt:variant>
        <vt:i4>1880</vt:i4>
      </vt:variant>
      <vt:variant>
        <vt:i4>0</vt:i4>
      </vt:variant>
      <vt:variant>
        <vt:i4>5</vt:i4>
      </vt:variant>
      <vt:variant>
        <vt:lpwstr/>
      </vt:variant>
      <vt:variant>
        <vt:lpwstr>_Toc156568684</vt:lpwstr>
      </vt:variant>
      <vt:variant>
        <vt:i4>1507383</vt:i4>
      </vt:variant>
      <vt:variant>
        <vt:i4>1874</vt:i4>
      </vt:variant>
      <vt:variant>
        <vt:i4>0</vt:i4>
      </vt:variant>
      <vt:variant>
        <vt:i4>5</vt:i4>
      </vt:variant>
      <vt:variant>
        <vt:lpwstr/>
      </vt:variant>
      <vt:variant>
        <vt:lpwstr>_Toc156568683</vt:lpwstr>
      </vt:variant>
      <vt:variant>
        <vt:i4>1507383</vt:i4>
      </vt:variant>
      <vt:variant>
        <vt:i4>1868</vt:i4>
      </vt:variant>
      <vt:variant>
        <vt:i4>0</vt:i4>
      </vt:variant>
      <vt:variant>
        <vt:i4>5</vt:i4>
      </vt:variant>
      <vt:variant>
        <vt:lpwstr/>
      </vt:variant>
      <vt:variant>
        <vt:lpwstr>_Toc156568682</vt:lpwstr>
      </vt:variant>
      <vt:variant>
        <vt:i4>1507383</vt:i4>
      </vt:variant>
      <vt:variant>
        <vt:i4>1862</vt:i4>
      </vt:variant>
      <vt:variant>
        <vt:i4>0</vt:i4>
      </vt:variant>
      <vt:variant>
        <vt:i4>5</vt:i4>
      </vt:variant>
      <vt:variant>
        <vt:lpwstr/>
      </vt:variant>
      <vt:variant>
        <vt:lpwstr>_Toc156568681</vt:lpwstr>
      </vt:variant>
      <vt:variant>
        <vt:i4>1507383</vt:i4>
      </vt:variant>
      <vt:variant>
        <vt:i4>1856</vt:i4>
      </vt:variant>
      <vt:variant>
        <vt:i4>0</vt:i4>
      </vt:variant>
      <vt:variant>
        <vt:i4>5</vt:i4>
      </vt:variant>
      <vt:variant>
        <vt:lpwstr/>
      </vt:variant>
      <vt:variant>
        <vt:lpwstr>_Toc156568680</vt:lpwstr>
      </vt:variant>
      <vt:variant>
        <vt:i4>1572919</vt:i4>
      </vt:variant>
      <vt:variant>
        <vt:i4>1850</vt:i4>
      </vt:variant>
      <vt:variant>
        <vt:i4>0</vt:i4>
      </vt:variant>
      <vt:variant>
        <vt:i4>5</vt:i4>
      </vt:variant>
      <vt:variant>
        <vt:lpwstr/>
      </vt:variant>
      <vt:variant>
        <vt:lpwstr>_Toc156568679</vt:lpwstr>
      </vt:variant>
      <vt:variant>
        <vt:i4>1572919</vt:i4>
      </vt:variant>
      <vt:variant>
        <vt:i4>1844</vt:i4>
      </vt:variant>
      <vt:variant>
        <vt:i4>0</vt:i4>
      </vt:variant>
      <vt:variant>
        <vt:i4>5</vt:i4>
      </vt:variant>
      <vt:variant>
        <vt:lpwstr/>
      </vt:variant>
      <vt:variant>
        <vt:lpwstr>_Toc156568678</vt:lpwstr>
      </vt:variant>
      <vt:variant>
        <vt:i4>1572919</vt:i4>
      </vt:variant>
      <vt:variant>
        <vt:i4>1838</vt:i4>
      </vt:variant>
      <vt:variant>
        <vt:i4>0</vt:i4>
      </vt:variant>
      <vt:variant>
        <vt:i4>5</vt:i4>
      </vt:variant>
      <vt:variant>
        <vt:lpwstr/>
      </vt:variant>
      <vt:variant>
        <vt:lpwstr>_Toc156568677</vt:lpwstr>
      </vt:variant>
      <vt:variant>
        <vt:i4>1572919</vt:i4>
      </vt:variant>
      <vt:variant>
        <vt:i4>1832</vt:i4>
      </vt:variant>
      <vt:variant>
        <vt:i4>0</vt:i4>
      </vt:variant>
      <vt:variant>
        <vt:i4>5</vt:i4>
      </vt:variant>
      <vt:variant>
        <vt:lpwstr/>
      </vt:variant>
      <vt:variant>
        <vt:lpwstr>_Toc156568676</vt:lpwstr>
      </vt:variant>
      <vt:variant>
        <vt:i4>1572919</vt:i4>
      </vt:variant>
      <vt:variant>
        <vt:i4>1826</vt:i4>
      </vt:variant>
      <vt:variant>
        <vt:i4>0</vt:i4>
      </vt:variant>
      <vt:variant>
        <vt:i4>5</vt:i4>
      </vt:variant>
      <vt:variant>
        <vt:lpwstr/>
      </vt:variant>
      <vt:variant>
        <vt:lpwstr>_Toc156568675</vt:lpwstr>
      </vt:variant>
      <vt:variant>
        <vt:i4>1572919</vt:i4>
      </vt:variant>
      <vt:variant>
        <vt:i4>1820</vt:i4>
      </vt:variant>
      <vt:variant>
        <vt:i4>0</vt:i4>
      </vt:variant>
      <vt:variant>
        <vt:i4>5</vt:i4>
      </vt:variant>
      <vt:variant>
        <vt:lpwstr/>
      </vt:variant>
      <vt:variant>
        <vt:lpwstr>_Toc156568674</vt:lpwstr>
      </vt:variant>
      <vt:variant>
        <vt:i4>1572919</vt:i4>
      </vt:variant>
      <vt:variant>
        <vt:i4>1814</vt:i4>
      </vt:variant>
      <vt:variant>
        <vt:i4>0</vt:i4>
      </vt:variant>
      <vt:variant>
        <vt:i4>5</vt:i4>
      </vt:variant>
      <vt:variant>
        <vt:lpwstr/>
      </vt:variant>
      <vt:variant>
        <vt:lpwstr>_Toc156568673</vt:lpwstr>
      </vt:variant>
      <vt:variant>
        <vt:i4>1572919</vt:i4>
      </vt:variant>
      <vt:variant>
        <vt:i4>1808</vt:i4>
      </vt:variant>
      <vt:variant>
        <vt:i4>0</vt:i4>
      </vt:variant>
      <vt:variant>
        <vt:i4>5</vt:i4>
      </vt:variant>
      <vt:variant>
        <vt:lpwstr/>
      </vt:variant>
      <vt:variant>
        <vt:lpwstr>_Toc156568672</vt:lpwstr>
      </vt:variant>
      <vt:variant>
        <vt:i4>1572919</vt:i4>
      </vt:variant>
      <vt:variant>
        <vt:i4>1802</vt:i4>
      </vt:variant>
      <vt:variant>
        <vt:i4>0</vt:i4>
      </vt:variant>
      <vt:variant>
        <vt:i4>5</vt:i4>
      </vt:variant>
      <vt:variant>
        <vt:lpwstr/>
      </vt:variant>
      <vt:variant>
        <vt:lpwstr>_Toc156568671</vt:lpwstr>
      </vt:variant>
      <vt:variant>
        <vt:i4>1572919</vt:i4>
      </vt:variant>
      <vt:variant>
        <vt:i4>1796</vt:i4>
      </vt:variant>
      <vt:variant>
        <vt:i4>0</vt:i4>
      </vt:variant>
      <vt:variant>
        <vt:i4>5</vt:i4>
      </vt:variant>
      <vt:variant>
        <vt:lpwstr/>
      </vt:variant>
      <vt:variant>
        <vt:lpwstr>_Toc156568670</vt:lpwstr>
      </vt:variant>
      <vt:variant>
        <vt:i4>1638455</vt:i4>
      </vt:variant>
      <vt:variant>
        <vt:i4>1790</vt:i4>
      </vt:variant>
      <vt:variant>
        <vt:i4>0</vt:i4>
      </vt:variant>
      <vt:variant>
        <vt:i4>5</vt:i4>
      </vt:variant>
      <vt:variant>
        <vt:lpwstr/>
      </vt:variant>
      <vt:variant>
        <vt:lpwstr>_Toc156568669</vt:lpwstr>
      </vt:variant>
      <vt:variant>
        <vt:i4>1638455</vt:i4>
      </vt:variant>
      <vt:variant>
        <vt:i4>1784</vt:i4>
      </vt:variant>
      <vt:variant>
        <vt:i4>0</vt:i4>
      </vt:variant>
      <vt:variant>
        <vt:i4>5</vt:i4>
      </vt:variant>
      <vt:variant>
        <vt:lpwstr/>
      </vt:variant>
      <vt:variant>
        <vt:lpwstr>_Toc156568668</vt:lpwstr>
      </vt:variant>
      <vt:variant>
        <vt:i4>1638455</vt:i4>
      </vt:variant>
      <vt:variant>
        <vt:i4>1778</vt:i4>
      </vt:variant>
      <vt:variant>
        <vt:i4>0</vt:i4>
      </vt:variant>
      <vt:variant>
        <vt:i4>5</vt:i4>
      </vt:variant>
      <vt:variant>
        <vt:lpwstr/>
      </vt:variant>
      <vt:variant>
        <vt:lpwstr>_Toc156568667</vt:lpwstr>
      </vt:variant>
      <vt:variant>
        <vt:i4>1638455</vt:i4>
      </vt:variant>
      <vt:variant>
        <vt:i4>1772</vt:i4>
      </vt:variant>
      <vt:variant>
        <vt:i4>0</vt:i4>
      </vt:variant>
      <vt:variant>
        <vt:i4>5</vt:i4>
      </vt:variant>
      <vt:variant>
        <vt:lpwstr/>
      </vt:variant>
      <vt:variant>
        <vt:lpwstr>_Toc156568666</vt:lpwstr>
      </vt:variant>
      <vt:variant>
        <vt:i4>1638455</vt:i4>
      </vt:variant>
      <vt:variant>
        <vt:i4>1766</vt:i4>
      </vt:variant>
      <vt:variant>
        <vt:i4>0</vt:i4>
      </vt:variant>
      <vt:variant>
        <vt:i4>5</vt:i4>
      </vt:variant>
      <vt:variant>
        <vt:lpwstr/>
      </vt:variant>
      <vt:variant>
        <vt:lpwstr>_Toc156568665</vt:lpwstr>
      </vt:variant>
      <vt:variant>
        <vt:i4>1638455</vt:i4>
      </vt:variant>
      <vt:variant>
        <vt:i4>1760</vt:i4>
      </vt:variant>
      <vt:variant>
        <vt:i4>0</vt:i4>
      </vt:variant>
      <vt:variant>
        <vt:i4>5</vt:i4>
      </vt:variant>
      <vt:variant>
        <vt:lpwstr/>
      </vt:variant>
      <vt:variant>
        <vt:lpwstr>_Toc156568664</vt:lpwstr>
      </vt:variant>
      <vt:variant>
        <vt:i4>1638455</vt:i4>
      </vt:variant>
      <vt:variant>
        <vt:i4>1754</vt:i4>
      </vt:variant>
      <vt:variant>
        <vt:i4>0</vt:i4>
      </vt:variant>
      <vt:variant>
        <vt:i4>5</vt:i4>
      </vt:variant>
      <vt:variant>
        <vt:lpwstr/>
      </vt:variant>
      <vt:variant>
        <vt:lpwstr>_Toc156568663</vt:lpwstr>
      </vt:variant>
      <vt:variant>
        <vt:i4>1638455</vt:i4>
      </vt:variant>
      <vt:variant>
        <vt:i4>1748</vt:i4>
      </vt:variant>
      <vt:variant>
        <vt:i4>0</vt:i4>
      </vt:variant>
      <vt:variant>
        <vt:i4>5</vt:i4>
      </vt:variant>
      <vt:variant>
        <vt:lpwstr/>
      </vt:variant>
      <vt:variant>
        <vt:lpwstr>_Toc156568662</vt:lpwstr>
      </vt:variant>
      <vt:variant>
        <vt:i4>1638455</vt:i4>
      </vt:variant>
      <vt:variant>
        <vt:i4>1742</vt:i4>
      </vt:variant>
      <vt:variant>
        <vt:i4>0</vt:i4>
      </vt:variant>
      <vt:variant>
        <vt:i4>5</vt:i4>
      </vt:variant>
      <vt:variant>
        <vt:lpwstr/>
      </vt:variant>
      <vt:variant>
        <vt:lpwstr>_Toc156568661</vt:lpwstr>
      </vt:variant>
      <vt:variant>
        <vt:i4>1638455</vt:i4>
      </vt:variant>
      <vt:variant>
        <vt:i4>1736</vt:i4>
      </vt:variant>
      <vt:variant>
        <vt:i4>0</vt:i4>
      </vt:variant>
      <vt:variant>
        <vt:i4>5</vt:i4>
      </vt:variant>
      <vt:variant>
        <vt:lpwstr/>
      </vt:variant>
      <vt:variant>
        <vt:lpwstr>_Toc156568660</vt:lpwstr>
      </vt:variant>
      <vt:variant>
        <vt:i4>1703991</vt:i4>
      </vt:variant>
      <vt:variant>
        <vt:i4>1730</vt:i4>
      </vt:variant>
      <vt:variant>
        <vt:i4>0</vt:i4>
      </vt:variant>
      <vt:variant>
        <vt:i4>5</vt:i4>
      </vt:variant>
      <vt:variant>
        <vt:lpwstr/>
      </vt:variant>
      <vt:variant>
        <vt:lpwstr>_Toc156568659</vt:lpwstr>
      </vt:variant>
      <vt:variant>
        <vt:i4>1703991</vt:i4>
      </vt:variant>
      <vt:variant>
        <vt:i4>1724</vt:i4>
      </vt:variant>
      <vt:variant>
        <vt:i4>0</vt:i4>
      </vt:variant>
      <vt:variant>
        <vt:i4>5</vt:i4>
      </vt:variant>
      <vt:variant>
        <vt:lpwstr/>
      </vt:variant>
      <vt:variant>
        <vt:lpwstr>_Toc156568658</vt:lpwstr>
      </vt:variant>
      <vt:variant>
        <vt:i4>1703991</vt:i4>
      </vt:variant>
      <vt:variant>
        <vt:i4>1718</vt:i4>
      </vt:variant>
      <vt:variant>
        <vt:i4>0</vt:i4>
      </vt:variant>
      <vt:variant>
        <vt:i4>5</vt:i4>
      </vt:variant>
      <vt:variant>
        <vt:lpwstr/>
      </vt:variant>
      <vt:variant>
        <vt:lpwstr>_Toc156568657</vt:lpwstr>
      </vt:variant>
      <vt:variant>
        <vt:i4>1703991</vt:i4>
      </vt:variant>
      <vt:variant>
        <vt:i4>1712</vt:i4>
      </vt:variant>
      <vt:variant>
        <vt:i4>0</vt:i4>
      </vt:variant>
      <vt:variant>
        <vt:i4>5</vt:i4>
      </vt:variant>
      <vt:variant>
        <vt:lpwstr/>
      </vt:variant>
      <vt:variant>
        <vt:lpwstr>_Toc156568656</vt:lpwstr>
      </vt:variant>
      <vt:variant>
        <vt:i4>1703991</vt:i4>
      </vt:variant>
      <vt:variant>
        <vt:i4>1706</vt:i4>
      </vt:variant>
      <vt:variant>
        <vt:i4>0</vt:i4>
      </vt:variant>
      <vt:variant>
        <vt:i4>5</vt:i4>
      </vt:variant>
      <vt:variant>
        <vt:lpwstr/>
      </vt:variant>
      <vt:variant>
        <vt:lpwstr>_Toc156568655</vt:lpwstr>
      </vt:variant>
      <vt:variant>
        <vt:i4>1703991</vt:i4>
      </vt:variant>
      <vt:variant>
        <vt:i4>1700</vt:i4>
      </vt:variant>
      <vt:variant>
        <vt:i4>0</vt:i4>
      </vt:variant>
      <vt:variant>
        <vt:i4>5</vt:i4>
      </vt:variant>
      <vt:variant>
        <vt:lpwstr/>
      </vt:variant>
      <vt:variant>
        <vt:lpwstr>_Toc156568654</vt:lpwstr>
      </vt:variant>
      <vt:variant>
        <vt:i4>1703991</vt:i4>
      </vt:variant>
      <vt:variant>
        <vt:i4>1694</vt:i4>
      </vt:variant>
      <vt:variant>
        <vt:i4>0</vt:i4>
      </vt:variant>
      <vt:variant>
        <vt:i4>5</vt:i4>
      </vt:variant>
      <vt:variant>
        <vt:lpwstr/>
      </vt:variant>
      <vt:variant>
        <vt:lpwstr>_Toc156568653</vt:lpwstr>
      </vt:variant>
      <vt:variant>
        <vt:i4>1703991</vt:i4>
      </vt:variant>
      <vt:variant>
        <vt:i4>1688</vt:i4>
      </vt:variant>
      <vt:variant>
        <vt:i4>0</vt:i4>
      </vt:variant>
      <vt:variant>
        <vt:i4>5</vt:i4>
      </vt:variant>
      <vt:variant>
        <vt:lpwstr/>
      </vt:variant>
      <vt:variant>
        <vt:lpwstr>_Toc156568652</vt:lpwstr>
      </vt:variant>
      <vt:variant>
        <vt:i4>1703991</vt:i4>
      </vt:variant>
      <vt:variant>
        <vt:i4>1682</vt:i4>
      </vt:variant>
      <vt:variant>
        <vt:i4>0</vt:i4>
      </vt:variant>
      <vt:variant>
        <vt:i4>5</vt:i4>
      </vt:variant>
      <vt:variant>
        <vt:lpwstr/>
      </vt:variant>
      <vt:variant>
        <vt:lpwstr>_Toc156568651</vt:lpwstr>
      </vt:variant>
      <vt:variant>
        <vt:i4>1703991</vt:i4>
      </vt:variant>
      <vt:variant>
        <vt:i4>1676</vt:i4>
      </vt:variant>
      <vt:variant>
        <vt:i4>0</vt:i4>
      </vt:variant>
      <vt:variant>
        <vt:i4>5</vt:i4>
      </vt:variant>
      <vt:variant>
        <vt:lpwstr/>
      </vt:variant>
      <vt:variant>
        <vt:lpwstr>_Toc156568650</vt:lpwstr>
      </vt:variant>
      <vt:variant>
        <vt:i4>1769527</vt:i4>
      </vt:variant>
      <vt:variant>
        <vt:i4>1670</vt:i4>
      </vt:variant>
      <vt:variant>
        <vt:i4>0</vt:i4>
      </vt:variant>
      <vt:variant>
        <vt:i4>5</vt:i4>
      </vt:variant>
      <vt:variant>
        <vt:lpwstr/>
      </vt:variant>
      <vt:variant>
        <vt:lpwstr>_Toc156568649</vt:lpwstr>
      </vt:variant>
      <vt:variant>
        <vt:i4>1769527</vt:i4>
      </vt:variant>
      <vt:variant>
        <vt:i4>1664</vt:i4>
      </vt:variant>
      <vt:variant>
        <vt:i4>0</vt:i4>
      </vt:variant>
      <vt:variant>
        <vt:i4>5</vt:i4>
      </vt:variant>
      <vt:variant>
        <vt:lpwstr/>
      </vt:variant>
      <vt:variant>
        <vt:lpwstr>_Toc156568648</vt:lpwstr>
      </vt:variant>
      <vt:variant>
        <vt:i4>1769527</vt:i4>
      </vt:variant>
      <vt:variant>
        <vt:i4>1658</vt:i4>
      </vt:variant>
      <vt:variant>
        <vt:i4>0</vt:i4>
      </vt:variant>
      <vt:variant>
        <vt:i4>5</vt:i4>
      </vt:variant>
      <vt:variant>
        <vt:lpwstr/>
      </vt:variant>
      <vt:variant>
        <vt:lpwstr>_Toc156568647</vt:lpwstr>
      </vt:variant>
      <vt:variant>
        <vt:i4>1769527</vt:i4>
      </vt:variant>
      <vt:variant>
        <vt:i4>1652</vt:i4>
      </vt:variant>
      <vt:variant>
        <vt:i4>0</vt:i4>
      </vt:variant>
      <vt:variant>
        <vt:i4>5</vt:i4>
      </vt:variant>
      <vt:variant>
        <vt:lpwstr/>
      </vt:variant>
      <vt:variant>
        <vt:lpwstr>_Toc156568646</vt:lpwstr>
      </vt:variant>
      <vt:variant>
        <vt:i4>1769527</vt:i4>
      </vt:variant>
      <vt:variant>
        <vt:i4>1646</vt:i4>
      </vt:variant>
      <vt:variant>
        <vt:i4>0</vt:i4>
      </vt:variant>
      <vt:variant>
        <vt:i4>5</vt:i4>
      </vt:variant>
      <vt:variant>
        <vt:lpwstr/>
      </vt:variant>
      <vt:variant>
        <vt:lpwstr>_Toc156568645</vt:lpwstr>
      </vt:variant>
      <vt:variant>
        <vt:i4>1769527</vt:i4>
      </vt:variant>
      <vt:variant>
        <vt:i4>1640</vt:i4>
      </vt:variant>
      <vt:variant>
        <vt:i4>0</vt:i4>
      </vt:variant>
      <vt:variant>
        <vt:i4>5</vt:i4>
      </vt:variant>
      <vt:variant>
        <vt:lpwstr/>
      </vt:variant>
      <vt:variant>
        <vt:lpwstr>_Toc156568644</vt:lpwstr>
      </vt:variant>
      <vt:variant>
        <vt:i4>7929886</vt:i4>
      </vt:variant>
      <vt:variant>
        <vt:i4>1353</vt:i4>
      </vt:variant>
      <vt:variant>
        <vt:i4>0</vt:i4>
      </vt:variant>
      <vt:variant>
        <vt:i4>5</vt:i4>
      </vt:variant>
      <vt:variant>
        <vt:lpwstr>https://auc-word-edit.officeapps.live.com/we/wordeditorframe.aspx?ui=en%2DUS&amp;rs=en%2DAU&amp;wopisrc=https%3A%2F%2Fdhhsvicgovau.sharepoint.com%2Fsites%2FHealthServicePerformanceStrategy%2F_vti_bin%2Fwopi.ashx%2Ffiles%2Fe877230e5d794d8083ee307129a7626e&amp;wdlor=c3D1DD05C-EFB6-44F1-ACE7-A370BBAB93F9&amp;wdenableroaming=1&amp;mscc=1&amp;hid=262C696B-262C-4109-BEA4-45B6C35E8384&amp;wdorigin=Outlook-Body&amp;wdhostclicktime=1629964250913&amp;jsapi=1&amp;jsapiver=v1&amp;newsession=1&amp;corrid=2977343c-59c1-87fd-cd0b-20593153e5b4&amp;usid=2977343c-59c1-87fd-cd0b-20593153e5b4&amp;sftc=1&amp;mtf=1&amp;sfp=1&amp;instantedit=1&amp;wopicomplete=1&amp;wdredirectionreason=Unified_SingleFlush&amp;preseededsessionkey=caca07a6-5bdd-d7fe-4873-9e9d50fd848d&amp;preseededwacsessionid=2977343c-59c1-87fd-cd0b-20593153e5b4&amp;rct=Medium&amp;ctp=LeastProtected</vt:lpwstr>
      </vt:variant>
      <vt:variant>
        <vt:lpwstr>_ftnref1</vt:lpwstr>
      </vt:variant>
      <vt:variant>
        <vt:i4>2949130</vt:i4>
      </vt:variant>
      <vt:variant>
        <vt:i4>1350</vt:i4>
      </vt:variant>
      <vt:variant>
        <vt:i4>0</vt:i4>
      </vt:variant>
      <vt:variant>
        <vt:i4>5</vt:i4>
      </vt:variant>
      <vt:variant>
        <vt:lpwstr>https://auc-word-edit.officeapps.live.com/we/wordeditorframe.aspx?ui=en%2DUS&amp;rs=en%2DAU&amp;wopisrc=https%3A%2F%2Fdhhsvicgovau.sharepoint.com%2Fsites%2FHealthServicePerformanceStrategy%2F_vti_bin%2Fwopi.ashx%2Ffiles%2Fe877230e5d794d8083ee307129a7626e&amp;wdlor=c3D1DD05C-EFB6-44F1-ACE7-A370BBAB93F9&amp;wdenableroaming=1&amp;mscc=1&amp;hid=262C696B-262C-4109-BEA4-45B6C35E8384&amp;wdorigin=Outlook-Body&amp;wdhostclicktime=1629964250913&amp;jsapi=1&amp;jsapiver=v1&amp;newsession=1&amp;corrid=2977343c-59c1-87fd-cd0b-20593153e5b4&amp;usid=2977343c-59c1-87fd-cd0b-20593153e5b4&amp;sftc=1&amp;mtf=1&amp;sfp=1&amp;instantedit=1&amp;wopicomplete=1&amp;wdredirectionreason=Unified_SingleFlush&amp;preseededsessionkey=caca07a6-5bdd-d7fe-4873-9e9d50fd848d&amp;preseededwacsessionid=2977343c-59c1-87fd-cd0b-20593153e5b4&amp;rct=Medium&amp;ctp=LeastProtected</vt:lpwstr>
      </vt:variant>
      <vt:variant>
        <vt:lpwstr>_ftn1</vt:lpwstr>
      </vt:variant>
      <vt:variant>
        <vt:i4>2097200</vt:i4>
      </vt:variant>
      <vt:variant>
        <vt:i4>1311</vt:i4>
      </vt:variant>
      <vt:variant>
        <vt:i4>0</vt:i4>
      </vt:variant>
      <vt:variant>
        <vt:i4>5</vt:i4>
      </vt:variant>
      <vt:variant>
        <vt:lpwstr>https://www.health.vic.gov.au/patient-fees-charges/private-patients</vt:lpwstr>
      </vt:variant>
      <vt:variant>
        <vt:lpwstr/>
      </vt:variant>
      <vt:variant>
        <vt:i4>2687076</vt:i4>
      </vt:variant>
      <vt:variant>
        <vt:i4>1308</vt:i4>
      </vt:variant>
      <vt:variant>
        <vt:i4>0</vt:i4>
      </vt:variant>
      <vt:variant>
        <vt:i4>5</vt:i4>
      </vt:variant>
      <vt:variant>
        <vt:lpwstr>https://www.health.vic.gov.au/hospitals-and-health-services/patient-fees-and-charges-for-public-health-services</vt:lpwstr>
      </vt:variant>
      <vt:variant>
        <vt:lpwstr/>
      </vt:variant>
      <vt:variant>
        <vt:i4>7077898</vt:i4>
      </vt:variant>
      <vt:variant>
        <vt:i4>1305</vt:i4>
      </vt:variant>
      <vt:variant>
        <vt:i4>0</vt:i4>
      </vt:variant>
      <vt:variant>
        <vt:i4>5</vt:i4>
      </vt:variant>
      <vt:variant>
        <vt:lpwstr>mailto:hdss.helpdesk@health.vic.gov.au</vt:lpwstr>
      </vt:variant>
      <vt:variant>
        <vt:lpwstr/>
      </vt:variant>
      <vt:variant>
        <vt:i4>589840</vt:i4>
      </vt:variant>
      <vt:variant>
        <vt:i4>1302</vt:i4>
      </vt:variant>
      <vt:variant>
        <vt:i4>0</vt:i4>
      </vt:variant>
      <vt:variant>
        <vt:i4>5</vt:i4>
      </vt:variant>
      <vt:variant>
        <vt:lpwstr>https://www.health.vic.gov.au/publications/aboriginal-cultural-safety-fixed-grant-guidelines-cultural-safety-planning-and</vt:lpwstr>
      </vt:variant>
      <vt:variant>
        <vt:lpwstr/>
      </vt:variant>
      <vt:variant>
        <vt:i4>589840</vt:i4>
      </vt:variant>
      <vt:variant>
        <vt:i4>1299</vt:i4>
      </vt:variant>
      <vt:variant>
        <vt:i4>0</vt:i4>
      </vt:variant>
      <vt:variant>
        <vt:i4>5</vt:i4>
      </vt:variant>
      <vt:variant>
        <vt:lpwstr>https://www.health.vic.gov.au/publications/aboriginal-cultural-safety-fixed-grant-guidelines-cultural-safety-planning-and</vt:lpwstr>
      </vt:variant>
      <vt:variant>
        <vt:lpwstr/>
      </vt:variant>
      <vt:variant>
        <vt:i4>2687076</vt:i4>
      </vt:variant>
      <vt:variant>
        <vt:i4>1296</vt:i4>
      </vt:variant>
      <vt:variant>
        <vt:i4>0</vt:i4>
      </vt:variant>
      <vt:variant>
        <vt:i4>5</vt:i4>
      </vt:variant>
      <vt:variant>
        <vt:lpwstr>https://www.health.vic.gov.au/hospitals-and-health-services/patient-fees-and-charges-for-public-health-services</vt:lpwstr>
      </vt:variant>
      <vt:variant>
        <vt:lpwstr/>
      </vt:variant>
      <vt:variant>
        <vt:i4>30</vt:i4>
      </vt:variant>
      <vt:variant>
        <vt:i4>1287</vt:i4>
      </vt:variant>
      <vt:variant>
        <vt:i4>0</vt:i4>
      </vt:variant>
      <vt:variant>
        <vt:i4>5</vt:i4>
      </vt:variant>
      <vt:variant>
        <vt:lpwstr>https://www.health.vic.gov.au/patient-fees-charges/worksafe-patients</vt:lpwstr>
      </vt:variant>
      <vt:variant>
        <vt:lpwstr/>
      </vt:variant>
      <vt:variant>
        <vt:i4>1310735</vt:i4>
      </vt:variant>
      <vt:variant>
        <vt:i4>1284</vt:i4>
      </vt:variant>
      <vt:variant>
        <vt:i4>0</vt:i4>
      </vt:variant>
      <vt:variant>
        <vt:i4>5</vt:i4>
      </vt:variant>
      <vt:variant>
        <vt:lpwstr>https://www.tac.vic.gov.au/providers</vt:lpwstr>
      </vt:variant>
      <vt:variant>
        <vt:lpwstr/>
      </vt:variant>
      <vt:variant>
        <vt:i4>1245203</vt:i4>
      </vt:variant>
      <vt:variant>
        <vt:i4>1281</vt:i4>
      </vt:variant>
      <vt:variant>
        <vt:i4>0</vt:i4>
      </vt:variant>
      <vt:variant>
        <vt:i4>5</vt:i4>
      </vt:variant>
      <vt:variant>
        <vt:lpwstr>https://www.health.vic.gov.au/patient-fees-charges/transport-accident-commission-patients</vt:lpwstr>
      </vt:variant>
      <vt:variant>
        <vt:lpwstr/>
      </vt:variant>
      <vt:variant>
        <vt:i4>7405628</vt:i4>
      </vt:variant>
      <vt:variant>
        <vt:i4>1275</vt:i4>
      </vt:variant>
      <vt:variant>
        <vt:i4>0</vt:i4>
      </vt:variant>
      <vt:variant>
        <vt:i4>5</vt:i4>
      </vt:variant>
      <vt:variant>
        <vt:lpwstr>http://www.dva.gov.au/</vt:lpwstr>
      </vt:variant>
      <vt:variant>
        <vt:lpwstr/>
      </vt:variant>
      <vt:variant>
        <vt:i4>3080239</vt:i4>
      </vt:variant>
      <vt:variant>
        <vt:i4>1263</vt:i4>
      </vt:variant>
      <vt:variant>
        <vt:i4>0</vt:i4>
      </vt:variant>
      <vt:variant>
        <vt:i4>5</vt:i4>
      </vt:variant>
      <vt:variant>
        <vt:lpwstr>https://www.dva.gov.au/health-and-wellbeing/home-and-care/rehabilitation-appliances-program-rap</vt:lpwstr>
      </vt:variant>
      <vt:variant>
        <vt:lpwstr/>
      </vt:variant>
      <vt:variant>
        <vt:i4>5308493</vt:i4>
      </vt:variant>
      <vt:variant>
        <vt:i4>1242</vt:i4>
      </vt:variant>
      <vt:variant>
        <vt:i4>0</vt:i4>
      </vt:variant>
      <vt:variant>
        <vt:i4>5</vt:i4>
      </vt:variant>
      <vt:variant>
        <vt:lpwstr>https://www.health.vic.gov.au/data-reporting/national-funding-model-implementation-resources</vt:lpwstr>
      </vt:variant>
      <vt:variant>
        <vt:lpwstr/>
      </vt:variant>
      <vt:variant>
        <vt:i4>5308493</vt:i4>
      </vt:variant>
      <vt:variant>
        <vt:i4>1239</vt:i4>
      </vt:variant>
      <vt:variant>
        <vt:i4>0</vt:i4>
      </vt:variant>
      <vt:variant>
        <vt:i4>5</vt:i4>
      </vt:variant>
      <vt:variant>
        <vt:lpwstr>https://www.health.vic.gov.au/data-reporting/national-funding-model-implementation-resources</vt:lpwstr>
      </vt:variant>
      <vt:variant>
        <vt:lpwstr/>
      </vt:variant>
      <vt:variant>
        <vt:i4>983071</vt:i4>
      </vt:variant>
      <vt:variant>
        <vt:i4>1198</vt:i4>
      </vt:variant>
      <vt:variant>
        <vt:i4>0</vt:i4>
      </vt:variant>
      <vt:variant>
        <vt:i4>5</vt:i4>
      </vt:variant>
      <vt:variant>
        <vt:lpwstr>https://www.vhba.vic.gov.au/resources/grant-programs</vt:lpwstr>
      </vt:variant>
      <vt:variant>
        <vt:lpwstr/>
      </vt:variant>
      <vt:variant>
        <vt:i4>983071</vt:i4>
      </vt:variant>
      <vt:variant>
        <vt:i4>1195</vt:i4>
      </vt:variant>
      <vt:variant>
        <vt:i4>0</vt:i4>
      </vt:variant>
      <vt:variant>
        <vt:i4>5</vt:i4>
      </vt:variant>
      <vt:variant>
        <vt:lpwstr>https://www.vhba.vic.gov.au/resources/grant-programs</vt:lpwstr>
      </vt:variant>
      <vt:variant>
        <vt:lpwstr/>
      </vt:variant>
      <vt:variant>
        <vt:i4>2162716</vt:i4>
      </vt:variant>
      <vt:variant>
        <vt:i4>1192</vt:i4>
      </vt:variant>
      <vt:variant>
        <vt:i4>0</vt:i4>
      </vt:variant>
      <vt:variant>
        <vt:i4>5</vt:i4>
      </vt:variant>
      <vt:variant>
        <vt:lpwstr/>
      </vt:variant>
      <vt:variant>
        <vt:lpwstr>_Redirection_of_Funds</vt:lpwstr>
      </vt:variant>
      <vt:variant>
        <vt:i4>7340072</vt:i4>
      </vt:variant>
      <vt:variant>
        <vt:i4>1183</vt:i4>
      </vt:variant>
      <vt:variant>
        <vt:i4>0</vt:i4>
      </vt:variant>
      <vt:variant>
        <vt:i4>5</vt:i4>
      </vt:variant>
      <vt:variant>
        <vt:lpwstr>https://www.health.vic.gov.au/local-public-health-units</vt:lpwstr>
      </vt:variant>
      <vt:variant>
        <vt:lpwstr/>
      </vt:variant>
      <vt:variant>
        <vt:i4>5636116</vt:i4>
      </vt:variant>
      <vt:variant>
        <vt:i4>1180</vt:i4>
      </vt:variant>
      <vt:variant>
        <vt:i4>0</vt:i4>
      </vt:variant>
      <vt:variant>
        <vt:i4>5</vt:i4>
      </vt:variant>
      <vt:variant>
        <vt:lpwstr>https://www.health.vic.gov.au/health-strategies/radiotherapy-services</vt:lpwstr>
      </vt:variant>
      <vt:variant>
        <vt:lpwstr/>
      </vt:variant>
      <vt:variant>
        <vt:i4>3211312</vt:i4>
      </vt:variant>
      <vt:variant>
        <vt:i4>1171</vt:i4>
      </vt:variant>
      <vt:variant>
        <vt:i4>0</vt:i4>
      </vt:variant>
      <vt:variant>
        <vt:i4>5</vt:i4>
      </vt:variant>
      <vt:variant>
        <vt:lpwstr>https://www.health.vic.gov.au/health-strategies/radiotherapy-service-locations</vt:lpwstr>
      </vt:variant>
      <vt:variant>
        <vt:lpwstr/>
      </vt:variant>
      <vt:variant>
        <vt:i4>4718603</vt:i4>
      </vt:variant>
      <vt:variant>
        <vt:i4>1153</vt:i4>
      </vt:variant>
      <vt:variant>
        <vt:i4>0</vt:i4>
      </vt:variant>
      <vt:variant>
        <vt:i4>5</vt:i4>
      </vt:variant>
      <vt:variant>
        <vt:lpwstr>https://www.health.vic.gov.au/patient-care/conditions-of-funding-for-palliative-care</vt:lpwstr>
      </vt:variant>
      <vt:variant>
        <vt:lpwstr/>
      </vt:variant>
      <vt:variant>
        <vt:i4>1310790</vt:i4>
      </vt:variant>
      <vt:variant>
        <vt:i4>1150</vt:i4>
      </vt:variant>
      <vt:variant>
        <vt:i4>0</vt:i4>
      </vt:variant>
      <vt:variant>
        <vt:i4>5</vt:i4>
      </vt:variant>
      <vt:variant>
        <vt:lpwstr>https://www.healthcollect.vic.gov.au/</vt:lpwstr>
      </vt:variant>
      <vt:variant>
        <vt:lpwstr/>
      </vt:variant>
      <vt:variant>
        <vt:i4>5701639</vt:i4>
      </vt:variant>
      <vt:variant>
        <vt:i4>1141</vt:i4>
      </vt:variant>
      <vt:variant>
        <vt:i4>0</vt:i4>
      </vt:variant>
      <vt:variant>
        <vt:i4>5</vt:i4>
      </vt:variant>
      <vt:variant>
        <vt:lpwstr>https://www.health.vic.gov.au/funding-performance-accountability/mbs-billing-policy-framework-victorian-public-hospitals</vt:lpwstr>
      </vt:variant>
      <vt:variant>
        <vt:lpwstr/>
      </vt:variant>
      <vt:variant>
        <vt:i4>6553727</vt:i4>
      </vt:variant>
      <vt:variant>
        <vt:i4>1129</vt:i4>
      </vt:variant>
      <vt:variant>
        <vt:i4>0</vt:i4>
      </vt:variant>
      <vt:variant>
        <vt:i4>5</vt:i4>
      </vt:variant>
      <vt:variant>
        <vt:lpwstr>https://www.health.vic.gov.au/publications/hen-and-tpn-home-delivered-funding-arrangements-for-victorian-public-health-services</vt:lpwstr>
      </vt:variant>
      <vt:variant>
        <vt:lpwstr/>
      </vt:variant>
      <vt:variant>
        <vt:i4>6553727</vt:i4>
      </vt:variant>
      <vt:variant>
        <vt:i4>1126</vt:i4>
      </vt:variant>
      <vt:variant>
        <vt:i4>0</vt:i4>
      </vt:variant>
      <vt:variant>
        <vt:i4>5</vt:i4>
      </vt:variant>
      <vt:variant>
        <vt:lpwstr>https://www.health.vic.gov.au/publications/hen-and-tpn-home-delivered-funding-arrangements-for-victorian-public-health-services</vt:lpwstr>
      </vt:variant>
      <vt:variant>
        <vt:lpwstr/>
      </vt:variant>
      <vt:variant>
        <vt:i4>1310790</vt:i4>
      </vt:variant>
      <vt:variant>
        <vt:i4>1123</vt:i4>
      </vt:variant>
      <vt:variant>
        <vt:i4>0</vt:i4>
      </vt:variant>
      <vt:variant>
        <vt:i4>5</vt:i4>
      </vt:variant>
      <vt:variant>
        <vt:lpwstr>https://www.healthcollect.vic.gov.au/</vt:lpwstr>
      </vt:variant>
      <vt:variant>
        <vt:lpwstr/>
      </vt:variant>
      <vt:variant>
        <vt:i4>3932258</vt:i4>
      </vt:variant>
      <vt:variant>
        <vt:i4>1120</vt:i4>
      </vt:variant>
      <vt:variant>
        <vt:i4>0</vt:i4>
      </vt:variant>
      <vt:variant>
        <vt:i4>5</vt:i4>
      </vt:variant>
      <vt:variant>
        <vt:lpwstr>https://www.ihacpa.gov.au/health-care/classifications/non-admitted-care/tier-2</vt:lpwstr>
      </vt:variant>
      <vt:variant>
        <vt:lpwstr/>
      </vt:variant>
      <vt:variant>
        <vt:i4>3342368</vt:i4>
      </vt:variant>
      <vt:variant>
        <vt:i4>1117</vt:i4>
      </vt:variant>
      <vt:variant>
        <vt:i4>0</vt:i4>
      </vt:variant>
      <vt:variant>
        <vt:i4>5</vt:i4>
      </vt:variant>
      <vt:variant>
        <vt:lpwstr>https://www.health.vic.gov.au/publications/vinah-manual-version-17-2022-23</vt:lpwstr>
      </vt:variant>
      <vt:variant>
        <vt:lpwstr/>
      </vt:variant>
      <vt:variant>
        <vt:i4>4980761</vt:i4>
      </vt:variant>
      <vt:variant>
        <vt:i4>1114</vt:i4>
      </vt:variant>
      <vt:variant>
        <vt:i4>0</vt:i4>
      </vt:variant>
      <vt:variant>
        <vt:i4>5</vt:i4>
      </vt:variant>
      <vt:variant>
        <vt:lpwstr>https://www.ihacpa.gov.au/resources/tier-2-non-admitted-services-2023-24</vt:lpwstr>
      </vt:variant>
      <vt:variant>
        <vt:lpwstr/>
      </vt:variant>
      <vt:variant>
        <vt:i4>1966151</vt:i4>
      </vt:variant>
      <vt:variant>
        <vt:i4>1111</vt:i4>
      </vt:variant>
      <vt:variant>
        <vt:i4>0</vt:i4>
      </vt:variant>
      <vt:variant>
        <vt:i4>5</vt:i4>
      </vt:variant>
      <vt:variant>
        <vt:lpwstr>https://dhhsvicgovau.sharepoint.com/sites/Accountability/Shared Documents/Non-admitted patient NBEDS 2023-24</vt:lpwstr>
      </vt:variant>
      <vt:variant>
        <vt:lpwstr/>
      </vt:variant>
      <vt:variant>
        <vt:i4>7077898</vt:i4>
      </vt:variant>
      <vt:variant>
        <vt:i4>1108</vt:i4>
      </vt:variant>
      <vt:variant>
        <vt:i4>0</vt:i4>
      </vt:variant>
      <vt:variant>
        <vt:i4>5</vt:i4>
      </vt:variant>
      <vt:variant>
        <vt:lpwstr>mailto:hdss.helpdesk@health.vic.gov.au</vt:lpwstr>
      </vt:variant>
      <vt:variant>
        <vt:lpwstr/>
      </vt:variant>
      <vt:variant>
        <vt:i4>983047</vt:i4>
      </vt:variant>
      <vt:variant>
        <vt:i4>1105</vt:i4>
      </vt:variant>
      <vt:variant>
        <vt:i4>0</vt:i4>
      </vt:variant>
      <vt:variant>
        <vt:i4>5</vt:i4>
      </vt:variant>
      <vt:variant>
        <vt:lpwstr>http://www.health.vic.gov.au/data-reporting/victorian-emergency-minimum-dataset-vemd</vt:lpwstr>
      </vt:variant>
      <vt:variant>
        <vt:lpwstr/>
      </vt:variant>
      <vt:variant>
        <vt:i4>5439580</vt:i4>
      </vt:variant>
      <vt:variant>
        <vt:i4>1102</vt:i4>
      </vt:variant>
      <vt:variant>
        <vt:i4>0</vt:i4>
      </vt:variant>
      <vt:variant>
        <vt:i4>5</vt:i4>
      </vt:variant>
      <vt:variant>
        <vt:lpwstr>https://www.ihacpa.gov.au/pricing/national-pricing-model-technical-specifications</vt:lpwstr>
      </vt:variant>
      <vt:variant>
        <vt:lpwstr/>
      </vt:variant>
      <vt:variant>
        <vt:i4>4653069</vt:i4>
      </vt:variant>
      <vt:variant>
        <vt:i4>1099</vt:i4>
      </vt:variant>
      <vt:variant>
        <vt:i4>0</vt:i4>
      </vt:variant>
      <vt:variant>
        <vt:i4>5</vt:i4>
      </vt:variant>
      <vt:variant>
        <vt:lpwstr>https://www.ihacpa.gov.au/pricing/national-efficient-price-determination</vt:lpwstr>
      </vt:variant>
      <vt:variant>
        <vt:lpwstr/>
      </vt:variant>
      <vt:variant>
        <vt:i4>7143529</vt:i4>
      </vt:variant>
      <vt:variant>
        <vt:i4>1082</vt:i4>
      </vt:variant>
      <vt:variant>
        <vt:i4>0</vt:i4>
      </vt:variant>
      <vt:variant>
        <vt:i4>5</vt:i4>
      </vt:variant>
      <vt:variant>
        <vt:lpwstr>https://www.health.vic.gov.au/patient-care/subacute-planning-framework</vt:lpwstr>
      </vt:variant>
      <vt:variant>
        <vt:lpwstr/>
      </vt:variant>
      <vt:variant>
        <vt:i4>5439506</vt:i4>
      </vt:variant>
      <vt:variant>
        <vt:i4>1067</vt:i4>
      </vt:variant>
      <vt:variant>
        <vt:i4>0</vt:i4>
      </vt:variant>
      <vt:variant>
        <vt:i4>5</vt:i4>
      </vt:variant>
      <vt:variant>
        <vt:lpwstr>https://www.health.vic.gov.au/data-reporting/victorian-admitted-episodes-dataset</vt:lpwstr>
      </vt:variant>
      <vt:variant>
        <vt:lpwstr/>
      </vt:variant>
      <vt:variant>
        <vt:i4>5439506</vt:i4>
      </vt:variant>
      <vt:variant>
        <vt:i4>1064</vt:i4>
      </vt:variant>
      <vt:variant>
        <vt:i4>0</vt:i4>
      </vt:variant>
      <vt:variant>
        <vt:i4>5</vt:i4>
      </vt:variant>
      <vt:variant>
        <vt:lpwstr>https://www.health.vic.gov.au/data-reporting/victorian-admitted-episodes-dataset</vt:lpwstr>
      </vt:variant>
      <vt:variant>
        <vt:lpwstr/>
      </vt:variant>
      <vt:variant>
        <vt:i4>2883685</vt:i4>
      </vt:variant>
      <vt:variant>
        <vt:i4>1061</vt:i4>
      </vt:variant>
      <vt:variant>
        <vt:i4>0</vt:i4>
      </vt:variant>
      <vt:variant>
        <vt:i4>5</vt:i4>
      </vt:variant>
      <vt:variant>
        <vt:lpwstr>https://www.ihacpa.gov.au/health-care/pricing/national-efficient-cost-determination</vt:lpwstr>
      </vt:variant>
      <vt:variant>
        <vt:lpwstr/>
      </vt:variant>
      <vt:variant>
        <vt:i4>3932258</vt:i4>
      </vt:variant>
      <vt:variant>
        <vt:i4>1043</vt:i4>
      </vt:variant>
      <vt:variant>
        <vt:i4>0</vt:i4>
      </vt:variant>
      <vt:variant>
        <vt:i4>5</vt:i4>
      </vt:variant>
      <vt:variant>
        <vt:lpwstr>https://www.ihacpa.gov.au/resources/national-efficient-price-determination-2023-24</vt:lpwstr>
      </vt:variant>
      <vt:variant>
        <vt:lpwstr/>
      </vt:variant>
      <vt:variant>
        <vt:i4>2949233</vt:i4>
      </vt:variant>
      <vt:variant>
        <vt:i4>1040</vt:i4>
      </vt:variant>
      <vt:variant>
        <vt:i4>0</vt:i4>
      </vt:variant>
      <vt:variant>
        <vt:i4>5</vt:i4>
      </vt:variant>
      <vt:variant>
        <vt:lpwstr>https://www.ihacpa.gov.au/resources/national-pricing-model-technical-specifications-2023-24</vt:lpwstr>
      </vt:variant>
      <vt:variant>
        <vt:lpwstr/>
      </vt:variant>
      <vt:variant>
        <vt:i4>2687076</vt:i4>
      </vt:variant>
      <vt:variant>
        <vt:i4>1037</vt:i4>
      </vt:variant>
      <vt:variant>
        <vt:i4>0</vt:i4>
      </vt:variant>
      <vt:variant>
        <vt:i4>5</vt:i4>
      </vt:variant>
      <vt:variant>
        <vt:lpwstr>https://www.health.vic.gov.au/hospitals-and-health-services/patient-fees-and-charges-for-public-health-services</vt:lpwstr>
      </vt:variant>
      <vt:variant>
        <vt:lpwstr/>
      </vt:variant>
      <vt:variant>
        <vt:i4>2687023</vt:i4>
      </vt:variant>
      <vt:variant>
        <vt:i4>1034</vt:i4>
      </vt:variant>
      <vt:variant>
        <vt:i4>0</vt:i4>
      </vt:variant>
      <vt:variant>
        <vt:i4>5</vt:i4>
      </vt:variant>
      <vt:variant>
        <vt:lpwstr>https://www.health.vic.gov.au/data-reporting/health-data-standards-and-systems</vt:lpwstr>
      </vt:variant>
      <vt:variant>
        <vt:lpwstr/>
      </vt:variant>
      <vt:variant>
        <vt:i4>7340150</vt:i4>
      </vt:variant>
      <vt:variant>
        <vt:i4>1031</vt:i4>
      </vt:variant>
      <vt:variant>
        <vt:i4>0</vt:i4>
      </vt:variant>
      <vt:variant>
        <vt:i4>5</vt:i4>
      </vt:variant>
      <vt:variant>
        <vt:lpwstr>https://meteor.aihw.gov.au/</vt:lpwstr>
      </vt:variant>
      <vt:variant>
        <vt:lpwstr/>
      </vt:variant>
      <vt:variant>
        <vt:i4>5177422</vt:i4>
      </vt:variant>
      <vt:variant>
        <vt:i4>1028</vt:i4>
      </vt:variant>
      <vt:variant>
        <vt:i4>0</vt:i4>
      </vt:variant>
      <vt:variant>
        <vt:i4>5</vt:i4>
      </vt:variant>
      <vt:variant>
        <vt:lpwstr>https://www.health.vic.gov.au/publications/hospital-access-for-people-seeking-asylum</vt:lpwstr>
      </vt:variant>
      <vt:variant>
        <vt:lpwstr/>
      </vt:variant>
      <vt:variant>
        <vt:i4>2687023</vt:i4>
      </vt:variant>
      <vt:variant>
        <vt:i4>1025</vt:i4>
      </vt:variant>
      <vt:variant>
        <vt:i4>0</vt:i4>
      </vt:variant>
      <vt:variant>
        <vt:i4>5</vt:i4>
      </vt:variant>
      <vt:variant>
        <vt:lpwstr>https://www.health.vic.gov.au/data-reporting/health-data-standards-and-systems</vt:lpwstr>
      </vt:variant>
      <vt:variant>
        <vt:lpwstr/>
      </vt:variant>
      <vt:variant>
        <vt:i4>2687023</vt:i4>
      </vt:variant>
      <vt:variant>
        <vt:i4>1022</vt:i4>
      </vt:variant>
      <vt:variant>
        <vt:i4>0</vt:i4>
      </vt:variant>
      <vt:variant>
        <vt:i4>5</vt:i4>
      </vt:variant>
      <vt:variant>
        <vt:lpwstr>https://www.health.vic.gov.au/data-reporting/health-data-standards-and-systems</vt:lpwstr>
      </vt:variant>
      <vt:variant>
        <vt:lpwstr/>
      </vt:variant>
      <vt:variant>
        <vt:i4>65554</vt:i4>
      </vt:variant>
      <vt:variant>
        <vt:i4>1019</vt:i4>
      </vt:variant>
      <vt:variant>
        <vt:i4>0</vt:i4>
      </vt:variant>
      <vt:variant>
        <vt:i4>5</vt:i4>
      </vt:variant>
      <vt:variant>
        <vt:lpwstr>https://www.health.vic.gov.au/data-reporting/victorian-cost-data-collection-vcdc</vt:lpwstr>
      </vt:variant>
      <vt:variant>
        <vt:lpwstr/>
      </vt:variant>
      <vt:variant>
        <vt:i4>2949233</vt:i4>
      </vt:variant>
      <vt:variant>
        <vt:i4>1016</vt:i4>
      </vt:variant>
      <vt:variant>
        <vt:i4>0</vt:i4>
      </vt:variant>
      <vt:variant>
        <vt:i4>5</vt:i4>
      </vt:variant>
      <vt:variant>
        <vt:lpwstr>https://www.ihacpa.gov.au/resources/national-pricing-model-technical-specifications-2023-24</vt:lpwstr>
      </vt:variant>
      <vt:variant>
        <vt:lpwstr/>
      </vt:variant>
      <vt:variant>
        <vt:i4>3735610</vt:i4>
      </vt:variant>
      <vt:variant>
        <vt:i4>1013</vt:i4>
      </vt:variant>
      <vt:variant>
        <vt:i4>0</vt:i4>
      </vt:variant>
      <vt:variant>
        <vt:i4>5</vt:i4>
      </vt:variant>
      <vt:variant>
        <vt:lpwstr>https://www.safetyandquality.gov.au/our-work/indicators/hospital-acquired-complications</vt:lpwstr>
      </vt:variant>
      <vt:variant>
        <vt:lpwstr/>
      </vt:variant>
      <vt:variant>
        <vt:i4>786440</vt:i4>
      </vt:variant>
      <vt:variant>
        <vt:i4>992</vt:i4>
      </vt:variant>
      <vt:variant>
        <vt:i4>0</vt:i4>
      </vt:variant>
      <vt:variant>
        <vt:i4>5</vt:i4>
      </vt:variant>
      <vt:variant>
        <vt:lpwstr>https://www.ihacpa.gov.au/health-care/pricing/national-pricing-model-technical-specifications</vt:lpwstr>
      </vt:variant>
      <vt:variant>
        <vt:lpwstr/>
      </vt:variant>
      <vt:variant>
        <vt:i4>2883685</vt:i4>
      </vt:variant>
      <vt:variant>
        <vt:i4>989</vt:i4>
      </vt:variant>
      <vt:variant>
        <vt:i4>0</vt:i4>
      </vt:variant>
      <vt:variant>
        <vt:i4>5</vt:i4>
      </vt:variant>
      <vt:variant>
        <vt:lpwstr>https://www.ihacpa.gov.au/health-care/pricing/national-efficient-cost-determination</vt:lpwstr>
      </vt:variant>
      <vt:variant>
        <vt:lpwstr/>
      </vt:variant>
      <vt:variant>
        <vt:i4>4653069</vt:i4>
      </vt:variant>
      <vt:variant>
        <vt:i4>986</vt:i4>
      </vt:variant>
      <vt:variant>
        <vt:i4>0</vt:i4>
      </vt:variant>
      <vt:variant>
        <vt:i4>5</vt:i4>
      </vt:variant>
      <vt:variant>
        <vt:lpwstr>https://www.ihacpa.gov.au/pricing/national-efficient-price-determination</vt:lpwstr>
      </vt:variant>
      <vt:variant>
        <vt:lpwstr/>
      </vt:variant>
      <vt:variant>
        <vt:i4>2883684</vt:i4>
      </vt:variant>
      <vt:variant>
        <vt:i4>983</vt:i4>
      </vt:variant>
      <vt:variant>
        <vt:i4>0</vt:i4>
      </vt:variant>
      <vt:variant>
        <vt:i4>5</vt:i4>
      </vt:variant>
      <vt:variant>
        <vt:lpwstr>https://www.ihacpa.gov.au/health-care/pricing/pricing-framework-australian-public-hospital-services</vt:lpwstr>
      </vt:variant>
      <vt:variant>
        <vt:lpwstr/>
      </vt:variant>
      <vt:variant>
        <vt:i4>851969</vt:i4>
      </vt:variant>
      <vt:variant>
        <vt:i4>974</vt:i4>
      </vt:variant>
      <vt:variant>
        <vt:i4>0</vt:i4>
      </vt:variant>
      <vt:variant>
        <vt:i4>5</vt:i4>
      </vt:variant>
      <vt:variant>
        <vt:lpwstr>https://www.ihacpa.gov.au/resources/national-efficient-cost-determination-2023-24</vt:lpwstr>
      </vt:variant>
      <vt:variant>
        <vt:lpwstr/>
      </vt:variant>
      <vt:variant>
        <vt:i4>2949233</vt:i4>
      </vt:variant>
      <vt:variant>
        <vt:i4>965</vt:i4>
      </vt:variant>
      <vt:variant>
        <vt:i4>0</vt:i4>
      </vt:variant>
      <vt:variant>
        <vt:i4>5</vt:i4>
      </vt:variant>
      <vt:variant>
        <vt:lpwstr>https://www.ihacpa.gov.au/resources/national-pricing-model-technical-specifications-2023-24</vt:lpwstr>
      </vt:variant>
      <vt:variant>
        <vt:lpwstr/>
      </vt:variant>
      <vt:variant>
        <vt:i4>4653069</vt:i4>
      </vt:variant>
      <vt:variant>
        <vt:i4>950</vt:i4>
      </vt:variant>
      <vt:variant>
        <vt:i4>0</vt:i4>
      </vt:variant>
      <vt:variant>
        <vt:i4>5</vt:i4>
      </vt:variant>
      <vt:variant>
        <vt:lpwstr>https://www.ihacpa.gov.au/pricing/national-efficient-price-determination</vt:lpwstr>
      </vt:variant>
      <vt:variant>
        <vt:lpwstr/>
      </vt:variant>
      <vt:variant>
        <vt:i4>2949156</vt:i4>
      </vt:variant>
      <vt:variant>
        <vt:i4>947</vt:i4>
      </vt:variant>
      <vt:variant>
        <vt:i4>0</vt:i4>
      </vt:variant>
      <vt:variant>
        <vt:i4>5</vt:i4>
      </vt:variant>
      <vt:variant>
        <vt:lpwstr>https://www.health.vic.gov.au/patient-care/subcutaneous-immunoglobulin-scig-access-program</vt:lpwstr>
      </vt:variant>
      <vt:variant>
        <vt:lpwstr/>
      </vt:variant>
      <vt:variant>
        <vt:i4>6750306</vt:i4>
      </vt:variant>
      <vt:variant>
        <vt:i4>938</vt:i4>
      </vt:variant>
      <vt:variant>
        <vt:i4>0</vt:i4>
      </vt:variant>
      <vt:variant>
        <vt:i4>5</vt:i4>
      </vt:variant>
      <vt:variant>
        <vt:lpwstr>https://www.health.vic.gov.au/funding-performance-accountability/pricing-and-funding-framework</vt:lpwstr>
      </vt:variant>
      <vt:variant>
        <vt:lpwstr/>
      </vt:variant>
      <vt:variant>
        <vt:i4>6946865</vt:i4>
      </vt:variant>
      <vt:variant>
        <vt:i4>935</vt:i4>
      </vt:variant>
      <vt:variant>
        <vt:i4>0</vt:i4>
      </vt:variant>
      <vt:variant>
        <vt:i4>5</vt:i4>
      </vt:variant>
      <vt:variant>
        <vt:lpwstr>http://www.ncsr.gov.au/content/ncsr/en/healthcare-providers/RegisterAccess.html</vt:lpwstr>
      </vt:variant>
      <vt:variant>
        <vt:lpwstr>hcpportal</vt:lpwstr>
      </vt:variant>
      <vt:variant>
        <vt:i4>4915278</vt:i4>
      </vt:variant>
      <vt:variant>
        <vt:i4>932</vt:i4>
      </vt:variant>
      <vt:variant>
        <vt:i4>0</vt:i4>
      </vt:variant>
      <vt:variant>
        <vt:i4>5</vt:i4>
      </vt:variant>
      <vt:variant>
        <vt:lpwstr>https://content.health.vic.gov.au/sites/default/files/migrated/files/collections/policies-and-guidelines/c/colonoscopy-categorisation-guidelines-2017.pdf</vt:lpwstr>
      </vt:variant>
      <vt:variant>
        <vt:lpwstr/>
      </vt:variant>
      <vt:variant>
        <vt:i4>4128893</vt:i4>
      </vt:variant>
      <vt:variant>
        <vt:i4>891</vt:i4>
      </vt:variant>
      <vt:variant>
        <vt:i4>0</vt:i4>
      </vt:variant>
      <vt:variant>
        <vt:i4>5</vt:i4>
      </vt:variant>
      <vt:variant>
        <vt:lpwstr>https://providers.dffh.vic.gov.au/families-fairness-housing-health-activity-search</vt:lpwstr>
      </vt:variant>
      <vt:variant>
        <vt:lpwstr/>
      </vt:variant>
      <vt:variant>
        <vt:i4>5439498</vt:i4>
      </vt:variant>
      <vt:variant>
        <vt:i4>888</vt:i4>
      </vt:variant>
      <vt:variant>
        <vt:i4>0</vt:i4>
      </vt:variant>
      <vt:variant>
        <vt:i4>5</vt:i4>
      </vt:variant>
      <vt:variant>
        <vt:lpwstr>https://fac.dhhs.vic.gov.au/service-agreement</vt:lpwstr>
      </vt:variant>
      <vt:variant>
        <vt:lpwstr/>
      </vt:variant>
      <vt:variant>
        <vt:i4>8061047</vt:i4>
      </vt:variant>
      <vt:variant>
        <vt:i4>885</vt:i4>
      </vt:variant>
      <vt:variant>
        <vt:i4>0</vt:i4>
      </vt:variant>
      <vt:variant>
        <vt:i4>5</vt:i4>
      </vt:variant>
      <vt:variant>
        <vt:lpwstr>https://www.health.vic.gov.au/policy-and-funding-guidelines-for-health-services</vt:lpwstr>
      </vt:variant>
      <vt:variant>
        <vt:lpwstr/>
      </vt:variant>
      <vt:variant>
        <vt:i4>2031670</vt:i4>
      </vt:variant>
      <vt:variant>
        <vt:i4>878</vt:i4>
      </vt:variant>
      <vt:variant>
        <vt:i4>0</vt:i4>
      </vt:variant>
      <vt:variant>
        <vt:i4>5</vt:i4>
      </vt:variant>
      <vt:variant>
        <vt:lpwstr/>
      </vt:variant>
      <vt:variant>
        <vt:lpwstr>_Toc156569713</vt:lpwstr>
      </vt:variant>
      <vt:variant>
        <vt:i4>2031670</vt:i4>
      </vt:variant>
      <vt:variant>
        <vt:i4>872</vt:i4>
      </vt:variant>
      <vt:variant>
        <vt:i4>0</vt:i4>
      </vt:variant>
      <vt:variant>
        <vt:i4>5</vt:i4>
      </vt:variant>
      <vt:variant>
        <vt:lpwstr/>
      </vt:variant>
      <vt:variant>
        <vt:lpwstr>_Toc156569712</vt:lpwstr>
      </vt:variant>
      <vt:variant>
        <vt:i4>2031670</vt:i4>
      </vt:variant>
      <vt:variant>
        <vt:i4>866</vt:i4>
      </vt:variant>
      <vt:variant>
        <vt:i4>0</vt:i4>
      </vt:variant>
      <vt:variant>
        <vt:i4>5</vt:i4>
      </vt:variant>
      <vt:variant>
        <vt:lpwstr/>
      </vt:variant>
      <vt:variant>
        <vt:lpwstr>_Toc156569711</vt:lpwstr>
      </vt:variant>
      <vt:variant>
        <vt:i4>2031670</vt:i4>
      </vt:variant>
      <vt:variant>
        <vt:i4>860</vt:i4>
      </vt:variant>
      <vt:variant>
        <vt:i4>0</vt:i4>
      </vt:variant>
      <vt:variant>
        <vt:i4>5</vt:i4>
      </vt:variant>
      <vt:variant>
        <vt:lpwstr/>
      </vt:variant>
      <vt:variant>
        <vt:lpwstr>_Toc156569710</vt:lpwstr>
      </vt:variant>
      <vt:variant>
        <vt:i4>1966134</vt:i4>
      </vt:variant>
      <vt:variant>
        <vt:i4>854</vt:i4>
      </vt:variant>
      <vt:variant>
        <vt:i4>0</vt:i4>
      </vt:variant>
      <vt:variant>
        <vt:i4>5</vt:i4>
      </vt:variant>
      <vt:variant>
        <vt:lpwstr/>
      </vt:variant>
      <vt:variant>
        <vt:lpwstr>_Toc156569709</vt:lpwstr>
      </vt:variant>
      <vt:variant>
        <vt:i4>1966134</vt:i4>
      </vt:variant>
      <vt:variant>
        <vt:i4>848</vt:i4>
      </vt:variant>
      <vt:variant>
        <vt:i4>0</vt:i4>
      </vt:variant>
      <vt:variant>
        <vt:i4>5</vt:i4>
      </vt:variant>
      <vt:variant>
        <vt:lpwstr/>
      </vt:variant>
      <vt:variant>
        <vt:lpwstr>_Toc156569708</vt:lpwstr>
      </vt:variant>
      <vt:variant>
        <vt:i4>1966134</vt:i4>
      </vt:variant>
      <vt:variant>
        <vt:i4>842</vt:i4>
      </vt:variant>
      <vt:variant>
        <vt:i4>0</vt:i4>
      </vt:variant>
      <vt:variant>
        <vt:i4>5</vt:i4>
      </vt:variant>
      <vt:variant>
        <vt:lpwstr/>
      </vt:variant>
      <vt:variant>
        <vt:lpwstr>_Toc156569707</vt:lpwstr>
      </vt:variant>
      <vt:variant>
        <vt:i4>1966134</vt:i4>
      </vt:variant>
      <vt:variant>
        <vt:i4>836</vt:i4>
      </vt:variant>
      <vt:variant>
        <vt:i4>0</vt:i4>
      </vt:variant>
      <vt:variant>
        <vt:i4>5</vt:i4>
      </vt:variant>
      <vt:variant>
        <vt:lpwstr/>
      </vt:variant>
      <vt:variant>
        <vt:lpwstr>_Toc156569706</vt:lpwstr>
      </vt:variant>
      <vt:variant>
        <vt:i4>1966134</vt:i4>
      </vt:variant>
      <vt:variant>
        <vt:i4>830</vt:i4>
      </vt:variant>
      <vt:variant>
        <vt:i4>0</vt:i4>
      </vt:variant>
      <vt:variant>
        <vt:i4>5</vt:i4>
      </vt:variant>
      <vt:variant>
        <vt:lpwstr/>
      </vt:variant>
      <vt:variant>
        <vt:lpwstr>_Toc156569705</vt:lpwstr>
      </vt:variant>
      <vt:variant>
        <vt:i4>1966134</vt:i4>
      </vt:variant>
      <vt:variant>
        <vt:i4>824</vt:i4>
      </vt:variant>
      <vt:variant>
        <vt:i4>0</vt:i4>
      </vt:variant>
      <vt:variant>
        <vt:i4>5</vt:i4>
      </vt:variant>
      <vt:variant>
        <vt:lpwstr/>
      </vt:variant>
      <vt:variant>
        <vt:lpwstr>_Toc156569704</vt:lpwstr>
      </vt:variant>
      <vt:variant>
        <vt:i4>1966134</vt:i4>
      </vt:variant>
      <vt:variant>
        <vt:i4>818</vt:i4>
      </vt:variant>
      <vt:variant>
        <vt:i4>0</vt:i4>
      </vt:variant>
      <vt:variant>
        <vt:i4>5</vt:i4>
      </vt:variant>
      <vt:variant>
        <vt:lpwstr/>
      </vt:variant>
      <vt:variant>
        <vt:lpwstr>_Toc156569703</vt:lpwstr>
      </vt:variant>
      <vt:variant>
        <vt:i4>1966134</vt:i4>
      </vt:variant>
      <vt:variant>
        <vt:i4>812</vt:i4>
      </vt:variant>
      <vt:variant>
        <vt:i4>0</vt:i4>
      </vt:variant>
      <vt:variant>
        <vt:i4>5</vt:i4>
      </vt:variant>
      <vt:variant>
        <vt:lpwstr/>
      </vt:variant>
      <vt:variant>
        <vt:lpwstr>_Toc156569702</vt:lpwstr>
      </vt:variant>
      <vt:variant>
        <vt:i4>1966134</vt:i4>
      </vt:variant>
      <vt:variant>
        <vt:i4>806</vt:i4>
      </vt:variant>
      <vt:variant>
        <vt:i4>0</vt:i4>
      </vt:variant>
      <vt:variant>
        <vt:i4>5</vt:i4>
      </vt:variant>
      <vt:variant>
        <vt:lpwstr/>
      </vt:variant>
      <vt:variant>
        <vt:lpwstr>_Toc156569701</vt:lpwstr>
      </vt:variant>
      <vt:variant>
        <vt:i4>1966134</vt:i4>
      </vt:variant>
      <vt:variant>
        <vt:i4>800</vt:i4>
      </vt:variant>
      <vt:variant>
        <vt:i4>0</vt:i4>
      </vt:variant>
      <vt:variant>
        <vt:i4>5</vt:i4>
      </vt:variant>
      <vt:variant>
        <vt:lpwstr/>
      </vt:variant>
      <vt:variant>
        <vt:lpwstr>_Toc156569700</vt:lpwstr>
      </vt:variant>
      <vt:variant>
        <vt:i4>1507383</vt:i4>
      </vt:variant>
      <vt:variant>
        <vt:i4>794</vt:i4>
      </vt:variant>
      <vt:variant>
        <vt:i4>0</vt:i4>
      </vt:variant>
      <vt:variant>
        <vt:i4>5</vt:i4>
      </vt:variant>
      <vt:variant>
        <vt:lpwstr/>
      </vt:variant>
      <vt:variant>
        <vt:lpwstr>_Toc156569699</vt:lpwstr>
      </vt:variant>
      <vt:variant>
        <vt:i4>1507383</vt:i4>
      </vt:variant>
      <vt:variant>
        <vt:i4>788</vt:i4>
      </vt:variant>
      <vt:variant>
        <vt:i4>0</vt:i4>
      </vt:variant>
      <vt:variant>
        <vt:i4>5</vt:i4>
      </vt:variant>
      <vt:variant>
        <vt:lpwstr/>
      </vt:variant>
      <vt:variant>
        <vt:lpwstr>_Toc156569698</vt:lpwstr>
      </vt:variant>
      <vt:variant>
        <vt:i4>1507383</vt:i4>
      </vt:variant>
      <vt:variant>
        <vt:i4>782</vt:i4>
      </vt:variant>
      <vt:variant>
        <vt:i4>0</vt:i4>
      </vt:variant>
      <vt:variant>
        <vt:i4>5</vt:i4>
      </vt:variant>
      <vt:variant>
        <vt:lpwstr/>
      </vt:variant>
      <vt:variant>
        <vt:lpwstr>_Toc156569697</vt:lpwstr>
      </vt:variant>
      <vt:variant>
        <vt:i4>1507383</vt:i4>
      </vt:variant>
      <vt:variant>
        <vt:i4>776</vt:i4>
      </vt:variant>
      <vt:variant>
        <vt:i4>0</vt:i4>
      </vt:variant>
      <vt:variant>
        <vt:i4>5</vt:i4>
      </vt:variant>
      <vt:variant>
        <vt:lpwstr/>
      </vt:variant>
      <vt:variant>
        <vt:lpwstr>_Toc156569696</vt:lpwstr>
      </vt:variant>
      <vt:variant>
        <vt:i4>1507383</vt:i4>
      </vt:variant>
      <vt:variant>
        <vt:i4>770</vt:i4>
      </vt:variant>
      <vt:variant>
        <vt:i4>0</vt:i4>
      </vt:variant>
      <vt:variant>
        <vt:i4>5</vt:i4>
      </vt:variant>
      <vt:variant>
        <vt:lpwstr/>
      </vt:variant>
      <vt:variant>
        <vt:lpwstr>_Toc156569695</vt:lpwstr>
      </vt:variant>
      <vt:variant>
        <vt:i4>1507383</vt:i4>
      </vt:variant>
      <vt:variant>
        <vt:i4>764</vt:i4>
      </vt:variant>
      <vt:variant>
        <vt:i4>0</vt:i4>
      </vt:variant>
      <vt:variant>
        <vt:i4>5</vt:i4>
      </vt:variant>
      <vt:variant>
        <vt:lpwstr/>
      </vt:variant>
      <vt:variant>
        <vt:lpwstr>_Toc156569694</vt:lpwstr>
      </vt:variant>
      <vt:variant>
        <vt:i4>1507383</vt:i4>
      </vt:variant>
      <vt:variant>
        <vt:i4>758</vt:i4>
      </vt:variant>
      <vt:variant>
        <vt:i4>0</vt:i4>
      </vt:variant>
      <vt:variant>
        <vt:i4>5</vt:i4>
      </vt:variant>
      <vt:variant>
        <vt:lpwstr/>
      </vt:variant>
      <vt:variant>
        <vt:lpwstr>_Toc156569693</vt:lpwstr>
      </vt:variant>
      <vt:variant>
        <vt:i4>1507383</vt:i4>
      </vt:variant>
      <vt:variant>
        <vt:i4>752</vt:i4>
      </vt:variant>
      <vt:variant>
        <vt:i4>0</vt:i4>
      </vt:variant>
      <vt:variant>
        <vt:i4>5</vt:i4>
      </vt:variant>
      <vt:variant>
        <vt:lpwstr/>
      </vt:variant>
      <vt:variant>
        <vt:lpwstr>_Toc156569692</vt:lpwstr>
      </vt:variant>
      <vt:variant>
        <vt:i4>1507383</vt:i4>
      </vt:variant>
      <vt:variant>
        <vt:i4>746</vt:i4>
      </vt:variant>
      <vt:variant>
        <vt:i4>0</vt:i4>
      </vt:variant>
      <vt:variant>
        <vt:i4>5</vt:i4>
      </vt:variant>
      <vt:variant>
        <vt:lpwstr/>
      </vt:variant>
      <vt:variant>
        <vt:lpwstr>_Toc156569691</vt:lpwstr>
      </vt:variant>
      <vt:variant>
        <vt:i4>1507383</vt:i4>
      </vt:variant>
      <vt:variant>
        <vt:i4>740</vt:i4>
      </vt:variant>
      <vt:variant>
        <vt:i4>0</vt:i4>
      </vt:variant>
      <vt:variant>
        <vt:i4>5</vt:i4>
      </vt:variant>
      <vt:variant>
        <vt:lpwstr/>
      </vt:variant>
      <vt:variant>
        <vt:lpwstr>_Toc156569690</vt:lpwstr>
      </vt:variant>
      <vt:variant>
        <vt:i4>1441847</vt:i4>
      </vt:variant>
      <vt:variant>
        <vt:i4>734</vt:i4>
      </vt:variant>
      <vt:variant>
        <vt:i4>0</vt:i4>
      </vt:variant>
      <vt:variant>
        <vt:i4>5</vt:i4>
      </vt:variant>
      <vt:variant>
        <vt:lpwstr/>
      </vt:variant>
      <vt:variant>
        <vt:lpwstr>_Toc156569689</vt:lpwstr>
      </vt:variant>
      <vt:variant>
        <vt:i4>1441847</vt:i4>
      </vt:variant>
      <vt:variant>
        <vt:i4>728</vt:i4>
      </vt:variant>
      <vt:variant>
        <vt:i4>0</vt:i4>
      </vt:variant>
      <vt:variant>
        <vt:i4>5</vt:i4>
      </vt:variant>
      <vt:variant>
        <vt:lpwstr/>
      </vt:variant>
      <vt:variant>
        <vt:lpwstr>_Toc156569688</vt:lpwstr>
      </vt:variant>
      <vt:variant>
        <vt:i4>1441847</vt:i4>
      </vt:variant>
      <vt:variant>
        <vt:i4>722</vt:i4>
      </vt:variant>
      <vt:variant>
        <vt:i4>0</vt:i4>
      </vt:variant>
      <vt:variant>
        <vt:i4>5</vt:i4>
      </vt:variant>
      <vt:variant>
        <vt:lpwstr/>
      </vt:variant>
      <vt:variant>
        <vt:lpwstr>_Toc156569687</vt:lpwstr>
      </vt:variant>
      <vt:variant>
        <vt:i4>1441847</vt:i4>
      </vt:variant>
      <vt:variant>
        <vt:i4>716</vt:i4>
      </vt:variant>
      <vt:variant>
        <vt:i4>0</vt:i4>
      </vt:variant>
      <vt:variant>
        <vt:i4>5</vt:i4>
      </vt:variant>
      <vt:variant>
        <vt:lpwstr/>
      </vt:variant>
      <vt:variant>
        <vt:lpwstr>_Toc156569686</vt:lpwstr>
      </vt:variant>
      <vt:variant>
        <vt:i4>1441847</vt:i4>
      </vt:variant>
      <vt:variant>
        <vt:i4>710</vt:i4>
      </vt:variant>
      <vt:variant>
        <vt:i4>0</vt:i4>
      </vt:variant>
      <vt:variant>
        <vt:i4>5</vt:i4>
      </vt:variant>
      <vt:variant>
        <vt:lpwstr/>
      </vt:variant>
      <vt:variant>
        <vt:lpwstr>_Toc156569685</vt:lpwstr>
      </vt:variant>
      <vt:variant>
        <vt:i4>1441847</vt:i4>
      </vt:variant>
      <vt:variant>
        <vt:i4>704</vt:i4>
      </vt:variant>
      <vt:variant>
        <vt:i4>0</vt:i4>
      </vt:variant>
      <vt:variant>
        <vt:i4>5</vt:i4>
      </vt:variant>
      <vt:variant>
        <vt:lpwstr/>
      </vt:variant>
      <vt:variant>
        <vt:lpwstr>_Toc156569684</vt:lpwstr>
      </vt:variant>
      <vt:variant>
        <vt:i4>1441847</vt:i4>
      </vt:variant>
      <vt:variant>
        <vt:i4>698</vt:i4>
      </vt:variant>
      <vt:variant>
        <vt:i4>0</vt:i4>
      </vt:variant>
      <vt:variant>
        <vt:i4>5</vt:i4>
      </vt:variant>
      <vt:variant>
        <vt:lpwstr/>
      </vt:variant>
      <vt:variant>
        <vt:lpwstr>_Toc156569683</vt:lpwstr>
      </vt:variant>
      <vt:variant>
        <vt:i4>1441847</vt:i4>
      </vt:variant>
      <vt:variant>
        <vt:i4>692</vt:i4>
      </vt:variant>
      <vt:variant>
        <vt:i4>0</vt:i4>
      </vt:variant>
      <vt:variant>
        <vt:i4>5</vt:i4>
      </vt:variant>
      <vt:variant>
        <vt:lpwstr/>
      </vt:variant>
      <vt:variant>
        <vt:lpwstr>_Toc156569682</vt:lpwstr>
      </vt:variant>
      <vt:variant>
        <vt:i4>1441847</vt:i4>
      </vt:variant>
      <vt:variant>
        <vt:i4>686</vt:i4>
      </vt:variant>
      <vt:variant>
        <vt:i4>0</vt:i4>
      </vt:variant>
      <vt:variant>
        <vt:i4>5</vt:i4>
      </vt:variant>
      <vt:variant>
        <vt:lpwstr/>
      </vt:variant>
      <vt:variant>
        <vt:lpwstr>_Toc156569681</vt:lpwstr>
      </vt:variant>
      <vt:variant>
        <vt:i4>1441847</vt:i4>
      </vt:variant>
      <vt:variant>
        <vt:i4>680</vt:i4>
      </vt:variant>
      <vt:variant>
        <vt:i4>0</vt:i4>
      </vt:variant>
      <vt:variant>
        <vt:i4>5</vt:i4>
      </vt:variant>
      <vt:variant>
        <vt:lpwstr/>
      </vt:variant>
      <vt:variant>
        <vt:lpwstr>_Toc156569680</vt:lpwstr>
      </vt:variant>
      <vt:variant>
        <vt:i4>1638455</vt:i4>
      </vt:variant>
      <vt:variant>
        <vt:i4>674</vt:i4>
      </vt:variant>
      <vt:variant>
        <vt:i4>0</vt:i4>
      </vt:variant>
      <vt:variant>
        <vt:i4>5</vt:i4>
      </vt:variant>
      <vt:variant>
        <vt:lpwstr/>
      </vt:variant>
      <vt:variant>
        <vt:lpwstr>_Toc156569679</vt:lpwstr>
      </vt:variant>
      <vt:variant>
        <vt:i4>1638455</vt:i4>
      </vt:variant>
      <vt:variant>
        <vt:i4>668</vt:i4>
      </vt:variant>
      <vt:variant>
        <vt:i4>0</vt:i4>
      </vt:variant>
      <vt:variant>
        <vt:i4>5</vt:i4>
      </vt:variant>
      <vt:variant>
        <vt:lpwstr/>
      </vt:variant>
      <vt:variant>
        <vt:lpwstr>_Toc156569678</vt:lpwstr>
      </vt:variant>
      <vt:variant>
        <vt:i4>1638455</vt:i4>
      </vt:variant>
      <vt:variant>
        <vt:i4>662</vt:i4>
      </vt:variant>
      <vt:variant>
        <vt:i4>0</vt:i4>
      </vt:variant>
      <vt:variant>
        <vt:i4>5</vt:i4>
      </vt:variant>
      <vt:variant>
        <vt:lpwstr/>
      </vt:variant>
      <vt:variant>
        <vt:lpwstr>_Toc156569677</vt:lpwstr>
      </vt:variant>
      <vt:variant>
        <vt:i4>1638455</vt:i4>
      </vt:variant>
      <vt:variant>
        <vt:i4>656</vt:i4>
      </vt:variant>
      <vt:variant>
        <vt:i4>0</vt:i4>
      </vt:variant>
      <vt:variant>
        <vt:i4>5</vt:i4>
      </vt:variant>
      <vt:variant>
        <vt:lpwstr/>
      </vt:variant>
      <vt:variant>
        <vt:lpwstr>_Toc156569676</vt:lpwstr>
      </vt:variant>
      <vt:variant>
        <vt:i4>1638455</vt:i4>
      </vt:variant>
      <vt:variant>
        <vt:i4>650</vt:i4>
      </vt:variant>
      <vt:variant>
        <vt:i4>0</vt:i4>
      </vt:variant>
      <vt:variant>
        <vt:i4>5</vt:i4>
      </vt:variant>
      <vt:variant>
        <vt:lpwstr/>
      </vt:variant>
      <vt:variant>
        <vt:lpwstr>_Toc156569675</vt:lpwstr>
      </vt:variant>
      <vt:variant>
        <vt:i4>1638455</vt:i4>
      </vt:variant>
      <vt:variant>
        <vt:i4>644</vt:i4>
      </vt:variant>
      <vt:variant>
        <vt:i4>0</vt:i4>
      </vt:variant>
      <vt:variant>
        <vt:i4>5</vt:i4>
      </vt:variant>
      <vt:variant>
        <vt:lpwstr/>
      </vt:variant>
      <vt:variant>
        <vt:lpwstr>_Toc156569674</vt:lpwstr>
      </vt:variant>
      <vt:variant>
        <vt:i4>1638455</vt:i4>
      </vt:variant>
      <vt:variant>
        <vt:i4>638</vt:i4>
      </vt:variant>
      <vt:variant>
        <vt:i4>0</vt:i4>
      </vt:variant>
      <vt:variant>
        <vt:i4>5</vt:i4>
      </vt:variant>
      <vt:variant>
        <vt:lpwstr/>
      </vt:variant>
      <vt:variant>
        <vt:lpwstr>_Toc156569673</vt:lpwstr>
      </vt:variant>
      <vt:variant>
        <vt:i4>1638455</vt:i4>
      </vt:variant>
      <vt:variant>
        <vt:i4>632</vt:i4>
      </vt:variant>
      <vt:variant>
        <vt:i4>0</vt:i4>
      </vt:variant>
      <vt:variant>
        <vt:i4>5</vt:i4>
      </vt:variant>
      <vt:variant>
        <vt:lpwstr/>
      </vt:variant>
      <vt:variant>
        <vt:lpwstr>_Toc156569672</vt:lpwstr>
      </vt:variant>
      <vt:variant>
        <vt:i4>1638455</vt:i4>
      </vt:variant>
      <vt:variant>
        <vt:i4>626</vt:i4>
      </vt:variant>
      <vt:variant>
        <vt:i4>0</vt:i4>
      </vt:variant>
      <vt:variant>
        <vt:i4>5</vt:i4>
      </vt:variant>
      <vt:variant>
        <vt:lpwstr/>
      </vt:variant>
      <vt:variant>
        <vt:lpwstr>_Toc156569671</vt:lpwstr>
      </vt:variant>
      <vt:variant>
        <vt:i4>1638455</vt:i4>
      </vt:variant>
      <vt:variant>
        <vt:i4>620</vt:i4>
      </vt:variant>
      <vt:variant>
        <vt:i4>0</vt:i4>
      </vt:variant>
      <vt:variant>
        <vt:i4>5</vt:i4>
      </vt:variant>
      <vt:variant>
        <vt:lpwstr/>
      </vt:variant>
      <vt:variant>
        <vt:lpwstr>_Toc156569670</vt:lpwstr>
      </vt:variant>
      <vt:variant>
        <vt:i4>1572919</vt:i4>
      </vt:variant>
      <vt:variant>
        <vt:i4>614</vt:i4>
      </vt:variant>
      <vt:variant>
        <vt:i4>0</vt:i4>
      </vt:variant>
      <vt:variant>
        <vt:i4>5</vt:i4>
      </vt:variant>
      <vt:variant>
        <vt:lpwstr/>
      </vt:variant>
      <vt:variant>
        <vt:lpwstr>_Toc156569669</vt:lpwstr>
      </vt:variant>
      <vt:variant>
        <vt:i4>1572919</vt:i4>
      </vt:variant>
      <vt:variant>
        <vt:i4>608</vt:i4>
      </vt:variant>
      <vt:variant>
        <vt:i4>0</vt:i4>
      </vt:variant>
      <vt:variant>
        <vt:i4>5</vt:i4>
      </vt:variant>
      <vt:variant>
        <vt:lpwstr/>
      </vt:variant>
      <vt:variant>
        <vt:lpwstr>_Toc156569668</vt:lpwstr>
      </vt:variant>
      <vt:variant>
        <vt:i4>1572919</vt:i4>
      </vt:variant>
      <vt:variant>
        <vt:i4>602</vt:i4>
      </vt:variant>
      <vt:variant>
        <vt:i4>0</vt:i4>
      </vt:variant>
      <vt:variant>
        <vt:i4>5</vt:i4>
      </vt:variant>
      <vt:variant>
        <vt:lpwstr/>
      </vt:variant>
      <vt:variant>
        <vt:lpwstr>_Toc156569667</vt:lpwstr>
      </vt:variant>
      <vt:variant>
        <vt:i4>1572919</vt:i4>
      </vt:variant>
      <vt:variant>
        <vt:i4>596</vt:i4>
      </vt:variant>
      <vt:variant>
        <vt:i4>0</vt:i4>
      </vt:variant>
      <vt:variant>
        <vt:i4>5</vt:i4>
      </vt:variant>
      <vt:variant>
        <vt:lpwstr/>
      </vt:variant>
      <vt:variant>
        <vt:lpwstr>_Toc156569666</vt:lpwstr>
      </vt:variant>
      <vt:variant>
        <vt:i4>1572919</vt:i4>
      </vt:variant>
      <vt:variant>
        <vt:i4>590</vt:i4>
      </vt:variant>
      <vt:variant>
        <vt:i4>0</vt:i4>
      </vt:variant>
      <vt:variant>
        <vt:i4>5</vt:i4>
      </vt:variant>
      <vt:variant>
        <vt:lpwstr/>
      </vt:variant>
      <vt:variant>
        <vt:lpwstr>_Toc156569665</vt:lpwstr>
      </vt:variant>
      <vt:variant>
        <vt:i4>1572919</vt:i4>
      </vt:variant>
      <vt:variant>
        <vt:i4>584</vt:i4>
      </vt:variant>
      <vt:variant>
        <vt:i4>0</vt:i4>
      </vt:variant>
      <vt:variant>
        <vt:i4>5</vt:i4>
      </vt:variant>
      <vt:variant>
        <vt:lpwstr/>
      </vt:variant>
      <vt:variant>
        <vt:lpwstr>_Toc156569664</vt:lpwstr>
      </vt:variant>
      <vt:variant>
        <vt:i4>1572919</vt:i4>
      </vt:variant>
      <vt:variant>
        <vt:i4>578</vt:i4>
      </vt:variant>
      <vt:variant>
        <vt:i4>0</vt:i4>
      </vt:variant>
      <vt:variant>
        <vt:i4>5</vt:i4>
      </vt:variant>
      <vt:variant>
        <vt:lpwstr/>
      </vt:variant>
      <vt:variant>
        <vt:lpwstr>_Toc156569663</vt:lpwstr>
      </vt:variant>
      <vt:variant>
        <vt:i4>1572919</vt:i4>
      </vt:variant>
      <vt:variant>
        <vt:i4>572</vt:i4>
      </vt:variant>
      <vt:variant>
        <vt:i4>0</vt:i4>
      </vt:variant>
      <vt:variant>
        <vt:i4>5</vt:i4>
      </vt:variant>
      <vt:variant>
        <vt:lpwstr/>
      </vt:variant>
      <vt:variant>
        <vt:lpwstr>_Toc156569662</vt:lpwstr>
      </vt:variant>
      <vt:variant>
        <vt:i4>1572919</vt:i4>
      </vt:variant>
      <vt:variant>
        <vt:i4>566</vt:i4>
      </vt:variant>
      <vt:variant>
        <vt:i4>0</vt:i4>
      </vt:variant>
      <vt:variant>
        <vt:i4>5</vt:i4>
      </vt:variant>
      <vt:variant>
        <vt:lpwstr/>
      </vt:variant>
      <vt:variant>
        <vt:lpwstr>_Toc156569661</vt:lpwstr>
      </vt:variant>
      <vt:variant>
        <vt:i4>1572919</vt:i4>
      </vt:variant>
      <vt:variant>
        <vt:i4>560</vt:i4>
      </vt:variant>
      <vt:variant>
        <vt:i4>0</vt:i4>
      </vt:variant>
      <vt:variant>
        <vt:i4>5</vt:i4>
      </vt:variant>
      <vt:variant>
        <vt:lpwstr/>
      </vt:variant>
      <vt:variant>
        <vt:lpwstr>_Toc156569660</vt:lpwstr>
      </vt:variant>
      <vt:variant>
        <vt:i4>1769527</vt:i4>
      </vt:variant>
      <vt:variant>
        <vt:i4>554</vt:i4>
      </vt:variant>
      <vt:variant>
        <vt:i4>0</vt:i4>
      </vt:variant>
      <vt:variant>
        <vt:i4>5</vt:i4>
      </vt:variant>
      <vt:variant>
        <vt:lpwstr/>
      </vt:variant>
      <vt:variant>
        <vt:lpwstr>_Toc156569659</vt:lpwstr>
      </vt:variant>
      <vt:variant>
        <vt:i4>1769527</vt:i4>
      </vt:variant>
      <vt:variant>
        <vt:i4>548</vt:i4>
      </vt:variant>
      <vt:variant>
        <vt:i4>0</vt:i4>
      </vt:variant>
      <vt:variant>
        <vt:i4>5</vt:i4>
      </vt:variant>
      <vt:variant>
        <vt:lpwstr/>
      </vt:variant>
      <vt:variant>
        <vt:lpwstr>_Toc156569658</vt:lpwstr>
      </vt:variant>
      <vt:variant>
        <vt:i4>1769527</vt:i4>
      </vt:variant>
      <vt:variant>
        <vt:i4>542</vt:i4>
      </vt:variant>
      <vt:variant>
        <vt:i4>0</vt:i4>
      </vt:variant>
      <vt:variant>
        <vt:i4>5</vt:i4>
      </vt:variant>
      <vt:variant>
        <vt:lpwstr/>
      </vt:variant>
      <vt:variant>
        <vt:lpwstr>_Toc156569657</vt:lpwstr>
      </vt:variant>
      <vt:variant>
        <vt:i4>1769527</vt:i4>
      </vt:variant>
      <vt:variant>
        <vt:i4>536</vt:i4>
      </vt:variant>
      <vt:variant>
        <vt:i4>0</vt:i4>
      </vt:variant>
      <vt:variant>
        <vt:i4>5</vt:i4>
      </vt:variant>
      <vt:variant>
        <vt:lpwstr/>
      </vt:variant>
      <vt:variant>
        <vt:lpwstr>_Toc156569656</vt:lpwstr>
      </vt:variant>
      <vt:variant>
        <vt:i4>1769527</vt:i4>
      </vt:variant>
      <vt:variant>
        <vt:i4>530</vt:i4>
      </vt:variant>
      <vt:variant>
        <vt:i4>0</vt:i4>
      </vt:variant>
      <vt:variant>
        <vt:i4>5</vt:i4>
      </vt:variant>
      <vt:variant>
        <vt:lpwstr/>
      </vt:variant>
      <vt:variant>
        <vt:lpwstr>_Toc156569655</vt:lpwstr>
      </vt:variant>
      <vt:variant>
        <vt:i4>1769527</vt:i4>
      </vt:variant>
      <vt:variant>
        <vt:i4>524</vt:i4>
      </vt:variant>
      <vt:variant>
        <vt:i4>0</vt:i4>
      </vt:variant>
      <vt:variant>
        <vt:i4>5</vt:i4>
      </vt:variant>
      <vt:variant>
        <vt:lpwstr/>
      </vt:variant>
      <vt:variant>
        <vt:lpwstr>_Toc156569654</vt:lpwstr>
      </vt:variant>
      <vt:variant>
        <vt:i4>1769527</vt:i4>
      </vt:variant>
      <vt:variant>
        <vt:i4>518</vt:i4>
      </vt:variant>
      <vt:variant>
        <vt:i4>0</vt:i4>
      </vt:variant>
      <vt:variant>
        <vt:i4>5</vt:i4>
      </vt:variant>
      <vt:variant>
        <vt:lpwstr/>
      </vt:variant>
      <vt:variant>
        <vt:lpwstr>_Toc156569653</vt:lpwstr>
      </vt:variant>
      <vt:variant>
        <vt:i4>1769527</vt:i4>
      </vt:variant>
      <vt:variant>
        <vt:i4>512</vt:i4>
      </vt:variant>
      <vt:variant>
        <vt:i4>0</vt:i4>
      </vt:variant>
      <vt:variant>
        <vt:i4>5</vt:i4>
      </vt:variant>
      <vt:variant>
        <vt:lpwstr/>
      </vt:variant>
      <vt:variant>
        <vt:lpwstr>_Toc156569652</vt:lpwstr>
      </vt:variant>
      <vt:variant>
        <vt:i4>1769527</vt:i4>
      </vt:variant>
      <vt:variant>
        <vt:i4>506</vt:i4>
      </vt:variant>
      <vt:variant>
        <vt:i4>0</vt:i4>
      </vt:variant>
      <vt:variant>
        <vt:i4>5</vt:i4>
      </vt:variant>
      <vt:variant>
        <vt:lpwstr/>
      </vt:variant>
      <vt:variant>
        <vt:lpwstr>_Toc156569651</vt:lpwstr>
      </vt:variant>
      <vt:variant>
        <vt:i4>1769527</vt:i4>
      </vt:variant>
      <vt:variant>
        <vt:i4>500</vt:i4>
      </vt:variant>
      <vt:variant>
        <vt:i4>0</vt:i4>
      </vt:variant>
      <vt:variant>
        <vt:i4>5</vt:i4>
      </vt:variant>
      <vt:variant>
        <vt:lpwstr/>
      </vt:variant>
      <vt:variant>
        <vt:lpwstr>_Toc156569650</vt:lpwstr>
      </vt:variant>
      <vt:variant>
        <vt:i4>1703991</vt:i4>
      </vt:variant>
      <vt:variant>
        <vt:i4>494</vt:i4>
      </vt:variant>
      <vt:variant>
        <vt:i4>0</vt:i4>
      </vt:variant>
      <vt:variant>
        <vt:i4>5</vt:i4>
      </vt:variant>
      <vt:variant>
        <vt:lpwstr/>
      </vt:variant>
      <vt:variant>
        <vt:lpwstr>_Toc156569649</vt:lpwstr>
      </vt:variant>
      <vt:variant>
        <vt:i4>1703991</vt:i4>
      </vt:variant>
      <vt:variant>
        <vt:i4>488</vt:i4>
      </vt:variant>
      <vt:variant>
        <vt:i4>0</vt:i4>
      </vt:variant>
      <vt:variant>
        <vt:i4>5</vt:i4>
      </vt:variant>
      <vt:variant>
        <vt:lpwstr/>
      </vt:variant>
      <vt:variant>
        <vt:lpwstr>_Toc156569648</vt:lpwstr>
      </vt:variant>
      <vt:variant>
        <vt:i4>1703991</vt:i4>
      </vt:variant>
      <vt:variant>
        <vt:i4>482</vt:i4>
      </vt:variant>
      <vt:variant>
        <vt:i4>0</vt:i4>
      </vt:variant>
      <vt:variant>
        <vt:i4>5</vt:i4>
      </vt:variant>
      <vt:variant>
        <vt:lpwstr/>
      </vt:variant>
      <vt:variant>
        <vt:lpwstr>_Toc156569647</vt:lpwstr>
      </vt:variant>
      <vt:variant>
        <vt:i4>1703991</vt:i4>
      </vt:variant>
      <vt:variant>
        <vt:i4>476</vt:i4>
      </vt:variant>
      <vt:variant>
        <vt:i4>0</vt:i4>
      </vt:variant>
      <vt:variant>
        <vt:i4>5</vt:i4>
      </vt:variant>
      <vt:variant>
        <vt:lpwstr/>
      </vt:variant>
      <vt:variant>
        <vt:lpwstr>_Toc156569646</vt:lpwstr>
      </vt:variant>
      <vt:variant>
        <vt:i4>1703991</vt:i4>
      </vt:variant>
      <vt:variant>
        <vt:i4>470</vt:i4>
      </vt:variant>
      <vt:variant>
        <vt:i4>0</vt:i4>
      </vt:variant>
      <vt:variant>
        <vt:i4>5</vt:i4>
      </vt:variant>
      <vt:variant>
        <vt:lpwstr/>
      </vt:variant>
      <vt:variant>
        <vt:lpwstr>_Toc156569645</vt:lpwstr>
      </vt:variant>
      <vt:variant>
        <vt:i4>1703991</vt:i4>
      </vt:variant>
      <vt:variant>
        <vt:i4>464</vt:i4>
      </vt:variant>
      <vt:variant>
        <vt:i4>0</vt:i4>
      </vt:variant>
      <vt:variant>
        <vt:i4>5</vt:i4>
      </vt:variant>
      <vt:variant>
        <vt:lpwstr/>
      </vt:variant>
      <vt:variant>
        <vt:lpwstr>_Toc156569644</vt:lpwstr>
      </vt:variant>
      <vt:variant>
        <vt:i4>1703991</vt:i4>
      </vt:variant>
      <vt:variant>
        <vt:i4>458</vt:i4>
      </vt:variant>
      <vt:variant>
        <vt:i4>0</vt:i4>
      </vt:variant>
      <vt:variant>
        <vt:i4>5</vt:i4>
      </vt:variant>
      <vt:variant>
        <vt:lpwstr/>
      </vt:variant>
      <vt:variant>
        <vt:lpwstr>_Toc156569643</vt:lpwstr>
      </vt:variant>
      <vt:variant>
        <vt:i4>1703991</vt:i4>
      </vt:variant>
      <vt:variant>
        <vt:i4>452</vt:i4>
      </vt:variant>
      <vt:variant>
        <vt:i4>0</vt:i4>
      </vt:variant>
      <vt:variant>
        <vt:i4>5</vt:i4>
      </vt:variant>
      <vt:variant>
        <vt:lpwstr/>
      </vt:variant>
      <vt:variant>
        <vt:lpwstr>_Toc156569642</vt:lpwstr>
      </vt:variant>
      <vt:variant>
        <vt:i4>1703991</vt:i4>
      </vt:variant>
      <vt:variant>
        <vt:i4>446</vt:i4>
      </vt:variant>
      <vt:variant>
        <vt:i4>0</vt:i4>
      </vt:variant>
      <vt:variant>
        <vt:i4>5</vt:i4>
      </vt:variant>
      <vt:variant>
        <vt:lpwstr/>
      </vt:variant>
      <vt:variant>
        <vt:lpwstr>_Toc156569641</vt:lpwstr>
      </vt:variant>
      <vt:variant>
        <vt:i4>1703991</vt:i4>
      </vt:variant>
      <vt:variant>
        <vt:i4>440</vt:i4>
      </vt:variant>
      <vt:variant>
        <vt:i4>0</vt:i4>
      </vt:variant>
      <vt:variant>
        <vt:i4>5</vt:i4>
      </vt:variant>
      <vt:variant>
        <vt:lpwstr/>
      </vt:variant>
      <vt:variant>
        <vt:lpwstr>_Toc156569640</vt:lpwstr>
      </vt:variant>
      <vt:variant>
        <vt:i4>1900599</vt:i4>
      </vt:variant>
      <vt:variant>
        <vt:i4>434</vt:i4>
      </vt:variant>
      <vt:variant>
        <vt:i4>0</vt:i4>
      </vt:variant>
      <vt:variant>
        <vt:i4>5</vt:i4>
      </vt:variant>
      <vt:variant>
        <vt:lpwstr/>
      </vt:variant>
      <vt:variant>
        <vt:lpwstr>_Toc156569639</vt:lpwstr>
      </vt:variant>
      <vt:variant>
        <vt:i4>1900599</vt:i4>
      </vt:variant>
      <vt:variant>
        <vt:i4>428</vt:i4>
      </vt:variant>
      <vt:variant>
        <vt:i4>0</vt:i4>
      </vt:variant>
      <vt:variant>
        <vt:i4>5</vt:i4>
      </vt:variant>
      <vt:variant>
        <vt:lpwstr/>
      </vt:variant>
      <vt:variant>
        <vt:lpwstr>_Toc156569638</vt:lpwstr>
      </vt:variant>
      <vt:variant>
        <vt:i4>1900599</vt:i4>
      </vt:variant>
      <vt:variant>
        <vt:i4>422</vt:i4>
      </vt:variant>
      <vt:variant>
        <vt:i4>0</vt:i4>
      </vt:variant>
      <vt:variant>
        <vt:i4>5</vt:i4>
      </vt:variant>
      <vt:variant>
        <vt:lpwstr/>
      </vt:variant>
      <vt:variant>
        <vt:lpwstr>_Toc156569637</vt:lpwstr>
      </vt:variant>
      <vt:variant>
        <vt:i4>1900599</vt:i4>
      </vt:variant>
      <vt:variant>
        <vt:i4>416</vt:i4>
      </vt:variant>
      <vt:variant>
        <vt:i4>0</vt:i4>
      </vt:variant>
      <vt:variant>
        <vt:i4>5</vt:i4>
      </vt:variant>
      <vt:variant>
        <vt:lpwstr/>
      </vt:variant>
      <vt:variant>
        <vt:lpwstr>_Toc156569636</vt:lpwstr>
      </vt:variant>
      <vt:variant>
        <vt:i4>1900599</vt:i4>
      </vt:variant>
      <vt:variant>
        <vt:i4>410</vt:i4>
      </vt:variant>
      <vt:variant>
        <vt:i4>0</vt:i4>
      </vt:variant>
      <vt:variant>
        <vt:i4>5</vt:i4>
      </vt:variant>
      <vt:variant>
        <vt:lpwstr/>
      </vt:variant>
      <vt:variant>
        <vt:lpwstr>_Toc156569635</vt:lpwstr>
      </vt:variant>
      <vt:variant>
        <vt:i4>1900599</vt:i4>
      </vt:variant>
      <vt:variant>
        <vt:i4>404</vt:i4>
      </vt:variant>
      <vt:variant>
        <vt:i4>0</vt:i4>
      </vt:variant>
      <vt:variant>
        <vt:i4>5</vt:i4>
      </vt:variant>
      <vt:variant>
        <vt:lpwstr/>
      </vt:variant>
      <vt:variant>
        <vt:lpwstr>_Toc156569634</vt:lpwstr>
      </vt:variant>
      <vt:variant>
        <vt:i4>1900599</vt:i4>
      </vt:variant>
      <vt:variant>
        <vt:i4>398</vt:i4>
      </vt:variant>
      <vt:variant>
        <vt:i4>0</vt:i4>
      </vt:variant>
      <vt:variant>
        <vt:i4>5</vt:i4>
      </vt:variant>
      <vt:variant>
        <vt:lpwstr/>
      </vt:variant>
      <vt:variant>
        <vt:lpwstr>_Toc156569633</vt:lpwstr>
      </vt:variant>
      <vt:variant>
        <vt:i4>1900599</vt:i4>
      </vt:variant>
      <vt:variant>
        <vt:i4>392</vt:i4>
      </vt:variant>
      <vt:variant>
        <vt:i4>0</vt:i4>
      </vt:variant>
      <vt:variant>
        <vt:i4>5</vt:i4>
      </vt:variant>
      <vt:variant>
        <vt:lpwstr/>
      </vt:variant>
      <vt:variant>
        <vt:lpwstr>_Toc156569632</vt:lpwstr>
      </vt:variant>
      <vt:variant>
        <vt:i4>1900599</vt:i4>
      </vt:variant>
      <vt:variant>
        <vt:i4>386</vt:i4>
      </vt:variant>
      <vt:variant>
        <vt:i4>0</vt:i4>
      </vt:variant>
      <vt:variant>
        <vt:i4>5</vt:i4>
      </vt:variant>
      <vt:variant>
        <vt:lpwstr/>
      </vt:variant>
      <vt:variant>
        <vt:lpwstr>_Toc156569631</vt:lpwstr>
      </vt:variant>
      <vt:variant>
        <vt:i4>1900599</vt:i4>
      </vt:variant>
      <vt:variant>
        <vt:i4>380</vt:i4>
      </vt:variant>
      <vt:variant>
        <vt:i4>0</vt:i4>
      </vt:variant>
      <vt:variant>
        <vt:i4>5</vt:i4>
      </vt:variant>
      <vt:variant>
        <vt:lpwstr/>
      </vt:variant>
      <vt:variant>
        <vt:lpwstr>_Toc156569630</vt:lpwstr>
      </vt:variant>
      <vt:variant>
        <vt:i4>1835063</vt:i4>
      </vt:variant>
      <vt:variant>
        <vt:i4>374</vt:i4>
      </vt:variant>
      <vt:variant>
        <vt:i4>0</vt:i4>
      </vt:variant>
      <vt:variant>
        <vt:i4>5</vt:i4>
      </vt:variant>
      <vt:variant>
        <vt:lpwstr/>
      </vt:variant>
      <vt:variant>
        <vt:lpwstr>_Toc156569629</vt:lpwstr>
      </vt:variant>
      <vt:variant>
        <vt:i4>1835063</vt:i4>
      </vt:variant>
      <vt:variant>
        <vt:i4>368</vt:i4>
      </vt:variant>
      <vt:variant>
        <vt:i4>0</vt:i4>
      </vt:variant>
      <vt:variant>
        <vt:i4>5</vt:i4>
      </vt:variant>
      <vt:variant>
        <vt:lpwstr/>
      </vt:variant>
      <vt:variant>
        <vt:lpwstr>_Toc156569628</vt:lpwstr>
      </vt:variant>
      <vt:variant>
        <vt:i4>1835063</vt:i4>
      </vt:variant>
      <vt:variant>
        <vt:i4>362</vt:i4>
      </vt:variant>
      <vt:variant>
        <vt:i4>0</vt:i4>
      </vt:variant>
      <vt:variant>
        <vt:i4>5</vt:i4>
      </vt:variant>
      <vt:variant>
        <vt:lpwstr/>
      </vt:variant>
      <vt:variant>
        <vt:lpwstr>_Toc156569627</vt:lpwstr>
      </vt:variant>
      <vt:variant>
        <vt:i4>1835063</vt:i4>
      </vt:variant>
      <vt:variant>
        <vt:i4>356</vt:i4>
      </vt:variant>
      <vt:variant>
        <vt:i4>0</vt:i4>
      </vt:variant>
      <vt:variant>
        <vt:i4>5</vt:i4>
      </vt:variant>
      <vt:variant>
        <vt:lpwstr/>
      </vt:variant>
      <vt:variant>
        <vt:lpwstr>_Toc156569626</vt:lpwstr>
      </vt:variant>
      <vt:variant>
        <vt:i4>1835063</vt:i4>
      </vt:variant>
      <vt:variant>
        <vt:i4>350</vt:i4>
      </vt:variant>
      <vt:variant>
        <vt:i4>0</vt:i4>
      </vt:variant>
      <vt:variant>
        <vt:i4>5</vt:i4>
      </vt:variant>
      <vt:variant>
        <vt:lpwstr/>
      </vt:variant>
      <vt:variant>
        <vt:lpwstr>_Toc156569625</vt:lpwstr>
      </vt:variant>
      <vt:variant>
        <vt:i4>1835063</vt:i4>
      </vt:variant>
      <vt:variant>
        <vt:i4>344</vt:i4>
      </vt:variant>
      <vt:variant>
        <vt:i4>0</vt:i4>
      </vt:variant>
      <vt:variant>
        <vt:i4>5</vt:i4>
      </vt:variant>
      <vt:variant>
        <vt:lpwstr/>
      </vt:variant>
      <vt:variant>
        <vt:lpwstr>_Toc156569624</vt:lpwstr>
      </vt:variant>
      <vt:variant>
        <vt:i4>1835063</vt:i4>
      </vt:variant>
      <vt:variant>
        <vt:i4>338</vt:i4>
      </vt:variant>
      <vt:variant>
        <vt:i4>0</vt:i4>
      </vt:variant>
      <vt:variant>
        <vt:i4>5</vt:i4>
      </vt:variant>
      <vt:variant>
        <vt:lpwstr/>
      </vt:variant>
      <vt:variant>
        <vt:lpwstr>_Toc156569623</vt:lpwstr>
      </vt:variant>
      <vt:variant>
        <vt:i4>1835063</vt:i4>
      </vt:variant>
      <vt:variant>
        <vt:i4>332</vt:i4>
      </vt:variant>
      <vt:variant>
        <vt:i4>0</vt:i4>
      </vt:variant>
      <vt:variant>
        <vt:i4>5</vt:i4>
      </vt:variant>
      <vt:variant>
        <vt:lpwstr/>
      </vt:variant>
      <vt:variant>
        <vt:lpwstr>_Toc156569622</vt:lpwstr>
      </vt:variant>
      <vt:variant>
        <vt:i4>1835063</vt:i4>
      </vt:variant>
      <vt:variant>
        <vt:i4>326</vt:i4>
      </vt:variant>
      <vt:variant>
        <vt:i4>0</vt:i4>
      </vt:variant>
      <vt:variant>
        <vt:i4>5</vt:i4>
      </vt:variant>
      <vt:variant>
        <vt:lpwstr/>
      </vt:variant>
      <vt:variant>
        <vt:lpwstr>_Toc156569621</vt:lpwstr>
      </vt:variant>
      <vt:variant>
        <vt:i4>1835063</vt:i4>
      </vt:variant>
      <vt:variant>
        <vt:i4>320</vt:i4>
      </vt:variant>
      <vt:variant>
        <vt:i4>0</vt:i4>
      </vt:variant>
      <vt:variant>
        <vt:i4>5</vt:i4>
      </vt:variant>
      <vt:variant>
        <vt:lpwstr/>
      </vt:variant>
      <vt:variant>
        <vt:lpwstr>_Toc156569620</vt:lpwstr>
      </vt:variant>
      <vt:variant>
        <vt:i4>2031671</vt:i4>
      </vt:variant>
      <vt:variant>
        <vt:i4>314</vt:i4>
      </vt:variant>
      <vt:variant>
        <vt:i4>0</vt:i4>
      </vt:variant>
      <vt:variant>
        <vt:i4>5</vt:i4>
      </vt:variant>
      <vt:variant>
        <vt:lpwstr/>
      </vt:variant>
      <vt:variant>
        <vt:lpwstr>_Toc156569619</vt:lpwstr>
      </vt:variant>
      <vt:variant>
        <vt:i4>2031671</vt:i4>
      </vt:variant>
      <vt:variant>
        <vt:i4>308</vt:i4>
      </vt:variant>
      <vt:variant>
        <vt:i4>0</vt:i4>
      </vt:variant>
      <vt:variant>
        <vt:i4>5</vt:i4>
      </vt:variant>
      <vt:variant>
        <vt:lpwstr/>
      </vt:variant>
      <vt:variant>
        <vt:lpwstr>_Toc156569618</vt:lpwstr>
      </vt:variant>
      <vt:variant>
        <vt:i4>2031671</vt:i4>
      </vt:variant>
      <vt:variant>
        <vt:i4>302</vt:i4>
      </vt:variant>
      <vt:variant>
        <vt:i4>0</vt:i4>
      </vt:variant>
      <vt:variant>
        <vt:i4>5</vt:i4>
      </vt:variant>
      <vt:variant>
        <vt:lpwstr/>
      </vt:variant>
      <vt:variant>
        <vt:lpwstr>_Toc156569617</vt:lpwstr>
      </vt:variant>
      <vt:variant>
        <vt:i4>2031671</vt:i4>
      </vt:variant>
      <vt:variant>
        <vt:i4>296</vt:i4>
      </vt:variant>
      <vt:variant>
        <vt:i4>0</vt:i4>
      </vt:variant>
      <vt:variant>
        <vt:i4>5</vt:i4>
      </vt:variant>
      <vt:variant>
        <vt:lpwstr/>
      </vt:variant>
      <vt:variant>
        <vt:lpwstr>_Toc156569616</vt:lpwstr>
      </vt:variant>
      <vt:variant>
        <vt:i4>2031671</vt:i4>
      </vt:variant>
      <vt:variant>
        <vt:i4>290</vt:i4>
      </vt:variant>
      <vt:variant>
        <vt:i4>0</vt:i4>
      </vt:variant>
      <vt:variant>
        <vt:i4>5</vt:i4>
      </vt:variant>
      <vt:variant>
        <vt:lpwstr/>
      </vt:variant>
      <vt:variant>
        <vt:lpwstr>_Toc156569615</vt:lpwstr>
      </vt:variant>
      <vt:variant>
        <vt:i4>2031671</vt:i4>
      </vt:variant>
      <vt:variant>
        <vt:i4>284</vt:i4>
      </vt:variant>
      <vt:variant>
        <vt:i4>0</vt:i4>
      </vt:variant>
      <vt:variant>
        <vt:i4>5</vt:i4>
      </vt:variant>
      <vt:variant>
        <vt:lpwstr/>
      </vt:variant>
      <vt:variant>
        <vt:lpwstr>_Toc156569614</vt:lpwstr>
      </vt:variant>
      <vt:variant>
        <vt:i4>2031671</vt:i4>
      </vt:variant>
      <vt:variant>
        <vt:i4>278</vt:i4>
      </vt:variant>
      <vt:variant>
        <vt:i4>0</vt:i4>
      </vt:variant>
      <vt:variant>
        <vt:i4>5</vt:i4>
      </vt:variant>
      <vt:variant>
        <vt:lpwstr/>
      </vt:variant>
      <vt:variant>
        <vt:lpwstr>_Toc156569613</vt:lpwstr>
      </vt:variant>
      <vt:variant>
        <vt:i4>2031671</vt:i4>
      </vt:variant>
      <vt:variant>
        <vt:i4>272</vt:i4>
      </vt:variant>
      <vt:variant>
        <vt:i4>0</vt:i4>
      </vt:variant>
      <vt:variant>
        <vt:i4>5</vt:i4>
      </vt:variant>
      <vt:variant>
        <vt:lpwstr/>
      </vt:variant>
      <vt:variant>
        <vt:lpwstr>_Toc156569612</vt:lpwstr>
      </vt:variant>
      <vt:variant>
        <vt:i4>2031671</vt:i4>
      </vt:variant>
      <vt:variant>
        <vt:i4>266</vt:i4>
      </vt:variant>
      <vt:variant>
        <vt:i4>0</vt:i4>
      </vt:variant>
      <vt:variant>
        <vt:i4>5</vt:i4>
      </vt:variant>
      <vt:variant>
        <vt:lpwstr/>
      </vt:variant>
      <vt:variant>
        <vt:lpwstr>_Toc156569611</vt:lpwstr>
      </vt:variant>
      <vt:variant>
        <vt:i4>2031671</vt:i4>
      </vt:variant>
      <vt:variant>
        <vt:i4>260</vt:i4>
      </vt:variant>
      <vt:variant>
        <vt:i4>0</vt:i4>
      </vt:variant>
      <vt:variant>
        <vt:i4>5</vt:i4>
      </vt:variant>
      <vt:variant>
        <vt:lpwstr/>
      </vt:variant>
      <vt:variant>
        <vt:lpwstr>_Toc156569610</vt:lpwstr>
      </vt:variant>
      <vt:variant>
        <vt:i4>1966135</vt:i4>
      </vt:variant>
      <vt:variant>
        <vt:i4>254</vt:i4>
      </vt:variant>
      <vt:variant>
        <vt:i4>0</vt:i4>
      </vt:variant>
      <vt:variant>
        <vt:i4>5</vt:i4>
      </vt:variant>
      <vt:variant>
        <vt:lpwstr/>
      </vt:variant>
      <vt:variant>
        <vt:lpwstr>_Toc156569609</vt:lpwstr>
      </vt:variant>
      <vt:variant>
        <vt:i4>1966135</vt:i4>
      </vt:variant>
      <vt:variant>
        <vt:i4>248</vt:i4>
      </vt:variant>
      <vt:variant>
        <vt:i4>0</vt:i4>
      </vt:variant>
      <vt:variant>
        <vt:i4>5</vt:i4>
      </vt:variant>
      <vt:variant>
        <vt:lpwstr/>
      </vt:variant>
      <vt:variant>
        <vt:lpwstr>_Toc156569608</vt:lpwstr>
      </vt:variant>
      <vt:variant>
        <vt:i4>1966135</vt:i4>
      </vt:variant>
      <vt:variant>
        <vt:i4>242</vt:i4>
      </vt:variant>
      <vt:variant>
        <vt:i4>0</vt:i4>
      </vt:variant>
      <vt:variant>
        <vt:i4>5</vt:i4>
      </vt:variant>
      <vt:variant>
        <vt:lpwstr/>
      </vt:variant>
      <vt:variant>
        <vt:lpwstr>_Toc156569607</vt:lpwstr>
      </vt:variant>
      <vt:variant>
        <vt:i4>1966135</vt:i4>
      </vt:variant>
      <vt:variant>
        <vt:i4>236</vt:i4>
      </vt:variant>
      <vt:variant>
        <vt:i4>0</vt:i4>
      </vt:variant>
      <vt:variant>
        <vt:i4>5</vt:i4>
      </vt:variant>
      <vt:variant>
        <vt:lpwstr/>
      </vt:variant>
      <vt:variant>
        <vt:lpwstr>_Toc156569606</vt:lpwstr>
      </vt:variant>
      <vt:variant>
        <vt:i4>1966135</vt:i4>
      </vt:variant>
      <vt:variant>
        <vt:i4>230</vt:i4>
      </vt:variant>
      <vt:variant>
        <vt:i4>0</vt:i4>
      </vt:variant>
      <vt:variant>
        <vt:i4>5</vt:i4>
      </vt:variant>
      <vt:variant>
        <vt:lpwstr/>
      </vt:variant>
      <vt:variant>
        <vt:lpwstr>_Toc156569605</vt:lpwstr>
      </vt:variant>
      <vt:variant>
        <vt:i4>1966135</vt:i4>
      </vt:variant>
      <vt:variant>
        <vt:i4>224</vt:i4>
      </vt:variant>
      <vt:variant>
        <vt:i4>0</vt:i4>
      </vt:variant>
      <vt:variant>
        <vt:i4>5</vt:i4>
      </vt:variant>
      <vt:variant>
        <vt:lpwstr/>
      </vt:variant>
      <vt:variant>
        <vt:lpwstr>_Toc156569604</vt:lpwstr>
      </vt:variant>
      <vt:variant>
        <vt:i4>1966135</vt:i4>
      </vt:variant>
      <vt:variant>
        <vt:i4>218</vt:i4>
      </vt:variant>
      <vt:variant>
        <vt:i4>0</vt:i4>
      </vt:variant>
      <vt:variant>
        <vt:i4>5</vt:i4>
      </vt:variant>
      <vt:variant>
        <vt:lpwstr/>
      </vt:variant>
      <vt:variant>
        <vt:lpwstr>_Toc156569603</vt:lpwstr>
      </vt:variant>
      <vt:variant>
        <vt:i4>1966135</vt:i4>
      </vt:variant>
      <vt:variant>
        <vt:i4>212</vt:i4>
      </vt:variant>
      <vt:variant>
        <vt:i4>0</vt:i4>
      </vt:variant>
      <vt:variant>
        <vt:i4>5</vt:i4>
      </vt:variant>
      <vt:variant>
        <vt:lpwstr/>
      </vt:variant>
      <vt:variant>
        <vt:lpwstr>_Toc156569602</vt:lpwstr>
      </vt:variant>
      <vt:variant>
        <vt:i4>1966135</vt:i4>
      </vt:variant>
      <vt:variant>
        <vt:i4>206</vt:i4>
      </vt:variant>
      <vt:variant>
        <vt:i4>0</vt:i4>
      </vt:variant>
      <vt:variant>
        <vt:i4>5</vt:i4>
      </vt:variant>
      <vt:variant>
        <vt:lpwstr/>
      </vt:variant>
      <vt:variant>
        <vt:lpwstr>_Toc156569601</vt:lpwstr>
      </vt:variant>
      <vt:variant>
        <vt:i4>1966135</vt:i4>
      </vt:variant>
      <vt:variant>
        <vt:i4>200</vt:i4>
      </vt:variant>
      <vt:variant>
        <vt:i4>0</vt:i4>
      </vt:variant>
      <vt:variant>
        <vt:i4>5</vt:i4>
      </vt:variant>
      <vt:variant>
        <vt:lpwstr/>
      </vt:variant>
      <vt:variant>
        <vt:lpwstr>_Toc156569600</vt:lpwstr>
      </vt:variant>
      <vt:variant>
        <vt:i4>1507380</vt:i4>
      </vt:variant>
      <vt:variant>
        <vt:i4>194</vt:i4>
      </vt:variant>
      <vt:variant>
        <vt:i4>0</vt:i4>
      </vt:variant>
      <vt:variant>
        <vt:i4>5</vt:i4>
      </vt:variant>
      <vt:variant>
        <vt:lpwstr/>
      </vt:variant>
      <vt:variant>
        <vt:lpwstr>_Toc156569599</vt:lpwstr>
      </vt:variant>
      <vt:variant>
        <vt:i4>1507380</vt:i4>
      </vt:variant>
      <vt:variant>
        <vt:i4>188</vt:i4>
      </vt:variant>
      <vt:variant>
        <vt:i4>0</vt:i4>
      </vt:variant>
      <vt:variant>
        <vt:i4>5</vt:i4>
      </vt:variant>
      <vt:variant>
        <vt:lpwstr/>
      </vt:variant>
      <vt:variant>
        <vt:lpwstr>_Toc156569598</vt:lpwstr>
      </vt:variant>
      <vt:variant>
        <vt:i4>1507380</vt:i4>
      </vt:variant>
      <vt:variant>
        <vt:i4>182</vt:i4>
      </vt:variant>
      <vt:variant>
        <vt:i4>0</vt:i4>
      </vt:variant>
      <vt:variant>
        <vt:i4>5</vt:i4>
      </vt:variant>
      <vt:variant>
        <vt:lpwstr/>
      </vt:variant>
      <vt:variant>
        <vt:lpwstr>_Toc156569597</vt:lpwstr>
      </vt:variant>
      <vt:variant>
        <vt:i4>1507380</vt:i4>
      </vt:variant>
      <vt:variant>
        <vt:i4>176</vt:i4>
      </vt:variant>
      <vt:variant>
        <vt:i4>0</vt:i4>
      </vt:variant>
      <vt:variant>
        <vt:i4>5</vt:i4>
      </vt:variant>
      <vt:variant>
        <vt:lpwstr/>
      </vt:variant>
      <vt:variant>
        <vt:lpwstr>_Toc156569596</vt:lpwstr>
      </vt:variant>
      <vt:variant>
        <vt:i4>1507380</vt:i4>
      </vt:variant>
      <vt:variant>
        <vt:i4>170</vt:i4>
      </vt:variant>
      <vt:variant>
        <vt:i4>0</vt:i4>
      </vt:variant>
      <vt:variant>
        <vt:i4>5</vt:i4>
      </vt:variant>
      <vt:variant>
        <vt:lpwstr/>
      </vt:variant>
      <vt:variant>
        <vt:lpwstr>_Toc156569595</vt:lpwstr>
      </vt:variant>
      <vt:variant>
        <vt:i4>1507380</vt:i4>
      </vt:variant>
      <vt:variant>
        <vt:i4>164</vt:i4>
      </vt:variant>
      <vt:variant>
        <vt:i4>0</vt:i4>
      </vt:variant>
      <vt:variant>
        <vt:i4>5</vt:i4>
      </vt:variant>
      <vt:variant>
        <vt:lpwstr/>
      </vt:variant>
      <vt:variant>
        <vt:lpwstr>_Toc156569594</vt:lpwstr>
      </vt:variant>
      <vt:variant>
        <vt:i4>1507380</vt:i4>
      </vt:variant>
      <vt:variant>
        <vt:i4>158</vt:i4>
      </vt:variant>
      <vt:variant>
        <vt:i4>0</vt:i4>
      </vt:variant>
      <vt:variant>
        <vt:i4>5</vt:i4>
      </vt:variant>
      <vt:variant>
        <vt:lpwstr/>
      </vt:variant>
      <vt:variant>
        <vt:lpwstr>_Toc156569593</vt:lpwstr>
      </vt:variant>
      <vt:variant>
        <vt:i4>1507380</vt:i4>
      </vt:variant>
      <vt:variant>
        <vt:i4>152</vt:i4>
      </vt:variant>
      <vt:variant>
        <vt:i4>0</vt:i4>
      </vt:variant>
      <vt:variant>
        <vt:i4>5</vt:i4>
      </vt:variant>
      <vt:variant>
        <vt:lpwstr/>
      </vt:variant>
      <vt:variant>
        <vt:lpwstr>_Toc156569592</vt:lpwstr>
      </vt:variant>
      <vt:variant>
        <vt:i4>1507380</vt:i4>
      </vt:variant>
      <vt:variant>
        <vt:i4>146</vt:i4>
      </vt:variant>
      <vt:variant>
        <vt:i4>0</vt:i4>
      </vt:variant>
      <vt:variant>
        <vt:i4>5</vt:i4>
      </vt:variant>
      <vt:variant>
        <vt:lpwstr/>
      </vt:variant>
      <vt:variant>
        <vt:lpwstr>_Toc156569591</vt:lpwstr>
      </vt:variant>
      <vt:variant>
        <vt:i4>1507380</vt:i4>
      </vt:variant>
      <vt:variant>
        <vt:i4>140</vt:i4>
      </vt:variant>
      <vt:variant>
        <vt:i4>0</vt:i4>
      </vt:variant>
      <vt:variant>
        <vt:i4>5</vt:i4>
      </vt:variant>
      <vt:variant>
        <vt:lpwstr/>
      </vt:variant>
      <vt:variant>
        <vt:lpwstr>_Toc156569590</vt:lpwstr>
      </vt:variant>
      <vt:variant>
        <vt:i4>1441844</vt:i4>
      </vt:variant>
      <vt:variant>
        <vt:i4>134</vt:i4>
      </vt:variant>
      <vt:variant>
        <vt:i4>0</vt:i4>
      </vt:variant>
      <vt:variant>
        <vt:i4>5</vt:i4>
      </vt:variant>
      <vt:variant>
        <vt:lpwstr/>
      </vt:variant>
      <vt:variant>
        <vt:lpwstr>_Toc156569589</vt:lpwstr>
      </vt:variant>
      <vt:variant>
        <vt:i4>1441844</vt:i4>
      </vt:variant>
      <vt:variant>
        <vt:i4>128</vt:i4>
      </vt:variant>
      <vt:variant>
        <vt:i4>0</vt:i4>
      </vt:variant>
      <vt:variant>
        <vt:i4>5</vt:i4>
      </vt:variant>
      <vt:variant>
        <vt:lpwstr/>
      </vt:variant>
      <vt:variant>
        <vt:lpwstr>_Toc156569588</vt:lpwstr>
      </vt:variant>
      <vt:variant>
        <vt:i4>1441844</vt:i4>
      </vt:variant>
      <vt:variant>
        <vt:i4>122</vt:i4>
      </vt:variant>
      <vt:variant>
        <vt:i4>0</vt:i4>
      </vt:variant>
      <vt:variant>
        <vt:i4>5</vt:i4>
      </vt:variant>
      <vt:variant>
        <vt:lpwstr/>
      </vt:variant>
      <vt:variant>
        <vt:lpwstr>_Toc156569587</vt:lpwstr>
      </vt:variant>
      <vt:variant>
        <vt:i4>1441844</vt:i4>
      </vt:variant>
      <vt:variant>
        <vt:i4>116</vt:i4>
      </vt:variant>
      <vt:variant>
        <vt:i4>0</vt:i4>
      </vt:variant>
      <vt:variant>
        <vt:i4>5</vt:i4>
      </vt:variant>
      <vt:variant>
        <vt:lpwstr/>
      </vt:variant>
      <vt:variant>
        <vt:lpwstr>_Toc156569586</vt:lpwstr>
      </vt:variant>
      <vt:variant>
        <vt:i4>1441844</vt:i4>
      </vt:variant>
      <vt:variant>
        <vt:i4>110</vt:i4>
      </vt:variant>
      <vt:variant>
        <vt:i4>0</vt:i4>
      </vt:variant>
      <vt:variant>
        <vt:i4>5</vt:i4>
      </vt:variant>
      <vt:variant>
        <vt:lpwstr/>
      </vt:variant>
      <vt:variant>
        <vt:lpwstr>_Toc156569585</vt:lpwstr>
      </vt:variant>
      <vt:variant>
        <vt:i4>1441844</vt:i4>
      </vt:variant>
      <vt:variant>
        <vt:i4>104</vt:i4>
      </vt:variant>
      <vt:variant>
        <vt:i4>0</vt:i4>
      </vt:variant>
      <vt:variant>
        <vt:i4>5</vt:i4>
      </vt:variant>
      <vt:variant>
        <vt:lpwstr/>
      </vt:variant>
      <vt:variant>
        <vt:lpwstr>_Toc156569584</vt:lpwstr>
      </vt:variant>
      <vt:variant>
        <vt:i4>1441844</vt:i4>
      </vt:variant>
      <vt:variant>
        <vt:i4>98</vt:i4>
      </vt:variant>
      <vt:variant>
        <vt:i4>0</vt:i4>
      </vt:variant>
      <vt:variant>
        <vt:i4>5</vt:i4>
      </vt:variant>
      <vt:variant>
        <vt:lpwstr/>
      </vt:variant>
      <vt:variant>
        <vt:lpwstr>_Toc156569583</vt:lpwstr>
      </vt:variant>
      <vt:variant>
        <vt:i4>1441844</vt:i4>
      </vt:variant>
      <vt:variant>
        <vt:i4>92</vt:i4>
      </vt:variant>
      <vt:variant>
        <vt:i4>0</vt:i4>
      </vt:variant>
      <vt:variant>
        <vt:i4>5</vt:i4>
      </vt:variant>
      <vt:variant>
        <vt:lpwstr/>
      </vt:variant>
      <vt:variant>
        <vt:lpwstr>_Toc156569582</vt:lpwstr>
      </vt:variant>
      <vt:variant>
        <vt:i4>1441844</vt:i4>
      </vt:variant>
      <vt:variant>
        <vt:i4>86</vt:i4>
      </vt:variant>
      <vt:variant>
        <vt:i4>0</vt:i4>
      </vt:variant>
      <vt:variant>
        <vt:i4>5</vt:i4>
      </vt:variant>
      <vt:variant>
        <vt:lpwstr/>
      </vt:variant>
      <vt:variant>
        <vt:lpwstr>_Toc156569581</vt:lpwstr>
      </vt:variant>
      <vt:variant>
        <vt:i4>1441844</vt:i4>
      </vt:variant>
      <vt:variant>
        <vt:i4>80</vt:i4>
      </vt:variant>
      <vt:variant>
        <vt:i4>0</vt:i4>
      </vt:variant>
      <vt:variant>
        <vt:i4>5</vt:i4>
      </vt:variant>
      <vt:variant>
        <vt:lpwstr/>
      </vt:variant>
      <vt:variant>
        <vt:lpwstr>_Toc156569580</vt:lpwstr>
      </vt:variant>
      <vt:variant>
        <vt:i4>1638452</vt:i4>
      </vt:variant>
      <vt:variant>
        <vt:i4>74</vt:i4>
      </vt:variant>
      <vt:variant>
        <vt:i4>0</vt:i4>
      </vt:variant>
      <vt:variant>
        <vt:i4>5</vt:i4>
      </vt:variant>
      <vt:variant>
        <vt:lpwstr/>
      </vt:variant>
      <vt:variant>
        <vt:lpwstr>_Toc156569579</vt:lpwstr>
      </vt:variant>
      <vt:variant>
        <vt:i4>1638452</vt:i4>
      </vt:variant>
      <vt:variant>
        <vt:i4>68</vt:i4>
      </vt:variant>
      <vt:variant>
        <vt:i4>0</vt:i4>
      </vt:variant>
      <vt:variant>
        <vt:i4>5</vt:i4>
      </vt:variant>
      <vt:variant>
        <vt:lpwstr/>
      </vt:variant>
      <vt:variant>
        <vt:lpwstr>_Toc156569578</vt:lpwstr>
      </vt:variant>
      <vt:variant>
        <vt:i4>1638452</vt:i4>
      </vt:variant>
      <vt:variant>
        <vt:i4>62</vt:i4>
      </vt:variant>
      <vt:variant>
        <vt:i4>0</vt:i4>
      </vt:variant>
      <vt:variant>
        <vt:i4>5</vt:i4>
      </vt:variant>
      <vt:variant>
        <vt:lpwstr/>
      </vt:variant>
      <vt:variant>
        <vt:lpwstr>_Toc156569577</vt:lpwstr>
      </vt:variant>
      <vt:variant>
        <vt:i4>1638452</vt:i4>
      </vt:variant>
      <vt:variant>
        <vt:i4>56</vt:i4>
      </vt:variant>
      <vt:variant>
        <vt:i4>0</vt:i4>
      </vt:variant>
      <vt:variant>
        <vt:i4>5</vt:i4>
      </vt:variant>
      <vt:variant>
        <vt:lpwstr/>
      </vt:variant>
      <vt:variant>
        <vt:lpwstr>_Toc156569576</vt:lpwstr>
      </vt:variant>
      <vt:variant>
        <vt:i4>1638452</vt:i4>
      </vt:variant>
      <vt:variant>
        <vt:i4>50</vt:i4>
      </vt:variant>
      <vt:variant>
        <vt:i4>0</vt:i4>
      </vt:variant>
      <vt:variant>
        <vt:i4>5</vt:i4>
      </vt:variant>
      <vt:variant>
        <vt:lpwstr/>
      </vt:variant>
      <vt:variant>
        <vt:lpwstr>_Toc156569575</vt:lpwstr>
      </vt:variant>
      <vt:variant>
        <vt:i4>1638452</vt:i4>
      </vt:variant>
      <vt:variant>
        <vt:i4>44</vt:i4>
      </vt:variant>
      <vt:variant>
        <vt:i4>0</vt:i4>
      </vt:variant>
      <vt:variant>
        <vt:i4>5</vt:i4>
      </vt:variant>
      <vt:variant>
        <vt:lpwstr/>
      </vt:variant>
      <vt:variant>
        <vt:lpwstr>_Toc156569574</vt:lpwstr>
      </vt:variant>
      <vt:variant>
        <vt:i4>1638452</vt:i4>
      </vt:variant>
      <vt:variant>
        <vt:i4>38</vt:i4>
      </vt:variant>
      <vt:variant>
        <vt:i4>0</vt:i4>
      </vt:variant>
      <vt:variant>
        <vt:i4>5</vt:i4>
      </vt:variant>
      <vt:variant>
        <vt:lpwstr/>
      </vt:variant>
      <vt:variant>
        <vt:lpwstr>_Toc156569573</vt:lpwstr>
      </vt:variant>
      <vt:variant>
        <vt:i4>1638452</vt:i4>
      </vt:variant>
      <vt:variant>
        <vt:i4>32</vt:i4>
      </vt:variant>
      <vt:variant>
        <vt:i4>0</vt:i4>
      </vt:variant>
      <vt:variant>
        <vt:i4>5</vt:i4>
      </vt:variant>
      <vt:variant>
        <vt:lpwstr/>
      </vt:variant>
      <vt:variant>
        <vt:lpwstr>_Toc156569572</vt:lpwstr>
      </vt:variant>
      <vt:variant>
        <vt:i4>1638452</vt:i4>
      </vt:variant>
      <vt:variant>
        <vt:i4>26</vt:i4>
      </vt:variant>
      <vt:variant>
        <vt:i4>0</vt:i4>
      </vt:variant>
      <vt:variant>
        <vt:i4>5</vt:i4>
      </vt:variant>
      <vt:variant>
        <vt:lpwstr/>
      </vt:variant>
      <vt:variant>
        <vt:lpwstr>_Toc156569571</vt:lpwstr>
      </vt:variant>
      <vt:variant>
        <vt:i4>1638452</vt:i4>
      </vt:variant>
      <vt:variant>
        <vt:i4>20</vt:i4>
      </vt:variant>
      <vt:variant>
        <vt:i4>0</vt:i4>
      </vt:variant>
      <vt:variant>
        <vt:i4>5</vt:i4>
      </vt:variant>
      <vt:variant>
        <vt:lpwstr/>
      </vt:variant>
      <vt:variant>
        <vt:lpwstr>_Toc156569570</vt:lpwstr>
      </vt:variant>
      <vt:variant>
        <vt:i4>1572916</vt:i4>
      </vt:variant>
      <vt:variant>
        <vt:i4>14</vt:i4>
      </vt:variant>
      <vt:variant>
        <vt:i4>0</vt:i4>
      </vt:variant>
      <vt:variant>
        <vt:i4>5</vt:i4>
      </vt:variant>
      <vt:variant>
        <vt:lpwstr/>
      </vt:variant>
      <vt:variant>
        <vt:lpwstr>_Toc156569569</vt:lpwstr>
      </vt:variant>
      <vt:variant>
        <vt:i4>1572916</vt:i4>
      </vt:variant>
      <vt:variant>
        <vt:i4>8</vt:i4>
      </vt:variant>
      <vt:variant>
        <vt:i4>0</vt:i4>
      </vt:variant>
      <vt:variant>
        <vt:i4>5</vt:i4>
      </vt:variant>
      <vt:variant>
        <vt:lpwstr/>
      </vt:variant>
      <vt:variant>
        <vt:lpwstr>_Toc156569568</vt:lpwstr>
      </vt:variant>
      <vt:variant>
        <vt:i4>8061047</vt:i4>
      </vt:variant>
      <vt:variant>
        <vt:i4>3</vt:i4>
      </vt:variant>
      <vt:variant>
        <vt:i4>0</vt:i4>
      </vt:variant>
      <vt:variant>
        <vt:i4>5</vt:i4>
      </vt:variant>
      <vt:variant>
        <vt:lpwstr>https://www.health.vic.gov.au/policy-and-funding-guidelines-for-health-services</vt:lpwstr>
      </vt:variant>
      <vt:variant>
        <vt:lpwstr/>
      </vt:variant>
      <vt:variant>
        <vt:i4>6226021</vt:i4>
      </vt:variant>
      <vt:variant>
        <vt:i4>0</vt:i4>
      </vt:variant>
      <vt:variant>
        <vt:i4>0</vt:i4>
      </vt:variant>
      <vt:variant>
        <vt:i4>5</vt:i4>
      </vt:variant>
      <vt:variant>
        <vt:lpwstr>mailto:accountability@health.vic.gov.au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Rules 2023-24</dc:title>
  <dc:subject/>
  <cp:keywords>funding rules</cp:keywords>
  <dc:description/>
  <cp:revision>2</cp:revision>
  <cp:lastPrinted>2021-02-22T18:27:00Z</cp:lastPrinted>
  <dcterms:created xsi:type="dcterms:W3CDTF">2024-02-29T03:53:00Z</dcterms:created>
  <dcterms:modified xsi:type="dcterms:W3CDTF">2024-03-07T23:12:00Z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0x010100F75CA5CF48551644A37572D0DEEEC129</vt:lpwstr>
  </property>
  <property fmtid="{D5CDD505-2E9C-101B-9397-08002B2CF9AE}" pid="4" name="version">
    <vt:lpwstr>v5 15032021</vt:lpwstr>
  </property>
  <property fmtid="{D5CDD505-2E9C-101B-9397-08002B2CF9AE}" pid="5" name="MediaServiceImageTags">
    <vt:lpwstr/>
  </property>
  <property fmtid="{D5CDD505-2E9C-101B-9397-08002B2CF9AE}" pid="6" name="lcf76f155ced4ddcb4097134ff3c332f">
    <vt:lpwstr/>
  </property>
  <property fmtid="{D5CDD505-2E9C-101B-9397-08002B2CF9AE}" pid="7" name="MSIP_Label_43e64453-338c-4f93-8a4d-0039a0a41f2a_Enabled">
    <vt:lpwstr>true</vt:lpwstr>
  </property>
  <property fmtid="{D5CDD505-2E9C-101B-9397-08002B2CF9AE}" pid="8" name="MSIP_Label_43e64453-338c-4f93-8a4d-0039a0a41f2a_SetDate">
    <vt:lpwstr>2024-03-06T22:18:52Z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978449a8-2eec-408e-9955-1f3efdbf4153</vt:lpwstr>
  </property>
  <property fmtid="{D5CDD505-2E9C-101B-9397-08002B2CF9AE}" pid="13" name="MSIP_Label_43e64453-338c-4f93-8a4d-0039a0a41f2a_ContentBits">
    <vt:lpwstr>2</vt:lpwstr>
  </property>
</Properties>
</file>