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5F405" w14:textId="77777777" w:rsidR="00056EC4" w:rsidRDefault="00E9042A" w:rsidP="00056EC4">
      <w:pPr>
        <w:pStyle w:val="Body"/>
      </w:pPr>
      <w:r>
        <w:rPr>
          <w:noProof/>
        </w:rPr>
        <w:drawing>
          <wp:anchor distT="0" distB="0" distL="114300" distR="114300" simplePos="0" relativeHeight="251658240" behindDoc="1" locked="1" layoutInCell="1" allowOverlap="0" wp14:anchorId="5610D2C9" wp14:editId="5CA151AC">
            <wp:simplePos x="0" y="0"/>
            <wp:positionH relativeFrom="page">
              <wp:posOffset>0</wp:posOffset>
            </wp:positionH>
            <wp:positionV relativeFrom="page">
              <wp:posOffset>0</wp:posOffset>
            </wp:positionV>
            <wp:extent cx="7555865" cy="10146665"/>
            <wp:effectExtent l="0" t="0" r="63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F62775E" w14:textId="77777777" w:rsidTr="00431F42">
        <w:trPr>
          <w:cantSplit/>
        </w:trPr>
        <w:tc>
          <w:tcPr>
            <w:tcW w:w="0" w:type="auto"/>
            <w:tcMar>
              <w:top w:w="0" w:type="dxa"/>
              <w:left w:w="0" w:type="dxa"/>
              <w:right w:w="0" w:type="dxa"/>
            </w:tcMar>
          </w:tcPr>
          <w:p w14:paraId="23DF0F80" w14:textId="7BA4927C" w:rsidR="00AD784C" w:rsidRPr="00431F42" w:rsidRDefault="00281C2F" w:rsidP="00431F42">
            <w:pPr>
              <w:pStyle w:val="Documenttitle"/>
            </w:pPr>
            <w:r w:rsidRPr="00281C2F">
              <w:t>Perioperative service capability framework</w:t>
            </w:r>
          </w:p>
        </w:tc>
      </w:tr>
      <w:tr w:rsidR="00AD784C" w14:paraId="338BB2FA" w14:textId="77777777" w:rsidTr="00431F42">
        <w:trPr>
          <w:cantSplit/>
        </w:trPr>
        <w:tc>
          <w:tcPr>
            <w:tcW w:w="0" w:type="auto"/>
          </w:tcPr>
          <w:p w14:paraId="3F8A3122" w14:textId="5A386C70" w:rsidR="00386109" w:rsidRPr="00A1389F" w:rsidRDefault="00386109" w:rsidP="009315BE">
            <w:pPr>
              <w:pStyle w:val="Documentsubtitle"/>
            </w:pPr>
          </w:p>
        </w:tc>
      </w:tr>
      <w:tr w:rsidR="00430393" w14:paraId="5E6E6B2B" w14:textId="77777777" w:rsidTr="00431F42">
        <w:trPr>
          <w:cantSplit/>
        </w:trPr>
        <w:tc>
          <w:tcPr>
            <w:tcW w:w="0" w:type="auto"/>
          </w:tcPr>
          <w:p w14:paraId="115E018E" w14:textId="77777777" w:rsidR="00430393" w:rsidRDefault="002A039C" w:rsidP="00430393">
            <w:pPr>
              <w:pStyle w:val="Bannermarking"/>
            </w:pPr>
            <w:r>
              <w:fldChar w:fldCharType="begin"/>
            </w:r>
            <w:r>
              <w:instrText>FILLIN  "Type the protective marking" \d OFFICIAL \o  \* MERGEFORMAT</w:instrText>
            </w:r>
            <w:r>
              <w:fldChar w:fldCharType="separate"/>
            </w:r>
            <w:r w:rsidR="00712A65">
              <w:t>OFFICIAL</w:t>
            </w:r>
            <w:r>
              <w:fldChar w:fldCharType="end"/>
            </w:r>
          </w:p>
        </w:tc>
      </w:tr>
    </w:tbl>
    <w:p w14:paraId="4D122E81" w14:textId="77777777" w:rsidR="00FE4081" w:rsidRDefault="00FE4081" w:rsidP="00FE4081">
      <w:pPr>
        <w:pStyle w:val="Body"/>
      </w:pPr>
    </w:p>
    <w:p w14:paraId="4D8EFB8E" w14:textId="77777777" w:rsidR="00FE4081" w:rsidRPr="00FE4081" w:rsidRDefault="00FE4081" w:rsidP="00FE4081">
      <w:pPr>
        <w:pStyle w:val="Body"/>
        <w:sectPr w:rsidR="00FE4081" w:rsidRPr="00FE4081" w:rsidSect="006E058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0155579F" w14:textId="77777777" w:rsidR="00431F42" w:rsidRDefault="00431F42" w:rsidP="00431F42">
      <w:pPr>
        <w:pStyle w:val="Body"/>
      </w:pPr>
      <w:r>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262214A9" w14:textId="77777777" w:rsidTr="00431F42">
        <w:trPr>
          <w:trHeight w:val="7371"/>
        </w:trPr>
        <w:tc>
          <w:tcPr>
            <w:tcW w:w="7598" w:type="dxa"/>
            <w:vAlign w:val="center"/>
          </w:tcPr>
          <w:p w14:paraId="5AEBE0F6" w14:textId="03456726" w:rsidR="00431F42" w:rsidRDefault="00281C2F" w:rsidP="00ED79A6">
            <w:pPr>
              <w:pStyle w:val="Documenttitle"/>
            </w:pPr>
            <w:r w:rsidRPr="00ED79A6">
              <w:t>Perioperative</w:t>
            </w:r>
            <w:r w:rsidRPr="00281C2F">
              <w:t xml:space="preserve"> service</w:t>
            </w:r>
            <w:r>
              <w:t xml:space="preserve"> </w:t>
            </w:r>
            <w:r w:rsidRPr="00281C2F">
              <w:t xml:space="preserve">capability framework </w:t>
            </w:r>
          </w:p>
        </w:tc>
      </w:tr>
      <w:tr w:rsidR="00431F42" w14:paraId="25EBD635" w14:textId="77777777" w:rsidTr="00431F42">
        <w:tc>
          <w:tcPr>
            <w:tcW w:w="7598" w:type="dxa"/>
          </w:tcPr>
          <w:p w14:paraId="047F6254" w14:textId="77777777" w:rsidR="00431F42" w:rsidRDefault="00431F42" w:rsidP="00431F42">
            <w:pPr>
              <w:pStyle w:val="Body"/>
            </w:pPr>
          </w:p>
        </w:tc>
      </w:tr>
    </w:tbl>
    <w:p w14:paraId="638570BD" w14:textId="77777777" w:rsidR="000D2ABA" w:rsidRDefault="000D2ABA" w:rsidP="00431F42">
      <w:pPr>
        <w:pStyle w:val="Body"/>
      </w:pPr>
      <w:r>
        <w:br w:type="page"/>
      </w:r>
    </w:p>
    <w:p w14:paraId="1142F96D"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27E0B894" w14:textId="77777777" w:rsidTr="67F2E2E4">
        <w:trPr>
          <w:cantSplit/>
          <w:trHeight w:val="7088"/>
        </w:trPr>
        <w:tc>
          <w:tcPr>
            <w:tcW w:w="9288" w:type="dxa"/>
          </w:tcPr>
          <w:p w14:paraId="17B8CEC2" w14:textId="624AE958" w:rsidR="009F2182" w:rsidRPr="00BA26F6" w:rsidRDefault="009F2182" w:rsidP="00BA26F6">
            <w:pPr>
              <w:pStyle w:val="Body"/>
              <w:rPr>
                <w:rFonts w:eastAsia="Times New Roman"/>
                <w:color w:val="87189D"/>
                <w:sz w:val="24"/>
                <w:szCs w:val="24"/>
              </w:rPr>
            </w:pPr>
          </w:p>
        </w:tc>
      </w:tr>
      <w:tr w:rsidR="009F2182" w14:paraId="0C30E752" w14:textId="77777777" w:rsidTr="67F2E2E4">
        <w:trPr>
          <w:cantSplit/>
          <w:trHeight w:val="5103"/>
        </w:trPr>
        <w:tc>
          <w:tcPr>
            <w:tcW w:w="9288" w:type="dxa"/>
            <w:vAlign w:val="bottom"/>
          </w:tcPr>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085"/>
              <w:gridCol w:w="3077"/>
              <w:gridCol w:w="3110"/>
            </w:tblGrid>
            <w:tr w:rsidR="00BE79E0" w14:paraId="184C1FE7" w14:textId="77777777">
              <w:trPr>
                <w:trHeight w:val="435"/>
              </w:trPr>
              <w:tc>
                <w:tcPr>
                  <w:tcW w:w="10200" w:type="dxa"/>
                  <w:gridSpan w:val="3"/>
                  <w:tcMar>
                    <w:left w:w="105" w:type="dxa"/>
                    <w:right w:w="105" w:type="dxa"/>
                  </w:tcMar>
                </w:tcPr>
                <w:p w14:paraId="5ADE2C08" w14:textId="77777777" w:rsidR="00BE79E0" w:rsidRDefault="00BE79E0" w:rsidP="00BE79E0">
                  <w:pPr>
                    <w:pStyle w:val="Body"/>
                    <w:jc w:val="center"/>
                    <w:rPr>
                      <w:rFonts w:eastAsia="Arial" w:cs="Arial"/>
                      <w:color w:val="000000" w:themeColor="text1"/>
                      <w:szCs w:val="21"/>
                    </w:rPr>
                  </w:pPr>
                  <w:r w:rsidRPr="2FCD7E10">
                    <w:rPr>
                      <w:rFonts w:eastAsia="Arial" w:cs="Arial"/>
                      <w:b/>
                      <w:bCs/>
                      <w:color w:val="000000" w:themeColor="text1"/>
                      <w:szCs w:val="21"/>
                      <w:lang w:val="en-GB"/>
                    </w:rPr>
                    <w:t>Version Control</w:t>
                  </w:r>
                </w:p>
              </w:tc>
            </w:tr>
            <w:tr w:rsidR="00BE79E0" w14:paraId="6D7040A6" w14:textId="77777777">
              <w:trPr>
                <w:trHeight w:val="420"/>
              </w:trPr>
              <w:tc>
                <w:tcPr>
                  <w:tcW w:w="3400" w:type="dxa"/>
                  <w:tcMar>
                    <w:left w:w="105" w:type="dxa"/>
                    <w:right w:w="105" w:type="dxa"/>
                  </w:tcMar>
                </w:tcPr>
                <w:p w14:paraId="3B709119" w14:textId="77777777" w:rsidR="00BE79E0" w:rsidRDefault="00BE79E0" w:rsidP="00BE79E0">
                  <w:pPr>
                    <w:pStyle w:val="Body"/>
                    <w:rPr>
                      <w:rFonts w:eastAsia="Arial" w:cs="Arial"/>
                      <w:color w:val="000000" w:themeColor="text1"/>
                      <w:szCs w:val="21"/>
                    </w:rPr>
                  </w:pPr>
                  <w:r w:rsidRPr="2FCD7E10">
                    <w:rPr>
                      <w:rFonts w:eastAsia="Arial" w:cs="Arial"/>
                      <w:b/>
                      <w:bCs/>
                      <w:color w:val="000000" w:themeColor="text1"/>
                      <w:szCs w:val="21"/>
                      <w:lang w:val="en-GB"/>
                    </w:rPr>
                    <w:t>Version number</w:t>
                  </w:r>
                </w:p>
              </w:tc>
              <w:tc>
                <w:tcPr>
                  <w:tcW w:w="3400" w:type="dxa"/>
                  <w:tcMar>
                    <w:left w:w="105" w:type="dxa"/>
                    <w:right w:w="105" w:type="dxa"/>
                  </w:tcMar>
                </w:tcPr>
                <w:p w14:paraId="687B3E0D" w14:textId="77777777" w:rsidR="00BE79E0" w:rsidRDefault="00BE79E0" w:rsidP="00BE79E0">
                  <w:pPr>
                    <w:pStyle w:val="Body"/>
                    <w:rPr>
                      <w:rFonts w:eastAsia="Arial" w:cs="Arial"/>
                      <w:color w:val="000000" w:themeColor="text1"/>
                      <w:szCs w:val="21"/>
                    </w:rPr>
                  </w:pPr>
                  <w:r w:rsidRPr="2FCD7E10">
                    <w:rPr>
                      <w:rFonts w:eastAsia="Arial" w:cs="Arial"/>
                      <w:b/>
                      <w:bCs/>
                      <w:color w:val="000000" w:themeColor="text1"/>
                      <w:szCs w:val="21"/>
                      <w:lang w:val="en-GB"/>
                    </w:rPr>
                    <w:t>Author</w:t>
                  </w:r>
                </w:p>
              </w:tc>
              <w:tc>
                <w:tcPr>
                  <w:tcW w:w="3400" w:type="dxa"/>
                  <w:tcMar>
                    <w:left w:w="105" w:type="dxa"/>
                    <w:right w:w="105" w:type="dxa"/>
                  </w:tcMar>
                </w:tcPr>
                <w:p w14:paraId="5B086DFC" w14:textId="77777777" w:rsidR="00BE79E0" w:rsidRDefault="00BE79E0" w:rsidP="00BE79E0">
                  <w:pPr>
                    <w:pStyle w:val="Body"/>
                    <w:rPr>
                      <w:rFonts w:eastAsia="Arial" w:cs="Arial"/>
                      <w:color w:val="000000" w:themeColor="text1"/>
                      <w:szCs w:val="21"/>
                    </w:rPr>
                  </w:pPr>
                  <w:r w:rsidRPr="2FCD7E10">
                    <w:rPr>
                      <w:rFonts w:eastAsia="Arial" w:cs="Arial"/>
                      <w:b/>
                      <w:bCs/>
                      <w:color w:val="000000" w:themeColor="text1"/>
                      <w:szCs w:val="21"/>
                      <w:lang w:val="en-GB"/>
                    </w:rPr>
                    <w:t>Date approved</w:t>
                  </w:r>
                </w:p>
              </w:tc>
            </w:tr>
            <w:tr w:rsidR="00BE79E0" w14:paraId="5F0C35F7" w14:textId="77777777">
              <w:trPr>
                <w:trHeight w:val="435"/>
              </w:trPr>
              <w:tc>
                <w:tcPr>
                  <w:tcW w:w="3400" w:type="dxa"/>
                  <w:tcMar>
                    <w:left w:w="105" w:type="dxa"/>
                    <w:right w:w="105" w:type="dxa"/>
                  </w:tcMar>
                </w:tcPr>
                <w:p w14:paraId="066D13EC" w14:textId="0EDFC677" w:rsidR="00BE79E0" w:rsidRDefault="00BE79E0" w:rsidP="00BE79E0">
                  <w:pPr>
                    <w:pStyle w:val="Body"/>
                    <w:rPr>
                      <w:rFonts w:eastAsia="Arial" w:cs="Arial"/>
                      <w:color w:val="000000" w:themeColor="text1"/>
                      <w:szCs w:val="21"/>
                    </w:rPr>
                  </w:pPr>
                  <w:r>
                    <w:rPr>
                      <w:rFonts w:eastAsia="Arial" w:cs="Arial"/>
                      <w:color w:val="000000" w:themeColor="text1"/>
                      <w:szCs w:val="21"/>
                      <w:lang w:val="en-GB"/>
                    </w:rPr>
                    <w:t>1</w:t>
                  </w:r>
                  <w:r w:rsidRPr="2FCD7E10">
                    <w:rPr>
                      <w:rFonts w:eastAsia="Arial" w:cs="Arial"/>
                      <w:color w:val="000000" w:themeColor="text1"/>
                      <w:szCs w:val="21"/>
                      <w:lang w:val="en-GB"/>
                    </w:rPr>
                    <w:t>.0</w:t>
                  </w:r>
                </w:p>
              </w:tc>
              <w:tc>
                <w:tcPr>
                  <w:tcW w:w="3400" w:type="dxa"/>
                  <w:tcMar>
                    <w:left w:w="105" w:type="dxa"/>
                    <w:right w:w="105" w:type="dxa"/>
                  </w:tcMar>
                </w:tcPr>
                <w:p w14:paraId="21A202B4" w14:textId="77777777" w:rsidR="00BE79E0" w:rsidRDefault="00BE79E0" w:rsidP="00BE79E0">
                  <w:pPr>
                    <w:pStyle w:val="Body"/>
                    <w:rPr>
                      <w:rFonts w:eastAsia="Arial" w:cs="Arial"/>
                      <w:color w:val="000000" w:themeColor="text1"/>
                      <w:szCs w:val="21"/>
                    </w:rPr>
                  </w:pPr>
                  <w:r w:rsidRPr="2FCD7E10">
                    <w:rPr>
                      <w:rFonts w:eastAsia="Arial" w:cs="Arial"/>
                      <w:color w:val="000000" w:themeColor="text1"/>
                      <w:szCs w:val="21"/>
                      <w:lang w:val="en-GB"/>
                    </w:rPr>
                    <w:t>Mary Benson</w:t>
                  </w:r>
                </w:p>
              </w:tc>
              <w:tc>
                <w:tcPr>
                  <w:tcW w:w="3400" w:type="dxa"/>
                  <w:tcMar>
                    <w:left w:w="105" w:type="dxa"/>
                    <w:right w:w="105" w:type="dxa"/>
                  </w:tcMar>
                </w:tcPr>
                <w:p w14:paraId="5F4E6F2F" w14:textId="5AB8EAB8" w:rsidR="00BE79E0" w:rsidRDefault="00BE79E0" w:rsidP="00BE79E0">
                  <w:pPr>
                    <w:pStyle w:val="Body"/>
                    <w:rPr>
                      <w:rFonts w:eastAsia="Arial" w:cs="Arial"/>
                      <w:color w:val="000000" w:themeColor="text1"/>
                      <w:szCs w:val="21"/>
                      <w:lang w:val="en-GB"/>
                    </w:rPr>
                  </w:pPr>
                  <w:r w:rsidRPr="2FCD7E10">
                    <w:rPr>
                      <w:rFonts w:eastAsia="Arial" w:cs="Arial"/>
                      <w:color w:val="000000" w:themeColor="text1"/>
                      <w:szCs w:val="21"/>
                      <w:lang w:val="en-GB"/>
                    </w:rPr>
                    <w:t>13</w:t>
                  </w:r>
                  <w:r>
                    <w:rPr>
                      <w:rFonts w:eastAsia="Arial" w:cs="Arial"/>
                      <w:color w:val="000000" w:themeColor="text1"/>
                      <w:szCs w:val="21"/>
                      <w:lang w:val="en-GB"/>
                    </w:rPr>
                    <w:t xml:space="preserve"> December</w:t>
                  </w:r>
                  <w:r w:rsidRPr="2FCD7E10">
                    <w:rPr>
                      <w:rFonts w:eastAsia="Arial" w:cs="Arial"/>
                      <w:color w:val="000000" w:themeColor="text1"/>
                      <w:szCs w:val="21"/>
                      <w:lang w:val="en-GB"/>
                    </w:rPr>
                    <w:t xml:space="preserve"> 202</w:t>
                  </w:r>
                  <w:r>
                    <w:rPr>
                      <w:rFonts w:eastAsia="Arial" w:cs="Arial"/>
                      <w:color w:val="000000" w:themeColor="text1"/>
                      <w:szCs w:val="21"/>
                      <w:lang w:val="en-GB"/>
                    </w:rPr>
                    <w:t>3</w:t>
                  </w:r>
                </w:p>
              </w:tc>
            </w:tr>
          </w:tbl>
          <w:p w14:paraId="7315BFE8" w14:textId="2653F798" w:rsidR="009F2182" w:rsidRPr="0055119B" w:rsidRDefault="009F2182" w:rsidP="009F2182">
            <w:pPr>
              <w:pStyle w:val="Accessibilitypara"/>
            </w:pPr>
            <w:r>
              <w:t xml:space="preserve">To receive this document in another format, using the National Relay Service 13 36 77 if required, or </w:t>
            </w:r>
            <w:hyperlink r:id="rId18" w:history="1">
              <w:r w:rsidRPr="00F13909">
                <w:rPr>
                  <w:rStyle w:val="Hyperlink"/>
                </w:rPr>
                <w:t>email</w:t>
              </w:r>
              <w:r w:rsidR="00F13909" w:rsidRPr="00F13909">
                <w:rPr>
                  <w:rStyle w:val="Hyperlink"/>
                </w:rPr>
                <w:t xml:space="preserve"> the perioperative framework team</w:t>
              </w:r>
            </w:hyperlink>
            <w:r>
              <w:t xml:space="preserve"> </w:t>
            </w:r>
            <w:r w:rsidR="00361A35">
              <w:t>&lt;</w:t>
            </w:r>
            <w:r w:rsidR="00412985">
              <w:t>perioperativeframework</w:t>
            </w:r>
            <w:r w:rsidR="009B00B6">
              <w:t>@health.vic.gov.au</w:t>
            </w:r>
            <w:r w:rsidR="00361A35">
              <w:t>&gt;</w:t>
            </w:r>
          </w:p>
          <w:p w14:paraId="247025B0" w14:textId="77777777" w:rsidR="009F2182" w:rsidRPr="0055119B" w:rsidRDefault="009F2182" w:rsidP="009F2182">
            <w:pPr>
              <w:pStyle w:val="Imprint"/>
            </w:pPr>
            <w:r w:rsidRPr="0055119B">
              <w:t>Authorised and published by the Victorian Government, 1 Treasury Place, Melbourne.</w:t>
            </w:r>
          </w:p>
          <w:p w14:paraId="7D6294E5" w14:textId="1C5600D9" w:rsidR="009F2182" w:rsidRPr="0055119B" w:rsidRDefault="009F2182" w:rsidP="009F2182">
            <w:pPr>
              <w:pStyle w:val="Imprint"/>
            </w:pPr>
            <w:r w:rsidRPr="0055119B">
              <w:t xml:space="preserve">© State of Victoria, Australia, Department </w:t>
            </w:r>
            <w:r w:rsidRPr="001B058F">
              <w:t xml:space="preserve">of </w:t>
            </w:r>
            <w:r w:rsidR="00D76ECC">
              <w:t>Health</w:t>
            </w:r>
            <w:r w:rsidRPr="0055119B">
              <w:t xml:space="preserve">, </w:t>
            </w:r>
            <w:r w:rsidR="00370A64">
              <w:t>December</w:t>
            </w:r>
            <w:r w:rsidR="008A7549">
              <w:t xml:space="preserve"> 2023</w:t>
            </w:r>
            <w:r w:rsidRPr="0055119B">
              <w:t>.</w:t>
            </w:r>
          </w:p>
          <w:p w14:paraId="31854E06" w14:textId="312C27BB" w:rsidR="009F2182" w:rsidRPr="0055119B" w:rsidRDefault="009F2182" w:rsidP="009F2182">
            <w:pPr>
              <w:pStyle w:val="Imprint"/>
            </w:pPr>
            <w:bookmarkStart w:id="0" w:name="_Hlk62746129"/>
            <w:r w:rsidRPr="0055119B">
              <w:t xml:space="preserve">ISBN/ISSN </w:t>
            </w:r>
            <w:r w:rsidR="00812E4E">
              <w:rPr>
                <w:rFonts w:cs="Arial"/>
                <w:color w:val="000000"/>
              </w:rPr>
              <w:t xml:space="preserve">978-1-76131-426-1 </w:t>
            </w:r>
            <w:r w:rsidRPr="0055119B">
              <w:t>(online/PDF/Word) or (print)</w:t>
            </w:r>
          </w:p>
          <w:p w14:paraId="735482F5" w14:textId="207614AC" w:rsidR="009F2182" w:rsidRDefault="009F2182" w:rsidP="00D10AE3">
            <w:pPr>
              <w:pStyle w:val="Imprint"/>
            </w:pPr>
            <w:r>
              <w:t xml:space="preserve">Available at </w:t>
            </w:r>
            <w:hyperlink r:id="rId19" w:history="1">
              <w:r w:rsidR="005C0479" w:rsidRPr="005C0479">
                <w:rPr>
                  <w:rStyle w:val="Hyperlink"/>
                </w:rPr>
                <w:t>Perioperative service capability framework</w:t>
              </w:r>
            </w:hyperlink>
            <w:r w:rsidR="001D2C94">
              <w:rPr>
                <w:color w:val="004C97"/>
              </w:rPr>
              <w:t xml:space="preserve"> </w:t>
            </w:r>
            <w:r w:rsidR="004F6120">
              <w:t>&lt;</w:t>
            </w:r>
            <w:r w:rsidR="004F6120" w:rsidRPr="004F6120">
              <w:t>https://www.health.vic.gov.au/health-system-design-planning/perioperative-service-capability-framework-for-victoria</w:t>
            </w:r>
            <w:r w:rsidR="004F6120">
              <w:t xml:space="preserve">&gt; </w:t>
            </w:r>
            <w:bookmarkEnd w:id="0"/>
          </w:p>
        </w:tc>
      </w:tr>
      <w:tr w:rsidR="0008204A" w14:paraId="2D9556CB" w14:textId="77777777" w:rsidTr="67F2E2E4">
        <w:trPr>
          <w:cantSplit/>
        </w:trPr>
        <w:tc>
          <w:tcPr>
            <w:tcW w:w="9288" w:type="dxa"/>
          </w:tcPr>
          <w:p w14:paraId="4B26E112" w14:textId="77777777" w:rsidR="0008204A" w:rsidRPr="0055119B" w:rsidRDefault="0008204A" w:rsidP="0008204A">
            <w:pPr>
              <w:pStyle w:val="Body"/>
            </w:pPr>
          </w:p>
        </w:tc>
      </w:tr>
    </w:tbl>
    <w:p w14:paraId="552F68C3" w14:textId="03118B16" w:rsidR="0008204A" w:rsidRPr="0008204A" w:rsidRDefault="0008204A" w:rsidP="0008204A">
      <w:pPr>
        <w:pStyle w:val="Body"/>
      </w:pPr>
    </w:p>
    <w:p w14:paraId="16D2D177" w14:textId="77777777" w:rsidR="00AD784C" w:rsidRPr="00B57329" w:rsidRDefault="00AD784C" w:rsidP="002365B4">
      <w:pPr>
        <w:pStyle w:val="TOCheadingreport"/>
      </w:pPr>
      <w:r w:rsidRPr="00B57329">
        <w:t>Contents</w:t>
      </w:r>
    </w:p>
    <w:p w14:paraId="67D3B9B4" w14:textId="0D97DA41" w:rsidR="0077308D"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53792502" w:history="1">
        <w:r w:rsidR="0077308D" w:rsidRPr="00450FD1">
          <w:rPr>
            <w:rStyle w:val="Hyperlink"/>
          </w:rPr>
          <w:t>About the Perioperative service capability framework</w:t>
        </w:r>
        <w:r w:rsidR="0077308D">
          <w:rPr>
            <w:webHidden/>
          </w:rPr>
          <w:tab/>
        </w:r>
        <w:r w:rsidR="0077308D">
          <w:rPr>
            <w:webHidden/>
          </w:rPr>
          <w:fldChar w:fldCharType="begin"/>
        </w:r>
        <w:r w:rsidR="0077308D">
          <w:rPr>
            <w:webHidden/>
          </w:rPr>
          <w:instrText xml:space="preserve"> PAGEREF _Toc153792502 \h </w:instrText>
        </w:r>
        <w:r w:rsidR="0077308D">
          <w:rPr>
            <w:webHidden/>
          </w:rPr>
        </w:r>
        <w:r w:rsidR="0077308D">
          <w:rPr>
            <w:webHidden/>
          </w:rPr>
          <w:fldChar w:fldCharType="separate"/>
        </w:r>
        <w:r w:rsidR="0077308D">
          <w:rPr>
            <w:webHidden/>
          </w:rPr>
          <w:t>7</w:t>
        </w:r>
        <w:r w:rsidR="0077308D">
          <w:rPr>
            <w:webHidden/>
          </w:rPr>
          <w:fldChar w:fldCharType="end"/>
        </w:r>
      </w:hyperlink>
    </w:p>
    <w:p w14:paraId="4088157E" w14:textId="233446FB" w:rsidR="0077308D" w:rsidRDefault="002A039C">
      <w:pPr>
        <w:pStyle w:val="TOC2"/>
        <w:rPr>
          <w:rFonts w:asciiTheme="minorHAnsi" w:eastAsiaTheme="minorEastAsia" w:hAnsiTheme="minorHAnsi" w:cstheme="minorBidi"/>
          <w:sz w:val="22"/>
          <w:szCs w:val="22"/>
          <w:lang w:eastAsia="en-AU"/>
        </w:rPr>
      </w:pPr>
      <w:hyperlink w:anchor="_Toc153792503" w:history="1">
        <w:r w:rsidR="0077308D" w:rsidRPr="00450FD1">
          <w:rPr>
            <w:rStyle w:val="Hyperlink"/>
          </w:rPr>
          <w:t>Aims</w:t>
        </w:r>
        <w:r w:rsidR="0077308D">
          <w:rPr>
            <w:webHidden/>
          </w:rPr>
          <w:tab/>
        </w:r>
        <w:r w:rsidR="0077308D">
          <w:rPr>
            <w:webHidden/>
          </w:rPr>
          <w:fldChar w:fldCharType="begin"/>
        </w:r>
        <w:r w:rsidR="0077308D">
          <w:rPr>
            <w:webHidden/>
          </w:rPr>
          <w:instrText xml:space="preserve"> PAGEREF _Toc153792503 \h </w:instrText>
        </w:r>
        <w:r w:rsidR="0077308D">
          <w:rPr>
            <w:webHidden/>
          </w:rPr>
        </w:r>
        <w:r w:rsidR="0077308D">
          <w:rPr>
            <w:webHidden/>
          </w:rPr>
          <w:fldChar w:fldCharType="separate"/>
        </w:r>
        <w:r w:rsidR="0077308D">
          <w:rPr>
            <w:webHidden/>
          </w:rPr>
          <w:t>7</w:t>
        </w:r>
        <w:r w:rsidR="0077308D">
          <w:rPr>
            <w:webHidden/>
          </w:rPr>
          <w:fldChar w:fldCharType="end"/>
        </w:r>
      </w:hyperlink>
    </w:p>
    <w:p w14:paraId="3FAD5A37" w14:textId="20FE29C3" w:rsidR="0077308D" w:rsidRDefault="002A039C">
      <w:pPr>
        <w:pStyle w:val="TOC2"/>
        <w:rPr>
          <w:rFonts w:asciiTheme="minorHAnsi" w:eastAsiaTheme="minorEastAsia" w:hAnsiTheme="minorHAnsi" w:cstheme="minorBidi"/>
          <w:sz w:val="22"/>
          <w:szCs w:val="22"/>
          <w:lang w:eastAsia="en-AU"/>
        </w:rPr>
      </w:pPr>
      <w:hyperlink w:anchor="_Toc153792504" w:history="1">
        <w:r w:rsidR="0077308D" w:rsidRPr="00450FD1">
          <w:rPr>
            <w:rStyle w:val="Hyperlink"/>
          </w:rPr>
          <w:t>Purpose</w:t>
        </w:r>
        <w:r w:rsidR="0077308D">
          <w:rPr>
            <w:webHidden/>
          </w:rPr>
          <w:tab/>
        </w:r>
        <w:r w:rsidR="0077308D">
          <w:rPr>
            <w:webHidden/>
          </w:rPr>
          <w:fldChar w:fldCharType="begin"/>
        </w:r>
        <w:r w:rsidR="0077308D">
          <w:rPr>
            <w:webHidden/>
          </w:rPr>
          <w:instrText xml:space="preserve"> PAGEREF _Toc153792504 \h </w:instrText>
        </w:r>
        <w:r w:rsidR="0077308D">
          <w:rPr>
            <w:webHidden/>
          </w:rPr>
        </w:r>
        <w:r w:rsidR="0077308D">
          <w:rPr>
            <w:webHidden/>
          </w:rPr>
          <w:fldChar w:fldCharType="separate"/>
        </w:r>
        <w:r w:rsidR="0077308D">
          <w:rPr>
            <w:webHidden/>
          </w:rPr>
          <w:t>8</w:t>
        </w:r>
        <w:r w:rsidR="0077308D">
          <w:rPr>
            <w:webHidden/>
          </w:rPr>
          <w:fldChar w:fldCharType="end"/>
        </w:r>
      </w:hyperlink>
    </w:p>
    <w:p w14:paraId="786AC8D8" w14:textId="1400F143" w:rsidR="0077308D" w:rsidRDefault="002A039C">
      <w:pPr>
        <w:pStyle w:val="TOC2"/>
        <w:rPr>
          <w:rFonts w:asciiTheme="minorHAnsi" w:eastAsiaTheme="minorEastAsia" w:hAnsiTheme="minorHAnsi" w:cstheme="minorBidi"/>
          <w:sz w:val="22"/>
          <w:szCs w:val="22"/>
          <w:lang w:eastAsia="en-AU"/>
        </w:rPr>
      </w:pPr>
      <w:hyperlink w:anchor="_Toc153792505" w:history="1">
        <w:r w:rsidR="0077308D" w:rsidRPr="00450FD1">
          <w:rPr>
            <w:rStyle w:val="Hyperlink"/>
          </w:rPr>
          <w:t>Guiding principles</w:t>
        </w:r>
        <w:r w:rsidR="0077308D">
          <w:rPr>
            <w:webHidden/>
          </w:rPr>
          <w:tab/>
        </w:r>
        <w:r w:rsidR="0077308D">
          <w:rPr>
            <w:webHidden/>
          </w:rPr>
          <w:fldChar w:fldCharType="begin"/>
        </w:r>
        <w:r w:rsidR="0077308D">
          <w:rPr>
            <w:webHidden/>
          </w:rPr>
          <w:instrText xml:space="preserve"> PAGEREF _Toc153792505 \h </w:instrText>
        </w:r>
        <w:r w:rsidR="0077308D">
          <w:rPr>
            <w:webHidden/>
          </w:rPr>
        </w:r>
        <w:r w:rsidR="0077308D">
          <w:rPr>
            <w:webHidden/>
          </w:rPr>
          <w:fldChar w:fldCharType="separate"/>
        </w:r>
        <w:r w:rsidR="0077308D">
          <w:rPr>
            <w:webHidden/>
          </w:rPr>
          <w:t>8</w:t>
        </w:r>
        <w:r w:rsidR="0077308D">
          <w:rPr>
            <w:webHidden/>
          </w:rPr>
          <w:fldChar w:fldCharType="end"/>
        </w:r>
      </w:hyperlink>
    </w:p>
    <w:p w14:paraId="33A7F0A5" w14:textId="6165ECD8" w:rsidR="0077308D" w:rsidRDefault="002A039C">
      <w:pPr>
        <w:pStyle w:val="TOC2"/>
        <w:rPr>
          <w:rFonts w:asciiTheme="minorHAnsi" w:eastAsiaTheme="minorEastAsia" w:hAnsiTheme="minorHAnsi" w:cstheme="minorBidi"/>
          <w:sz w:val="22"/>
          <w:szCs w:val="22"/>
          <w:lang w:eastAsia="en-AU"/>
        </w:rPr>
      </w:pPr>
      <w:hyperlink w:anchor="_Toc153792506" w:history="1">
        <w:r w:rsidR="0077308D" w:rsidRPr="00450FD1">
          <w:rPr>
            <w:rStyle w:val="Hyperlink"/>
          </w:rPr>
          <w:t>How to use the framework</w:t>
        </w:r>
        <w:r w:rsidR="0077308D">
          <w:rPr>
            <w:webHidden/>
          </w:rPr>
          <w:tab/>
        </w:r>
        <w:r w:rsidR="0077308D">
          <w:rPr>
            <w:webHidden/>
          </w:rPr>
          <w:fldChar w:fldCharType="begin"/>
        </w:r>
        <w:r w:rsidR="0077308D">
          <w:rPr>
            <w:webHidden/>
          </w:rPr>
          <w:instrText xml:space="preserve"> PAGEREF _Toc153792506 \h </w:instrText>
        </w:r>
        <w:r w:rsidR="0077308D">
          <w:rPr>
            <w:webHidden/>
          </w:rPr>
        </w:r>
        <w:r w:rsidR="0077308D">
          <w:rPr>
            <w:webHidden/>
          </w:rPr>
          <w:fldChar w:fldCharType="separate"/>
        </w:r>
        <w:r w:rsidR="0077308D">
          <w:rPr>
            <w:webHidden/>
          </w:rPr>
          <w:t>9</w:t>
        </w:r>
        <w:r w:rsidR="0077308D">
          <w:rPr>
            <w:webHidden/>
          </w:rPr>
          <w:fldChar w:fldCharType="end"/>
        </w:r>
      </w:hyperlink>
    </w:p>
    <w:p w14:paraId="4CC7AC41" w14:textId="08750065" w:rsidR="0077308D" w:rsidRDefault="002A039C">
      <w:pPr>
        <w:pStyle w:val="TOC2"/>
        <w:rPr>
          <w:rFonts w:asciiTheme="minorHAnsi" w:eastAsiaTheme="minorEastAsia" w:hAnsiTheme="minorHAnsi" w:cstheme="minorBidi"/>
          <w:sz w:val="22"/>
          <w:szCs w:val="22"/>
          <w:lang w:eastAsia="en-AU"/>
        </w:rPr>
      </w:pPr>
      <w:hyperlink w:anchor="_Toc153792507" w:history="1">
        <w:r w:rsidR="0077308D" w:rsidRPr="00450FD1">
          <w:rPr>
            <w:rStyle w:val="Hyperlink"/>
            <w:rFonts w:eastAsia="Times"/>
          </w:rPr>
          <w:t>The scope of this framework</w:t>
        </w:r>
        <w:r w:rsidR="0077308D">
          <w:rPr>
            <w:webHidden/>
          </w:rPr>
          <w:tab/>
        </w:r>
        <w:r w:rsidR="0077308D">
          <w:rPr>
            <w:webHidden/>
          </w:rPr>
          <w:fldChar w:fldCharType="begin"/>
        </w:r>
        <w:r w:rsidR="0077308D">
          <w:rPr>
            <w:webHidden/>
          </w:rPr>
          <w:instrText xml:space="preserve"> PAGEREF _Toc153792507 \h </w:instrText>
        </w:r>
        <w:r w:rsidR="0077308D">
          <w:rPr>
            <w:webHidden/>
          </w:rPr>
        </w:r>
        <w:r w:rsidR="0077308D">
          <w:rPr>
            <w:webHidden/>
          </w:rPr>
          <w:fldChar w:fldCharType="separate"/>
        </w:r>
        <w:r w:rsidR="0077308D">
          <w:rPr>
            <w:webHidden/>
          </w:rPr>
          <w:t>9</w:t>
        </w:r>
        <w:r w:rsidR="0077308D">
          <w:rPr>
            <w:webHidden/>
          </w:rPr>
          <w:fldChar w:fldCharType="end"/>
        </w:r>
      </w:hyperlink>
    </w:p>
    <w:p w14:paraId="232809F0" w14:textId="3FC449C2" w:rsidR="0077308D" w:rsidRDefault="002A039C">
      <w:pPr>
        <w:pStyle w:val="TOC2"/>
        <w:rPr>
          <w:rFonts w:asciiTheme="minorHAnsi" w:eastAsiaTheme="minorEastAsia" w:hAnsiTheme="minorHAnsi" w:cstheme="minorBidi"/>
          <w:sz w:val="22"/>
          <w:szCs w:val="22"/>
          <w:lang w:eastAsia="en-AU"/>
        </w:rPr>
      </w:pPr>
      <w:hyperlink w:anchor="_Toc153792508" w:history="1">
        <w:r w:rsidR="0077308D" w:rsidRPr="00450FD1">
          <w:rPr>
            <w:rStyle w:val="Hyperlink"/>
            <w:rFonts w:eastAsia="Times"/>
          </w:rPr>
          <w:t>Role of the department and Safer Care Victoria (SCV)</w:t>
        </w:r>
        <w:r w:rsidR="0077308D">
          <w:rPr>
            <w:webHidden/>
          </w:rPr>
          <w:tab/>
        </w:r>
        <w:r w:rsidR="0077308D">
          <w:rPr>
            <w:webHidden/>
          </w:rPr>
          <w:fldChar w:fldCharType="begin"/>
        </w:r>
        <w:r w:rsidR="0077308D">
          <w:rPr>
            <w:webHidden/>
          </w:rPr>
          <w:instrText xml:space="preserve"> PAGEREF _Toc153792508 \h </w:instrText>
        </w:r>
        <w:r w:rsidR="0077308D">
          <w:rPr>
            <w:webHidden/>
          </w:rPr>
        </w:r>
        <w:r w:rsidR="0077308D">
          <w:rPr>
            <w:webHidden/>
          </w:rPr>
          <w:fldChar w:fldCharType="separate"/>
        </w:r>
        <w:r w:rsidR="0077308D">
          <w:rPr>
            <w:webHidden/>
          </w:rPr>
          <w:t>10</w:t>
        </w:r>
        <w:r w:rsidR="0077308D">
          <w:rPr>
            <w:webHidden/>
          </w:rPr>
          <w:fldChar w:fldCharType="end"/>
        </w:r>
      </w:hyperlink>
    </w:p>
    <w:p w14:paraId="52120B3C" w14:textId="70B12C0D" w:rsidR="0077308D" w:rsidRDefault="002A039C">
      <w:pPr>
        <w:pStyle w:val="TOC2"/>
        <w:rPr>
          <w:rFonts w:asciiTheme="minorHAnsi" w:eastAsiaTheme="minorEastAsia" w:hAnsiTheme="minorHAnsi" w:cstheme="minorBidi"/>
          <w:sz w:val="22"/>
          <w:szCs w:val="22"/>
          <w:lang w:eastAsia="en-AU"/>
        </w:rPr>
      </w:pPr>
      <w:hyperlink w:anchor="_Toc153792509" w:history="1">
        <w:r w:rsidR="0077308D" w:rsidRPr="00450FD1">
          <w:rPr>
            <w:rStyle w:val="Hyperlink"/>
          </w:rPr>
          <w:t>Role of health services</w:t>
        </w:r>
        <w:r w:rsidR="0077308D">
          <w:rPr>
            <w:webHidden/>
          </w:rPr>
          <w:tab/>
        </w:r>
        <w:r w:rsidR="0077308D">
          <w:rPr>
            <w:webHidden/>
          </w:rPr>
          <w:fldChar w:fldCharType="begin"/>
        </w:r>
        <w:r w:rsidR="0077308D">
          <w:rPr>
            <w:webHidden/>
          </w:rPr>
          <w:instrText xml:space="preserve"> PAGEREF _Toc153792509 \h </w:instrText>
        </w:r>
        <w:r w:rsidR="0077308D">
          <w:rPr>
            <w:webHidden/>
          </w:rPr>
        </w:r>
        <w:r w:rsidR="0077308D">
          <w:rPr>
            <w:webHidden/>
          </w:rPr>
          <w:fldChar w:fldCharType="separate"/>
        </w:r>
        <w:r w:rsidR="0077308D">
          <w:rPr>
            <w:webHidden/>
          </w:rPr>
          <w:t>10</w:t>
        </w:r>
        <w:r w:rsidR="0077308D">
          <w:rPr>
            <w:webHidden/>
          </w:rPr>
          <w:fldChar w:fldCharType="end"/>
        </w:r>
      </w:hyperlink>
    </w:p>
    <w:p w14:paraId="1945EED7" w14:textId="660558A8" w:rsidR="0077308D" w:rsidRDefault="002A039C">
      <w:pPr>
        <w:pStyle w:val="TOC1"/>
        <w:rPr>
          <w:rFonts w:asciiTheme="minorHAnsi" w:eastAsiaTheme="minorEastAsia" w:hAnsiTheme="minorHAnsi" w:cstheme="minorBidi"/>
          <w:b w:val="0"/>
          <w:sz w:val="22"/>
          <w:szCs w:val="22"/>
          <w:lang w:eastAsia="en-AU"/>
        </w:rPr>
      </w:pPr>
      <w:hyperlink w:anchor="_Toc153792510" w:history="1">
        <w:r w:rsidR="0077308D" w:rsidRPr="00450FD1">
          <w:rPr>
            <w:rStyle w:val="Hyperlink"/>
          </w:rPr>
          <w:t>Victoria’s perioperative service system</w:t>
        </w:r>
        <w:r w:rsidR="0077308D">
          <w:rPr>
            <w:webHidden/>
          </w:rPr>
          <w:tab/>
        </w:r>
        <w:r w:rsidR="0077308D">
          <w:rPr>
            <w:webHidden/>
          </w:rPr>
          <w:fldChar w:fldCharType="begin"/>
        </w:r>
        <w:r w:rsidR="0077308D">
          <w:rPr>
            <w:webHidden/>
          </w:rPr>
          <w:instrText xml:space="preserve"> PAGEREF _Toc153792510 \h </w:instrText>
        </w:r>
        <w:r w:rsidR="0077308D">
          <w:rPr>
            <w:webHidden/>
          </w:rPr>
        </w:r>
        <w:r w:rsidR="0077308D">
          <w:rPr>
            <w:webHidden/>
          </w:rPr>
          <w:fldChar w:fldCharType="separate"/>
        </w:r>
        <w:r w:rsidR="0077308D">
          <w:rPr>
            <w:webHidden/>
          </w:rPr>
          <w:t>11</w:t>
        </w:r>
        <w:r w:rsidR="0077308D">
          <w:rPr>
            <w:webHidden/>
          </w:rPr>
          <w:fldChar w:fldCharType="end"/>
        </w:r>
      </w:hyperlink>
    </w:p>
    <w:p w14:paraId="2AE8731E" w14:textId="45B75651" w:rsidR="0077308D" w:rsidRDefault="002A039C">
      <w:pPr>
        <w:pStyle w:val="TOC2"/>
        <w:rPr>
          <w:rFonts w:asciiTheme="minorHAnsi" w:eastAsiaTheme="minorEastAsia" w:hAnsiTheme="minorHAnsi" w:cstheme="minorBidi"/>
          <w:sz w:val="22"/>
          <w:szCs w:val="22"/>
          <w:lang w:eastAsia="en-AU"/>
        </w:rPr>
      </w:pPr>
      <w:hyperlink w:anchor="_Toc153792511" w:history="1">
        <w:r w:rsidR="0077308D" w:rsidRPr="00450FD1">
          <w:rPr>
            <w:rStyle w:val="Hyperlink"/>
          </w:rPr>
          <w:t>Perioperative services for children</w:t>
        </w:r>
        <w:r w:rsidR="0077308D">
          <w:rPr>
            <w:webHidden/>
          </w:rPr>
          <w:tab/>
        </w:r>
        <w:r w:rsidR="0077308D">
          <w:rPr>
            <w:webHidden/>
          </w:rPr>
          <w:fldChar w:fldCharType="begin"/>
        </w:r>
        <w:r w:rsidR="0077308D">
          <w:rPr>
            <w:webHidden/>
          </w:rPr>
          <w:instrText xml:space="preserve"> PAGEREF _Toc153792511 \h </w:instrText>
        </w:r>
        <w:r w:rsidR="0077308D">
          <w:rPr>
            <w:webHidden/>
          </w:rPr>
        </w:r>
        <w:r w:rsidR="0077308D">
          <w:rPr>
            <w:webHidden/>
          </w:rPr>
          <w:fldChar w:fldCharType="separate"/>
        </w:r>
        <w:r w:rsidR="0077308D">
          <w:rPr>
            <w:webHidden/>
          </w:rPr>
          <w:t>12</w:t>
        </w:r>
        <w:r w:rsidR="0077308D">
          <w:rPr>
            <w:webHidden/>
          </w:rPr>
          <w:fldChar w:fldCharType="end"/>
        </w:r>
      </w:hyperlink>
    </w:p>
    <w:p w14:paraId="3295048A" w14:textId="4EC429D1" w:rsidR="0077308D" w:rsidRDefault="002A039C">
      <w:pPr>
        <w:pStyle w:val="TOC2"/>
        <w:rPr>
          <w:rFonts w:asciiTheme="minorHAnsi" w:eastAsiaTheme="minorEastAsia" w:hAnsiTheme="minorHAnsi" w:cstheme="minorBidi"/>
          <w:sz w:val="22"/>
          <w:szCs w:val="22"/>
          <w:lang w:eastAsia="en-AU"/>
        </w:rPr>
      </w:pPr>
      <w:hyperlink w:anchor="_Toc153792512" w:history="1">
        <w:r w:rsidR="0077308D" w:rsidRPr="00450FD1">
          <w:rPr>
            <w:rStyle w:val="Hyperlink"/>
            <w:rFonts w:eastAsia="MS Gothic"/>
          </w:rPr>
          <w:t>Safety and quality</w:t>
        </w:r>
        <w:r w:rsidR="0077308D">
          <w:rPr>
            <w:webHidden/>
          </w:rPr>
          <w:tab/>
        </w:r>
        <w:r w:rsidR="0077308D">
          <w:rPr>
            <w:webHidden/>
          </w:rPr>
          <w:fldChar w:fldCharType="begin"/>
        </w:r>
        <w:r w:rsidR="0077308D">
          <w:rPr>
            <w:webHidden/>
          </w:rPr>
          <w:instrText xml:space="preserve"> PAGEREF _Toc153792512 \h </w:instrText>
        </w:r>
        <w:r w:rsidR="0077308D">
          <w:rPr>
            <w:webHidden/>
          </w:rPr>
        </w:r>
        <w:r w:rsidR="0077308D">
          <w:rPr>
            <w:webHidden/>
          </w:rPr>
          <w:fldChar w:fldCharType="separate"/>
        </w:r>
        <w:r w:rsidR="0077308D">
          <w:rPr>
            <w:webHidden/>
          </w:rPr>
          <w:t>14</w:t>
        </w:r>
        <w:r w:rsidR="0077308D">
          <w:rPr>
            <w:webHidden/>
          </w:rPr>
          <w:fldChar w:fldCharType="end"/>
        </w:r>
      </w:hyperlink>
    </w:p>
    <w:p w14:paraId="19DBF648" w14:textId="719DE873" w:rsidR="0077308D" w:rsidRDefault="002A039C">
      <w:pPr>
        <w:pStyle w:val="TOC1"/>
        <w:rPr>
          <w:rFonts w:asciiTheme="minorHAnsi" w:eastAsiaTheme="minorEastAsia" w:hAnsiTheme="minorHAnsi" w:cstheme="minorBidi"/>
          <w:b w:val="0"/>
          <w:sz w:val="22"/>
          <w:szCs w:val="22"/>
          <w:lang w:eastAsia="en-AU"/>
        </w:rPr>
      </w:pPr>
      <w:hyperlink w:anchor="_Toc153792513" w:history="1">
        <w:r w:rsidR="0077308D" w:rsidRPr="00450FD1">
          <w:rPr>
            <w:rStyle w:val="Hyperlink"/>
          </w:rPr>
          <w:t>Section 1. Clinical governance requirements for all levels</w:t>
        </w:r>
        <w:r w:rsidR="0077308D">
          <w:rPr>
            <w:webHidden/>
          </w:rPr>
          <w:tab/>
        </w:r>
        <w:r w:rsidR="0077308D">
          <w:rPr>
            <w:webHidden/>
          </w:rPr>
          <w:fldChar w:fldCharType="begin"/>
        </w:r>
        <w:r w:rsidR="0077308D">
          <w:rPr>
            <w:webHidden/>
          </w:rPr>
          <w:instrText xml:space="preserve"> PAGEREF _Toc153792513 \h </w:instrText>
        </w:r>
        <w:r w:rsidR="0077308D">
          <w:rPr>
            <w:webHidden/>
          </w:rPr>
        </w:r>
        <w:r w:rsidR="0077308D">
          <w:rPr>
            <w:webHidden/>
          </w:rPr>
          <w:fldChar w:fldCharType="separate"/>
        </w:r>
        <w:r w:rsidR="0077308D">
          <w:rPr>
            <w:webHidden/>
          </w:rPr>
          <w:t>15</w:t>
        </w:r>
        <w:r w:rsidR="0077308D">
          <w:rPr>
            <w:webHidden/>
          </w:rPr>
          <w:fldChar w:fldCharType="end"/>
        </w:r>
      </w:hyperlink>
    </w:p>
    <w:p w14:paraId="2683DAF6" w14:textId="234ED353" w:rsidR="0077308D" w:rsidRDefault="002A039C">
      <w:pPr>
        <w:pStyle w:val="TOC1"/>
        <w:rPr>
          <w:rFonts w:asciiTheme="minorHAnsi" w:eastAsiaTheme="minorEastAsia" w:hAnsiTheme="minorHAnsi" w:cstheme="minorBidi"/>
          <w:b w:val="0"/>
          <w:sz w:val="22"/>
          <w:szCs w:val="22"/>
          <w:lang w:eastAsia="en-AU"/>
        </w:rPr>
      </w:pPr>
      <w:hyperlink w:anchor="_Toc153792514" w:history="1">
        <w:r w:rsidR="0077308D" w:rsidRPr="00450FD1">
          <w:rPr>
            <w:rStyle w:val="Hyperlink"/>
          </w:rPr>
          <w:t>Section 2. Perioperative capability levels</w:t>
        </w:r>
        <w:r w:rsidR="0077308D">
          <w:rPr>
            <w:webHidden/>
          </w:rPr>
          <w:tab/>
        </w:r>
        <w:r w:rsidR="0077308D">
          <w:rPr>
            <w:webHidden/>
          </w:rPr>
          <w:fldChar w:fldCharType="begin"/>
        </w:r>
        <w:r w:rsidR="0077308D">
          <w:rPr>
            <w:webHidden/>
          </w:rPr>
          <w:instrText xml:space="preserve"> PAGEREF _Toc153792514 \h </w:instrText>
        </w:r>
        <w:r w:rsidR="0077308D">
          <w:rPr>
            <w:webHidden/>
          </w:rPr>
        </w:r>
        <w:r w:rsidR="0077308D">
          <w:rPr>
            <w:webHidden/>
          </w:rPr>
          <w:fldChar w:fldCharType="separate"/>
        </w:r>
        <w:r w:rsidR="0077308D">
          <w:rPr>
            <w:webHidden/>
          </w:rPr>
          <w:t>19</w:t>
        </w:r>
        <w:r w:rsidR="0077308D">
          <w:rPr>
            <w:webHidden/>
          </w:rPr>
          <w:fldChar w:fldCharType="end"/>
        </w:r>
      </w:hyperlink>
    </w:p>
    <w:p w14:paraId="2B73C8B0" w14:textId="3B250234" w:rsidR="0077308D" w:rsidRDefault="002A039C">
      <w:pPr>
        <w:pStyle w:val="TOC2"/>
        <w:rPr>
          <w:rFonts w:asciiTheme="minorHAnsi" w:eastAsiaTheme="minorEastAsia" w:hAnsiTheme="minorHAnsi" w:cstheme="minorBidi"/>
          <w:sz w:val="22"/>
          <w:szCs w:val="22"/>
          <w:lang w:eastAsia="en-AU"/>
        </w:rPr>
      </w:pPr>
      <w:hyperlink w:anchor="_Toc153792515" w:history="1">
        <w:r w:rsidR="0077308D" w:rsidRPr="00450FD1">
          <w:rPr>
            <w:rStyle w:val="Hyperlink"/>
            <w:rFonts w:eastAsia="Times"/>
          </w:rPr>
          <w:t>Level 1 perioperative services</w:t>
        </w:r>
        <w:r w:rsidR="0077308D">
          <w:rPr>
            <w:webHidden/>
          </w:rPr>
          <w:tab/>
        </w:r>
        <w:r w:rsidR="0077308D">
          <w:rPr>
            <w:webHidden/>
          </w:rPr>
          <w:fldChar w:fldCharType="begin"/>
        </w:r>
        <w:r w:rsidR="0077308D">
          <w:rPr>
            <w:webHidden/>
          </w:rPr>
          <w:instrText xml:space="preserve"> PAGEREF _Toc153792515 \h </w:instrText>
        </w:r>
        <w:r w:rsidR="0077308D">
          <w:rPr>
            <w:webHidden/>
          </w:rPr>
        </w:r>
        <w:r w:rsidR="0077308D">
          <w:rPr>
            <w:webHidden/>
          </w:rPr>
          <w:fldChar w:fldCharType="separate"/>
        </w:r>
        <w:r w:rsidR="0077308D">
          <w:rPr>
            <w:webHidden/>
          </w:rPr>
          <w:t>20</w:t>
        </w:r>
        <w:r w:rsidR="0077308D">
          <w:rPr>
            <w:webHidden/>
          </w:rPr>
          <w:fldChar w:fldCharType="end"/>
        </w:r>
      </w:hyperlink>
    </w:p>
    <w:p w14:paraId="13E6E00E" w14:textId="732F072E" w:rsidR="0077308D" w:rsidRDefault="002A039C">
      <w:pPr>
        <w:pStyle w:val="TOC2"/>
        <w:rPr>
          <w:rFonts w:asciiTheme="minorHAnsi" w:eastAsiaTheme="minorEastAsia" w:hAnsiTheme="minorHAnsi" w:cstheme="minorBidi"/>
          <w:sz w:val="22"/>
          <w:szCs w:val="22"/>
          <w:lang w:eastAsia="en-AU"/>
        </w:rPr>
      </w:pPr>
      <w:hyperlink w:anchor="_Toc153792516" w:history="1">
        <w:r w:rsidR="0077308D" w:rsidRPr="00450FD1">
          <w:rPr>
            <w:rStyle w:val="Hyperlink"/>
            <w:rFonts w:eastAsia="Times"/>
          </w:rPr>
          <w:t>Level 2 perioperative services</w:t>
        </w:r>
        <w:r w:rsidR="0077308D">
          <w:rPr>
            <w:webHidden/>
          </w:rPr>
          <w:tab/>
        </w:r>
        <w:r w:rsidR="0077308D">
          <w:rPr>
            <w:webHidden/>
          </w:rPr>
          <w:fldChar w:fldCharType="begin"/>
        </w:r>
        <w:r w:rsidR="0077308D">
          <w:rPr>
            <w:webHidden/>
          </w:rPr>
          <w:instrText xml:space="preserve"> PAGEREF _Toc153792516 \h </w:instrText>
        </w:r>
        <w:r w:rsidR="0077308D">
          <w:rPr>
            <w:webHidden/>
          </w:rPr>
        </w:r>
        <w:r w:rsidR="0077308D">
          <w:rPr>
            <w:webHidden/>
          </w:rPr>
          <w:fldChar w:fldCharType="separate"/>
        </w:r>
        <w:r w:rsidR="0077308D">
          <w:rPr>
            <w:webHidden/>
          </w:rPr>
          <w:t>23</w:t>
        </w:r>
        <w:r w:rsidR="0077308D">
          <w:rPr>
            <w:webHidden/>
          </w:rPr>
          <w:fldChar w:fldCharType="end"/>
        </w:r>
      </w:hyperlink>
    </w:p>
    <w:p w14:paraId="1B2E43F1" w14:textId="546B24E8" w:rsidR="0077308D" w:rsidRDefault="002A039C">
      <w:pPr>
        <w:pStyle w:val="TOC2"/>
        <w:rPr>
          <w:rFonts w:asciiTheme="minorHAnsi" w:eastAsiaTheme="minorEastAsia" w:hAnsiTheme="minorHAnsi" w:cstheme="minorBidi"/>
          <w:sz w:val="22"/>
          <w:szCs w:val="22"/>
          <w:lang w:eastAsia="en-AU"/>
        </w:rPr>
      </w:pPr>
      <w:hyperlink w:anchor="_Toc153792517" w:history="1">
        <w:r w:rsidR="0077308D" w:rsidRPr="00450FD1">
          <w:rPr>
            <w:rStyle w:val="Hyperlink"/>
            <w:rFonts w:eastAsia="Times"/>
          </w:rPr>
          <w:t>Level 3 perioperative services</w:t>
        </w:r>
        <w:r w:rsidR="0077308D">
          <w:rPr>
            <w:webHidden/>
          </w:rPr>
          <w:tab/>
        </w:r>
        <w:r w:rsidR="0077308D">
          <w:rPr>
            <w:webHidden/>
          </w:rPr>
          <w:fldChar w:fldCharType="begin"/>
        </w:r>
        <w:r w:rsidR="0077308D">
          <w:rPr>
            <w:webHidden/>
          </w:rPr>
          <w:instrText xml:space="preserve"> PAGEREF _Toc153792517 \h </w:instrText>
        </w:r>
        <w:r w:rsidR="0077308D">
          <w:rPr>
            <w:webHidden/>
          </w:rPr>
        </w:r>
        <w:r w:rsidR="0077308D">
          <w:rPr>
            <w:webHidden/>
          </w:rPr>
          <w:fldChar w:fldCharType="separate"/>
        </w:r>
        <w:r w:rsidR="0077308D">
          <w:rPr>
            <w:webHidden/>
          </w:rPr>
          <w:t>28</w:t>
        </w:r>
        <w:r w:rsidR="0077308D">
          <w:rPr>
            <w:webHidden/>
          </w:rPr>
          <w:fldChar w:fldCharType="end"/>
        </w:r>
      </w:hyperlink>
    </w:p>
    <w:p w14:paraId="58F139A2" w14:textId="5E5579E4" w:rsidR="0077308D" w:rsidRDefault="002A039C">
      <w:pPr>
        <w:pStyle w:val="TOC2"/>
        <w:rPr>
          <w:rFonts w:asciiTheme="minorHAnsi" w:eastAsiaTheme="minorEastAsia" w:hAnsiTheme="minorHAnsi" w:cstheme="minorBidi"/>
          <w:sz w:val="22"/>
          <w:szCs w:val="22"/>
          <w:lang w:eastAsia="en-AU"/>
        </w:rPr>
      </w:pPr>
      <w:hyperlink w:anchor="_Toc153792518" w:history="1">
        <w:r w:rsidR="0077308D" w:rsidRPr="00450FD1">
          <w:rPr>
            <w:rStyle w:val="Hyperlink"/>
            <w:rFonts w:eastAsia="Times"/>
          </w:rPr>
          <w:t>Level 4 perioperative services</w:t>
        </w:r>
        <w:r w:rsidR="0077308D">
          <w:rPr>
            <w:webHidden/>
          </w:rPr>
          <w:tab/>
        </w:r>
        <w:r w:rsidR="0077308D">
          <w:rPr>
            <w:webHidden/>
          </w:rPr>
          <w:fldChar w:fldCharType="begin"/>
        </w:r>
        <w:r w:rsidR="0077308D">
          <w:rPr>
            <w:webHidden/>
          </w:rPr>
          <w:instrText xml:space="preserve"> PAGEREF _Toc153792518 \h </w:instrText>
        </w:r>
        <w:r w:rsidR="0077308D">
          <w:rPr>
            <w:webHidden/>
          </w:rPr>
        </w:r>
        <w:r w:rsidR="0077308D">
          <w:rPr>
            <w:webHidden/>
          </w:rPr>
          <w:fldChar w:fldCharType="separate"/>
        </w:r>
        <w:r w:rsidR="0077308D">
          <w:rPr>
            <w:webHidden/>
          </w:rPr>
          <w:t>32</w:t>
        </w:r>
        <w:r w:rsidR="0077308D">
          <w:rPr>
            <w:webHidden/>
          </w:rPr>
          <w:fldChar w:fldCharType="end"/>
        </w:r>
      </w:hyperlink>
    </w:p>
    <w:p w14:paraId="393CE7D3" w14:textId="64ACDC72" w:rsidR="0077308D" w:rsidRDefault="002A039C">
      <w:pPr>
        <w:pStyle w:val="TOC2"/>
        <w:rPr>
          <w:rFonts w:asciiTheme="minorHAnsi" w:eastAsiaTheme="minorEastAsia" w:hAnsiTheme="minorHAnsi" w:cstheme="minorBidi"/>
          <w:sz w:val="22"/>
          <w:szCs w:val="22"/>
          <w:lang w:eastAsia="en-AU"/>
        </w:rPr>
      </w:pPr>
      <w:hyperlink w:anchor="_Toc153792519" w:history="1">
        <w:r w:rsidR="0077308D" w:rsidRPr="00450FD1">
          <w:rPr>
            <w:rStyle w:val="Hyperlink"/>
            <w:rFonts w:eastAsia="Times"/>
          </w:rPr>
          <w:t>Level 5 perioperative services</w:t>
        </w:r>
        <w:r w:rsidR="0077308D">
          <w:rPr>
            <w:webHidden/>
          </w:rPr>
          <w:tab/>
        </w:r>
        <w:r w:rsidR="0077308D">
          <w:rPr>
            <w:webHidden/>
          </w:rPr>
          <w:fldChar w:fldCharType="begin"/>
        </w:r>
        <w:r w:rsidR="0077308D">
          <w:rPr>
            <w:webHidden/>
          </w:rPr>
          <w:instrText xml:space="preserve"> PAGEREF _Toc153792519 \h </w:instrText>
        </w:r>
        <w:r w:rsidR="0077308D">
          <w:rPr>
            <w:webHidden/>
          </w:rPr>
        </w:r>
        <w:r w:rsidR="0077308D">
          <w:rPr>
            <w:webHidden/>
          </w:rPr>
          <w:fldChar w:fldCharType="separate"/>
        </w:r>
        <w:r w:rsidR="0077308D">
          <w:rPr>
            <w:webHidden/>
          </w:rPr>
          <w:t>37</w:t>
        </w:r>
        <w:r w:rsidR="0077308D">
          <w:rPr>
            <w:webHidden/>
          </w:rPr>
          <w:fldChar w:fldCharType="end"/>
        </w:r>
      </w:hyperlink>
    </w:p>
    <w:p w14:paraId="709659AC" w14:textId="47688970" w:rsidR="0077308D" w:rsidRDefault="002A039C">
      <w:pPr>
        <w:pStyle w:val="TOC2"/>
        <w:rPr>
          <w:rFonts w:asciiTheme="minorHAnsi" w:eastAsiaTheme="minorEastAsia" w:hAnsiTheme="minorHAnsi" w:cstheme="minorBidi"/>
          <w:sz w:val="22"/>
          <w:szCs w:val="22"/>
          <w:lang w:eastAsia="en-AU"/>
        </w:rPr>
      </w:pPr>
      <w:hyperlink w:anchor="_Toc153792520" w:history="1">
        <w:r w:rsidR="0077308D" w:rsidRPr="00450FD1">
          <w:rPr>
            <w:rStyle w:val="Hyperlink"/>
            <w:rFonts w:eastAsia="Times"/>
          </w:rPr>
          <w:t>Level 6 perioperative services</w:t>
        </w:r>
        <w:r w:rsidR="0077308D">
          <w:rPr>
            <w:webHidden/>
          </w:rPr>
          <w:tab/>
        </w:r>
        <w:r w:rsidR="0077308D">
          <w:rPr>
            <w:webHidden/>
          </w:rPr>
          <w:fldChar w:fldCharType="begin"/>
        </w:r>
        <w:r w:rsidR="0077308D">
          <w:rPr>
            <w:webHidden/>
          </w:rPr>
          <w:instrText xml:space="preserve"> PAGEREF _Toc153792520 \h </w:instrText>
        </w:r>
        <w:r w:rsidR="0077308D">
          <w:rPr>
            <w:webHidden/>
          </w:rPr>
        </w:r>
        <w:r w:rsidR="0077308D">
          <w:rPr>
            <w:webHidden/>
          </w:rPr>
          <w:fldChar w:fldCharType="separate"/>
        </w:r>
        <w:r w:rsidR="0077308D">
          <w:rPr>
            <w:webHidden/>
          </w:rPr>
          <w:t>41</w:t>
        </w:r>
        <w:r w:rsidR="0077308D">
          <w:rPr>
            <w:webHidden/>
          </w:rPr>
          <w:fldChar w:fldCharType="end"/>
        </w:r>
      </w:hyperlink>
    </w:p>
    <w:p w14:paraId="52FB1B63" w14:textId="25394B65" w:rsidR="0077308D" w:rsidRDefault="002A039C">
      <w:pPr>
        <w:pStyle w:val="TOC1"/>
        <w:rPr>
          <w:rFonts w:asciiTheme="minorHAnsi" w:eastAsiaTheme="minorEastAsia" w:hAnsiTheme="minorHAnsi" w:cstheme="minorBidi"/>
          <w:b w:val="0"/>
          <w:sz w:val="22"/>
          <w:szCs w:val="22"/>
          <w:lang w:eastAsia="en-AU"/>
        </w:rPr>
      </w:pPr>
      <w:hyperlink w:anchor="_Toc153792521" w:history="1">
        <w:r w:rsidR="0077308D" w:rsidRPr="00450FD1">
          <w:rPr>
            <w:rStyle w:val="Hyperlink"/>
          </w:rPr>
          <w:t>Glossary</w:t>
        </w:r>
        <w:r w:rsidR="0077308D">
          <w:rPr>
            <w:webHidden/>
          </w:rPr>
          <w:tab/>
        </w:r>
        <w:r w:rsidR="0077308D">
          <w:rPr>
            <w:webHidden/>
          </w:rPr>
          <w:fldChar w:fldCharType="begin"/>
        </w:r>
        <w:r w:rsidR="0077308D">
          <w:rPr>
            <w:webHidden/>
          </w:rPr>
          <w:instrText xml:space="preserve"> PAGEREF _Toc153792521 \h </w:instrText>
        </w:r>
        <w:r w:rsidR="0077308D">
          <w:rPr>
            <w:webHidden/>
          </w:rPr>
        </w:r>
        <w:r w:rsidR="0077308D">
          <w:rPr>
            <w:webHidden/>
          </w:rPr>
          <w:fldChar w:fldCharType="separate"/>
        </w:r>
        <w:r w:rsidR="0077308D">
          <w:rPr>
            <w:webHidden/>
          </w:rPr>
          <w:t>45</w:t>
        </w:r>
        <w:r w:rsidR="0077308D">
          <w:rPr>
            <w:webHidden/>
          </w:rPr>
          <w:fldChar w:fldCharType="end"/>
        </w:r>
      </w:hyperlink>
    </w:p>
    <w:p w14:paraId="06568135" w14:textId="4D241A42" w:rsidR="0077308D" w:rsidRDefault="002A039C">
      <w:pPr>
        <w:pStyle w:val="TOC1"/>
        <w:rPr>
          <w:rFonts w:asciiTheme="minorHAnsi" w:eastAsiaTheme="minorEastAsia" w:hAnsiTheme="minorHAnsi" w:cstheme="minorBidi"/>
          <w:b w:val="0"/>
          <w:sz w:val="22"/>
          <w:szCs w:val="22"/>
          <w:lang w:eastAsia="en-AU"/>
        </w:rPr>
      </w:pPr>
      <w:hyperlink w:anchor="_Toc153792522" w:history="1">
        <w:r w:rsidR="0077308D" w:rsidRPr="00450FD1">
          <w:rPr>
            <w:rStyle w:val="Hyperlink"/>
          </w:rPr>
          <w:t>List of acronyms</w:t>
        </w:r>
        <w:r w:rsidR="0077308D">
          <w:rPr>
            <w:webHidden/>
          </w:rPr>
          <w:tab/>
        </w:r>
        <w:r w:rsidR="0077308D">
          <w:rPr>
            <w:webHidden/>
          </w:rPr>
          <w:fldChar w:fldCharType="begin"/>
        </w:r>
        <w:r w:rsidR="0077308D">
          <w:rPr>
            <w:webHidden/>
          </w:rPr>
          <w:instrText xml:space="preserve"> PAGEREF _Toc153792522 \h </w:instrText>
        </w:r>
        <w:r w:rsidR="0077308D">
          <w:rPr>
            <w:webHidden/>
          </w:rPr>
        </w:r>
        <w:r w:rsidR="0077308D">
          <w:rPr>
            <w:webHidden/>
          </w:rPr>
          <w:fldChar w:fldCharType="separate"/>
        </w:r>
        <w:r w:rsidR="0077308D">
          <w:rPr>
            <w:webHidden/>
          </w:rPr>
          <w:t>53</w:t>
        </w:r>
        <w:r w:rsidR="0077308D">
          <w:rPr>
            <w:webHidden/>
          </w:rPr>
          <w:fldChar w:fldCharType="end"/>
        </w:r>
      </w:hyperlink>
    </w:p>
    <w:p w14:paraId="3FA7725F" w14:textId="4E60DE20" w:rsidR="0077308D" w:rsidRDefault="002A039C">
      <w:pPr>
        <w:pStyle w:val="TOC1"/>
        <w:rPr>
          <w:rFonts w:asciiTheme="minorHAnsi" w:eastAsiaTheme="minorEastAsia" w:hAnsiTheme="minorHAnsi" w:cstheme="minorBidi"/>
          <w:b w:val="0"/>
          <w:sz w:val="22"/>
          <w:szCs w:val="22"/>
          <w:lang w:eastAsia="en-AU"/>
        </w:rPr>
      </w:pPr>
      <w:hyperlink w:anchor="_Toc153792523" w:history="1">
        <w:r w:rsidR="0077308D" w:rsidRPr="00450FD1">
          <w:rPr>
            <w:rStyle w:val="Hyperlink"/>
          </w:rPr>
          <w:t>Appendix 1.</w:t>
        </w:r>
        <w:r w:rsidR="0077308D">
          <w:rPr>
            <w:webHidden/>
          </w:rPr>
          <w:tab/>
        </w:r>
        <w:r w:rsidR="0077308D">
          <w:rPr>
            <w:webHidden/>
          </w:rPr>
          <w:fldChar w:fldCharType="begin"/>
        </w:r>
        <w:r w:rsidR="0077308D">
          <w:rPr>
            <w:webHidden/>
          </w:rPr>
          <w:instrText xml:space="preserve"> PAGEREF _Toc153792523 \h </w:instrText>
        </w:r>
        <w:r w:rsidR="0077308D">
          <w:rPr>
            <w:webHidden/>
          </w:rPr>
        </w:r>
        <w:r w:rsidR="0077308D">
          <w:rPr>
            <w:webHidden/>
          </w:rPr>
          <w:fldChar w:fldCharType="separate"/>
        </w:r>
        <w:r w:rsidR="0077308D">
          <w:rPr>
            <w:webHidden/>
          </w:rPr>
          <w:t>54</w:t>
        </w:r>
        <w:r w:rsidR="0077308D">
          <w:rPr>
            <w:webHidden/>
          </w:rPr>
          <w:fldChar w:fldCharType="end"/>
        </w:r>
      </w:hyperlink>
    </w:p>
    <w:p w14:paraId="15DB6F1F" w14:textId="27F379F4" w:rsidR="0077308D" w:rsidRDefault="002A039C">
      <w:pPr>
        <w:pStyle w:val="TOC1"/>
        <w:rPr>
          <w:rFonts w:asciiTheme="minorHAnsi" w:eastAsiaTheme="minorEastAsia" w:hAnsiTheme="minorHAnsi" w:cstheme="minorBidi"/>
          <w:b w:val="0"/>
          <w:sz w:val="22"/>
          <w:szCs w:val="22"/>
          <w:lang w:eastAsia="en-AU"/>
        </w:rPr>
      </w:pPr>
      <w:hyperlink w:anchor="_Toc153792524" w:history="1">
        <w:r w:rsidR="0077308D" w:rsidRPr="00450FD1">
          <w:rPr>
            <w:rStyle w:val="Hyperlink"/>
          </w:rPr>
          <w:t>References and relevant ANZCA position statements</w:t>
        </w:r>
        <w:r w:rsidR="0077308D">
          <w:rPr>
            <w:webHidden/>
          </w:rPr>
          <w:tab/>
        </w:r>
        <w:r w:rsidR="0077308D">
          <w:rPr>
            <w:webHidden/>
          </w:rPr>
          <w:fldChar w:fldCharType="begin"/>
        </w:r>
        <w:r w:rsidR="0077308D">
          <w:rPr>
            <w:webHidden/>
          </w:rPr>
          <w:instrText xml:space="preserve"> PAGEREF _Toc153792524 \h </w:instrText>
        </w:r>
        <w:r w:rsidR="0077308D">
          <w:rPr>
            <w:webHidden/>
          </w:rPr>
        </w:r>
        <w:r w:rsidR="0077308D">
          <w:rPr>
            <w:webHidden/>
          </w:rPr>
          <w:fldChar w:fldCharType="separate"/>
        </w:r>
        <w:r w:rsidR="0077308D">
          <w:rPr>
            <w:webHidden/>
          </w:rPr>
          <w:t>54</w:t>
        </w:r>
        <w:r w:rsidR="0077308D">
          <w:rPr>
            <w:webHidden/>
          </w:rPr>
          <w:fldChar w:fldCharType="end"/>
        </w:r>
      </w:hyperlink>
    </w:p>
    <w:p w14:paraId="47CBDA21" w14:textId="1E42AC1D" w:rsidR="00FB1F6E" w:rsidRDefault="00AD784C" w:rsidP="00D079AA">
      <w:pPr>
        <w:pStyle w:val="Body"/>
      </w:pPr>
      <w:r>
        <w:fldChar w:fldCharType="end"/>
      </w:r>
    </w:p>
    <w:p w14:paraId="727C0A56" w14:textId="77777777" w:rsidR="00FB1F6E" w:rsidRDefault="00FB1F6E">
      <w:pPr>
        <w:spacing w:after="0" w:line="240" w:lineRule="auto"/>
        <w:rPr>
          <w:rFonts w:eastAsia="Times"/>
        </w:rPr>
      </w:pPr>
      <w:r>
        <w:br w:type="page"/>
      </w:r>
    </w:p>
    <w:p w14:paraId="1BA58A18" w14:textId="77777777" w:rsidR="00454A7D" w:rsidRDefault="00454A7D">
      <w:pPr>
        <w:spacing w:after="0" w:line="240" w:lineRule="auto"/>
        <w:rPr>
          <w:rFonts w:eastAsia="MS Gothic" w:cs="Arial"/>
          <w:bCs/>
          <w:color w:val="53565A"/>
          <w:kern w:val="32"/>
          <w:sz w:val="44"/>
          <w:szCs w:val="44"/>
        </w:rPr>
      </w:pPr>
      <w:r>
        <w:br w:type="page"/>
      </w:r>
    </w:p>
    <w:p w14:paraId="52674279" w14:textId="546A3964" w:rsidR="00281C2F" w:rsidRPr="00A71CE4" w:rsidRDefault="00281C2F" w:rsidP="00ED79A6">
      <w:pPr>
        <w:pStyle w:val="Heading1"/>
      </w:pPr>
      <w:bookmarkStart w:id="1" w:name="_Toc148718441"/>
      <w:bookmarkStart w:id="2" w:name="_Toc153792502"/>
      <w:r>
        <w:t>About t</w:t>
      </w:r>
      <w:r w:rsidRPr="003F4659">
        <w:t xml:space="preserve">he </w:t>
      </w:r>
      <w:r w:rsidR="000F0019">
        <w:t>P</w:t>
      </w:r>
      <w:r w:rsidRPr="003F4659">
        <w:t xml:space="preserve">erioperative service </w:t>
      </w:r>
      <w:r w:rsidRPr="00ED79A6">
        <w:t>capability</w:t>
      </w:r>
      <w:r w:rsidRPr="003F4659">
        <w:t xml:space="preserve"> framework</w:t>
      </w:r>
      <w:bookmarkEnd w:id="1"/>
      <w:bookmarkEnd w:id="2"/>
      <w:r w:rsidRPr="003F4659">
        <w:t xml:space="preserve"> </w:t>
      </w:r>
    </w:p>
    <w:p w14:paraId="5E6DEB88" w14:textId="77777777" w:rsidR="00281C2F" w:rsidRDefault="00281C2F" w:rsidP="00281C2F">
      <w:pPr>
        <w:pStyle w:val="Body"/>
      </w:pPr>
      <w:r w:rsidRPr="004C3D49">
        <w:t>Victoria's health system and its perioperative services aim to deliver the best care, at the right time, in the right place</w:t>
      </w:r>
      <w:r>
        <w:t>.</w:t>
      </w:r>
    </w:p>
    <w:p w14:paraId="39F19680" w14:textId="445FD89B" w:rsidR="00281C2F" w:rsidRDefault="00281C2F" w:rsidP="00281C2F">
      <w:pPr>
        <w:pStyle w:val="Body"/>
      </w:pPr>
      <w:r w:rsidRPr="00EA164F">
        <w:t xml:space="preserve">Perioperative </w:t>
      </w:r>
      <w:r w:rsidRPr="00E8403E">
        <w:t>care</w:t>
      </w:r>
      <w:r w:rsidRPr="00EA164F">
        <w:t xml:space="preserve"> refers to the continuum of</w:t>
      </w:r>
      <w:r>
        <w:t xml:space="preserve"> </w:t>
      </w:r>
      <w:r w:rsidRPr="00EA164F">
        <w:t>multidisciplinary and patient-centred care that</w:t>
      </w:r>
      <w:r>
        <w:t xml:space="preserve"> </w:t>
      </w:r>
      <w:r w:rsidRPr="00EA164F">
        <w:t xml:space="preserve">is provided before, during and after </w:t>
      </w:r>
      <w:r w:rsidRPr="008D3FCE">
        <w:t>surgery</w:t>
      </w:r>
      <w:r w:rsidRPr="008D3FCE">
        <w:rPr>
          <w:rStyle w:val="FootnoteReference"/>
        </w:rPr>
        <w:footnoteReference w:id="2"/>
      </w:r>
      <w:r w:rsidRPr="008D3FCE">
        <w:t xml:space="preserve">. This includes the integrated, planned and personalised approach to patient care before, during and after a surgical procedure involving </w:t>
      </w:r>
      <w:r w:rsidRPr="002E3376">
        <w:t>anaesthe</w:t>
      </w:r>
      <w:r w:rsidR="002E3376" w:rsidRPr="002E3376">
        <w:t>sia</w:t>
      </w:r>
      <w:r w:rsidRPr="008D3FCE">
        <w:t>.</w:t>
      </w:r>
    </w:p>
    <w:p w14:paraId="04277B07" w14:textId="77777777" w:rsidR="00281C2F" w:rsidRDefault="00281C2F" w:rsidP="00281C2F">
      <w:pPr>
        <w:pStyle w:val="Body"/>
      </w:pPr>
      <w:r w:rsidRPr="009D4761">
        <w:t xml:space="preserve">The Perioperative </w:t>
      </w:r>
      <w:r>
        <w:t>service</w:t>
      </w:r>
      <w:r w:rsidRPr="009D4761">
        <w:t xml:space="preserve"> </w:t>
      </w:r>
      <w:r>
        <w:t>c</w:t>
      </w:r>
      <w:r w:rsidRPr="009D4761">
        <w:t xml:space="preserve">apability </w:t>
      </w:r>
      <w:r>
        <w:t>f</w:t>
      </w:r>
      <w:r w:rsidRPr="009D4761">
        <w:t>ramework (the framework)</w:t>
      </w:r>
      <w:r w:rsidRPr="00F91A42">
        <w:t xml:space="preserve"> </w:t>
      </w:r>
      <w:r>
        <w:t>recognises that</w:t>
      </w:r>
      <w:r w:rsidRPr="005E5463">
        <w:t xml:space="preserve"> </w:t>
      </w:r>
      <w:r>
        <w:t>provision of</w:t>
      </w:r>
      <w:r w:rsidRPr="00F91A42">
        <w:t xml:space="preserve"> the best</w:t>
      </w:r>
      <w:r>
        <w:t xml:space="preserve"> perioperative</w:t>
      </w:r>
      <w:r w:rsidRPr="00F91A42">
        <w:t xml:space="preserve"> care</w:t>
      </w:r>
      <w:r>
        <w:t xml:space="preserve"> depends on many factors. These may include </w:t>
      </w:r>
      <w:r w:rsidRPr="00F91A42">
        <w:t xml:space="preserve">the patient's needs, the </w:t>
      </w:r>
      <w:r w:rsidRPr="002E3376">
        <w:t>anaesthetic</w:t>
      </w:r>
      <w:r w:rsidRPr="00F91A42">
        <w:t xml:space="preserve"> and </w:t>
      </w:r>
      <w:r>
        <w:t xml:space="preserve">the </w:t>
      </w:r>
      <w:r w:rsidRPr="00F91A42">
        <w:t>procedure to be provided, as well as the workforce</w:t>
      </w:r>
      <w:r>
        <w:t xml:space="preserve">, clinical support services and infrastructure available at a health service campus (individual hospital). </w:t>
      </w:r>
    </w:p>
    <w:p w14:paraId="79A77CCD" w14:textId="77777777" w:rsidR="00281C2F" w:rsidRPr="00F91A42" w:rsidRDefault="00281C2F" w:rsidP="00281C2F">
      <w:pPr>
        <w:pStyle w:val="Body"/>
      </w:pPr>
      <w:r>
        <w:t>T</w:t>
      </w:r>
      <w:r w:rsidRPr="343A654F">
        <w:t xml:space="preserve">he </w:t>
      </w:r>
      <w:r>
        <w:t xml:space="preserve">most appropriate </w:t>
      </w:r>
      <w:r w:rsidRPr="343A654F">
        <w:t>care for patients</w:t>
      </w:r>
      <w:r>
        <w:t xml:space="preserve"> having a procedure</w:t>
      </w:r>
      <w:r w:rsidRPr="343A654F">
        <w:t xml:space="preserve"> may not be in the same </w:t>
      </w:r>
      <w:r>
        <w:t>health service campus</w:t>
      </w:r>
      <w:r w:rsidRPr="343A654F">
        <w:t>.</w:t>
      </w:r>
      <w:r>
        <w:t xml:space="preserve"> P</w:t>
      </w:r>
      <w:r w:rsidRPr="343A654F">
        <w:t xml:space="preserve">atients have </w:t>
      </w:r>
      <w:r>
        <w:t>different</w:t>
      </w:r>
      <w:r w:rsidRPr="343A654F">
        <w:t xml:space="preserve"> risk profile</w:t>
      </w:r>
      <w:r>
        <w:t>s</w:t>
      </w:r>
      <w:r w:rsidRPr="343A654F">
        <w:t xml:space="preserve"> due to</w:t>
      </w:r>
      <w:r>
        <w:t xml:space="preserve"> their</w:t>
      </w:r>
      <w:r w:rsidRPr="343A654F">
        <w:t xml:space="preserve"> </w:t>
      </w:r>
      <w:r>
        <w:t>health</w:t>
      </w:r>
      <w:r w:rsidRPr="343A654F">
        <w:t>, age and other factors</w:t>
      </w:r>
      <w:r>
        <w:t>. Different</w:t>
      </w:r>
      <w:r w:rsidRPr="343A654F" w:rsidDel="00D55AE0">
        <w:t xml:space="preserve"> procedures require </w:t>
      </w:r>
      <w:r>
        <w:t>different</w:t>
      </w:r>
      <w:r w:rsidRPr="343A654F" w:rsidDel="00D55AE0">
        <w:t xml:space="preserve"> resources to achieve </w:t>
      </w:r>
      <w:r w:rsidDel="00D55AE0">
        <w:t>the best</w:t>
      </w:r>
      <w:r w:rsidRPr="343A654F" w:rsidDel="00D55AE0">
        <w:t xml:space="preserve"> outcome</w:t>
      </w:r>
      <w:r>
        <w:t>. The</w:t>
      </w:r>
      <w:r w:rsidRPr="009D4761" w:rsidDel="00D55AE0">
        <w:t xml:space="preserve"> framework </w:t>
      </w:r>
      <w:r w:rsidDel="00D55AE0">
        <w:t>describes</w:t>
      </w:r>
      <w:r w:rsidRPr="343A654F" w:rsidDel="00D55AE0">
        <w:t xml:space="preserve"> the </w:t>
      </w:r>
      <w:r>
        <w:t>minimum</w:t>
      </w:r>
      <w:r w:rsidRPr="343A654F" w:rsidDel="00D55AE0">
        <w:t xml:space="preserve"> </w:t>
      </w:r>
      <w:r w:rsidDel="00D55AE0">
        <w:t>capability</w:t>
      </w:r>
      <w:r w:rsidRPr="343A654F" w:rsidDel="00D55AE0">
        <w:t xml:space="preserve"> where </w:t>
      </w:r>
      <w:r>
        <w:t>procedures</w:t>
      </w:r>
      <w:r w:rsidRPr="343A654F" w:rsidDel="00D55AE0">
        <w:t xml:space="preserve"> should be </w:t>
      </w:r>
      <w:r>
        <w:t>provided</w:t>
      </w:r>
      <w:r w:rsidRPr="343A654F">
        <w:t>.</w:t>
      </w:r>
      <w:r>
        <w:t xml:space="preserve"> </w:t>
      </w:r>
    </w:p>
    <w:p w14:paraId="296BCCB2" w14:textId="77777777" w:rsidR="00281C2F" w:rsidRPr="009D4761" w:rsidRDefault="00281C2F" w:rsidP="00281C2F">
      <w:pPr>
        <w:pStyle w:val="Body"/>
      </w:pPr>
      <w:r w:rsidRPr="009D4761">
        <w:t xml:space="preserve">The framework recognises the need for an integrated network of health care within regions, and across the </w:t>
      </w:r>
      <w:r>
        <w:t>s</w:t>
      </w:r>
      <w:r w:rsidRPr="009D4761">
        <w:t>tate, with the expectation that a health service providing perioperative services has pre-arranged referral and</w:t>
      </w:r>
      <w:r w:rsidRPr="009D4761">
        <w:rPr>
          <w:color w:val="ED5C57"/>
          <w:sz w:val="24"/>
          <w:szCs w:val="24"/>
        </w:rPr>
        <w:t xml:space="preserve"> </w:t>
      </w:r>
      <w:r w:rsidRPr="009D4761">
        <w:t>escalation pathways.</w:t>
      </w:r>
    </w:p>
    <w:p w14:paraId="279884D5" w14:textId="1C49830A" w:rsidR="00281C2F" w:rsidRPr="006A7293" w:rsidRDefault="00281C2F" w:rsidP="00281C2F">
      <w:pPr>
        <w:pStyle w:val="Body"/>
        <w:rPr>
          <w:rFonts w:eastAsia="MS Gothic"/>
          <w:i/>
        </w:rPr>
      </w:pPr>
      <w:r w:rsidRPr="00F0619D">
        <w:t>Th</w:t>
      </w:r>
      <w:r>
        <w:t>is</w:t>
      </w:r>
      <w:r w:rsidRPr="00F0619D">
        <w:t xml:space="preserve"> framework is part of a suite of capability frameworks </w:t>
      </w:r>
      <w:r>
        <w:t>(</w:t>
      </w:r>
      <w:r w:rsidRPr="00F0619D">
        <w:t xml:space="preserve">including the </w:t>
      </w:r>
      <w:r w:rsidRPr="00E1136E">
        <w:rPr>
          <w:i/>
          <w:iCs/>
        </w:rPr>
        <w:t>Maternity and newborn capability framework</w:t>
      </w:r>
      <w:r>
        <w:t xml:space="preserve">, and </w:t>
      </w:r>
      <w:r w:rsidR="00D5335F">
        <w:rPr>
          <w:i/>
          <w:iCs/>
        </w:rPr>
        <w:t>Palliative care</w:t>
      </w:r>
      <w:r w:rsidR="0078154E">
        <w:rPr>
          <w:i/>
          <w:iCs/>
        </w:rPr>
        <w:t xml:space="preserve"> </w:t>
      </w:r>
      <w:r w:rsidRPr="00E1136E">
        <w:rPr>
          <w:i/>
          <w:iCs/>
        </w:rPr>
        <w:t>service capability framework</w:t>
      </w:r>
      <w:r>
        <w:t>)</w:t>
      </w:r>
      <w:r w:rsidRPr="00F0619D">
        <w:t xml:space="preserve">, </w:t>
      </w:r>
      <w:r>
        <w:t>which</w:t>
      </w:r>
      <w:r w:rsidRPr="00F0619D">
        <w:t xml:space="preserve"> work together </w:t>
      </w:r>
      <w:r w:rsidRPr="006A7293">
        <w:rPr>
          <w:rStyle w:val="ui-provider"/>
          <w:rFonts w:eastAsia="MS Gothic"/>
        </w:rPr>
        <w:t>to describe the clinical, workforce and support services required to deliver safe and high-quality care across the Victorian health system.</w:t>
      </w:r>
    </w:p>
    <w:p w14:paraId="212CB3C0" w14:textId="77777777" w:rsidR="00281C2F" w:rsidRPr="009D4761" w:rsidRDefault="00281C2F" w:rsidP="00281C2F">
      <w:pPr>
        <w:pStyle w:val="Heading2"/>
      </w:pPr>
      <w:bookmarkStart w:id="3" w:name="_Toc148626387"/>
      <w:bookmarkStart w:id="4" w:name="_Toc148718442"/>
      <w:bookmarkStart w:id="5" w:name="_Toc153792503"/>
      <w:r w:rsidRPr="009D4761">
        <w:t>Aims</w:t>
      </w:r>
      <w:bookmarkEnd w:id="3"/>
      <w:bookmarkEnd w:id="4"/>
      <w:bookmarkEnd w:id="5"/>
    </w:p>
    <w:p w14:paraId="4AF89475" w14:textId="77777777" w:rsidR="00281C2F" w:rsidRPr="00C56BC7" w:rsidRDefault="00281C2F" w:rsidP="00281C2F">
      <w:pPr>
        <w:pStyle w:val="Body"/>
      </w:pPr>
      <w:r w:rsidRPr="009D4761">
        <w:t xml:space="preserve">The </w:t>
      </w:r>
      <w:r>
        <w:t>f</w:t>
      </w:r>
      <w:r w:rsidRPr="009D4761">
        <w:t>ramework</w:t>
      </w:r>
      <w:r w:rsidRPr="00C56BC7">
        <w:t xml:space="preserve"> aims to:</w:t>
      </w:r>
    </w:p>
    <w:p w14:paraId="3D641FD3" w14:textId="77777777" w:rsidR="00281C2F" w:rsidRDefault="00281C2F" w:rsidP="0073249D">
      <w:pPr>
        <w:pStyle w:val="Bullet1"/>
        <w:numPr>
          <w:ilvl w:val="0"/>
          <w:numId w:val="7"/>
        </w:numPr>
      </w:pPr>
      <w:r>
        <w:t>enable safe, high-quality care for patients by supporting provision of perioperative services at the right time, in the right place</w:t>
      </w:r>
    </w:p>
    <w:p w14:paraId="4525BAE4" w14:textId="77777777" w:rsidR="00281C2F" w:rsidRDefault="00281C2F" w:rsidP="0073249D">
      <w:pPr>
        <w:pStyle w:val="Bullet1"/>
        <w:numPr>
          <w:ilvl w:val="0"/>
          <w:numId w:val="7"/>
        </w:numPr>
      </w:pPr>
      <w:r>
        <w:t>enable the Department of Health (the department) to better perform its role as system steward by increasing the transparency of health services’ activities and functions</w:t>
      </w:r>
    </w:p>
    <w:p w14:paraId="537FA37B" w14:textId="77777777" w:rsidR="00281C2F" w:rsidRDefault="00281C2F" w:rsidP="0073249D">
      <w:pPr>
        <w:pStyle w:val="Bullet1"/>
        <w:numPr>
          <w:ilvl w:val="0"/>
          <w:numId w:val="7"/>
        </w:numPr>
      </w:pPr>
      <w:r>
        <w:t xml:space="preserve">assist health services to make informed decisions about the resources, partnerships and protocols required to manage different complexities of patient care, and to </w:t>
      </w:r>
      <w:r w:rsidRPr="002A7E55">
        <w:t>mak</w:t>
      </w:r>
      <w:r>
        <w:t>e</w:t>
      </w:r>
      <w:r w:rsidRPr="002A7E55">
        <w:t xml:space="preserve"> clear and timely decisions regarding </w:t>
      </w:r>
      <w:r>
        <w:t xml:space="preserve">care </w:t>
      </w:r>
      <w:r w:rsidRPr="002A7E55">
        <w:t>escalat</w:t>
      </w:r>
      <w:r>
        <w:t>ion</w:t>
      </w:r>
    </w:p>
    <w:p w14:paraId="62AF79AD" w14:textId="77777777" w:rsidR="00281C2F" w:rsidRDefault="00281C2F" w:rsidP="0073249D">
      <w:pPr>
        <w:pStyle w:val="Bullet1"/>
        <w:numPr>
          <w:ilvl w:val="0"/>
          <w:numId w:val="7"/>
        </w:numPr>
      </w:pPr>
      <w:r>
        <w:t>support planning and perioperative service development at a local level, considering community need</w:t>
      </w:r>
    </w:p>
    <w:p w14:paraId="00DBD371" w14:textId="77777777" w:rsidR="00281C2F" w:rsidRPr="0029666C" w:rsidRDefault="00281C2F" w:rsidP="0073249D">
      <w:pPr>
        <w:pStyle w:val="Bullet1"/>
        <w:numPr>
          <w:ilvl w:val="0"/>
          <w:numId w:val="7"/>
        </w:numPr>
        <w:spacing w:line="270" w:lineRule="atLeast"/>
      </w:pPr>
      <w:r>
        <w:t>support clinicians to partner with patients, and their families and carers, to plan for their care from diagnosis to treatment and follow up.</w:t>
      </w:r>
    </w:p>
    <w:p w14:paraId="0C4B579E" w14:textId="77777777" w:rsidR="00281C2F" w:rsidRPr="008B0141" w:rsidRDefault="00281C2F" w:rsidP="00281C2F">
      <w:pPr>
        <w:pStyle w:val="Heading2"/>
        <w:rPr>
          <w:rFonts w:eastAsia="Times" w:cs="Arial"/>
          <w:bCs/>
        </w:rPr>
      </w:pPr>
      <w:bookmarkStart w:id="6" w:name="_Toc148626388"/>
      <w:bookmarkStart w:id="7" w:name="_Toc148718443"/>
      <w:bookmarkStart w:id="8" w:name="_Toc153792504"/>
      <w:r w:rsidRPr="00A8540B">
        <w:t>Purpose</w:t>
      </w:r>
      <w:bookmarkEnd w:id="6"/>
      <w:bookmarkEnd w:id="7"/>
      <w:bookmarkEnd w:id="8"/>
    </w:p>
    <w:p w14:paraId="416CF967" w14:textId="77777777" w:rsidR="00281C2F" w:rsidRDefault="00281C2F" w:rsidP="00281C2F">
      <w:pPr>
        <w:pStyle w:val="Body"/>
      </w:pPr>
      <w:r w:rsidRPr="009D4761">
        <w:t xml:space="preserve">The framework </w:t>
      </w:r>
      <w:r>
        <w:t>outlines the minimum requirements for the clinical workforce, infrastructure, equipment and clinical support services for health services undertaking planned procedures, to maintain service capability from Level 1 to Level 6. It also outlines universal requirements for clinical governance that all health service campuses should have in place to support safe care.</w:t>
      </w:r>
    </w:p>
    <w:p w14:paraId="0CA8C1D2" w14:textId="77777777" w:rsidR="00281C2F" w:rsidRDefault="00281C2F" w:rsidP="00281C2F">
      <w:pPr>
        <w:pStyle w:val="Body"/>
      </w:pPr>
      <w:r>
        <w:t xml:space="preserve">Level 1 services manage the least-complex, office-based procedures, and Level 6 services manage the highest level of patient complexity, as well as the most complex procedures </w:t>
      </w:r>
      <w:r w:rsidRPr="007149C4">
        <w:t>(</w:t>
      </w:r>
      <w:r w:rsidRPr="00E1136E">
        <w:t>see Figure 1</w:t>
      </w:r>
      <w:r w:rsidRPr="007149C4">
        <w:t>).</w:t>
      </w:r>
      <w:r>
        <w:t xml:space="preserve"> </w:t>
      </w:r>
    </w:p>
    <w:p w14:paraId="0D53D7C2" w14:textId="5033DB31" w:rsidR="2AC4BB28" w:rsidRDefault="00281C2F" w:rsidP="3684E38F">
      <w:pPr>
        <w:pStyle w:val="Figurecaption"/>
      </w:pPr>
      <w:r>
        <w:t xml:space="preserve">Figure </w:t>
      </w:r>
      <w:r>
        <w:fldChar w:fldCharType="begin"/>
      </w:r>
      <w:r>
        <w:instrText>SEQ Figure \* ARABIC</w:instrText>
      </w:r>
      <w:r>
        <w:fldChar w:fldCharType="separate"/>
      </w:r>
      <w:r w:rsidR="006E0585">
        <w:rPr>
          <w:noProof/>
        </w:rPr>
        <w:t>1</w:t>
      </w:r>
      <w:r>
        <w:fldChar w:fldCharType="end"/>
      </w:r>
      <w:r>
        <w:t>. Tiered system of perioperative care</w:t>
      </w:r>
    </w:p>
    <w:p w14:paraId="4CCF26CF" w14:textId="0F76A670" w:rsidR="2AC4BB28" w:rsidRDefault="2AC4BB28" w:rsidP="2AC4BB28">
      <w:pPr>
        <w:pStyle w:val="Body"/>
      </w:pPr>
    </w:p>
    <w:p w14:paraId="219A5B65" w14:textId="77777777" w:rsidR="002337D1" w:rsidRPr="002337D1" w:rsidRDefault="002337D1" w:rsidP="002337D1">
      <w:pPr>
        <w:pStyle w:val="Body"/>
      </w:pPr>
    </w:p>
    <w:p w14:paraId="0E18BE70" w14:textId="4468F6FA" w:rsidR="00281C2F" w:rsidRDefault="002337D1" w:rsidP="00281C2F">
      <w:pPr>
        <w:pStyle w:val="Body"/>
      </w:pPr>
      <w:r>
        <w:rPr>
          <w:noProof/>
        </w:rPr>
        <w:drawing>
          <wp:inline distT="0" distB="0" distL="0" distR="0" wp14:anchorId="09D7A393" wp14:editId="69A649E9">
            <wp:extent cx="5904230" cy="2060575"/>
            <wp:effectExtent l="0" t="0" r="1270" b="0"/>
            <wp:docPr id="1354169110" name="Picture 1354169110" descr="Tiered system of perioperative care: A visual representation demonstrating the 6 perioperative capability levels arranged in a tiered, networked system.  Level 1 performs the least complex, lowest risk procedures through to level 6 performing the highest complexity procedures.  Descriptions highlight the structured approach to patient care during the perioperative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169110" name="Picture 1354169110" descr="Tiered system of perioperative care: A visual representation demonstrating the 6 perioperative capability levels arranged in a tiered, networked system.  Level 1 performs the least complex, lowest risk procedures through to level 6 performing the highest complexity procedures.  Descriptions highlight the structured approach to patient care during the perioperative period."/>
                    <pic:cNvPicPr/>
                  </pic:nvPicPr>
                  <pic:blipFill>
                    <a:blip r:embed="rId20"/>
                    <a:stretch>
                      <a:fillRect/>
                    </a:stretch>
                  </pic:blipFill>
                  <pic:spPr>
                    <a:xfrm>
                      <a:off x="0" y="0"/>
                      <a:ext cx="5904230" cy="2060575"/>
                    </a:xfrm>
                    <a:prstGeom prst="rect">
                      <a:avLst/>
                    </a:prstGeom>
                  </pic:spPr>
                </pic:pic>
              </a:graphicData>
            </a:graphic>
          </wp:inline>
        </w:drawing>
      </w:r>
    </w:p>
    <w:p w14:paraId="664E9977" w14:textId="77777777" w:rsidR="00281C2F" w:rsidRPr="00A8540B" w:rsidRDefault="00281C2F" w:rsidP="00281C2F">
      <w:pPr>
        <w:pStyle w:val="Heading2"/>
      </w:pPr>
      <w:bookmarkStart w:id="9" w:name="_Toc148626389"/>
      <w:bookmarkStart w:id="10" w:name="_Toc148718444"/>
      <w:bookmarkStart w:id="11" w:name="_Toc153792505"/>
      <w:r w:rsidRPr="00A8540B">
        <w:t>Guiding principles</w:t>
      </w:r>
      <w:bookmarkEnd w:id="9"/>
      <w:bookmarkEnd w:id="10"/>
      <w:bookmarkEnd w:id="11"/>
    </w:p>
    <w:p w14:paraId="70624EB5" w14:textId="77777777" w:rsidR="00281C2F" w:rsidRDefault="00281C2F" w:rsidP="00281C2F">
      <w:pPr>
        <w:pStyle w:val="Bullet1"/>
        <w:numPr>
          <w:ilvl w:val="0"/>
          <w:numId w:val="0"/>
        </w:numPr>
      </w:pPr>
      <w:r w:rsidRPr="009D4761">
        <w:t xml:space="preserve">The </w:t>
      </w:r>
      <w:r>
        <w:t>principles guiding the f</w:t>
      </w:r>
      <w:r w:rsidRPr="009D4761">
        <w:t>ramework</w:t>
      </w:r>
      <w:r>
        <w:t xml:space="preserve"> include that:</w:t>
      </w:r>
    </w:p>
    <w:p w14:paraId="067265DA" w14:textId="77777777" w:rsidR="00281C2F" w:rsidRDefault="00281C2F" w:rsidP="0073249D">
      <w:pPr>
        <w:pStyle w:val="Bullet1"/>
        <w:numPr>
          <w:ilvl w:val="0"/>
          <w:numId w:val="7"/>
        </w:numPr>
      </w:pPr>
      <w:r>
        <w:t>health services adhere to a supportive care model designed around the needs and choices of each patient and their family</w:t>
      </w:r>
    </w:p>
    <w:p w14:paraId="6DBA057A" w14:textId="77777777" w:rsidR="00281C2F" w:rsidRPr="00F06110" w:rsidRDefault="00281C2F" w:rsidP="0073249D">
      <w:pPr>
        <w:pStyle w:val="Bullet1"/>
        <w:numPr>
          <w:ilvl w:val="0"/>
          <w:numId w:val="7"/>
        </w:numPr>
      </w:pPr>
      <w:r>
        <w:t>perioperative care is provided as close to home as is safe and appropriate via a networked system</w:t>
      </w:r>
    </w:p>
    <w:p w14:paraId="14711CBF" w14:textId="47438081" w:rsidR="00281C2F" w:rsidRPr="00021345" w:rsidRDefault="00281C2F" w:rsidP="0073249D">
      <w:pPr>
        <w:pStyle w:val="Bullet1"/>
        <w:numPr>
          <w:ilvl w:val="0"/>
          <w:numId w:val="7"/>
        </w:numPr>
      </w:pPr>
      <w:r w:rsidRPr="00E1136E">
        <w:t>the perioperative care needs of specific and priority community patient cohorts are met safely with respect and dignity, with consideration to diverse needs related to age, sex and gender identity, ability, sexuality, Aboriginality</w:t>
      </w:r>
      <w:r w:rsidRPr="00021345">
        <w:t xml:space="preserve">, </w:t>
      </w:r>
      <w:r w:rsidRPr="002B0AB0">
        <w:t xml:space="preserve">cultural </w:t>
      </w:r>
      <w:r w:rsidR="00021345" w:rsidRPr="002B0AB0">
        <w:t xml:space="preserve">and linguistic </w:t>
      </w:r>
      <w:r w:rsidRPr="002B0AB0">
        <w:t>diversity</w:t>
      </w:r>
      <w:r w:rsidRPr="00021345">
        <w:t>, rurality and other factors, such as for women who require hysterectomies or terminations of pregnancy</w:t>
      </w:r>
    </w:p>
    <w:p w14:paraId="526895F1" w14:textId="698B6022" w:rsidR="00281C2F" w:rsidRPr="00021345" w:rsidRDefault="00281C2F" w:rsidP="0073249D">
      <w:pPr>
        <w:pStyle w:val="Bullet1"/>
        <w:numPr>
          <w:ilvl w:val="0"/>
          <w:numId w:val="7"/>
        </w:numPr>
      </w:pPr>
      <w:r w:rsidRPr="00021345">
        <w:t xml:space="preserve">cultural safety is embedded and prioritised in health services to support and improve equitable access to and quality of perioperative services for </w:t>
      </w:r>
      <w:r w:rsidRPr="002B0AB0">
        <w:t xml:space="preserve">Aboriginal </w:t>
      </w:r>
      <w:r w:rsidR="00021345" w:rsidRPr="002B0AB0">
        <w:t xml:space="preserve">and Torres Strait Islander </w:t>
      </w:r>
      <w:r w:rsidRPr="002B0AB0">
        <w:t>patients</w:t>
      </w:r>
    </w:p>
    <w:p w14:paraId="114D0E21" w14:textId="2DD08217" w:rsidR="00281C2F" w:rsidRPr="00E1136E" w:rsidRDefault="00281C2F" w:rsidP="0073249D">
      <w:pPr>
        <w:pStyle w:val="Bullet1"/>
        <w:numPr>
          <w:ilvl w:val="0"/>
          <w:numId w:val="7"/>
        </w:numPr>
      </w:pPr>
      <w:r w:rsidRPr="00021345">
        <w:t xml:space="preserve">cultural competency is embedded and prioritised in health services to support and improve equitable access to and quality of perioperative services for </w:t>
      </w:r>
      <w:r w:rsidRPr="002B0AB0">
        <w:t xml:space="preserve">culturally </w:t>
      </w:r>
      <w:r w:rsidR="00021345" w:rsidRPr="002B0AB0">
        <w:t xml:space="preserve">and linguistically </w:t>
      </w:r>
      <w:r w:rsidRPr="002B0AB0">
        <w:t>diverse</w:t>
      </w:r>
      <w:r w:rsidRPr="00E1136E">
        <w:t xml:space="preserve"> patients, including provision of language services</w:t>
      </w:r>
    </w:p>
    <w:p w14:paraId="5423B7B7" w14:textId="77777777" w:rsidR="00281C2F" w:rsidRDefault="00281C2F" w:rsidP="0073249D">
      <w:pPr>
        <w:pStyle w:val="Bullet1"/>
        <w:numPr>
          <w:ilvl w:val="0"/>
          <w:numId w:val="7"/>
        </w:numPr>
      </w:pPr>
      <w:r>
        <w:t>service delivery is focused on the continuum of care, from diagnosis and treatment, through to discharge and follow-up care</w:t>
      </w:r>
    </w:p>
    <w:p w14:paraId="794BDC5E" w14:textId="77777777" w:rsidR="00281C2F" w:rsidRDefault="00281C2F" w:rsidP="0073249D">
      <w:pPr>
        <w:pStyle w:val="Bullet1"/>
        <w:numPr>
          <w:ilvl w:val="0"/>
          <w:numId w:val="7"/>
        </w:numPr>
      </w:pPr>
      <w:r>
        <w:t>health services have agreed and documented consultation, referral, escalation and transfer processes in place to support safe, high-quality care (for example,</w:t>
      </w:r>
      <w:r w:rsidRPr="003D1BE6">
        <w:t xml:space="preserve"> </w:t>
      </w:r>
      <w:r>
        <w:t>referral to non-surgical treatment pathways, or</w:t>
      </w:r>
      <w:r w:rsidRPr="003D1BE6">
        <w:t xml:space="preserve"> prompt </w:t>
      </w:r>
      <w:r>
        <w:t xml:space="preserve">clinical escalation and </w:t>
      </w:r>
      <w:r w:rsidRPr="003D1BE6">
        <w:t>transfer to local or specialised services as appropriate</w:t>
      </w:r>
      <w:r>
        <w:t>)</w:t>
      </w:r>
    </w:p>
    <w:p w14:paraId="6E51E9C6" w14:textId="77777777" w:rsidR="00281C2F" w:rsidRDefault="00281C2F" w:rsidP="0073249D">
      <w:pPr>
        <w:pStyle w:val="Bullet1"/>
        <w:numPr>
          <w:ilvl w:val="0"/>
          <w:numId w:val="7"/>
        </w:numPr>
      </w:pPr>
      <w:r>
        <w:t>the capability of the health service is clearly communicated to people accessing the service, the community and other service providers.</w:t>
      </w:r>
    </w:p>
    <w:p w14:paraId="578232DC" w14:textId="77777777" w:rsidR="00281C2F" w:rsidRDefault="00281C2F" w:rsidP="00281C2F">
      <w:pPr>
        <w:pStyle w:val="Bodyafterbullets"/>
      </w:pPr>
      <w:r w:rsidRPr="00005F09">
        <w:t>It is expected that in emergency situations where a patient may be at risk of serious harm if urgent treatment is not provided, and where more appropriate options for alternative treatment or transfer are not immediately available, that</w:t>
      </w:r>
      <w:r>
        <w:t xml:space="preserve"> the best available care is provided. </w:t>
      </w:r>
    </w:p>
    <w:p w14:paraId="38E60B59" w14:textId="77777777" w:rsidR="00281C2F" w:rsidRDefault="00281C2F" w:rsidP="00281C2F">
      <w:pPr>
        <w:pStyle w:val="Heading2"/>
      </w:pPr>
      <w:bookmarkStart w:id="12" w:name="_Toc148626390"/>
      <w:bookmarkStart w:id="13" w:name="_Toc148718445"/>
      <w:bookmarkStart w:id="14" w:name="_Toc153792506"/>
      <w:r w:rsidRPr="00AD5E7D">
        <w:t xml:space="preserve">How to </w:t>
      </w:r>
      <w:r w:rsidRPr="009D4761">
        <w:t>use the framework</w:t>
      </w:r>
      <w:bookmarkEnd w:id="12"/>
      <w:bookmarkEnd w:id="13"/>
      <w:bookmarkEnd w:id="14"/>
      <w:r w:rsidRPr="00AD5E7D">
        <w:t xml:space="preserve"> </w:t>
      </w:r>
    </w:p>
    <w:p w14:paraId="6C4E1E9C" w14:textId="77777777" w:rsidR="00281C2F" w:rsidRDefault="00281C2F" w:rsidP="00281C2F">
      <w:pPr>
        <w:pStyle w:val="Body"/>
      </w:pPr>
      <w:r w:rsidRPr="009D4761">
        <w:rPr>
          <w:rFonts w:cs="Arial"/>
        </w:rPr>
        <w:t>The framework</w:t>
      </w:r>
      <w:r>
        <w:rPr>
          <w:rFonts w:cs="Arial"/>
        </w:rPr>
        <w:t xml:space="preserve"> outlines the minimum requirements for perioperative services from Level 1 to Level 6. C</w:t>
      </w:r>
      <w:r>
        <w:t>apability refers to the level of care (including the required workforce, infrastructure and equipment, and clinical support services) that a campus can consistently and continually provide.</w:t>
      </w:r>
    </w:p>
    <w:p w14:paraId="0BF9393E" w14:textId="77777777" w:rsidR="00281C2F" w:rsidRDefault="00281C2F" w:rsidP="00DF545A">
      <w:pPr>
        <w:pStyle w:val="Body"/>
      </w:pPr>
      <w:r>
        <w:t xml:space="preserve">Service levels build incrementally on the capabilities described in the previous level. For instance, Level 6 should have all the capabilities of Level 5, plus added capabilities to provide the highest complexity care for patients who require it. </w:t>
      </w:r>
    </w:p>
    <w:p w14:paraId="7315A8A8" w14:textId="77777777" w:rsidR="00281C2F" w:rsidRDefault="00281C2F" w:rsidP="00281C2F">
      <w:pPr>
        <w:pStyle w:val="Body"/>
      </w:pPr>
      <w:r>
        <w:t xml:space="preserve">Health service campuses that provide perioperative care will be categorised into one of the 6 service levels through a self-assessment process that is facilitated by the department. </w:t>
      </w:r>
    </w:p>
    <w:p w14:paraId="20F42A85" w14:textId="77777777" w:rsidR="00281C2F" w:rsidRDefault="00281C2F" w:rsidP="00281C2F">
      <w:pPr>
        <w:pStyle w:val="Body"/>
      </w:pPr>
      <w:r>
        <w:t xml:space="preserve">Most surgical procedures are planned, where medical specialists can consider whether the procedure is appropriate for the patient, is at the right location at the relevant time, and if the hospital has suitable staffing arrangements for the perioperative care.  </w:t>
      </w:r>
    </w:p>
    <w:p w14:paraId="521002F6" w14:textId="6A42E503" w:rsidR="00281C2F" w:rsidRDefault="00281C2F" w:rsidP="00281C2F">
      <w:pPr>
        <w:pStyle w:val="Body"/>
      </w:pPr>
      <w:r>
        <w:t xml:space="preserve">The framework includes a list of indicative planned procedures </w:t>
      </w:r>
      <w:r w:rsidR="007B185C" w:rsidRPr="00F10711">
        <w:t>&lt;https://www.health.vic.gov.au/health-system-design-planning/perioperative-service-capability-framework-for-victoria#resources</w:t>
      </w:r>
      <w:r w:rsidR="00E52213">
        <w:t>&gt;</w:t>
      </w:r>
      <w:r w:rsidRPr="00F10711">
        <w:t>,</w:t>
      </w:r>
      <w:r>
        <w:t xml:space="preserve"> which are intended as examples for procedures that can be safely performed at the majority of services at a given capability level.</w:t>
      </w:r>
    </w:p>
    <w:p w14:paraId="4B4E7E9E" w14:textId="77777777" w:rsidR="00281C2F" w:rsidRDefault="00281C2F" w:rsidP="00281C2F">
      <w:pPr>
        <w:pStyle w:val="Body"/>
      </w:pPr>
      <w:r w:rsidRPr="00822897">
        <w:t xml:space="preserve">Emergency </w:t>
      </w:r>
      <w:r>
        <w:t xml:space="preserve">(unplanned) </w:t>
      </w:r>
      <w:r w:rsidRPr="00822897">
        <w:t>surgery to treat trauma or acute illness</w:t>
      </w:r>
      <w:r>
        <w:t>, requires extra availability of staff (on-call rostering) and a workforce complement that can accommodate this. The volume of planned procedures that are delivered at a campus can impact the availability and scope of practice of clinicians who are available to manage emergency</w:t>
      </w:r>
      <w:r w:rsidDel="00EB6B26">
        <w:t xml:space="preserve"> </w:t>
      </w:r>
      <w:r>
        <w:t>perioperative care. Therefore, descriptors for managing emergency procedures commence at higher-level services and, where possible, patients should be transported to those services to receive appropriate care.</w:t>
      </w:r>
    </w:p>
    <w:p w14:paraId="1D5C58C7" w14:textId="77777777" w:rsidR="00281C2F" w:rsidRDefault="00281C2F" w:rsidP="00281C2F">
      <w:pPr>
        <w:pStyle w:val="Body"/>
      </w:pPr>
      <w:r>
        <w:t xml:space="preserve">In exceptional circumstances, </w:t>
      </w:r>
      <w:r w:rsidRPr="00A42AD0">
        <w:t>where a patient may be at risk of serious harm if urgent treatment is not provided</w:t>
      </w:r>
      <w:r>
        <w:t xml:space="preserve"> at a given campus,</w:t>
      </w:r>
      <w:r w:rsidRPr="00A42AD0">
        <w:t xml:space="preserve"> </w:t>
      </w:r>
      <w:r>
        <w:t>it is expected</w:t>
      </w:r>
      <w:r w:rsidRPr="00A42AD0">
        <w:t xml:space="preserve"> that the best available care is provided</w:t>
      </w:r>
      <w:r>
        <w:t>.</w:t>
      </w:r>
    </w:p>
    <w:p w14:paraId="7AC69AEA" w14:textId="77777777" w:rsidR="00281C2F" w:rsidRDefault="00281C2F" w:rsidP="00281C2F">
      <w:pPr>
        <w:pStyle w:val="Heading2"/>
        <w:rPr>
          <w:rFonts w:eastAsia="Times"/>
        </w:rPr>
      </w:pPr>
      <w:bookmarkStart w:id="15" w:name="_Toc148626391"/>
      <w:bookmarkStart w:id="16" w:name="_Toc148718446"/>
      <w:bookmarkStart w:id="17" w:name="_Toc153792507"/>
      <w:r>
        <w:rPr>
          <w:rFonts w:eastAsia="Times"/>
        </w:rPr>
        <w:t>The scope of this framework</w:t>
      </w:r>
      <w:bookmarkEnd w:id="15"/>
      <w:bookmarkEnd w:id="16"/>
      <w:bookmarkEnd w:id="17"/>
      <w:r>
        <w:rPr>
          <w:rFonts w:eastAsia="Times"/>
        </w:rPr>
        <w:t xml:space="preserve"> </w:t>
      </w:r>
    </w:p>
    <w:p w14:paraId="3031EDEF" w14:textId="77777777" w:rsidR="00281C2F" w:rsidRDefault="00281C2F" w:rsidP="00281C2F">
      <w:pPr>
        <w:pStyle w:val="Body"/>
      </w:pPr>
      <w:r>
        <w:t>Planned perioperative services delivered across the spectrum of Victorian health services are considered in scope for this framework.</w:t>
      </w:r>
    </w:p>
    <w:p w14:paraId="0681A519" w14:textId="6D0AEC8D" w:rsidR="00281C2F" w:rsidRDefault="00281C2F" w:rsidP="00281C2F">
      <w:pPr>
        <w:pStyle w:val="Body"/>
      </w:pPr>
      <w:r w:rsidRPr="00147D55">
        <w:t>Statewide</w:t>
      </w:r>
      <w:r w:rsidRPr="00147D55">
        <w:rPr>
          <w:szCs w:val="21"/>
        </w:rPr>
        <w:t xml:space="preserve"> designated perioperative</w:t>
      </w:r>
      <w:r w:rsidR="006673E7" w:rsidRPr="00147D55">
        <w:rPr>
          <w:szCs w:val="21"/>
        </w:rPr>
        <w:t xml:space="preserve"> clinical</w:t>
      </w:r>
      <w:r w:rsidRPr="00147D55">
        <w:rPr>
          <w:szCs w:val="21"/>
        </w:rPr>
        <w:t xml:space="preserve"> services, such</w:t>
      </w:r>
      <w:r w:rsidRPr="00D55184">
        <w:rPr>
          <w:szCs w:val="21"/>
        </w:rPr>
        <w:t xml:space="preserve"> as specified transplants (for example</w:t>
      </w:r>
      <w:r>
        <w:rPr>
          <w:szCs w:val="21"/>
        </w:rPr>
        <w:t>,</w:t>
      </w:r>
      <w:r w:rsidRPr="00D55184">
        <w:rPr>
          <w:szCs w:val="21"/>
        </w:rPr>
        <w:t xml:space="preserve"> heart, lung, liver and pancreas), major trauma</w:t>
      </w:r>
      <w:r>
        <w:rPr>
          <w:szCs w:val="21"/>
        </w:rPr>
        <w:t>,</w:t>
      </w:r>
      <w:r w:rsidRPr="00D55184">
        <w:rPr>
          <w:szCs w:val="21"/>
        </w:rPr>
        <w:t xml:space="preserve"> and surgical and procedural burns services</w:t>
      </w:r>
      <w:r>
        <w:rPr>
          <w:szCs w:val="21"/>
        </w:rPr>
        <w:t>,</w:t>
      </w:r>
      <w:r w:rsidRPr="00D55184">
        <w:rPr>
          <w:szCs w:val="21"/>
        </w:rPr>
        <w:t xml:space="preserve"> </w:t>
      </w:r>
      <w:r w:rsidRPr="00D55184">
        <w:t xml:space="preserve">are not in scope </w:t>
      </w:r>
      <w:r>
        <w:t>for</w:t>
      </w:r>
      <w:r w:rsidRPr="00D55184">
        <w:t xml:space="preserve"> this framework</w:t>
      </w:r>
      <w:r>
        <w:t xml:space="preserve">. </w:t>
      </w:r>
      <w:r w:rsidRPr="00E1136E">
        <w:t>Elements of the perioperative patient journey, including non</w:t>
      </w:r>
      <w:r>
        <w:t>-surgical</w:t>
      </w:r>
      <w:r w:rsidRPr="00E1136E">
        <w:t xml:space="preserve"> management and post-procedure rehabilitation, are also not included in this framework.</w:t>
      </w:r>
    </w:p>
    <w:p w14:paraId="36A75732" w14:textId="77777777" w:rsidR="00281C2F" w:rsidRDefault="00281C2F" w:rsidP="00281C2F">
      <w:pPr>
        <w:pStyle w:val="Body"/>
      </w:pPr>
      <w:r>
        <w:t>Services for some specific cohorts of patients are considered elsewhere and are not in scope of this framework, such as:</w:t>
      </w:r>
    </w:p>
    <w:p w14:paraId="4CC8EBF6" w14:textId="53EF8CCF" w:rsidR="00281C2F" w:rsidRDefault="00281C2F" w:rsidP="0073249D">
      <w:pPr>
        <w:pStyle w:val="Bullet1"/>
        <w:numPr>
          <w:ilvl w:val="0"/>
          <w:numId w:val="7"/>
        </w:numPr>
      </w:pPr>
      <w:r>
        <w:t xml:space="preserve">perioperative services related to obstetrics and newborn babies aged from birth to 28 days – see the </w:t>
      </w:r>
      <w:hyperlink r:id="rId21" w:history="1">
        <w:r>
          <w:rPr>
            <w:rStyle w:val="Hyperlink"/>
          </w:rPr>
          <w:t>Capability frameworks for materni</w:t>
        </w:r>
        <w:bookmarkStart w:id="18" w:name="_Hlt153363667"/>
        <w:bookmarkStart w:id="19" w:name="_Hlt153363668"/>
        <w:r>
          <w:rPr>
            <w:rStyle w:val="Hyperlink"/>
          </w:rPr>
          <w:t>t</w:t>
        </w:r>
        <w:bookmarkEnd w:id="18"/>
        <w:bookmarkEnd w:id="19"/>
        <w:r>
          <w:rPr>
            <w:rStyle w:val="Hyperlink"/>
          </w:rPr>
          <w:t>y and newborn services</w:t>
        </w:r>
      </w:hyperlink>
      <w:r w:rsidR="00761D48">
        <w:rPr>
          <w:rStyle w:val="Hyperlink"/>
        </w:rPr>
        <w:t xml:space="preserve"> </w:t>
      </w:r>
      <w:r w:rsidR="00761D48" w:rsidRPr="00BC7DF6">
        <w:rPr>
          <w:rStyle w:val="Hyperlink"/>
          <w:color w:val="auto"/>
        </w:rPr>
        <w:t>&lt;https://www.health.vic.gov.au/patient-care/capability-frameworks-for-maternity-and-newborn-care-in-victoria&gt;</w:t>
      </w:r>
    </w:p>
    <w:p w14:paraId="3E6CC553" w14:textId="77777777" w:rsidR="00413029" w:rsidRDefault="00281C2F">
      <w:pPr>
        <w:pStyle w:val="Bullet1"/>
        <w:numPr>
          <w:ilvl w:val="0"/>
          <w:numId w:val="7"/>
        </w:numPr>
      </w:pPr>
      <w:r>
        <w:t>cancer surgery for children</w:t>
      </w:r>
      <w:r w:rsidR="00EC6201">
        <w:rPr>
          <w:rStyle w:val="FootnoteReference"/>
        </w:rPr>
        <w:footnoteReference w:id="3"/>
      </w:r>
      <w:r w:rsidR="00887C22">
        <w:t>.</w:t>
      </w:r>
      <w:r>
        <w:t xml:space="preserve"> </w:t>
      </w:r>
    </w:p>
    <w:p w14:paraId="2511D483" w14:textId="77777777" w:rsidR="00413029" w:rsidRDefault="00413029" w:rsidP="00413029">
      <w:pPr>
        <w:pStyle w:val="Bullet1"/>
        <w:numPr>
          <w:ilvl w:val="0"/>
          <w:numId w:val="0"/>
        </w:numPr>
      </w:pPr>
    </w:p>
    <w:p w14:paraId="4FE733F0" w14:textId="34018830" w:rsidR="00281C2F" w:rsidRDefault="00281C2F" w:rsidP="00413029">
      <w:pPr>
        <w:pStyle w:val="Bullet1"/>
        <w:numPr>
          <w:ilvl w:val="0"/>
          <w:numId w:val="0"/>
        </w:numPr>
      </w:pPr>
      <w:r w:rsidRPr="009D4761">
        <w:t>The framework</w:t>
      </w:r>
      <w:r>
        <w:t xml:space="preserve"> does not replace or amend current legislation, mandatory standards or accreditation processes. It assumes that health services provide care in accordance with </w:t>
      </w:r>
      <w:hyperlink r:id="rId22" w:history="1">
        <w:r w:rsidRPr="00376E73">
          <w:rPr>
            <w:rStyle w:val="Hyperlink"/>
          </w:rPr>
          <w:t>National Safety and Quality Health Service (NSQHS) Standards</w:t>
        </w:r>
      </w:hyperlink>
      <w:r w:rsidRPr="00376E73">
        <w:rPr>
          <w:vertAlign w:val="superscript"/>
        </w:rPr>
        <w:footnoteReference w:id="4"/>
      </w:r>
      <w:r>
        <w:t>.</w:t>
      </w:r>
      <w:r w:rsidRPr="00DB35C6">
        <w:t xml:space="preserve"> </w:t>
      </w:r>
    </w:p>
    <w:p w14:paraId="73C04F8F" w14:textId="77777777" w:rsidR="00281C2F" w:rsidRPr="00213DCB" w:rsidRDefault="00281C2F" w:rsidP="00281C2F">
      <w:pPr>
        <w:pStyle w:val="Heading2"/>
        <w:rPr>
          <w:rFonts w:eastAsia="Times"/>
        </w:rPr>
      </w:pPr>
      <w:bookmarkStart w:id="20" w:name="_Toc148626392"/>
      <w:bookmarkStart w:id="21" w:name="_Toc148718447"/>
      <w:bookmarkStart w:id="22" w:name="_Toc153792508"/>
      <w:r w:rsidRPr="00213DCB">
        <w:rPr>
          <w:rFonts w:eastAsia="Times"/>
        </w:rPr>
        <w:t>Role of the department</w:t>
      </w:r>
      <w:r>
        <w:rPr>
          <w:rFonts w:eastAsia="Times"/>
        </w:rPr>
        <w:t xml:space="preserve"> and Safer Care Victoria (SCV)</w:t>
      </w:r>
      <w:bookmarkEnd w:id="20"/>
      <w:bookmarkEnd w:id="21"/>
      <w:bookmarkEnd w:id="22"/>
    </w:p>
    <w:p w14:paraId="33B904D4" w14:textId="6AAE5387" w:rsidR="00281C2F" w:rsidRDefault="00281C2F" w:rsidP="00281C2F">
      <w:pPr>
        <w:pStyle w:val="Body"/>
      </w:pPr>
      <w:r>
        <w:t xml:space="preserve">As the system steward, the department will work with each </w:t>
      </w:r>
      <w:r w:rsidRPr="00D31536">
        <w:t>health service campus</w:t>
      </w:r>
      <w:r>
        <w:t xml:space="preserve"> to confirm a perioperative capability level. It will also work with health services to plan any changes to levels of care provided. Perioperative capability levels for each</w:t>
      </w:r>
      <w:r w:rsidRPr="003E3379">
        <w:t xml:space="preserve"> </w:t>
      </w:r>
      <w:r>
        <w:t xml:space="preserve">health service campus will be published on </w:t>
      </w:r>
      <w:hyperlink r:id="rId23" w:history="1">
        <w:r w:rsidRPr="00927D95">
          <w:rPr>
            <w:rStyle w:val="Hyperlink"/>
          </w:rPr>
          <w:t>the</w:t>
        </w:r>
        <w:r w:rsidR="00477337">
          <w:rPr>
            <w:rStyle w:val="Hyperlink"/>
          </w:rPr>
          <w:t xml:space="preserve"> Perioperative service capability framework</w:t>
        </w:r>
        <w:r w:rsidR="00C041D8">
          <w:rPr>
            <w:rStyle w:val="Hyperlink"/>
          </w:rPr>
          <w:t xml:space="preserve"> for Victoria</w:t>
        </w:r>
        <w:r w:rsidRPr="00927D95">
          <w:rPr>
            <w:rStyle w:val="Hyperlink"/>
          </w:rPr>
          <w:t xml:space="preserve"> website</w:t>
        </w:r>
      </w:hyperlink>
      <w:r w:rsidR="00F10711">
        <w:t xml:space="preserve"> </w:t>
      </w:r>
      <w:r w:rsidR="007F55FF">
        <w:t>&lt;</w:t>
      </w:r>
      <w:r w:rsidR="007F55FF" w:rsidRPr="007F55FF">
        <w:t>https://www.health.vic.gov.au/health-system-design-planning/perioperative-service-capability-framework-for-victoria</w:t>
      </w:r>
      <w:r w:rsidR="00321EBD">
        <w:t>&gt;.</w:t>
      </w:r>
      <w:r>
        <w:t xml:space="preserve"> </w:t>
      </w:r>
    </w:p>
    <w:p w14:paraId="5BFB17CC" w14:textId="7D685A59" w:rsidR="00281C2F" w:rsidRDefault="00281C2F" w:rsidP="00281C2F">
      <w:pPr>
        <w:pStyle w:val="Body"/>
      </w:pPr>
      <w:r>
        <w:t xml:space="preserve">The department is responsible for regular performance monitoring of public health services. Capability levels will be monitored on an ongoing basis in partnership with SCV, as part of routine performance conversations. More information about the assessment and monitoring process will be available on </w:t>
      </w:r>
      <w:hyperlink r:id="rId24" w:history="1">
        <w:r w:rsidRPr="00927D95">
          <w:rPr>
            <w:rStyle w:val="Hyperlink"/>
          </w:rPr>
          <w:t>the</w:t>
        </w:r>
        <w:r w:rsidR="003A2976" w:rsidRPr="00927D95">
          <w:rPr>
            <w:rStyle w:val="Hyperlink"/>
          </w:rPr>
          <w:t xml:space="preserve"> </w:t>
        </w:r>
        <w:r w:rsidR="00C041D8">
          <w:rPr>
            <w:rStyle w:val="Hyperlink"/>
          </w:rPr>
          <w:t>Perioperative service capability framework for Victoria website</w:t>
        </w:r>
      </w:hyperlink>
      <w:r w:rsidR="00FE4CB3">
        <w:t xml:space="preserve"> </w:t>
      </w:r>
      <w:r w:rsidR="007F55FF">
        <w:t>&lt;</w:t>
      </w:r>
      <w:r w:rsidR="007F55FF" w:rsidRPr="007F55FF">
        <w:t>https://www.health.vic.gov.au/health-system-design-planning/perioperative-service-capability-framework-for-victoria</w:t>
      </w:r>
      <w:r w:rsidR="00F10711" w:rsidRPr="00F10711">
        <w:t>&gt;.</w:t>
      </w:r>
    </w:p>
    <w:p w14:paraId="4ACCE4B2" w14:textId="77777777" w:rsidR="00281C2F" w:rsidRPr="006D0CEB" w:rsidRDefault="00281C2F" w:rsidP="00281C2F">
      <w:pPr>
        <w:pStyle w:val="Heading2"/>
      </w:pPr>
      <w:bookmarkStart w:id="23" w:name="_Toc148626393"/>
      <w:bookmarkStart w:id="24" w:name="_Toc148718448"/>
      <w:bookmarkStart w:id="25" w:name="_Toc153792509"/>
      <w:r w:rsidRPr="006D0CEB">
        <w:t>Role of health services</w:t>
      </w:r>
      <w:bookmarkEnd w:id="23"/>
      <w:bookmarkEnd w:id="24"/>
      <w:bookmarkEnd w:id="25"/>
    </w:p>
    <w:p w14:paraId="316E569C" w14:textId="77777777" w:rsidR="00281C2F" w:rsidRDefault="00281C2F" w:rsidP="00281C2F">
      <w:pPr>
        <w:pStyle w:val="Bullet1"/>
        <w:numPr>
          <w:ilvl w:val="0"/>
          <w:numId w:val="0"/>
        </w:numPr>
      </w:pPr>
      <w:r>
        <w:t xml:space="preserve">Each health service campus (individual hospital) </w:t>
      </w:r>
      <w:r w:rsidRPr="006D0CEB">
        <w:t>in Victoria providing perioperative care will be required to complete a self-assessment</w:t>
      </w:r>
      <w:r>
        <w:t>.</w:t>
      </w:r>
      <w:r w:rsidRPr="006D0CEB">
        <w:t xml:space="preserve"> </w:t>
      </w:r>
      <w:r>
        <w:t xml:space="preserve">This </w:t>
      </w:r>
      <w:r w:rsidRPr="006D0CEB">
        <w:t xml:space="preserve">will require </w:t>
      </w:r>
      <w:r>
        <w:t>Chief Executive Officer-level</w:t>
      </w:r>
      <w:r w:rsidRPr="00894E4C">
        <w:t xml:space="preserve"> </w:t>
      </w:r>
      <w:r w:rsidRPr="006D0CEB">
        <w:t xml:space="preserve">approval </w:t>
      </w:r>
      <w:r>
        <w:t>before it is submitted to the department.</w:t>
      </w:r>
    </w:p>
    <w:p w14:paraId="70FD5F42" w14:textId="2048AAD9" w:rsidR="00281C2F" w:rsidRDefault="00281C2F" w:rsidP="00281C2F">
      <w:pPr>
        <w:pStyle w:val="Bullet1"/>
        <w:numPr>
          <w:ilvl w:val="0"/>
          <w:numId w:val="0"/>
        </w:numPr>
      </w:pPr>
      <w:r w:rsidRPr="006D0CEB">
        <w:t xml:space="preserve">Once </w:t>
      </w:r>
      <w:r w:rsidRPr="00EB4B27">
        <w:t>hospital</w:t>
      </w:r>
      <w:r w:rsidRPr="006D0CEB">
        <w:t xml:space="preserve"> capability levels are agreed with the department, they will be published on </w:t>
      </w:r>
      <w:r>
        <w:t xml:space="preserve">the department </w:t>
      </w:r>
      <w:r w:rsidRPr="006D0CEB">
        <w:t>website. Temporary or longer-term changes to the published capability levels will require department notification.</w:t>
      </w:r>
    </w:p>
    <w:p w14:paraId="433C56D8" w14:textId="77777777" w:rsidR="00281C2F" w:rsidRDefault="00281C2F" w:rsidP="00281C2F">
      <w:pPr>
        <w:pStyle w:val="Body"/>
      </w:pPr>
      <w:r>
        <w:br w:type="page"/>
      </w:r>
    </w:p>
    <w:p w14:paraId="7CDC7DA6" w14:textId="77777777" w:rsidR="00281C2F" w:rsidRPr="00642E3A" w:rsidRDefault="00281C2F" w:rsidP="00281C2F">
      <w:pPr>
        <w:pStyle w:val="Heading1"/>
      </w:pPr>
      <w:bookmarkStart w:id="26" w:name="_Toc148626394"/>
      <w:bookmarkStart w:id="27" w:name="_Toc148718449"/>
      <w:bookmarkStart w:id="28" w:name="_Toc153792510"/>
      <w:r w:rsidRPr="00642E3A">
        <w:t>Victoria’s perioperative service system</w:t>
      </w:r>
      <w:bookmarkEnd w:id="26"/>
      <w:bookmarkEnd w:id="27"/>
      <w:bookmarkEnd w:id="28"/>
    </w:p>
    <w:p w14:paraId="31CD39B3" w14:textId="77777777" w:rsidR="00281C2F" w:rsidRDefault="00281C2F" w:rsidP="00281C2F">
      <w:pPr>
        <w:pStyle w:val="Body"/>
      </w:pPr>
      <w:r w:rsidRPr="002F2587">
        <w:t xml:space="preserve">The </w:t>
      </w:r>
      <w:r>
        <w:t xml:space="preserve">framework describes minimum expectations for each capability level, informed by the scope of procedures undertaken and the associated </w:t>
      </w:r>
      <w:r w:rsidRPr="002E3376">
        <w:t>anaesthetic</w:t>
      </w:r>
      <w:r>
        <w:t xml:space="preserve"> support provided. </w:t>
      </w:r>
      <w:r w:rsidRPr="008445BB">
        <w:t xml:space="preserve">As a patient’s complexity and comorbidities increase, so will the inherent risks associated with undertaking a procedure.  </w:t>
      </w:r>
    </w:p>
    <w:p w14:paraId="292B4D30" w14:textId="3C54C6C9" w:rsidR="00281C2F" w:rsidRDefault="00281C2F" w:rsidP="00281C2F">
      <w:pPr>
        <w:pStyle w:val="Body"/>
      </w:pPr>
      <w:r>
        <w:t xml:space="preserve">The escalation of procedural and anaesthetic complexity across the capability framework is represented </w:t>
      </w:r>
      <w:r w:rsidR="00710B90">
        <w:t xml:space="preserve">in </w:t>
      </w:r>
      <w:r w:rsidR="005F7EA9">
        <w:t>Table 1</w:t>
      </w:r>
      <w:r>
        <w:t xml:space="preserve"> for adults and </w:t>
      </w:r>
      <w:r w:rsidR="00710B90">
        <w:t>Table</w:t>
      </w:r>
      <w:r>
        <w:t xml:space="preserve"> </w:t>
      </w:r>
      <w:r w:rsidR="00710B90">
        <w:t>2</w:t>
      </w:r>
      <w:r>
        <w:t xml:space="preserve"> for children</w:t>
      </w:r>
      <w:r w:rsidR="00D95288">
        <w:t>,</w:t>
      </w:r>
      <w:r>
        <w:t xml:space="preserve"> provid</w:t>
      </w:r>
      <w:r w:rsidR="00D95288">
        <w:t>ing</w:t>
      </w:r>
      <w:r>
        <w:t xml:space="preserve"> an example of the progression across capability levels. As patient and perioperative care requirements increase (or decrease), so does the need to consider referral to a different level of service provision.  </w:t>
      </w:r>
    </w:p>
    <w:p w14:paraId="7D3CF703" w14:textId="77777777" w:rsidR="00281C2F" w:rsidRPr="00E108F5" w:rsidRDefault="00281C2F" w:rsidP="00281C2F">
      <w:pPr>
        <w:pStyle w:val="Body"/>
      </w:pPr>
      <w:r w:rsidRPr="00E108F5">
        <w:rPr>
          <w:bCs/>
        </w:rPr>
        <w:t xml:space="preserve">As capability levels increase, it is expected that service delivery from lower levels is maintained (often in higher volumes). </w:t>
      </w:r>
    </w:p>
    <w:p w14:paraId="26DD205B" w14:textId="68C5B017" w:rsidR="00281C2F" w:rsidRDefault="00281C2F" w:rsidP="00281C2F">
      <w:pPr>
        <w:pStyle w:val="Figurecaption"/>
      </w:pPr>
      <w:r>
        <w:t xml:space="preserve">Figure </w:t>
      </w:r>
      <w:r>
        <w:fldChar w:fldCharType="begin"/>
      </w:r>
      <w:r>
        <w:instrText>SEQ Figure \* ARABIC</w:instrText>
      </w:r>
      <w:r>
        <w:fldChar w:fldCharType="separate"/>
      </w:r>
      <w:r w:rsidR="006E0585">
        <w:rPr>
          <w:noProof/>
        </w:rPr>
        <w:t>2</w:t>
      </w:r>
      <w:r>
        <w:fldChar w:fldCharType="end"/>
      </w:r>
      <w:r>
        <w:t xml:space="preserve">. </w:t>
      </w:r>
      <w:r w:rsidRPr="0014344D">
        <w:t>Procedural and perioperative risk with definitions</w:t>
      </w:r>
    </w:p>
    <w:p w14:paraId="3279F928" w14:textId="68C8FBD8" w:rsidR="002337D1" w:rsidRDefault="002337D1" w:rsidP="002337D1">
      <w:pPr>
        <w:pStyle w:val="TableandfigurelabelHeadings"/>
      </w:pPr>
      <w:r>
        <w:rPr>
          <w:noProof/>
        </w:rPr>
        <w:softHyphen/>
      </w:r>
      <w:r w:rsidRPr="002337D1">
        <w:t xml:space="preserve"> </w:t>
      </w:r>
      <w:r>
        <w:rPr>
          <w:noProof/>
        </w:rPr>
        <w:drawing>
          <wp:inline distT="0" distB="0" distL="0" distR="0" wp14:anchorId="01727B18" wp14:editId="1D781A21">
            <wp:extent cx="5765800" cy="6019800"/>
            <wp:effectExtent l="0" t="0" r="0" b="0"/>
            <wp:docPr id="415526289" name="Picture 415526289" descr="Procedural and perioperative risk with definitions: Diagram representing the incremental and cumulative increases in procedural complexity and perioperative risks (anaesthetic and patient) that can be managed from level one to six.  Descriptions are for the procedural and perioperative risk able to be managed at each level.  Image demonstrates that as capabilities increase from one through to six, all procedures and perioperative complexity at the preceding level(s) can be managed, with the introduction of more complex care at each level.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26289" name="Picture 415526289" descr="Procedural and perioperative risk with definitions: Diagram representing the incremental and cumulative increases in procedural complexity and perioperative risks (anaesthetic and patient) that can be managed from level one to six.  Descriptions are for the procedural and perioperative risk able to be managed at each level.  Image demonstrates that as capabilities increase from one through to six, all procedures and perioperative complexity at the preceding level(s) can be managed, with the introduction of more complex care at each level. &quot;"/>
                    <pic:cNvPicPr/>
                  </pic:nvPicPr>
                  <pic:blipFill>
                    <a:blip r:embed="rId25"/>
                    <a:stretch>
                      <a:fillRect/>
                    </a:stretch>
                  </pic:blipFill>
                  <pic:spPr>
                    <a:xfrm>
                      <a:off x="0" y="0"/>
                      <a:ext cx="5765800" cy="6019800"/>
                    </a:xfrm>
                    <a:prstGeom prst="rect">
                      <a:avLst/>
                    </a:prstGeom>
                  </pic:spPr>
                </pic:pic>
              </a:graphicData>
            </a:graphic>
          </wp:inline>
        </w:drawing>
      </w:r>
    </w:p>
    <w:p w14:paraId="0C2F1D0D" w14:textId="626053C8" w:rsidR="00281C2F" w:rsidRPr="00E1136E" w:rsidRDefault="00281C2F" w:rsidP="00281C2F">
      <w:pPr>
        <w:pStyle w:val="Body"/>
      </w:pPr>
    </w:p>
    <w:p w14:paraId="067A34F9" w14:textId="6721E71E" w:rsidR="00281C2F" w:rsidRPr="00E1136E" w:rsidRDefault="00281C2F" w:rsidP="00281C2F">
      <w:pPr>
        <w:pStyle w:val="Tablefigurenote"/>
        <w:rPr>
          <w:rStyle w:val="BodyChar"/>
          <w:iCs/>
        </w:rPr>
      </w:pPr>
      <w:r w:rsidRPr="00E1136E">
        <w:rPr>
          <w:rStyle w:val="BodyChar"/>
          <w:iCs/>
        </w:rPr>
        <w:t xml:space="preserve">Note: ASA refers to the </w:t>
      </w:r>
      <w:hyperlink r:id="rId26" w:anchor=":~:text=The%20purpose%20of%20the%20system%20is%20to%20assess,it%20can%20be%20helpful%20in%20predicting%20perioperative%20risks" w:history="1">
        <w:r w:rsidRPr="00EC2213">
          <w:rPr>
            <w:rStyle w:val="Hyperlink"/>
            <w:rFonts w:eastAsia="Times"/>
            <w:iCs/>
            <w:sz w:val="21"/>
          </w:rPr>
          <w:t xml:space="preserve">American Society of </w:t>
        </w:r>
        <w:proofErr w:type="spellStart"/>
        <w:r w:rsidRPr="00EC2213">
          <w:rPr>
            <w:rStyle w:val="Hyperlink"/>
            <w:rFonts w:eastAsia="Times"/>
            <w:iCs/>
            <w:sz w:val="21"/>
          </w:rPr>
          <w:t>Anesthesiologists</w:t>
        </w:r>
        <w:proofErr w:type="spellEnd"/>
        <w:r w:rsidRPr="00EC2213">
          <w:rPr>
            <w:rStyle w:val="Hyperlink"/>
            <w:rFonts w:eastAsia="Times"/>
            <w:iCs/>
            <w:sz w:val="21"/>
          </w:rPr>
          <w:t xml:space="preserve"> physical status classification system</w:t>
        </w:r>
      </w:hyperlink>
      <w:r w:rsidRPr="00E1136E">
        <w:rPr>
          <w:rStyle w:val="BodyChar"/>
          <w:iCs/>
        </w:rPr>
        <w:t xml:space="preserve">. This is used by anaesthetists to </w:t>
      </w:r>
      <w:r w:rsidR="00D873C5">
        <w:rPr>
          <w:rStyle w:val="BodyChar"/>
          <w:iCs/>
        </w:rPr>
        <w:t>describe</w:t>
      </w:r>
      <w:r w:rsidRPr="00E1136E">
        <w:rPr>
          <w:rStyle w:val="BodyChar"/>
          <w:iCs/>
        </w:rPr>
        <w:t xml:space="preserve"> a patient’s </w:t>
      </w:r>
      <w:r w:rsidR="00D873C5">
        <w:rPr>
          <w:rStyle w:val="BodyChar"/>
          <w:iCs/>
        </w:rPr>
        <w:t xml:space="preserve">physical status based on </w:t>
      </w:r>
      <w:r w:rsidRPr="00E1136E">
        <w:rPr>
          <w:rStyle w:val="BodyChar"/>
          <w:iCs/>
        </w:rPr>
        <w:t>medical comorbidities prior to having anaesthesia</w:t>
      </w:r>
      <w:r w:rsidRPr="00E1136E">
        <w:rPr>
          <w:rStyle w:val="FootnoteReference"/>
          <w:iCs/>
          <w:sz w:val="18"/>
          <w:szCs w:val="16"/>
        </w:rPr>
        <w:footnoteReference w:id="5"/>
      </w:r>
      <w:r w:rsidRPr="00E1136E">
        <w:rPr>
          <w:rStyle w:val="BodyChar"/>
          <w:iCs/>
        </w:rPr>
        <w:t xml:space="preserve">. </w:t>
      </w:r>
    </w:p>
    <w:p w14:paraId="194EDF3E" w14:textId="77777777" w:rsidR="00281C2F" w:rsidRDefault="00281C2F" w:rsidP="00281C2F">
      <w:pPr>
        <w:pStyle w:val="Bodyaftertablefigure"/>
        <w:rPr>
          <w:rStyle w:val="BodyChar"/>
        </w:rPr>
      </w:pPr>
      <w:r>
        <w:rPr>
          <w:rStyle w:val="BodyChar"/>
        </w:rPr>
        <w:t>The framework assumes that with each capability increment, service delivery from the previous level continues to be available.</w:t>
      </w:r>
    </w:p>
    <w:p w14:paraId="01D71C81" w14:textId="36F1B7B7" w:rsidR="00281C2F" w:rsidRPr="00710B90" w:rsidRDefault="00281C2F" w:rsidP="00710B90">
      <w:pPr>
        <w:pStyle w:val="Body"/>
        <w:rPr>
          <w:rStyle w:val="BodyChar"/>
        </w:rPr>
      </w:pPr>
      <w:r w:rsidRPr="00710B90">
        <w:rPr>
          <w:rStyle w:val="BodyChar"/>
        </w:rPr>
        <w:t xml:space="preserve">The framework is based on the continuum of care </w:t>
      </w:r>
      <w:r w:rsidR="00D95288">
        <w:rPr>
          <w:rStyle w:val="BodyChar"/>
        </w:rPr>
        <w:t xml:space="preserve">for adults </w:t>
      </w:r>
      <w:r w:rsidRPr="00710B90">
        <w:rPr>
          <w:rStyle w:val="BodyChar"/>
        </w:rPr>
        <w:t xml:space="preserve">outlined in Table 1. This continuum recognises that the level of perioperative service provided by a health facility reflects the clinical case mix, surgical complexity, </w:t>
      </w:r>
      <w:r w:rsidRPr="00D873C5">
        <w:rPr>
          <w:rStyle w:val="BodyChar"/>
        </w:rPr>
        <w:t>anaesthetic</w:t>
      </w:r>
      <w:r w:rsidRPr="00710B90">
        <w:rPr>
          <w:rStyle w:val="BodyChar"/>
        </w:rPr>
        <w:t xml:space="preserve"> capability and the volume of patients treated at that facility.</w:t>
      </w:r>
    </w:p>
    <w:p w14:paraId="346D1F36" w14:textId="77777777" w:rsidR="00281C2F" w:rsidRDefault="00281C2F" w:rsidP="00281C2F">
      <w:pPr>
        <w:pStyle w:val="Body"/>
      </w:pPr>
      <w:r>
        <w:t xml:space="preserve">Campuses with high patient acuity, and where a rapid response is required, should ensure that perioperative services are available onsite 24 hours, 7 days a week. Trauma, emergency, surgery, oncology and critical care volumes are key variables in the level of perioperative service required, due to the frequency of urgent procedures, and the complexity of procedural and post-operative requirements. </w:t>
      </w:r>
    </w:p>
    <w:p w14:paraId="595323C0" w14:textId="0FC4121C" w:rsidR="00281C2F" w:rsidRDefault="00281C2F" w:rsidP="00281C2F">
      <w:pPr>
        <w:pStyle w:val="Tablecaption"/>
      </w:pPr>
      <w:r>
        <w:t xml:space="preserve">Table </w:t>
      </w:r>
      <w:r>
        <w:fldChar w:fldCharType="begin"/>
      </w:r>
      <w:r>
        <w:instrText>SEQ Table \* ARABIC</w:instrText>
      </w:r>
      <w:r>
        <w:fldChar w:fldCharType="separate"/>
      </w:r>
      <w:r w:rsidR="006E0585">
        <w:rPr>
          <w:noProof/>
        </w:rPr>
        <w:t>1</w:t>
      </w:r>
      <w:r>
        <w:fldChar w:fldCharType="end"/>
      </w:r>
      <w:r>
        <w:t xml:space="preserve">. </w:t>
      </w:r>
      <w:r w:rsidRPr="003F6A10">
        <w:t>Continuum of perioperative services capability – adults</w:t>
      </w:r>
    </w:p>
    <w:tbl>
      <w:tblPr>
        <w:tblStyle w:val="GridTable4-Accent6"/>
        <w:tblW w:w="9475" w:type="dxa"/>
        <w:tblBorders>
          <w:top w:val="none" w:sz="0" w:space="0" w:color="auto"/>
          <w:left w:val="none" w:sz="0" w:space="0" w:color="auto"/>
          <w:bottom w:val="single" w:sz="4" w:space="0" w:color="201547"/>
          <w:right w:val="none" w:sz="0" w:space="0" w:color="auto"/>
          <w:insideH w:val="none" w:sz="0" w:space="0" w:color="auto"/>
          <w:insideV w:val="single" w:sz="4" w:space="0" w:color="auto"/>
        </w:tblBorders>
        <w:tblLook w:val="04A0" w:firstRow="1" w:lastRow="0" w:firstColumn="1" w:lastColumn="0" w:noHBand="0" w:noVBand="1"/>
      </w:tblPr>
      <w:tblGrid>
        <w:gridCol w:w="1407"/>
        <w:gridCol w:w="1372"/>
        <w:gridCol w:w="1536"/>
        <w:gridCol w:w="1325"/>
        <w:gridCol w:w="1325"/>
        <w:gridCol w:w="1291"/>
        <w:gridCol w:w="1291"/>
      </w:tblGrid>
      <w:tr w:rsidR="001A32E2" w:rsidRPr="001A32E2" w14:paraId="5EBB8043" w14:textId="77777777" w:rsidTr="00C42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shd w:val="clear" w:color="auto" w:fill="201547"/>
          </w:tcPr>
          <w:p w14:paraId="658F5204" w14:textId="5CCFA43A" w:rsidR="00281C2F" w:rsidRPr="001A32E2" w:rsidRDefault="00AB51D2" w:rsidP="009A032D">
            <w:pPr>
              <w:pStyle w:val="Tablecolhead"/>
              <w:rPr>
                <w:color w:val="FFFFFF" w:themeColor="background1"/>
              </w:rPr>
            </w:pPr>
            <w:r w:rsidRPr="006F32BD">
              <w:rPr>
                <w:b/>
                <w:color w:val="FFFFFF" w:themeColor="background1"/>
              </w:rPr>
              <w:t>Complexity</w:t>
            </w:r>
          </w:p>
        </w:tc>
        <w:tc>
          <w:tcPr>
            <w:tcW w:w="1267" w:type="dxa"/>
            <w:shd w:val="clear" w:color="auto" w:fill="201547"/>
          </w:tcPr>
          <w:p w14:paraId="464A586B" w14:textId="77777777" w:rsidR="00281C2F" w:rsidRPr="001A32E2" w:rsidRDefault="00281C2F" w:rsidP="009A032D">
            <w:pPr>
              <w:pStyle w:val="Tablecolhead"/>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1A32E2">
              <w:rPr>
                <w:b/>
                <w:color w:val="FFFFFF" w:themeColor="background1"/>
              </w:rPr>
              <w:t>Level 1</w:t>
            </w:r>
          </w:p>
        </w:tc>
        <w:tc>
          <w:tcPr>
            <w:tcW w:w="1506" w:type="dxa"/>
            <w:shd w:val="clear" w:color="auto" w:fill="201547"/>
          </w:tcPr>
          <w:p w14:paraId="2D2EC91A" w14:textId="77777777" w:rsidR="00281C2F" w:rsidRPr="001A32E2" w:rsidRDefault="00281C2F" w:rsidP="009A032D">
            <w:pPr>
              <w:pStyle w:val="Tablecolhead"/>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1A32E2">
              <w:rPr>
                <w:b/>
                <w:color w:val="FFFFFF" w:themeColor="background1"/>
              </w:rPr>
              <w:t>Level 2</w:t>
            </w:r>
          </w:p>
        </w:tc>
        <w:tc>
          <w:tcPr>
            <w:tcW w:w="1300" w:type="dxa"/>
            <w:shd w:val="clear" w:color="auto" w:fill="201547"/>
          </w:tcPr>
          <w:p w14:paraId="76E5C82D" w14:textId="77777777" w:rsidR="00281C2F" w:rsidRPr="001A32E2" w:rsidRDefault="00281C2F" w:rsidP="009A032D">
            <w:pPr>
              <w:pStyle w:val="Tablecolhead"/>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1A32E2">
              <w:rPr>
                <w:b/>
                <w:color w:val="FFFFFF" w:themeColor="background1"/>
              </w:rPr>
              <w:t>Level 3</w:t>
            </w:r>
          </w:p>
        </w:tc>
        <w:tc>
          <w:tcPr>
            <w:tcW w:w="1487" w:type="dxa"/>
            <w:shd w:val="clear" w:color="auto" w:fill="201547"/>
          </w:tcPr>
          <w:p w14:paraId="683D6F77" w14:textId="77777777" w:rsidR="00281C2F" w:rsidRPr="001A32E2" w:rsidRDefault="00281C2F" w:rsidP="009A032D">
            <w:pPr>
              <w:pStyle w:val="Tablecolhead"/>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1A32E2">
              <w:rPr>
                <w:b/>
                <w:color w:val="FFFFFF" w:themeColor="background1"/>
              </w:rPr>
              <w:t>Level 4</w:t>
            </w:r>
          </w:p>
        </w:tc>
        <w:tc>
          <w:tcPr>
            <w:tcW w:w="1267" w:type="dxa"/>
            <w:shd w:val="clear" w:color="auto" w:fill="201547"/>
          </w:tcPr>
          <w:p w14:paraId="17EA11A8" w14:textId="77777777" w:rsidR="00281C2F" w:rsidRPr="001A32E2" w:rsidRDefault="00281C2F" w:rsidP="009A032D">
            <w:pPr>
              <w:pStyle w:val="Tablecolhead"/>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1A32E2">
              <w:rPr>
                <w:b/>
                <w:color w:val="FFFFFF" w:themeColor="background1"/>
              </w:rPr>
              <w:t>Level 5</w:t>
            </w:r>
          </w:p>
        </w:tc>
        <w:tc>
          <w:tcPr>
            <w:tcW w:w="1267" w:type="dxa"/>
            <w:shd w:val="clear" w:color="auto" w:fill="201547"/>
          </w:tcPr>
          <w:p w14:paraId="09B42351" w14:textId="77777777" w:rsidR="00281C2F" w:rsidRPr="001A32E2" w:rsidRDefault="00281C2F" w:rsidP="009A032D">
            <w:pPr>
              <w:pStyle w:val="Tablecolhead"/>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1A32E2">
              <w:rPr>
                <w:b/>
                <w:color w:val="FFFFFF" w:themeColor="background1"/>
              </w:rPr>
              <w:t>Level 6</w:t>
            </w:r>
          </w:p>
        </w:tc>
      </w:tr>
      <w:tr w:rsidR="00281C2F" w:rsidRPr="00416836" w14:paraId="3E006B5E" w14:textId="77777777" w:rsidTr="00C42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shd w:val="clear" w:color="auto" w:fill="DBE5F1" w:themeFill="accent1" w:themeFillTint="33"/>
          </w:tcPr>
          <w:p w14:paraId="5A348020" w14:textId="72E06E3F" w:rsidR="00281C2F" w:rsidRPr="00E1136E" w:rsidRDefault="00281C2F" w:rsidP="009A032D">
            <w:pPr>
              <w:pStyle w:val="Tabletext"/>
            </w:pPr>
            <w:r w:rsidRPr="00E1136E">
              <w:t xml:space="preserve">Procedural </w:t>
            </w:r>
          </w:p>
        </w:tc>
        <w:tc>
          <w:tcPr>
            <w:tcW w:w="1267" w:type="dxa"/>
            <w:shd w:val="clear" w:color="auto" w:fill="DBE5F1" w:themeFill="accent1" w:themeFillTint="33"/>
          </w:tcPr>
          <w:p w14:paraId="2B243A25" w14:textId="77777777" w:rsidR="00281C2F" w:rsidRPr="00E1136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E1136E">
              <w:t>Office-based procedures only</w:t>
            </w:r>
          </w:p>
        </w:tc>
        <w:tc>
          <w:tcPr>
            <w:tcW w:w="1506" w:type="dxa"/>
            <w:shd w:val="clear" w:color="auto" w:fill="DBE5F1" w:themeFill="accent1" w:themeFillTint="33"/>
          </w:tcPr>
          <w:p w14:paraId="27D77436" w14:textId="77777777" w:rsidR="00281C2F" w:rsidRPr="00E1136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E1136E">
              <w:t>Low-to-moderate complexity procedures, predominantly day cases</w:t>
            </w:r>
          </w:p>
        </w:tc>
        <w:tc>
          <w:tcPr>
            <w:tcW w:w="1300" w:type="dxa"/>
            <w:shd w:val="clear" w:color="auto" w:fill="DBE5F1" w:themeFill="accent1" w:themeFillTint="33"/>
          </w:tcPr>
          <w:p w14:paraId="0F91FC22" w14:textId="77777777" w:rsidR="00281C2F" w:rsidRPr="00E1136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E1136E">
              <w:t>Moderate complexity procedures, including overnight stays</w:t>
            </w:r>
          </w:p>
        </w:tc>
        <w:tc>
          <w:tcPr>
            <w:tcW w:w="1487" w:type="dxa"/>
            <w:shd w:val="clear" w:color="auto" w:fill="DBE5F1" w:themeFill="accent1" w:themeFillTint="33"/>
          </w:tcPr>
          <w:p w14:paraId="6E8266E3" w14:textId="77777777" w:rsidR="00281C2F" w:rsidRPr="00E1136E" w:rsidRDefault="00281C2F" w:rsidP="00281C2F">
            <w:pPr>
              <w:pStyle w:val="Tabletext"/>
              <w:ind w:right="-296"/>
              <w:cnfStyle w:val="000000100000" w:firstRow="0" w:lastRow="0" w:firstColumn="0" w:lastColumn="0" w:oddVBand="0" w:evenVBand="0" w:oddHBand="1" w:evenHBand="0" w:firstRowFirstColumn="0" w:firstRowLastColumn="0" w:lastRowFirstColumn="0" w:lastRowLastColumn="0"/>
            </w:pPr>
            <w:r w:rsidRPr="00E1136E">
              <w:t>Moderate complexity procedures, selected specialities</w:t>
            </w:r>
          </w:p>
        </w:tc>
        <w:tc>
          <w:tcPr>
            <w:tcW w:w="1267" w:type="dxa"/>
            <w:shd w:val="clear" w:color="auto" w:fill="DBE5F1" w:themeFill="accent1" w:themeFillTint="33"/>
          </w:tcPr>
          <w:p w14:paraId="1BB1F7B2" w14:textId="77777777" w:rsidR="00281C2F" w:rsidRPr="00E1136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E1136E">
              <w:t>High</w:t>
            </w:r>
            <w:r>
              <w:t>-complexity</w:t>
            </w:r>
            <w:r w:rsidRPr="00E1136E">
              <w:t xml:space="preserve"> procedure across most specialities</w:t>
            </w:r>
          </w:p>
        </w:tc>
        <w:tc>
          <w:tcPr>
            <w:tcW w:w="1267" w:type="dxa"/>
            <w:shd w:val="clear" w:color="auto" w:fill="DBE5F1" w:themeFill="accent1" w:themeFillTint="33"/>
          </w:tcPr>
          <w:p w14:paraId="15782A6E" w14:textId="77777777" w:rsidR="00281C2F" w:rsidRPr="00E1136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E1136E">
              <w:t>Highest complexity procedures across most specialities</w:t>
            </w:r>
          </w:p>
        </w:tc>
      </w:tr>
      <w:tr w:rsidR="00281C2F" w:rsidRPr="00416836" w14:paraId="1693E63E" w14:textId="77777777" w:rsidTr="00C42C96">
        <w:tc>
          <w:tcPr>
            <w:cnfStyle w:val="001000000000" w:firstRow="0" w:lastRow="0" w:firstColumn="1" w:lastColumn="0" w:oddVBand="0" w:evenVBand="0" w:oddHBand="0" w:evenHBand="0" w:firstRowFirstColumn="0" w:firstRowLastColumn="0" w:lastRowFirstColumn="0" w:lastRowLastColumn="0"/>
            <w:tcW w:w="1381" w:type="dxa"/>
          </w:tcPr>
          <w:p w14:paraId="3123D1D6" w14:textId="15E59D5F" w:rsidR="00281C2F" w:rsidRPr="00E1136E" w:rsidRDefault="00281C2F" w:rsidP="009A032D">
            <w:pPr>
              <w:pStyle w:val="Tabletext"/>
            </w:pPr>
            <w:r w:rsidRPr="00E1136E">
              <w:t xml:space="preserve">Anaesthetic </w:t>
            </w:r>
          </w:p>
        </w:tc>
        <w:tc>
          <w:tcPr>
            <w:tcW w:w="1267" w:type="dxa"/>
          </w:tcPr>
          <w:p w14:paraId="4635CCAB" w14:textId="77777777" w:rsidR="00281C2F" w:rsidRPr="00E1136E"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E1136E">
              <w:t>Local anaesthetic only</w:t>
            </w:r>
          </w:p>
        </w:tc>
        <w:tc>
          <w:tcPr>
            <w:tcW w:w="1506" w:type="dxa"/>
          </w:tcPr>
          <w:p w14:paraId="18F9925E" w14:textId="77777777" w:rsidR="00281C2F" w:rsidRPr="00E1136E"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E1136E">
              <w:t xml:space="preserve">Low anaesthetic complexity, sedation and some general anaesthetic </w:t>
            </w:r>
          </w:p>
        </w:tc>
        <w:tc>
          <w:tcPr>
            <w:tcW w:w="1300" w:type="dxa"/>
          </w:tcPr>
          <w:p w14:paraId="3970D63F" w14:textId="77777777" w:rsidR="00281C2F" w:rsidRPr="00E1136E"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G</w:t>
            </w:r>
            <w:r w:rsidRPr="0038592F">
              <w:t>eneral anaesthetic</w:t>
            </w:r>
          </w:p>
        </w:tc>
        <w:tc>
          <w:tcPr>
            <w:tcW w:w="1487" w:type="dxa"/>
          </w:tcPr>
          <w:p w14:paraId="38D80E45" w14:textId="77777777" w:rsidR="00281C2F" w:rsidRPr="00E1136E"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w:t>
            </w:r>
            <w:r w:rsidRPr="0038592F">
              <w:t>naesthetic</w:t>
            </w:r>
            <w:r>
              <w:t xml:space="preserve"> for defined scope of procedures</w:t>
            </w:r>
          </w:p>
        </w:tc>
        <w:tc>
          <w:tcPr>
            <w:tcW w:w="1267" w:type="dxa"/>
          </w:tcPr>
          <w:p w14:paraId="53A84FAC" w14:textId="77777777" w:rsidR="00281C2F" w:rsidRPr="00E1136E"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 xml:space="preserve">High-complexity </w:t>
            </w:r>
            <w:r w:rsidRPr="0038592F">
              <w:t>anaesthetic</w:t>
            </w:r>
          </w:p>
        </w:tc>
        <w:tc>
          <w:tcPr>
            <w:tcW w:w="1267" w:type="dxa"/>
          </w:tcPr>
          <w:p w14:paraId="7B0554D2" w14:textId="77777777" w:rsidR="00281C2F" w:rsidRPr="00E1136E"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 xml:space="preserve">High-complexity </w:t>
            </w:r>
            <w:r w:rsidRPr="0038592F">
              <w:t>anaesthetic</w:t>
            </w:r>
          </w:p>
        </w:tc>
      </w:tr>
      <w:tr w:rsidR="00281C2F" w:rsidRPr="00416836" w14:paraId="5A4D9FA2" w14:textId="77777777" w:rsidTr="00C42C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shd w:val="clear" w:color="auto" w:fill="DBE5F1" w:themeFill="accent1" w:themeFillTint="33"/>
          </w:tcPr>
          <w:p w14:paraId="42F48601" w14:textId="352B0781" w:rsidR="00281C2F" w:rsidRPr="00E1136E" w:rsidRDefault="00281C2F" w:rsidP="009A032D">
            <w:pPr>
              <w:pStyle w:val="Tabletext"/>
            </w:pPr>
            <w:r w:rsidRPr="00E1136E">
              <w:t xml:space="preserve">Patient </w:t>
            </w:r>
          </w:p>
        </w:tc>
        <w:tc>
          <w:tcPr>
            <w:tcW w:w="1267" w:type="dxa"/>
            <w:shd w:val="clear" w:color="auto" w:fill="DBE5F1" w:themeFill="accent1" w:themeFillTint="33"/>
          </w:tcPr>
          <w:p w14:paraId="39C5B805" w14:textId="44E01379" w:rsidR="00281C2F" w:rsidRPr="00E1136E" w:rsidRDefault="00D873C5" w:rsidP="009A032D">
            <w:pPr>
              <w:pStyle w:val="Tabletext"/>
              <w:cnfStyle w:val="000000100000" w:firstRow="0" w:lastRow="0" w:firstColumn="0" w:lastColumn="0" w:oddVBand="0" w:evenVBand="0" w:oddHBand="1" w:evenHBand="0" w:firstRowFirstColumn="0" w:firstRowLastColumn="0" w:lastRowFirstColumn="0" w:lastRowLastColumn="0"/>
            </w:pPr>
            <w:r>
              <w:t>All</w:t>
            </w:r>
            <w:r w:rsidR="00281C2F" w:rsidRPr="00E1136E">
              <w:t xml:space="preserve"> patient complexit</w:t>
            </w:r>
            <w:r>
              <w:t>ies</w:t>
            </w:r>
          </w:p>
        </w:tc>
        <w:tc>
          <w:tcPr>
            <w:tcW w:w="1506" w:type="dxa"/>
            <w:shd w:val="clear" w:color="auto" w:fill="DBE5F1" w:themeFill="accent1" w:themeFillTint="33"/>
          </w:tcPr>
          <w:p w14:paraId="7131619E" w14:textId="3CFC174E" w:rsidR="00281C2F" w:rsidRPr="00E1136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E1136E">
              <w:t>Low-to-moderate patient complexity (ASA</w:t>
            </w:r>
            <w:r w:rsidR="00710B90">
              <w:t xml:space="preserve"> </w:t>
            </w:r>
            <w:r w:rsidRPr="00E1136E">
              <w:t>1–3)</w:t>
            </w:r>
          </w:p>
        </w:tc>
        <w:tc>
          <w:tcPr>
            <w:tcW w:w="1300" w:type="dxa"/>
            <w:shd w:val="clear" w:color="auto" w:fill="DBE5F1" w:themeFill="accent1" w:themeFillTint="33"/>
          </w:tcPr>
          <w:p w14:paraId="0E7AE762" w14:textId="1C24096E" w:rsidR="00281C2F" w:rsidRPr="00E1136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38592F">
              <w:t>Low-to-moderate patient complexity (ASA</w:t>
            </w:r>
            <w:r w:rsidR="00710B90">
              <w:t xml:space="preserve"> </w:t>
            </w:r>
            <w:r w:rsidRPr="0038592F">
              <w:t>1–3)</w:t>
            </w:r>
          </w:p>
        </w:tc>
        <w:tc>
          <w:tcPr>
            <w:tcW w:w="1487" w:type="dxa"/>
            <w:shd w:val="clear" w:color="auto" w:fill="DBE5F1" w:themeFill="accent1" w:themeFillTint="33"/>
          </w:tcPr>
          <w:p w14:paraId="1C0B4D2E" w14:textId="470A2114" w:rsidR="00281C2F" w:rsidRPr="00E1136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Limited procedures on more complex patients (ASA</w:t>
            </w:r>
            <w:r w:rsidR="00710B90">
              <w:t xml:space="preserve"> </w:t>
            </w:r>
            <w:r>
              <w:t>4)</w:t>
            </w:r>
          </w:p>
        </w:tc>
        <w:tc>
          <w:tcPr>
            <w:tcW w:w="1267" w:type="dxa"/>
            <w:shd w:val="clear" w:color="auto" w:fill="DBE5F1" w:themeFill="accent1" w:themeFillTint="33"/>
          </w:tcPr>
          <w:p w14:paraId="789CA87C" w14:textId="77777777" w:rsidR="00281C2F" w:rsidRPr="00E1136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Most patient complexity</w:t>
            </w:r>
          </w:p>
        </w:tc>
        <w:tc>
          <w:tcPr>
            <w:tcW w:w="1267" w:type="dxa"/>
            <w:shd w:val="clear" w:color="auto" w:fill="DBE5F1" w:themeFill="accent1" w:themeFillTint="33"/>
          </w:tcPr>
          <w:p w14:paraId="2CF8A7E4" w14:textId="77777777" w:rsidR="00281C2F" w:rsidRPr="00E1136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Highest complexity patients</w:t>
            </w:r>
          </w:p>
        </w:tc>
      </w:tr>
    </w:tbl>
    <w:p w14:paraId="6EF1E077" w14:textId="77777777" w:rsidR="00281C2F" w:rsidRDefault="00281C2F" w:rsidP="00281C2F">
      <w:pPr>
        <w:pStyle w:val="Heading2"/>
      </w:pPr>
      <w:bookmarkStart w:id="29" w:name="_Toc148626395"/>
      <w:bookmarkStart w:id="30" w:name="_Toc148718450"/>
      <w:bookmarkStart w:id="31" w:name="_Toc153792511"/>
      <w:r w:rsidRPr="00C244D7">
        <w:t>Perioperative services for children</w:t>
      </w:r>
      <w:bookmarkEnd w:id="29"/>
      <w:bookmarkEnd w:id="30"/>
      <w:bookmarkEnd w:id="31"/>
      <w:r w:rsidRPr="000A5EAA">
        <w:t xml:space="preserve"> </w:t>
      </w:r>
    </w:p>
    <w:p w14:paraId="503D3488" w14:textId="77777777" w:rsidR="00281C2F" w:rsidRDefault="00281C2F" w:rsidP="00281C2F">
      <w:pPr>
        <w:pStyle w:val="Body"/>
      </w:pPr>
      <w:r>
        <w:t xml:space="preserve">The perioperative care needs for paediatric patients are different to adult patients. </w:t>
      </w:r>
      <w:r w:rsidRPr="00F45DCA">
        <w:t xml:space="preserve">Surgery for </w:t>
      </w:r>
      <w:r>
        <w:t xml:space="preserve">most </w:t>
      </w:r>
      <w:r w:rsidRPr="00F45DCA">
        <w:t xml:space="preserve">children is provided </w:t>
      </w:r>
      <w:r>
        <w:t xml:space="preserve">across </w:t>
      </w:r>
      <w:r w:rsidRPr="00F45DCA">
        <w:t xml:space="preserve">several surgical specialities </w:t>
      </w:r>
      <w:r>
        <w:t xml:space="preserve">for </w:t>
      </w:r>
      <w:r w:rsidRPr="00F45DCA">
        <w:t>a range of common procedures.</w:t>
      </w:r>
      <w:r>
        <w:t xml:space="preserve"> While most paediatric procedures can be safely provided in general hospital settings, there are factors that will determine which </w:t>
      </w:r>
      <w:r w:rsidRPr="004D2897">
        <w:t>campus</w:t>
      </w:r>
      <w:r>
        <w:t xml:space="preserve"> is most appropriate.</w:t>
      </w:r>
    </w:p>
    <w:p w14:paraId="5715369F" w14:textId="77777777" w:rsidR="00281C2F" w:rsidRDefault="00281C2F" w:rsidP="00281C2F">
      <w:pPr>
        <w:pStyle w:val="Body"/>
      </w:pPr>
      <w:r>
        <w:t>These include:</w:t>
      </w:r>
    </w:p>
    <w:p w14:paraId="63DD5D35" w14:textId="77777777" w:rsidR="00281C2F" w:rsidRPr="00E9037F" w:rsidRDefault="00281C2F" w:rsidP="0073249D">
      <w:pPr>
        <w:pStyle w:val="Bullet1"/>
        <w:numPr>
          <w:ilvl w:val="0"/>
          <w:numId w:val="7"/>
        </w:numPr>
        <w:rPr>
          <w:rFonts w:ascii="Open Sans" w:eastAsia="Open Sans" w:hAnsi="Open Sans" w:cs="Open Sans"/>
          <w:b/>
          <w:sz w:val="24"/>
          <w:szCs w:val="24"/>
        </w:rPr>
      </w:pPr>
      <w:r>
        <w:t>the age of the child</w:t>
      </w:r>
    </w:p>
    <w:p w14:paraId="3E4DA63A" w14:textId="77777777" w:rsidR="00281C2F" w:rsidRDefault="00281C2F" w:rsidP="0073249D">
      <w:pPr>
        <w:pStyle w:val="Bullet1"/>
        <w:numPr>
          <w:ilvl w:val="0"/>
          <w:numId w:val="7"/>
        </w:numPr>
        <w:rPr>
          <w:rFonts w:ascii="Open Sans" w:eastAsia="Open Sans" w:hAnsi="Open Sans" w:cs="Open Sans"/>
          <w:b/>
          <w:sz w:val="24"/>
          <w:szCs w:val="24"/>
        </w:rPr>
      </w:pPr>
      <w:r>
        <w:t>management of children with complex health needs</w:t>
      </w:r>
    </w:p>
    <w:p w14:paraId="43EECF18" w14:textId="77777777" w:rsidR="00281C2F" w:rsidRPr="002173BE" w:rsidRDefault="00281C2F" w:rsidP="0073249D">
      <w:pPr>
        <w:pStyle w:val="Bullet1"/>
        <w:numPr>
          <w:ilvl w:val="0"/>
          <w:numId w:val="7"/>
        </w:numPr>
      </w:pPr>
      <w:r w:rsidRPr="00B74545">
        <w:t>the scope of perioperative services provided by the campus</w:t>
      </w:r>
    </w:p>
    <w:p w14:paraId="3B8BA542" w14:textId="77777777" w:rsidR="00281C2F" w:rsidRPr="00E9037F" w:rsidRDefault="00281C2F" w:rsidP="0073249D">
      <w:pPr>
        <w:pStyle w:val="Bullet1"/>
        <w:numPr>
          <w:ilvl w:val="0"/>
          <w:numId w:val="7"/>
        </w:numPr>
        <w:rPr>
          <w:rFonts w:ascii="Open Sans" w:eastAsia="Open Sans" w:hAnsi="Open Sans" w:cs="Open Sans"/>
          <w:b/>
          <w:sz w:val="24"/>
          <w:szCs w:val="24"/>
        </w:rPr>
      </w:pPr>
      <w:r>
        <w:t>the child-safe infrastructure, including equipment, facilities and accommodation available at the campus</w:t>
      </w:r>
    </w:p>
    <w:p w14:paraId="774FB123" w14:textId="77777777" w:rsidR="00281C2F" w:rsidRPr="00E9037F" w:rsidRDefault="00281C2F" w:rsidP="0073249D">
      <w:pPr>
        <w:pStyle w:val="Bullet1"/>
        <w:numPr>
          <w:ilvl w:val="0"/>
          <w:numId w:val="7"/>
        </w:numPr>
        <w:rPr>
          <w:rFonts w:ascii="Open Sans" w:eastAsia="Open Sans" w:hAnsi="Open Sans" w:cs="Open Sans"/>
          <w:b/>
          <w:sz w:val="24"/>
          <w:szCs w:val="24"/>
        </w:rPr>
      </w:pPr>
      <w:r>
        <w:t>highly specialised or complex procedures that require a team of specialist paediatric clinicians.</w:t>
      </w:r>
    </w:p>
    <w:p w14:paraId="474B7597" w14:textId="77777777" w:rsidR="00281C2F" w:rsidRDefault="00281C2F" w:rsidP="00281C2F">
      <w:pPr>
        <w:pStyle w:val="Bodyafterbullets"/>
      </w:pPr>
      <w:r w:rsidRPr="00B23198">
        <w:t xml:space="preserve">Each </w:t>
      </w:r>
      <w:r>
        <w:t>campus should define its scope of perioperative care for children and confirm the workforce and infrastructure that is available to deliver that care.</w:t>
      </w:r>
    </w:p>
    <w:p w14:paraId="34EAEEA8" w14:textId="77777777" w:rsidR="00281C2F" w:rsidRPr="0034535F" w:rsidRDefault="00281C2F" w:rsidP="00281C2F">
      <w:pPr>
        <w:pStyle w:val="Bodyafterbullets"/>
        <w:rPr>
          <w:rFonts w:eastAsia="Open Sans"/>
        </w:rPr>
      </w:pPr>
      <w:r w:rsidRPr="004D2897">
        <w:t xml:space="preserve">For </w:t>
      </w:r>
      <w:r w:rsidRPr="004D2897">
        <w:rPr>
          <w:szCs w:val="21"/>
        </w:rPr>
        <w:t xml:space="preserve">children whose care needs fall outside of </w:t>
      </w:r>
      <w:r w:rsidRPr="00B74545">
        <w:rPr>
          <w:szCs w:val="21"/>
        </w:rPr>
        <w:t>the defined campus</w:t>
      </w:r>
      <w:r w:rsidRPr="00540F4E">
        <w:rPr>
          <w:szCs w:val="21"/>
        </w:rPr>
        <w:t xml:space="preserve"> scope</w:t>
      </w:r>
      <w:r w:rsidRPr="004D2897">
        <w:rPr>
          <w:szCs w:val="21"/>
        </w:rPr>
        <w:t>, explicit pathways and protocols should support seamless referral to an appropriate</w:t>
      </w:r>
      <w:r>
        <w:rPr>
          <w:szCs w:val="21"/>
        </w:rPr>
        <w:t xml:space="preserve"> service</w:t>
      </w:r>
      <w:r w:rsidRPr="00F80867">
        <w:rPr>
          <w:szCs w:val="21"/>
        </w:rPr>
        <w:t>.</w:t>
      </w:r>
      <w:r>
        <w:rPr>
          <w:szCs w:val="21"/>
        </w:rPr>
        <w:t xml:space="preserve"> </w:t>
      </w:r>
      <w:r>
        <w:rPr>
          <w:rStyle w:val="ui-provider"/>
          <w:rFonts w:eastAsia="MS Gothic"/>
        </w:rPr>
        <w:t>Children with complex requirements should receive perioperative services at a campus with a higher level of capability to comprehensively address all of their</w:t>
      </w:r>
      <w:r w:rsidRPr="00781A00">
        <w:rPr>
          <w:rStyle w:val="ui-provider"/>
          <w:rFonts w:eastAsia="MS Gothic"/>
        </w:rPr>
        <w:t xml:space="preserve"> </w:t>
      </w:r>
      <w:r>
        <w:rPr>
          <w:rStyle w:val="ui-provider"/>
          <w:rFonts w:eastAsia="MS Gothic"/>
        </w:rPr>
        <w:t>needs.</w:t>
      </w:r>
    </w:p>
    <w:p w14:paraId="33D283D7" w14:textId="77777777" w:rsidR="00281C2F" w:rsidRDefault="00281C2F" w:rsidP="00281C2F">
      <w:pPr>
        <w:pStyle w:val="Body"/>
      </w:pPr>
      <w:r>
        <w:t>T</w:t>
      </w:r>
      <w:r w:rsidRPr="001E180B">
        <w:t xml:space="preserve">he paediatric </w:t>
      </w:r>
      <w:r>
        <w:t xml:space="preserve">perioperative </w:t>
      </w:r>
      <w:r w:rsidRPr="001E180B">
        <w:t xml:space="preserve">service </w:t>
      </w:r>
      <w:r>
        <w:t xml:space="preserve">at a campus </w:t>
      </w:r>
      <w:r w:rsidRPr="001E180B">
        <w:t xml:space="preserve">may be a different capability level to the adult service </w:t>
      </w:r>
      <w:r>
        <w:t>and is determined by</w:t>
      </w:r>
      <w:r w:rsidRPr="00FA2E06">
        <w:t xml:space="preserve"> clinical skill mix, facilities and governance arrangements. </w:t>
      </w:r>
    </w:p>
    <w:p w14:paraId="2E189CA8" w14:textId="5E6BBD7E" w:rsidR="00281C2F" w:rsidRPr="00642E3A" w:rsidRDefault="00281C2F" w:rsidP="00281C2F">
      <w:pPr>
        <w:pStyle w:val="Tablecaption"/>
      </w:pPr>
      <w:r w:rsidRPr="00642E3A">
        <w:t xml:space="preserve">Table </w:t>
      </w:r>
      <w:r>
        <w:fldChar w:fldCharType="begin"/>
      </w:r>
      <w:r>
        <w:instrText>SEQ Table \* ARABIC</w:instrText>
      </w:r>
      <w:r>
        <w:fldChar w:fldCharType="separate"/>
      </w:r>
      <w:r w:rsidR="006E0585">
        <w:rPr>
          <w:noProof/>
        </w:rPr>
        <w:t>2</w:t>
      </w:r>
      <w:r>
        <w:fldChar w:fldCharType="end"/>
      </w:r>
      <w:r w:rsidRPr="00642E3A">
        <w:t>. Continuum of perioperative services capability – paediatrics</w:t>
      </w:r>
    </w:p>
    <w:tbl>
      <w:tblPr>
        <w:tblStyle w:val="GridTable4-Accent6"/>
        <w:tblW w:w="9918" w:type="dxa"/>
        <w:tblBorders>
          <w:top w:val="none" w:sz="0" w:space="0" w:color="auto"/>
          <w:left w:val="none" w:sz="0" w:space="0" w:color="auto"/>
          <w:bottom w:val="single" w:sz="4" w:space="0" w:color="201547"/>
          <w:right w:val="none" w:sz="0" w:space="0" w:color="auto"/>
          <w:insideH w:val="none" w:sz="0" w:space="0" w:color="auto"/>
          <w:insideV w:val="single" w:sz="4" w:space="0" w:color="201547"/>
        </w:tblBorders>
        <w:tblLayout w:type="fixed"/>
        <w:tblLook w:val="04A0" w:firstRow="1" w:lastRow="0" w:firstColumn="1" w:lastColumn="0" w:noHBand="0" w:noVBand="1"/>
      </w:tblPr>
      <w:tblGrid>
        <w:gridCol w:w="1413"/>
        <w:gridCol w:w="1417"/>
        <w:gridCol w:w="1560"/>
        <w:gridCol w:w="1417"/>
        <w:gridCol w:w="1418"/>
        <w:gridCol w:w="1417"/>
        <w:gridCol w:w="1276"/>
      </w:tblGrid>
      <w:tr w:rsidR="00281C2F" w:rsidRPr="00E01B23" w14:paraId="1ED8B53C" w14:textId="77777777" w:rsidTr="008668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201547"/>
          </w:tcPr>
          <w:p w14:paraId="013EB2CD" w14:textId="53CDB741" w:rsidR="00281C2F" w:rsidRPr="00E01B23" w:rsidRDefault="00F04F32" w:rsidP="009A032D">
            <w:pPr>
              <w:pStyle w:val="Tablecolhead"/>
            </w:pPr>
            <w:r w:rsidRPr="00D24A41">
              <w:rPr>
                <w:b/>
                <w:color w:val="FFFFFF" w:themeColor="background1"/>
              </w:rPr>
              <w:t>Complexity</w:t>
            </w:r>
          </w:p>
        </w:tc>
        <w:tc>
          <w:tcPr>
            <w:tcW w:w="1417" w:type="dxa"/>
            <w:shd w:val="clear" w:color="auto" w:fill="201547"/>
          </w:tcPr>
          <w:p w14:paraId="5D5E06D0" w14:textId="77777777" w:rsidR="00281C2F" w:rsidRPr="00E01B23" w:rsidRDefault="00281C2F" w:rsidP="009A032D">
            <w:pPr>
              <w:pStyle w:val="Tablecolhead"/>
              <w:cnfStyle w:val="100000000000" w:firstRow="1" w:lastRow="0" w:firstColumn="0" w:lastColumn="0" w:oddVBand="0" w:evenVBand="0" w:oddHBand="0" w:evenHBand="0" w:firstRowFirstColumn="0" w:firstRowLastColumn="0" w:lastRowFirstColumn="0" w:lastRowLastColumn="0"/>
              <w:rPr>
                <w:bCs w:val="0"/>
              </w:rPr>
            </w:pPr>
            <w:r w:rsidRPr="00E1136E">
              <w:rPr>
                <w:b/>
                <w:color w:val="FFFFFF" w:themeColor="background1"/>
              </w:rPr>
              <w:t>Level 1</w:t>
            </w:r>
          </w:p>
        </w:tc>
        <w:tc>
          <w:tcPr>
            <w:tcW w:w="1560" w:type="dxa"/>
            <w:shd w:val="clear" w:color="auto" w:fill="201547"/>
          </w:tcPr>
          <w:p w14:paraId="7B383712" w14:textId="77777777" w:rsidR="00281C2F" w:rsidRPr="00E01B23" w:rsidRDefault="00281C2F" w:rsidP="009A032D">
            <w:pPr>
              <w:pStyle w:val="Tablecolhead"/>
              <w:cnfStyle w:val="100000000000" w:firstRow="1" w:lastRow="0" w:firstColumn="0" w:lastColumn="0" w:oddVBand="0" w:evenVBand="0" w:oddHBand="0" w:evenHBand="0" w:firstRowFirstColumn="0" w:firstRowLastColumn="0" w:lastRowFirstColumn="0" w:lastRowLastColumn="0"/>
              <w:rPr>
                <w:bCs w:val="0"/>
              </w:rPr>
            </w:pPr>
            <w:r w:rsidRPr="00E1136E">
              <w:rPr>
                <w:b/>
                <w:color w:val="FFFFFF" w:themeColor="background1"/>
              </w:rPr>
              <w:t>Level 2</w:t>
            </w:r>
          </w:p>
        </w:tc>
        <w:tc>
          <w:tcPr>
            <w:tcW w:w="1417" w:type="dxa"/>
            <w:shd w:val="clear" w:color="auto" w:fill="201547"/>
          </w:tcPr>
          <w:p w14:paraId="36A5AD38" w14:textId="77777777" w:rsidR="00281C2F" w:rsidRPr="00E01B23" w:rsidRDefault="00281C2F" w:rsidP="009A032D">
            <w:pPr>
              <w:pStyle w:val="Tablecolhead"/>
              <w:cnfStyle w:val="100000000000" w:firstRow="1" w:lastRow="0" w:firstColumn="0" w:lastColumn="0" w:oddVBand="0" w:evenVBand="0" w:oddHBand="0" w:evenHBand="0" w:firstRowFirstColumn="0" w:firstRowLastColumn="0" w:lastRowFirstColumn="0" w:lastRowLastColumn="0"/>
              <w:rPr>
                <w:bCs w:val="0"/>
              </w:rPr>
            </w:pPr>
            <w:r w:rsidRPr="00E1136E">
              <w:rPr>
                <w:b/>
                <w:color w:val="FFFFFF" w:themeColor="background1"/>
              </w:rPr>
              <w:t>Level 3</w:t>
            </w:r>
          </w:p>
        </w:tc>
        <w:tc>
          <w:tcPr>
            <w:tcW w:w="1418" w:type="dxa"/>
            <w:shd w:val="clear" w:color="auto" w:fill="201547"/>
          </w:tcPr>
          <w:p w14:paraId="0CF3049B" w14:textId="77777777" w:rsidR="00281C2F" w:rsidRPr="00E01B23" w:rsidRDefault="00281C2F" w:rsidP="009A032D">
            <w:pPr>
              <w:pStyle w:val="Tablecolhead"/>
              <w:cnfStyle w:val="100000000000" w:firstRow="1" w:lastRow="0" w:firstColumn="0" w:lastColumn="0" w:oddVBand="0" w:evenVBand="0" w:oddHBand="0" w:evenHBand="0" w:firstRowFirstColumn="0" w:firstRowLastColumn="0" w:lastRowFirstColumn="0" w:lastRowLastColumn="0"/>
              <w:rPr>
                <w:bCs w:val="0"/>
              </w:rPr>
            </w:pPr>
            <w:r w:rsidRPr="00E1136E">
              <w:rPr>
                <w:b/>
                <w:color w:val="FFFFFF" w:themeColor="background1"/>
              </w:rPr>
              <w:t>Level 4</w:t>
            </w:r>
          </w:p>
        </w:tc>
        <w:tc>
          <w:tcPr>
            <w:tcW w:w="1417" w:type="dxa"/>
            <w:shd w:val="clear" w:color="auto" w:fill="201547"/>
          </w:tcPr>
          <w:p w14:paraId="620457D1" w14:textId="77777777" w:rsidR="00281C2F" w:rsidRPr="00E01B23" w:rsidRDefault="00281C2F" w:rsidP="009A032D">
            <w:pPr>
              <w:pStyle w:val="Tablecolhead"/>
              <w:cnfStyle w:val="100000000000" w:firstRow="1" w:lastRow="0" w:firstColumn="0" w:lastColumn="0" w:oddVBand="0" w:evenVBand="0" w:oddHBand="0" w:evenHBand="0" w:firstRowFirstColumn="0" w:firstRowLastColumn="0" w:lastRowFirstColumn="0" w:lastRowLastColumn="0"/>
              <w:rPr>
                <w:bCs w:val="0"/>
              </w:rPr>
            </w:pPr>
            <w:r w:rsidRPr="00E1136E">
              <w:rPr>
                <w:b/>
                <w:color w:val="FFFFFF" w:themeColor="background1"/>
              </w:rPr>
              <w:t>Level 5</w:t>
            </w:r>
          </w:p>
        </w:tc>
        <w:tc>
          <w:tcPr>
            <w:tcW w:w="1276" w:type="dxa"/>
            <w:shd w:val="clear" w:color="auto" w:fill="201547"/>
          </w:tcPr>
          <w:p w14:paraId="5BA9DEE4" w14:textId="77777777" w:rsidR="00281C2F" w:rsidRPr="00E01B23" w:rsidRDefault="00281C2F" w:rsidP="009A032D">
            <w:pPr>
              <w:pStyle w:val="Tablecolhead"/>
              <w:cnfStyle w:val="100000000000" w:firstRow="1" w:lastRow="0" w:firstColumn="0" w:lastColumn="0" w:oddVBand="0" w:evenVBand="0" w:oddHBand="0" w:evenHBand="0" w:firstRowFirstColumn="0" w:firstRowLastColumn="0" w:lastRowFirstColumn="0" w:lastRowLastColumn="0"/>
              <w:rPr>
                <w:bCs w:val="0"/>
              </w:rPr>
            </w:pPr>
            <w:r w:rsidRPr="00E1136E">
              <w:rPr>
                <w:b/>
                <w:color w:val="FFFFFF" w:themeColor="background1"/>
              </w:rPr>
              <w:t>Level 6</w:t>
            </w:r>
          </w:p>
        </w:tc>
      </w:tr>
      <w:tr w:rsidR="00281C2F" w:rsidRPr="0003055A" w14:paraId="315950A5" w14:textId="77777777" w:rsidTr="0086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DBE5F1" w:themeFill="accent1" w:themeFillTint="33"/>
          </w:tcPr>
          <w:p w14:paraId="7AAD818E" w14:textId="705CAFD6" w:rsidR="00281C2F" w:rsidRPr="00E1136E" w:rsidRDefault="00281C2F" w:rsidP="009A032D">
            <w:pPr>
              <w:pStyle w:val="Tabletext"/>
            </w:pPr>
            <w:r w:rsidRPr="00E1136E">
              <w:t xml:space="preserve">Procedural </w:t>
            </w:r>
          </w:p>
        </w:tc>
        <w:tc>
          <w:tcPr>
            <w:tcW w:w="1417" w:type="dxa"/>
            <w:shd w:val="clear" w:color="auto" w:fill="DBE5F1" w:themeFill="accent1" w:themeFillTint="33"/>
          </w:tcPr>
          <w:p w14:paraId="6D501EB7" w14:textId="77777777" w:rsidR="00281C2F" w:rsidRPr="00E1136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E1136E">
              <w:t>Office-based procedures only</w:t>
            </w:r>
          </w:p>
        </w:tc>
        <w:tc>
          <w:tcPr>
            <w:tcW w:w="1560" w:type="dxa"/>
            <w:shd w:val="clear" w:color="auto" w:fill="DBE5F1" w:themeFill="accent1" w:themeFillTint="33"/>
          </w:tcPr>
          <w:p w14:paraId="35B755AE" w14:textId="77777777" w:rsidR="00281C2F" w:rsidRPr="00E1136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E1136E">
              <w:t>Low-complexity procedures, predominantly day</w:t>
            </w:r>
            <w:r>
              <w:t xml:space="preserve"> </w:t>
            </w:r>
            <w:r w:rsidRPr="00E1136E">
              <w:t>stay</w:t>
            </w:r>
            <w:r>
              <w:t>s</w:t>
            </w:r>
          </w:p>
        </w:tc>
        <w:tc>
          <w:tcPr>
            <w:tcW w:w="1417" w:type="dxa"/>
            <w:shd w:val="clear" w:color="auto" w:fill="DBE5F1" w:themeFill="accent1" w:themeFillTint="33"/>
          </w:tcPr>
          <w:p w14:paraId="555ED026" w14:textId="77777777" w:rsidR="00281C2F" w:rsidRPr="00E1136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E1136E">
              <w:t>Low</w:t>
            </w:r>
            <w:r>
              <w:t>-</w:t>
            </w:r>
            <w:r w:rsidRPr="00E1136E">
              <w:t>to</w:t>
            </w:r>
            <w:r>
              <w:t>-</w:t>
            </w:r>
            <w:r w:rsidRPr="00E1136E">
              <w:t>moderate complexity procedures</w:t>
            </w:r>
            <w:r>
              <w:t>,</w:t>
            </w:r>
            <w:r w:rsidRPr="00E1136E">
              <w:t xml:space="preserve"> including overnight stays</w:t>
            </w:r>
          </w:p>
        </w:tc>
        <w:tc>
          <w:tcPr>
            <w:tcW w:w="1418" w:type="dxa"/>
            <w:shd w:val="clear" w:color="auto" w:fill="DBE5F1" w:themeFill="accent1" w:themeFillTint="33"/>
          </w:tcPr>
          <w:p w14:paraId="316416C6" w14:textId="77777777" w:rsidR="00281C2F" w:rsidRPr="00E1136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E1136E">
              <w:t>Low</w:t>
            </w:r>
            <w:r>
              <w:t>-</w:t>
            </w:r>
            <w:r w:rsidRPr="00E1136E">
              <w:t>to</w:t>
            </w:r>
            <w:r>
              <w:t>-</w:t>
            </w:r>
            <w:r w:rsidRPr="00E1136E">
              <w:t>moderate complexity procedures</w:t>
            </w:r>
            <w:r>
              <w:t>,</w:t>
            </w:r>
            <w:r w:rsidRPr="00E1136E">
              <w:t xml:space="preserve"> including multiday stays</w:t>
            </w:r>
          </w:p>
        </w:tc>
        <w:tc>
          <w:tcPr>
            <w:tcW w:w="1417" w:type="dxa"/>
            <w:shd w:val="clear" w:color="auto" w:fill="DBE5F1" w:themeFill="accent1" w:themeFillTint="33"/>
          </w:tcPr>
          <w:p w14:paraId="67CA8304" w14:textId="77777777" w:rsidR="00281C2F" w:rsidRPr="00E1136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E1136E">
              <w:t>High</w:t>
            </w:r>
            <w:r>
              <w:t>-</w:t>
            </w:r>
            <w:r w:rsidRPr="00E1136E">
              <w:t>complexity procedures across most specialties</w:t>
            </w:r>
          </w:p>
        </w:tc>
        <w:tc>
          <w:tcPr>
            <w:tcW w:w="1276" w:type="dxa"/>
            <w:shd w:val="clear" w:color="auto" w:fill="DBE5F1" w:themeFill="accent1" w:themeFillTint="33"/>
          </w:tcPr>
          <w:p w14:paraId="5F112F88" w14:textId="77777777" w:rsidR="00281C2F" w:rsidRPr="00E1136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E1136E">
              <w:t>Highest</w:t>
            </w:r>
            <w:r>
              <w:t xml:space="preserve"> complexity</w:t>
            </w:r>
            <w:r w:rsidRPr="00E1136E">
              <w:t xml:space="preserve"> procedures across all specialties </w:t>
            </w:r>
          </w:p>
        </w:tc>
      </w:tr>
      <w:tr w:rsidR="00281C2F" w:rsidRPr="0003055A" w14:paraId="235095AC" w14:textId="77777777" w:rsidTr="0086685E">
        <w:tc>
          <w:tcPr>
            <w:cnfStyle w:val="001000000000" w:firstRow="0" w:lastRow="0" w:firstColumn="1" w:lastColumn="0" w:oddVBand="0" w:evenVBand="0" w:oddHBand="0" w:evenHBand="0" w:firstRowFirstColumn="0" w:firstRowLastColumn="0" w:lastRowFirstColumn="0" w:lastRowLastColumn="0"/>
            <w:tcW w:w="1413" w:type="dxa"/>
          </w:tcPr>
          <w:p w14:paraId="4A77946B" w14:textId="410AC0D8" w:rsidR="00281C2F" w:rsidRPr="00E1136E" w:rsidRDefault="00281C2F" w:rsidP="009A032D">
            <w:pPr>
              <w:pStyle w:val="Tabletext"/>
            </w:pPr>
            <w:r w:rsidRPr="00E1136E">
              <w:t xml:space="preserve">Anaesthetic </w:t>
            </w:r>
          </w:p>
        </w:tc>
        <w:tc>
          <w:tcPr>
            <w:tcW w:w="1417" w:type="dxa"/>
          </w:tcPr>
          <w:p w14:paraId="6885BBD6" w14:textId="77777777" w:rsidR="00281C2F" w:rsidRPr="00E1136E"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E1136E">
              <w:t>Local anaesthetic</w:t>
            </w:r>
          </w:p>
        </w:tc>
        <w:tc>
          <w:tcPr>
            <w:tcW w:w="1560" w:type="dxa"/>
          </w:tcPr>
          <w:p w14:paraId="6D840151" w14:textId="77777777" w:rsidR="00281C2F" w:rsidRPr="00E1136E"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E1136E">
              <w:t xml:space="preserve">Low anaesthetic complexity, including </w:t>
            </w:r>
            <w:r w:rsidRPr="00E1136E">
              <w:rPr>
                <w:rFonts w:cs="Arial"/>
              </w:rPr>
              <w:t xml:space="preserve">general anaesthetic </w:t>
            </w:r>
          </w:p>
        </w:tc>
        <w:tc>
          <w:tcPr>
            <w:tcW w:w="1417" w:type="dxa"/>
          </w:tcPr>
          <w:p w14:paraId="7C3374F0" w14:textId="77777777" w:rsidR="00281C2F" w:rsidRPr="00E1136E"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E1136E">
              <w:t xml:space="preserve">Low anaesthetic complexity, including </w:t>
            </w:r>
            <w:r w:rsidRPr="00E1136E">
              <w:rPr>
                <w:rFonts w:cs="Arial"/>
              </w:rPr>
              <w:t>general anaesthetic</w:t>
            </w:r>
          </w:p>
        </w:tc>
        <w:tc>
          <w:tcPr>
            <w:tcW w:w="1418" w:type="dxa"/>
          </w:tcPr>
          <w:p w14:paraId="5D1A0669" w14:textId="77777777" w:rsidR="00281C2F" w:rsidRPr="00E1136E"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E1136E">
              <w:t>Low</w:t>
            </w:r>
            <w:r>
              <w:t>-</w:t>
            </w:r>
            <w:r w:rsidRPr="00E1136E">
              <w:t>to</w:t>
            </w:r>
            <w:r>
              <w:t>-</w:t>
            </w:r>
            <w:r w:rsidRPr="00E1136E">
              <w:t>moderate anaesthetic complexity</w:t>
            </w:r>
          </w:p>
        </w:tc>
        <w:tc>
          <w:tcPr>
            <w:tcW w:w="1417" w:type="dxa"/>
          </w:tcPr>
          <w:p w14:paraId="4A74C149" w14:textId="77777777" w:rsidR="00281C2F" w:rsidRPr="00E1136E"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E1136E">
              <w:t>Moderate</w:t>
            </w:r>
            <w:r>
              <w:t>-</w:t>
            </w:r>
            <w:r w:rsidRPr="00E1136E">
              <w:t>to</w:t>
            </w:r>
            <w:r>
              <w:t>-</w:t>
            </w:r>
            <w:r w:rsidRPr="00E1136E">
              <w:t xml:space="preserve">high anaesthetic complexity </w:t>
            </w:r>
          </w:p>
        </w:tc>
        <w:tc>
          <w:tcPr>
            <w:tcW w:w="1276" w:type="dxa"/>
          </w:tcPr>
          <w:p w14:paraId="7C27F0DF" w14:textId="77777777" w:rsidR="00281C2F" w:rsidRPr="00E1136E"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E1136E">
              <w:t>Highest anaesthetic complexity</w:t>
            </w:r>
          </w:p>
        </w:tc>
      </w:tr>
      <w:tr w:rsidR="00281C2F" w:rsidRPr="0003055A" w14:paraId="0C9FAA4F" w14:textId="77777777" w:rsidTr="0086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DBE5F1" w:themeFill="accent1" w:themeFillTint="33"/>
          </w:tcPr>
          <w:p w14:paraId="658AA84C" w14:textId="7BE2F41F" w:rsidR="00281C2F" w:rsidRPr="00E1136E" w:rsidRDefault="00281C2F" w:rsidP="009A032D">
            <w:pPr>
              <w:pStyle w:val="Tabletext"/>
            </w:pPr>
            <w:r w:rsidRPr="00E1136E">
              <w:t xml:space="preserve">Patient </w:t>
            </w:r>
          </w:p>
        </w:tc>
        <w:tc>
          <w:tcPr>
            <w:tcW w:w="1417" w:type="dxa"/>
            <w:shd w:val="clear" w:color="auto" w:fill="DBE5F1" w:themeFill="accent1" w:themeFillTint="33"/>
          </w:tcPr>
          <w:p w14:paraId="13674A06" w14:textId="77777777" w:rsidR="00281C2F" w:rsidRPr="00E1136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E1136E">
              <w:t>Low patient complexity</w:t>
            </w:r>
          </w:p>
        </w:tc>
        <w:tc>
          <w:tcPr>
            <w:tcW w:w="1560" w:type="dxa"/>
            <w:shd w:val="clear" w:color="auto" w:fill="DBE5F1" w:themeFill="accent1" w:themeFillTint="33"/>
          </w:tcPr>
          <w:p w14:paraId="7C8F768F" w14:textId="77777777" w:rsidR="00281C2F" w:rsidRPr="00E1136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E1136E">
              <w:t>Low patient complexity</w:t>
            </w:r>
            <w:r>
              <w:t>,</w:t>
            </w:r>
            <w:r w:rsidRPr="00E1136E">
              <w:t xml:space="preserve"> </w:t>
            </w:r>
            <w:r>
              <w:t>m</w:t>
            </w:r>
            <w:r w:rsidRPr="00E1136E">
              <w:t>ostly patients &gt;2 years of age*</w:t>
            </w:r>
          </w:p>
        </w:tc>
        <w:tc>
          <w:tcPr>
            <w:tcW w:w="1417" w:type="dxa"/>
            <w:shd w:val="clear" w:color="auto" w:fill="DBE5F1" w:themeFill="accent1" w:themeFillTint="33"/>
          </w:tcPr>
          <w:p w14:paraId="26C43680" w14:textId="77777777" w:rsidR="00281C2F" w:rsidRPr="00E1136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E1136E">
              <w:t>Low patient complexity</w:t>
            </w:r>
            <w:r>
              <w:t>, m</w:t>
            </w:r>
            <w:r w:rsidRPr="00E1136E">
              <w:t>ostly patients &gt;2 years of age*</w:t>
            </w:r>
          </w:p>
        </w:tc>
        <w:tc>
          <w:tcPr>
            <w:tcW w:w="1418" w:type="dxa"/>
            <w:shd w:val="clear" w:color="auto" w:fill="DBE5F1" w:themeFill="accent1" w:themeFillTint="33"/>
          </w:tcPr>
          <w:p w14:paraId="506B8B5D" w14:textId="77777777" w:rsidR="00281C2F" w:rsidRPr="00E1136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E1136E">
              <w:t>Low</w:t>
            </w:r>
            <w:r>
              <w:t>-</w:t>
            </w:r>
            <w:r w:rsidRPr="00E1136E">
              <w:t>to</w:t>
            </w:r>
            <w:r>
              <w:t>-</w:t>
            </w:r>
            <w:r w:rsidRPr="00E1136E">
              <w:t>moderate patient complexity</w:t>
            </w:r>
          </w:p>
        </w:tc>
        <w:tc>
          <w:tcPr>
            <w:tcW w:w="1417" w:type="dxa"/>
            <w:shd w:val="clear" w:color="auto" w:fill="DBE5F1" w:themeFill="accent1" w:themeFillTint="33"/>
          </w:tcPr>
          <w:p w14:paraId="48CE57D6" w14:textId="77777777" w:rsidR="00281C2F" w:rsidRPr="00E1136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E1136E">
              <w:t>High patient complexity</w:t>
            </w:r>
          </w:p>
        </w:tc>
        <w:tc>
          <w:tcPr>
            <w:tcW w:w="1276" w:type="dxa"/>
            <w:shd w:val="clear" w:color="auto" w:fill="DBE5F1" w:themeFill="accent1" w:themeFillTint="33"/>
          </w:tcPr>
          <w:p w14:paraId="2F0C798C" w14:textId="77777777" w:rsidR="00281C2F" w:rsidRPr="00E1136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E1136E">
              <w:t xml:space="preserve">Highest patient complexity </w:t>
            </w:r>
          </w:p>
        </w:tc>
      </w:tr>
    </w:tbl>
    <w:p w14:paraId="64553FE3" w14:textId="77777777" w:rsidR="00281C2F" w:rsidRPr="00E1136E" w:rsidRDefault="00281C2F" w:rsidP="00281C2F">
      <w:pPr>
        <w:pStyle w:val="Tablefigurenote"/>
      </w:pPr>
      <w:r w:rsidRPr="00693207">
        <w:t xml:space="preserve">* </w:t>
      </w:r>
      <w:r w:rsidRPr="00E1136E">
        <w:t xml:space="preserve">May provide procedures to patients &lt;2 years of age if this age group is appropriately credentialed to be within the treating clinician’s scope of practice (including surgical, </w:t>
      </w:r>
      <w:r w:rsidRPr="00D873C5">
        <w:t>anaesthetic</w:t>
      </w:r>
      <w:r w:rsidRPr="00E1136E">
        <w:t>, nursing and allied health staff). </w:t>
      </w:r>
    </w:p>
    <w:p w14:paraId="3580C13B" w14:textId="36730477" w:rsidR="00281C2F" w:rsidRPr="00832AAA" w:rsidRDefault="00281C2F" w:rsidP="00281C2F">
      <w:pPr>
        <w:pStyle w:val="Bodyaftertablefigure"/>
      </w:pPr>
      <w:r w:rsidRPr="00E1136E">
        <w:t xml:space="preserve">Perioperative </w:t>
      </w:r>
      <w:r w:rsidR="00975B68">
        <w:t xml:space="preserve">cancer </w:t>
      </w:r>
      <w:r w:rsidRPr="00E1136E">
        <w:t>services for children should align with the</w:t>
      </w:r>
      <w:r w:rsidRPr="00693207">
        <w:t xml:space="preserve"> </w:t>
      </w:r>
      <w:r w:rsidR="00DE6FB3" w:rsidRPr="00DE6FB3">
        <w:t>Service Capability Framework: A guide for Victorian health services providing primary treatment and shared care to children and adolescents with cancer</w:t>
      </w:r>
      <w:r w:rsidRPr="00832AAA">
        <w:rPr>
          <w:rStyle w:val="Hyperlink"/>
          <w:sz w:val="20"/>
        </w:rPr>
        <w:t>.</w:t>
      </w:r>
    </w:p>
    <w:p w14:paraId="2781BF24" w14:textId="77777777" w:rsidR="00281C2F" w:rsidRPr="0090068A" w:rsidRDefault="00281C2F" w:rsidP="00281C2F">
      <w:pPr>
        <w:pStyle w:val="Heading2"/>
        <w:rPr>
          <w:rFonts w:eastAsia="MS Gothic"/>
        </w:rPr>
      </w:pPr>
      <w:bookmarkStart w:id="32" w:name="_Toc148626396"/>
      <w:bookmarkStart w:id="33" w:name="_Toc148718451"/>
      <w:bookmarkStart w:id="34" w:name="_Toc153792512"/>
      <w:r w:rsidRPr="0090068A">
        <w:rPr>
          <w:rFonts w:eastAsia="MS Gothic"/>
        </w:rPr>
        <w:t>Safety and quality</w:t>
      </w:r>
      <w:bookmarkEnd w:id="32"/>
      <w:bookmarkEnd w:id="33"/>
      <w:bookmarkEnd w:id="34"/>
      <w:r w:rsidRPr="0090068A">
        <w:rPr>
          <w:rFonts w:eastAsia="MS Gothic"/>
        </w:rPr>
        <w:t xml:space="preserve"> </w:t>
      </w:r>
    </w:p>
    <w:p w14:paraId="378E7F3A" w14:textId="77777777" w:rsidR="00281C2F" w:rsidRDefault="00281C2F" w:rsidP="00281C2F">
      <w:pPr>
        <w:pStyle w:val="Body"/>
      </w:pPr>
      <w:r>
        <w:t>While Victoria and Australia have some of the best perioperative systems internationally</w:t>
      </w:r>
      <w:r>
        <w:rPr>
          <w:rStyle w:val="FootnoteReference"/>
          <w:rFonts w:eastAsia="Arial" w:cs="Arial"/>
        </w:rPr>
        <w:footnoteReference w:id="6"/>
      </w:r>
      <w:r w:rsidRPr="00294EC4">
        <w:rPr>
          <w:vertAlign w:val="superscript"/>
        </w:rPr>
        <w:t>,</w:t>
      </w:r>
      <w:r>
        <w:rPr>
          <w:rStyle w:val="FootnoteReference"/>
          <w:rFonts w:eastAsia="Arial" w:cs="Arial"/>
        </w:rPr>
        <w:footnoteReference w:id="7"/>
      </w:r>
      <w:r>
        <w:t xml:space="preserve">, it is vital to share regular monitoring, reviews and lessons learnt to improve the safety and quality of care. </w:t>
      </w:r>
      <w:r w:rsidRPr="008353B2">
        <w:t>Th</w:t>
      </w:r>
      <w:r>
        <w:t>is</w:t>
      </w:r>
      <w:r w:rsidRPr="008353B2">
        <w:t xml:space="preserve"> framework provides an overarching framework for a </w:t>
      </w:r>
      <w:r>
        <w:t>health service</w:t>
      </w:r>
      <w:r w:rsidRPr="008353B2">
        <w:t xml:space="preserve"> to </w:t>
      </w:r>
      <w:r>
        <w:t>define</w:t>
      </w:r>
      <w:r w:rsidRPr="008353B2">
        <w:t xml:space="preserve"> what services can safely be delivered</w:t>
      </w:r>
      <w:r>
        <w:t xml:space="preserve"> at a campus</w:t>
      </w:r>
      <w:r w:rsidRPr="008353B2">
        <w:t>.</w:t>
      </w:r>
      <w:r>
        <w:t xml:space="preserve"> </w:t>
      </w:r>
    </w:p>
    <w:p w14:paraId="70B3A1EB" w14:textId="77777777" w:rsidR="00281C2F" w:rsidRDefault="00281C2F" w:rsidP="00281C2F">
      <w:pPr>
        <w:pStyle w:val="Body"/>
      </w:pPr>
      <w:r>
        <w:t>Health service staff should regularly monitor and review perioperative services to optimise outcomes for patients and families.</w:t>
      </w:r>
    </w:p>
    <w:p w14:paraId="3657AA02" w14:textId="77777777" w:rsidR="00281C2F" w:rsidRDefault="00281C2F" w:rsidP="00281C2F">
      <w:pPr>
        <w:pStyle w:val="Body"/>
      </w:pPr>
      <w:r>
        <w:t>Several mechanisms to do this include:</w:t>
      </w:r>
    </w:p>
    <w:p w14:paraId="5C21EF75" w14:textId="77777777" w:rsidR="00281C2F" w:rsidRDefault="00281C2F" w:rsidP="0073249D">
      <w:pPr>
        <w:pStyle w:val="Bullet1"/>
        <w:numPr>
          <w:ilvl w:val="0"/>
          <w:numId w:val="7"/>
        </w:numPr>
      </w:pPr>
      <w:r>
        <w:t>reporting and responding to adverse patient safety events, near misses and patient complaints/feedback</w:t>
      </w:r>
      <w:r>
        <w:rPr>
          <w:rStyle w:val="FootnoteReference"/>
        </w:rPr>
        <w:footnoteReference w:id="8"/>
      </w:r>
    </w:p>
    <w:p w14:paraId="1CEC4874" w14:textId="77777777" w:rsidR="00281C2F" w:rsidRDefault="00281C2F" w:rsidP="0073249D">
      <w:pPr>
        <w:pStyle w:val="Bullet1"/>
        <w:numPr>
          <w:ilvl w:val="0"/>
          <w:numId w:val="7"/>
        </w:numPr>
      </w:pPr>
      <w:r>
        <w:t>monitoring adverse patient safety event data to understand themes and implement improvements to reduce risk in the system</w:t>
      </w:r>
      <w:r>
        <w:rPr>
          <w:rStyle w:val="FootnoteReference"/>
        </w:rPr>
        <w:footnoteReference w:id="9"/>
      </w:r>
    </w:p>
    <w:p w14:paraId="2FA441AA" w14:textId="77777777" w:rsidR="00281C2F" w:rsidRDefault="00281C2F" w:rsidP="0073249D">
      <w:pPr>
        <w:pStyle w:val="Bullet1"/>
        <w:numPr>
          <w:ilvl w:val="0"/>
          <w:numId w:val="7"/>
        </w:numPr>
      </w:pPr>
      <w:r>
        <w:t>regular audits of key performance indicators, perioperative practices and patient outcomes, and actions to address audit findings</w:t>
      </w:r>
    </w:p>
    <w:p w14:paraId="4B77E116" w14:textId="57A8C320" w:rsidR="00281C2F" w:rsidRDefault="00281C2F" w:rsidP="0073249D">
      <w:pPr>
        <w:pStyle w:val="Bullet1"/>
        <w:numPr>
          <w:ilvl w:val="0"/>
          <w:numId w:val="7"/>
        </w:numPr>
      </w:pPr>
      <w:r>
        <w:t>participation in multidisciplinary mortality and morbidity review processes, including regional multidisciplinary mortality and morbidity forums comprising of multiple health services</w:t>
      </w:r>
      <w:r>
        <w:rPr>
          <w:rStyle w:val="FootnoteReference"/>
        </w:rPr>
        <w:footnoteReference w:id="10"/>
      </w:r>
    </w:p>
    <w:p w14:paraId="5102EA06" w14:textId="77777777" w:rsidR="00281C2F" w:rsidRDefault="00281C2F" w:rsidP="0073249D">
      <w:pPr>
        <w:pStyle w:val="Bullet1"/>
        <w:numPr>
          <w:ilvl w:val="0"/>
          <w:numId w:val="7"/>
        </w:numPr>
      </w:pPr>
      <w:r>
        <w:t>timely and transparent reporting of perioperative patient morbidity and mortality to the Victorian Perioperative Consultative Council</w:t>
      </w:r>
      <w:r>
        <w:rPr>
          <w:rStyle w:val="FootnoteReference"/>
        </w:rPr>
        <w:footnoteReference w:id="11"/>
      </w:r>
      <w:r>
        <w:t xml:space="preserve"> and where an event meets sentinel event criteria, to SCV</w:t>
      </w:r>
      <w:r>
        <w:rPr>
          <w:rStyle w:val="FootnoteReference"/>
        </w:rPr>
        <w:footnoteReference w:id="12"/>
      </w:r>
      <w:r>
        <w:t xml:space="preserve">. </w:t>
      </w:r>
    </w:p>
    <w:p w14:paraId="77D8CAA2" w14:textId="01DC7997" w:rsidR="00281C2F" w:rsidRDefault="00281C2F" w:rsidP="00281C2F">
      <w:pPr>
        <w:pStyle w:val="Bodyafterbullets"/>
      </w:pPr>
      <w:r>
        <w:t xml:space="preserve">These activities are part of good clinical governance systems and processes. For more information on clinical governance requirements for perioperative services, see </w:t>
      </w:r>
      <w:r w:rsidR="009A5AA8" w:rsidRPr="009A5AA8">
        <w:t>Section 1. Clinical governance requirements for all levels</w:t>
      </w:r>
      <w:r>
        <w:t>.</w:t>
      </w:r>
    </w:p>
    <w:p w14:paraId="52E29C9D" w14:textId="77777777" w:rsidR="00281C2F" w:rsidRDefault="00281C2F" w:rsidP="00281C2F">
      <w:pPr>
        <w:spacing w:after="200" w:line="276" w:lineRule="auto"/>
        <w:rPr>
          <w:rFonts w:eastAsia="MS Gothic" w:cs="Arial"/>
          <w:bCs/>
          <w:color w:val="201547"/>
          <w:kern w:val="32"/>
          <w:sz w:val="44"/>
          <w:szCs w:val="44"/>
        </w:rPr>
      </w:pPr>
      <w:r>
        <w:br w:type="page"/>
      </w:r>
    </w:p>
    <w:p w14:paraId="5A9F254D" w14:textId="4F50D61E" w:rsidR="00281C2F" w:rsidRPr="00E1136E" w:rsidRDefault="00281C2F" w:rsidP="00281C2F">
      <w:pPr>
        <w:pStyle w:val="Heading1"/>
      </w:pPr>
      <w:bookmarkStart w:id="35" w:name="_Toc148718452"/>
      <w:bookmarkStart w:id="36" w:name="_Toc153792513"/>
      <w:r w:rsidRPr="00E1136E">
        <w:t>Section 1. Clinical governance requirements for all levels</w:t>
      </w:r>
      <w:bookmarkEnd w:id="35"/>
      <w:bookmarkEnd w:id="36"/>
    </w:p>
    <w:p w14:paraId="2666D4E3" w14:textId="77777777" w:rsidR="00281C2F" w:rsidRPr="00D43ECB" w:rsidRDefault="00281C2F" w:rsidP="00281C2F">
      <w:pPr>
        <w:pStyle w:val="Body"/>
      </w:pPr>
      <w:r w:rsidRPr="00D43ECB">
        <w:t>Good clinical governance systems and processes are foundational to safe, high-quality care</w:t>
      </w:r>
      <w:r w:rsidRPr="00D43ECB">
        <w:rPr>
          <w:rStyle w:val="FootnoteReference"/>
        </w:rPr>
        <w:footnoteReference w:id="13"/>
      </w:r>
      <w:r w:rsidRPr="00D43ECB">
        <w:t xml:space="preserve">. While some elements of clinical governance will be tailored and scaled depending on the circumstances of each health service, Table </w:t>
      </w:r>
      <w:r>
        <w:t>3</w:t>
      </w:r>
      <w:r w:rsidRPr="00D43ECB">
        <w:t xml:space="preserve"> outlines </w:t>
      </w:r>
      <w:r>
        <w:t xml:space="preserve">the </w:t>
      </w:r>
      <w:r w:rsidRPr="00D43ECB">
        <w:t>clinical governance components that health services of all levels should have in place.</w:t>
      </w:r>
    </w:p>
    <w:p w14:paraId="5201E11B" w14:textId="094EE6E4" w:rsidR="00281C2F" w:rsidRPr="00DF6047" w:rsidRDefault="00281C2F" w:rsidP="00281C2F">
      <w:pPr>
        <w:pStyle w:val="Tablecaption"/>
      </w:pPr>
      <w:r>
        <w:t xml:space="preserve">Table </w:t>
      </w:r>
      <w:r>
        <w:fldChar w:fldCharType="begin"/>
      </w:r>
      <w:r>
        <w:instrText>SEQ Table \* ARABIC</w:instrText>
      </w:r>
      <w:r>
        <w:fldChar w:fldCharType="separate"/>
      </w:r>
      <w:r w:rsidR="006E0585">
        <w:rPr>
          <w:noProof/>
        </w:rPr>
        <w:t>3</w:t>
      </w:r>
      <w:r>
        <w:fldChar w:fldCharType="end"/>
      </w:r>
      <w:r>
        <w:t xml:space="preserve">. </w:t>
      </w:r>
      <w:r w:rsidRPr="002D41B0">
        <w:t>Clinical governance requirements (all levels)</w:t>
      </w:r>
    </w:p>
    <w:tbl>
      <w:tblPr>
        <w:tblStyle w:val="GridTable4-Accent6"/>
        <w:tblW w:w="9370" w:type="dxa"/>
        <w:tblBorders>
          <w:top w:val="none" w:sz="0" w:space="0" w:color="auto"/>
          <w:left w:val="none" w:sz="0" w:space="0" w:color="auto"/>
          <w:bottom w:val="single" w:sz="4" w:space="0" w:color="201547"/>
          <w:right w:val="none" w:sz="0" w:space="0" w:color="auto"/>
          <w:insideH w:val="none" w:sz="0" w:space="0" w:color="auto"/>
          <w:insideV w:val="single" w:sz="4" w:space="0" w:color="201547"/>
        </w:tblBorders>
        <w:tblLayout w:type="fixed"/>
        <w:tblLook w:val="04A0" w:firstRow="1" w:lastRow="0" w:firstColumn="1" w:lastColumn="0" w:noHBand="0" w:noVBand="1"/>
      </w:tblPr>
      <w:tblGrid>
        <w:gridCol w:w="2267"/>
        <w:gridCol w:w="7103"/>
      </w:tblGrid>
      <w:tr w:rsidR="00281C2F" w:rsidRPr="00E01B23" w14:paraId="628893E1" w14:textId="77777777" w:rsidTr="00866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7" w:type="dxa"/>
            <w:shd w:val="clear" w:color="auto" w:fill="201547"/>
          </w:tcPr>
          <w:p w14:paraId="2D259E14" w14:textId="77777777" w:rsidR="00281C2F" w:rsidRPr="00203EEE" w:rsidRDefault="00281C2F" w:rsidP="009A032D">
            <w:pPr>
              <w:pStyle w:val="Tablecolhead"/>
            </w:pPr>
            <w:r w:rsidRPr="00E1136E">
              <w:rPr>
                <w:b/>
                <w:color w:val="FFFFFF" w:themeColor="background1"/>
              </w:rPr>
              <w:t>Requirements</w:t>
            </w:r>
          </w:p>
        </w:tc>
        <w:tc>
          <w:tcPr>
            <w:tcW w:w="7103" w:type="dxa"/>
            <w:shd w:val="clear" w:color="auto" w:fill="201547"/>
          </w:tcPr>
          <w:p w14:paraId="172E33DE" w14:textId="77777777" w:rsidR="00281C2F" w:rsidRPr="00203EEE" w:rsidRDefault="00281C2F" w:rsidP="009A032D">
            <w:pPr>
              <w:pStyle w:val="Tablecolhead"/>
              <w:cnfStyle w:val="100000000000" w:firstRow="1" w:lastRow="0" w:firstColumn="0" w:lastColumn="0" w:oddVBand="0" w:evenVBand="0" w:oddHBand="0" w:evenHBand="0" w:firstRowFirstColumn="0" w:firstRowLastColumn="0" w:lastRowFirstColumn="0" w:lastRowLastColumn="0"/>
            </w:pPr>
            <w:r w:rsidRPr="00E1136E">
              <w:rPr>
                <w:b/>
                <w:color w:val="FFFFFF" w:themeColor="background1"/>
              </w:rPr>
              <w:t>Clinical governance components</w:t>
            </w:r>
          </w:p>
        </w:tc>
      </w:tr>
      <w:tr w:rsidR="00281C2F" w:rsidRPr="007D6C82" w14:paraId="117686F0" w14:textId="77777777" w:rsidTr="0086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BE5F1" w:themeFill="accent1" w:themeFillTint="33"/>
          </w:tcPr>
          <w:p w14:paraId="2C9DFC7A" w14:textId="77777777" w:rsidR="00281C2F" w:rsidRPr="00A36235" w:rsidRDefault="00281C2F" w:rsidP="009A032D">
            <w:pPr>
              <w:pStyle w:val="Tabletext"/>
              <w:rPr>
                <w:b w:val="0"/>
                <w:bCs w:val="0"/>
              </w:rPr>
            </w:pPr>
            <w:r>
              <w:t>Service guidelines</w:t>
            </w:r>
          </w:p>
        </w:tc>
        <w:tc>
          <w:tcPr>
            <w:tcW w:w="0" w:type="dxa"/>
            <w:shd w:val="clear" w:color="auto" w:fill="DBE5F1" w:themeFill="accent1" w:themeFillTint="33"/>
          </w:tcPr>
          <w:p w14:paraId="43EB90B6" w14:textId="77777777" w:rsidR="00281C2F" w:rsidRPr="00D1577B"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D1577B">
              <w:t xml:space="preserve">Health services define the scope of perioperative services available at </w:t>
            </w:r>
            <w:r>
              <w:t>each campus,</w:t>
            </w:r>
            <w:r w:rsidRPr="00D1577B">
              <w:t xml:space="preserve"> and detail requirements for access, admission and discharge</w:t>
            </w:r>
            <w:r>
              <w:t>.</w:t>
            </w:r>
          </w:p>
          <w:p w14:paraId="3F1B7F64" w14:textId="77777777" w:rsidR="00281C2F" w:rsidRPr="00D1577B"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D1577B">
              <w:t>Health services provide accessible information to the community about the type of perioperative services available</w:t>
            </w:r>
            <w:r>
              <w:t xml:space="preserve"> at each campus</w:t>
            </w:r>
            <w:r w:rsidRPr="00D1577B">
              <w:t xml:space="preserve">, and how </w:t>
            </w:r>
            <w:r>
              <w:t xml:space="preserve">these </w:t>
            </w:r>
            <w:r w:rsidRPr="00D1577B">
              <w:t xml:space="preserve">can be accessed. </w:t>
            </w:r>
          </w:p>
          <w:p w14:paraId="1CF30109" w14:textId="77777777" w:rsidR="00281C2F" w:rsidRPr="00D1577B"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D1577B">
              <w:t>Appropriate policies and procedures are in place for all planned procedures</w:t>
            </w:r>
            <w:r>
              <w:t xml:space="preserve"> including, but not limited to</w:t>
            </w:r>
            <w:r w:rsidRPr="00D1577B">
              <w:t>:</w:t>
            </w:r>
          </w:p>
          <w:p w14:paraId="317B8AB7" w14:textId="77777777" w:rsidR="00281C2F" w:rsidRPr="00EC2C8E"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EC2C8E">
              <w:t xml:space="preserve">comprehensive pre-admission review to </w:t>
            </w:r>
            <w:r>
              <w:t>confirm</w:t>
            </w:r>
            <w:r w:rsidRPr="00EC2C8E">
              <w:t xml:space="preserve"> if the procedure is appropriate for the patient and safe to be performed at the </w:t>
            </w:r>
            <w:r>
              <w:t>campus</w:t>
            </w:r>
            <w:r w:rsidRPr="00EC2C8E">
              <w:t xml:space="preserve">, </w:t>
            </w:r>
            <w:r>
              <w:t>taking into account</w:t>
            </w:r>
            <w:r w:rsidRPr="00EC2C8E">
              <w:t xml:space="preserve"> the patient’s needs, </w:t>
            </w:r>
            <w:r>
              <w:t>and if the appropriate</w:t>
            </w:r>
            <w:r w:rsidRPr="00EC2C8E">
              <w:t xml:space="preserve"> workforce, facilities, equipment and post</w:t>
            </w:r>
            <w:r>
              <w:t>-operative</w:t>
            </w:r>
            <w:r w:rsidRPr="00EC2C8E">
              <w:t xml:space="preserve"> care are available for safe, quality care</w:t>
            </w:r>
            <w:r>
              <w:rPr>
                <w:rStyle w:val="FootnoteReference"/>
                <w:sz w:val="20"/>
              </w:rPr>
              <w:footnoteReference w:id="14"/>
            </w:r>
          </w:p>
          <w:p w14:paraId="6B855D27" w14:textId="77777777" w:rsidR="00281C2F" w:rsidRPr="001C3AF6"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p</w:t>
            </w:r>
            <w:r w:rsidRPr="00D1577B">
              <w:t xml:space="preserve">atient preparation, assessment, discharge and aftercare </w:t>
            </w:r>
            <w:r>
              <w:t>(for example,</w:t>
            </w:r>
            <w:r w:rsidRPr="00D1577B">
              <w:t xml:space="preserve"> information for patients about care at home and</w:t>
            </w:r>
            <w:r>
              <w:t xml:space="preserve"> signs of</w:t>
            </w:r>
            <w:r w:rsidRPr="00D1577B">
              <w:t xml:space="preserve"> </w:t>
            </w:r>
            <w:r>
              <w:t>deterioration)</w:t>
            </w:r>
            <w:r w:rsidRPr="00D1577B">
              <w:t>.</w:t>
            </w:r>
          </w:p>
          <w:p w14:paraId="765396BA" w14:textId="77777777" w:rsidR="00281C2F" w:rsidRPr="00A16D57"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A16D57">
              <w:t>Where there is ambiguity</w:t>
            </w:r>
            <w:r>
              <w:t xml:space="preserve"> or uncertainty regarding</w:t>
            </w:r>
            <w:r w:rsidRPr="00A16D57">
              <w:t xml:space="preserve"> the suitability of planned </w:t>
            </w:r>
            <w:r>
              <w:t>procedures</w:t>
            </w:r>
            <w:r w:rsidRPr="00A16D57">
              <w:t xml:space="preserve"> for particular patient cohorts </w:t>
            </w:r>
            <w:r>
              <w:t>at</w:t>
            </w:r>
            <w:r w:rsidRPr="00A16D57">
              <w:t xml:space="preserve"> the health service campus, health services will consult with </w:t>
            </w:r>
            <w:r>
              <w:t xml:space="preserve">relevant </w:t>
            </w:r>
            <w:r w:rsidRPr="00A16D57">
              <w:t xml:space="preserve">clinicians </w:t>
            </w:r>
            <w:r>
              <w:t>to achieve a resolution.</w:t>
            </w:r>
          </w:p>
          <w:p w14:paraId="7FCA5D9F" w14:textId="0A1819FB" w:rsidR="00281C2F" w:rsidRPr="00D1577B"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D1577B">
              <w:t>Health service</w:t>
            </w:r>
            <w:r>
              <w:t xml:space="preserve"> campuse</w:t>
            </w:r>
            <w:r w:rsidRPr="00D1577B">
              <w:t xml:space="preserve">s are compliant with the </w:t>
            </w:r>
            <w:hyperlink r:id="rId27" w:history="1">
              <w:r w:rsidRPr="00D0498C">
                <w:rPr>
                  <w:rStyle w:val="Hyperlink"/>
                </w:rPr>
                <w:t>Child Safe Standards</w:t>
              </w:r>
            </w:hyperlink>
            <w:r w:rsidRPr="00D1577B">
              <w:rPr>
                <w:rStyle w:val="FootnoteReference"/>
                <w:sz w:val="20"/>
              </w:rPr>
              <w:footnoteReference w:id="15"/>
            </w:r>
            <w:r>
              <w:t>.</w:t>
            </w:r>
          </w:p>
        </w:tc>
      </w:tr>
      <w:tr w:rsidR="00281C2F" w:rsidRPr="007D6C82" w14:paraId="7B5E0CD3" w14:textId="77777777" w:rsidTr="0086685E">
        <w:tc>
          <w:tcPr>
            <w:cnfStyle w:val="001000000000" w:firstRow="0" w:lastRow="0" w:firstColumn="1" w:lastColumn="0" w:oddVBand="0" w:evenVBand="0" w:oddHBand="0" w:evenHBand="0" w:firstRowFirstColumn="0" w:firstRowLastColumn="0" w:lastRowFirstColumn="0" w:lastRowLastColumn="0"/>
            <w:tcW w:w="0" w:type="dxa"/>
          </w:tcPr>
          <w:p w14:paraId="0B236781" w14:textId="77777777" w:rsidR="00281C2F" w:rsidRPr="00A36235" w:rsidRDefault="00281C2F" w:rsidP="009A032D">
            <w:pPr>
              <w:pStyle w:val="Tabletext"/>
              <w:rPr>
                <w:b w:val="0"/>
                <w:bCs w:val="0"/>
                <w:highlight w:val="yellow"/>
              </w:rPr>
            </w:pPr>
            <w:r>
              <w:t>Workforce, competence and c</w:t>
            </w:r>
            <w:r w:rsidRPr="00A36235">
              <w:t>redential</w:t>
            </w:r>
            <w:r>
              <w:t>ing</w:t>
            </w:r>
            <w:r w:rsidRPr="00A36235">
              <w:t xml:space="preserve"> </w:t>
            </w:r>
          </w:p>
        </w:tc>
        <w:tc>
          <w:tcPr>
            <w:tcW w:w="0" w:type="dxa"/>
          </w:tcPr>
          <w:p w14:paraId="684669D2" w14:textId="77777777" w:rsidR="00281C2F" w:rsidRPr="00CE0A71"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CE0A71">
              <w:t>Credentialing processes for medical staff providing perioperative care are in place to ensure clinical staff are appropriately trained, qualified and skilled for the care they provide.</w:t>
            </w:r>
          </w:p>
          <w:p w14:paraId="705692B3" w14:textId="305734EE" w:rsidR="00281C2F" w:rsidRPr="00CE0A71"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CE0A71">
              <w:t>Credential</w:t>
            </w:r>
            <w:r>
              <w:t>ing</w:t>
            </w:r>
            <w:r w:rsidRPr="00CE0A71">
              <w:t xml:space="preserve"> processes align with Victorian requirements outlined in the </w:t>
            </w:r>
            <w:hyperlink r:id="rId28" w:history="1">
              <w:r w:rsidRPr="003B6AAE">
                <w:rPr>
                  <w:rStyle w:val="Hyperlink"/>
                </w:rPr>
                <w:t>Credentialing and scope of clinical practice for senior medical practitioners policy (2020)</w:t>
              </w:r>
            </w:hyperlink>
            <w:r w:rsidRPr="00CE0A71">
              <w:rPr>
                <w:rStyle w:val="FootnoteReference"/>
                <w:sz w:val="20"/>
              </w:rPr>
              <w:footnoteReference w:id="16"/>
            </w:r>
            <w:r w:rsidRPr="00CE0A71">
              <w:t xml:space="preserve">.  </w:t>
            </w:r>
          </w:p>
          <w:p w14:paraId="4446CF11" w14:textId="292FADD2" w:rsidR="00281C2F" w:rsidRPr="00CE0A71"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CE0A71">
              <w:t xml:space="preserve">Nurse staffing is in accordance with the </w:t>
            </w:r>
            <w:hyperlink r:id="rId29" w:history="1">
              <w:r w:rsidR="00A12FB0" w:rsidRPr="00E3034E">
                <w:rPr>
                  <w:rStyle w:val="Hyperlink"/>
                  <w:rFonts w:cs="Arial"/>
                  <w:i/>
                  <w:sz w:val="20"/>
                </w:rPr>
                <w:t>Safe Patient Care (Nurse to Patient and Midwife to Patient Ratios) Act 2015</w:t>
              </w:r>
            </w:hyperlink>
            <w:r w:rsidRPr="00CE0A71">
              <w:rPr>
                <w:rStyle w:val="FootnoteReference"/>
                <w:rFonts w:cs="Arial"/>
              </w:rPr>
              <w:footnoteReference w:id="17"/>
            </w:r>
            <w:r w:rsidRPr="00CE0A71">
              <w:t xml:space="preserve"> and the </w:t>
            </w:r>
            <w:hyperlink r:id="rId30" w:history="1">
              <w:r w:rsidRPr="00171443">
                <w:rPr>
                  <w:rStyle w:val="Hyperlink"/>
                  <w:i/>
                </w:rPr>
                <w:t xml:space="preserve">Nurses and </w:t>
              </w:r>
              <w:r w:rsidR="00710B90" w:rsidRPr="00171443">
                <w:rPr>
                  <w:rStyle w:val="Hyperlink"/>
                  <w:i/>
                </w:rPr>
                <w:t>M</w:t>
              </w:r>
              <w:r w:rsidRPr="00171443">
                <w:rPr>
                  <w:rStyle w:val="Hyperlink"/>
                  <w:i/>
                </w:rPr>
                <w:t>idwives (Victorian Public Sector)(Single Interest Employers) enterprise agreement 2020–2024</w:t>
              </w:r>
            </w:hyperlink>
            <w:r w:rsidRPr="00CE0A71">
              <w:rPr>
                <w:rStyle w:val="FootnoteReference"/>
                <w:i/>
                <w:iCs/>
              </w:rPr>
              <w:footnoteReference w:id="18"/>
            </w:r>
            <w:r w:rsidRPr="00CE0A71">
              <w:rPr>
                <w:i/>
              </w:rPr>
              <w:t>.</w:t>
            </w:r>
          </w:p>
          <w:p w14:paraId="6B82AAB2" w14:textId="77777777" w:rsidR="00281C2F" w:rsidRPr="00CE0A71"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CE0A71">
              <w:t>Processes are in place to ensure nursing staff are competent in the perioperative services they provide, and to confirm they are working within their scope of practice.</w:t>
            </w:r>
          </w:p>
          <w:p w14:paraId="0EDB619B" w14:textId="77777777" w:rsidR="00281C2F" w:rsidRPr="00CE0A71"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CE0A71">
              <w:t>For health service campuses regularly providing paediatric care, processes are in place to ensure relevant medical and nursing staff are appropriately trained in advanced paediatric life support</w:t>
            </w:r>
            <w:r w:rsidRPr="00CE0A71">
              <w:rPr>
                <w:rStyle w:val="FootnoteReference"/>
                <w:sz w:val="20"/>
              </w:rPr>
              <w:footnoteReference w:id="19"/>
            </w:r>
            <w:r w:rsidRPr="00CE0A71">
              <w:rPr>
                <w:rStyle w:val="FootnoteReference"/>
                <w:sz w:val="20"/>
              </w:rPr>
              <w:footnoteReference w:id="20"/>
            </w:r>
            <w:r w:rsidRPr="00CE0A71">
              <w:t>.</w:t>
            </w:r>
          </w:p>
          <w:p w14:paraId="113C435D" w14:textId="77777777" w:rsidR="00281C2F" w:rsidRPr="00CE0A71"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CE0A71">
              <w:t>Processes are in place to ensure staff have undertaken Aboriginal Cultural Safety Training, in line with the health services Action Plan, Cultural Safety (Fixed Grant) Plan and Cultural Safety Action Plan, and professional registration requirements</w:t>
            </w:r>
            <w:r w:rsidRPr="00CE0A71">
              <w:rPr>
                <w:rStyle w:val="FootnoteReference"/>
                <w:sz w:val="20"/>
              </w:rPr>
              <w:footnoteReference w:id="21"/>
            </w:r>
            <w:r w:rsidRPr="00CE0A71">
              <w:rPr>
                <w:rStyle w:val="FootnoteReference"/>
                <w:sz w:val="20"/>
              </w:rPr>
              <w:footnoteReference w:id="22"/>
            </w:r>
            <w:r w:rsidRPr="00CE0A71">
              <w:t>.</w:t>
            </w:r>
          </w:p>
          <w:p w14:paraId="4FF10846" w14:textId="77777777" w:rsidR="00281C2F" w:rsidRPr="00E1136E"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E1136E">
              <w:t xml:space="preserve">Allied health is represented by a number of professions with different technical expertise, training pathways, sectors of practice and professional governance. The range of perioperative care reflected in this framework requires seamless interdisciplinary teamwork, and it is expected that the relevant allied health disciplines are fully engaged in patient care across the spectrum of capability levels. </w:t>
            </w:r>
          </w:p>
          <w:p w14:paraId="6CD735D3" w14:textId="77777777" w:rsidR="00281C2F" w:rsidRPr="00E1136E"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E1136E">
              <w:t xml:space="preserve">From Level 2 onwards, this is represented by the statement, ‘Allied health staff available with disciplines aligning with perioperative services provided’. </w:t>
            </w:r>
          </w:p>
          <w:p w14:paraId="1738DC09" w14:textId="77777777" w:rsidR="00281C2F" w:rsidRPr="00CE0A71"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E1136E">
              <w:t>It is expected that processes are in place to ensure appropriate allied health practitioners are available, and that disciplines align with and are accessed</w:t>
            </w:r>
            <w:r>
              <w:t>,</w:t>
            </w:r>
            <w:r w:rsidRPr="00E1136E">
              <w:t xml:space="preserve"> based on patient needs and the perioperative services provided. This will be particularly important as models of care evolve and non-surgical pathways of care are expanded.</w:t>
            </w:r>
            <w:r w:rsidRPr="00CE0A71">
              <w:t xml:space="preserve"> </w:t>
            </w:r>
          </w:p>
        </w:tc>
      </w:tr>
      <w:tr w:rsidR="00281C2F" w:rsidRPr="007D6C82" w14:paraId="217AE79F" w14:textId="77777777" w:rsidTr="0086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BE5F1" w:themeFill="accent1" w:themeFillTint="33"/>
          </w:tcPr>
          <w:p w14:paraId="621EE666" w14:textId="77777777" w:rsidR="00281C2F" w:rsidRPr="007D56BD" w:rsidRDefault="00281C2F" w:rsidP="009A032D">
            <w:pPr>
              <w:pStyle w:val="Tabletext"/>
              <w:rPr>
                <w:b w:val="0"/>
                <w:highlight w:val="yellow"/>
              </w:rPr>
            </w:pPr>
            <w:r w:rsidRPr="00752BE5">
              <w:t>Consumer partnerships</w:t>
            </w:r>
          </w:p>
        </w:tc>
        <w:tc>
          <w:tcPr>
            <w:tcW w:w="0" w:type="dxa"/>
            <w:shd w:val="clear" w:color="auto" w:fill="DBE5F1" w:themeFill="accent1" w:themeFillTint="33"/>
          </w:tcPr>
          <w:p w14:paraId="5679B8AF" w14:textId="2A287A7A" w:rsidR="00281C2F" w:rsidRPr="00D20AC6" w:rsidRDefault="00281C2F" w:rsidP="00E91F9F">
            <w:pPr>
              <w:pStyle w:val="Tabletext"/>
              <w:jc w:val="both"/>
              <w:cnfStyle w:val="000000100000" w:firstRow="0" w:lastRow="0" w:firstColumn="0" w:lastColumn="0" w:oddVBand="0" w:evenVBand="0" w:oddHBand="1" w:evenHBand="0" w:firstRowFirstColumn="0" w:firstRowLastColumn="0" w:lastRowFirstColumn="0" w:lastRowLastColumn="0"/>
              <w:rPr>
                <w:szCs w:val="21"/>
              </w:rPr>
            </w:pPr>
            <w:r w:rsidRPr="00D20AC6">
              <w:rPr>
                <w:rStyle w:val="ui-provider"/>
                <w:szCs w:val="21"/>
              </w:rPr>
              <w:t xml:space="preserve">Health services ensure that all patients feel respected, safe and included in decision making, while receiving their care. The health service should adhere to the </w:t>
            </w:r>
            <w:hyperlink r:id="rId31" w:history="1">
              <w:r w:rsidRPr="00851A55">
                <w:rPr>
                  <w:rStyle w:val="Hyperlink"/>
                  <w:i/>
                  <w:iCs/>
                  <w:szCs w:val="21"/>
                </w:rPr>
                <w:t>Australian Charter for Healthcare Rights</w:t>
              </w:r>
            </w:hyperlink>
            <w:r w:rsidRPr="00D20AC6">
              <w:rPr>
                <w:rStyle w:val="FootnoteReference"/>
                <w:szCs w:val="21"/>
              </w:rPr>
              <w:footnoteReference w:id="23"/>
            </w:r>
            <w:r w:rsidRPr="00D20AC6">
              <w:rPr>
                <w:rStyle w:val="ui-provider"/>
                <w:szCs w:val="21"/>
              </w:rPr>
              <w:t xml:space="preserve"> and the </w:t>
            </w:r>
            <w:hyperlink r:id="rId32" w:history="1">
              <w:r w:rsidRPr="00E91F9F">
                <w:rPr>
                  <w:rStyle w:val="Hyperlink"/>
                  <w:i/>
                  <w:iCs/>
                  <w:szCs w:val="21"/>
                </w:rPr>
                <w:t>Victorian Human Rights Charter</w:t>
              </w:r>
            </w:hyperlink>
            <w:r w:rsidRPr="00D20AC6">
              <w:rPr>
                <w:rStyle w:val="FootnoteReference"/>
                <w:szCs w:val="21"/>
              </w:rPr>
              <w:footnoteReference w:id="24"/>
            </w:r>
            <w:r w:rsidRPr="00D20AC6">
              <w:rPr>
                <w:rStyle w:val="ui-provider"/>
                <w:szCs w:val="21"/>
              </w:rPr>
              <w:t xml:space="preserve">, and have appropriate policies, initiatives, awareness and training programs in place for staff to create and strengthen the inclusion of diverse patient groups (for example, patients with disability – including neurodiverse patients – </w:t>
            </w:r>
            <w:r w:rsidRPr="00556BEB">
              <w:rPr>
                <w:rStyle w:val="ui-provider"/>
                <w:szCs w:val="21"/>
              </w:rPr>
              <w:t xml:space="preserve">culturally </w:t>
            </w:r>
            <w:r w:rsidR="00021345" w:rsidRPr="00556BEB">
              <w:rPr>
                <w:rStyle w:val="ui-provider"/>
                <w:szCs w:val="21"/>
              </w:rPr>
              <w:t xml:space="preserve">and linguistically </w:t>
            </w:r>
            <w:r w:rsidRPr="00556BEB">
              <w:rPr>
                <w:rStyle w:val="ui-provider"/>
                <w:szCs w:val="21"/>
              </w:rPr>
              <w:t>diverse</w:t>
            </w:r>
            <w:r w:rsidRPr="00021345">
              <w:rPr>
                <w:rStyle w:val="ui-provider"/>
                <w:szCs w:val="21"/>
              </w:rPr>
              <w:t xml:space="preserve"> patients and patients who ide</w:t>
            </w:r>
            <w:r w:rsidRPr="00D20AC6">
              <w:rPr>
                <w:rStyle w:val="ui-provider"/>
                <w:szCs w:val="21"/>
              </w:rPr>
              <w:t>ntify as LGBTIQ+).</w:t>
            </w:r>
          </w:p>
          <w:p w14:paraId="16AF056B" w14:textId="44B288B9" w:rsidR="00281C2F" w:rsidRPr="00CE0A71"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CE0A71">
              <w:t xml:space="preserve">Consumers are provided with information about their procedure and </w:t>
            </w:r>
            <w:r w:rsidRPr="00BB52C4">
              <w:t>anaesthe</w:t>
            </w:r>
            <w:r w:rsidR="00BB52C4" w:rsidRPr="00BB52C4">
              <w:t>sia</w:t>
            </w:r>
            <w:r w:rsidRPr="00CE0A71">
              <w:t xml:space="preserve"> in a way that makes sense to them and allows them to make informed decisions about their care, in line with the </w:t>
            </w:r>
            <w:hyperlink r:id="rId33" w:history="1">
              <w:r w:rsidRPr="00E91F9F">
                <w:rPr>
                  <w:rStyle w:val="Hyperlink"/>
                </w:rPr>
                <w:t>NSQHS Partnering with Consumers Standard 2.04, 2.05</w:t>
              </w:r>
            </w:hyperlink>
            <w:r w:rsidRPr="00CE0A71">
              <w:rPr>
                <w:rStyle w:val="FootnoteReference"/>
                <w:rFonts w:cs="Arial"/>
                <w:sz w:val="20"/>
              </w:rPr>
              <w:footnoteReference w:id="25"/>
            </w:r>
            <w:r w:rsidRPr="00CE0A71">
              <w:t xml:space="preserve">, and the Royal Australasian College of Surgeons (RACS) and </w:t>
            </w:r>
            <w:hyperlink r:id="rId34" w:history="1">
              <w:r w:rsidRPr="00F96095">
                <w:rPr>
                  <w:rStyle w:val="Hyperlink"/>
                </w:rPr>
                <w:t>ANZCA guidelines</w:t>
              </w:r>
            </w:hyperlink>
            <w:r w:rsidRPr="00CE0A71">
              <w:rPr>
                <w:rStyle w:val="FootnoteReference"/>
                <w:rFonts w:cs="Arial"/>
                <w:sz w:val="20"/>
              </w:rPr>
              <w:footnoteReference w:id="26"/>
            </w:r>
            <w:r w:rsidRPr="00CE0A71">
              <w:t>.</w:t>
            </w:r>
          </w:p>
          <w:p w14:paraId="536F864D" w14:textId="77777777" w:rsidR="00281C2F" w:rsidRPr="00CE0A71"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CE0A71">
              <w:t>Clinicians partner with consumers to achieve shared decision making (NSQHS Partnering with Consumers Standard 2.06, 2.07).</w:t>
            </w:r>
          </w:p>
          <w:p w14:paraId="78802D28" w14:textId="77777777" w:rsidR="00281C2F" w:rsidRPr="00CE0A71"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CE0A71">
              <w:t xml:space="preserve">Communication is tailored to the needs of consumers (NSQHS Partnering with Consumers Standard 2.08, 2.09 and 2.10). </w:t>
            </w:r>
          </w:p>
          <w:p w14:paraId="68515B07" w14:textId="499E9B3B" w:rsidR="00281C2F" w:rsidRPr="00CE0A71"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CE0A71">
              <w:t>Health services have access to language services</w:t>
            </w:r>
            <w:r w:rsidR="00710B90">
              <w:t xml:space="preserve"> that a</w:t>
            </w:r>
            <w:r w:rsidRPr="00CE0A71">
              <w:t xml:space="preserve">lign with the </w:t>
            </w:r>
            <w:r w:rsidRPr="00CE0A71">
              <w:rPr>
                <w:rFonts w:cs="Arial"/>
              </w:rPr>
              <w:t xml:space="preserve">department’s </w:t>
            </w:r>
            <w:hyperlink r:id="rId35" w:history="1">
              <w:r w:rsidRPr="00DD45EC">
                <w:rPr>
                  <w:rStyle w:val="Hyperlink"/>
                  <w:rFonts w:cs="Arial"/>
                  <w:i/>
                  <w:iCs/>
                </w:rPr>
                <w:t>Language Services Policy</w:t>
              </w:r>
            </w:hyperlink>
            <w:r w:rsidRPr="00DD45EC">
              <w:rPr>
                <w:rFonts w:cs="Arial"/>
              </w:rPr>
              <w:t xml:space="preserve"> and translations guidelines</w:t>
            </w:r>
            <w:r w:rsidRPr="00CE0A71">
              <w:rPr>
                <w:rStyle w:val="FootnoteReference"/>
                <w:rFonts w:cs="Arial"/>
                <w:sz w:val="20"/>
              </w:rPr>
              <w:footnoteReference w:id="27"/>
            </w:r>
            <w:r w:rsidRPr="00CE0A71">
              <w:rPr>
                <w:rFonts w:cs="Arial"/>
              </w:rPr>
              <w:t>.</w:t>
            </w:r>
          </w:p>
          <w:p w14:paraId="141E135B" w14:textId="75A1D586" w:rsidR="00281C2F" w:rsidRPr="00E1136E" w:rsidRDefault="00281C2F" w:rsidP="009A032D">
            <w:pPr>
              <w:pStyle w:val="Tabletext"/>
              <w:cnfStyle w:val="000000100000" w:firstRow="0" w:lastRow="0" w:firstColumn="0" w:lastColumn="0" w:oddVBand="0" w:evenVBand="0" w:oddHBand="1" w:evenHBand="0" w:firstRowFirstColumn="0" w:firstRowLastColumn="0" w:lastRowFirstColumn="0" w:lastRowLastColumn="0"/>
              <w:rPr>
                <w:i/>
              </w:rPr>
            </w:pPr>
            <w:r w:rsidRPr="00E1136E">
              <w:t xml:space="preserve">Health services align with the obligations, standards and requirements set out in the </w:t>
            </w:r>
            <w:hyperlink r:id="rId36" w:history="1">
              <w:r w:rsidRPr="00DD45EC">
                <w:rPr>
                  <w:rStyle w:val="Hyperlink"/>
                  <w:i/>
                  <w:iCs/>
                </w:rPr>
                <w:t>Policy and Funding Guidelines 2022–23</w:t>
              </w:r>
            </w:hyperlink>
            <w:r w:rsidRPr="00E1136E">
              <w:t xml:space="preserve"> on Meeting the Needs of all Victorians (section 16)</w:t>
            </w:r>
            <w:r w:rsidRPr="00E1136E">
              <w:rPr>
                <w:rStyle w:val="FootnoteReference"/>
                <w:rFonts w:cs="Arial"/>
                <w:sz w:val="20"/>
              </w:rPr>
              <w:footnoteReference w:id="28"/>
            </w:r>
            <w:r w:rsidRPr="00E1136E">
              <w:t xml:space="preserve">, the </w:t>
            </w:r>
            <w:hyperlink r:id="rId37" w:history="1">
              <w:r w:rsidRPr="00DD45EC">
                <w:rPr>
                  <w:rStyle w:val="Hyperlink"/>
                  <w:i/>
                  <w:iCs/>
                </w:rPr>
                <w:t>Hospital access for people seeking asylum</w:t>
              </w:r>
            </w:hyperlink>
            <w:r w:rsidRPr="00E1136E">
              <w:rPr>
                <w:rStyle w:val="FootnoteReference"/>
                <w:rFonts w:cs="Arial"/>
                <w:i/>
                <w:iCs/>
                <w:sz w:val="20"/>
              </w:rPr>
              <w:footnoteReference w:id="29"/>
            </w:r>
            <w:r w:rsidRPr="00E1136E">
              <w:rPr>
                <w:i/>
                <w:iCs/>
              </w:rPr>
              <w:t>,</w:t>
            </w:r>
            <w:r w:rsidRPr="00E1136E">
              <w:t xml:space="preserve"> and SCV’s </w:t>
            </w:r>
            <w:hyperlink r:id="rId38" w:history="1">
              <w:r w:rsidRPr="0082068E">
                <w:rPr>
                  <w:rStyle w:val="Hyperlink"/>
                  <w:i/>
                  <w:iCs/>
                </w:rPr>
                <w:t>Partnering in Healthcare: A framework for better care and outcomes</w:t>
              </w:r>
            </w:hyperlink>
            <w:r w:rsidRPr="00E1136E">
              <w:rPr>
                <w:rStyle w:val="FootnoteReference"/>
                <w:rFonts w:cs="Arial"/>
                <w:i/>
                <w:iCs/>
                <w:sz w:val="20"/>
              </w:rPr>
              <w:footnoteReference w:id="30"/>
            </w:r>
            <w:r w:rsidRPr="00E1136E">
              <w:rPr>
                <w:i/>
                <w:iCs/>
              </w:rPr>
              <w:t>.</w:t>
            </w:r>
          </w:p>
          <w:p w14:paraId="60D94E8B" w14:textId="484546B2" w:rsidR="00281C2F" w:rsidRPr="00CE0A71"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CE0A71">
              <w:t xml:space="preserve">Policies and processes are in place to strengthen safe, culturally appropriate health care for </w:t>
            </w:r>
            <w:r w:rsidRPr="00DB4D81">
              <w:t xml:space="preserve">Aboriginal </w:t>
            </w:r>
            <w:r w:rsidR="00021345" w:rsidRPr="00DB4D81">
              <w:t xml:space="preserve">and Torres Strait Islander </w:t>
            </w:r>
            <w:r w:rsidRPr="00DB4D81">
              <w:t>consumers</w:t>
            </w:r>
            <w:r w:rsidRPr="00021345">
              <w:t xml:space="preserve"> (NSQHS Partn</w:t>
            </w:r>
            <w:r w:rsidRPr="00CE0A71">
              <w:t>ering with Consumers Standard 2.13).</w:t>
            </w:r>
          </w:p>
          <w:p w14:paraId="0BA70517" w14:textId="5518959C" w:rsidR="00281C2F" w:rsidRPr="00CE0A71"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CE0A71">
              <w:t xml:space="preserve">Processes are in place to ensure working relationships are established with all care teams and the Hospital Aboriginal Health Liaison Officer (AHLO), and the local Aboriginal </w:t>
            </w:r>
            <w:r w:rsidR="00021345">
              <w:t>C</w:t>
            </w:r>
            <w:r w:rsidRPr="00CE0A71">
              <w:t xml:space="preserve">ommunity </w:t>
            </w:r>
            <w:r w:rsidR="00021345">
              <w:t>C</w:t>
            </w:r>
            <w:r w:rsidRPr="00CE0A71">
              <w:t xml:space="preserve">ontrolled </w:t>
            </w:r>
            <w:r w:rsidR="00021345">
              <w:t>O</w:t>
            </w:r>
            <w:r w:rsidRPr="00CE0A71">
              <w:t xml:space="preserve">rganisation (ACCO) for patient liaison. </w:t>
            </w:r>
          </w:p>
        </w:tc>
      </w:tr>
      <w:tr w:rsidR="00281C2F" w:rsidRPr="007D6C82" w14:paraId="01C836BE" w14:textId="77777777" w:rsidTr="0086685E">
        <w:tc>
          <w:tcPr>
            <w:cnfStyle w:val="001000000000" w:firstRow="0" w:lastRow="0" w:firstColumn="1" w:lastColumn="0" w:oddVBand="0" w:evenVBand="0" w:oddHBand="0" w:evenHBand="0" w:firstRowFirstColumn="0" w:firstRowLastColumn="0" w:lastRowFirstColumn="0" w:lastRowLastColumn="0"/>
            <w:tcW w:w="0" w:type="dxa"/>
          </w:tcPr>
          <w:p w14:paraId="0314954F" w14:textId="77777777" w:rsidR="00281C2F" w:rsidRPr="007D56BD" w:rsidRDefault="00281C2F" w:rsidP="009A032D">
            <w:pPr>
              <w:pStyle w:val="Tabletext"/>
              <w:rPr>
                <w:b w:val="0"/>
                <w:bCs w:val="0"/>
                <w:highlight w:val="yellow"/>
              </w:rPr>
            </w:pPr>
            <w:r w:rsidRPr="006150BA">
              <w:t>Risk management</w:t>
            </w:r>
            <w:r>
              <w:t xml:space="preserve"> and quality improvement</w:t>
            </w:r>
          </w:p>
        </w:tc>
        <w:tc>
          <w:tcPr>
            <w:tcW w:w="0" w:type="dxa"/>
          </w:tcPr>
          <w:p w14:paraId="47B0A34F" w14:textId="77777777" w:rsidR="00281C2F" w:rsidRPr="00E1136E" w:rsidRDefault="00281C2F" w:rsidP="009A032D">
            <w:pPr>
              <w:pStyle w:val="Tabletext"/>
              <w:cnfStyle w:val="000000000000" w:firstRow="0" w:lastRow="0" w:firstColumn="0" w:lastColumn="0" w:oddVBand="0" w:evenVBand="0" w:oddHBand="0" w:evenHBand="0" w:firstRowFirstColumn="0" w:firstRowLastColumn="0" w:lastRowFirstColumn="0" w:lastRowLastColumn="0"/>
              <w:rPr>
                <w:iCs/>
              </w:rPr>
            </w:pPr>
            <w:r w:rsidRPr="1C7BFA44">
              <w:t>Quality and safety roles and responsibilities are delegated to members of the perioperative workforce</w:t>
            </w:r>
            <w:r>
              <w:rPr>
                <w:rStyle w:val="FootnoteReference"/>
                <w:rFonts w:cs="Arial"/>
                <w:sz w:val="20"/>
              </w:rPr>
              <w:footnoteReference w:id="31"/>
            </w:r>
            <w:r>
              <w:t>.</w:t>
            </w:r>
          </w:p>
          <w:p w14:paraId="5E75DC99" w14:textId="77777777" w:rsidR="00281C2F" w:rsidRPr="00CE0A71"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CE0A71">
              <w:t>Where clinicians identify key areas of patient risk (for example, suitability of individual patients and cohorts for a given procedure), the health service will respond appropriately.</w:t>
            </w:r>
          </w:p>
          <w:p w14:paraId="6A9CD4B0" w14:textId="515EBF0D" w:rsidR="00281C2F" w:rsidRPr="00E1136E" w:rsidRDefault="00281C2F" w:rsidP="009A032D">
            <w:pPr>
              <w:pStyle w:val="Tabletext"/>
              <w:cnfStyle w:val="000000000000" w:firstRow="0" w:lastRow="0" w:firstColumn="0" w:lastColumn="0" w:oddVBand="0" w:evenVBand="0" w:oddHBand="0" w:evenHBand="0" w:firstRowFirstColumn="0" w:firstRowLastColumn="0" w:lastRowFirstColumn="0" w:lastRowLastColumn="0"/>
              <w:rPr>
                <w:rFonts w:cs="Arial"/>
                <w:iCs/>
              </w:rPr>
            </w:pPr>
            <w:r w:rsidRPr="00CE0A71">
              <w:rPr>
                <w:rFonts w:cs="Arial"/>
              </w:rPr>
              <w:t xml:space="preserve">Timely reporting of </w:t>
            </w:r>
            <w:r w:rsidRPr="00CE0A71">
              <w:t xml:space="preserve">adverse patient safety events, hazards and near misses are in line with the requirements of the </w:t>
            </w:r>
            <w:hyperlink r:id="rId39" w:history="1">
              <w:r w:rsidRPr="00706DC1">
                <w:rPr>
                  <w:rStyle w:val="Hyperlink"/>
                </w:rPr>
                <w:t>Victorian Health Incident Management System Minimum Dataset (VHIMS MDS)</w:t>
              </w:r>
            </w:hyperlink>
            <w:r w:rsidRPr="00CE0A71">
              <w:rPr>
                <w:rStyle w:val="FootnoteReference"/>
                <w:rFonts w:cs="Arial"/>
                <w:sz w:val="20"/>
              </w:rPr>
              <w:footnoteReference w:id="32"/>
            </w:r>
            <w:r w:rsidRPr="00CE0A71">
              <w:rPr>
                <w:rFonts w:cs="Arial"/>
              </w:rPr>
              <w:t xml:space="preserve">. </w:t>
            </w:r>
          </w:p>
          <w:p w14:paraId="1D984E7D" w14:textId="39234455" w:rsidR="00281C2F" w:rsidRPr="00E1136E" w:rsidRDefault="00281C2F" w:rsidP="009A032D">
            <w:pPr>
              <w:pStyle w:val="Tabletext"/>
              <w:cnfStyle w:val="000000000000" w:firstRow="0" w:lastRow="0" w:firstColumn="0" w:lastColumn="0" w:oddVBand="0" w:evenVBand="0" w:oddHBand="0" w:evenHBand="0" w:firstRowFirstColumn="0" w:firstRowLastColumn="0" w:lastRowFirstColumn="0" w:lastRowLastColumn="0"/>
              <w:rPr>
                <w:iCs/>
              </w:rPr>
            </w:pPr>
            <w:r w:rsidRPr="00CE0A71">
              <w:t xml:space="preserve">Adverse patient safety events are managed in line with the </w:t>
            </w:r>
            <w:hyperlink r:id="rId40" w:history="1">
              <w:r w:rsidRPr="00706DC1">
                <w:rPr>
                  <w:rStyle w:val="Hyperlink"/>
                </w:rPr>
                <w:t>Adverse Patient Safety Events Policy (2023)</w:t>
              </w:r>
            </w:hyperlink>
            <w:r w:rsidRPr="00CE0A71">
              <w:rPr>
                <w:rStyle w:val="FootnoteReference"/>
                <w:sz w:val="20"/>
              </w:rPr>
              <w:footnoteReference w:id="33"/>
            </w:r>
            <w:r w:rsidRPr="00CE0A71">
              <w:t>.</w:t>
            </w:r>
          </w:p>
          <w:p w14:paraId="7707D01F" w14:textId="77777777" w:rsidR="00281C2F" w:rsidRPr="00710B90" w:rsidRDefault="00281C2F" w:rsidP="009A032D">
            <w:pPr>
              <w:pStyle w:val="Tabletext"/>
              <w:cnfStyle w:val="000000000000" w:firstRow="0" w:lastRow="0" w:firstColumn="0" w:lastColumn="0" w:oddVBand="0" w:evenVBand="0" w:oddHBand="0" w:evenHBand="0" w:firstRowFirstColumn="0" w:firstRowLastColumn="0" w:lastRowFirstColumn="0" w:lastRowLastColumn="0"/>
              <w:rPr>
                <w:iCs/>
              </w:rPr>
            </w:pPr>
            <w:r w:rsidRPr="00CE0A71">
              <w:t>Audit and peer review processes are in place to identify and monitor variation in clinical practice, identify risks and provide feedback to clinicians</w:t>
            </w:r>
            <w:r w:rsidRPr="00CE0A71">
              <w:rPr>
                <w:rStyle w:val="FootnoteReference"/>
                <w:rFonts w:cs="Arial"/>
                <w:sz w:val="20"/>
              </w:rPr>
              <w:footnoteReference w:id="34"/>
            </w:r>
            <w:r w:rsidRPr="00CE0A71">
              <w:t>.</w:t>
            </w:r>
          </w:p>
        </w:tc>
      </w:tr>
      <w:tr w:rsidR="00281C2F" w:rsidRPr="007D6C82" w14:paraId="478BDB70" w14:textId="77777777" w:rsidTr="0086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BE5F1" w:themeFill="accent1" w:themeFillTint="33"/>
          </w:tcPr>
          <w:p w14:paraId="78E8C5B3" w14:textId="77777777" w:rsidR="00281C2F" w:rsidRPr="006150BA" w:rsidRDefault="00281C2F" w:rsidP="009A032D">
            <w:pPr>
              <w:pStyle w:val="Tabletext"/>
              <w:rPr>
                <w:b w:val="0"/>
                <w:bCs w:val="0"/>
              </w:rPr>
            </w:pPr>
            <w:r>
              <w:t>Referral and transfer</w:t>
            </w:r>
          </w:p>
        </w:tc>
        <w:tc>
          <w:tcPr>
            <w:tcW w:w="0" w:type="dxa"/>
            <w:shd w:val="clear" w:color="auto" w:fill="DBE5F1" w:themeFill="accent1" w:themeFillTint="33"/>
          </w:tcPr>
          <w:p w14:paraId="14F56A74" w14:textId="77777777" w:rsidR="00281C2F" w:rsidRPr="00DA3E89"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DA3E89">
              <w:t>Guidelines for consultation, referral and transfer are established in accordance with agreed referral, escalation and transfer pathways to ensure that:</w:t>
            </w:r>
          </w:p>
          <w:p w14:paraId="2601A974" w14:textId="77777777" w:rsidR="00281C2F" w:rsidRPr="00DA3E89"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63B58C0A">
              <w:t>risks and care needs of patients are identified and managed early</w:t>
            </w:r>
          </w:p>
          <w:p w14:paraId="28CE7B4B" w14:textId="77777777" w:rsidR="00281C2F" w:rsidRPr="00DA3E89"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63B58C0A">
              <w:t xml:space="preserve">designated pathways are in place to consult with another </w:t>
            </w:r>
            <w:r>
              <w:t>campus or health service,</w:t>
            </w:r>
            <w:r w:rsidRPr="63B58C0A">
              <w:t xml:space="preserve"> and arrange transfer of deteriorating patients</w:t>
            </w:r>
          </w:p>
          <w:p w14:paraId="145CAFE9" w14:textId="77777777" w:rsidR="00281C2F" w:rsidRPr="00DA3E89"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63B58C0A">
              <w:t>patients who require higher procedural complexity care have access to appropriate services</w:t>
            </w:r>
          </w:p>
          <w:p w14:paraId="42D531F2" w14:textId="77777777" w:rsidR="00281C2F" w:rsidRPr="00DA3E89"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63B58C0A">
              <w:t>patients receive services via a networked system, as close to home as possible (including pre- and post-procedure services)</w:t>
            </w:r>
          </w:p>
          <w:p w14:paraId="07E9E284" w14:textId="77777777" w:rsidR="00281C2F"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63B58C0A">
              <w:t>clinicians have pathways to access appropriate, expert clinical advice, including contacting the proceduralist up to 24 hours post-procedure</w:t>
            </w:r>
          </w:p>
          <w:p w14:paraId="32A38E03" w14:textId="77777777" w:rsidR="00281C2F" w:rsidRPr="00453D7B"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453D7B">
              <w:t xml:space="preserve">Clinical staff </w:t>
            </w:r>
            <w:r>
              <w:t>use</w:t>
            </w:r>
            <w:r w:rsidRPr="00453D7B">
              <w:t xml:space="preserve"> a structured patient handover tool for inter-hospital transfers (</w:t>
            </w:r>
            <w:r>
              <w:t>such as</w:t>
            </w:r>
            <w:r w:rsidRPr="00453D7B">
              <w:t xml:space="preserve"> </w:t>
            </w:r>
            <w:proofErr w:type="spellStart"/>
            <w:r w:rsidRPr="00453D7B">
              <w:t>iSoBAR</w:t>
            </w:r>
            <w:proofErr w:type="spellEnd"/>
            <w:r w:rsidRPr="00DA3E89">
              <w:rPr>
                <w:rStyle w:val="FootnoteReference"/>
                <w:rFonts w:cs="Arial"/>
              </w:rPr>
              <w:footnoteReference w:id="35"/>
            </w:r>
            <w:r w:rsidRPr="00453D7B">
              <w:t>)</w:t>
            </w:r>
            <w:r>
              <w:t>.</w:t>
            </w:r>
          </w:p>
        </w:tc>
      </w:tr>
      <w:tr w:rsidR="00281C2F" w:rsidRPr="007D6C82" w14:paraId="14981A83" w14:textId="77777777" w:rsidTr="0086685E">
        <w:tc>
          <w:tcPr>
            <w:cnfStyle w:val="001000000000" w:firstRow="0" w:lastRow="0" w:firstColumn="1" w:lastColumn="0" w:oddVBand="0" w:evenVBand="0" w:oddHBand="0" w:evenHBand="0" w:firstRowFirstColumn="0" w:firstRowLastColumn="0" w:lastRowFirstColumn="0" w:lastRowLastColumn="0"/>
            <w:tcW w:w="0" w:type="dxa"/>
          </w:tcPr>
          <w:p w14:paraId="5B6E2310" w14:textId="77777777" w:rsidR="00281C2F" w:rsidRDefault="00281C2F" w:rsidP="009A032D">
            <w:pPr>
              <w:pStyle w:val="Tabletext"/>
              <w:rPr>
                <w:b w:val="0"/>
                <w:bCs w:val="0"/>
              </w:rPr>
            </w:pPr>
            <w:r>
              <w:t>Partnership protocols and agreements</w:t>
            </w:r>
          </w:p>
        </w:tc>
        <w:tc>
          <w:tcPr>
            <w:tcW w:w="0" w:type="dxa"/>
          </w:tcPr>
          <w:p w14:paraId="2B4412AD" w14:textId="6776D5B9" w:rsidR="00281C2F" w:rsidRPr="008A013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63B58C0A">
              <w:t xml:space="preserve">Agreements supporting </w:t>
            </w:r>
            <w:r w:rsidR="38BFC1A2">
              <w:t>pooled preparation</w:t>
            </w:r>
            <w:r>
              <w:t xml:space="preserve"> list</w:t>
            </w:r>
            <w:r w:rsidR="22C5AC82">
              <w:t xml:space="preserve">s across campuses or </w:t>
            </w:r>
            <w:r w:rsidR="006E3D4B">
              <w:t>regions</w:t>
            </w:r>
            <w:r w:rsidR="006E3D4B" w:rsidRPr="63B58C0A">
              <w:t xml:space="preserve"> are</w:t>
            </w:r>
            <w:r w:rsidRPr="63B58C0A">
              <w:t xml:space="preserve"> documented (where relevant).</w:t>
            </w:r>
            <w:r w:rsidRPr="18DC4834">
              <w:rPr>
                <w:rStyle w:val="FootnoteReference"/>
              </w:rPr>
              <w:footnoteReference w:id="36"/>
            </w:r>
          </w:p>
          <w:p w14:paraId="6D8D45F8" w14:textId="77777777" w:rsidR="00281C2F" w:rsidRPr="008A013F" w:rsidRDefault="00281C2F" w:rsidP="009A032D">
            <w:pPr>
              <w:pStyle w:val="Tabletext"/>
              <w:cnfStyle w:val="000000000000" w:firstRow="0" w:lastRow="0" w:firstColumn="0" w:lastColumn="0" w:oddVBand="0" w:evenVBand="0" w:oddHBand="0" w:evenHBand="0" w:firstRowFirstColumn="0" w:firstRowLastColumn="0" w:lastRowFirstColumn="0" w:lastRowLastColumn="0"/>
              <w:rPr>
                <w:rFonts w:cs="Arial"/>
              </w:rPr>
            </w:pPr>
            <w:r w:rsidRPr="63B58C0A">
              <w:t>Protocols are in place between the facility and the clinician(s) to</w:t>
            </w:r>
            <w:r>
              <w:t>:</w:t>
            </w:r>
          </w:p>
          <w:p w14:paraId="5FC2341A" w14:textId="77777777" w:rsidR="00281C2F" w:rsidRPr="00D279B7"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00D279B7">
              <w:t xml:space="preserve">practice within the agreed range of procedures </w:t>
            </w:r>
          </w:p>
          <w:p w14:paraId="3855B0C6" w14:textId="77777777" w:rsidR="00281C2F"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00D279B7">
              <w:t>assess patient risk and suitability for treatment at the site</w:t>
            </w:r>
            <w:r>
              <w:t xml:space="preserve">. </w:t>
            </w:r>
          </w:p>
          <w:p w14:paraId="4A6B61EA" w14:textId="77777777" w:rsidR="00281C2F" w:rsidRPr="008A013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7F03E4">
              <w:t>Protocols are in place to provide timely discharge information to the patient’s primary care provider</w:t>
            </w:r>
            <w:r>
              <w:t>.</w:t>
            </w:r>
          </w:p>
        </w:tc>
      </w:tr>
      <w:tr w:rsidR="00281C2F" w:rsidRPr="007D6C82" w14:paraId="4C5F662D" w14:textId="77777777" w:rsidTr="0086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BE5F1" w:themeFill="accent1" w:themeFillTint="33"/>
          </w:tcPr>
          <w:p w14:paraId="2A3DD887" w14:textId="77777777" w:rsidR="00281C2F" w:rsidRDefault="00281C2F" w:rsidP="009A032D">
            <w:pPr>
              <w:pStyle w:val="Tabletext"/>
              <w:rPr>
                <w:b w:val="0"/>
                <w:bCs w:val="0"/>
              </w:rPr>
            </w:pPr>
            <w:r>
              <w:t>Equipment</w:t>
            </w:r>
          </w:p>
        </w:tc>
        <w:tc>
          <w:tcPr>
            <w:tcW w:w="0" w:type="dxa"/>
            <w:shd w:val="clear" w:color="auto" w:fill="DBE5F1" w:themeFill="accent1" w:themeFillTint="33"/>
          </w:tcPr>
          <w:p w14:paraId="21A86AB8" w14:textId="058E9DAE"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63B58C0A">
              <w:t xml:space="preserve">Reusable medical equipment and devices are managed in line with </w:t>
            </w:r>
            <w:hyperlink r:id="rId41" w:history="1">
              <w:r w:rsidRPr="000F7202">
                <w:rPr>
                  <w:rStyle w:val="Hyperlink"/>
                </w:rPr>
                <w:t>AS/NZS4187:2014: Reprocessing of reusable medical devices in health service organisations</w:t>
              </w:r>
            </w:hyperlink>
            <w:r w:rsidRPr="63B58C0A">
              <w:rPr>
                <w:rStyle w:val="FootnoteReference"/>
                <w:sz w:val="20"/>
              </w:rPr>
              <w:footnoteReference w:id="37"/>
            </w:r>
            <w:r w:rsidRPr="63B58C0A">
              <w:t>, or AS/NZS 4815:2006 – Office-based health care facilities – Reprocessing of reusable medical and surgical instruments and equipment for office-based procedures.</w:t>
            </w:r>
          </w:p>
          <w:p w14:paraId="5512C6BF" w14:textId="77777777" w:rsidR="00281C2F" w:rsidRPr="006056E3"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63B58C0A">
              <w:t xml:space="preserve">Health services have processes in place to ensure medical equipment is maintained in line with AS/NZS 3551:2012 </w:t>
            </w:r>
            <w:r w:rsidRPr="63B58C0A">
              <w:rPr>
                <w:i/>
                <w:iCs/>
              </w:rPr>
              <w:t>Management programs for medical equipment</w:t>
            </w:r>
            <w:r w:rsidRPr="63B58C0A">
              <w:t xml:space="preserve">. </w:t>
            </w:r>
          </w:p>
        </w:tc>
      </w:tr>
    </w:tbl>
    <w:p w14:paraId="02DFAF8F" w14:textId="77777777" w:rsidR="00281C2F" w:rsidRDefault="00281C2F" w:rsidP="00281C2F">
      <w:pPr>
        <w:pStyle w:val="DHHSbody"/>
      </w:pPr>
    </w:p>
    <w:p w14:paraId="7BB0509B" w14:textId="77777777" w:rsidR="00281C2F" w:rsidRDefault="00281C2F" w:rsidP="00281C2F">
      <w:pPr>
        <w:pStyle w:val="Heading1"/>
      </w:pPr>
      <w:bookmarkStart w:id="38" w:name="_Toc148626398"/>
      <w:bookmarkStart w:id="39" w:name="_Toc148718453"/>
      <w:bookmarkStart w:id="40" w:name="_Toc153792514"/>
      <w:r w:rsidRPr="00E1136E">
        <w:t>Section 2. Perioperative capability levels</w:t>
      </w:r>
      <w:bookmarkEnd w:id="38"/>
      <w:bookmarkEnd w:id="39"/>
      <w:bookmarkEnd w:id="40"/>
    </w:p>
    <w:p w14:paraId="05BF0B7F" w14:textId="4A183EE6" w:rsidR="000155B0" w:rsidRPr="00E7391D" w:rsidRDefault="000155B0" w:rsidP="00E7391D">
      <w:pPr>
        <w:pStyle w:val="Body"/>
      </w:pPr>
      <w:r w:rsidRPr="00E7391D">
        <w:t>This section provides detailed descriptions of the minimum capability for each of the six levels of perioperative care.  Minimum requirements for each criterion are defined in the service levels based on best available evidence and requirements. The minimum criterion requirements for each level are incremental and cumulative and must be met at each level to provide safe, high quality perioperative services.</w:t>
      </w:r>
    </w:p>
    <w:p w14:paraId="6F26D391" w14:textId="4F7FFC02" w:rsidR="00B63E77" w:rsidRPr="00B63E77" w:rsidRDefault="00B63E77" w:rsidP="00FC2611">
      <w:pPr>
        <w:spacing w:after="160" w:line="259" w:lineRule="auto"/>
      </w:pPr>
      <w:r>
        <w:br w:type="page"/>
      </w:r>
    </w:p>
    <w:p w14:paraId="36113409" w14:textId="77777777" w:rsidR="00281C2F" w:rsidRDefault="00281C2F" w:rsidP="00281C2F">
      <w:pPr>
        <w:pStyle w:val="Heading2"/>
        <w:rPr>
          <w:rFonts w:eastAsia="Times"/>
        </w:rPr>
      </w:pPr>
      <w:bookmarkStart w:id="41" w:name="_Toc148626399"/>
      <w:bookmarkStart w:id="42" w:name="_Toc148718454"/>
      <w:bookmarkStart w:id="43" w:name="_Toc153792515"/>
      <w:r w:rsidRPr="00A63ED1">
        <w:rPr>
          <w:rFonts w:eastAsia="Times"/>
        </w:rPr>
        <w:t xml:space="preserve">Level 1 </w:t>
      </w:r>
      <w:r>
        <w:rPr>
          <w:rFonts w:eastAsia="Times"/>
        </w:rPr>
        <w:t>p</w:t>
      </w:r>
      <w:r w:rsidRPr="00F40A79">
        <w:rPr>
          <w:rFonts w:eastAsia="Times"/>
        </w:rPr>
        <w:t xml:space="preserve">erioperative </w:t>
      </w:r>
      <w:r>
        <w:rPr>
          <w:rFonts w:eastAsia="Times"/>
        </w:rPr>
        <w:t>s</w:t>
      </w:r>
      <w:r w:rsidRPr="00F40A79">
        <w:rPr>
          <w:rFonts w:eastAsia="Times"/>
        </w:rPr>
        <w:t>ervice</w:t>
      </w:r>
      <w:r>
        <w:rPr>
          <w:rFonts w:eastAsia="Times"/>
        </w:rPr>
        <w:t>s</w:t>
      </w:r>
      <w:bookmarkEnd w:id="41"/>
      <w:bookmarkEnd w:id="42"/>
      <w:bookmarkEnd w:id="43"/>
    </w:p>
    <w:p w14:paraId="6713882D" w14:textId="230C4D0A" w:rsidR="00160181" w:rsidRDefault="00DD5DD5" w:rsidP="00160181">
      <w:pPr>
        <w:pStyle w:val="Heading3"/>
      </w:pPr>
      <w:r>
        <w:t>Service description</w:t>
      </w:r>
    </w:p>
    <w:p w14:paraId="79A68D66" w14:textId="2A4BC2BD" w:rsidR="00281C2F" w:rsidRPr="007C40B8" w:rsidDel="00575D9B" w:rsidRDefault="00281C2F" w:rsidP="009B54EB">
      <w:pPr>
        <w:pStyle w:val="Body"/>
      </w:pPr>
      <w:r w:rsidRPr="00E47ADB">
        <w:t>T</w:t>
      </w:r>
      <w:r w:rsidR="0022729A" w:rsidRPr="00E47ADB">
        <w:t>his section</w:t>
      </w:r>
      <w:r>
        <w:t xml:space="preserve"> outlines the service </w:t>
      </w:r>
      <w:r w:rsidR="00152866">
        <w:t>roles and</w:t>
      </w:r>
      <w:r>
        <w:t xml:space="preserve"> responsibilities for Level 1 perioperative services. </w:t>
      </w:r>
    </w:p>
    <w:tbl>
      <w:tblPr>
        <w:tblStyle w:val="GridTable4-Accent6"/>
        <w:tblW w:w="9376" w:type="dxa"/>
        <w:tblBorders>
          <w:top w:val="none" w:sz="0" w:space="0" w:color="auto"/>
          <w:left w:val="none" w:sz="0" w:space="0" w:color="auto"/>
          <w:bottom w:val="single" w:sz="4" w:space="0" w:color="201547"/>
          <w:right w:val="none" w:sz="0" w:space="0" w:color="auto"/>
          <w:insideH w:val="none" w:sz="0" w:space="0" w:color="auto"/>
          <w:insideV w:val="single" w:sz="4" w:space="0" w:color="201547"/>
        </w:tblBorders>
        <w:tblLook w:val="04A0" w:firstRow="1" w:lastRow="0" w:firstColumn="1" w:lastColumn="0" w:noHBand="0" w:noVBand="1"/>
      </w:tblPr>
      <w:tblGrid>
        <w:gridCol w:w="2405"/>
        <w:gridCol w:w="6971"/>
      </w:tblGrid>
      <w:tr w:rsidR="001A32E2" w:rsidRPr="001A32E2" w14:paraId="34ED7397" w14:textId="77777777" w:rsidTr="00866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Pr>
          <w:p w14:paraId="058B7539" w14:textId="4EED3D20" w:rsidR="00281C2F" w:rsidRPr="001A32E2" w:rsidRDefault="00281C2F" w:rsidP="009A032D">
            <w:pPr>
              <w:pStyle w:val="Tablecolhead"/>
              <w:rPr>
                <w:b/>
                <w:bCs w:val="0"/>
                <w:color w:val="FFFFFF" w:themeColor="background1"/>
              </w:rPr>
            </w:pPr>
            <w:r w:rsidRPr="001A32E2">
              <w:rPr>
                <w:b/>
                <w:bCs w:val="0"/>
                <w:color w:val="FFFFFF" w:themeColor="background1"/>
              </w:rPr>
              <w:t xml:space="preserve">Level 1 service </w:t>
            </w:r>
          </w:p>
        </w:tc>
        <w:tc>
          <w:tcPr>
            <w:tcW w:w="6971" w:type="dxa"/>
          </w:tcPr>
          <w:p w14:paraId="521CC63A" w14:textId="7E4ED9A0" w:rsidR="00281C2F" w:rsidRPr="001A32E2" w:rsidRDefault="005D6CD7" w:rsidP="009A032D">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Description</w:t>
            </w:r>
          </w:p>
        </w:tc>
      </w:tr>
      <w:tr w:rsidR="00281C2F" w:rsidRPr="007D6C82" w14:paraId="01EC1535" w14:textId="77777777" w:rsidTr="0086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14783D80" w14:textId="77777777" w:rsidR="00281C2F" w:rsidRPr="00AD6406" w:rsidRDefault="00281C2F" w:rsidP="009A032D">
            <w:pPr>
              <w:pStyle w:val="Tabletext"/>
              <w:rPr>
                <w:b w:val="0"/>
              </w:rPr>
            </w:pPr>
            <w:r w:rsidRPr="00AD6406">
              <w:t xml:space="preserve">Complexity of care </w:t>
            </w:r>
          </w:p>
        </w:tc>
        <w:tc>
          <w:tcPr>
            <w:tcW w:w="6971" w:type="dxa"/>
            <w:shd w:val="clear" w:color="auto" w:fill="DBE5F1" w:themeFill="accent1" w:themeFillTint="33"/>
          </w:tcPr>
          <w:p w14:paraId="63DC2294" w14:textId="77777777" w:rsidR="00281C2F" w:rsidRPr="007D6C82"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7D6C82">
              <w:t xml:space="preserve">A </w:t>
            </w:r>
            <w:r>
              <w:t>L</w:t>
            </w:r>
            <w:r w:rsidRPr="007D6C82">
              <w:t xml:space="preserve">evel </w:t>
            </w:r>
            <w:r>
              <w:t>1</w:t>
            </w:r>
            <w:r w:rsidRPr="007D6C82">
              <w:t xml:space="preserve"> service</w:t>
            </w:r>
            <w:r>
              <w:t xml:space="preserve"> provides</w:t>
            </w:r>
            <w:r w:rsidRPr="007D6C82">
              <w:t xml:space="preserve">: </w:t>
            </w:r>
          </w:p>
          <w:p w14:paraId="0F2761C2" w14:textId="77777777" w:rsidR="00281C2F" w:rsidRPr="00E1136E"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rPr>
                <w:rStyle w:val="normaltextrun"/>
              </w:rPr>
            </w:pPr>
            <w:r w:rsidRPr="00E1136E">
              <w:rPr>
                <w:rStyle w:val="normaltextrun"/>
              </w:rPr>
              <w:t xml:space="preserve">office-based procedures (non-admitted care) by a range of proceduralists (for example, GPs, dentists and podiatrists), which only require local </w:t>
            </w:r>
            <w:r w:rsidRPr="00A130D0">
              <w:rPr>
                <w:rStyle w:val="normaltextrun"/>
              </w:rPr>
              <w:t>anaesthetic</w:t>
            </w:r>
          </w:p>
          <w:p w14:paraId="74DE08B8" w14:textId="27E99ECE" w:rsidR="00281C2F" w:rsidRPr="00E1136E"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rPr>
                <w:rStyle w:val="normaltextrun"/>
              </w:rPr>
            </w:pPr>
            <w:r w:rsidRPr="00E1136E">
              <w:rPr>
                <w:rStyle w:val="normaltextrun"/>
              </w:rPr>
              <w:t xml:space="preserve">the lowest-risk procedures to </w:t>
            </w:r>
            <w:r w:rsidR="00A130D0">
              <w:rPr>
                <w:rStyle w:val="normaltextrun"/>
              </w:rPr>
              <w:t>all</w:t>
            </w:r>
            <w:r w:rsidRPr="00E1136E">
              <w:rPr>
                <w:rStyle w:val="normaltextrun"/>
              </w:rPr>
              <w:t xml:space="preserve"> patients</w:t>
            </w:r>
          </w:p>
          <w:p w14:paraId="0501725C" w14:textId="2077CA05" w:rsidR="00281C2F" w:rsidRPr="00E1136E" w:rsidRDefault="00B17511"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 xml:space="preserve">for </w:t>
            </w:r>
            <w:r w:rsidR="00281C2F" w:rsidRPr="00E1136E">
              <w:t>paediatric services</w:t>
            </w:r>
            <w:r>
              <w:t>:</w:t>
            </w:r>
          </w:p>
          <w:p w14:paraId="238CDC1C" w14:textId="77777777" w:rsidR="00281C2F" w:rsidRPr="00B17511" w:rsidRDefault="00281C2F" w:rsidP="00B17511">
            <w:pPr>
              <w:pStyle w:val="Tablebullet2"/>
              <w:cnfStyle w:val="000000100000" w:firstRow="0" w:lastRow="0" w:firstColumn="0" w:lastColumn="0" w:oddVBand="0" w:evenVBand="0" w:oddHBand="1" w:evenHBand="0" w:firstRowFirstColumn="0" w:firstRowLastColumn="0" w:lastRowFirstColumn="0" w:lastRowLastColumn="0"/>
            </w:pPr>
            <w:r w:rsidRPr="00B17511">
              <w:t xml:space="preserve">office-based procedures using local </w:t>
            </w:r>
            <w:r w:rsidRPr="00A130D0">
              <w:t>anaesthetic</w:t>
            </w:r>
            <w:r w:rsidRPr="00B17511">
              <w:t xml:space="preserve"> in low-complexity paediatric patients</w:t>
            </w:r>
          </w:p>
          <w:p w14:paraId="6DE4E9D9" w14:textId="26BC0B4B" w:rsidR="00281C2F" w:rsidRPr="00D75302" w:rsidRDefault="00281C2F" w:rsidP="00B17511">
            <w:pPr>
              <w:pStyle w:val="Tablebullet2"/>
              <w:cnfStyle w:val="000000100000" w:firstRow="0" w:lastRow="0" w:firstColumn="0" w:lastColumn="0" w:oddVBand="0" w:evenVBand="0" w:oddHBand="1" w:evenHBand="0" w:firstRowFirstColumn="0" w:firstRowLastColumn="0" w:lastRowFirstColumn="0" w:lastRowLastColumn="0"/>
              <w:rPr>
                <w:rStyle w:val="normaltextrun"/>
                <w:sz w:val="20"/>
              </w:rPr>
            </w:pPr>
            <w:r w:rsidRPr="00B17511">
              <w:t xml:space="preserve">services to </w:t>
            </w:r>
            <w:r w:rsidR="00B17511">
              <w:t xml:space="preserve">paediatric </w:t>
            </w:r>
            <w:r w:rsidRPr="00B17511">
              <w:t>patients of all ages.</w:t>
            </w:r>
          </w:p>
        </w:tc>
      </w:tr>
      <w:tr w:rsidR="00281C2F" w:rsidRPr="007D6C82" w14:paraId="4A52455D" w14:textId="77777777" w:rsidTr="0086685E">
        <w:tc>
          <w:tcPr>
            <w:cnfStyle w:val="001000000000" w:firstRow="0" w:lastRow="0" w:firstColumn="1" w:lastColumn="0" w:oddVBand="0" w:evenVBand="0" w:oddHBand="0" w:evenHBand="0" w:firstRowFirstColumn="0" w:firstRowLastColumn="0" w:lastRowFirstColumn="0" w:lastRowLastColumn="0"/>
            <w:tcW w:w="2405" w:type="dxa"/>
          </w:tcPr>
          <w:p w14:paraId="58F650F8" w14:textId="77777777" w:rsidR="00281C2F" w:rsidRPr="00AD6406" w:rsidRDefault="00281C2F" w:rsidP="009A032D">
            <w:pPr>
              <w:pStyle w:val="Tabletext"/>
              <w:rPr>
                <w:b w:val="0"/>
              </w:rPr>
            </w:pPr>
            <w:r w:rsidRPr="00AD6406">
              <w:t>Procedure/surgery</w:t>
            </w:r>
          </w:p>
        </w:tc>
        <w:tc>
          <w:tcPr>
            <w:tcW w:w="6971" w:type="dxa"/>
          </w:tcPr>
          <w:p w14:paraId="7C8D1535" w14:textId="77777777" w:rsidR="00281C2F" w:rsidRPr="007D6C82"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7D6C82">
              <w:t xml:space="preserve">A </w:t>
            </w:r>
            <w:r>
              <w:t>L</w:t>
            </w:r>
            <w:r w:rsidRPr="007D6C82">
              <w:t xml:space="preserve">evel </w:t>
            </w:r>
            <w:r>
              <w:t>1</w:t>
            </w:r>
            <w:r w:rsidRPr="007D6C82">
              <w:t xml:space="preserve"> service: </w:t>
            </w:r>
          </w:p>
          <w:p w14:paraId="4B737E4D" w14:textId="77777777" w:rsidR="00281C2F" w:rsidRPr="00E1136E"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00E1136E">
              <w:t xml:space="preserve">undertakes low-risk procedures under local </w:t>
            </w:r>
            <w:r w:rsidRPr="00A130D0">
              <w:t>anaesthetic</w:t>
            </w:r>
            <w:r w:rsidRPr="00E1136E">
              <w:t xml:space="preserve">, where serious complications are very unlikely </w:t>
            </w:r>
          </w:p>
          <w:p w14:paraId="28C1271E" w14:textId="77777777" w:rsidR="00281C2F" w:rsidRPr="00E1136E"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00E1136E">
              <w:t>provides only superficial procedures according to proceduralist scope of practice</w:t>
            </w:r>
          </w:p>
          <w:p w14:paraId="150666E5" w14:textId="77777777" w:rsidR="00281C2F" w:rsidRPr="00E1136E"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00E1136E">
              <w:t xml:space="preserve">does not require separate </w:t>
            </w:r>
            <w:r w:rsidRPr="00A130D0">
              <w:t>anaesthetic</w:t>
            </w:r>
            <w:r w:rsidRPr="00E1136E">
              <w:t xml:space="preserve"> support. Examples include podiatry, dental and minor GP procedures delivered in procedure rooms</w:t>
            </w:r>
          </w:p>
          <w:p w14:paraId="31A60D20" w14:textId="77777777" w:rsidR="00281C2F" w:rsidDel="004A40AC"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00E1136E">
              <w:rPr>
                <w:rStyle w:val="normaltextrun"/>
              </w:rPr>
              <w:t>provides office-based procedures for paediatric services.</w:t>
            </w:r>
          </w:p>
        </w:tc>
      </w:tr>
      <w:tr w:rsidR="00281C2F" w:rsidRPr="007D6C82" w14:paraId="10FBB65D" w14:textId="77777777" w:rsidTr="0086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513BD83A" w14:textId="77777777" w:rsidR="00281C2F" w:rsidRPr="00487CF8" w:rsidRDefault="00281C2F" w:rsidP="009A032D">
            <w:pPr>
              <w:pStyle w:val="Tabletext"/>
              <w:rPr>
                <w:b w:val="0"/>
              </w:rPr>
            </w:pPr>
            <w:r w:rsidRPr="00487CF8">
              <w:t>Anaesthetic complexity</w:t>
            </w:r>
          </w:p>
        </w:tc>
        <w:tc>
          <w:tcPr>
            <w:tcW w:w="6971" w:type="dxa"/>
            <w:shd w:val="clear" w:color="auto" w:fill="DBE5F1" w:themeFill="accent1" w:themeFillTint="33"/>
          </w:tcPr>
          <w:p w14:paraId="7FE301EF" w14:textId="77777777" w:rsidR="00281C2F" w:rsidRPr="007D6C82"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7D6C82">
              <w:t xml:space="preserve">A </w:t>
            </w:r>
            <w:r>
              <w:t>L</w:t>
            </w:r>
            <w:r w:rsidRPr="007D6C82">
              <w:t xml:space="preserve">evel </w:t>
            </w:r>
            <w:r>
              <w:t>1</w:t>
            </w:r>
            <w:r w:rsidRPr="007D6C82">
              <w:t xml:space="preserve"> service: </w:t>
            </w:r>
          </w:p>
          <w:p w14:paraId="42CE17FF" w14:textId="3485595C" w:rsidR="00281C2F" w:rsidRPr="00E1136E"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E1136E">
              <w:t xml:space="preserve">provides local infiltration </w:t>
            </w:r>
            <w:r w:rsidRPr="00A130D0">
              <w:t>anaesthetic</w:t>
            </w:r>
            <w:r w:rsidRPr="00E1136E">
              <w:t xml:space="preserve"> and </w:t>
            </w:r>
            <w:r w:rsidR="00A130D0">
              <w:t xml:space="preserve">simple </w:t>
            </w:r>
            <w:r w:rsidRPr="00E1136E">
              <w:t>regional blocks to low-risk patients undergoing low-risk, minor procedures</w:t>
            </w:r>
          </w:p>
          <w:p w14:paraId="777B7A4F" w14:textId="77777777" w:rsidR="00281C2F" w:rsidRPr="00E1136E"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E1136E">
              <w:t>includes procedures done by registered health practitioners under service agreements with public health services</w:t>
            </w:r>
          </w:p>
          <w:p w14:paraId="57101F62" w14:textId="77777777" w:rsidR="00281C2F" w:rsidRPr="00E1136E"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E1136E">
              <w:t>provides planned and unplanned services</w:t>
            </w:r>
          </w:p>
          <w:p w14:paraId="2090E804" w14:textId="0AFF406D" w:rsidR="00281C2F" w:rsidRPr="00291E7E"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rPr>
                <w:rStyle w:val="eop"/>
              </w:rPr>
            </w:pPr>
            <w:r w:rsidRPr="00E1136E">
              <w:t xml:space="preserve">provides local </w:t>
            </w:r>
            <w:r w:rsidRPr="00291E7E">
              <w:t>anaesthe</w:t>
            </w:r>
            <w:r w:rsidR="00291E7E" w:rsidRPr="00291E7E">
              <w:t>sia</w:t>
            </w:r>
            <w:r w:rsidRPr="00291E7E">
              <w:t xml:space="preserve"> and procedures that will generally be completed by a sole practitioner</w:t>
            </w:r>
          </w:p>
          <w:p w14:paraId="7221AD21" w14:textId="5C69A175" w:rsidR="00281C2F" w:rsidRPr="00487CF8"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291E7E">
              <w:t>provides local anaesthe</w:t>
            </w:r>
            <w:r w:rsidR="00291E7E" w:rsidRPr="00291E7E">
              <w:t>sia</w:t>
            </w:r>
            <w:r w:rsidRPr="00291E7E">
              <w:rPr>
                <w:rStyle w:val="normaltextrun"/>
              </w:rPr>
              <w:t xml:space="preserve"> for</w:t>
            </w:r>
            <w:r w:rsidRPr="00E1136E">
              <w:rPr>
                <w:rStyle w:val="normaltextrun"/>
              </w:rPr>
              <w:t xml:space="preserve"> paediatric services.</w:t>
            </w:r>
          </w:p>
        </w:tc>
      </w:tr>
      <w:tr w:rsidR="00281C2F" w:rsidRPr="007D6C82" w14:paraId="25D45380" w14:textId="77777777" w:rsidTr="0086685E">
        <w:tc>
          <w:tcPr>
            <w:cnfStyle w:val="001000000000" w:firstRow="0" w:lastRow="0" w:firstColumn="1" w:lastColumn="0" w:oddVBand="0" w:evenVBand="0" w:oddHBand="0" w:evenHBand="0" w:firstRowFirstColumn="0" w:firstRowLastColumn="0" w:lastRowFirstColumn="0" w:lastRowLastColumn="0"/>
            <w:tcW w:w="2405" w:type="dxa"/>
          </w:tcPr>
          <w:p w14:paraId="238FCC81" w14:textId="77777777" w:rsidR="00281C2F" w:rsidRPr="00AD6406" w:rsidRDefault="00281C2F" w:rsidP="009A032D">
            <w:pPr>
              <w:pStyle w:val="Tabletext"/>
              <w:rPr>
                <w:b w:val="0"/>
              </w:rPr>
            </w:pPr>
            <w:r w:rsidRPr="00AD6406">
              <w:t>Emergency services/surgery</w:t>
            </w:r>
          </w:p>
        </w:tc>
        <w:tc>
          <w:tcPr>
            <w:tcW w:w="6971" w:type="dxa"/>
          </w:tcPr>
          <w:p w14:paraId="5EA5259C" w14:textId="77777777" w:rsidR="00281C2F" w:rsidRPr="007D6C82"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7D6C82">
              <w:t xml:space="preserve">A </w:t>
            </w:r>
            <w:r>
              <w:t>L</w:t>
            </w:r>
            <w:r w:rsidRPr="007D6C82">
              <w:t xml:space="preserve">evel </w:t>
            </w:r>
            <w:r>
              <w:t>1</w:t>
            </w:r>
            <w:r w:rsidRPr="007D6C82">
              <w:t xml:space="preserve"> service: </w:t>
            </w:r>
          </w:p>
          <w:p w14:paraId="00A0CD15" w14:textId="77777777" w:rsidR="00281C2F"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t>provides e</w:t>
            </w:r>
            <w:r w:rsidRPr="001E5609">
              <w:t>mergency service</w:t>
            </w:r>
            <w:r>
              <w:t>s</w:t>
            </w:r>
            <w:r w:rsidRPr="001E5609">
              <w:t xml:space="preserve"> </w:t>
            </w:r>
            <w:r>
              <w:t>and</w:t>
            </w:r>
            <w:r w:rsidRPr="001E5609">
              <w:t xml:space="preserve"> transfers</w:t>
            </w:r>
          </w:p>
          <w:p w14:paraId="33E85853" w14:textId="77777777" w:rsidR="00281C2F" w:rsidRPr="007D6C82"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t>h</w:t>
            </w:r>
            <w:r w:rsidRPr="007D6C82">
              <w:t xml:space="preserve">as established protocols for referral to </w:t>
            </w:r>
            <w:r>
              <w:t xml:space="preserve">the </w:t>
            </w:r>
            <w:r w:rsidRPr="007D6C82">
              <w:t>nearest emergency department or urgent care centre for emergency assessment</w:t>
            </w:r>
            <w:r>
              <w:t xml:space="preserve"> (for example, calling Tripe Zero (000))</w:t>
            </w:r>
          </w:p>
          <w:p w14:paraId="73913CBF" w14:textId="77777777" w:rsidR="00281C2F" w:rsidRPr="001E5609"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t>p</w:t>
            </w:r>
            <w:r w:rsidRPr="007D6C82">
              <w:t xml:space="preserve">rovides </w:t>
            </w:r>
            <w:r>
              <w:t>basic</w:t>
            </w:r>
            <w:r w:rsidRPr="007D6C82">
              <w:t xml:space="preserve"> </w:t>
            </w:r>
            <w:r>
              <w:t xml:space="preserve">life </w:t>
            </w:r>
            <w:r w:rsidRPr="007D6C82">
              <w:t>support if required.</w:t>
            </w:r>
          </w:p>
        </w:tc>
      </w:tr>
      <w:tr w:rsidR="00281C2F" w:rsidRPr="007D6C82" w14:paraId="1BA2C94F" w14:textId="77777777" w:rsidTr="0086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5D942B24" w14:textId="77777777" w:rsidR="00281C2F" w:rsidRPr="00AD6406" w:rsidRDefault="00281C2F" w:rsidP="009A032D">
            <w:pPr>
              <w:pStyle w:val="Tabletext"/>
              <w:rPr>
                <w:b w:val="0"/>
              </w:rPr>
            </w:pPr>
            <w:r w:rsidRPr="00AD6406">
              <w:t>Pre-admission service</w:t>
            </w:r>
          </w:p>
        </w:tc>
        <w:tc>
          <w:tcPr>
            <w:tcW w:w="6971" w:type="dxa"/>
            <w:shd w:val="clear" w:color="auto" w:fill="DBE5F1" w:themeFill="accent1" w:themeFillTint="33"/>
          </w:tcPr>
          <w:p w14:paraId="1847F586" w14:textId="77777777" w:rsidR="00281C2F" w:rsidRPr="007D6C82" w:rsidRDefault="00281C2F" w:rsidP="009A032D">
            <w:pPr>
              <w:pStyle w:val="Tabletext"/>
              <w:cnfStyle w:val="000000100000" w:firstRow="0" w:lastRow="0" w:firstColumn="0" w:lastColumn="0" w:oddVBand="0" w:evenVBand="0" w:oddHBand="1" w:evenHBand="0" w:firstRowFirstColumn="0" w:firstRowLastColumn="0" w:lastRowFirstColumn="0" w:lastRowLastColumn="0"/>
              <w:rPr>
                <w:i/>
                <w:iCs/>
              </w:rPr>
            </w:pPr>
            <w:r>
              <w:t>In a Level 1 service, a</w:t>
            </w:r>
            <w:r w:rsidRPr="0000574C">
              <w:t>ssessment of suitability for treatment is undertaken by the proceduralist</w:t>
            </w:r>
            <w:r>
              <w:t>,</w:t>
            </w:r>
            <w:r w:rsidRPr="0000574C">
              <w:t xml:space="preserve"> based on the policies </w:t>
            </w:r>
            <w:r>
              <w:t xml:space="preserve">of the health service campus </w:t>
            </w:r>
            <w:r w:rsidRPr="0000574C">
              <w:t>and the proceduralist’s credentialing</w:t>
            </w:r>
            <w:r>
              <w:t>.</w:t>
            </w:r>
          </w:p>
        </w:tc>
      </w:tr>
      <w:tr w:rsidR="00281C2F" w:rsidRPr="007D6C82" w14:paraId="401309CA" w14:textId="77777777" w:rsidTr="0086685E">
        <w:tc>
          <w:tcPr>
            <w:cnfStyle w:val="001000000000" w:firstRow="0" w:lastRow="0" w:firstColumn="1" w:lastColumn="0" w:oddVBand="0" w:evenVBand="0" w:oddHBand="0" w:evenHBand="0" w:firstRowFirstColumn="0" w:firstRowLastColumn="0" w:lastRowFirstColumn="0" w:lastRowLastColumn="0"/>
            <w:tcW w:w="2405" w:type="dxa"/>
          </w:tcPr>
          <w:p w14:paraId="4F1194F2" w14:textId="77777777" w:rsidR="00281C2F" w:rsidRPr="00AD6406" w:rsidRDefault="00281C2F" w:rsidP="009A032D">
            <w:pPr>
              <w:pStyle w:val="Tabletext"/>
              <w:rPr>
                <w:b w:val="0"/>
              </w:rPr>
            </w:pPr>
            <w:r w:rsidRPr="00AD6406">
              <w:t>Pain management capability</w:t>
            </w:r>
          </w:p>
        </w:tc>
        <w:tc>
          <w:tcPr>
            <w:tcW w:w="6971" w:type="dxa"/>
          </w:tcPr>
          <w:p w14:paraId="708BD90F" w14:textId="77777777" w:rsidR="00281C2F" w:rsidRPr="00DF4685" w:rsidRDefault="00281C2F" w:rsidP="009A032D">
            <w:pPr>
              <w:pStyle w:val="Tabletext"/>
              <w:cnfStyle w:val="000000000000" w:firstRow="0" w:lastRow="0" w:firstColumn="0" w:lastColumn="0" w:oddVBand="0" w:evenVBand="0" w:oddHBand="0" w:evenHBand="0" w:firstRowFirstColumn="0" w:firstRowLastColumn="0" w:lastRowFirstColumn="0" w:lastRowLastColumn="0"/>
              <w:rPr>
                <w:i/>
                <w:iCs/>
                <w:szCs w:val="18"/>
              </w:rPr>
            </w:pPr>
            <w:r>
              <w:t>A Level 1 service e</w:t>
            </w:r>
            <w:r w:rsidRPr="63B58C0A">
              <w:t xml:space="preserve">nsures </w:t>
            </w:r>
            <w:r>
              <w:t xml:space="preserve">the </w:t>
            </w:r>
            <w:r w:rsidRPr="63B58C0A">
              <w:t>patient has discharge advice about pain management in the community when required.</w:t>
            </w:r>
          </w:p>
        </w:tc>
      </w:tr>
      <w:tr w:rsidR="00281C2F" w:rsidRPr="007D6C82" w14:paraId="2E0B60C9" w14:textId="77777777" w:rsidTr="0086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356B4F3E" w14:textId="77777777" w:rsidR="00281C2F" w:rsidRPr="00AD6406" w:rsidRDefault="00281C2F" w:rsidP="009A032D">
            <w:pPr>
              <w:pStyle w:val="Tabletext"/>
              <w:rPr>
                <w:b w:val="0"/>
              </w:rPr>
            </w:pPr>
            <w:r w:rsidRPr="00AD6406">
              <w:t>Discharge planning</w:t>
            </w:r>
          </w:p>
        </w:tc>
        <w:tc>
          <w:tcPr>
            <w:tcW w:w="6971" w:type="dxa"/>
            <w:shd w:val="clear" w:color="auto" w:fill="DBE5F1" w:themeFill="accent1" w:themeFillTint="33"/>
          </w:tcPr>
          <w:p w14:paraId="70CBD496" w14:textId="77777777" w:rsidR="00281C2F" w:rsidRPr="007D6C82"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7D6C82">
              <w:t xml:space="preserve">A </w:t>
            </w:r>
            <w:r>
              <w:t>L</w:t>
            </w:r>
            <w:r w:rsidRPr="007D6C82">
              <w:t xml:space="preserve">evel </w:t>
            </w:r>
            <w:r>
              <w:t>1</w:t>
            </w:r>
            <w:r w:rsidRPr="007D6C82">
              <w:t xml:space="preserve"> service: </w:t>
            </w:r>
          </w:p>
          <w:p w14:paraId="56A7813E" w14:textId="77777777" w:rsidR="00281C2F" w:rsidRPr="00F851E0"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rPr>
                <w:szCs w:val="18"/>
              </w:rPr>
            </w:pPr>
            <w:r>
              <w:t>p</w:t>
            </w:r>
            <w:r w:rsidRPr="63B58C0A">
              <w:t xml:space="preserve">rovides patients with post-procedural advice </w:t>
            </w:r>
            <w:r>
              <w:t>about</w:t>
            </w:r>
            <w:r w:rsidRPr="63B58C0A">
              <w:t xml:space="preserve"> the warning signs of deterioration and potential complications</w:t>
            </w:r>
            <w:r>
              <w:t>,</w:t>
            </w:r>
            <w:r w:rsidRPr="63B58C0A">
              <w:t xml:space="preserve"> and</w:t>
            </w:r>
            <w:r>
              <w:t xml:space="preserve"> what</w:t>
            </w:r>
            <w:r w:rsidRPr="63B58C0A">
              <w:t xml:space="preserve"> action </w:t>
            </w:r>
            <w:r>
              <w:t xml:space="preserve">to take </w:t>
            </w:r>
            <w:r w:rsidRPr="63B58C0A">
              <w:t xml:space="preserve">if </w:t>
            </w:r>
            <w:r>
              <w:t xml:space="preserve">they </w:t>
            </w:r>
            <w:r w:rsidRPr="63B58C0A">
              <w:t>occur, following the procedure</w:t>
            </w:r>
          </w:p>
          <w:p w14:paraId="73160003" w14:textId="77777777" w:rsidR="00281C2F" w:rsidRPr="00DF4685"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rPr>
                <w:szCs w:val="18"/>
              </w:rPr>
            </w:pPr>
            <w:r>
              <w:t>a</w:t>
            </w:r>
            <w:r w:rsidRPr="63B58C0A">
              <w:t xml:space="preserve">rranges follow-up care to be provided by </w:t>
            </w:r>
            <w:r>
              <w:t xml:space="preserve">a </w:t>
            </w:r>
            <w:r w:rsidRPr="63B58C0A">
              <w:t>GP or other primary care provider</w:t>
            </w:r>
            <w:r>
              <w:t>,</w:t>
            </w:r>
            <w:r w:rsidRPr="63B58C0A">
              <w:t xml:space="preserve"> where appropriate</w:t>
            </w:r>
            <w:r>
              <w:t>.</w:t>
            </w:r>
          </w:p>
        </w:tc>
      </w:tr>
    </w:tbl>
    <w:p w14:paraId="058CD5DE" w14:textId="77777777" w:rsidR="00281C2F" w:rsidRDefault="00281C2F" w:rsidP="00281C2F">
      <w:pPr>
        <w:pStyle w:val="Heading3"/>
      </w:pPr>
      <w:r>
        <w:t>Clinical workforce</w:t>
      </w:r>
    </w:p>
    <w:p w14:paraId="06F546C5" w14:textId="6F465297" w:rsidR="00281C2F" w:rsidRPr="007C40B8" w:rsidRDefault="0022729A" w:rsidP="00281C2F">
      <w:pPr>
        <w:pStyle w:val="Body"/>
      </w:pPr>
      <w:r>
        <w:t>This section</w:t>
      </w:r>
      <w:r w:rsidR="00281C2F">
        <w:t xml:space="preserve"> outlines the roles and responsibilities for the clinical workforce in Level 1 perioperative services.</w:t>
      </w:r>
    </w:p>
    <w:tbl>
      <w:tblPr>
        <w:tblStyle w:val="GridTable4-Accent6"/>
        <w:tblW w:w="9370" w:type="dxa"/>
        <w:tblBorders>
          <w:top w:val="none" w:sz="0" w:space="0" w:color="auto"/>
          <w:left w:val="none" w:sz="0" w:space="0" w:color="auto"/>
          <w:bottom w:val="single" w:sz="4" w:space="0" w:color="201547"/>
          <w:right w:val="none" w:sz="0" w:space="0" w:color="auto"/>
          <w:insideH w:val="none" w:sz="0" w:space="0" w:color="auto"/>
          <w:insideV w:val="single" w:sz="4" w:space="0" w:color="201547"/>
        </w:tblBorders>
        <w:tblLook w:val="04A0" w:firstRow="1" w:lastRow="0" w:firstColumn="1" w:lastColumn="0" w:noHBand="0" w:noVBand="1"/>
      </w:tblPr>
      <w:tblGrid>
        <w:gridCol w:w="2267"/>
        <w:gridCol w:w="7103"/>
      </w:tblGrid>
      <w:tr w:rsidR="001A32E2" w:rsidRPr="001A32E2" w14:paraId="618FD46B" w14:textId="77777777" w:rsidTr="00866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7" w:type="dxa"/>
            <w:shd w:val="clear" w:color="auto" w:fill="201547"/>
          </w:tcPr>
          <w:p w14:paraId="04C0CFCA" w14:textId="630A0D30" w:rsidR="00281C2F" w:rsidRPr="001A32E2" w:rsidRDefault="00281C2F" w:rsidP="009A032D">
            <w:pPr>
              <w:pStyle w:val="Tablecolhead"/>
              <w:rPr>
                <w:color w:val="FFFFFF" w:themeColor="background1"/>
              </w:rPr>
            </w:pPr>
            <w:r w:rsidRPr="001A32E2">
              <w:rPr>
                <w:b/>
                <w:color w:val="FFFFFF" w:themeColor="background1"/>
              </w:rPr>
              <w:t>Level 1 service role</w:t>
            </w:r>
          </w:p>
        </w:tc>
        <w:tc>
          <w:tcPr>
            <w:tcW w:w="7103" w:type="dxa"/>
            <w:shd w:val="clear" w:color="auto" w:fill="201547"/>
          </w:tcPr>
          <w:p w14:paraId="73F0378B" w14:textId="77777777" w:rsidR="00281C2F" w:rsidRPr="001A32E2" w:rsidRDefault="00281C2F" w:rsidP="009A032D">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rPr>
            </w:pPr>
            <w:r w:rsidRPr="001A32E2">
              <w:rPr>
                <w:b/>
                <w:color w:val="FFFFFF" w:themeColor="background1"/>
              </w:rPr>
              <w:t>Requirements</w:t>
            </w:r>
          </w:p>
        </w:tc>
      </w:tr>
      <w:tr w:rsidR="00281C2F" w:rsidRPr="00A63ED1" w14:paraId="591DB2A7" w14:textId="77777777" w:rsidTr="0086685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0" w:type="dxa"/>
            <w:shd w:val="clear" w:color="auto" w:fill="DBE5F1" w:themeFill="accent1" w:themeFillTint="33"/>
          </w:tcPr>
          <w:p w14:paraId="65D4EFB3" w14:textId="77777777" w:rsidR="00281C2F" w:rsidRPr="00E1136E" w:rsidRDefault="00281C2F" w:rsidP="009A032D">
            <w:pPr>
              <w:pStyle w:val="Tabletext"/>
              <w:rPr>
                <w:b w:val="0"/>
                <w:bCs w:val="0"/>
              </w:rPr>
            </w:pPr>
            <w:r w:rsidRPr="00116E30">
              <w:t>Emergency response</w:t>
            </w:r>
          </w:p>
        </w:tc>
        <w:tc>
          <w:tcPr>
            <w:tcW w:w="0" w:type="dxa"/>
            <w:shd w:val="clear" w:color="auto" w:fill="DBE5F1" w:themeFill="accent1" w:themeFillTint="33"/>
          </w:tcPr>
          <w:p w14:paraId="34FC9645" w14:textId="77777777" w:rsidR="00281C2F" w:rsidRPr="00116E30"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A r</w:t>
            </w:r>
            <w:r w:rsidRPr="00116E30">
              <w:t xml:space="preserve">egistered health practitioner with competency in </w:t>
            </w:r>
            <w:r>
              <w:t>basic</w:t>
            </w:r>
            <w:r w:rsidRPr="00116E30">
              <w:t xml:space="preserve"> life support </w:t>
            </w:r>
            <w:r>
              <w:t>is onsite</w:t>
            </w:r>
            <w:r w:rsidRPr="00116E30">
              <w:t xml:space="preserve"> during service operating hours</w:t>
            </w:r>
            <w:r>
              <w:t xml:space="preserve"> </w:t>
            </w:r>
            <w:r w:rsidRPr="00116E30">
              <w:t xml:space="preserve">to administer medicines under protocols </w:t>
            </w:r>
            <w:r>
              <w:t xml:space="preserve">and </w:t>
            </w:r>
            <w:r w:rsidRPr="00116E30">
              <w:t>to stabilise a patient</w:t>
            </w:r>
            <w:r>
              <w:t>,</w:t>
            </w:r>
            <w:r w:rsidRPr="00116E30">
              <w:t xml:space="preserve"> prior to transfer out or retrieval</w:t>
            </w:r>
            <w:r>
              <w:t>.</w:t>
            </w:r>
          </w:p>
        </w:tc>
      </w:tr>
      <w:tr w:rsidR="00281C2F" w:rsidRPr="00A63ED1" w14:paraId="05AF4E7D" w14:textId="77777777" w:rsidTr="0086685E">
        <w:trPr>
          <w:trHeight w:val="307"/>
        </w:trPr>
        <w:tc>
          <w:tcPr>
            <w:cnfStyle w:val="001000000000" w:firstRow="0" w:lastRow="0" w:firstColumn="1" w:lastColumn="0" w:oddVBand="0" w:evenVBand="0" w:oddHBand="0" w:evenHBand="0" w:firstRowFirstColumn="0" w:firstRowLastColumn="0" w:lastRowFirstColumn="0" w:lastRowLastColumn="0"/>
            <w:tcW w:w="0" w:type="dxa"/>
          </w:tcPr>
          <w:p w14:paraId="635B857C" w14:textId="77777777" w:rsidR="00281C2F" w:rsidRPr="00A63ED1" w:rsidRDefault="00281C2F" w:rsidP="009A032D">
            <w:pPr>
              <w:pStyle w:val="Tabletext"/>
              <w:rPr>
                <w:b w:val="0"/>
                <w:bCs w:val="0"/>
              </w:rPr>
            </w:pPr>
            <w:r>
              <w:t xml:space="preserve">Surgery/ proceduralist </w:t>
            </w:r>
          </w:p>
        </w:tc>
        <w:tc>
          <w:tcPr>
            <w:tcW w:w="0" w:type="dxa"/>
          </w:tcPr>
          <w:p w14:paraId="491CD790" w14:textId="62EB36B0" w:rsidR="00281C2F" w:rsidRPr="00B02AB5" w:rsidRDefault="00281C2F" w:rsidP="009A032D">
            <w:pPr>
              <w:pStyle w:val="Tabletext"/>
              <w:cnfStyle w:val="000000000000" w:firstRow="0" w:lastRow="0" w:firstColumn="0" w:lastColumn="0" w:oddVBand="0" w:evenVBand="0" w:oddHBand="0" w:evenHBand="0" w:firstRowFirstColumn="0" w:firstRowLastColumn="0" w:lastRowFirstColumn="0" w:lastRowLastColumn="0"/>
              <w:rPr>
                <w:rFonts w:cs="Arial"/>
              </w:rPr>
            </w:pPr>
            <w:r>
              <w:t xml:space="preserve">Procedures and local anaesthesia are undertaken by a medical practitioner or other qualified registered health practitioner, who is </w:t>
            </w:r>
            <w:r w:rsidRPr="24AD46F5">
              <w:rPr>
                <w:rFonts w:cs="Arial"/>
              </w:rPr>
              <w:t xml:space="preserve">credentialed at the health service for minor procedures, including local anaesthetic and </w:t>
            </w:r>
            <w:r w:rsidR="63C79F94" w:rsidRPr="24AD46F5">
              <w:rPr>
                <w:rFonts w:cs="Arial"/>
              </w:rPr>
              <w:t xml:space="preserve">simple </w:t>
            </w:r>
            <w:r w:rsidRPr="24AD46F5">
              <w:rPr>
                <w:rFonts w:cs="Arial"/>
              </w:rPr>
              <w:t>regional blocks.</w:t>
            </w:r>
          </w:p>
          <w:p w14:paraId="72869044" w14:textId="77777777" w:rsidR="00281C2F" w:rsidRPr="00B02AB5"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B02AB5">
              <w:t>If using local anaesthetic, the proceduralist has competence in:</w:t>
            </w:r>
          </w:p>
          <w:p w14:paraId="17F25330" w14:textId="792BD3F3" w:rsidR="00281C2F" w:rsidRPr="00B02AB5"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00B02AB5">
              <w:t xml:space="preserve">local anaesthetic procedures and management, including </w:t>
            </w:r>
            <w:r w:rsidR="00D15B99">
              <w:t>infection control</w:t>
            </w:r>
            <w:r w:rsidR="00A879EA">
              <w:t xml:space="preserve">, </w:t>
            </w:r>
            <w:r w:rsidRPr="00B02AB5">
              <w:t xml:space="preserve">toxicity and allergic reactions. </w:t>
            </w:r>
          </w:p>
          <w:p w14:paraId="466E047F" w14:textId="77777777" w:rsidR="00281C2F" w:rsidRPr="001A2BF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B02AB5">
              <w:t>For paediatric services, procedures and local anaesthesia are undertaken by a registered medical practitioner or other qualified registered health practitioner, credentialed at the health service for minor procedures, including the use of local anaesthetic.</w:t>
            </w:r>
          </w:p>
        </w:tc>
      </w:tr>
    </w:tbl>
    <w:p w14:paraId="3162B66D" w14:textId="77777777" w:rsidR="00281C2F" w:rsidRDefault="00281C2F" w:rsidP="00281C2F">
      <w:pPr>
        <w:pStyle w:val="Heading3"/>
      </w:pPr>
      <w:r>
        <w:t>Clinical support services</w:t>
      </w:r>
    </w:p>
    <w:p w14:paraId="098BB6E8" w14:textId="43220169" w:rsidR="00593A85" w:rsidRPr="00593A85" w:rsidRDefault="00593A85" w:rsidP="00C7238E">
      <w:pPr>
        <w:pStyle w:val="Body"/>
      </w:pPr>
      <w:r>
        <w:t xml:space="preserve">This section outlines the requirements for clinical support services in Level 1 perioperative services. </w:t>
      </w:r>
    </w:p>
    <w:tbl>
      <w:tblPr>
        <w:tblStyle w:val="GridTable4-Accent6"/>
        <w:tblW w:w="9072" w:type="dxa"/>
        <w:tblBorders>
          <w:top w:val="none" w:sz="0" w:space="0" w:color="auto"/>
          <w:left w:val="none" w:sz="0" w:space="0" w:color="auto"/>
          <w:bottom w:val="single" w:sz="4" w:space="0" w:color="201547"/>
          <w:right w:val="none" w:sz="0" w:space="0" w:color="auto"/>
          <w:insideH w:val="none" w:sz="0" w:space="0" w:color="auto"/>
          <w:insideV w:val="single" w:sz="4" w:space="0" w:color="201547"/>
        </w:tblBorders>
        <w:tblLook w:val="04A0" w:firstRow="1" w:lastRow="0" w:firstColumn="1" w:lastColumn="0" w:noHBand="0" w:noVBand="1"/>
      </w:tblPr>
      <w:tblGrid>
        <w:gridCol w:w="2689"/>
        <w:gridCol w:w="6383"/>
      </w:tblGrid>
      <w:tr w:rsidR="001A32E2" w:rsidRPr="001A32E2" w14:paraId="7E947E36" w14:textId="77777777" w:rsidTr="00866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shd w:val="clear" w:color="auto" w:fill="201547"/>
          </w:tcPr>
          <w:p w14:paraId="657CF4E6" w14:textId="5E264AC6" w:rsidR="00281C2F" w:rsidRPr="001A32E2" w:rsidRDefault="00281C2F" w:rsidP="009A032D">
            <w:pPr>
              <w:pStyle w:val="Tablecolhead"/>
              <w:rPr>
                <w:b/>
                <w:bCs w:val="0"/>
                <w:color w:val="FFFFFF" w:themeColor="background1"/>
              </w:rPr>
            </w:pPr>
            <w:r w:rsidRPr="001A32E2">
              <w:rPr>
                <w:b/>
                <w:bCs w:val="0"/>
                <w:color w:val="FFFFFF" w:themeColor="background1"/>
              </w:rPr>
              <w:t xml:space="preserve">Level 1 service </w:t>
            </w:r>
          </w:p>
        </w:tc>
        <w:tc>
          <w:tcPr>
            <w:tcW w:w="6383" w:type="dxa"/>
            <w:shd w:val="clear" w:color="auto" w:fill="201547"/>
          </w:tcPr>
          <w:p w14:paraId="05CC02CF" w14:textId="77777777" w:rsidR="00281C2F" w:rsidRPr="001A32E2" w:rsidRDefault="00281C2F" w:rsidP="009A032D">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1A32E2">
              <w:rPr>
                <w:b/>
                <w:bCs w:val="0"/>
                <w:color w:val="FFFFFF" w:themeColor="background1"/>
              </w:rPr>
              <w:t>Requirements</w:t>
            </w:r>
          </w:p>
        </w:tc>
      </w:tr>
      <w:tr w:rsidR="00281C2F" w:rsidRPr="00A63ED1" w14:paraId="6529E034" w14:textId="77777777" w:rsidTr="0086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DBE5F1" w:themeFill="accent1" w:themeFillTint="33"/>
          </w:tcPr>
          <w:p w14:paraId="21BAD49B" w14:textId="77777777" w:rsidR="00281C2F" w:rsidRPr="007C0BB1" w:rsidRDefault="00281C2F" w:rsidP="009A032D">
            <w:pPr>
              <w:pStyle w:val="Tabletext"/>
              <w:rPr>
                <w:b w:val="0"/>
                <w:bCs w:val="0"/>
              </w:rPr>
            </w:pPr>
            <w:r w:rsidRPr="007C0BB1">
              <w:t>Emergency response</w:t>
            </w:r>
          </w:p>
        </w:tc>
        <w:tc>
          <w:tcPr>
            <w:tcW w:w="6383" w:type="dxa"/>
            <w:shd w:val="clear" w:color="auto" w:fill="DBE5F1" w:themeFill="accent1" w:themeFillTint="33"/>
          </w:tcPr>
          <w:p w14:paraId="177B02DF" w14:textId="5859A672" w:rsidR="00281C2F" w:rsidRPr="00921BDD" w:rsidDel="00A27208"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D6520D">
              <w:t>Recognition</w:t>
            </w:r>
            <w:r w:rsidRPr="00D6520D">
              <w:rPr>
                <w:vertAlign w:val="superscript"/>
              </w:rPr>
              <w:footnoteReference w:id="38"/>
            </w:r>
            <w:r w:rsidRPr="00D6520D">
              <w:t xml:space="preserve"> and </w:t>
            </w:r>
            <w:r>
              <w:t xml:space="preserve">a </w:t>
            </w:r>
            <w:r w:rsidRPr="00D6520D">
              <w:t>response system</w:t>
            </w:r>
            <w:r w:rsidRPr="00D6520D">
              <w:rPr>
                <w:vertAlign w:val="superscript"/>
              </w:rPr>
              <w:footnoteReference w:id="39"/>
            </w:r>
            <w:r w:rsidRPr="00192B02">
              <w:rPr>
                <w:vertAlign w:val="superscript"/>
              </w:rPr>
              <w:t>,</w:t>
            </w:r>
            <w:r w:rsidRPr="00D6520D">
              <w:rPr>
                <w:vertAlign w:val="superscript"/>
              </w:rPr>
              <w:footnoteReference w:id="40"/>
            </w:r>
            <w:r w:rsidRPr="00D6520D">
              <w:t xml:space="preserve">, including rapid response (for example, ‘code blue’), </w:t>
            </w:r>
            <w:r>
              <w:t>with</w:t>
            </w:r>
            <w:r w:rsidRPr="00D6520D">
              <w:t xml:space="preserve"> designated roles </w:t>
            </w:r>
            <w:r w:rsidR="00710B90">
              <w:t xml:space="preserve">are </w:t>
            </w:r>
            <w:r w:rsidRPr="00D6520D">
              <w:t xml:space="preserve">onsite during service hours to respond immediately to </w:t>
            </w:r>
            <w:r>
              <w:t>clinical</w:t>
            </w:r>
            <w:r w:rsidRPr="00D6520D">
              <w:t xml:space="preserve"> emergencies</w:t>
            </w:r>
            <w:r>
              <w:t>,</w:t>
            </w:r>
            <w:r w:rsidRPr="00D6520D">
              <w:t xml:space="preserve"> in line with health service </w:t>
            </w:r>
            <w:r>
              <w:t xml:space="preserve">campus </w:t>
            </w:r>
            <w:r w:rsidRPr="00D6520D">
              <w:t xml:space="preserve">clinical protocols. </w:t>
            </w:r>
          </w:p>
        </w:tc>
      </w:tr>
      <w:tr w:rsidR="00281C2F" w:rsidRPr="00A63ED1" w14:paraId="1FDB62EE" w14:textId="77777777" w:rsidTr="0086685E">
        <w:tc>
          <w:tcPr>
            <w:cnfStyle w:val="001000000000" w:firstRow="0" w:lastRow="0" w:firstColumn="1" w:lastColumn="0" w:oddVBand="0" w:evenVBand="0" w:oddHBand="0" w:evenHBand="0" w:firstRowFirstColumn="0" w:firstRowLastColumn="0" w:lastRowFirstColumn="0" w:lastRowLastColumn="0"/>
            <w:tcW w:w="2689" w:type="dxa"/>
          </w:tcPr>
          <w:p w14:paraId="128B17C4" w14:textId="77777777" w:rsidR="00281C2F" w:rsidRPr="007C0BB1" w:rsidRDefault="00281C2F" w:rsidP="009A032D">
            <w:pPr>
              <w:pStyle w:val="Tabletext"/>
              <w:rPr>
                <w:b w:val="0"/>
              </w:rPr>
            </w:pPr>
            <w:r w:rsidRPr="007C0BB1">
              <w:t>Critical care</w:t>
            </w:r>
          </w:p>
        </w:tc>
        <w:tc>
          <w:tcPr>
            <w:tcW w:w="6383" w:type="dxa"/>
          </w:tcPr>
          <w:p w14:paraId="7D1B6AC1" w14:textId="65FBB713" w:rsidR="00281C2F" w:rsidRPr="009A0C24" w:rsidRDefault="00710B90" w:rsidP="009A032D">
            <w:pPr>
              <w:pStyle w:val="Tabletext"/>
              <w:cnfStyle w:val="000000000000" w:firstRow="0" w:lastRow="0" w:firstColumn="0" w:lastColumn="0" w:oddVBand="0" w:evenVBand="0" w:oddHBand="0" w:evenHBand="0" w:firstRowFirstColumn="0" w:firstRowLastColumn="0" w:lastRowFirstColumn="0" w:lastRowLastColumn="0"/>
            </w:pPr>
            <w:r>
              <w:t>There is p</w:t>
            </w:r>
            <w:r w:rsidR="00281C2F" w:rsidRPr="00636346">
              <w:t xml:space="preserve">rovision of an immediate response to assess and commence management of a deteriorating patient. </w:t>
            </w:r>
          </w:p>
        </w:tc>
      </w:tr>
      <w:tr w:rsidR="00281C2F" w:rsidRPr="00A63ED1" w14:paraId="192FB906" w14:textId="77777777" w:rsidTr="0086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DBE5F1" w:themeFill="accent1" w:themeFillTint="33"/>
          </w:tcPr>
          <w:p w14:paraId="3E6EFED5" w14:textId="77777777" w:rsidR="00281C2F" w:rsidRPr="00A63ED1" w:rsidRDefault="00281C2F" w:rsidP="009A032D">
            <w:pPr>
              <w:pStyle w:val="Tabletext"/>
              <w:rPr>
                <w:b w:val="0"/>
                <w:bCs w:val="0"/>
              </w:rPr>
            </w:pPr>
            <w:r w:rsidRPr="007C0BB1">
              <w:rPr>
                <w:rFonts w:eastAsia="MS Mincho"/>
              </w:rPr>
              <w:t>Pathology and blood/blood products</w:t>
            </w:r>
            <w:r w:rsidRPr="0005497B">
              <w:rPr>
                <w:rFonts w:eastAsia="MS Mincho"/>
              </w:rPr>
              <w:t xml:space="preserve"> </w:t>
            </w:r>
          </w:p>
        </w:tc>
        <w:tc>
          <w:tcPr>
            <w:tcW w:w="6383" w:type="dxa"/>
            <w:shd w:val="clear" w:color="auto" w:fill="DBE5F1" w:themeFill="accent1" w:themeFillTint="33"/>
          </w:tcPr>
          <w:p w14:paraId="4332F7F6" w14:textId="35E5C71E" w:rsidR="00281C2F" w:rsidRPr="002A5587"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63B58C0A">
              <w:t xml:space="preserve">Blood and specimen collection and processing </w:t>
            </w:r>
            <w:r>
              <w:t xml:space="preserve">is </w:t>
            </w:r>
            <w:r w:rsidRPr="63B58C0A">
              <w:t>accessible (processing may be offsite).</w:t>
            </w:r>
          </w:p>
          <w:p w14:paraId="155F7641" w14:textId="2EC89231" w:rsidR="00281C2F" w:rsidRPr="002A5587"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63B58C0A">
              <w:t xml:space="preserve">Guidelines for referral pathways and protocols </w:t>
            </w:r>
            <w:r w:rsidR="00710B90">
              <w:t xml:space="preserve">are in place </w:t>
            </w:r>
            <w:r w:rsidRPr="63B58C0A">
              <w:t>with an accredited pathology facility</w:t>
            </w:r>
            <w:r w:rsidRPr="63B58C0A">
              <w:rPr>
                <w:rStyle w:val="FootnoteReference"/>
                <w:rFonts w:cs="Arial"/>
                <w:sz w:val="20"/>
              </w:rPr>
              <w:footnoteReference w:id="41"/>
            </w:r>
            <w:r w:rsidRPr="63B58C0A">
              <w:t>.</w:t>
            </w:r>
          </w:p>
          <w:p w14:paraId="0A4865F2" w14:textId="77777777" w:rsidR="00281C2F" w:rsidRPr="002A5587"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63B58C0A">
              <w:t>Provision of blood and blood products</w:t>
            </w:r>
            <w:r>
              <w:t>,</w:t>
            </w:r>
            <w:r w:rsidRPr="63B58C0A">
              <w:t xml:space="preserve"> in accordance with Victoria’s agreement </w:t>
            </w:r>
            <w:r>
              <w:t>with</w:t>
            </w:r>
            <w:r w:rsidRPr="63B58C0A">
              <w:t>:</w:t>
            </w:r>
          </w:p>
          <w:p w14:paraId="167BAF96" w14:textId="77777777" w:rsidR="00281C2F" w:rsidRPr="002A5587"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t</w:t>
            </w:r>
            <w:r w:rsidRPr="002A5587">
              <w:t>he</w:t>
            </w:r>
            <w:r>
              <w:t xml:space="preserve"> B</w:t>
            </w:r>
            <w:r w:rsidRPr="00E1136E">
              <w:t xml:space="preserve">lood and blood products charter </w:t>
            </w:r>
            <w:r>
              <w:t>–</w:t>
            </w:r>
            <w:r w:rsidRPr="00E1136E">
              <w:t xml:space="preserve"> hospitals</w:t>
            </w:r>
            <w:r w:rsidRPr="002A5587">
              <w:t xml:space="preserve"> </w:t>
            </w:r>
          </w:p>
          <w:p w14:paraId="220BC996" w14:textId="1A5CF923" w:rsidR="00281C2F" w:rsidRPr="002A5587"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t</w:t>
            </w:r>
            <w:r w:rsidRPr="37488AAE">
              <w:t xml:space="preserve">he </w:t>
            </w:r>
            <w:r>
              <w:t>B</w:t>
            </w:r>
            <w:r w:rsidRPr="00E1136E">
              <w:t xml:space="preserve">lood and blood products charter </w:t>
            </w:r>
            <w:r>
              <w:t>–</w:t>
            </w:r>
            <w:r w:rsidRPr="00E1136E">
              <w:t xml:space="preserve"> </w:t>
            </w:r>
            <w:r w:rsidR="00710B90">
              <w:t>p</w:t>
            </w:r>
            <w:r w:rsidRPr="00E1136E">
              <w:t>athology lab</w:t>
            </w:r>
            <w:r>
              <w:t>oratorie</w:t>
            </w:r>
            <w:r w:rsidRPr="00E1136E">
              <w:t>s</w:t>
            </w:r>
            <w:r w:rsidRPr="37488AAE">
              <w:t xml:space="preserve"> </w:t>
            </w:r>
          </w:p>
          <w:p w14:paraId="39414CE5" w14:textId="78655905" w:rsidR="00281C2F" w:rsidRPr="00981249" w:rsidDel="00A27208"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37488AAE">
              <w:t xml:space="preserve">Standard 7 of the </w:t>
            </w:r>
            <w:hyperlink r:id="rId42" w:history="1">
              <w:r w:rsidRPr="00053CDC">
                <w:rPr>
                  <w:rStyle w:val="Hyperlink"/>
                </w:rPr>
                <w:t>NSQHS Standards: Blood and blood products</w:t>
              </w:r>
            </w:hyperlink>
            <w:r w:rsidRPr="37488AAE">
              <w:rPr>
                <w:rStyle w:val="FootnoteReference"/>
                <w:sz w:val="20"/>
              </w:rPr>
              <w:footnoteReference w:id="42"/>
            </w:r>
            <w:r w:rsidRPr="37488AAE">
              <w:t>.</w:t>
            </w:r>
          </w:p>
        </w:tc>
      </w:tr>
      <w:tr w:rsidR="00281C2F" w:rsidRPr="00A63ED1" w14:paraId="318117C7" w14:textId="77777777" w:rsidTr="0086685E">
        <w:tc>
          <w:tcPr>
            <w:cnfStyle w:val="001000000000" w:firstRow="0" w:lastRow="0" w:firstColumn="1" w:lastColumn="0" w:oddVBand="0" w:evenVBand="0" w:oddHBand="0" w:evenHBand="0" w:firstRowFirstColumn="0" w:firstRowLastColumn="0" w:lastRowFirstColumn="0" w:lastRowLastColumn="0"/>
            <w:tcW w:w="2689" w:type="dxa"/>
          </w:tcPr>
          <w:p w14:paraId="56D9C7C3" w14:textId="77777777" w:rsidR="00281C2F" w:rsidRPr="00A63ED1" w:rsidRDefault="00281C2F" w:rsidP="009A032D">
            <w:pPr>
              <w:pStyle w:val="Tabletext"/>
              <w:rPr>
                <w:b w:val="0"/>
                <w:bCs w:val="0"/>
              </w:rPr>
            </w:pPr>
            <w:r w:rsidRPr="0005497B">
              <w:rPr>
                <w:rFonts w:eastAsia="MS Mincho"/>
              </w:rPr>
              <w:t>Pharmacy</w:t>
            </w:r>
            <w:r>
              <w:rPr>
                <w:rFonts w:eastAsia="MS Mincho"/>
              </w:rPr>
              <w:t xml:space="preserve"> and medicines management</w:t>
            </w:r>
          </w:p>
        </w:tc>
        <w:tc>
          <w:tcPr>
            <w:tcW w:w="6383" w:type="dxa"/>
          </w:tcPr>
          <w:p w14:paraId="7BD16099" w14:textId="47BE313F"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63B58C0A">
              <w:t xml:space="preserve">Access to local </w:t>
            </w:r>
            <w:r w:rsidRPr="00B02AB5">
              <w:t>anaesthetic</w:t>
            </w:r>
            <w:r w:rsidRPr="63B58C0A">
              <w:t xml:space="preserve"> agents onsite </w:t>
            </w:r>
            <w:r w:rsidR="00710B90">
              <w:t xml:space="preserve">is provided </w:t>
            </w:r>
            <w:r w:rsidRPr="63B58C0A">
              <w:t>for planned and unplanned procedures.</w:t>
            </w:r>
          </w:p>
          <w:p w14:paraId="2A73C8D7" w14:textId="77777777" w:rsidR="00281C2F" w:rsidRPr="00751F5E"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63B58C0A">
              <w:t>Emergency medications are onsite to respond to a deteriorating patient.</w:t>
            </w:r>
          </w:p>
          <w:p w14:paraId="36ECB24D" w14:textId="606DE8DC" w:rsidR="00281C2F" w:rsidRPr="00A63ED1" w:rsidDel="00A27208"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63B58C0A">
              <w:t>Medication for procedure</w:t>
            </w:r>
            <w:r>
              <w:t>s</w:t>
            </w:r>
            <w:r w:rsidRPr="63B58C0A">
              <w:t xml:space="preserve"> is available</w:t>
            </w:r>
            <w:r>
              <w:t>,</w:t>
            </w:r>
            <w:r w:rsidRPr="63B58C0A">
              <w:t xml:space="preserve"> in accordance with the </w:t>
            </w:r>
            <w:hyperlink r:id="rId43" w:history="1">
              <w:r w:rsidRPr="00A12824">
                <w:rPr>
                  <w:rStyle w:val="Hyperlink"/>
                </w:rPr>
                <w:t>NSQHS Standards criteria 4.1, 4.4, 4.7 and 4.8</w:t>
              </w:r>
            </w:hyperlink>
            <w:r w:rsidRPr="63B58C0A">
              <w:rPr>
                <w:rStyle w:val="FootnoteReference"/>
                <w:sz w:val="20"/>
              </w:rPr>
              <w:footnoteReference w:id="43"/>
            </w:r>
            <w:r w:rsidRPr="00751F5E">
              <w:t>.</w:t>
            </w:r>
          </w:p>
        </w:tc>
      </w:tr>
      <w:tr w:rsidR="00281C2F" w:rsidRPr="00A63ED1" w14:paraId="487B4120" w14:textId="77777777" w:rsidTr="0086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DBE5F1" w:themeFill="accent1" w:themeFillTint="33"/>
          </w:tcPr>
          <w:p w14:paraId="407A0509" w14:textId="77777777" w:rsidR="00281C2F" w:rsidRPr="00AE7059" w:rsidRDefault="00281C2F" w:rsidP="009A032D">
            <w:pPr>
              <w:pStyle w:val="Tabletext"/>
              <w:rPr>
                <w:b w:val="0"/>
              </w:rPr>
            </w:pPr>
            <w:r w:rsidRPr="00AE7059">
              <w:t>Sociocultural support</w:t>
            </w:r>
          </w:p>
        </w:tc>
        <w:tc>
          <w:tcPr>
            <w:tcW w:w="6383" w:type="dxa"/>
            <w:shd w:val="clear" w:color="auto" w:fill="DBE5F1" w:themeFill="accent1" w:themeFillTint="33"/>
          </w:tcPr>
          <w:p w14:paraId="241FF8A6" w14:textId="77777777" w:rsidR="00281C2F" w:rsidRPr="004C4463"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63B58C0A">
              <w:t xml:space="preserve">Guidelines are established for referral to AHLO services. </w:t>
            </w:r>
          </w:p>
          <w:p w14:paraId="7992ABA1" w14:textId="77777777" w:rsidR="00281C2F" w:rsidRPr="004C4463"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63B58C0A">
              <w:t>Where organisational AHLO services are unavailable, there is an established relationship</w:t>
            </w:r>
            <w:r>
              <w:t xml:space="preserve"> and </w:t>
            </w:r>
            <w:r w:rsidRPr="63B58C0A">
              <w:t xml:space="preserve">engagement with </w:t>
            </w:r>
            <w:r>
              <w:t xml:space="preserve">a </w:t>
            </w:r>
            <w:r w:rsidRPr="63B58C0A">
              <w:t xml:space="preserve">partner </w:t>
            </w:r>
            <w:r>
              <w:t>h</w:t>
            </w:r>
            <w:r w:rsidRPr="63B58C0A">
              <w:t xml:space="preserve">ealth </w:t>
            </w:r>
            <w:r>
              <w:t>s</w:t>
            </w:r>
            <w:r w:rsidRPr="63B58C0A">
              <w:t>ervice AHLO and local ACCO for resources and referral</w:t>
            </w:r>
            <w:r>
              <w:t xml:space="preserve">, and </w:t>
            </w:r>
            <w:r w:rsidRPr="63B58C0A">
              <w:t>continuum of care support services</w:t>
            </w:r>
            <w:r>
              <w:t>,</w:t>
            </w:r>
            <w:r w:rsidRPr="63B58C0A">
              <w:t xml:space="preserve"> as required. </w:t>
            </w:r>
          </w:p>
          <w:p w14:paraId="0ACF2997" w14:textId="77777777" w:rsidR="00281C2F" w:rsidRPr="004C4463"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63B58C0A">
              <w:t xml:space="preserve">AHLO services are embedded within teams across </w:t>
            </w:r>
            <w:r>
              <w:t xml:space="preserve">the </w:t>
            </w:r>
            <w:r w:rsidRPr="63B58C0A">
              <w:t>patient journey</w:t>
            </w:r>
            <w:r>
              <w:t xml:space="preserve"> and </w:t>
            </w:r>
            <w:r w:rsidRPr="63B58C0A">
              <w:t>continuum of care – pre-admission, admission/acute care and discharge planning.</w:t>
            </w:r>
          </w:p>
        </w:tc>
      </w:tr>
    </w:tbl>
    <w:p w14:paraId="3B7E361A" w14:textId="77777777" w:rsidR="00281C2F" w:rsidRDefault="00281C2F" w:rsidP="00281C2F">
      <w:pPr>
        <w:pStyle w:val="Heading3"/>
      </w:pPr>
      <w:r>
        <w:t>Equipment and infrastructure</w:t>
      </w:r>
    </w:p>
    <w:p w14:paraId="196F575A" w14:textId="1B2E5E08" w:rsidR="00281C2F" w:rsidRPr="007C40B8" w:rsidRDefault="0022729A" w:rsidP="00F81828">
      <w:pPr>
        <w:pStyle w:val="Body"/>
      </w:pPr>
      <w:r>
        <w:t xml:space="preserve">This section </w:t>
      </w:r>
      <w:r w:rsidR="00281C2F">
        <w:t>outlines the requirements for equipment and infrastructure in Level 1 perioperative services.</w:t>
      </w:r>
    </w:p>
    <w:tbl>
      <w:tblPr>
        <w:tblStyle w:val="GridTable4-Accent6"/>
        <w:tblW w:w="9209" w:type="dxa"/>
        <w:tblBorders>
          <w:top w:val="none" w:sz="0" w:space="0" w:color="auto"/>
          <w:left w:val="none" w:sz="0" w:space="0" w:color="auto"/>
          <w:bottom w:val="single" w:sz="4" w:space="0" w:color="201547"/>
          <w:right w:val="none" w:sz="0" w:space="0" w:color="auto"/>
          <w:insideH w:val="none" w:sz="0" w:space="0" w:color="auto"/>
          <w:insideV w:val="single" w:sz="4" w:space="0" w:color="201547"/>
        </w:tblBorders>
        <w:tblLook w:val="04A0" w:firstRow="1" w:lastRow="0" w:firstColumn="1" w:lastColumn="0" w:noHBand="0" w:noVBand="1"/>
      </w:tblPr>
      <w:tblGrid>
        <w:gridCol w:w="2405"/>
        <w:gridCol w:w="6804"/>
      </w:tblGrid>
      <w:tr w:rsidR="00EA1812" w:rsidRPr="00EA1812" w14:paraId="6407C19C" w14:textId="77777777" w:rsidTr="00866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201547"/>
          </w:tcPr>
          <w:p w14:paraId="5F76CE77" w14:textId="6AD161D6" w:rsidR="00281C2F" w:rsidRPr="00EA1812" w:rsidRDefault="00281C2F" w:rsidP="009A032D">
            <w:pPr>
              <w:pStyle w:val="Tablecolhead"/>
              <w:rPr>
                <w:b/>
                <w:color w:val="FFFFFF" w:themeColor="background1"/>
              </w:rPr>
            </w:pPr>
            <w:r w:rsidRPr="00EA1812">
              <w:rPr>
                <w:b/>
                <w:color w:val="FFFFFF" w:themeColor="background1"/>
              </w:rPr>
              <w:t xml:space="preserve">Level 1 service </w:t>
            </w:r>
          </w:p>
        </w:tc>
        <w:tc>
          <w:tcPr>
            <w:tcW w:w="6804" w:type="dxa"/>
            <w:shd w:val="clear" w:color="auto" w:fill="201547"/>
          </w:tcPr>
          <w:p w14:paraId="6BDBA2F7" w14:textId="77777777" w:rsidR="00281C2F" w:rsidRPr="00EA1812" w:rsidRDefault="00281C2F" w:rsidP="009A032D">
            <w:pPr>
              <w:pStyle w:val="Tablecolhead"/>
              <w:cnfStyle w:val="100000000000" w:firstRow="1" w:lastRow="0" w:firstColumn="0" w:lastColumn="0" w:oddVBand="0" w:evenVBand="0" w:oddHBand="0" w:evenHBand="0" w:firstRowFirstColumn="0" w:firstRowLastColumn="0" w:lastRowFirstColumn="0" w:lastRowLastColumn="0"/>
              <w:rPr>
                <w:b/>
                <w:color w:val="FFFFFF" w:themeColor="background1"/>
              </w:rPr>
            </w:pPr>
            <w:r w:rsidRPr="00EA1812">
              <w:rPr>
                <w:b/>
                <w:color w:val="FFFFFF" w:themeColor="background1"/>
              </w:rPr>
              <w:t>Requirements</w:t>
            </w:r>
          </w:p>
        </w:tc>
      </w:tr>
      <w:tr w:rsidR="00281C2F" w:rsidRPr="00A63ED1" w14:paraId="66B3FC00" w14:textId="77777777" w:rsidTr="0086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189B5C75" w14:textId="77777777" w:rsidR="00281C2F" w:rsidRPr="00E1136E" w:rsidRDefault="00281C2F" w:rsidP="009A032D">
            <w:pPr>
              <w:pStyle w:val="Tabletext"/>
            </w:pPr>
            <w:r w:rsidRPr="00F201E9">
              <w:t>Equipment</w:t>
            </w:r>
          </w:p>
        </w:tc>
        <w:tc>
          <w:tcPr>
            <w:tcW w:w="6804" w:type="dxa"/>
            <w:shd w:val="clear" w:color="auto" w:fill="DBE5F1" w:themeFill="accent1" w:themeFillTint="33"/>
          </w:tcPr>
          <w:p w14:paraId="1B36C5BB" w14:textId="462B38D6" w:rsidR="00281C2F" w:rsidRPr="00981249" w:rsidRDefault="00281C2F" w:rsidP="009A032D">
            <w:pPr>
              <w:pStyle w:val="Tabletext"/>
              <w:cnfStyle w:val="000000100000" w:firstRow="0" w:lastRow="0" w:firstColumn="0" w:lastColumn="0" w:oddVBand="0" w:evenVBand="0" w:oddHBand="1" w:evenHBand="0" w:firstRowFirstColumn="0" w:firstRowLastColumn="0" w:lastRowFirstColumn="0" w:lastRowLastColumn="0"/>
              <w:rPr>
                <w:szCs w:val="18"/>
              </w:rPr>
            </w:pPr>
            <w:r w:rsidRPr="63B58C0A">
              <w:t xml:space="preserve">Equipment </w:t>
            </w:r>
            <w:r>
              <w:t xml:space="preserve">is </w:t>
            </w:r>
            <w:r w:rsidRPr="63B58C0A">
              <w:t xml:space="preserve">available to provide local </w:t>
            </w:r>
            <w:r w:rsidRPr="00B02AB5">
              <w:t>anaesthe</w:t>
            </w:r>
            <w:r w:rsidR="00B02AB5" w:rsidRPr="00B02AB5">
              <w:t>sia</w:t>
            </w:r>
            <w:r w:rsidRPr="63B58C0A">
              <w:t xml:space="preserve">. </w:t>
            </w:r>
          </w:p>
          <w:p w14:paraId="1F4C4684" w14:textId="77777777" w:rsidR="00281C2F" w:rsidRPr="00981249" w:rsidRDefault="00281C2F" w:rsidP="009A032D">
            <w:pPr>
              <w:pStyle w:val="Tabletext"/>
              <w:cnfStyle w:val="000000100000" w:firstRow="0" w:lastRow="0" w:firstColumn="0" w:lastColumn="0" w:oddVBand="0" w:evenVBand="0" w:oddHBand="1" w:evenHBand="0" w:firstRowFirstColumn="0" w:firstRowLastColumn="0" w:lastRowFirstColumn="0" w:lastRowLastColumn="0"/>
              <w:rPr>
                <w:szCs w:val="18"/>
              </w:rPr>
            </w:pPr>
            <w:r w:rsidRPr="63B58C0A">
              <w:t>Equipment for the procedure is available onsite</w:t>
            </w:r>
            <w:r>
              <w:t>,</w:t>
            </w:r>
            <w:r w:rsidRPr="63B58C0A">
              <w:t xml:space="preserve"> prior to commencement of </w:t>
            </w:r>
            <w:r>
              <w:t xml:space="preserve">the </w:t>
            </w:r>
            <w:r w:rsidRPr="63B58C0A">
              <w:t>procedure.</w:t>
            </w:r>
          </w:p>
          <w:p w14:paraId="4C39F68A" w14:textId="77777777" w:rsidR="00281C2F" w:rsidRPr="00DA37B9"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There is o</w:t>
            </w:r>
            <w:r w:rsidRPr="63B58C0A">
              <w:t>nsite access to resuscitation equipment and medicines.</w:t>
            </w:r>
          </w:p>
        </w:tc>
      </w:tr>
      <w:tr w:rsidR="00281C2F" w:rsidRPr="00A63ED1" w14:paraId="653A5D13" w14:textId="77777777" w:rsidTr="0086685E">
        <w:tc>
          <w:tcPr>
            <w:cnfStyle w:val="001000000000" w:firstRow="0" w:lastRow="0" w:firstColumn="1" w:lastColumn="0" w:oddVBand="0" w:evenVBand="0" w:oddHBand="0" w:evenHBand="0" w:firstRowFirstColumn="0" w:firstRowLastColumn="0" w:lastRowFirstColumn="0" w:lastRowLastColumn="0"/>
            <w:tcW w:w="2405" w:type="dxa"/>
          </w:tcPr>
          <w:p w14:paraId="21D76D1C" w14:textId="77777777" w:rsidR="00281C2F" w:rsidRPr="00E1136E" w:rsidRDefault="00281C2F" w:rsidP="009A032D">
            <w:pPr>
              <w:pStyle w:val="Tabletext"/>
            </w:pPr>
            <w:r w:rsidRPr="00F201E9">
              <w:t>Procedure rooms/ theatre/recovery</w:t>
            </w:r>
          </w:p>
        </w:tc>
        <w:tc>
          <w:tcPr>
            <w:tcW w:w="6804" w:type="dxa"/>
          </w:tcPr>
          <w:p w14:paraId="60818E3B" w14:textId="77777777" w:rsidR="00281C2F" w:rsidRPr="00062C4D"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63B58C0A">
              <w:t>Relevant referral</w:t>
            </w:r>
            <w:r>
              <w:t xml:space="preserve"> and </w:t>
            </w:r>
            <w:r w:rsidRPr="63B58C0A">
              <w:t xml:space="preserve">follow up arranged in the community </w:t>
            </w:r>
            <w:r>
              <w:t xml:space="preserve">is </w:t>
            </w:r>
            <w:r w:rsidRPr="63B58C0A">
              <w:t xml:space="preserve">to be provided by </w:t>
            </w:r>
            <w:r>
              <w:t xml:space="preserve">a </w:t>
            </w:r>
            <w:r w:rsidRPr="63B58C0A">
              <w:t>GP or other primary care provider</w:t>
            </w:r>
            <w:r>
              <w:t>,</w:t>
            </w:r>
            <w:r w:rsidRPr="63B58C0A">
              <w:t xml:space="preserve"> if required.</w:t>
            </w:r>
          </w:p>
        </w:tc>
      </w:tr>
      <w:tr w:rsidR="00281C2F" w:rsidRPr="00A63ED1" w14:paraId="1E707AFA" w14:textId="77777777" w:rsidTr="0086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0B119479" w14:textId="77777777" w:rsidR="00281C2F" w:rsidRPr="00E1136E" w:rsidRDefault="00281C2F" w:rsidP="009A032D">
            <w:pPr>
              <w:pStyle w:val="Tabletext"/>
            </w:pPr>
            <w:r w:rsidRPr="00F201E9">
              <w:t>Environmental services</w:t>
            </w:r>
          </w:p>
        </w:tc>
        <w:tc>
          <w:tcPr>
            <w:tcW w:w="6804" w:type="dxa"/>
            <w:shd w:val="clear" w:color="auto" w:fill="DBE5F1" w:themeFill="accent1" w:themeFillTint="33"/>
          </w:tcPr>
          <w:p w14:paraId="3C798F05" w14:textId="77777777" w:rsidR="00281C2F" w:rsidRPr="00062C4D"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63B58C0A">
              <w:t>A store of disposable single</w:t>
            </w:r>
            <w:r>
              <w:t>-</w:t>
            </w:r>
            <w:r w:rsidRPr="63B58C0A">
              <w:t>use instruments is available onsite from an accredited supplier.</w:t>
            </w:r>
          </w:p>
        </w:tc>
      </w:tr>
    </w:tbl>
    <w:p w14:paraId="64796695" w14:textId="77777777" w:rsidR="00281C2F" w:rsidRPr="00E1136E" w:rsidRDefault="00281C2F" w:rsidP="00281C2F">
      <w:pPr>
        <w:pStyle w:val="Heading2"/>
        <w:rPr>
          <w:rFonts w:eastAsia="Times"/>
        </w:rPr>
      </w:pPr>
      <w:bookmarkStart w:id="44" w:name="_Toc148718455"/>
      <w:bookmarkStart w:id="45" w:name="_Toc153792516"/>
      <w:r w:rsidRPr="00E1136E">
        <w:rPr>
          <w:rFonts w:eastAsia="Times"/>
        </w:rPr>
        <w:t xml:space="preserve">Level 2 </w:t>
      </w:r>
      <w:r>
        <w:rPr>
          <w:rFonts w:eastAsia="Times"/>
        </w:rPr>
        <w:t>p</w:t>
      </w:r>
      <w:r w:rsidRPr="00E1136E">
        <w:rPr>
          <w:rFonts w:eastAsia="Times"/>
        </w:rPr>
        <w:t>erioperative service</w:t>
      </w:r>
      <w:r>
        <w:rPr>
          <w:rFonts w:eastAsia="Times"/>
        </w:rPr>
        <w:t>s</w:t>
      </w:r>
      <w:bookmarkEnd w:id="44"/>
      <w:bookmarkEnd w:id="45"/>
    </w:p>
    <w:p w14:paraId="16FA1C97" w14:textId="77777777" w:rsidR="00B33C65" w:rsidRDefault="00B33C65" w:rsidP="00B33C65">
      <w:pPr>
        <w:pStyle w:val="Heading3"/>
      </w:pPr>
      <w:r>
        <w:t>Service description</w:t>
      </w:r>
    </w:p>
    <w:p w14:paraId="20614B08" w14:textId="3C81DF3A" w:rsidR="00281C2F" w:rsidRDefault="00281C2F" w:rsidP="00281C2F">
      <w:pPr>
        <w:pStyle w:val="Body"/>
      </w:pPr>
      <w:r>
        <w:t xml:space="preserve">Level 2 perioperative services include all the roles and responsibilities in Level 1, with additional requirements that are outlined </w:t>
      </w:r>
      <w:r w:rsidR="00F81828">
        <w:t>below</w:t>
      </w:r>
      <w:r>
        <w:t>.</w:t>
      </w:r>
    </w:p>
    <w:tbl>
      <w:tblPr>
        <w:tblStyle w:val="GridTable4-Accent6"/>
        <w:tblW w:w="9209" w:type="dxa"/>
        <w:tblBorders>
          <w:top w:val="none" w:sz="0" w:space="0" w:color="auto"/>
          <w:left w:val="none" w:sz="0" w:space="0" w:color="auto"/>
          <w:bottom w:val="single" w:sz="4" w:space="0" w:color="201547"/>
          <w:right w:val="none" w:sz="0" w:space="0" w:color="auto"/>
          <w:insideH w:val="none" w:sz="0" w:space="0" w:color="auto"/>
          <w:insideV w:val="single" w:sz="4" w:space="0" w:color="201547"/>
        </w:tblBorders>
        <w:tblLook w:val="04A0" w:firstRow="1" w:lastRow="0" w:firstColumn="1" w:lastColumn="0" w:noHBand="0" w:noVBand="1"/>
      </w:tblPr>
      <w:tblGrid>
        <w:gridCol w:w="2405"/>
        <w:gridCol w:w="6804"/>
      </w:tblGrid>
      <w:tr w:rsidR="00EA1812" w:rsidRPr="00EA1812" w14:paraId="1E202556" w14:textId="77777777" w:rsidTr="00F307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201547"/>
          </w:tcPr>
          <w:p w14:paraId="36C3DE9E" w14:textId="7749A6CF" w:rsidR="00281C2F" w:rsidRPr="00EA1812" w:rsidRDefault="00281C2F" w:rsidP="009A032D">
            <w:pPr>
              <w:pStyle w:val="Tablecolhead"/>
              <w:rPr>
                <w:color w:val="FFFFFF" w:themeColor="background1"/>
              </w:rPr>
            </w:pPr>
            <w:r w:rsidRPr="00EA1812">
              <w:rPr>
                <w:b/>
                <w:color w:val="FFFFFF" w:themeColor="background1"/>
              </w:rPr>
              <w:t xml:space="preserve">Level 2 service </w:t>
            </w:r>
          </w:p>
        </w:tc>
        <w:tc>
          <w:tcPr>
            <w:tcW w:w="6804" w:type="dxa"/>
            <w:shd w:val="clear" w:color="auto" w:fill="201547"/>
          </w:tcPr>
          <w:p w14:paraId="13402034" w14:textId="15C709D1" w:rsidR="00281C2F" w:rsidRPr="00EA1812" w:rsidRDefault="00AE0467" w:rsidP="009A032D">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Description</w:t>
            </w:r>
          </w:p>
        </w:tc>
      </w:tr>
      <w:tr w:rsidR="00281C2F" w:rsidRPr="00A63ED1" w14:paraId="7F3840C9" w14:textId="77777777" w:rsidTr="00F30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524521CB" w14:textId="77777777" w:rsidR="00281C2F" w:rsidRPr="007C0BB1" w:rsidRDefault="00281C2F" w:rsidP="009A032D">
            <w:pPr>
              <w:pStyle w:val="Tabletext"/>
            </w:pPr>
            <w:r w:rsidRPr="007C0BB1">
              <w:t>Complexity of care</w:t>
            </w:r>
          </w:p>
        </w:tc>
        <w:tc>
          <w:tcPr>
            <w:tcW w:w="6804" w:type="dxa"/>
            <w:shd w:val="clear" w:color="auto" w:fill="DBE5F1" w:themeFill="accent1" w:themeFillTint="33"/>
          </w:tcPr>
          <w:p w14:paraId="412E4283" w14:textId="77777777" w:rsidR="00281C2F" w:rsidRPr="00C11546"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C11546">
              <w:t>A Level 2 service provides:</w:t>
            </w:r>
          </w:p>
          <w:p w14:paraId="26BA664C" w14:textId="77777777" w:rsidR="00281C2F" w:rsidRPr="00E1136E"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E1136E">
              <w:t xml:space="preserve">low-moderate complexity procedural care, typically as a day procedure </w:t>
            </w:r>
          </w:p>
          <w:p w14:paraId="57F328C1" w14:textId="14054EFD" w:rsidR="00281C2F" w:rsidRPr="00007A40"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E1136E">
              <w:t xml:space="preserve">low-complexity </w:t>
            </w:r>
            <w:r w:rsidRPr="00007A40">
              <w:t>anaesthetic care (local, regional and deep sedation, with provision for low-risk general anaesthesia where required) to adults with low-to-moderate complexity (ASA 1–3</w:t>
            </w:r>
            <w:r w:rsidRPr="00007A40">
              <w:rPr>
                <w:rStyle w:val="FootnoteReference"/>
              </w:rPr>
              <w:footnoteReference w:id="44"/>
            </w:r>
            <w:r w:rsidRPr="00007A40">
              <w:t>)</w:t>
            </w:r>
          </w:p>
          <w:p w14:paraId="266F6854" w14:textId="77777777" w:rsidR="00281C2F" w:rsidRPr="00007A40"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007A40">
              <w:t>for paediatric services:</w:t>
            </w:r>
          </w:p>
          <w:p w14:paraId="1B022DCB" w14:textId="77777777" w:rsidR="00281C2F" w:rsidRPr="00007A40" w:rsidRDefault="00281C2F" w:rsidP="00EA1812">
            <w:pPr>
              <w:pStyle w:val="Tablebullet2"/>
              <w:cnfStyle w:val="000000100000" w:firstRow="0" w:lastRow="0" w:firstColumn="0" w:lastColumn="0" w:oddVBand="0" w:evenVBand="0" w:oddHBand="1" w:evenHBand="0" w:firstRowFirstColumn="0" w:firstRowLastColumn="0" w:lastRowFirstColumn="0" w:lastRowLastColumn="0"/>
            </w:pPr>
            <w:r w:rsidRPr="00007A40">
              <w:t>planned, day-stay minor procedures</w:t>
            </w:r>
          </w:p>
          <w:p w14:paraId="3DA37EF7" w14:textId="77777777" w:rsidR="00281C2F" w:rsidRPr="00007A40" w:rsidRDefault="00281C2F" w:rsidP="00EA1812">
            <w:pPr>
              <w:pStyle w:val="Tablebullet2"/>
              <w:cnfStyle w:val="000000100000" w:firstRow="0" w:lastRow="0" w:firstColumn="0" w:lastColumn="0" w:oddVBand="0" w:evenVBand="0" w:oddHBand="1" w:evenHBand="0" w:firstRowFirstColumn="0" w:firstRowLastColumn="0" w:lastRowFirstColumn="0" w:lastRowLastColumn="0"/>
            </w:pPr>
            <w:r w:rsidRPr="00007A40">
              <w:t>low anaesthetic complexity, including general anaesthesia</w:t>
            </w:r>
          </w:p>
          <w:p w14:paraId="444AA8BD" w14:textId="77777777" w:rsidR="00281C2F" w:rsidRPr="003C3BE8" w:rsidRDefault="00281C2F" w:rsidP="00EA1812">
            <w:pPr>
              <w:pStyle w:val="Tablebullet2"/>
              <w:cnfStyle w:val="000000100000" w:firstRow="0" w:lastRow="0" w:firstColumn="0" w:lastColumn="0" w:oddVBand="0" w:evenVBand="0" w:oddHBand="1" w:evenHBand="0" w:firstRowFirstColumn="0" w:firstRowLastColumn="0" w:lastRowFirstColumn="0" w:lastRowLastColumn="0"/>
            </w:pPr>
            <w:r w:rsidRPr="00EA1812">
              <w:t>low patient complexity.</w:t>
            </w:r>
          </w:p>
        </w:tc>
      </w:tr>
      <w:tr w:rsidR="00281C2F" w:rsidRPr="00A63ED1" w14:paraId="7004F0D0" w14:textId="77777777" w:rsidTr="00F307C0">
        <w:trPr>
          <w:trHeight w:val="854"/>
        </w:trPr>
        <w:tc>
          <w:tcPr>
            <w:cnfStyle w:val="001000000000" w:firstRow="0" w:lastRow="0" w:firstColumn="1" w:lastColumn="0" w:oddVBand="0" w:evenVBand="0" w:oddHBand="0" w:evenHBand="0" w:firstRowFirstColumn="0" w:firstRowLastColumn="0" w:lastRowFirstColumn="0" w:lastRowLastColumn="0"/>
            <w:tcW w:w="2405" w:type="dxa"/>
          </w:tcPr>
          <w:p w14:paraId="2C1A4EF7" w14:textId="77777777" w:rsidR="00281C2F" w:rsidRPr="007C0BB1" w:rsidRDefault="00281C2F" w:rsidP="009A032D">
            <w:pPr>
              <w:pStyle w:val="Tabletext"/>
              <w:rPr>
                <w:b w:val="0"/>
                <w:bCs w:val="0"/>
              </w:rPr>
            </w:pPr>
            <w:r w:rsidRPr="007C0BB1">
              <w:t>Procedure/surgery</w:t>
            </w:r>
          </w:p>
        </w:tc>
        <w:tc>
          <w:tcPr>
            <w:tcW w:w="6804" w:type="dxa"/>
          </w:tcPr>
          <w:p w14:paraId="08541B99"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 Level 2 service provides:</w:t>
            </w:r>
          </w:p>
          <w:p w14:paraId="1DB36319" w14:textId="77777777" w:rsidR="00281C2F" w:rsidRPr="00E1136E"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00E1136E">
              <w:t>a focus on providing low-risk planned surgery</w:t>
            </w:r>
          </w:p>
          <w:p w14:paraId="05ED7780" w14:textId="77777777" w:rsidR="00281C2F" w:rsidRPr="00E1136E"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00E1136E">
              <w:t>planned specialist services, where there is sufficient volume to support a regular list and workforce competency</w:t>
            </w:r>
          </w:p>
          <w:p w14:paraId="020E0C92" w14:textId="77777777" w:rsidR="00281C2F" w:rsidRPr="007C11CC"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00E1136E">
              <w:rPr>
                <w:rStyle w:val="normaltextrun"/>
              </w:rPr>
              <w:t>planned, day-stay minor procedures for paediatric services.</w:t>
            </w:r>
          </w:p>
        </w:tc>
      </w:tr>
      <w:tr w:rsidR="00281C2F" w:rsidRPr="00A63ED1" w14:paraId="2A23E368" w14:textId="77777777" w:rsidTr="00F307C0">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0897491D" w14:textId="77777777" w:rsidR="00281C2F" w:rsidRPr="007C0BB1" w:rsidRDefault="00281C2F" w:rsidP="009A032D">
            <w:pPr>
              <w:pStyle w:val="Tabletext"/>
              <w:rPr>
                <w:b w:val="0"/>
                <w:bCs w:val="0"/>
              </w:rPr>
            </w:pPr>
            <w:r w:rsidRPr="007C0BB1">
              <w:t>Anaesthetic complexity</w:t>
            </w:r>
          </w:p>
        </w:tc>
        <w:tc>
          <w:tcPr>
            <w:tcW w:w="6804" w:type="dxa"/>
            <w:shd w:val="clear" w:color="auto" w:fill="DBE5F1" w:themeFill="accent1" w:themeFillTint="33"/>
          </w:tcPr>
          <w:p w14:paraId="2EDC9728"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rPr>
                <w:rStyle w:val="normaltextrun"/>
                <w:sz w:val="20"/>
              </w:rPr>
            </w:pPr>
            <w:r>
              <w:t>A Level 2 service provides:</w:t>
            </w:r>
          </w:p>
          <w:p w14:paraId="5F9FA728" w14:textId="77777777" w:rsidR="00281C2F" w:rsidRPr="00007A40" w:rsidRDefault="00281C2F" w:rsidP="00EA1812">
            <w:pPr>
              <w:pStyle w:val="Tablebullet1"/>
              <w:cnfStyle w:val="000000100000" w:firstRow="0" w:lastRow="0" w:firstColumn="0" w:lastColumn="0" w:oddVBand="0" w:evenVBand="0" w:oddHBand="1" w:evenHBand="0" w:firstRowFirstColumn="0" w:firstRowLastColumn="0" w:lastRowFirstColumn="0" w:lastRowLastColumn="0"/>
            </w:pPr>
            <w:r w:rsidRPr="00EA1812">
              <w:t xml:space="preserve">pre-operative assessment, </w:t>
            </w:r>
            <w:r w:rsidRPr="00007A40">
              <w:t>anaesthesia and recovery care to predominantly day-stay, and some planned overnight care for surgical or procedural services for planned and/or unplanned care </w:t>
            </w:r>
          </w:p>
          <w:p w14:paraId="0ADC8A44" w14:textId="77777777" w:rsidR="00281C2F" w:rsidRPr="00007A40" w:rsidRDefault="00281C2F" w:rsidP="00EA1812">
            <w:pPr>
              <w:pStyle w:val="Tablebullet1"/>
              <w:cnfStyle w:val="000000100000" w:firstRow="0" w:lastRow="0" w:firstColumn="0" w:lastColumn="0" w:oddVBand="0" w:evenVBand="0" w:oddHBand="1" w:evenHBand="0" w:firstRowFirstColumn="0" w:firstRowLastColumn="0" w:lastRowFirstColumn="0" w:lastRowLastColumn="0"/>
            </w:pPr>
            <w:r w:rsidRPr="00007A40">
              <w:t>post-procedure anaesthetic recovery care and observation in a dedicated area or in the procedure room</w:t>
            </w:r>
          </w:p>
          <w:p w14:paraId="49B11949" w14:textId="77777777" w:rsidR="00281C2F" w:rsidRPr="00E14793" w:rsidRDefault="00281C2F" w:rsidP="00EA1812">
            <w:pPr>
              <w:pStyle w:val="Tablebullet1"/>
              <w:cnfStyle w:val="000000100000" w:firstRow="0" w:lastRow="0" w:firstColumn="0" w:lastColumn="0" w:oddVBand="0" w:evenVBand="0" w:oddHBand="1" w:evenHBand="0" w:firstRowFirstColumn="0" w:firstRowLastColumn="0" w:lastRowFirstColumn="0" w:lastRowLastColumn="0"/>
            </w:pPr>
            <w:r w:rsidRPr="00007A40">
              <w:t>low anaesthetic complexity, including general anaesthetic, for</w:t>
            </w:r>
            <w:r w:rsidRPr="00EA1812">
              <w:t xml:space="preserve"> paediatric services.</w:t>
            </w:r>
            <w:r w:rsidRPr="63B58C0A">
              <w:t xml:space="preserve"> </w:t>
            </w:r>
          </w:p>
        </w:tc>
      </w:tr>
      <w:tr w:rsidR="00281C2F" w:rsidRPr="00A63ED1" w14:paraId="2AB36A20" w14:textId="77777777" w:rsidTr="00F307C0">
        <w:trPr>
          <w:trHeight w:val="657"/>
        </w:trPr>
        <w:tc>
          <w:tcPr>
            <w:cnfStyle w:val="001000000000" w:firstRow="0" w:lastRow="0" w:firstColumn="1" w:lastColumn="0" w:oddVBand="0" w:evenVBand="0" w:oddHBand="0" w:evenHBand="0" w:firstRowFirstColumn="0" w:firstRowLastColumn="0" w:lastRowFirstColumn="0" w:lastRowLastColumn="0"/>
            <w:tcW w:w="2405" w:type="dxa"/>
          </w:tcPr>
          <w:p w14:paraId="3DD7D71C" w14:textId="77777777" w:rsidR="00281C2F" w:rsidRPr="007C0BB1" w:rsidRDefault="00281C2F" w:rsidP="009A032D">
            <w:pPr>
              <w:pStyle w:val="Tabletext"/>
              <w:rPr>
                <w:b w:val="0"/>
                <w:bCs w:val="0"/>
              </w:rPr>
            </w:pPr>
            <w:r w:rsidRPr="00086CAA">
              <w:t xml:space="preserve">Patient </w:t>
            </w:r>
            <w:r>
              <w:t>c</w:t>
            </w:r>
            <w:r w:rsidRPr="00086CAA">
              <w:t>omplexity</w:t>
            </w:r>
          </w:p>
        </w:tc>
        <w:tc>
          <w:tcPr>
            <w:tcW w:w="6804" w:type="dxa"/>
          </w:tcPr>
          <w:p w14:paraId="1C642E35"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 Level 2 service provides:</w:t>
            </w:r>
          </w:p>
          <w:p w14:paraId="4A4D6359" w14:textId="506C540D" w:rsidR="00281C2F" w:rsidRPr="00007A40"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rPr>
                <w:szCs w:val="21"/>
              </w:rPr>
            </w:pPr>
            <w:r w:rsidRPr="00007A40">
              <w:rPr>
                <w:szCs w:val="21"/>
              </w:rPr>
              <w:t>predominately sedation and regional block, with some general anaesthe</w:t>
            </w:r>
            <w:r w:rsidR="00007A40" w:rsidRPr="00007A40">
              <w:rPr>
                <w:szCs w:val="21"/>
              </w:rPr>
              <w:t>sia</w:t>
            </w:r>
            <w:r w:rsidRPr="00007A40">
              <w:rPr>
                <w:szCs w:val="21"/>
              </w:rPr>
              <w:t xml:space="preserve"> in ASA</w:t>
            </w:r>
            <w:r w:rsidR="00D95288" w:rsidRPr="00007A40">
              <w:rPr>
                <w:szCs w:val="21"/>
              </w:rPr>
              <w:t xml:space="preserve"> </w:t>
            </w:r>
            <w:r w:rsidRPr="00007A40">
              <w:rPr>
                <w:szCs w:val="21"/>
              </w:rPr>
              <w:t>1–2 and some stable ASA</w:t>
            </w:r>
            <w:r w:rsidR="00D95288" w:rsidRPr="00007A40">
              <w:rPr>
                <w:szCs w:val="21"/>
              </w:rPr>
              <w:t xml:space="preserve"> </w:t>
            </w:r>
            <w:r w:rsidRPr="00007A40">
              <w:rPr>
                <w:szCs w:val="21"/>
              </w:rPr>
              <w:t>3 patients</w:t>
            </w:r>
          </w:p>
          <w:p w14:paraId="15E91ABC" w14:textId="77777777" w:rsidR="00281C2F" w:rsidRPr="00BB3C94"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00007A40">
              <w:rPr>
                <w:szCs w:val="21"/>
              </w:rPr>
              <w:t>low patient complexity for paediatric services, where</w:t>
            </w:r>
            <w:r w:rsidRPr="00007A40">
              <w:rPr>
                <w:rStyle w:val="normaltextrun"/>
                <w:szCs w:val="21"/>
              </w:rPr>
              <w:t xml:space="preserve"> patients are &gt;2 years of age. May provide procedures to patients &lt;2 years of age if this age group is appropriately credentialed to be within the treating clinicians’ scope of practice, including procedural, anaesthetic, nursing and allied health staff.</w:t>
            </w:r>
          </w:p>
        </w:tc>
      </w:tr>
      <w:tr w:rsidR="00281C2F" w:rsidRPr="00A63ED1" w14:paraId="14C884A9" w14:textId="77777777" w:rsidTr="00F30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3FFB2092" w14:textId="77777777" w:rsidR="00281C2F" w:rsidRPr="007C0BB1" w:rsidRDefault="00281C2F" w:rsidP="009A032D">
            <w:pPr>
              <w:pStyle w:val="Tabletext"/>
              <w:rPr>
                <w:b w:val="0"/>
                <w:bCs w:val="0"/>
              </w:rPr>
            </w:pPr>
            <w:r w:rsidRPr="007C0BB1">
              <w:t>Emergency services/</w:t>
            </w:r>
          </w:p>
          <w:p w14:paraId="201D5DCD" w14:textId="77777777" w:rsidR="00281C2F" w:rsidRPr="007C0BB1" w:rsidRDefault="00281C2F" w:rsidP="009A032D">
            <w:pPr>
              <w:pStyle w:val="Tabletext"/>
              <w:rPr>
                <w:b w:val="0"/>
                <w:bCs w:val="0"/>
              </w:rPr>
            </w:pPr>
            <w:r w:rsidRPr="007C0BB1">
              <w:t>surgery</w:t>
            </w:r>
          </w:p>
        </w:tc>
        <w:tc>
          <w:tcPr>
            <w:tcW w:w="6804" w:type="dxa"/>
            <w:shd w:val="clear" w:color="auto" w:fill="DBE5F1" w:themeFill="accent1" w:themeFillTint="33"/>
          </w:tcPr>
          <w:p w14:paraId="21A4565E" w14:textId="77777777" w:rsidR="00281C2F" w:rsidRPr="00E1136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For e</w:t>
            </w:r>
            <w:r w:rsidRPr="00E1136E">
              <w:t>mergency service</w:t>
            </w:r>
            <w:r>
              <w:t>s</w:t>
            </w:r>
            <w:r w:rsidRPr="00E1136E">
              <w:t xml:space="preserve"> </w:t>
            </w:r>
            <w:r>
              <w:t>and</w:t>
            </w:r>
            <w:r w:rsidRPr="00E1136E">
              <w:t xml:space="preserve"> transfers</w:t>
            </w:r>
            <w:r>
              <w:t>, a Level 2 service:</w:t>
            </w:r>
          </w:p>
          <w:p w14:paraId="38922645" w14:textId="77777777" w:rsidR="00281C2F" w:rsidRPr="0067167F"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rPr>
                <w:szCs w:val="18"/>
              </w:rPr>
            </w:pPr>
            <w:r>
              <w:t>m</w:t>
            </w:r>
            <w:r w:rsidRPr="0067167F">
              <w:t>ay have an urgent care service that can provide low</w:t>
            </w:r>
            <w:r>
              <w:t>-</w:t>
            </w:r>
            <w:r w:rsidRPr="0067167F">
              <w:t xml:space="preserve">risk emergency procedures </w:t>
            </w:r>
            <w:r>
              <w:t>that are</w:t>
            </w:r>
            <w:r w:rsidRPr="0067167F">
              <w:t xml:space="preserve"> able to stabilise patients</w:t>
            </w:r>
            <w:r>
              <w:t>,</w:t>
            </w:r>
            <w:r w:rsidRPr="0067167F">
              <w:t xml:space="preserve"> prior to transfer to </w:t>
            </w:r>
            <w:r>
              <w:t xml:space="preserve">a </w:t>
            </w:r>
            <w:r w:rsidRPr="0067167F">
              <w:t>higher</w:t>
            </w:r>
            <w:r>
              <w:t>-</w:t>
            </w:r>
            <w:r w:rsidRPr="0067167F">
              <w:t>level service</w:t>
            </w:r>
          </w:p>
          <w:p w14:paraId="59D301E7" w14:textId="77777777" w:rsidR="00281C2F" w:rsidRPr="0067167F"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rPr>
                <w:szCs w:val="18"/>
              </w:rPr>
            </w:pPr>
            <w:r>
              <w:t>has p</w:t>
            </w:r>
            <w:r w:rsidRPr="0067167F">
              <w:t xml:space="preserve">rocedures and protocols in place to ensure rapid transfer of patients with serious perioperative complications to </w:t>
            </w:r>
            <w:r>
              <w:t xml:space="preserve">a </w:t>
            </w:r>
            <w:r w:rsidRPr="0067167F">
              <w:t>higher</w:t>
            </w:r>
            <w:r>
              <w:t>-</w:t>
            </w:r>
            <w:r w:rsidRPr="0067167F">
              <w:t>level service.</w:t>
            </w:r>
          </w:p>
          <w:p w14:paraId="0EFCD6C9" w14:textId="77777777" w:rsidR="00281C2F" w:rsidRPr="0067167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For e</w:t>
            </w:r>
            <w:r w:rsidRPr="00E1136E">
              <w:t>mergency surgery</w:t>
            </w:r>
            <w:r>
              <w:t>, a Level 2</w:t>
            </w:r>
            <w:r w:rsidRPr="00E1136E">
              <w:t xml:space="preserve"> service</w:t>
            </w:r>
            <w:r>
              <w:t xml:space="preserve"> c</w:t>
            </w:r>
            <w:r w:rsidRPr="0067167F">
              <w:t>an provide life</w:t>
            </w:r>
            <w:r>
              <w:t>-saving</w:t>
            </w:r>
            <w:r w:rsidRPr="0067167F">
              <w:t xml:space="preserve"> care in an emergency</w:t>
            </w:r>
            <w:r>
              <w:t>,</w:t>
            </w:r>
            <w:r w:rsidRPr="0067167F">
              <w:t xml:space="preserve"> with the aim of stabilising a patient</w:t>
            </w:r>
            <w:r>
              <w:t>,</w:t>
            </w:r>
            <w:r w:rsidRPr="0067167F">
              <w:t xml:space="preserve"> prior to transfer to a higher-level service.</w:t>
            </w:r>
          </w:p>
        </w:tc>
      </w:tr>
      <w:tr w:rsidR="00281C2F" w14:paraId="19A4FD33" w14:textId="77777777" w:rsidTr="00F307C0">
        <w:trPr>
          <w:trHeight w:val="300"/>
        </w:trPr>
        <w:tc>
          <w:tcPr>
            <w:cnfStyle w:val="001000000000" w:firstRow="0" w:lastRow="0" w:firstColumn="1" w:lastColumn="0" w:oddVBand="0" w:evenVBand="0" w:oddHBand="0" w:evenHBand="0" w:firstRowFirstColumn="0" w:firstRowLastColumn="0" w:lastRowFirstColumn="0" w:lastRowLastColumn="0"/>
            <w:tcW w:w="2405" w:type="dxa"/>
          </w:tcPr>
          <w:p w14:paraId="6B95FE3D" w14:textId="77777777" w:rsidR="00281C2F" w:rsidRPr="00A372DA" w:rsidRDefault="00281C2F" w:rsidP="009A032D">
            <w:pPr>
              <w:pStyle w:val="Tabletext"/>
              <w:rPr>
                <w:b w:val="0"/>
              </w:rPr>
            </w:pPr>
            <w:r w:rsidRPr="00A372DA">
              <w:t>Pre-operative services</w:t>
            </w:r>
          </w:p>
        </w:tc>
        <w:tc>
          <w:tcPr>
            <w:tcW w:w="6804" w:type="dxa"/>
          </w:tcPr>
          <w:p w14:paraId="744768DC"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63B58C0A">
              <w:t>A</w:t>
            </w:r>
            <w:r>
              <w:t xml:space="preserve"> Level 2 service:</w:t>
            </w:r>
          </w:p>
          <w:p w14:paraId="728EC61E" w14:textId="58B65054" w:rsidR="00281C2F" w:rsidRPr="005F3B1F"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t>a</w:t>
            </w:r>
            <w:r w:rsidRPr="63B58C0A">
              <w:t xml:space="preserve">ccepts patients for care based on the </w:t>
            </w:r>
            <w:hyperlink r:id="rId44" w:history="1">
              <w:r w:rsidRPr="00BE4023">
                <w:rPr>
                  <w:rStyle w:val="Hyperlink"/>
                </w:rPr>
                <w:t>Statewide Referral Criteria for Specialist Clinics</w:t>
              </w:r>
            </w:hyperlink>
            <w:r w:rsidRPr="63B58C0A">
              <w:rPr>
                <w:rStyle w:val="FootnoteReference"/>
                <w:sz w:val="20"/>
              </w:rPr>
              <w:footnoteReference w:id="45"/>
            </w:r>
            <w:r w:rsidRPr="63B58C0A">
              <w:t xml:space="preserve"> and defined requirements for agreed specialities and procedures</w:t>
            </w:r>
            <w:r w:rsidRPr="63B58C0A">
              <w:rPr>
                <w:rStyle w:val="FootnoteReference"/>
                <w:sz w:val="20"/>
              </w:rPr>
              <w:footnoteReference w:id="46"/>
            </w:r>
          </w:p>
          <w:p w14:paraId="6A535306" w14:textId="77777777" w:rsidR="00281C2F" w:rsidRPr="005F3B1F"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Pr>
                <w:rFonts w:eastAsia="Arial"/>
              </w:rPr>
              <w:t>provides s</w:t>
            </w:r>
            <w:r w:rsidRPr="63B58C0A">
              <w:rPr>
                <w:rFonts w:eastAsia="Arial"/>
              </w:rPr>
              <w:t>creening for suitability of treatment</w:t>
            </w:r>
            <w:r>
              <w:rPr>
                <w:rFonts w:eastAsia="Arial"/>
              </w:rPr>
              <w:t>, which</w:t>
            </w:r>
            <w:r w:rsidRPr="63B58C0A">
              <w:rPr>
                <w:rFonts w:eastAsia="Arial"/>
              </w:rPr>
              <w:t xml:space="preserve"> is undertaken by admission staff based on the health service’s policies and scope of practice.</w:t>
            </w:r>
          </w:p>
        </w:tc>
      </w:tr>
      <w:tr w:rsidR="00281C2F" w:rsidRPr="00A63ED1" w14:paraId="203D62B8" w14:textId="77777777" w:rsidTr="00F30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69925635" w14:textId="77777777" w:rsidR="00281C2F" w:rsidRPr="007C0BB1" w:rsidRDefault="00281C2F" w:rsidP="009A032D">
            <w:pPr>
              <w:pStyle w:val="Tabletext"/>
              <w:rPr>
                <w:b w:val="0"/>
                <w:bCs w:val="0"/>
              </w:rPr>
            </w:pPr>
            <w:r w:rsidRPr="007C0BB1">
              <w:t>Pain management capability</w:t>
            </w:r>
          </w:p>
        </w:tc>
        <w:tc>
          <w:tcPr>
            <w:tcW w:w="6804" w:type="dxa"/>
            <w:shd w:val="clear" w:color="auto" w:fill="DBE5F1" w:themeFill="accent1" w:themeFillTint="33"/>
          </w:tcPr>
          <w:p w14:paraId="2E021070" w14:textId="77777777" w:rsidR="00281C2F" w:rsidRPr="005F3B1F" w:rsidRDefault="00281C2F" w:rsidP="009A032D">
            <w:pPr>
              <w:pStyle w:val="Tabletext"/>
              <w:cnfStyle w:val="000000100000" w:firstRow="0" w:lastRow="0" w:firstColumn="0" w:lastColumn="0" w:oddVBand="0" w:evenVBand="0" w:oddHBand="1" w:evenHBand="0" w:firstRowFirstColumn="0" w:firstRowLastColumn="0" w:lastRowFirstColumn="0" w:lastRowLastColumn="0"/>
              <w:rPr>
                <w:i/>
                <w:iCs/>
              </w:rPr>
            </w:pPr>
            <w:r w:rsidRPr="63B58C0A">
              <w:t>A</w:t>
            </w:r>
            <w:r>
              <w:t xml:space="preserve"> Level 2 service</w:t>
            </w:r>
            <w:r w:rsidDel="00730705">
              <w:t xml:space="preserve"> </w:t>
            </w:r>
            <w:r>
              <w:t>m</w:t>
            </w:r>
            <w:r w:rsidRPr="63B58C0A">
              <w:t>anages and supervises</w:t>
            </w:r>
            <w:r>
              <w:t xml:space="preserve"> a</w:t>
            </w:r>
            <w:r w:rsidRPr="63B58C0A">
              <w:t xml:space="preserve"> patient’s post</w:t>
            </w:r>
            <w:r>
              <w:t>-</w:t>
            </w:r>
            <w:r w:rsidRPr="63B58C0A">
              <w:t>procedure analgesia</w:t>
            </w:r>
            <w:r>
              <w:t xml:space="preserve"> and </w:t>
            </w:r>
            <w:r w:rsidRPr="63B58C0A">
              <w:t>symptoms control</w:t>
            </w:r>
            <w:r>
              <w:t>.</w:t>
            </w:r>
          </w:p>
        </w:tc>
      </w:tr>
      <w:tr w:rsidR="00281C2F" w:rsidRPr="00A63ED1" w14:paraId="6787E70F" w14:textId="77777777" w:rsidTr="00F307C0">
        <w:tc>
          <w:tcPr>
            <w:cnfStyle w:val="001000000000" w:firstRow="0" w:lastRow="0" w:firstColumn="1" w:lastColumn="0" w:oddVBand="0" w:evenVBand="0" w:oddHBand="0" w:evenHBand="0" w:firstRowFirstColumn="0" w:firstRowLastColumn="0" w:lastRowFirstColumn="0" w:lastRowLastColumn="0"/>
            <w:tcW w:w="2405" w:type="dxa"/>
          </w:tcPr>
          <w:p w14:paraId="6E00F200" w14:textId="77777777" w:rsidR="00281C2F" w:rsidRPr="007C0BB1" w:rsidRDefault="00281C2F" w:rsidP="009A032D">
            <w:pPr>
              <w:pStyle w:val="Tabletext"/>
              <w:rPr>
                <w:b w:val="0"/>
                <w:bCs w:val="0"/>
              </w:rPr>
            </w:pPr>
            <w:r w:rsidRPr="007C0BB1">
              <w:t>Discharge planning</w:t>
            </w:r>
          </w:p>
        </w:tc>
        <w:tc>
          <w:tcPr>
            <w:tcW w:w="6804" w:type="dxa"/>
          </w:tcPr>
          <w:p w14:paraId="3550DCF1" w14:textId="11FC0AC6"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For a Level 2 service:</w:t>
            </w:r>
          </w:p>
          <w:p w14:paraId="7A38D59A" w14:textId="77777777" w:rsidR="00281C2F" w:rsidRPr="005F3B1F"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t>timely discharge communication occurs between the treating clinicians and the patient’s primary care provider (for example, their GP)</w:t>
            </w:r>
          </w:p>
          <w:p w14:paraId="71675CCB" w14:textId="77777777" w:rsidR="00281C2F"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37488AAE">
              <w:t xml:space="preserve">procedures and protocols </w:t>
            </w:r>
            <w:r>
              <w:t xml:space="preserve">are in place </w:t>
            </w:r>
            <w:r w:rsidRPr="37488AAE">
              <w:t>to refer patients to post-discharge support services</w:t>
            </w:r>
          </w:p>
          <w:p w14:paraId="255FCEA9" w14:textId="77777777" w:rsidR="00281C2F" w:rsidRPr="005F3B1F"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t>t</w:t>
            </w:r>
            <w:r w:rsidRPr="63B58C0A">
              <w:t>here are documented patient pathways that optimise post-discharge review in the community and specialist clinics review for public patients</w:t>
            </w:r>
            <w:r>
              <w:t>,</w:t>
            </w:r>
            <w:r w:rsidRPr="63B58C0A">
              <w:t xml:space="preserve"> where a specialist review is required.</w:t>
            </w:r>
          </w:p>
        </w:tc>
      </w:tr>
    </w:tbl>
    <w:p w14:paraId="63B81718" w14:textId="77777777" w:rsidR="00281C2F" w:rsidRDefault="00281C2F" w:rsidP="00281C2F">
      <w:pPr>
        <w:pStyle w:val="Heading3"/>
      </w:pPr>
      <w:r>
        <w:t>Clinical w</w:t>
      </w:r>
      <w:r w:rsidRPr="003D2973">
        <w:t>orkforce</w:t>
      </w:r>
    </w:p>
    <w:p w14:paraId="285ADC18" w14:textId="05471861" w:rsidR="00281C2F" w:rsidRDefault="0022729A" w:rsidP="00281C2F">
      <w:pPr>
        <w:pStyle w:val="Body"/>
      </w:pPr>
      <w:r>
        <w:t>This section</w:t>
      </w:r>
      <w:r w:rsidR="00281C2F">
        <w:t xml:space="preserve"> outlines the requirements for the clinical workforce in Level 2 perioperative services that are in addition to Level 1 roles and responsibilities.</w:t>
      </w:r>
    </w:p>
    <w:tbl>
      <w:tblPr>
        <w:tblStyle w:val="GridTable4-Accent6"/>
        <w:tblW w:w="9493" w:type="dxa"/>
        <w:tblBorders>
          <w:top w:val="none" w:sz="0" w:space="0" w:color="auto"/>
          <w:left w:val="none" w:sz="0" w:space="0" w:color="auto"/>
          <w:bottom w:val="single" w:sz="4" w:space="0" w:color="201547"/>
          <w:right w:val="none" w:sz="0" w:space="0" w:color="auto"/>
          <w:insideH w:val="none" w:sz="0" w:space="0" w:color="auto"/>
          <w:insideV w:val="single" w:sz="4" w:space="0" w:color="201547"/>
        </w:tblBorders>
        <w:tblLook w:val="04A0" w:firstRow="1" w:lastRow="0" w:firstColumn="1" w:lastColumn="0" w:noHBand="0" w:noVBand="1"/>
      </w:tblPr>
      <w:tblGrid>
        <w:gridCol w:w="2263"/>
        <w:gridCol w:w="142"/>
        <w:gridCol w:w="6946"/>
        <w:gridCol w:w="142"/>
      </w:tblGrid>
      <w:tr w:rsidR="00EA1812" w:rsidRPr="00EA1812" w14:paraId="026DDF08" w14:textId="77777777" w:rsidTr="00F307C0">
        <w:trPr>
          <w:cnfStyle w:val="100000000000" w:firstRow="1" w:lastRow="0" w:firstColumn="0" w:lastColumn="0" w:oddVBand="0" w:evenVBand="0" w:oddHBand="0" w:evenHBand="0" w:firstRowFirstColumn="0" w:firstRowLastColumn="0" w:lastRowFirstColumn="0" w:lastRowLastColumn="0"/>
          <w:trHeight w:val="274"/>
          <w:tblHeader/>
        </w:trPr>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201547"/>
          </w:tcPr>
          <w:p w14:paraId="48EFC3F1" w14:textId="4FB08FE0" w:rsidR="00281C2F" w:rsidRPr="00EA1812" w:rsidRDefault="00281C2F" w:rsidP="00EA1812">
            <w:pPr>
              <w:pStyle w:val="Tablecolhead"/>
              <w:rPr>
                <w:b/>
                <w:bCs w:val="0"/>
                <w:color w:val="FFFFFF" w:themeColor="background1"/>
              </w:rPr>
            </w:pPr>
            <w:r w:rsidRPr="00EA1812">
              <w:rPr>
                <w:b/>
                <w:bCs w:val="0"/>
                <w:color w:val="FFFFFF" w:themeColor="background1"/>
              </w:rPr>
              <w:t>Level 2 service</w:t>
            </w:r>
          </w:p>
        </w:tc>
        <w:tc>
          <w:tcPr>
            <w:tcW w:w="7088" w:type="dxa"/>
            <w:gridSpan w:val="2"/>
            <w:shd w:val="clear" w:color="auto" w:fill="201547"/>
          </w:tcPr>
          <w:p w14:paraId="313CBEBB" w14:textId="77777777" w:rsidR="00281C2F" w:rsidRPr="00EA1812" w:rsidRDefault="00281C2F" w:rsidP="00EA1812">
            <w:pPr>
              <w:pStyle w:val="Tablecolhead"/>
              <w:ind w:left="-110"/>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EA1812">
              <w:rPr>
                <w:b/>
                <w:bCs w:val="0"/>
                <w:color w:val="FFFFFF" w:themeColor="background1"/>
              </w:rPr>
              <w:t>Requirements</w:t>
            </w:r>
          </w:p>
        </w:tc>
      </w:tr>
      <w:tr w:rsidR="00281C2F" w:rsidRPr="00CA4193" w14:paraId="2E26506F" w14:textId="77777777" w:rsidTr="00F307C0">
        <w:trPr>
          <w:gridAfter w:val="1"/>
          <w:cnfStyle w:val="000000100000" w:firstRow="0" w:lastRow="0" w:firstColumn="0" w:lastColumn="0" w:oddVBand="0" w:evenVBand="0" w:oddHBand="1"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2263" w:type="dxa"/>
            <w:shd w:val="clear" w:color="auto" w:fill="DBE5F1" w:themeFill="accent1" w:themeFillTint="33"/>
          </w:tcPr>
          <w:p w14:paraId="4C11FA3E" w14:textId="77777777" w:rsidR="00281C2F" w:rsidRPr="007C0BB1" w:rsidRDefault="00281C2F" w:rsidP="009A032D">
            <w:pPr>
              <w:pStyle w:val="Tabletext"/>
              <w:rPr>
                <w:b w:val="0"/>
              </w:rPr>
            </w:pPr>
            <w:r w:rsidRPr="007C0BB1">
              <w:t>Emergency response</w:t>
            </w:r>
          </w:p>
        </w:tc>
        <w:tc>
          <w:tcPr>
            <w:tcW w:w="7088" w:type="dxa"/>
            <w:gridSpan w:val="2"/>
            <w:shd w:val="clear" w:color="auto" w:fill="DBE5F1" w:themeFill="accent1" w:themeFillTint="33"/>
          </w:tcPr>
          <w:p w14:paraId="68B9E92D" w14:textId="77777777" w:rsidR="00281C2F" w:rsidRPr="00F87C4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A r</w:t>
            </w:r>
            <w:r w:rsidRPr="00291569">
              <w:t xml:space="preserve">egistered health practitioner with competency in </w:t>
            </w:r>
            <w:r>
              <w:t>advanced</w:t>
            </w:r>
            <w:r w:rsidRPr="00291569">
              <w:t xml:space="preserve"> life support </w:t>
            </w:r>
            <w:r>
              <w:t xml:space="preserve">is </w:t>
            </w:r>
            <w:r w:rsidRPr="00291569">
              <w:t>available during service operating hours to stabilise a patient prior to transfer out or retrieval.</w:t>
            </w:r>
          </w:p>
          <w:p w14:paraId="3F334D39" w14:textId="77777777" w:rsidR="00281C2F" w:rsidRPr="00EA1812" w:rsidRDefault="00281C2F" w:rsidP="00EA1812">
            <w:pPr>
              <w:pStyle w:val="Tabletext"/>
              <w:cnfStyle w:val="000000100000" w:firstRow="0" w:lastRow="0" w:firstColumn="0" w:lastColumn="0" w:oddVBand="0" w:evenVBand="0" w:oddHBand="1" w:evenHBand="0" w:firstRowFirstColumn="0" w:firstRowLastColumn="0" w:lastRowFirstColumn="0" w:lastRowLastColumn="0"/>
            </w:pPr>
            <w:r w:rsidRPr="00EA1812">
              <w:t>A registered health practitioner with competency in paediatric basic life support is available in standard hours for paediatric services. </w:t>
            </w:r>
          </w:p>
        </w:tc>
      </w:tr>
      <w:tr w:rsidR="00281C2F" w:rsidRPr="00CA4193" w14:paraId="66D3A2FC" w14:textId="77777777" w:rsidTr="00F307C0">
        <w:trPr>
          <w:gridAfter w:val="1"/>
          <w:wAfter w:w="142" w:type="dxa"/>
        </w:trPr>
        <w:tc>
          <w:tcPr>
            <w:cnfStyle w:val="001000000000" w:firstRow="0" w:lastRow="0" w:firstColumn="1" w:lastColumn="0" w:oddVBand="0" w:evenVBand="0" w:oddHBand="0" w:evenHBand="0" w:firstRowFirstColumn="0" w:firstRowLastColumn="0" w:lastRowFirstColumn="0" w:lastRowLastColumn="0"/>
            <w:tcW w:w="2263" w:type="dxa"/>
          </w:tcPr>
          <w:p w14:paraId="0EE88C2B" w14:textId="77777777" w:rsidR="00281C2F" w:rsidRPr="007C0BB1" w:rsidRDefault="00281C2F" w:rsidP="009A032D">
            <w:pPr>
              <w:pStyle w:val="Tabletext"/>
              <w:rPr>
                <w:b w:val="0"/>
              </w:rPr>
            </w:pPr>
            <w:r w:rsidRPr="007C0BB1">
              <w:t xml:space="preserve">Surgery/ proceduralist </w:t>
            </w:r>
          </w:p>
        </w:tc>
        <w:tc>
          <w:tcPr>
            <w:tcW w:w="7088" w:type="dxa"/>
            <w:gridSpan w:val="2"/>
          </w:tcPr>
          <w:p w14:paraId="0A55F8EF" w14:textId="77777777" w:rsidR="00281C2F" w:rsidRPr="00600943"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Pr>
                <w:rFonts w:cs="Arial"/>
              </w:rPr>
              <w:t>For m</w:t>
            </w:r>
            <w:r w:rsidRPr="00600943">
              <w:rPr>
                <w:rFonts w:cs="Arial"/>
              </w:rPr>
              <w:t xml:space="preserve">inor procedures – </w:t>
            </w:r>
            <w:r>
              <w:rPr>
                <w:rFonts w:cs="Arial"/>
              </w:rPr>
              <w:t>d</w:t>
            </w:r>
            <w:r w:rsidRPr="00600943">
              <w:rPr>
                <w:rFonts w:cs="Arial"/>
              </w:rPr>
              <w:t>ay cases</w:t>
            </w:r>
            <w:r>
              <w:rPr>
                <w:rFonts w:cs="Arial"/>
              </w:rPr>
              <w:t xml:space="preserve"> – a</w:t>
            </w:r>
            <w:r>
              <w:t xml:space="preserve"> r</w:t>
            </w:r>
            <w:r w:rsidRPr="63B58C0A">
              <w:t>egistered health practitioner</w:t>
            </w:r>
            <w:r>
              <w:t>,</w:t>
            </w:r>
            <w:r w:rsidRPr="63B58C0A">
              <w:t xml:space="preserve"> credentialed at the health service for procedural care</w:t>
            </w:r>
            <w:r>
              <w:t>,</w:t>
            </w:r>
            <w:r w:rsidRPr="63B58C0A">
              <w:t xml:space="preserve"> </w:t>
            </w:r>
            <w:r>
              <w:t xml:space="preserve">is </w:t>
            </w:r>
            <w:r w:rsidRPr="63B58C0A">
              <w:t>available in standard operating hours.</w:t>
            </w:r>
          </w:p>
          <w:p w14:paraId="1F3B9BDA" w14:textId="77777777" w:rsidR="00281C2F" w:rsidRPr="00600943"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Pr>
                <w:rFonts w:cs="Arial"/>
                <w:bCs/>
              </w:rPr>
              <w:t>For s</w:t>
            </w:r>
            <w:r w:rsidRPr="00600943">
              <w:rPr>
                <w:rFonts w:cs="Arial"/>
                <w:bCs/>
              </w:rPr>
              <w:t xml:space="preserve">urgery </w:t>
            </w:r>
            <w:r>
              <w:rPr>
                <w:rFonts w:cs="Arial"/>
                <w:bCs/>
              </w:rPr>
              <w:t>–</w:t>
            </w:r>
            <w:r w:rsidRPr="00600943">
              <w:rPr>
                <w:rFonts w:cs="Arial"/>
                <w:bCs/>
              </w:rPr>
              <w:t xml:space="preserve"> </w:t>
            </w:r>
            <w:r>
              <w:rPr>
                <w:rFonts w:cs="Arial"/>
                <w:bCs/>
              </w:rPr>
              <w:t>d</w:t>
            </w:r>
            <w:r w:rsidRPr="00600943">
              <w:rPr>
                <w:rFonts w:cs="Arial"/>
                <w:bCs/>
              </w:rPr>
              <w:t xml:space="preserve">ay cases </w:t>
            </w:r>
            <w:r>
              <w:rPr>
                <w:rFonts w:cs="Arial"/>
                <w:bCs/>
              </w:rPr>
              <w:t xml:space="preserve">– </w:t>
            </w:r>
            <w:r>
              <w:t>m</w:t>
            </w:r>
            <w:r w:rsidRPr="63B58C0A">
              <w:t xml:space="preserve">edical specialists or equivalent, credentialed at the health service for surgical specialties, relevant to the services being provided, </w:t>
            </w:r>
            <w:r>
              <w:t xml:space="preserve">are </w:t>
            </w:r>
            <w:r w:rsidRPr="63B58C0A">
              <w:t>available within standard operating hours.</w:t>
            </w:r>
          </w:p>
          <w:p w14:paraId="4CD6C86C" w14:textId="77777777" w:rsidR="00281C2F" w:rsidRPr="0066305E"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For pa</w:t>
            </w:r>
            <w:r w:rsidRPr="007E13CE">
              <w:t>ediatric services</w:t>
            </w:r>
            <w:r>
              <w:rPr>
                <w:rStyle w:val="normaltextrun"/>
              </w:rPr>
              <w:t xml:space="preserve">, </w:t>
            </w:r>
            <w:r w:rsidRPr="00E1136E">
              <w:rPr>
                <w:rStyle w:val="normaltextrun"/>
              </w:rPr>
              <w:t>a registered dentist or medical specialist, credentialed at the health service in the peri</w:t>
            </w:r>
            <w:r>
              <w:rPr>
                <w:rStyle w:val="normaltextrun"/>
              </w:rPr>
              <w:t>operative</w:t>
            </w:r>
            <w:r w:rsidRPr="00E1136E">
              <w:rPr>
                <w:rStyle w:val="normaltextrun"/>
              </w:rPr>
              <w:t xml:space="preserve"> management of paediatric patients, is available in standard hours.</w:t>
            </w:r>
            <w:r w:rsidRPr="00E1136E">
              <w:rPr>
                <w:rStyle w:val="eop"/>
              </w:rPr>
              <w:t> </w:t>
            </w:r>
          </w:p>
        </w:tc>
      </w:tr>
      <w:tr w:rsidR="00281C2F" w:rsidRPr="00CA4193" w14:paraId="0831B530" w14:textId="77777777" w:rsidTr="00F307C0">
        <w:trPr>
          <w:gridAfter w:val="1"/>
          <w:cnfStyle w:val="000000100000" w:firstRow="0" w:lastRow="0" w:firstColumn="0" w:lastColumn="0" w:oddVBand="0" w:evenVBand="0" w:oddHBand="1"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2263" w:type="dxa"/>
            <w:shd w:val="clear" w:color="auto" w:fill="DBE5F1" w:themeFill="accent1" w:themeFillTint="33"/>
          </w:tcPr>
          <w:p w14:paraId="60208FE3" w14:textId="77777777" w:rsidR="00281C2F" w:rsidRDefault="00281C2F" w:rsidP="009A032D">
            <w:pPr>
              <w:pStyle w:val="Tabletext"/>
              <w:rPr>
                <w:b w:val="0"/>
                <w:color w:val="4F81BD" w:themeColor="accent1"/>
              </w:rPr>
            </w:pPr>
            <w:r w:rsidRPr="0093127E">
              <w:t xml:space="preserve">Anaesthetics </w:t>
            </w:r>
          </w:p>
        </w:tc>
        <w:tc>
          <w:tcPr>
            <w:tcW w:w="7088" w:type="dxa"/>
            <w:gridSpan w:val="2"/>
            <w:shd w:val="clear" w:color="auto" w:fill="DBE5F1" w:themeFill="accent1" w:themeFillTint="33"/>
          </w:tcPr>
          <w:p w14:paraId="5C3CD859" w14:textId="77777777" w:rsidR="00281C2F" w:rsidRPr="00514B7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514B7E">
              <w:t>Anaesthesia is provided by a medical specialist, credentialed at the health service for perioperative care. They may be supported by a dedicated anaesthetic assistant (or equivalent) for identified cases</w:t>
            </w:r>
            <w:r w:rsidRPr="00514B7E">
              <w:rPr>
                <w:rStyle w:val="FootnoteReference"/>
              </w:rPr>
              <w:footnoteReference w:id="47"/>
            </w:r>
            <w:r w:rsidRPr="00514B7E">
              <w:t xml:space="preserve">. </w:t>
            </w:r>
          </w:p>
          <w:p w14:paraId="2544A2DA" w14:textId="31CE831E" w:rsidR="00281C2F" w:rsidRPr="00514B7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514B7E">
              <w:t xml:space="preserve">Best practice is outlined in </w:t>
            </w:r>
            <w:hyperlink r:id="rId45" w:history="1">
              <w:r w:rsidRPr="00263976">
                <w:rPr>
                  <w:rStyle w:val="Hyperlink"/>
                </w:rPr>
                <w:t>PG09 Guideline on procedural sedation 2022</w:t>
              </w:r>
            </w:hyperlink>
            <w:r w:rsidRPr="00514B7E">
              <w:rPr>
                <w:rStyle w:val="FootnoteReference"/>
              </w:rPr>
              <w:footnoteReference w:id="48"/>
            </w:r>
            <w:r w:rsidRPr="00514B7E">
              <w:t>.</w:t>
            </w:r>
          </w:p>
          <w:p w14:paraId="55285AD6" w14:textId="4F011FAD" w:rsidR="00281C2F" w:rsidRPr="00A040D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514B7E">
              <w:t>For paediatric services, a registered medical specialist,</w:t>
            </w:r>
            <w:r w:rsidRPr="006741B9">
              <w:t xml:space="preserve"> credentialed at the health service for paediatric </w:t>
            </w:r>
            <w:r w:rsidRPr="00514B7E">
              <w:t>anaesthetic care, is</w:t>
            </w:r>
            <w:r w:rsidRPr="006741B9">
              <w:t xml:space="preserve"> available in standard hours.</w:t>
            </w:r>
          </w:p>
        </w:tc>
      </w:tr>
      <w:tr w:rsidR="00281C2F" w:rsidRPr="00A63ED1" w14:paraId="2EF76762" w14:textId="77777777" w:rsidTr="00F307C0">
        <w:trPr>
          <w:gridAfter w:val="1"/>
          <w:wAfter w:w="142" w:type="dxa"/>
        </w:trPr>
        <w:tc>
          <w:tcPr>
            <w:cnfStyle w:val="001000000000" w:firstRow="0" w:lastRow="0" w:firstColumn="1" w:lastColumn="0" w:oddVBand="0" w:evenVBand="0" w:oddHBand="0" w:evenHBand="0" w:firstRowFirstColumn="0" w:firstRowLastColumn="0" w:lastRowFirstColumn="0" w:lastRowLastColumn="0"/>
            <w:tcW w:w="2263" w:type="dxa"/>
          </w:tcPr>
          <w:p w14:paraId="7600A60F" w14:textId="77777777" w:rsidR="00281C2F" w:rsidRPr="00225BB6" w:rsidRDefault="00281C2F" w:rsidP="009A032D">
            <w:pPr>
              <w:pStyle w:val="Tabletext"/>
              <w:rPr>
                <w:b w:val="0"/>
              </w:rPr>
            </w:pPr>
            <w:r w:rsidRPr="007C0BB1">
              <w:t>Nursing</w:t>
            </w:r>
          </w:p>
        </w:tc>
        <w:tc>
          <w:tcPr>
            <w:tcW w:w="7088" w:type="dxa"/>
            <w:gridSpan w:val="2"/>
          </w:tcPr>
          <w:p w14:paraId="11EF936D" w14:textId="77777777" w:rsidR="00281C2F" w:rsidRPr="00225BB6"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Nursing staff with competency in perioperative care are available according to demand</w:t>
            </w:r>
            <w:r>
              <w:rPr>
                <w:rStyle w:val="FootnoteReference"/>
              </w:rPr>
              <w:footnoteReference w:id="49"/>
            </w:r>
            <w:r>
              <w:t xml:space="preserve">. </w:t>
            </w:r>
          </w:p>
        </w:tc>
      </w:tr>
      <w:tr w:rsidR="00281C2F" w:rsidRPr="00A63ED1" w14:paraId="55A5EC73" w14:textId="77777777" w:rsidTr="00F307C0">
        <w:trPr>
          <w:gridAfter w:val="1"/>
          <w:cnfStyle w:val="000000100000" w:firstRow="0" w:lastRow="0" w:firstColumn="0" w:lastColumn="0" w:oddVBand="0" w:evenVBand="0" w:oddHBand="1"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2263" w:type="dxa"/>
            <w:shd w:val="clear" w:color="auto" w:fill="DBE5F1" w:themeFill="accent1" w:themeFillTint="33"/>
          </w:tcPr>
          <w:p w14:paraId="6445E993" w14:textId="77777777" w:rsidR="00281C2F" w:rsidRPr="007C0BB1" w:rsidRDefault="00281C2F" w:rsidP="009A032D">
            <w:pPr>
              <w:pStyle w:val="Tabletext"/>
              <w:rPr>
                <w:b w:val="0"/>
              </w:rPr>
            </w:pPr>
            <w:r>
              <w:t>Allied health</w:t>
            </w:r>
          </w:p>
        </w:tc>
        <w:tc>
          <w:tcPr>
            <w:tcW w:w="7088" w:type="dxa"/>
            <w:gridSpan w:val="2"/>
            <w:shd w:val="clear" w:color="auto" w:fill="DBE5F1" w:themeFill="accent1" w:themeFillTint="33"/>
          </w:tcPr>
          <w:p w14:paraId="691E9779"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Allied health staff with disciplines aligning with perioperative services provided are available.</w:t>
            </w:r>
          </w:p>
        </w:tc>
      </w:tr>
    </w:tbl>
    <w:p w14:paraId="596CDC68" w14:textId="77777777" w:rsidR="00281C2F" w:rsidRDefault="00281C2F" w:rsidP="00281C2F">
      <w:pPr>
        <w:pStyle w:val="Heading3"/>
      </w:pPr>
      <w:r>
        <w:t>Clinical support services</w:t>
      </w:r>
    </w:p>
    <w:p w14:paraId="40505973" w14:textId="2E067A10" w:rsidR="00281C2F" w:rsidRDefault="0022729A" w:rsidP="00281C2F">
      <w:pPr>
        <w:pStyle w:val="Body"/>
      </w:pPr>
      <w:r>
        <w:t xml:space="preserve">This section </w:t>
      </w:r>
      <w:r w:rsidR="00281C2F">
        <w:t>outlines the requirements for clinical support services in Level 2 perioperative services that are in addition to Level 1 responsibilities.</w:t>
      </w:r>
    </w:p>
    <w:tbl>
      <w:tblPr>
        <w:tblStyle w:val="GridTable4-Accent6"/>
        <w:tblW w:w="9351" w:type="dxa"/>
        <w:tblBorders>
          <w:top w:val="none" w:sz="0" w:space="0" w:color="auto"/>
          <w:left w:val="none" w:sz="0" w:space="0" w:color="auto"/>
          <w:bottom w:val="single" w:sz="4" w:space="0" w:color="201547"/>
          <w:right w:val="none" w:sz="0" w:space="0" w:color="auto"/>
          <w:insideH w:val="none" w:sz="0" w:space="0" w:color="auto"/>
          <w:insideV w:val="single" w:sz="4" w:space="0" w:color="201547"/>
        </w:tblBorders>
        <w:tblLook w:val="04A0" w:firstRow="1" w:lastRow="0" w:firstColumn="1" w:lastColumn="0" w:noHBand="0" w:noVBand="1"/>
      </w:tblPr>
      <w:tblGrid>
        <w:gridCol w:w="2405"/>
        <w:gridCol w:w="6946"/>
      </w:tblGrid>
      <w:tr w:rsidR="00EA1812" w:rsidRPr="00EA1812" w14:paraId="61F3AECE" w14:textId="77777777" w:rsidTr="00F307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201547"/>
          </w:tcPr>
          <w:p w14:paraId="2137E0E3" w14:textId="0E74FA40" w:rsidR="00281C2F" w:rsidRPr="00EA1812" w:rsidRDefault="00281C2F" w:rsidP="00EA1812">
            <w:pPr>
              <w:pStyle w:val="Tablecolhead"/>
              <w:rPr>
                <w:b/>
                <w:bCs w:val="0"/>
                <w:color w:val="FFFFFF" w:themeColor="background1"/>
              </w:rPr>
            </w:pPr>
            <w:r w:rsidRPr="00EA1812">
              <w:rPr>
                <w:b/>
                <w:bCs w:val="0"/>
                <w:color w:val="FFFFFF" w:themeColor="background1"/>
              </w:rPr>
              <w:t xml:space="preserve">Level 2 service </w:t>
            </w:r>
          </w:p>
        </w:tc>
        <w:tc>
          <w:tcPr>
            <w:tcW w:w="6946" w:type="dxa"/>
            <w:shd w:val="clear" w:color="auto" w:fill="201547"/>
          </w:tcPr>
          <w:p w14:paraId="77BB27D3" w14:textId="77777777" w:rsidR="00281C2F" w:rsidRPr="00EA1812" w:rsidRDefault="00281C2F" w:rsidP="00EA1812">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EA1812">
              <w:rPr>
                <w:b/>
                <w:bCs w:val="0"/>
                <w:color w:val="FFFFFF" w:themeColor="background1"/>
              </w:rPr>
              <w:t>Requirements</w:t>
            </w:r>
          </w:p>
        </w:tc>
      </w:tr>
      <w:tr w:rsidR="00281C2F" w:rsidRPr="006A6222" w14:paraId="0F13FF77" w14:textId="77777777" w:rsidTr="00F30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5C85F711" w14:textId="77777777" w:rsidR="00281C2F" w:rsidRPr="00EA1812" w:rsidRDefault="00281C2F" w:rsidP="00EA1812">
            <w:pPr>
              <w:pStyle w:val="Tabletext"/>
            </w:pPr>
            <w:r w:rsidRPr="00EA1812">
              <w:rPr>
                <w:rFonts w:eastAsia="MS Mincho"/>
              </w:rPr>
              <w:t>Critical care</w:t>
            </w:r>
          </w:p>
        </w:tc>
        <w:tc>
          <w:tcPr>
            <w:tcW w:w="6946" w:type="dxa"/>
            <w:shd w:val="clear" w:color="auto" w:fill="DBE5F1" w:themeFill="accent1" w:themeFillTint="33"/>
          </w:tcPr>
          <w:p w14:paraId="1A64260A" w14:textId="77777777" w:rsidR="00281C2F" w:rsidRPr="0091765F" w:rsidRDefault="00281C2F" w:rsidP="00EA1812">
            <w:pPr>
              <w:pStyle w:val="Tabletext"/>
              <w:cnfStyle w:val="000000100000" w:firstRow="0" w:lastRow="0" w:firstColumn="0" w:lastColumn="0" w:oddVBand="0" w:evenVBand="0" w:oddHBand="1" w:evenHBand="0" w:firstRowFirstColumn="0" w:firstRowLastColumn="0" w:lastRowFirstColumn="0" w:lastRowLastColumn="0"/>
              <w:rPr>
                <w:rFonts w:cs="Arial"/>
              </w:rPr>
            </w:pPr>
            <w:r w:rsidRPr="0091765F">
              <w:rPr>
                <w:rFonts w:cs="Arial"/>
              </w:rPr>
              <w:t xml:space="preserve">As for </w:t>
            </w:r>
            <w:r>
              <w:rPr>
                <w:rFonts w:cs="Arial"/>
              </w:rPr>
              <w:t>L</w:t>
            </w:r>
            <w:r w:rsidRPr="0091765F">
              <w:rPr>
                <w:rFonts w:cs="Arial"/>
              </w:rPr>
              <w:t>evel 1</w:t>
            </w:r>
            <w:r>
              <w:rPr>
                <w:rFonts w:cs="Arial"/>
              </w:rPr>
              <w:t>.</w:t>
            </w:r>
          </w:p>
        </w:tc>
      </w:tr>
      <w:tr w:rsidR="00281C2F" w:rsidRPr="006A6222" w14:paraId="33F43CB0" w14:textId="77777777" w:rsidTr="00F307C0">
        <w:tc>
          <w:tcPr>
            <w:cnfStyle w:val="001000000000" w:firstRow="0" w:lastRow="0" w:firstColumn="1" w:lastColumn="0" w:oddVBand="0" w:evenVBand="0" w:oddHBand="0" w:evenHBand="0" w:firstRowFirstColumn="0" w:firstRowLastColumn="0" w:lastRowFirstColumn="0" w:lastRowLastColumn="0"/>
            <w:tcW w:w="2405" w:type="dxa"/>
          </w:tcPr>
          <w:p w14:paraId="0D3C23B1" w14:textId="77777777" w:rsidR="00281C2F" w:rsidRPr="00EA1812" w:rsidRDefault="00281C2F" w:rsidP="00EA1812">
            <w:pPr>
              <w:pStyle w:val="Tabletext"/>
            </w:pPr>
            <w:r w:rsidRPr="00EA1812">
              <w:rPr>
                <w:rFonts w:eastAsia="MS Mincho"/>
              </w:rPr>
              <w:t>Emergency response</w:t>
            </w:r>
          </w:p>
        </w:tc>
        <w:tc>
          <w:tcPr>
            <w:tcW w:w="6946" w:type="dxa"/>
          </w:tcPr>
          <w:p w14:paraId="5731FE43" w14:textId="77777777" w:rsidR="00281C2F" w:rsidRPr="0091765F" w:rsidRDefault="00281C2F" w:rsidP="00EA1812">
            <w:pPr>
              <w:pStyle w:val="Tabletext"/>
              <w:cnfStyle w:val="000000000000" w:firstRow="0" w:lastRow="0" w:firstColumn="0" w:lastColumn="0" w:oddVBand="0" w:evenVBand="0" w:oddHBand="0" w:evenHBand="0" w:firstRowFirstColumn="0" w:firstRowLastColumn="0" w:lastRowFirstColumn="0" w:lastRowLastColumn="0"/>
              <w:rPr>
                <w:rFonts w:cs="Arial"/>
              </w:rPr>
            </w:pPr>
            <w:r w:rsidRPr="0091765F">
              <w:rPr>
                <w:rFonts w:cs="Arial"/>
              </w:rPr>
              <w:t xml:space="preserve">As for </w:t>
            </w:r>
            <w:r>
              <w:rPr>
                <w:rFonts w:cs="Arial"/>
              </w:rPr>
              <w:t>L</w:t>
            </w:r>
            <w:r w:rsidRPr="0091765F">
              <w:rPr>
                <w:rFonts w:cs="Arial"/>
              </w:rPr>
              <w:t>evel 1</w:t>
            </w:r>
            <w:r>
              <w:rPr>
                <w:rFonts w:cs="Arial"/>
              </w:rPr>
              <w:t>.</w:t>
            </w:r>
          </w:p>
        </w:tc>
      </w:tr>
      <w:tr w:rsidR="00281C2F" w:rsidRPr="006A6222" w14:paraId="35716095" w14:textId="77777777" w:rsidTr="00F30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3BC8F871" w14:textId="77777777" w:rsidR="00281C2F" w:rsidRPr="00EA1812" w:rsidRDefault="00281C2F" w:rsidP="00EA1812">
            <w:pPr>
              <w:pStyle w:val="Tabletext"/>
              <w:rPr>
                <w:rFonts w:eastAsia="MS Mincho"/>
              </w:rPr>
            </w:pPr>
            <w:r w:rsidRPr="00EA1812">
              <w:t>Medical imaging</w:t>
            </w:r>
          </w:p>
        </w:tc>
        <w:tc>
          <w:tcPr>
            <w:tcW w:w="6946" w:type="dxa"/>
            <w:shd w:val="clear" w:color="auto" w:fill="DBE5F1" w:themeFill="accent1" w:themeFillTint="33"/>
          </w:tcPr>
          <w:p w14:paraId="27EFCBFD" w14:textId="77777777" w:rsidR="00281C2F" w:rsidRPr="0091765F" w:rsidRDefault="00281C2F" w:rsidP="00EA1812">
            <w:pPr>
              <w:pStyle w:val="Tabletext"/>
              <w:cnfStyle w:val="000000100000" w:firstRow="0" w:lastRow="0" w:firstColumn="0" w:lastColumn="0" w:oddVBand="0" w:evenVBand="0" w:oddHBand="1" w:evenHBand="0" w:firstRowFirstColumn="0" w:firstRowLastColumn="0" w:lastRowFirstColumn="0" w:lastRowLastColumn="0"/>
              <w:rPr>
                <w:rFonts w:cs="Arial"/>
              </w:rPr>
            </w:pPr>
            <w:r>
              <w:rPr>
                <w:rFonts w:cs="Arial"/>
              </w:rPr>
              <w:t>There is a</w:t>
            </w:r>
            <w:r w:rsidRPr="0091765F">
              <w:rPr>
                <w:rFonts w:cs="Arial"/>
              </w:rPr>
              <w:t xml:space="preserve">ccess to general </w:t>
            </w:r>
            <w:r>
              <w:rPr>
                <w:rFonts w:cs="Arial"/>
              </w:rPr>
              <w:t>x</w:t>
            </w:r>
            <w:r w:rsidRPr="0091765F">
              <w:rPr>
                <w:rFonts w:cs="Arial"/>
              </w:rPr>
              <w:t xml:space="preserve">-ray and ultrasound services during </w:t>
            </w:r>
            <w:r>
              <w:rPr>
                <w:rFonts w:cs="Arial"/>
              </w:rPr>
              <w:t>standard</w:t>
            </w:r>
            <w:r w:rsidRPr="0091765F">
              <w:rPr>
                <w:rFonts w:cs="Arial"/>
              </w:rPr>
              <w:t xml:space="preserve"> hours.</w:t>
            </w:r>
          </w:p>
        </w:tc>
      </w:tr>
      <w:tr w:rsidR="00281C2F" w:rsidRPr="006A6222" w14:paraId="5BCFD37E" w14:textId="77777777" w:rsidTr="00F307C0">
        <w:tc>
          <w:tcPr>
            <w:cnfStyle w:val="001000000000" w:firstRow="0" w:lastRow="0" w:firstColumn="1" w:lastColumn="0" w:oddVBand="0" w:evenVBand="0" w:oddHBand="0" w:evenHBand="0" w:firstRowFirstColumn="0" w:firstRowLastColumn="0" w:lastRowFirstColumn="0" w:lastRowLastColumn="0"/>
            <w:tcW w:w="2405" w:type="dxa"/>
          </w:tcPr>
          <w:p w14:paraId="59930C65" w14:textId="77777777" w:rsidR="00281C2F" w:rsidRPr="00EA1812" w:rsidRDefault="00281C2F" w:rsidP="00EA1812">
            <w:pPr>
              <w:pStyle w:val="Tabletext"/>
            </w:pPr>
            <w:r w:rsidRPr="00EA1812">
              <w:rPr>
                <w:rFonts w:eastAsia="MS Mincho"/>
              </w:rPr>
              <w:t xml:space="preserve">Pathology and blood/blood products </w:t>
            </w:r>
          </w:p>
        </w:tc>
        <w:tc>
          <w:tcPr>
            <w:tcW w:w="6946" w:type="dxa"/>
          </w:tcPr>
          <w:p w14:paraId="794F577A" w14:textId="77777777" w:rsidR="00281C2F" w:rsidRPr="0091765F" w:rsidRDefault="00281C2F" w:rsidP="00EA1812">
            <w:pPr>
              <w:pStyle w:val="Tabletext"/>
              <w:cnfStyle w:val="000000000000" w:firstRow="0" w:lastRow="0" w:firstColumn="0" w:lastColumn="0" w:oddVBand="0" w:evenVBand="0" w:oddHBand="0" w:evenHBand="0" w:firstRowFirstColumn="0" w:firstRowLastColumn="0" w:lastRowFirstColumn="0" w:lastRowLastColumn="0"/>
            </w:pPr>
            <w:r w:rsidRPr="63B58C0A">
              <w:t xml:space="preserve">Protocols </w:t>
            </w:r>
            <w:r>
              <w:t xml:space="preserve">are in place </w:t>
            </w:r>
            <w:r w:rsidRPr="63B58C0A">
              <w:t xml:space="preserve">for access to blood. Onsite O- is available, </w:t>
            </w:r>
            <w:r>
              <w:t xml:space="preserve">and the service is </w:t>
            </w:r>
            <w:r w:rsidRPr="63B58C0A">
              <w:t>capable of formal blood analysis for ordering specific blood stock.</w:t>
            </w:r>
          </w:p>
          <w:p w14:paraId="73DBECE3" w14:textId="77777777" w:rsidR="00281C2F" w:rsidRPr="0091765F" w:rsidRDefault="00281C2F" w:rsidP="00EA1812">
            <w:pPr>
              <w:pStyle w:val="Tabletext"/>
              <w:cnfStyle w:val="000000000000" w:firstRow="0" w:lastRow="0" w:firstColumn="0" w:lastColumn="0" w:oddVBand="0" w:evenVBand="0" w:oddHBand="0" w:evenHBand="0" w:firstRowFirstColumn="0" w:firstRowLastColumn="0" w:lastRowFirstColumn="0" w:lastRowLastColumn="0"/>
            </w:pPr>
            <w:r w:rsidRPr="63B58C0A">
              <w:t xml:space="preserve">Point of care, blood and specimen collection with processing </w:t>
            </w:r>
            <w:r>
              <w:t xml:space="preserve">are </w:t>
            </w:r>
            <w:r w:rsidRPr="63B58C0A">
              <w:t>available during operating hours for biochemistry, haematology and microbiology.</w:t>
            </w:r>
          </w:p>
          <w:p w14:paraId="571BAD2F" w14:textId="77777777" w:rsidR="00281C2F" w:rsidRPr="0091765F" w:rsidRDefault="00281C2F" w:rsidP="00EA1812">
            <w:pPr>
              <w:pStyle w:val="Tabletext"/>
              <w:cnfStyle w:val="000000000000" w:firstRow="0" w:lastRow="0" w:firstColumn="0" w:lastColumn="0" w:oddVBand="0" w:evenVBand="0" w:oddHBand="0" w:evenHBand="0" w:firstRowFirstColumn="0" w:firstRowLastColumn="0" w:lastRowFirstColumn="0" w:lastRowLastColumn="0"/>
              <w:rPr>
                <w:color w:val="4F81BD" w:themeColor="accent1"/>
              </w:rPr>
            </w:pPr>
            <w:r w:rsidRPr="63B58C0A">
              <w:t>An</w:t>
            </w:r>
            <w:r>
              <w:t xml:space="preserve"> an</w:t>
            </w:r>
            <w:r w:rsidRPr="63B58C0A">
              <w:t>atomical pathology service with off</w:t>
            </w:r>
            <w:r>
              <w:t>site</w:t>
            </w:r>
            <w:r w:rsidRPr="63B58C0A">
              <w:t xml:space="preserve"> processing</w:t>
            </w:r>
            <w:r>
              <w:t xml:space="preserve"> is available</w:t>
            </w:r>
            <w:r w:rsidRPr="63B58C0A">
              <w:t>.</w:t>
            </w:r>
          </w:p>
        </w:tc>
      </w:tr>
      <w:tr w:rsidR="00281C2F" w:rsidRPr="006A6222" w14:paraId="4189CB02" w14:textId="77777777" w:rsidTr="00F30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4EF1666F" w14:textId="77777777" w:rsidR="00281C2F" w:rsidRPr="00EA1812" w:rsidRDefault="00281C2F" w:rsidP="00EA1812">
            <w:pPr>
              <w:pStyle w:val="Tabletext"/>
            </w:pPr>
            <w:r w:rsidRPr="00EA1812">
              <w:rPr>
                <w:rFonts w:eastAsia="MS Mincho"/>
              </w:rPr>
              <w:t>Pharmacy and medicines management</w:t>
            </w:r>
          </w:p>
        </w:tc>
        <w:tc>
          <w:tcPr>
            <w:tcW w:w="6946" w:type="dxa"/>
            <w:shd w:val="clear" w:color="auto" w:fill="DBE5F1" w:themeFill="accent1" w:themeFillTint="33"/>
          </w:tcPr>
          <w:p w14:paraId="1DF38C1D" w14:textId="77777777" w:rsidR="00281C2F" w:rsidRPr="003C3BE8" w:rsidRDefault="00281C2F" w:rsidP="00EA1812">
            <w:pPr>
              <w:pStyle w:val="Tabletext"/>
              <w:cnfStyle w:val="000000100000" w:firstRow="0" w:lastRow="0" w:firstColumn="0" w:lastColumn="0" w:oddVBand="0" w:evenVBand="0" w:oddHBand="1" w:evenHBand="0" w:firstRowFirstColumn="0" w:firstRowLastColumn="0" w:lastRowFirstColumn="0" w:lastRowLastColumn="0"/>
            </w:pPr>
            <w:r>
              <w:t>There is r</w:t>
            </w:r>
            <w:r w:rsidRPr="63B58C0A">
              <w:t>eady access to medicines for post</w:t>
            </w:r>
            <w:r>
              <w:t>-</w:t>
            </w:r>
            <w:r w:rsidRPr="63B58C0A">
              <w:t>procedure care</w:t>
            </w:r>
            <w:r>
              <w:t>,</w:t>
            </w:r>
            <w:r w:rsidRPr="63B58C0A">
              <w:t xml:space="preserve"> such as analgesia and antiemetics for pain and nausea relief.</w:t>
            </w:r>
          </w:p>
          <w:p w14:paraId="2352FB92" w14:textId="77777777" w:rsidR="00281C2F" w:rsidRPr="0091765F" w:rsidRDefault="00281C2F" w:rsidP="00EA1812">
            <w:pPr>
              <w:pStyle w:val="Tabletext"/>
              <w:cnfStyle w:val="000000100000" w:firstRow="0" w:lastRow="0" w:firstColumn="0" w:lastColumn="0" w:oddVBand="0" w:evenVBand="0" w:oddHBand="1" w:evenHBand="0" w:firstRowFirstColumn="0" w:firstRowLastColumn="0" w:lastRowFirstColumn="0" w:lastRowLastColumn="0"/>
            </w:pPr>
            <w:r w:rsidRPr="63B58C0A">
              <w:t xml:space="preserve">A limited </w:t>
            </w:r>
            <w:r>
              <w:t>non-admitted</w:t>
            </w:r>
            <w:r w:rsidRPr="63B58C0A">
              <w:t xml:space="preserve"> and inpatient clinical pharmacy service </w:t>
            </w:r>
            <w:r>
              <w:t xml:space="preserve">is </w:t>
            </w:r>
            <w:r w:rsidRPr="63B58C0A">
              <w:t>available onsite during normal standard hours or specified times</w:t>
            </w:r>
            <w:r>
              <w:t>.</w:t>
            </w:r>
          </w:p>
        </w:tc>
      </w:tr>
      <w:tr w:rsidR="00281C2F" w:rsidRPr="00A63ED1" w14:paraId="5E388174" w14:textId="77777777" w:rsidTr="00F307C0">
        <w:tc>
          <w:tcPr>
            <w:cnfStyle w:val="001000000000" w:firstRow="0" w:lastRow="0" w:firstColumn="1" w:lastColumn="0" w:oddVBand="0" w:evenVBand="0" w:oddHBand="0" w:evenHBand="0" w:firstRowFirstColumn="0" w:firstRowLastColumn="0" w:lastRowFirstColumn="0" w:lastRowLastColumn="0"/>
            <w:tcW w:w="2405" w:type="dxa"/>
          </w:tcPr>
          <w:p w14:paraId="5E3DE3B1" w14:textId="77777777" w:rsidR="00281C2F" w:rsidRPr="0091765F" w:rsidRDefault="00281C2F" w:rsidP="00EA1812">
            <w:pPr>
              <w:pStyle w:val="Tabletext"/>
              <w:rPr>
                <w:b w:val="0"/>
                <w:bCs w:val="0"/>
              </w:rPr>
            </w:pPr>
            <w:r w:rsidRPr="0091765F">
              <w:t>Sociocultural support</w:t>
            </w:r>
          </w:p>
        </w:tc>
        <w:tc>
          <w:tcPr>
            <w:tcW w:w="6946" w:type="dxa"/>
          </w:tcPr>
          <w:p w14:paraId="0754E096" w14:textId="77777777" w:rsidR="00281C2F" w:rsidRPr="0091765F" w:rsidRDefault="00281C2F" w:rsidP="00EA1812">
            <w:pPr>
              <w:pStyle w:val="Tabletext"/>
              <w:cnfStyle w:val="000000000000" w:firstRow="0" w:lastRow="0" w:firstColumn="0" w:lastColumn="0" w:oddVBand="0" w:evenVBand="0" w:oddHBand="0" w:evenHBand="0" w:firstRowFirstColumn="0" w:firstRowLastColumn="0" w:lastRowFirstColumn="0" w:lastRowLastColumn="0"/>
              <w:rPr>
                <w:rFonts w:cs="Arial"/>
              </w:rPr>
            </w:pPr>
            <w:r w:rsidRPr="0091765F">
              <w:rPr>
                <w:rFonts w:cs="Arial"/>
              </w:rPr>
              <w:t xml:space="preserve">As for </w:t>
            </w:r>
            <w:r>
              <w:rPr>
                <w:rFonts w:cs="Arial"/>
              </w:rPr>
              <w:t>L</w:t>
            </w:r>
            <w:r w:rsidRPr="0091765F">
              <w:rPr>
                <w:rFonts w:cs="Arial"/>
              </w:rPr>
              <w:t>evel 1</w:t>
            </w:r>
            <w:r>
              <w:rPr>
                <w:rFonts w:cs="Arial"/>
              </w:rPr>
              <w:t>.</w:t>
            </w:r>
          </w:p>
        </w:tc>
      </w:tr>
    </w:tbl>
    <w:p w14:paraId="38CB2A5D" w14:textId="77777777" w:rsidR="00281C2F" w:rsidRDefault="00281C2F" w:rsidP="00281C2F">
      <w:pPr>
        <w:pStyle w:val="Heading3"/>
      </w:pPr>
      <w:r>
        <w:t>Equipment and infrastructure</w:t>
      </w:r>
    </w:p>
    <w:p w14:paraId="652508DA" w14:textId="7E1DB7F0" w:rsidR="00281C2F" w:rsidRDefault="0022729A" w:rsidP="00281C2F">
      <w:pPr>
        <w:pStyle w:val="Body"/>
      </w:pPr>
      <w:r>
        <w:t xml:space="preserve">This section </w:t>
      </w:r>
      <w:r w:rsidR="00281C2F">
        <w:t xml:space="preserve">outlines the requirements for equipment and infrastructure in Level 2 perioperative services that are in addition to Level 1 </w:t>
      </w:r>
      <w:r w:rsidR="001D17D3">
        <w:t>requirements</w:t>
      </w:r>
      <w:r w:rsidR="00281C2F">
        <w:t>.</w:t>
      </w:r>
    </w:p>
    <w:tbl>
      <w:tblPr>
        <w:tblStyle w:val="GridTable4-Accent6"/>
        <w:tblW w:w="9209" w:type="dxa"/>
        <w:tblBorders>
          <w:top w:val="none" w:sz="0" w:space="0" w:color="auto"/>
          <w:left w:val="none" w:sz="0" w:space="0" w:color="auto"/>
          <w:bottom w:val="single" w:sz="4" w:space="0" w:color="201547"/>
          <w:right w:val="none" w:sz="0" w:space="0" w:color="auto"/>
          <w:insideH w:val="none" w:sz="0" w:space="0" w:color="auto"/>
          <w:insideV w:val="single" w:sz="4" w:space="0" w:color="201547"/>
        </w:tblBorders>
        <w:tblLook w:val="04A0" w:firstRow="1" w:lastRow="0" w:firstColumn="1" w:lastColumn="0" w:noHBand="0" w:noVBand="1"/>
      </w:tblPr>
      <w:tblGrid>
        <w:gridCol w:w="2405"/>
        <w:gridCol w:w="6804"/>
      </w:tblGrid>
      <w:tr w:rsidR="00EA1812" w:rsidRPr="00EA1812" w14:paraId="6A010BBE" w14:textId="77777777" w:rsidTr="00F307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201547"/>
          </w:tcPr>
          <w:p w14:paraId="75B27F8B" w14:textId="60B4DB8A" w:rsidR="00281C2F" w:rsidRPr="00EA1812" w:rsidRDefault="00281C2F" w:rsidP="00EA1812">
            <w:pPr>
              <w:pStyle w:val="Tablecolhead"/>
              <w:rPr>
                <w:b/>
                <w:bCs w:val="0"/>
                <w:color w:val="FFFFFF" w:themeColor="background1"/>
              </w:rPr>
            </w:pPr>
            <w:r w:rsidRPr="00EA1812">
              <w:rPr>
                <w:b/>
                <w:bCs w:val="0"/>
                <w:color w:val="FFFFFF" w:themeColor="background1"/>
              </w:rPr>
              <w:t xml:space="preserve">Level 2 service </w:t>
            </w:r>
          </w:p>
        </w:tc>
        <w:tc>
          <w:tcPr>
            <w:tcW w:w="6804" w:type="dxa"/>
            <w:shd w:val="clear" w:color="auto" w:fill="201547"/>
          </w:tcPr>
          <w:p w14:paraId="5BD3DE39" w14:textId="77777777" w:rsidR="00281C2F" w:rsidRPr="00EA1812" w:rsidRDefault="00281C2F" w:rsidP="00EA1812">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EA1812">
              <w:rPr>
                <w:b/>
                <w:bCs w:val="0"/>
                <w:color w:val="FFFFFF" w:themeColor="background1"/>
              </w:rPr>
              <w:t>Requirements</w:t>
            </w:r>
          </w:p>
        </w:tc>
      </w:tr>
      <w:tr w:rsidR="00281C2F" w:rsidRPr="00A63ED1" w14:paraId="7FDA0E29" w14:textId="77777777" w:rsidTr="00F30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452C6C76" w14:textId="77777777" w:rsidR="00281C2F" w:rsidRPr="00D57657" w:rsidRDefault="00281C2F" w:rsidP="00EA1812">
            <w:pPr>
              <w:pStyle w:val="Tabletext"/>
              <w:rPr>
                <w:b w:val="0"/>
                <w:bCs w:val="0"/>
              </w:rPr>
            </w:pPr>
            <w:r w:rsidRPr="007C0BB1">
              <w:t>Equipment</w:t>
            </w:r>
          </w:p>
        </w:tc>
        <w:tc>
          <w:tcPr>
            <w:tcW w:w="6804" w:type="dxa"/>
            <w:shd w:val="clear" w:color="auto" w:fill="DBE5F1" w:themeFill="accent1" w:themeFillTint="33"/>
          </w:tcPr>
          <w:p w14:paraId="5449CF0C" w14:textId="77777777" w:rsidR="00281C2F" w:rsidRPr="00514B7E" w:rsidRDefault="00281C2F" w:rsidP="00EA1812">
            <w:pPr>
              <w:pStyle w:val="Tabletext"/>
              <w:cnfStyle w:val="000000100000" w:firstRow="0" w:lastRow="0" w:firstColumn="0" w:lastColumn="0" w:oddVBand="0" w:evenVBand="0" w:oddHBand="1" w:evenHBand="0" w:firstRowFirstColumn="0" w:firstRowLastColumn="0" w:lastRowFirstColumn="0" w:lastRowLastColumn="0"/>
            </w:pPr>
            <w:r w:rsidRPr="63B58C0A">
              <w:t xml:space="preserve">Relevant </w:t>
            </w:r>
            <w:r w:rsidRPr="00514B7E">
              <w:t xml:space="preserve">specialist anaesthetic and procedural equipment is available according to demand. </w:t>
            </w:r>
          </w:p>
          <w:p w14:paraId="2E98D395" w14:textId="63FD1E3C" w:rsidR="00281C2F" w:rsidRPr="00514B7E" w:rsidRDefault="00281C2F" w:rsidP="00EA1812">
            <w:pPr>
              <w:pStyle w:val="Tabletext"/>
              <w:cnfStyle w:val="000000100000" w:firstRow="0" w:lastRow="0" w:firstColumn="0" w:lastColumn="0" w:oddVBand="0" w:evenVBand="0" w:oddHBand="1" w:evenHBand="0" w:firstRowFirstColumn="0" w:firstRowLastColumn="0" w:lastRowFirstColumn="0" w:lastRowLastColumn="0"/>
            </w:pPr>
            <w:r w:rsidRPr="00514B7E">
              <w:t xml:space="preserve">Facilities are available as per </w:t>
            </w:r>
            <w:hyperlink r:id="rId46" w:history="1">
              <w:r w:rsidRPr="008E207F">
                <w:rPr>
                  <w:rStyle w:val="Hyperlink"/>
                </w:rPr>
                <w:t>ANZCA PS55: Minimum safe facilities</w:t>
              </w:r>
            </w:hyperlink>
            <w:r w:rsidRPr="00514B7E">
              <w:rPr>
                <w:rStyle w:val="FootnoteReference"/>
                <w:rFonts w:cs="Arial"/>
                <w:i/>
                <w:iCs/>
              </w:rPr>
              <w:footnoteReference w:id="50"/>
            </w:r>
            <w:r w:rsidRPr="00514B7E">
              <w:t>.</w:t>
            </w:r>
          </w:p>
          <w:p w14:paraId="37F9B4E6" w14:textId="5C9E4ED9" w:rsidR="00281C2F" w:rsidRPr="00514B7E" w:rsidRDefault="00281C2F" w:rsidP="00EA1812">
            <w:pPr>
              <w:pStyle w:val="Tabletext"/>
              <w:cnfStyle w:val="000000100000" w:firstRow="0" w:lastRow="0" w:firstColumn="0" w:lastColumn="0" w:oddVBand="0" w:evenVBand="0" w:oddHBand="1" w:evenHBand="0" w:firstRowFirstColumn="0" w:firstRowLastColumn="0" w:lastRowFirstColumn="0" w:lastRowLastColumn="0"/>
            </w:pPr>
            <w:r w:rsidRPr="00514B7E">
              <w:t xml:space="preserve">Anaesthesia monitoring equipment is available and used in line with </w:t>
            </w:r>
            <w:hyperlink r:id="rId47" w:history="1">
              <w:r w:rsidRPr="008E207F">
                <w:rPr>
                  <w:rStyle w:val="Hyperlink"/>
                  <w:i/>
                  <w:iCs/>
                </w:rPr>
                <w:t>ANZCA PG18: Anaesthesia monitoring</w:t>
              </w:r>
            </w:hyperlink>
            <w:r w:rsidRPr="00514B7E">
              <w:rPr>
                <w:rStyle w:val="FootnoteReference"/>
                <w:rFonts w:cs="Arial"/>
              </w:rPr>
              <w:footnoteReference w:id="51"/>
            </w:r>
            <w:r w:rsidRPr="00514B7E">
              <w:t xml:space="preserve">. </w:t>
            </w:r>
          </w:p>
          <w:p w14:paraId="019DB71F" w14:textId="56611AFB" w:rsidR="00281C2F" w:rsidRPr="00514B7E" w:rsidRDefault="00281C2F" w:rsidP="00EA1812">
            <w:pPr>
              <w:pStyle w:val="Tabletext"/>
              <w:cnfStyle w:val="000000100000" w:firstRow="0" w:lastRow="0" w:firstColumn="0" w:lastColumn="0" w:oddVBand="0" w:evenVBand="0" w:oddHBand="1" w:evenHBand="0" w:firstRowFirstColumn="0" w:firstRowLastColumn="0" w:lastRowFirstColumn="0" w:lastRowLastColumn="0"/>
            </w:pPr>
            <w:r w:rsidRPr="00514B7E">
              <w:t xml:space="preserve">Minimum safety requirements for anaesthesia machines are in line with </w:t>
            </w:r>
            <w:hyperlink r:id="rId48" w:history="1">
              <w:r w:rsidRPr="008E207F">
                <w:rPr>
                  <w:rStyle w:val="Hyperlink"/>
                  <w:i/>
                  <w:iCs/>
                </w:rPr>
                <w:t>ANZCA PS54: Anaesthesia machine safety</w:t>
              </w:r>
            </w:hyperlink>
            <w:r w:rsidRPr="00514B7E">
              <w:rPr>
                <w:rStyle w:val="FootnoteReference"/>
                <w:rFonts w:cs="Arial"/>
              </w:rPr>
              <w:footnoteReference w:id="52"/>
            </w:r>
            <w:r w:rsidRPr="00514B7E">
              <w:t>.</w:t>
            </w:r>
          </w:p>
          <w:p w14:paraId="1A86D264" w14:textId="23D61954" w:rsidR="00281C2F" w:rsidRPr="00D57657" w:rsidRDefault="00281C2F" w:rsidP="00EA1812">
            <w:pPr>
              <w:pStyle w:val="Tabletext"/>
              <w:cnfStyle w:val="000000100000" w:firstRow="0" w:lastRow="0" w:firstColumn="0" w:lastColumn="0" w:oddVBand="0" w:evenVBand="0" w:oddHBand="1" w:evenHBand="0" w:firstRowFirstColumn="0" w:firstRowLastColumn="0" w:lastRowFirstColumn="0" w:lastRowLastColumn="0"/>
            </w:pPr>
            <w:r w:rsidRPr="00514B7E">
              <w:t>An anaesthesia delivery</w:t>
            </w:r>
            <w:r w:rsidRPr="00D57657">
              <w:t xml:space="preserve"> system</w:t>
            </w:r>
            <w:r>
              <w:t xml:space="preserve"> is </w:t>
            </w:r>
            <w:r w:rsidRPr="00D57657">
              <w:t xml:space="preserve">in place, maintained and checked in line with </w:t>
            </w:r>
            <w:hyperlink r:id="rId49" w:history="1">
              <w:r w:rsidRPr="008E207F">
                <w:rPr>
                  <w:rStyle w:val="Hyperlink"/>
                  <w:i/>
                  <w:iCs/>
                </w:rPr>
                <w:t>ANZCA PG31: Checking anaesthesia delivery systems</w:t>
              </w:r>
            </w:hyperlink>
            <w:r w:rsidRPr="00D57657">
              <w:rPr>
                <w:rStyle w:val="FootnoteReference"/>
                <w:rFonts w:cs="Arial"/>
              </w:rPr>
              <w:footnoteReference w:id="53"/>
            </w:r>
            <w:r>
              <w:t>.</w:t>
            </w:r>
          </w:p>
          <w:p w14:paraId="41420DA9" w14:textId="31F7309D" w:rsidR="00281C2F" w:rsidRPr="00D57657" w:rsidRDefault="00281C2F" w:rsidP="00EA1812">
            <w:pPr>
              <w:pStyle w:val="Tabletext"/>
              <w:cnfStyle w:val="000000100000" w:firstRow="0" w:lastRow="0" w:firstColumn="0" w:lastColumn="0" w:oddVBand="0" w:evenVBand="0" w:oddHBand="1" w:evenHBand="0" w:firstRowFirstColumn="0" w:firstRowLastColumn="0" w:lastRowFirstColumn="0" w:lastRowLastColumn="0"/>
            </w:pPr>
            <w:r>
              <w:t>A</w:t>
            </w:r>
            <w:r w:rsidRPr="00D57657">
              <w:t>irway equipment</w:t>
            </w:r>
            <w:r>
              <w:t xml:space="preserve"> is available</w:t>
            </w:r>
            <w:r w:rsidRPr="00D57657">
              <w:t xml:space="preserve"> in </w:t>
            </w:r>
            <w:r>
              <w:t>line</w:t>
            </w:r>
            <w:r w:rsidRPr="00D57657">
              <w:t xml:space="preserve"> with </w:t>
            </w:r>
            <w:hyperlink r:id="rId50" w:history="1">
              <w:r w:rsidRPr="008E207F">
                <w:rPr>
                  <w:rStyle w:val="Hyperlink"/>
                  <w:i/>
                  <w:iCs/>
                </w:rPr>
                <w:t>ANZCA PG56: Difficult airway equipment</w:t>
              </w:r>
            </w:hyperlink>
            <w:r w:rsidRPr="00D57657">
              <w:rPr>
                <w:rStyle w:val="FootnoteReference"/>
                <w:rFonts w:cs="Arial"/>
              </w:rPr>
              <w:footnoteReference w:id="54"/>
            </w:r>
            <w:r>
              <w:rPr>
                <w:i/>
                <w:iCs/>
              </w:rPr>
              <w:t>.</w:t>
            </w:r>
          </w:p>
          <w:p w14:paraId="1E12EEBE" w14:textId="77777777" w:rsidR="00281C2F" w:rsidRDefault="00281C2F" w:rsidP="00EA1812">
            <w:pPr>
              <w:pStyle w:val="Tabletext"/>
              <w:cnfStyle w:val="000000100000" w:firstRow="0" w:lastRow="0" w:firstColumn="0" w:lastColumn="0" w:oddVBand="0" w:evenVBand="0" w:oddHBand="1" w:evenHBand="0" w:firstRowFirstColumn="0" w:firstRowLastColumn="0" w:lastRowFirstColumn="0" w:lastRowLastColumn="0"/>
            </w:pPr>
            <w:r w:rsidRPr="006333C6">
              <w:t>Equipment and information and communications technology infrastructure</w:t>
            </w:r>
            <w:r>
              <w:t xml:space="preserve"> is in place</w:t>
            </w:r>
            <w:r w:rsidRPr="006333C6">
              <w:t xml:space="preserve"> to enable virtual care</w:t>
            </w:r>
            <w:r w:rsidRPr="006333C6">
              <w:rPr>
                <w:rStyle w:val="FootnoteReference"/>
                <w:rFonts w:cs="Arial"/>
              </w:rPr>
              <w:footnoteReference w:id="55"/>
            </w:r>
            <w:r w:rsidRPr="006333C6">
              <w:t>.</w:t>
            </w:r>
          </w:p>
          <w:p w14:paraId="575D9ED4" w14:textId="77777777" w:rsidR="00281C2F" w:rsidRPr="00E1136E" w:rsidRDefault="00281C2F" w:rsidP="00EA1812">
            <w:pPr>
              <w:pStyle w:val="Tabletext"/>
              <w:cnfStyle w:val="000000100000" w:firstRow="0" w:lastRow="0" w:firstColumn="0" w:lastColumn="0" w:oddVBand="0" w:evenVBand="0" w:oddHBand="1" w:evenHBand="0" w:firstRowFirstColumn="0" w:firstRowLastColumn="0" w:lastRowFirstColumn="0" w:lastRowLastColumn="0"/>
            </w:pPr>
            <w:r w:rsidRPr="00E1136E">
              <w:t>For paediatric services:</w:t>
            </w:r>
          </w:p>
          <w:p w14:paraId="3DA30082" w14:textId="77777777" w:rsidR="00281C2F" w:rsidRPr="00EA1812" w:rsidRDefault="00281C2F" w:rsidP="00EA1812">
            <w:pPr>
              <w:pStyle w:val="Tablebullet1"/>
              <w:cnfStyle w:val="000000100000" w:firstRow="0" w:lastRow="0" w:firstColumn="0" w:lastColumn="0" w:oddVBand="0" w:evenVBand="0" w:oddHBand="1" w:evenHBand="0" w:firstRowFirstColumn="0" w:firstRowLastColumn="0" w:lastRowFirstColumn="0" w:lastRowLastColumn="0"/>
            </w:pPr>
            <w:r w:rsidRPr="00EA1812">
              <w:t>appropriate perioperative equipment for children (including resuscitation) is available to enable agreed scope of services</w:t>
            </w:r>
          </w:p>
          <w:p w14:paraId="31575EBC" w14:textId="77777777" w:rsidR="00281C2F" w:rsidRPr="001667EB" w:rsidRDefault="00281C2F" w:rsidP="00EA1812">
            <w:pPr>
              <w:pStyle w:val="Tablebullet1"/>
              <w:cnfStyle w:val="000000100000" w:firstRow="0" w:lastRow="0" w:firstColumn="0" w:lastColumn="0" w:oddVBand="0" w:evenVBand="0" w:oddHBand="1" w:evenHBand="0" w:firstRowFirstColumn="0" w:firstRowLastColumn="0" w:lastRowFirstColumn="0" w:lastRowLastColumn="0"/>
            </w:pPr>
            <w:r w:rsidRPr="00EA1812">
              <w:t>the procedure and recovery spaces are appropriate to the needs of children and parents/carers.</w:t>
            </w:r>
          </w:p>
        </w:tc>
      </w:tr>
      <w:tr w:rsidR="00281C2F" w:rsidRPr="00A63ED1" w14:paraId="2AA10521" w14:textId="77777777" w:rsidTr="00F307C0">
        <w:tc>
          <w:tcPr>
            <w:cnfStyle w:val="001000000000" w:firstRow="0" w:lastRow="0" w:firstColumn="1" w:lastColumn="0" w:oddVBand="0" w:evenVBand="0" w:oddHBand="0" w:evenHBand="0" w:firstRowFirstColumn="0" w:firstRowLastColumn="0" w:lastRowFirstColumn="0" w:lastRowLastColumn="0"/>
            <w:tcW w:w="2405" w:type="dxa"/>
          </w:tcPr>
          <w:p w14:paraId="6B5E401D" w14:textId="77777777" w:rsidR="00281C2F" w:rsidRPr="00E1136E" w:rsidRDefault="00281C2F" w:rsidP="009A032D">
            <w:pPr>
              <w:pStyle w:val="DHHSbody"/>
              <w:rPr>
                <w:b w:val="0"/>
                <w:bCs w:val="0"/>
                <w:color w:val="000000" w:themeColor="text1"/>
              </w:rPr>
            </w:pPr>
            <w:r w:rsidRPr="00CC6EC8">
              <w:t>Procedure rooms/ theatre/recovery</w:t>
            </w:r>
          </w:p>
        </w:tc>
        <w:tc>
          <w:tcPr>
            <w:tcW w:w="6804" w:type="dxa"/>
          </w:tcPr>
          <w:p w14:paraId="19CE973E" w14:textId="710BC340" w:rsidR="00281C2F" w:rsidRPr="00CC6EC8"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63B58C0A">
              <w:t xml:space="preserve">Operating </w:t>
            </w:r>
            <w:r>
              <w:t>u</w:t>
            </w:r>
            <w:r w:rsidRPr="63B58C0A">
              <w:t xml:space="preserve">nits/theatres align with the </w:t>
            </w:r>
            <w:hyperlink r:id="rId51" w:history="1">
              <w:r w:rsidRPr="008E207F">
                <w:rPr>
                  <w:rStyle w:val="Hyperlink"/>
                </w:rPr>
                <w:t>Australasian Health Facility Guidelines (Operating Unit)</w:t>
              </w:r>
            </w:hyperlink>
            <w:r>
              <w:t>,</w:t>
            </w:r>
            <w:r w:rsidRPr="63B58C0A">
              <w:t xml:space="preserve"> relevant at the time of construction or refurbishment</w:t>
            </w:r>
            <w:r>
              <w:rPr>
                <w:rStyle w:val="FootnoteReference"/>
                <w:sz w:val="20"/>
              </w:rPr>
              <w:footnoteReference w:id="56"/>
            </w:r>
            <w:r>
              <w:t>.</w:t>
            </w:r>
          </w:p>
          <w:p w14:paraId="258CDEFF" w14:textId="27687ADA" w:rsidR="00281C2F" w:rsidRPr="00CC6EC8"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The d</w:t>
            </w:r>
            <w:r w:rsidRPr="63B58C0A">
              <w:t xml:space="preserve">ay surgery/procedure unit aligns with the </w:t>
            </w:r>
            <w:hyperlink r:id="rId52" w:history="1">
              <w:r w:rsidRPr="008E207F">
                <w:rPr>
                  <w:rStyle w:val="Hyperlink"/>
                </w:rPr>
                <w:t>Australasian Health Facility Guidelines (Day Surgery/Procedure Unit)</w:t>
              </w:r>
            </w:hyperlink>
            <w:r w:rsidRPr="63B58C0A">
              <w:rPr>
                <w:rStyle w:val="FootnoteReference"/>
                <w:rFonts w:cs="Arial"/>
                <w:sz w:val="20"/>
              </w:rPr>
              <w:footnoteReference w:id="57"/>
            </w:r>
            <w:r>
              <w:t>,</w:t>
            </w:r>
            <w:r w:rsidRPr="63B58C0A">
              <w:t xml:space="preserve"> relevant at the time of construction or refurbishment</w:t>
            </w:r>
            <w:r>
              <w:t>.</w:t>
            </w:r>
          </w:p>
          <w:p w14:paraId="28539C54" w14:textId="0DADC76C" w:rsidR="00281C2F" w:rsidRPr="00886BC4"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63B58C0A">
              <w:t xml:space="preserve">Patient recovery is managed and supervised in </w:t>
            </w:r>
            <w:r>
              <w:t xml:space="preserve">a </w:t>
            </w:r>
            <w:r w:rsidRPr="63B58C0A">
              <w:t>properly equipped and staffed area</w:t>
            </w:r>
            <w:r>
              <w:t>,</w:t>
            </w:r>
            <w:r w:rsidRPr="63B58C0A">
              <w:t xml:space="preserve"> in line with </w:t>
            </w:r>
            <w:hyperlink r:id="rId53" w:history="1">
              <w:r w:rsidRPr="00B36523">
                <w:rPr>
                  <w:rStyle w:val="Hyperlink"/>
                  <w:i/>
                  <w:iCs/>
                </w:rPr>
                <w:t>ANZCA PS04: Post-anaesthesia care unit</w:t>
              </w:r>
            </w:hyperlink>
            <w:r w:rsidRPr="63B58C0A">
              <w:rPr>
                <w:rStyle w:val="FootnoteReference"/>
                <w:i/>
                <w:iCs/>
                <w:sz w:val="20"/>
              </w:rPr>
              <w:footnoteReference w:id="58"/>
            </w:r>
            <w:r w:rsidRPr="63B58C0A">
              <w:t>.</w:t>
            </w:r>
          </w:p>
        </w:tc>
      </w:tr>
      <w:tr w:rsidR="00281C2F" w:rsidRPr="00A63ED1" w14:paraId="2E11C299" w14:textId="77777777" w:rsidTr="00F30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7E4E88D1" w14:textId="77777777" w:rsidR="00281C2F" w:rsidRPr="002D76D6" w:rsidRDefault="00281C2F" w:rsidP="009A032D">
            <w:pPr>
              <w:pStyle w:val="DHHSbody"/>
              <w:rPr>
                <w:rFonts w:cs="Arial"/>
                <w:b w:val="0"/>
                <w:bCs w:val="0"/>
              </w:rPr>
            </w:pPr>
            <w:r w:rsidRPr="002D76D6">
              <w:rPr>
                <w:rFonts w:cs="Arial"/>
              </w:rPr>
              <w:t>Environmental services</w:t>
            </w:r>
          </w:p>
        </w:tc>
        <w:tc>
          <w:tcPr>
            <w:tcW w:w="6804" w:type="dxa"/>
            <w:shd w:val="clear" w:color="auto" w:fill="DBE5F1" w:themeFill="accent1" w:themeFillTint="33"/>
          </w:tcPr>
          <w:p w14:paraId="25E3C538" w14:textId="2DCD6EC3" w:rsidR="00281C2F" w:rsidRPr="002D76D6" w:rsidRDefault="00281C2F" w:rsidP="00EA1812">
            <w:pPr>
              <w:pStyle w:val="Tabletext"/>
              <w:cnfStyle w:val="000000100000" w:firstRow="0" w:lastRow="0" w:firstColumn="0" w:lastColumn="0" w:oddVBand="0" w:evenVBand="0" w:oddHBand="1" w:evenHBand="0" w:firstRowFirstColumn="0" w:firstRowLastColumn="0" w:lastRowFirstColumn="0" w:lastRowLastColumn="0"/>
            </w:pPr>
            <w:r w:rsidRPr="63B58C0A">
              <w:t xml:space="preserve">For services undertaking endoscopies, </w:t>
            </w:r>
            <w:r>
              <w:t>s</w:t>
            </w:r>
            <w:r w:rsidRPr="63B58C0A">
              <w:t>terili</w:t>
            </w:r>
            <w:r>
              <w:t>s</w:t>
            </w:r>
            <w:r w:rsidRPr="63B58C0A">
              <w:t xml:space="preserve">ing </w:t>
            </w:r>
            <w:r>
              <w:t>s</w:t>
            </w:r>
            <w:r w:rsidRPr="63B58C0A">
              <w:t xml:space="preserve">ervices and </w:t>
            </w:r>
            <w:r>
              <w:t>e</w:t>
            </w:r>
            <w:r w:rsidRPr="63B58C0A">
              <w:t xml:space="preserve">ndoscope </w:t>
            </w:r>
            <w:r>
              <w:t>r</w:t>
            </w:r>
            <w:r w:rsidRPr="63B58C0A">
              <w:t xml:space="preserve">eprocessing </w:t>
            </w:r>
            <w:r>
              <w:t>u</w:t>
            </w:r>
            <w:r w:rsidRPr="63B58C0A">
              <w:t xml:space="preserve">nits align with </w:t>
            </w:r>
            <w:hyperlink r:id="rId54" w:history="1">
              <w:r w:rsidRPr="00731053">
                <w:rPr>
                  <w:rStyle w:val="Hyperlink"/>
                </w:rPr>
                <w:t>Australasian Health Facility Guidelines (B.0190 Sterilizing Services and Endoscope Reprocessing Units)</w:t>
              </w:r>
            </w:hyperlink>
            <w:r w:rsidRPr="63B58C0A">
              <w:rPr>
                <w:rStyle w:val="FootnoteReference"/>
                <w:sz w:val="20"/>
              </w:rPr>
              <w:footnoteReference w:id="59"/>
            </w:r>
            <w:r w:rsidRPr="63B58C0A">
              <w:t>.</w:t>
            </w:r>
          </w:p>
        </w:tc>
      </w:tr>
    </w:tbl>
    <w:p w14:paraId="7A632578" w14:textId="77777777" w:rsidR="00281C2F" w:rsidRPr="00334553" w:rsidRDefault="00281C2F" w:rsidP="00281C2F">
      <w:pPr>
        <w:pStyle w:val="Body"/>
      </w:pPr>
    </w:p>
    <w:p w14:paraId="48A16E25" w14:textId="77777777" w:rsidR="00281C2F" w:rsidRPr="00A129E7" w:rsidRDefault="00281C2F" w:rsidP="00281C2F">
      <w:pPr>
        <w:pStyle w:val="Body"/>
      </w:pPr>
    </w:p>
    <w:p w14:paraId="740B5D87" w14:textId="77777777" w:rsidR="00281C2F" w:rsidRDefault="00281C2F" w:rsidP="00281C2F">
      <w:pPr>
        <w:pStyle w:val="Body"/>
      </w:pPr>
      <w:r>
        <w:br w:type="page"/>
      </w:r>
    </w:p>
    <w:p w14:paraId="730FE6F2" w14:textId="77777777" w:rsidR="00281C2F" w:rsidRDefault="00281C2F" w:rsidP="00281C2F">
      <w:pPr>
        <w:pStyle w:val="Heading2"/>
        <w:rPr>
          <w:rFonts w:eastAsia="Times"/>
        </w:rPr>
      </w:pPr>
      <w:bookmarkStart w:id="46" w:name="_Toc148626401"/>
      <w:bookmarkStart w:id="47" w:name="_Toc148718456"/>
      <w:bookmarkStart w:id="48" w:name="_Toc153792517"/>
      <w:r w:rsidRPr="00C0454C">
        <w:rPr>
          <w:rFonts w:eastAsia="Times"/>
        </w:rPr>
        <w:t xml:space="preserve">Level 3 </w:t>
      </w:r>
      <w:r>
        <w:rPr>
          <w:rFonts w:eastAsia="Times"/>
        </w:rPr>
        <w:t>p</w:t>
      </w:r>
      <w:r w:rsidRPr="00C0454C">
        <w:rPr>
          <w:rFonts w:eastAsia="Times"/>
        </w:rPr>
        <w:t xml:space="preserve">erioperative </w:t>
      </w:r>
      <w:r>
        <w:rPr>
          <w:rFonts w:eastAsia="Times"/>
        </w:rPr>
        <w:t>s</w:t>
      </w:r>
      <w:r w:rsidRPr="00C0454C">
        <w:rPr>
          <w:rFonts w:eastAsia="Times"/>
        </w:rPr>
        <w:t>ervice</w:t>
      </w:r>
      <w:r>
        <w:rPr>
          <w:rFonts w:eastAsia="Times"/>
        </w:rPr>
        <w:t>s</w:t>
      </w:r>
      <w:bookmarkEnd w:id="46"/>
      <w:bookmarkEnd w:id="47"/>
      <w:bookmarkEnd w:id="48"/>
    </w:p>
    <w:p w14:paraId="56832262" w14:textId="77777777" w:rsidR="004E6507" w:rsidRDefault="004E6507" w:rsidP="004E6507">
      <w:pPr>
        <w:pStyle w:val="Heading3"/>
      </w:pPr>
      <w:r>
        <w:t>Service description</w:t>
      </w:r>
    </w:p>
    <w:p w14:paraId="441BC920" w14:textId="1C1F243C" w:rsidR="00281C2F" w:rsidRDefault="00281C2F" w:rsidP="00281C2F">
      <w:pPr>
        <w:pStyle w:val="Body"/>
      </w:pPr>
      <w:r>
        <w:t xml:space="preserve">Level 3 perioperative services include all the roles and responsibilities in Level 1 and Level 2, with additional requirements outlined </w:t>
      </w:r>
      <w:r w:rsidR="0055410B">
        <w:t>below</w:t>
      </w:r>
      <w:r>
        <w:t>.</w:t>
      </w:r>
    </w:p>
    <w:tbl>
      <w:tblPr>
        <w:tblStyle w:val="GridTable4-Accent6"/>
        <w:tblW w:w="9351" w:type="dxa"/>
        <w:tblBorders>
          <w:top w:val="none" w:sz="0" w:space="0" w:color="auto"/>
          <w:left w:val="none" w:sz="0" w:space="0" w:color="auto"/>
          <w:bottom w:val="single" w:sz="4" w:space="0" w:color="201547"/>
          <w:right w:val="none" w:sz="0" w:space="0" w:color="auto"/>
          <w:insideH w:val="none" w:sz="0" w:space="0" w:color="auto"/>
          <w:insideV w:val="single" w:sz="4" w:space="0" w:color="201547"/>
        </w:tblBorders>
        <w:tblLook w:val="04A0" w:firstRow="1" w:lastRow="0" w:firstColumn="1" w:lastColumn="0" w:noHBand="0" w:noVBand="1"/>
      </w:tblPr>
      <w:tblGrid>
        <w:gridCol w:w="2600"/>
        <w:gridCol w:w="6751"/>
      </w:tblGrid>
      <w:tr w:rsidR="00281C2F" w:rsidRPr="00C73842" w14:paraId="774206DB" w14:textId="77777777" w:rsidTr="009434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00" w:type="dxa"/>
            <w:shd w:val="clear" w:color="auto" w:fill="201547"/>
          </w:tcPr>
          <w:p w14:paraId="032FE96C" w14:textId="484B6A36" w:rsidR="00281C2F" w:rsidRPr="00E1136E" w:rsidRDefault="00281C2F" w:rsidP="009A032D">
            <w:pPr>
              <w:pStyle w:val="Tablecolhead"/>
              <w:rPr>
                <w:b/>
              </w:rPr>
            </w:pPr>
            <w:r w:rsidRPr="00E1136E">
              <w:rPr>
                <w:b/>
                <w:color w:val="FFFFFF" w:themeColor="background1"/>
              </w:rPr>
              <w:t xml:space="preserve">Level 3 service </w:t>
            </w:r>
          </w:p>
        </w:tc>
        <w:tc>
          <w:tcPr>
            <w:tcW w:w="6751" w:type="dxa"/>
            <w:shd w:val="clear" w:color="auto" w:fill="201547"/>
          </w:tcPr>
          <w:p w14:paraId="601A97E5" w14:textId="0D8DA2B8" w:rsidR="00281C2F" w:rsidRPr="00E1136E" w:rsidRDefault="004E6507" w:rsidP="009A032D">
            <w:pPr>
              <w:pStyle w:val="Tablecolhead"/>
              <w:cnfStyle w:val="100000000000" w:firstRow="1" w:lastRow="0" w:firstColumn="0" w:lastColumn="0" w:oddVBand="0" w:evenVBand="0" w:oddHBand="0" w:evenHBand="0" w:firstRowFirstColumn="0" w:firstRowLastColumn="0" w:lastRowFirstColumn="0" w:lastRowLastColumn="0"/>
              <w:rPr>
                <w:b/>
              </w:rPr>
            </w:pPr>
            <w:r>
              <w:rPr>
                <w:b/>
                <w:color w:val="FFFFFF" w:themeColor="background1"/>
              </w:rPr>
              <w:t>Description</w:t>
            </w:r>
          </w:p>
        </w:tc>
      </w:tr>
      <w:tr w:rsidR="00281C2F" w:rsidRPr="00A63ED1" w14:paraId="3762A80B" w14:textId="77777777" w:rsidTr="00943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0" w:type="dxa"/>
            <w:shd w:val="clear" w:color="auto" w:fill="DBE5F1" w:themeFill="accent1" w:themeFillTint="33"/>
          </w:tcPr>
          <w:p w14:paraId="3B0DE829" w14:textId="77777777" w:rsidR="00281C2F" w:rsidRPr="007C0BB1" w:rsidRDefault="00281C2F" w:rsidP="009A032D">
            <w:pPr>
              <w:pStyle w:val="Tabletext"/>
              <w:rPr>
                <w:b w:val="0"/>
                <w:bCs w:val="0"/>
              </w:rPr>
            </w:pPr>
            <w:r w:rsidRPr="007C0BB1">
              <w:t>Complexity of care</w:t>
            </w:r>
          </w:p>
        </w:tc>
        <w:tc>
          <w:tcPr>
            <w:tcW w:w="6751" w:type="dxa"/>
            <w:shd w:val="clear" w:color="auto" w:fill="DBE5F1" w:themeFill="accent1" w:themeFillTint="33"/>
          </w:tcPr>
          <w:p w14:paraId="1F903640" w14:textId="77777777" w:rsidR="00281C2F" w:rsidRPr="007D6C82"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60B09813">
              <w:t>A</w:t>
            </w:r>
            <w:r w:rsidRPr="007D6C82">
              <w:t xml:space="preserve"> </w:t>
            </w:r>
            <w:r>
              <w:t>L</w:t>
            </w:r>
            <w:r w:rsidRPr="007D6C82">
              <w:t xml:space="preserve">evel </w:t>
            </w:r>
            <w:r>
              <w:t>3</w:t>
            </w:r>
            <w:r w:rsidRPr="007D6C82">
              <w:t xml:space="preserve"> service: </w:t>
            </w:r>
          </w:p>
          <w:p w14:paraId="7A7E086B" w14:textId="32C9FD05" w:rsidR="00281C2F" w:rsidRPr="00FC3163"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rPr>
                <w:szCs w:val="18"/>
              </w:rPr>
            </w:pPr>
            <w:r>
              <w:t>p</w:t>
            </w:r>
            <w:r w:rsidRPr="63B58C0A">
              <w:t>rovides moderate complexity planned surgery</w:t>
            </w:r>
            <w:r w:rsidR="008851D2">
              <w:t>.</w:t>
            </w:r>
          </w:p>
          <w:p w14:paraId="5015E289" w14:textId="6536FE50" w:rsidR="00281C2F" w:rsidRPr="00FA44C3"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rPr>
                <w:szCs w:val="18"/>
              </w:rPr>
            </w:pPr>
            <w:r>
              <w:t>p</w:t>
            </w:r>
            <w:r w:rsidRPr="63B58C0A">
              <w:t xml:space="preserve">rovides a range of </w:t>
            </w:r>
            <w:r w:rsidRPr="00C85AC8">
              <w:t>anaesthe</w:t>
            </w:r>
            <w:r w:rsidR="00156DB1" w:rsidRPr="00C85AC8">
              <w:t>sia</w:t>
            </w:r>
            <w:r w:rsidRPr="00C85AC8">
              <w:t>, including general anaesthe</w:t>
            </w:r>
            <w:r w:rsidR="00813F96" w:rsidRPr="00C85AC8">
              <w:t>s</w:t>
            </w:r>
            <w:r w:rsidR="00156DB1" w:rsidRPr="00C85AC8">
              <w:t>ia</w:t>
            </w:r>
            <w:r w:rsidRPr="00C85AC8">
              <w:t xml:space="preserve"> to</w:t>
            </w:r>
            <w:r w:rsidRPr="63B58C0A">
              <w:t xml:space="preserve"> adults with low</w:t>
            </w:r>
            <w:r>
              <w:t>-to-</w:t>
            </w:r>
            <w:r w:rsidRPr="63B58C0A">
              <w:t>moderate perioperative complexity</w:t>
            </w:r>
            <w:r w:rsidR="00813F96">
              <w:t>.</w:t>
            </w:r>
          </w:p>
          <w:p w14:paraId="72A090BC" w14:textId="77777777" w:rsidR="00281C2F" w:rsidRPr="00FA44C3"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rPr>
                <w:szCs w:val="18"/>
              </w:rPr>
            </w:pPr>
            <w:r>
              <w:t>m</w:t>
            </w:r>
            <w:r w:rsidRPr="63B58C0A">
              <w:t>ay include emergency surgery</w:t>
            </w:r>
            <w:r>
              <w:t>,</w:t>
            </w:r>
            <w:r w:rsidRPr="63B58C0A">
              <w:t xml:space="preserve"> where 24/7 perioperative workforce coverage is available.</w:t>
            </w:r>
          </w:p>
          <w:p w14:paraId="14DD7CE0" w14:textId="77777777" w:rsidR="00281C2F" w:rsidRPr="00E1136E"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for p</w:t>
            </w:r>
            <w:r w:rsidRPr="00E1136E">
              <w:t>aediatric services</w:t>
            </w:r>
            <w:r>
              <w:t>, provides:</w:t>
            </w:r>
          </w:p>
          <w:p w14:paraId="100C6B87" w14:textId="77777777" w:rsidR="00281C2F" w:rsidRPr="00AC2904" w:rsidRDefault="00281C2F" w:rsidP="0073249D">
            <w:pPr>
              <w:pStyle w:val="Tablebullet2"/>
              <w:numPr>
                <w:ilvl w:val="1"/>
                <w:numId w:val="4"/>
              </w:numPr>
              <w:tabs>
                <w:tab w:val="num" w:pos="227"/>
              </w:tabs>
              <w:ind w:left="454" w:hanging="227"/>
              <w:cnfStyle w:val="000000100000" w:firstRow="0" w:lastRow="0" w:firstColumn="0" w:lastColumn="0" w:oddVBand="0" w:evenVBand="0" w:oddHBand="1" w:evenHBand="0" w:firstRowFirstColumn="0" w:firstRowLastColumn="0" w:lastRowFirstColumn="0" w:lastRowLastColumn="0"/>
            </w:pPr>
            <w:r w:rsidRPr="63B58C0A">
              <w:t>low</w:t>
            </w:r>
            <w:r>
              <w:t>-</w:t>
            </w:r>
            <w:r w:rsidRPr="63B58C0A">
              <w:t>to</w:t>
            </w:r>
            <w:r>
              <w:t>-</w:t>
            </w:r>
            <w:r w:rsidRPr="63B58C0A">
              <w:t>moderate complexity procedures</w:t>
            </w:r>
            <w:r>
              <w:t>,</w:t>
            </w:r>
            <w:r w:rsidRPr="63B58C0A">
              <w:t xml:space="preserve"> including overnight stays</w:t>
            </w:r>
          </w:p>
          <w:p w14:paraId="4785DED4" w14:textId="77777777" w:rsidR="00281C2F" w:rsidRPr="00AC2904" w:rsidRDefault="00281C2F" w:rsidP="0073249D">
            <w:pPr>
              <w:pStyle w:val="Tablebullet2"/>
              <w:numPr>
                <w:ilvl w:val="1"/>
                <w:numId w:val="4"/>
              </w:numPr>
              <w:tabs>
                <w:tab w:val="num" w:pos="227"/>
              </w:tabs>
              <w:ind w:left="454" w:hanging="227"/>
              <w:cnfStyle w:val="000000100000" w:firstRow="0" w:lastRow="0" w:firstColumn="0" w:lastColumn="0" w:oddVBand="0" w:evenVBand="0" w:oddHBand="1" w:evenHBand="0" w:firstRowFirstColumn="0" w:firstRowLastColumn="0" w:lastRowFirstColumn="0" w:lastRowLastColumn="0"/>
            </w:pPr>
            <w:r>
              <w:t>l</w:t>
            </w:r>
            <w:r w:rsidRPr="63B58C0A">
              <w:t>ow anaesthetic complexity</w:t>
            </w:r>
          </w:p>
          <w:p w14:paraId="75C23B1C" w14:textId="77777777" w:rsidR="00281C2F" w:rsidRPr="00FC3163" w:rsidRDefault="00281C2F" w:rsidP="0073249D">
            <w:pPr>
              <w:pStyle w:val="Tablebullet2"/>
              <w:numPr>
                <w:ilvl w:val="1"/>
                <w:numId w:val="4"/>
              </w:numPr>
              <w:tabs>
                <w:tab w:val="num" w:pos="227"/>
              </w:tabs>
              <w:ind w:left="454" w:hanging="227"/>
              <w:cnfStyle w:val="000000100000" w:firstRow="0" w:lastRow="0" w:firstColumn="0" w:lastColumn="0" w:oddVBand="0" w:evenVBand="0" w:oddHBand="1" w:evenHBand="0" w:firstRowFirstColumn="0" w:firstRowLastColumn="0" w:lastRowFirstColumn="0" w:lastRowLastColumn="0"/>
              <w:rPr>
                <w:szCs w:val="18"/>
              </w:rPr>
            </w:pPr>
            <w:r>
              <w:t>l</w:t>
            </w:r>
            <w:r w:rsidRPr="63B58C0A">
              <w:t>ow patient complexity.</w:t>
            </w:r>
          </w:p>
        </w:tc>
      </w:tr>
      <w:tr w:rsidR="00281C2F" w:rsidRPr="00CA4193" w14:paraId="7D47286F" w14:textId="77777777" w:rsidTr="00943477">
        <w:tc>
          <w:tcPr>
            <w:cnfStyle w:val="001000000000" w:firstRow="0" w:lastRow="0" w:firstColumn="1" w:lastColumn="0" w:oddVBand="0" w:evenVBand="0" w:oddHBand="0" w:evenHBand="0" w:firstRowFirstColumn="0" w:firstRowLastColumn="0" w:lastRowFirstColumn="0" w:lastRowLastColumn="0"/>
            <w:tcW w:w="2600" w:type="dxa"/>
          </w:tcPr>
          <w:p w14:paraId="5ED58609" w14:textId="77777777" w:rsidR="00281C2F" w:rsidRPr="007C0BB1" w:rsidRDefault="00281C2F" w:rsidP="009A032D">
            <w:pPr>
              <w:pStyle w:val="Tabletext"/>
              <w:rPr>
                <w:b w:val="0"/>
                <w:bCs w:val="0"/>
              </w:rPr>
            </w:pPr>
            <w:r w:rsidRPr="007C0BB1">
              <w:t>Procedure/surgery</w:t>
            </w:r>
          </w:p>
        </w:tc>
        <w:tc>
          <w:tcPr>
            <w:tcW w:w="6751" w:type="dxa"/>
          </w:tcPr>
          <w:p w14:paraId="4083F185"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 Level 3 service:</w:t>
            </w:r>
          </w:p>
          <w:p w14:paraId="20D54486" w14:textId="77777777" w:rsidR="00281C2F"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t>f</w:t>
            </w:r>
            <w:r w:rsidRPr="63B58C0A">
              <w:t>ocus</w:t>
            </w:r>
            <w:r>
              <w:t>es</w:t>
            </w:r>
            <w:r w:rsidRPr="63B58C0A">
              <w:t xml:space="preserve"> on providing moderate complexity planned surgery, </w:t>
            </w:r>
            <w:r>
              <w:t xml:space="preserve">which </w:t>
            </w:r>
            <w:r w:rsidRPr="63B58C0A">
              <w:t>may include overnight stays</w:t>
            </w:r>
          </w:p>
          <w:p w14:paraId="30B28DEA" w14:textId="77777777" w:rsidR="00281C2F" w:rsidRPr="007D6C82"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t xml:space="preserve">may </w:t>
            </w:r>
            <w:proofErr w:type="spellStart"/>
            <w:r>
              <w:t>proved</w:t>
            </w:r>
            <w:proofErr w:type="spellEnd"/>
            <w:r>
              <w:t xml:space="preserve"> e</w:t>
            </w:r>
            <w:r w:rsidRPr="63B58C0A">
              <w:t>mergency surgery</w:t>
            </w:r>
            <w:r>
              <w:t>,</w:t>
            </w:r>
            <w:r w:rsidRPr="63B58C0A">
              <w:t xml:space="preserve"> where 24/7 medical coverage is available</w:t>
            </w:r>
          </w:p>
          <w:p w14:paraId="4CFB1D8D" w14:textId="28B50871" w:rsidR="00281C2F"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t>p</w:t>
            </w:r>
            <w:r w:rsidRPr="63B58C0A">
              <w:t>rovides planned surgery and defined scope of procedures for specialties where there is sufficient volume to support a regular list and workforce competency</w:t>
            </w:r>
          </w:p>
          <w:p w14:paraId="58A9985E" w14:textId="77777777" w:rsidR="00281C2F" w:rsidRPr="00FA0383"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t>p</w:t>
            </w:r>
            <w:r w:rsidRPr="63B58C0A">
              <w:t>rovide</w:t>
            </w:r>
            <w:r>
              <w:t>s</w:t>
            </w:r>
            <w:r w:rsidRPr="63B58C0A">
              <w:t xml:space="preserve"> low</w:t>
            </w:r>
            <w:r>
              <w:t>-</w:t>
            </w:r>
            <w:r w:rsidRPr="63B58C0A">
              <w:t>to</w:t>
            </w:r>
            <w:r>
              <w:t>-</w:t>
            </w:r>
            <w:r w:rsidRPr="63B58C0A">
              <w:t>moderate complexity procedures</w:t>
            </w:r>
            <w:r>
              <w:t>,</w:t>
            </w:r>
            <w:r w:rsidRPr="63B58C0A">
              <w:t xml:space="preserve"> including overnight stays</w:t>
            </w:r>
            <w:r>
              <w:t xml:space="preserve"> for paediatric services</w:t>
            </w:r>
            <w:r w:rsidRPr="63B58C0A">
              <w:t>.</w:t>
            </w:r>
          </w:p>
        </w:tc>
      </w:tr>
      <w:tr w:rsidR="00281C2F" w:rsidRPr="00CA4193" w14:paraId="5DAAC579" w14:textId="77777777" w:rsidTr="00943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0" w:type="dxa"/>
            <w:shd w:val="clear" w:color="auto" w:fill="DBE5F1" w:themeFill="accent1" w:themeFillTint="33"/>
          </w:tcPr>
          <w:p w14:paraId="2DE725CF" w14:textId="77777777" w:rsidR="00281C2F" w:rsidRPr="007C0BB1" w:rsidRDefault="00281C2F" w:rsidP="009A032D">
            <w:pPr>
              <w:pStyle w:val="Tabletext"/>
              <w:rPr>
                <w:b w:val="0"/>
                <w:bCs w:val="0"/>
              </w:rPr>
            </w:pPr>
            <w:r w:rsidRPr="007C0BB1">
              <w:t>Anaesthetic complexity</w:t>
            </w:r>
          </w:p>
        </w:tc>
        <w:tc>
          <w:tcPr>
            <w:tcW w:w="6751" w:type="dxa"/>
            <w:shd w:val="clear" w:color="auto" w:fill="DBE5F1" w:themeFill="accent1" w:themeFillTint="33"/>
          </w:tcPr>
          <w:p w14:paraId="17A236DD"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rPr>
                <w:rStyle w:val="normaltextrun"/>
                <w:rFonts w:cs="Arial"/>
                <w:sz w:val="20"/>
              </w:rPr>
            </w:pPr>
            <w:r>
              <w:t>A Level 3 service provides:</w:t>
            </w:r>
          </w:p>
          <w:p w14:paraId="451F8CC2" w14:textId="77777777" w:rsidR="00281C2F" w:rsidRPr="00C85AC8"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rPr>
                <w:rStyle w:val="normaltextrun"/>
                <w:rFonts w:cs="Arial"/>
                <w:szCs w:val="21"/>
              </w:rPr>
            </w:pPr>
            <w:r w:rsidRPr="00C85AC8">
              <w:rPr>
                <w:rStyle w:val="normaltextrun"/>
                <w:rFonts w:cs="Arial"/>
                <w:szCs w:val="21"/>
              </w:rPr>
              <w:t>anaesthetic services to support the service’s procedural caseload for low and selected moderatel</w:t>
            </w:r>
            <w:r w:rsidRPr="00C85AC8">
              <w:rPr>
                <w:rStyle w:val="normaltextrun"/>
                <w:szCs w:val="21"/>
              </w:rPr>
              <w:t>y complex</w:t>
            </w:r>
            <w:r w:rsidRPr="00C85AC8">
              <w:rPr>
                <w:rStyle w:val="normaltextrun"/>
                <w:rFonts w:cs="Arial"/>
                <w:szCs w:val="21"/>
              </w:rPr>
              <w:t xml:space="preserve"> patients undergoing low-to-m</w:t>
            </w:r>
            <w:r w:rsidRPr="00C85AC8">
              <w:rPr>
                <w:rStyle w:val="normaltextrun"/>
                <w:szCs w:val="21"/>
              </w:rPr>
              <w:t xml:space="preserve">oderate </w:t>
            </w:r>
            <w:r w:rsidRPr="00C85AC8">
              <w:rPr>
                <w:rStyle w:val="normaltextrun"/>
                <w:rFonts w:cs="Arial"/>
                <w:szCs w:val="21"/>
              </w:rPr>
              <w:t>complexity procedures </w:t>
            </w:r>
          </w:p>
          <w:p w14:paraId="6667CB76" w14:textId="77777777" w:rsidR="00281C2F" w:rsidRPr="00C85AC8"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rPr>
                <w:rStyle w:val="normaltextrun"/>
                <w:rFonts w:cs="Arial"/>
                <w:szCs w:val="21"/>
              </w:rPr>
            </w:pPr>
            <w:r w:rsidRPr="00C85AC8">
              <w:rPr>
                <w:rStyle w:val="normaltextrun"/>
                <w:rFonts w:cs="Arial"/>
                <w:szCs w:val="21"/>
              </w:rPr>
              <w:t>p</w:t>
            </w:r>
            <w:r w:rsidRPr="00C85AC8">
              <w:rPr>
                <w:rStyle w:val="normaltextrun"/>
                <w:szCs w:val="21"/>
              </w:rPr>
              <w:t>lanned</w:t>
            </w:r>
            <w:r w:rsidRPr="00C85AC8">
              <w:rPr>
                <w:rStyle w:val="normaltextrun"/>
                <w:rFonts w:cs="Arial"/>
                <w:szCs w:val="21"/>
              </w:rPr>
              <w:t xml:space="preserve"> anaesthetic services during standard hours for scheduled lists </w:t>
            </w:r>
          </w:p>
          <w:p w14:paraId="36F557AB" w14:textId="77777777" w:rsidR="00281C2F" w:rsidRPr="00C85AC8"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rPr>
                <w:rStyle w:val="normaltextrun"/>
                <w:rFonts w:cs="Arial"/>
                <w:szCs w:val="21"/>
              </w:rPr>
            </w:pPr>
            <w:r w:rsidRPr="00C85AC8">
              <w:rPr>
                <w:rStyle w:val="normaltextrun"/>
                <w:rFonts w:cs="Arial"/>
                <w:szCs w:val="21"/>
              </w:rPr>
              <w:t>post-procedure anaesthetic recovery care and observation in dedicated area(s).</w:t>
            </w:r>
          </w:p>
          <w:p w14:paraId="7D3100E0" w14:textId="057BDEF2" w:rsidR="00281C2F" w:rsidRPr="00D20AC6" w:rsidRDefault="00281C2F" w:rsidP="009A032D">
            <w:pPr>
              <w:pStyle w:val="Tabletext"/>
              <w:cnfStyle w:val="000000100000" w:firstRow="0" w:lastRow="0" w:firstColumn="0" w:lastColumn="0" w:oddVBand="0" w:evenVBand="0" w:oddHBand="1" w:evenHBand="0" w:firstRowFirstColumn="0" w:firstRowLastColumn="0" w:lastRowFirstColumn="0" w:lastRowLastColumn="0"/>
              <w:rPr>
                <w:rStyle w:val="normaltextrun"/>
                <w:rFonts w:cs="Arial"/>
                <w:szCs w:val="21"/>
              </w:rPr>
            </w:pPr>
            <w:r w:rsidRPr="00C85AC8">
              <w:rPr>
                <w:rStyle w:val="normaltextrun"/>
                <w:rFonts w:eastAsia="MS Gothic" w:cs="Arial"/>
                <w:szCs w:val="21"/>
              </w:rPr>
              <w:t>Where 24/7 emergency surgery is provided</w:t>
            </w:r>
            <w:r w:rsidRPr="00C85AC8">
              <w:rPr>
                <w:rStyle w:val="normaltextrun"/>
                <w:rFonts w:cs="Arial"/>
                <w:szCs w:val="21"/>
              </w:rPr>
              <w:t>,</w:t>
            </w:r>
            <w:r w:rsidRPr="00C85AC8">
              <w:rPr>
                <w:rStyle w:val="normaltextrun"/>
                <w:szCs w:val="21"/>
              </w:rPr>
              <w:t xml:space="preserve"> </w:t>
            </w:r>
            <w:r w:rsidRPr="00C85AC8">
              <w:rPr>
                <w:rStyle w:val="normaltextrun"/>
                <w:rFonts w:cs="Arial"/>
                <w:szCs w:val="21"/>
              </w:rPr>
              <w:t>pre-operative assessment, anaesthe</w:t>
            </w:r>
            <w:r w:rsidR="00D749E4" w:rsidRPr="00C85AC8">
              <w:rPr>
                <w:rStyle w:val="normaltextrun"/>
                <w:rFonts w:cs="Arial"/>
                <w:szCs w:val="21"/>
              </w:rPr>
              <w:t>sia</w:t>
            </w:r>
            <w:r w:rsidRPr="00C85AC8">
              <w:rPr>
                <w:rStyle w:val="normaltextrun"/>
                <w:rFonts w:cs="Arial"/>
                <w:szCs w:val="21"/>
              </w:rPr>
              <w:t xml:space="preserve"> and recovery care</w:t>
            </w:r>
            <w:r w:rsidR="000B0BAC" w:rsidRPr="00C85AC8">
              <w:rPr>
                <w:rStyle w:val="normaltextrun"/>
                <w:rFonts w:cs="Arial"/>
                <w:szCs w:val="21"/>
              </w:rPr>
              <w:t>,</w:t>
            </w:r>
            <w:r w:rsidRPr="00C85AC8">
              <w:rPr>
                <w:rStyle w:val="normaltextrun"/>
                <w:rFonts w:cs="Arial"/>
                <w:szCs w:val="21"/>
              </w:rPr>
              <w:t xml:space="preserve"> must also be available to provide anaesthetic</w:t>
            </w:r>
            <w:r w:rsidRPr="00D20AC6">
              <w:rPr>
                <w:rStyle w:val="normaltextrun"/>
                <w:rFonts w:cs="Arial"/>
                <w:szCs w:val="21"/>
              </w:rPr>
              <w:t xml:space="preserve"> services 24/7.</w:t>
            </w:r>
          </w:p>
          <w:p w14:paraId="5BFB95B2" w14:textId="77777777" w:rsidR="00281C2F" w:rsidRPr="00397929"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D20AC6">
              <w:rPr>
                <w:rStyle w:val="normaltextrun"/>
                <w:bCs/>
                <w:szCs w:val="21"/>
              </w:rPr>
              <w:t xml:space="preserve">Paediatric services – </w:t>
            </w:r>
            <w:r w:rsidRPr="00D20AC6">
              <w:rPr>
                <w:szCs w:val="21"/>
              </w:rPr>
              <w:t>as for Level 2.</w:t>
            </w:r>
            <w:r w:rsidRPr="00881577">
              <w:rPr>
                <w:szCs w:val="18"/>
              </w:rPr>
              <w:t xml:space="preserve"> </w:t>
            </w:r>
          </w:p>
        </w:tc>
      </w:tr>
      <w:tr w:rsidR="00281C2F" w:rsidRPr="00A63ED1" w14:paraId="65FF597B" w14:textId="77777777" w:rsidTr="00943477">
        <w:tc>
          <w:tcPr>
            <w:cnfStyle w:val="001000000000" w:firstRow="0" w:lastRow="0" w:firstColumn="1" w:lastColumn="0" w:oddVBand="0" w:evenVBand="0" w:oddHBand="0" w:evenHBand="0" w:firstRowFirstColumn="0" w:firstRowLastColumn="0" w:lastRowFirstColumn="0" w:lastRowLastColumn="0"/>
            <w:tcW w:w="2600" w:type="dxa"/>
          </w:tcPr>
          <w:p w14:paraId="7B669DCD" w14:textId="77777777" w:rsidR="00281C2F" w:rsidRPr="007C0BB1" w:rsidRDefault="00281C2F" w:rsidP="009A032D">
            <w:pPr>
              <w:pStyle w:val="Tabletext"/>
              <w:rPr>
                <w:b w:val="0"/>
                <w:bCs w:val="0"/>
              </w:rPr>
            </w:pPr>
            <w:r w:rsidRPr="007C0BB1">
              <w:t xml:space="preserve">Patient </w:t>
            </w:r>
            <w:r>
              <w:t>c</w:t>
            </w:r>
            <w:r w:rsidRPr="007C0BB1">
              <w:t>omplexity</w:t>
            </w:r>
          </w:p>
        </w:tc>
        <w:tc>
          <w:tcPr>
            <w:tcW w:w="6751" w:type="dxa"/>
          </w:tcPr>
          <w:p w14:paraId="2AC0C26D" w14:textId="77777777" w:rsidR="00281C2F" w:rsidRPr="00D20AC6" w:rsidRDefault="00281C2F" w:rsidP="009A032D">
            <w:pPr>
              <w:pStyle w:val="Tabletext"/>
              <w:cnfStyle w:val="000000000000" w:firstRow="0" w:lastRow="0" w:firstColumn="0" w:lastColumn="0" w:oddVBand="0" w:evenVBand="0" w:oddHBand="0" w:evenHBand="0" w:firstRowFirstColumn="0" w:firstRowLastColumn="0" w:lastRowFirstColumn="0" w:lastRowLastColumn="0"/>
              <w:rPr>
                <w:rStyle w:val="normaltextrun"/>
                <w:rFonts w:cs="Arial"/>
                <w:szCs w:val="21"/>
              </w:rPr>
            </w:pPr>
            <w:r w:rsidRPr="00D20AC6">
              <w:rPr>
                <w:szCs w:val="21"/>
              </w:rPr>
              <w:t>A Level 3 service provides</w:t>
            </w:r>
            <w:r w:rsidRPr="00D20AC6" w:rsidDel="00C73842">
              <w:rPr>
                <w:rStyle w:val="normaltextrun"/>
                <w:rFonts w:cs="Arial"/>
                <w:szCs w:val="21"/>
              </w:rPr>
              <w:t xml:space="preserve"> </w:t>
            </w:r>
            <w:r w:rsidRPr="00C85AC8">
              <w:rPr>
                <w:rStyle w:val="normaltextrun"/>
                <w:rFonts w:cs="Arial"/>
                <w:szCs w:val="21"/>
              </w:rPr>
              <w:t>anaesthetic care for</w:t>
            </w:r>
            <w:r w:rsidRPr="00D20AC6">
              <w:rPr>
                <w:rStyle w:val="normaltextrun"/>
                <w:rFonts w:cs="Arial"/>
                <w:szCs w:val="21"/>
              </w:rPr>
              <w:t xml:space="preserve"> ASA1–3 patients, and selected ASA4 patients for low-risk procedures.</w:t>
            </w:r>
          </w:p>
          <w:p w14:paraId="3FEF9A4D" w14:textId="77777777" w:rsidR="00281C2F" w:rsidRPr="00D20AC6" w:rsidRDefault="00281C2F" w:rsidP="009A032D">
            <w:pPr>
              <w:pStyle w:val="Tabletext"/>
              <w:cnfStyle w:val="000000000000" w:firstRow="0" w:lastRow="0" w:firstColumn="0" w:lastColumn="0" w:oddVBand="0" w:evenVBand="0" w:oddHBand="0" w:evenHBand="0" w:firstRowFirstColumn="0" w:firstRowLastColumn="0" w:lastRowFirstColumn="0" w:lastRowLastColumn="0"/>
              <w:rPr>
                <w:szCs w:val="21"/>
              </w:rPr>
            </w:pPr>
            <w:r w:rsidRPr="00D20AC6">
              <w:rPr>
                <w:rStyle w:val="normaltextrun"/>
                <w:rFonts w:cs="Arial"/>
                <w:bCs/>
                <w:szCs w:val="21"/>
              </w:rPr>
              <w:t>Paediatric services</w:t>
            </w:r>
            <w:r w:rsidRPr="00D20AC6">
              <w:rPr>
                <w:szCs w:val="21"/>
              </w:rPr>
              <w:t xml:space="preserve"> – as for Level 2.</w:t>
            </w:r>
          </w:p>
        </w:tc>
      </w:tr>
      <w:tr w:rsidR="00281C2F" w:rsidRPr="00CA4193" w14:paraId="195D80B4" w14:textId="77777777" w:rsidTr="00943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0" w:type="dxa"/>
            <w:shd w:val="clear" w:color="auto" w:fill="DBE5F1" w:themeFill="accent1" w:themeFillTint="33"/>
          </w:tcPr>
          <w:p w14:paraId="1018B7E7" w14:textId="77777777" w:rsidR="00281C2F" w:rsidRPr="007C0BB1" w:rsidRDefault="00281C2F" w:rsidP="009A032D">
            <w:pPr>
              <w:pStyle w:val="Tabletext"/>
              <w:rPr>
                <w:b w:val="0"/>
                <w:bCs w:val="0"/>
              </w:rPr>
            </w:pPr>
            <w:r w:rsidRPr="007C0BB1">
              <w:t>Emergency services/</w:t>
            </w:r>
          </w:p>
          <w:p w14:paraId="1F53C1D5" w14:textId="77777777" w:rsidR="00281C2F" w:rsidRPr="007C0BB1" w:rsidRDefault="00281C2F" w:rsidP="009A032D">
            <w:pPr>
              <w:pStyle w:val="Tabletext"/>
              <w:rPr>
                <w:b w:val="0"/>
                <w:bCs w:val="0"/>
              </w:rPr>
            </w:pPr>
            <w:r w:rsidRPr="007C0BB1">
              <w:t>surgery</w:t>
            </w:r>
          </w:p>
        </w:tc>
        <w:tc>
          <w:tcPr>
            <w:tcW w:w="6751" w:type="dxa"/>
            <w:shd w:val="clear" w:color="auto" w:fill="DBE5F1" w:themeFill="accent1" w:themeFillTint="33"/>
          </w:tcPr>
          <w:p w14:paraId="6B3FC299" w14:textId="77777777" w:rsidR="00281C2F" w:rsidRPr="0053516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53516F">
              <w:t>A Level 3 service:</w:t>
            </w:r>
          </w:p>
          <w:p w14:paraId="08194698" w14:textId="77777777" w:rsidR="00281C2F" w:rsidRPr="0053516F"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53516F">
              <w:t>will have a 24-hour urgent care or emergency service</w:t>
            </w:r>
          </w:p>
          <w:p w14:paraId="4CB5F4FB" w14:textId="73823EAC" w:rsidR="00281C2F" w:rsidRPr="00E1136E"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53516F">
              <w:t xml:space="preserve">will be able to manage common perioperative complications, without the need for rapid transport to a </w:t>
            </w:r>
            <w:r w:rsidR="00710B90">
              <w:t>L</w:t>
            </w:r>
            <w:r w:rsidRPr="0053516F">
              <w:t>evel 4–6 facility</w:t>
            </w:r>
          </w:p>
          <w:p w14:paraId="7B843120" w14:textId="77777777" w:rsidR="00281C2F" w:rsidRPr="0053516F"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53516F">
              <w:t xml:space="preserve">may have an emergency surgery service </w:t>
            </w:r>
            <w:r w:rsidRPr="00524D71">
              <w:t>(where provided)</w:t>
            </w:r>
            <w:r>
              <w:t xml:space="preserve"> </w:t>
            </w:r>
            <w:r w:rsidRPr="0053516F">
              <w:t>that is led by a medical specialist and performed in standard hours</w:t>
            </w:r>
            <w:r>
              <w:t>,</w:t>
            </w:r>
            <w:r w:rsidRPr="0053516F">
              <w:t xml:space="preserve"> whenever possible</w:t>
            </w:r>
            <w:r>
              <w:t>.</w:t>
            </w:r>
          </w:p>
        </w:tc>
      </w:tr>
      <w:tr w:rsidR="00281C2F" w:rsidRPr="00A63ED1" w14:paraId="236C6058" w14:textId="77777777" w:rsidTr="00943477">
        <w:tc>
          <w:tcPr>
            <w:cnfStyle w:val="001000000000" w:firstRow="0" w:lastRow="0" w:firstColumn="1" w:lastColumn="0" w:oddVBand="0" w:evenVBand="0" w:oddHBand="0" w:evenHBand="0" w:firstRowFirstColumn="0" w:firstRowLastColumn="0" w:lastRowFirstColumn="0" w:lastRowLastColumn="0"/>
            <w:tcW w:w="2600" w:type="dxa"/>
          </w:tcPr>
          <w:p w14:paraId="331F3868" w14:textId="77777777" w:rsidR="00281C2F" w:rsidRPr="003035BE" w:rsidRDefault="00281C2F" w:rsidP="009A032D">
            <w:pPr>
              <w:pStyle w:val="Tabletext"/>
              <w:rPr>
                <w:b w:val="0"/>
                <w:bCs w:val="0"/>
              </w:rPr>
            </w:pPr>
            <w:r w:rsidRPr="003035BE">
              <w:t>Pre-admission service</w:t>
            </w:r>
          </w:p>
        </w:tc>
        <w:tc>
          <w:tcPr>
            <w:tcW w:w="6751" w:type="dxa"/>
          </w:tcPr>
          <w:p w14:paraId="4FC3BE67" w14:textId="77777777" w:rsidR="00281C2F" w:rsidRPr="00E84196"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As for Level 2.</w:t>
            </w:r>
          </w:p>
        </w:tc>
      </w:tr>
      <w:tr w:rsidR="00281C2F" w:rsidRPr="00A63ED1" w14:paraId="0093C620" w14:textId="77777777" w:rsidTr="00943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0" w:type="dxa"/>
            <w:shd w:val="clear" w:color="auto" w:fill="DBE5F1" w:themeFill="accent1" w:themeFillTint="33"/>
          </w:tcPr>
          <w:p w14:paraId="0FB8CB2A" w14:textId="77777777" w:rsidR="00281C2F" w:rsidRPr="007C0BB1" w:rsidRDefault="00281C2F" w:rsidP="009A032D">
            <w:pPr>
              <w:pStyle w:val="Tabletext"/>
              <w:rPr>
                <w:b w:val="0"/>
                <w:bCs w:val="0"/>
              </w:rPr>
            </w:pPr>
            <w:r w:rsidRPr="007C0BB1">
              <w:t>Pain management capability</w:t>
            </w:r>
          </w:p>
        </w:tc>
        <w:tc>
          <w:tcPr>
            <w:tcW w:w="6751" w:type="dxa"/>
            <w:shd w:val="clear" w:color="auto" w:fill="DBE5F1" w:themeFill="accent1" w:themeFillTint="33"/>
          </w:tcPr>
          <w:p w14:paraId="3F56D0C4" w14:textId="77777777" w:rsidR="00281C2F" w:rsidRPr="007D6C82" w:rsidRDefault="00281C2F" w:rsidP="009A032D">
            <w:pPr>
              <w:pStyle w:val="Tabletext"/>
              <w:cnfStyle w:val="000000100000" w:firstRow="0" w:lastRow="0" w:firstColumn="0" w:lastColumn="0" w:oddVBand="0" w:evenVBand="0" w:oddHBand="1" w:evenHBand="0" w:firstRowFirstColumn="0" w:firstRowLastColumn="0" w:lastRowFirstColumn="0" w:lastRowLastColumn="0"/>
              <w:rPr>
                <w:i/>
                <w:iCs/>
              </w:rPr>
            </w:pPr>
            <w:r w:rsidRPr="63B58C0A">
              <w:t xml:space="preserve">As for </w:t>
            </w:r>
            <w:r w:rsidRPr="6D6C729C">
              <w:t>Level</w:t>
            </w:r>
            <w:r w:rsidRPr="63B58C0A">
              <w:t xml:space="preserve"> 2.</w:t>
            </w:r>
          </w:p>
        </w:tc>
      </w:tr>
      <w:tr w:rsidR="00281C2F" w:rsidRPr="00A63ED1" w14:paraId="3CC44352" w14:textId="77777777" w:rsidTr="00943477">
        <w:tc>
          <w:tcPr>
            <w:cnfStyle w:val="001000000000" w:firstRow="0" w:lastRow="0" w:firstColumn="1" w:lastColumn="0" w:oddVBand="0" w:evenVBand="0" w:oddHBand="0" w:evenHBand="0" w:firstRowFirstColumn="0" w:firstRowLastColumn="0" w:lastRowFirstColumn="0" w:lastRowLastColumn="0"/>
            <w:tcW w:w="2600" w:type="dxa"/>
          </w:tcPr>
          <w:p w14:paraId="402461B6" w14:textId="77777777" w:rsidR="00281C2F" w:rsidRPr="007C0BB1" w:rsidRDefault="00281C2F" w:rsidP="009A032D">
            <w:pPr>
              <w:pStyle w:val="Tabletext"/>
              <w:rPr>
                <w:b w:val="0"/>
                <w:bCs w:val="0"/>
              </w:rPr>
            </w:pPr>
            <w:r w:rsidRPr="007C0BB1">
              <w:t>Discharge planning</w:t>
            </w:r>
          </w:p>
        </w:tc>
        <w:tc>
          <w:tcPr>
            <w:tcW w:w="6751" w:type="dxa"/>
          </w:tcPr>
          <w:p w14:paraId="4EC563C6" w14:textId="77777777" w:rsidR="00281C2F" w:rsidRPr="00CD3942"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 Level 3 service :</w:t>
            </w:r>
          </w:p>
          <w:p w14:paraId="05919460" w14:textId="77777777" w:rsidR="00281C2F"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t>p</w:t>
            </w:r>
            <w:r w:rsidRPr="005F3B1F">
              <w:t>rovides (or facilitates provision of) post-discharge support services</w:t>
            </w:r>
          </w:p>
          <w:p w14:paraId="3CF5DA80" w14:textId="77777777" w:rsidR="00281C2F" w:rsidRPr="00CD3942"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t>has p</w:t>
            </w:r>
            <w:r w:rsidRPr="63B58C0A">
              <w:t>rocesses</w:t>
            </w:r>
            <w:r>
              <w:t xml:space="preserve"> in place</w:t>
            </w:r>
            <w:r w:rsidRPr="63B58C0A">
              <w:t xml:space="preserve"> to identify patients who need support at home, care coordination and are at risk of unplanned re-presentation </w:t>
            </w:r>
          </w:p>
          <w:p w14:paraId="3ECC401C" w14:textId="77777777" w:rsidR="00281C2F" w:rsidRPr="00CD3942"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rPr>
                <w:i/>
                <w:iCs/>
              </w:rPr>
            </w:pPr>
            <w:r>
              <w:t xml:space="preserve">has </w:t>
            </w:r>
            <w:r w:rsidRPr="63B58C0A">
              <w:t>GP liaison services</w:t>
            </w:r>
            <w:r>
              <w:t xml:space="preserve"> that</w:t>
            </w:r>
            <w:r w:rsidRPr="63B58C0A">
              <w:t xml:space="preserve"> work with general practice to improve discharge communication</w:t>
            </w:r>
            <w:r>
              <w:t>.</w:t>
            </w:r>
          </w:p>
        </w:tc>
      </w:tr>
    </w:tbl>
    <w:p w14:paraId="50576FC3" w14:textId="77777777" w:rsidR="00281C2F" w:rsidRDefault="00281C2F" w:rsidP="00281C2F">
      <w:pPr>
        <w:pStyle w:val="Heading3"/>
        <w:rPr>
          <w:color w:val="FFFFFF" w:themeColor="background1"/>
        </w:rPr>
      </w:pPr>
      <w:r>
        <w:t>Clinical w</w:t>
      </w:r>
      <w:r w:rsidRPr="003D2973">
        <w:t>orkforce</w:t>
      </w:r>
      <w:r w:rsidRPr="00F73F0E">
        <w:rPr>
          <w:color w:val="FFFFFF" w:themeColor="background1"/>
        </w:rPr>
        <w:t>:</w:t>
      </w:r>
    </w:p>
    <w:p w14:paraId="456776EA" w14:textId="01A598CD" w:rsidR="00281C2F" w:rsidRDefault="0022729A" w:rsidP="00281C2F">
      <w:pPr>
        <w:pStyle w:val="Body"/>
      </w:pPr>
      <w:r>
        <w:t xml:space="preserve">This section </w:t>
      </w:r>
      <w:r w:rsidR="00281C2F">
        <w:t>outlines the requirements for the clinical workforce in Level 3 perioperative services that are in addition to Level 1 and Level 2 roles and responsibilities.</w:t>
      </w:r>
    </w:p>
    <w:tbl>
      <w:tblPr>
        <w:tblStyle w:val="GridTable4-Accent6"/>
        <w:tblW w:w="9351" w:type="dxa"/>
        <w:tblBorders>
          <w:top w:val="none" w:sz="0" w:space="0" w:color="auto"/>
          <w:left w:val="none" w:sz="0" w:space="0" w:color="auto"/>
          <w:bottom w:val="single" w:sz="4" w:space="0" w:color="201547"/>
          <w:right w:val="none" w:sz="0" w:space="0" w:color="auto"/>
          <w:insideH w:val="none" w:sz="0" w:space="0" w:color="auto"/>
          <w:insideV w:val="single" w:sz="4" w:space="0" w:color="201547"/>
        </w:tblBorders>
        <w:tblLook w:val="04A0" w:firstRow="1" w:lastRow="0" w:firstColumn="1" w:lastColumn="0" w:noHBand="0" w:noVBand="1"/>
      </w:tblPr>
      <w:tblGrid>
        <w:gridCol w:w="2405"/>
        <w:gridCol w:w="6946"/>
      </w:tblGrid>
      <w:tr w:rsidR="00281C2F" w:rsidRPr="0053516F" w14:paraId="34E8D2A0" w14:textId="77777777" w:rsidTr="009434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201547"/>
          </w:tcPr>
          <w:p w14:paraId="0029FB59" w14:textId="2C6D7803" w:rsidR="00281C2F" w:rsidRPr="00203EEE" w:rsidRDefault="00281C2F" w:rsidP="009A032D">
            <w:pPr>
              <w:pStyle w:val="Tablecolhead"/>
            </w:pPr>
            <w:r w:rsidRPr="00E1136E">
              <w:rPr>
                <w:b/>
                <w:color w:val="FFFFFF" w:themeColor="background1"/>
              </w:rPr>
              <w:t xml:space="preserve">Level 3 service </w:t>
            </w:r>
          </w:p>
        </w:tc>
        <w:tc>
          <w:tcPr>
            <w:tcW w:w="6946" w:type="dxa"/>
            <w:shd w:val="clear" w:color="auto" w:fill="201547"/>
          </w:tcPr>
          <w:p w14:paraId="659C36A2" w14:textId="77777777" w:rsidR="00281C2F" w:rsidRPr="00203EEE" w:rsidRDefault="00281C2F" w:rsidP="009A032D">
            <w:pPr>
              <w:pStyle w:val="Tablecolhead"/>
              <w:cnfStyle w:val="100000000000" w:firstRow="1" w:lastRow="0" w:firstColumn="0" w:lastColumn="0" w:oddVBand="0" w:evenVBand="0" w:oddHBand="0" w:evenHBand="0" w:firstRowFirstColumn="0" w:firstRowLastColumn="0" w:lastRowFirstColumn="0" w:lastRowLastColumn="0"/>
            </w:pPr>
            <w:r w:rsidRPr="00E1136E">
              <w:rPr>
                <w:b/>
                <w:color w:val="FFFFFF" w:themeColor="background1"/>
              </w:rPr>
              <w:t>Requirements</w:t>
            </w:r>
          </w:p>
        </w:tc>
      </w:tr>
      <w:tr w:rsidR="00281C2F" w:rsidRPr="00CA4193" w14:paraId="3FB44EA7" w14:textId="77777777" w:rsidTr="00943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62E509F5" w14:textId="77777777" w:rsidR="00281C2F" w:rsidRPr="005F66BF" w:rsidRDefault="00281C2F" w:rsidP="009A032D">
            <w:pPr>
              <w:pStyle w:val="Tabletext"/>
            </w:pPr>
            <w:r w:rsidRPr="00BA41B7">
              <w:t>Surgery/ proceduralist</w:t>
            </w:r>
            <w:r w:rsidRPr="005F66BF">
              <w:t xml:space="preserve"> </w:t>
            </w:r>
          </w:p>
        </w:tc>
        <w:tc>
          <w:tcPr>
            <w:tcW w:w="6946" w:type="dxa"/>
            <w:shd w:val="clear" w:color="auto" w:fill="DBE5F1" w:themeFill="accent1" w:themeFillTint="33"/>
          </w:tcPr>
          <w:p w14:paraId="07BBE0F0" w14:textId="77777777" w:rsidR="00281C2F" w:rsidRPr="00B92957"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For s</w:t>
            </w:r>
            <w:r w:rsidRPr="00B92957">
              <w:t xml:space="preserve">urgery </w:t>
            </w:r>
            <w:r>
              <w:t>–</w:t>
            </w:r>
            <w:r w:rsidRPr="00B92957">
              <w:t xml:space="preserve"> </w:t>
            </w:r>
            <w:r>
              <w:t>o</w:t>
            </w:r>
            <w:r w:rsidRPr="00B92957">
              <w:t>vernight cases</w:t>
            </w:r>
            <w:r>
              <w:t>:</w:t>
            </w:r>
          </w:p>
          <w:p w14:paraId="4DB0FE00" w14:textId="3090259A" w:rsidR="00281C2F" w:rsidRPr="00B92957"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t</w:t>
            </w:r>
            <w:r w:rsidRPr="63B58C0A">
              <w:t>he medical specialist who performed the procedure is accessible for a minimum of 24 hours post</w:t>
            </w:r>
            <w:r>
              <w:t>-procedure</w:t>
            </w:r>
          </w:p>
          <w:p w14:paraId="1A0D234A" w14:textId="77777777" w:rsidR="00281C2F" w:rsidRPr="00B92957"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a</w:t>
            </w:r>
            <w:r w:rsidRPr="63B58C0A">
              <w:t xml:space="preserve"> medical practitioner with competency in peri</w:t>
            </w:r>
            <w:r>
              <w:t>operative</w:t>
            </w:r>
            <w:r w:rsidRPr="63B58C0A">
              <w:t xml:space="preserve"> medical management is available 24/7, while the patient is admitted</w:t>
            </w:r>
          </w:p>
          <w:p w14:paraId="050F86D5" w14:textId="77777777" w:rsidR="00281C2F" w:rsidRPr="005F66BF" w:rsidDel="003B26B6"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E1136E">
              <w:t>For paediatric services, a</w:t>
            </w:r>
            <w:r>
              <w:t xml:space="preserve"> r</w:t>
            </w:r>
            <w:r w:rsidRPr="63B58C0A">
              <w:t>egistered medical specialist</w:t>
            </w:r>
            <w:r>
              <w:t>,</w:t>
            </w:r>
            <w:r w:rsidRPr="63B58C0A">
              <w:t xml:space="preserve"> credentialed at the health service for the peri</w:t>
            </w:r>
            <w:r>
              <w:t>operative</w:t>
            </w:r>
            <w:r w:rsidRPr="63B58C0A">
              <w:t xml:space="preserve"> management of paediatric patients, is available 24/7 while the patient is admitted.</w:t>
            </w:r>
          </w:p>
        </w:tc>
      </w:tr>
      <w:tr w:rsidR="00281C2F" w:rsidRPr="00A63ED1" w14:paraId="649D8DAC" w14:textId="77777777" w:rsidTr="00943477">
        <w:tc>
          <w:tcPr>
            <w:cnfStyle w:val="001000000000" w:firstRow="0" w:lastRow="0" w:firstColumn="1" w:lastColumn="0" w:oddVBand="0" w:evenVBand="0" w:oddHBand="0" w:evenHBand="0" w:firstRowFirstColumn="0" w:firstRowLastColumn="0" w:lastRowFirstColumn="0" w:lastRowLastColumn="0"/>
            <w:tcW w:w="2405" w:type="dxa"/>
          </w:tcPr>
          <w:p w14:paraId="033A3C21" w14:textId="77777777" w:rsidR="00281C2F" w:rsidRPr="00E1136E" w:rsidRDefault="00281C2F" w:rsidP="009A032D">
            <w:pPr>
              <w:pStyle w:val="Tabletext"/>
              <w:rPr>
                <w:bCs w:val="0"/>
              </w:rPr>
            </w:pPr>
            <w:r w:rsidRPr="008D0EAF">
              <w:t xml:space="preserve">Anaesthetics </w:t>
            </w:r>
          </w:p>
        </w:tc>
        <w:tc>
          <w:tcPr>
            <w:tcW w:w="6946" w:type="dxa"/>
          </w:tcPr>
          <w:p w14:paraId="6C218132" w14:textId="77777777" w:rsidR="00281C2F" w:rsidRPr="00E32B54"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 m</w:t>
            </w:r>
            <w:r w:rsidRPr="00E32B54">
              <w:t xml:space="preserve">edical specialist or equivalent, credentialed at the health service for perioperative care, </w:t>
            </w:r>
            <w:r>
              <w:t>is</w:t>
            </w:r>
            <w:r w:rsidRPr="00E32B54">
              <w:t xml:space="preserve"> available 24/7 while the patient is admitted. </w:t>
            </w:r>
          </w:p>
          <w:p w14:paraId="5C6658BF" w14:textId="77777777" w:rsidR="00281C2F" w:rsidRPr="00932E3D"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E32B54">
              <w:t>For identified cases, a medical specialist</w:t>
            </w:r>
            <w:r>
              <w:t>,</w:t>
            </w:r>
            <w:r w:rsidRPr="00E32B54">
              <w:t xml:space="preserve"> credentialed at the health service for </w:t>
            </w:r>
            <w:r w:rsidRPr="00932E3D">
              <w:t>anaesthetic care, is available within operating hours to provide anaesthetic care.</w:t>
            </w:r>
          </w:p>
          <w:p w14:paraId="5D67726C" w14:textId="77777777" w:rsidR="00281C2F" w:rsidRPr="0053516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932E3D">
              <w:rPr>
                <w:rFonts w:cs="Arial"/>
                <w:bCs/>
              </w:rPr>
              <w:t xml:space="preserve">For paediatric services, a </w:t>
            </w:r>
            <w:r w:rsidRPr="00932E3D">
              <w:rPr>
                <w:rStyle w:val="normaltextrun"/>
              </w:rPr>
              <w:t>registered medical specialist, credentialed at the health service for paediatric anaesthetic care, is</w:t>
            </w:r>
            <w:r w:rsidRPr="00E1136E">
              <w:rPr>
                <w:rStyle w:val="normaltextrun"/>
              </w:rPr>
              <w:t xml:space="preserve"> available 24/7 </w:t>
            </w:r>
            <w:r w:rsidRPr="00E1136E">
              <w:t>while the patient is admitted</w:t>
            </w:r>
            <w:r w:rsidRPr="00E1136E">
              <w:rPr>
                <w:rStyle w:val="normaltextrun"/>
              </w:rPr>
              <w:t>. </w:t>
            </w:r>
            <w:r w:rsidRPr="00E1136E">
              <w:rPr>
                <w:rStyle w:val="eop"/>
              </w:rPr>
              <w:t> </w:t>
            </w:r>
          </w:p>
        </w:tc>
      </w:tr>
      <w:tr w:rsidR="00281C2F" w:rsidRPr="00CA4193" w14:paraId="135A3962" w14:textId="77777777" w:rsidTr="00943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hideMark/>
          </w:tcPr>
          <w:p w14:paraId="0B50E3AB" w14:textId="77777777" w:rsidR="00281C2F" w:rsidRPr="00E1136E" w:rsidRDefault="00281C2F" w:rsidP="009A032D">
            <w:pPr>
              <w:pStyle w:val="Tabletext"/>
              <w:rPr>
                <w:bCs w:val="0"/>
              </w:rPr>
            </w:pPr>
            <w:r w:rsidRPr="00B47A21">
              <w:t>Emergency surgery staff</w:t>
            </w:r>
            <w:r>
              <w:t xml:space="preserve"> (excludes planned services)</w:t>
            </w:r>
          </w:p>
        </w:tc>
        <w:tc>
          <w:tcPr>
            <w:tcW w:w="6946" w:type="dxa"/>
            <w:shd w:val="clear" w:color="auto" w:fill="DBE5F1" w:themeFill="accent1" w:themeFillTint="33"/>
          </w:tcPr>
          <w:p w14:paraId="393AC4FA" w14:textId="77777777" w:rsidR="00281C2F" w:rsidRPr="00FC3163"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63B58C0A">
              <w:t xml:space="preserve">A medical specialist, credentialed at the health service for emergency general surgical care, </w:t>
            </w:r>
            <w:r>
              <w:t xml:space="preserve">is </w:t>
            </w:r>
            <w:r w:rsidRPr="63B58C0A">
              <w:t>available 24/7.</w:t>
            </w:r>
          </w:p>
          <w:p w14:paraId="1EA38AF5" w14:textId="77777777" w:rsidR="00281C2F" w:rsidRPr="00C11546" w:rsidRDefault="00281C2F" w:rsidP="009A032D">
            <w:pPr>
              <w:pStyle w:val="Tabletext"/>
              <w:cnfStyle w:val="000000100000" w:firstRow="0" w:lastRow="0" w:firstColumn="0" w:lastColumn="0" w:oddVBand="0" w:evenVBand="0" w:oddHBand="1" w:evenHBand="0" w:firstRowFirstColumn="0" w:firstRowLastColumn="0" w:lastRowFirstColumn="0" w:lastRowLastColumn="0"/>
              <w:rPr>
                <w:rFonts w:cs="Arial"/>
              </w:rPr>
            </w:pPr>
            <w:r w:rsidRPr="63B58C0A">
              <w:t>A medical practitioner, with competency in peri</w:t>
            </w:r>
            <w:r>
              <w:t>operative</w:t>
            </w:r>
            <w:r w:rsidRPr="63B58C0A">
              <w:t xml:space="preserve"> medical management, </w:t>
            </w:r>
            <w:r>
              <w:t xml:space="preserve">is </w:t>
            </w:r>
            <w:r w:rsidRPr="63B58C0A">
              <w:t>available 24/7.</w:t>
            </w:r>
          </w:p>
          <w:p w14:paraId="03168E35" w14:textId="77777777" w:rsidR="00281C2F" w:rsidRPr="00B50F39"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3713E5">
              <w:rPr>
                <w:rStyle w:val="normaltextrun"/>
                <w:szCs w:val="21"/>
              </w:rPr>
              <w:t>Staff trained and credentialed in paediatric advanced life support are available 24/7</w:t>
            </w:r>
            <w:r>
              <w:rPr>
                <w:rStyle w:val="normaltextrun"/>
                <w:sz w:val="20"/>
              </w:rPr>
              <w:t xml:space="preserve"> </w:t>
            </w:r>
            <w:r>
              <w:rPr>
                <w:rStyle w:val="normaltextrun"/>
              </w:rPr>
              <w:t>for paediatric services</w:t>
            </w:r>
            <w:r w:rsidRPr="63B58C0A">
              <w:rPr>
                <w:rStyle w:val="normaltextrun"/>
                <w:sz w:val="20"/>
              </w:rPr>
              <w:t>.</w:t>
            </w:r>
            <w:r w:rsidRPr="63B58C0A">
              <w:rPr>
                <w:rStyle w:val="eop"/>
                <w:sz w:val="20"/>
              </w:rPr>
              <w:t> </w:t>
            </w:r>
          </w:p>
        </w:tc>
      </w:tr>
      <w:tr w:rsidR="00281C2F" w:rsidRPr="00A63ED1" w14:paraId="29084DE7" w14:textId="77777777" w:rsidTr="00943477">
        <w:tc>
          <w:tcPr>
            <w:cnfStyle w:val="001000000000" w:firstRow="0" w:lastRow="0" w:firstColumn="1" w:lastColumn="0" w:oddVBand="0" w:evenVBand="0" w:oddHBand="0" w:evenHBand="0" w:firstRowFirstColumn="0" w:firstRowLastColumn="0" w:lastRowFirstColumn="0" w:lastRowLastColumn="0"/>
            <w:tcW w:w="2405" w:type="dxa"/>
            <w:hideMark/>
          </w:tcPr>
          <w:p w14:paraId="07582BF0" w14:textId="77777777" w:rsidR="00281C2F" w:rsidRPr="008E3DDE" w:rsidRDefault="00281C2F" w:rsidP="009A032D">
            <w:pPr>
              <w:pStyle w:val="Tabletext"/>
              <w:rPr>
                <w:bCs w:val="0"/>
              </w:rPr>
            </w:pPr>
            <w:r w:rsidRPr="008E3DDE">
              <w:t>Nursing</w:t>
            </w:r>
          </w:p>
        </w:tc>
        <w:tc>
          <w:tcPr>
            <w:tcW w:w="6946" w:type="dxa"/>
          </w:tcPr>
          <w:p w14:paraId="5C9A5DAB" w14:textId="77777777" w:rsidR="00281C2F" w:rsidRPr="008E3DDE"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8E3DDE">
              <w:t xml:space="preserve">As for </w:t>
            </w:r>
            <w:r>
              <w:t>L</w:t>
            </w:r>
            <w:r w:rsidRPr="008E3DDE">
              <w:t>evel 2</w:t>
            </w:r>
            <w:r>
              <w:t>.</w:t>
            </w:r>
          </w:p>
        </w:tc>
      </w:tr>
      <w:tr w:rsidR="00281C2F" w:rsidRPr="00A63ED1" w14:paraId="31EE7803" w14:textId="77777777" w:rsidTr="00943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3EA15628" w14:textId="77777777" w:rsidR="00281C2F" w:rsidRPr="008D660D" w:rsidRDefault="00281C2F" w:rsidP="009A032D">
            <w:pPr>
              <w:pStyle w:val="Tabletext"/>
              <w:rPr>
                <w:bCs w:val="0"/>
              </w:rPr>
            </w:pPr>
            <w:r w:rsidRPr="008D660D">
              <w:t>Allied health</w:t>
            </w:r>
          </w:p>
        </w:tc>
        <w:tc>
          <w:tcPr>
            <w:tcW w:w="6946" w:type="dxa"/>
            <w:shd w:val="clear" w:color="auto" w:fill="DBE5F1" w:themeFill="accent1" w:themeFillTint="33"/>
          </w:tcPr>
          <w:p w14:paraId="4E73220F" w14:textId="77777777" w:rsidR="00281C2F" w:rsidRPr="008D660D"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As for Level 2.</w:t>
            </w:r>
          </w:p>
        </w:tc>
      </w:tr>
    </w:tbl>
    <w:p w14:paraId="247EC769" w14:textId="77777777" w:rsidR="00281C2F" w:rsidRDefault="00281C2F" w:rsidP="00281C2F">
      <w:pPr>
        <w:pStyle w:val="Heading3"/>
      </w:pPr>
      <w:r w:rsidRPr="00231DCB">
        <w:t>Clinical support services</w:t>
      </w:r>
    </w:p>
    <w:p w14:paraId="2EB4C317" w14:textId="122E4F2C" w:rsidR="00281C2F" w:rsidRDefault="0022729A" w:rsidP="00281C2F">
      <w:pPr>
        <w:pStyle w:val="Body"/>
      </w:pPr>
      <w:r>
        <w:t xml:space="preserve">This section </w:t>
      </w:r>
      <w:r w:rsidR="00281C2F">
        <w:t>outlines the requirements for clinical support services in Level 3 perioperative services that are in addition to Level 1 and Level 2 responsibilities.</w:t>
      </w:r>
    </w:p>
    <w:tbl>
      <w:tblPr>
        <w:tblStyle w:val="GridTable4-Accent6"/>
        <w:tblW w:w="9347" w:type="dxa"/>
        <w:tblBorders>
          <w:top w:val="none" w:sz="0" w:space="0" w:color="auto"/>
          <w:left w:val="none" w:sz="0" w:space="0" w:color="auto"/>
          <w:bottom w:val="single" w:sz="4" w:space="0" w:color="201547"/>
          <w:right w:val="none" w:sz="0" w:space="0" w:color="auto"/>
          <w:insideH w:val="none" w:sz="0" w:space="0" w:color="auto"/>
          <w:insideV w:val="single" w:sz="4" w:space="0" w:color="201547"/>
        </w:tblBorders>
        <w:tblLook w:val="04A0" w:firstRow="1" w:lastRow="0" w:firstColumn="1" w:lastColumn="0" w:noHBand="0" w:noVBand="1"/>
      </w:tblPr>
      <w:tblGrid>
        <w:gridCol w:w="2405"/>
        <w:gridCol w:w="6942"/>
      </w:tblGrid>
      <w:tr w:rsidR="00281C2F" w:rsidRPr="00B30A1F" w14:paraId="7155B446" w14:textId="77777777" w:rsidTr="009434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201547"/>
          </w:tcPr>
          <w:p w14:paraId="7438345B" w14:textId="35B91C42" w:rsidR="00281C2F" w:rsidRPr="00203EEE" w:rsidRDefault="00281C2F" w:rsidP="009A032D">
            <w:pPr>
              <w:pStyle w:val="Tablecolhead"/>
            </w:pPr>
            <w:r w:rsidRPr="00E1136E">
              <w:rPr>
                <w:b/>
                <w:color w:val="FFFFFF" w:themeColor="background1"/>
              </w:rPr>
              <w:t xml:space="preserve">Level 3 service </w:t>
            </w:r>
          </w:p>
        </w:tc>
        <w:tc>
          <w:tcPr>
            <w:tcW w:w="6942" w:type="dxa"/>
            <w:shd w:val="clear" w:color="auto" w:fill="201547"/>
          </w:tcPr>
          <w:p w14:paraId="2B3D7F9F" w14:textId="77777777" w:rsidR="00281C2F" w:rsidRPr="00203EEE" w:rsidRDefault="00281C2F" w:rsidP="009A032D">
            <w:pPr>
              <w:pStyle w:val="Tablecolhead"/>
              <w:cnfStyle w:val="100000000000" w:firstRow="1" w:lastRow="0" w:firstColumn="0" w:lastColumn="0" w:oddVBand="0" w:evenVBand="0" w:oddHBand="0" w:evenHBand="0" w:firstRowFirstColumn="0" w:firstRowLastColumn="0" w:lastRowFirstColumn="0" w:lastRowLastColumn="0"/>
            </w:pPr>
            <w:r w:rsidRPr="00E1136E">
              <w:rPr>
                <w:b/>
                <w:color w:val="FFFFFF" w:themeColor="background1"/>
              </w:rPr>
              <w:t>Requirements</w:t>
            </w:r>
          </w:p>
        </w:tc>
      </w:tr>
      <w:tr w:rsidR="00281C2F" w:rsidRPr="00A63ED1" w14:paraId="351670E4" w14:textId="77777777" w:rsidTr="00943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7FF1E680" w14:textId="77777777" w:rsidR="00281C2F" w:rsidRPr="00E1136E" w:rsidRDefault="00281C2F" w:rsidP="009A032D">
            <w:pPr>
              <w:pStyle w:val="DHHSbody"/>
              <w:rPr>
                <w:rFonts w:cs="Arial"/>
                <w:b w:val="0"/>
                <w:bCs w:val="0"/>
              </w:rPr>
            </w:pPr>
            <w:r w:rsidRPr="006847F6">
              <w:rPr>
                <w:rFonts w:eastAsia="MS Mincho" w:cs="Arial"/>
              </w:rPr>
              <w:t>Critical</w:t>
            </w:r>
            <w:r w:rsidRPr="006A4FC5">
              <w:rPr>
                <w:rFonts w:eastAsia="MS Mincho" w:cs="Arial"/>
              </w:rPr>
              <w:t xml:space="preserve"> care</w:t>
            </w:r>
          </w:p>
        </w:tc>
        <w:tc>
          <w:tcPr>
            <w:tcW w:w="6942" w:type="dxa"/>
            <w:shd w:val="clear" w:color="auto" w:fill="DBE5F1" w:themeFill="accent1" w:themeFillTint="33"/>
          </w:tcPr>
          <w:p w14:paraId="7E24AD1D" w14:textId="4104D6B9" w:rsidR="00281C2F" w:rsidRPr="006847F6" w:rsidRDefault="00731466" w:rsidP="009A032D">
            <w:pPr>
              <w:pStyle w:val="Tabletext"/>
              <w:cnfStyle w:val="000000100000" w:firstRow="0" w:lastRow="0" w:firstColumn="0" w:lastColumn="0" w:oddVBand="0" w:evenVBand="0" w:oddHBand="1" w:evenHBand="0" w:firstRowFirstColumn="0" w:firstRowLastColumn="0" w:lastRowFirstColumn="0" w:lastRowLastColumn="0"/>
              <w:rPr>
                <w:bCs/>
              </w:rPr>
            </w:pPr>
            <w:r>
              <w:t>Able to provide</w:t>
            </w:r>
            <w:r w:rsidR="005503FF">
              <w:t xml:space="preserve"> </w:t>
            </w:r>
            <w:r w:rsidR="00726E7C">
              <w:t>s</w:t>
            </w:r>
            <w:r w:rsidR="00281C2F" w:rsidRPr="63B58C0A">
              <w:t>hort</w:t>
            </w:r>
            <w:r w:rsidR="00281C2F">
              <w:t>-</w:t>
            </w:r>
            <w:r w:rsidR="00281C2F" w:rsidRPr="63B58C0A">
              <w:t>term close observation and support (up to 72 hours)</w:t>
            </w:r>
            <w:r w:rsidR="00281C2F">
              <w:t>,</w:t>
            </w:r>
            <w:r w:rsidR="00281C2F" w:rsidRPr="63B58C0A">
              <w:t xml:space="preserve"> with referral to a higher-level service if </w:t>
            </w:r>
            <w:r w:rsidR="00281C2F">
              <w:t xml:space="preserve">the </w:t>
            </w:r>
            <w:r w:rsidR="00281C2F" w:rsidRPr="63B58C0A">
              <w:t xml:space="preserve">patient does not improve. </w:t>
            </w:r>
          </w:p>
          <w:p w14:paraId="60123209" w14:textId="77777777" w:rsidR="00281C2F" w:rsidRPr="006847F6"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63B58C0A">
              <w:t xml:space="preserve">Advanced </w:t>
            </w:r>
            <w:r>
              <w:t>l</w:t>
            </w:r>
            <w:r w:rsidRPr="63B58C0A">
              <w:t xml:space="preserve">ife </w:t>
            </w:r>
            <w:r>
              <w:t>s</w:t>
            </w:r>
            <w:r w:rsidRPr="63B58C0A">
              <w:t xml:space="preserve">upport </w:t>
            </w:r>
            <w:r>
              <w:t xml:space="preserve">is in place, </w:t>
            </w:r>
            <w:r w:rsidRPr="63B58C0A">
              <w:t>in line with health service clinical protocols 24/7 for life</w:t>
            </w:r>
            <w:r>
              <w:t>-</w:t>
            </w:r>
            <w:r w:rsidRPr="63B58C0A">
              <w:t>threatening conditions</w:t>
            </w:r>
            <w:r>
              <w:t>,</w:t>
            </w:r>
            <w:r w:rsidRPr="63B58C0A">
              <w:t xml:space="preserve"> and commence</w:t>
            </w:r>
            <w:r>
              <w:t>ment of</w:t>
            </w:r>
            <w:r w:rsidRPr="63B58C0A">
              <w:t xml:space="preserve"> escalation processes for referral, transfer or retrieval.</w:t>
            </w:r>
          </w:p>
        </w:tc>
      </w:tr>
      <w:tr w:rsidR="00281C2F" w:rsidRPr="00A63ED1" w14:paraId="4D21A2AD" w14:textId="77777777" w:rsidTr="00943477">
        <w:tc>
          <w:tcPr>
            <w:cnfStyle w:val="001000000000" w:firstRow="0" w:lastRow="0" w:firstColumn="1" w:lastColumn="0" w:oddVBand="0" w:evenVBand="0" w:oddHBand="0" w:evenHBand="0" w:firstRowFirstColumn="0" w:firstRowLastColumn="0" w:lastRowFirstColumn="0" w:lastRowLastColumn="0"/>
            <w:tcW w:w="2405" w:type="dxa"/>
          </w:tcPr>
          <w:p w14:paraId="38F5AAB4" w14:textId="77777777" w:rsidR="00281C2F" w:rsidRPr="00071ADB" w:rsidRDefault="00281C2F" w:rsidP="009A032D">
            <w:pPr>
              <w:pStyle w:val="DHHSbody"/>
              <w:rPr>
                <w:rFonts w:cs="Arial"/>
                <w:b w:val="0"/>
                <w:bCs w:val="0"/>
              </w:rPr>
            </w:pPr>
            <w:r w:rsidRPr="00071ADB">
              <w:rPr>
                <w:rFonts w:cs="Arial"/>
              </w:rPr>
              <w:t>Emergency response</w:t>
            </w:r>
          </w:p>
        </w:tc>
        <w:tc>
          <w:tcPr>
            <w:tcW w:w="6942" w:type="dxa"/>
          </w:tcPr>
          <w:p w14:paraId="43A286FE" w14:textId="77777777" w:rsidR="00281C2F" w:rsidRPr="00ED7671"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63B58C0A">
              <w:t xml:space="preserve">Registered health practitioner(s) with competency in advanced life support </w:t>
            </w:r>
            <w:r>
              <w:t xml:space="preserve">are available </w:t>
            </w:r>
            <w:r w:rsidRPr="63B58C0A">
              <w:t>onsite 24/7.</w:t>
            </w:r>
          </w:p>
        </w:tc>
      </w:tr>
      <w:tr w:rsidR="00281C2F" w:rsidRPr="00A63ED1" w14:paraId="1236CD89" w14:textId="77777777" w:rsidTr="00943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1E6AAFF9" w14:textId="77777777" w:rsidR="00281C2F" w:rsidRPr="00EF4AD3" w:rsidRDefault="00281C2F" w:rsidP="009A032D">
            <w:pPr>
              <w:pStyle w:val="DHHSbody"/>
              <w:rPr>
                <w:rFonts w:cs="Arial"/>
                <w:b w:val="0"/>
                <w:bCs w:val="0"/>
              </w:rPr>
            </w:pPr>
            <w:r w:rsidRPr="00EF4AD3">
              <w:rPr>
                <w:rFonts w:cs="Arial"/>
              </w:rPr>
              <w:t>Medical imaging</w:t>
            </w:r>
          </w:p>
        </w:tc>
        <w:tc>
          <w:tcPr>
            <w:tcW w:w="6942" w:type="dxa"/>
            <w:shd w:val="clear" w:color="auto" w:fill="DBE5F1" w:themeFill="accent1" w:themeFillTint="33"/>
          </w:tcPr>
          <w:p w14:paraId="7DEDB739"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An o</w:t>
            </w:r>
            <w:r w:rsidRPr="63B58C0A">
              <w:t xml:space="preserve">nsite clinician ultrasound and x-ray service </w:t>
            </w:r>
            <w:r>
              <w:t xml:space="preserve">is </w:t>
            </w:r>
            <w:r w:rsidRPr="63B58C0A">
              <w:t>available during operating hours (planned only)</w:t>
            </w:r>
            <w:r>
              <w:t>.</w:t>
            </w:r>
          </w:p>
          <w:p w14:paraId="239B08C2"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63B58C0A">
              <w:t xml:space="preserve">CT </w:t>
            </w:r>
            <w:r>
              <w:t>is accessible – this may be offsite or provided by an external provider.</w:t>
            </w:r>
          </w:p>
          <w:p w14:paraId="0DABC87B" w14:textId="77777777" w:rsidR="00281C2F" w:rsidRPr="00335E81"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335E81">
              <w:t>Where 24/7 emergency surgery is provided</w:t>
            </w:r>
            <w:r>
              <w:t>,</w:t>
            </w:r>
            <w:r w:rsidRPr="00335E81">
              <w:t xml:space="preserve"> </w:t>
            </w:r>
            <w:r>
              <w:t>u</w:t>
            </w:r>
            <w:r w:rsidRPr="00335E81">
              <w:t>ltrasound a</w:t>
            </w:r>
            <w:r>
              <w:t>nd x-ray services are available 24/7.</w:t>
            </w:r>
          </w:p>
        </w:tc>
      </w:tr>
      <w:tr w:rsidR="00281C2F" w:rsidRPr="00A63ED1" w14:paraId="1F644F87" w14:textId="77777777" w:rsidTr="00943477">
        <w:tc>
          <w:tcPr>
            <w:cnfStyle w:val="001000000000" w:firstRow="0" w:lastRow="0" w:firstColumn="1" w:lastColumn="0" w:oddVBand="0" w:evenVBand="0" w:oddHBand="0" w:evenHBand="0" w:firstRowFirstColumn="0" w:firstRowLastColumn="0" w:lastRowFirstColumn="0" w:lastRowLastColumn="0"/>
            <w:tcW w:w="2405" w:type="dxa"/>
          </w:tcPr>
          <w:p w14:paraId="5B77B2BF" w14:textId="77777777" w:rsidR="00281C2F" w:rsidRPr="00E30B9F" w:rsidRDefault="00281C2F" w:rsidP="009A032D">
            <w:pPr>
              <w:pStyle w:val="DHHSbody"/>
              <w:rPr>
                <w:rFonts w:cs="Arial"/>
                <w:b w:val="0"/>
                <w:bCs w:val="0"/>
              </w:rPr>
            </w:pPr>
            <w:r w:rsidRPr="00E30B9F">
              <w:rPr>
                <w:rFonts w:cs="Arial"/>
              </w:rPr>
              <w:t xml:space="preserve">Pathology and blood/blood products </w:t>
            </w:r>
          </w:p>
        </w:tc>
        <w:tc>
          <w:tcPr>
            <w:tcW w:w="6942" w:type="dxa"/>
          </w:tcPr>
          <w:p w14:paraId="1A112926" w14:textId="77777777" w:rsidR="00281C2F" w:rsidRPr="00E30B9F" w:rsidRDefault="00281C2F" w:rsidP="009A032D">
            <w:pPr>
              <w:pStyle w:val="Tabletext"/>
              <w:cnfStyle w:val="000000000000" w:firstRow="0" w:lastRow="0" w:firstColumn="0" w:lastColumn="0" w:oddVBand="0" w:evenVBand="0" w:oddHBand="0" w:evenHBand="0" w:firstRowFirstColumn="0" w:firstRowLastColumn="0" w:lastRowFirstColumn="0" w:lastRowLastColumn="0"/>
              <w:rPr>
                <w:rFonts w:cs="Arial"/>
              </w:rPr>
            </w:pPr>
            <w:r w:rsidRPr="63B58C0A">
              <w:t>Point</w:t>
            </w:r>
            <w:r>
              <w:t>-</w:t>
            </w:r>
            <w:r w:rsidRPr="63B58C0A">
              <w:t>of</w:t>
            </w:r>
            <w:r>
              <w:t>-</w:t>
            </w:r>
            <w:r w:rsidRPr="63B58C0A">
              <w:t>care and onsite blood and specimen collection</w:t>
            </w:r>
            <w:r>
              <w:t>,</w:t>
            </w:r>
            <w:r w:rsidRPr="63B58C0A">
              <w:t xml:space="preserve"> with processing for biochemistry, haematology and microbiology</w:t>
            </w:r>
            <w:r>
              <w:t>, is</w:t>
            </w:r>
            <w:r w:rsidRPr="63B58C0A">
              <w:t xml:space="preserve"> available during operating hours and overnight</w:t>
            </w:r>
            <w:r>
              <w:t xml:space="preserve"> for </w:t>
            </w:r>
            <w:r w:rsidRPr="63B58C0A">
              <w:t>admitted care.</w:t>
            </w:r>
            <w:r w:rsidRPr="63B58C0A">
              <w:rPr>
                <w:rFonts w:cs="Arial"/>
              </w:rPr>
              <w:t xml:space="preserve"> </w:t>
            </w:r>
          </w:p>
        </w:tc>
      </w:tr>
      <w:tr w:rsidR="00281C2F" w:rsidRPr="00A63ED1" w14:paraId="4D60DD33" w14:textId="77777777" w:rsidTr="00943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664BB4C6" w14:textId="77777777" w:rsidR="00281C2F" w:rsidRPr="00D1671E" w:rsidRDefault="00281C2F" w:rsidP="009A032D">
            <w:pPr>
              <w:pStyle w:val="DHHSbody"/>
              <w:rPr>
                <w:rFonts w:cs="Arial"/>
                <w:b w:val="0"/>
                <w:bCs w:val="0"/>
              </w:rPr>
            </w:pPr>
            <w:r w:rsidRPr="00D1671E">
              <w:rPr>
                <w:rFonts w:cs="Arial"/>
              </w:rPr>
              <w:t>Pharmacy and medicines management</w:t>
            </w:r>
          </w:p>
        </w:tc>
        <w:tc>
          <w:tcPr>
            <w:tcW w:w="6942" w:type="dxa"/>
            <w:shd w:val="clear" w:color="auto" w:fill="DBE5F1" w:themeFill="accent1" w:themeFillTint="33"/>
          </w:tcPr>
          <w:p w14:paraId="0162FBC1" w14:textId="77777777" w:rsidR="00281C2F" w:rsidRPr="003354B1" w:rsidRDefault="00281C2F" w:rsidP="009A032D">
            <w:pPr>
              <w:pStyle w:val="Tabletext"/>
              <w:cnfStyle w:val="000000100000" w:firstRow="0" w:lastRow="0" w:firstColumn="0" w:lastColumn="0" w:oddVBand="0" w:evenVBand="0" w:oddHBand="1" w:evenHBand="0" w:firstRowFirstColumn="0" w:firstRowLastColumn="0" w:lastRowFirstColumn="0" w:lastRowLastColumn="0"/>
              <w:rPr>
                <w:i/>
              </w:rPr>
            </w:pPr>
            <w:r>
              <w:t>An o</w:t>
            </w:r>
            <w:r w:rsidRPr="63B58C0A">
              <w:t>nsite pharmacy service that provides clinical pharmacy, medicines information, hospital-wide medication management services, medicines procurement, dispensing and distribution services</w:t>
            </w:r>
            <w:r>
              <w:t>, is</w:t>
            </w:r>
            <w:r w:rsidRPr="63B58C0A">
              <w:t xml:space="preserve"> available during standard hours</w:t>
            </w:r>
            <w:r>
              <w:t>,</w:t>
            </w:r>
            <w:r w:rsidRPr="63B58C0A">
              <w:t xml:space="preserve"> with on-call access 24/7.</w:t>
            </w:r>
            <w:r w:rsidRPr="63B58C0A">
              <w:rPr>
                <w:i/>
                <w:iCs/>
              </w:rPr>
              <w:t xml:space="preserve"> </w:t>
            </w:r>
          </w:p>
        </w:tc>
      </w:tr>
      <w:tr w:rsidR="00281C2F" w:rsidRPr="00A63ED1" w14:paraId="7A750F33" w14:textId="77777777" w:rsidTr="00943477">
        <w:tc>
          <w:tcPr>
            <w:cnfStyle w:val="001000000000" w:firstRow="0" w:lastRow="0" w:firstColumn="1" w:lastColumn="0" w:oddVBand="0" w:evenVBand="0" w:oddHBand="0" w:evenHBand="0" w:firstRowFirstColumn="0" w:firstRowLastColumn="0" w:lastRowFirstColumn="0" w:lastRowLastColumn="0"/>
            <w:tcW w:w="2405" w:type="dxa"/>
          </w:tcPr>
          <w:p w14:paraId="1812CF50" w14:textId="77777777" w:rsidR="00281C2F" w:rsidRPr="00D1671E" w:rsidRDefault="00281C2F" w:rsidP="009A032D">
            <w:pPr>
              <w:pStyle w:val="DHHSbody"/>
              <w:rPr>
                <w:rFonts w:cs="Arial"/>
                <w:b w:val="0"/>
              </w:rPr>
            </w:pPr>
            <w:r w:rsidRPr="00D1671E">
              <w:rPr>
                <w:rFonts w:cs="Arial"/>
              </w:rPr>
              <w:t xml:space="preserve">Sociocultural support </w:t>
            </w:r>
          </w:p>
        </w:tc>
        <w:tc>
          <w:tcPr>
            <w:tcW w:w="6942" w:type="dxa"/>
          </w:tcPr>
          <w:p w14:paraId="24A7F094" w14:textId="77777777" w:rsidR="00281C2F" w:rsidRPr="00DD1F91"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63B58C0A">
              <w:t>There is a dedicated GP liaison role for surgery</w:t>
            </w:r>
            <w:r>
              <w:t>.</w:t>
            </w:r>
          </w:p>
          <w:p w14:paraId="59C5204D" w14:textId="2E594ADB" w:rsidR="00281C2F" w:rsidRPr="00161FBE" w:rsidRDefault="00281C2F" w:rsidP="009A032D">
            <w:pPr>
              <w:pStyle w:val="Tabletext"/>
              <w:cnfStyle w:val="000000000000" w:firstRow="0" w:lastRow="0" w:firstColumn="0" w:lastColumn="0" w:oddVBand="0" w:evenVBand="0" w:oddHBand="0" w:evenHBand="0" w:firstRowFirstColumn="0" w:firstRowLastColumn="0" w:lastRowFirstColumn="0" w:lastRowLastColumn="0"/>
              <w:rPr>
                <w:rFonts w:cs="Arial"/>
              </w:rPr>
            </w:pPr>
            <w:r w:rsidRPr="63B58C0A">
              <w:t xml:space="preserve">The relevant ACCO is involved in discharge planning for Aboriginal </w:t>
            </w:r>
            <w:r w:rsidR="00021345" w:rsidRPr="00B21F3F">
              <w:t xml:space="preserve">and Torres Strait Islander </w:t>
            </w:r>
            <w:r w:rsidRPr="63B58C0A">
              <w:t>patients.</w:t>
            </w:r>
          </w:p>
        </w:tc>
      </w:tr>
    </w:tbl>
    <w:p w14:paraId="77D50093" w14:textId="77777777" w:rsidR="00281C2F" w:rsidRDefault="00281C2F" w:rsidP="00281C2F">
      <w:pPr>
        <w:pStyle w:val="Heading3"/>
      </w:pPr>
      <w:r>
        <w:t>Equipment and infrastructure</w:t>
      </w:r>
    </w:p>
    <w:p w14:paraId="4183FAB8" w14:textId="63385D8E" w:rsidR="00281C2F" w:rsidRDefault="0022729A" w:rsidP="00281C2F">
      <w:pPr>
        <w:pStyle w:val="Body"/>
      </w:pPr>
      <w:r>
        <w:t xml:space="preserve">This section </w:t>
      </w:r>
      <w:r w:rsidR="00281C2F">
        <w:t xml:space="preserve">outlines the requirements for equipment and infrastructure in Level 3 perioperative services that are in addition to Level 1 and Level 2 </w:t>
      </w:r>
      <w:r w:rsidR="00AF05CE">
        <w:t>requirements</w:t>
      </w:r>
      <w:r w:rsidR="00281C2F">
        <w:t>.</w:t>
      </w:r>
    </w:p>
    <w:tbl>
      <w:tblPr>
        <w:tblStyle w:val="GridTable4-Accent6"/>
        <w:tblW w:w="9351" w:type="dxa"/>
        <w:tblBorders>
          <w:top w:val="none" w:sz="0" w:space="0" w:color="auto"/>
          <w:left w:val="none" w:sz="0" w:space="0" w:color="auto"/>
          <w:bottom w:val="single" w:sz="4" w:space="0" w:color="201547"/>
          <w:right w:val="none" w:sz="0" w:space="0" w:color="auto"/>
          <w:insideH w:val="none" w:sz="0" w:space="0" w:color="auto"/>
          <w:insideV w:val="single" w:sz="4" w:space="0" w:color="201547"/>
        </w:tblBorders>
        <w:tblLook w:val="04A0" w:firstRow="1" w:lastRow="0" w:firstColumn="1" w:lastColumn="0" w:noHBand="0" w:noVBand="1"/>
      </w:tblPr>
      <w:tblGrid>
        <w:gridCol w:w="2405"/>
        <w:gridCol w:w="6946"/>
      </w:tblGrid>
      <w:tr w:rsidR="00281C2F" w:rsidRPr="00B30A1F" w14:paraId="144F3DB8" w14:textId="77777777" w:rsidTr="009434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201547"/>
          </w:tcPr>
          <w:p w14:paraId="5C74AF40" w14:textId="2C1EA1F0" w:rsidR="00281C2F" w:rsidRPr="00203EEE" w:rsidRDefault="00281C2F" w:rsidP="009A032D">
            <w:pPr>
              <w:pStyle w:val="Tablecolhead"/>
            </w:pPr>
            <w:r w:rsidRPr="00E1136E">
              <w:rPr>
                <w:b/>
                <w:color w:val="FFFFFF" w:themeColor="background1"/>
              </w:rPr>
              <w:t xml:space="preserve">Level 3 service </w:t>
            </w:r>
          </w:p>
        </w:tc>
        <w:tc>
          <w:tcPr>
            <w:tcW w:w="6946" w:type="dxa"/>
            <w:shd w:val="clear" w:color="auto" w:fill="201547"/>
          </w:tcPr>
          <w:p w14:paraId="037400CC" w14:textId="77777777" w:rsidR="00281C2F" w:rsidRPr="00203EEE" w:rsidRDefault="00281C2F" w:rsidP="009A032D">
            <w:pPr>
              <w:pStyle w:val="Tablecolhead"/>
              <w:cnfStyle w:val="100000000000" w:firstRow="1" w:lastRow="0" w:firstColumn="0" w:lastColumn="0" w:oddVBand="0" w:evenVBand="0" w:oddHBand="0" w:evenHBand="0" w:firstRowFirstColumn="0" w:firstRowLastColumn="0" w:lastRowFirstColumn="0" w:lastRowLastColumn="0"/>
            </w:pPr>
            <w:r w:rsidRPr="00E1136E">
              <w:rPr>
                <w:b/>
                <w:color w:val="FFFFFF" w:themeColor="background1"/>
              </w:rPr>
              <w:t>Requirements</w:t>
            </w:r>
          </w:p>
        </w:tc>
      </w:tr>
      <w:tr w:rsidR="00281C2F" w:rsidRPr="00A63ED1" w14:paraId="11DEF792" w14:textId="77777777" w:rsidTr="00943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hideMark/>
          </w:tcPr>
          <w:p w14:paraId="3EFF8ABE" w14:textId="77777777" w:rsidR="00281C2F" w:rsidRPr="00EA5C9E" w:rsidRDefault="00281C2F" w:rsidP="009A032D">
            <w:pPr>
              <w:pStyle w:val="Tabletext"/>
              <w:rPr>
                <w:b w:val="0"/>
                <w:color w:val="F79646" w:themeColor="accent6"/>
              </w:rPr>
            </w:pPr>
            <w:r w:rsidRPr="00454FCF">
              <w:t>Equipment</w:t>
            </w:r>
          </w:p>
        </w:tc>
        <w:tc>
          <w:tcPr>
            <w:tcW w:w="6946" w:type="dxa"/>
            <w:shd w:val="clear" w:color="auto" w:fill="DBE5F1" w:themeFill="accent1" w:themeFillTint="33"/>
          </w:tcPr>
          <w:p w14:paraId="6C7A7F20" w14:textId="77777777" w:rsidR="00281C2F" w:rsidRPr="00A93894"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63B58C0A">
              <w:t>Specific consideration</w:t>
            </w:r>
            <w:r>
              <w:t xml:space="preserve"> is</w:t>
            </w:r>
            <w:r w:rsidRPr="63B58C0A">
              <w:t xml:space="preserve"> given to the needs of patients and</w:t>
            </w:r>
            <w:r>
              <w:t>,</w:t>
            </w:r>
            <w:r w:rsidRPr="63B58C0A">
              <w:t xml:space="preserve"> if appropriate</w:t>
            </w:r>
            <w:r>
              <w:t>,</w:t>
            </w:r>
            <w:r w:rsidRPr="63B58C0A">
              <w:t xml:space="preserve"> facilities and equipment </w:t>
            </w:r>
            <w:r>
              <w:t>are</w:t>
            </w:r>
            <w:r w:rsidRPr="63B58C0A">
              <w:t xml:space="preserve"> available (for example, patient BMI, obstructive sleep apnoea)</w:t>
            </w:r>
            <w:r>
              <w:t>.</w:t>
            </w:r>
          </w:p>
          <w:p w14:paraId="326BE23E" w14:textId="77777777" w:rsidR="00281C2F" w:rsidRPr="00A93894"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63B58C0A">
              <w:t xml:space="preserve">Patient-controlled analgesia machines </w:t>
            </w:r>
            <w:r>
              <w:t xml:space="preserve">are available </w:t>
            </w:r>
            <w:r w:rsidRPr="63B58C0A">
              <w:t>for post-operative care.</w:t>
            </w:r>
          </w:p>
          <w:p w14:paraId="6FD3227D" w14:textId="77777777" w:rsidR="00281C2F" w:rsidRPr="00A93894"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63B58C0A">
              <w:t xml:space="preserve">Dedicated imaging </w:t>
            </w:r>
            <w:r>
              <w:t xml:space="preserve">is </w:t>
            </w:r>
            <w:r w:rsidRPr="63B58C0A">
              <w:t>available to the operating suite.</w:t>
            </w:r>
          </w:p>
        </w:tc>
      </w:tr>
      <w:tr w:rsidR="00281C2F" w14:paraId="56D58223" w14:textId="77777777" w:rsidTr="00943477">
        <w:trPr>
          <w:trHeight w:val="300"/>
        </w:trPr>
        <w:tc>
          <w:tcPr>
            <w:cnfStyle w:val="001000000000" w:firstRow="0" w:lastRow="0" w:firstColumn="1" w:lastColumn="0" w:oddVBand="0" w:evenVBand="0" w:oddHBand="0" w:evenHBand="0" w:firstRowFirstColumn="0" w:firstRowLastColumn="0" w:lastRowFirstColumn="0" w:lastRowLastColumn="0"/>
            <w:tcW w:w="2405" w:type="dxa"/>
          </w:tcPr>
          <w:p w14:paraId="31CC4DB8" w14:textId="77777777" w:rsidR="00281C2F" w:rsidRDefault="00281C2F" w:rsidP="009A032D">
            <w:pPr>
              <w:pStyle w:val="Tabletext"/>
            </w:pPr>
            <w:r w:rsidRPr="17062D55">
              <w:t>Environmental services</w:t>
            </w:r>
          </w:p>
        </w:tc>
        <w:tc>
          <w:tcPr>
            <w:tcW w:w="6946" w:type="dxa"/>
          </w:tcPr>
          <w:p w14:paraId="05CE4FBC" w14:textId="77777777" w:rsidR="00281C2F" w:rsidRPr="00A93894"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A93894">
              <w:t xml:space="preserve">As for </w:t>
            </w:r>
            <w:r>
              <w:t>L</w:t>
            </w:r>
            <w:r w:rsidRPr="00A93894">
              <w:t>evel 2</w:t>
            </w:r>
            <w:r>
              <w:t>.</w:t>
            </w:r>
          </w:p>
        </w:tc>
      </w:tr>
      <w:tr w:rsidR="00281C2F" w:rsidRPr="00A63ED1" w14:paraId="08485E5A" w14:textId="77777777" w:rsidTr="00943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57EE6450" w14:textId="77777777" w:rsidR="00281C2F" w:rsidRPr="00650792" w:rsidRDefault="00281C2F" w:rsidP="009A032D">
            <w:pPr>
              <w:pStyle w:val="Tabletext"/>
              <w:rPr>
                <w:b w:val="0"/>
              </w:rPr>
            </w:pPr>
            <w:r w:rsidRPr="00650792">
              <w:t xml:space="preserve">Procedure rooms/theatre/ recovery </w:t>
            </w:r>
          </w:p>
        </w:tc>
        <w:tc>
          <w:tcPr>
            <w:tcW w:w="6946" w:type="dxa"/>
            <w:shd w:val="clear" w:color="auto" w:fill="DBE5F1" w:themeFill="accent1" w:themeFillTint="33"/>
          </w:tcPr>
          <w:p w14:paraId="6F8B249B" w14:textId="14FEFE91" w:rsidR="00281C2F" w:rsidRPr="00A93894" w:rsidRDefault="00061320" w:rsidP="009A032D">
            <w:pPr>
              <w:pStyle w:val="Tabletext"/>
              <w:cnfStyle w:val="000000100000" w:firstRow="0" w:lastRow="0" w:firstColumn="0" w:lastColumn="0" w:oddVBand="0" w:evenVBand="0" w:oddHBand="1" w:evenHBand="0" w:firstRowFirstColumn="0" w:firstRowLastColumn="0" w:lastRowFirstColumn="0" w:lastRowLastColumn="0"/>
            </w:pPr>
            <w:r>
              <w:t>A</w:t>
            </w:r>
            <w:r w:rsidR="0068760E">
              <w:t>n area</w:t>
            </w:r>
            <w:r w:rsidR="00775DED">
              <w:t xml:space="preserve"> beyond recovery</w:t>
            </w:r>
            <w:r w:rsidR="003B672C">
              <w:t xml:space="preserve"> is available</w:t>
            </w:r>
            <w:r w:rsidR="0068760E">
              <w:t xml:space="preserve"> that enables</w:t>
            </w:r>
            <w:r w:rsidR="00281C2F" w:rsidRPr="63B58C0A">
              <w:t xml:space="preserve"> close observation</w:t>
            </w:r>
            <w:r w:rsidR="006C22C6">
              <w:t xml:space="preserve"> and </w:t>
            </w:r>
            <w:r w:rsidR="001B5CF5">
              <w:t>monitoring</w:t>
            </w:r>
            <w:r w:rsidR="001B5CF5" w:rsidRPr="63B58C0A">
              <w:t xml:space="preserve"> for</w:t>
            </w:r>
            <w:r w:rsidR="00281C2F" w:rsidRPr="63B58C0A">
              <w:t xml:space="preserve"> ongoing care post </w:t>
            </w:r>
            <w:r w:rsidR="00B47F5C">
              <w:t>procedure</w:t>
            </w:r>
            <w:r w:rsidR="00281C2F" w:rsidRPr="63B58C0A">
              <w:t>.</w:t>
            </w:r>
          </w:p>
          <w:p w14:paraId="48083C74" w14:textId="77777777" w:rsidR="00281C2F" w:rsidRPr="00A93894"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63B58C0A">
              <w:t>Where required</w:t>
            </w:r>
            <w:r>
              <w:t>,</w:t>
            </w:r>
            <w:r w:rsidRPr="63B58C0A">
              <w:t xml:space="preserve"> selected patients </w:t>
            </w:r>
            <w:r>
              <w:t xml:space="preserve">are reviewed </w:t>
            </w:r>
            <w:r w:rsidRPr="63B58C0A">
              <w:t>on the ward</w:t>
            </w:r>
            <w:r>
              <w:t>.</w:t>
            </w:r>
          </w:p>
          <w:p w14:paraId="7F040893" w14:textId="77777777" w:rsidR="00281C2F" w:rsidRPr="00A93894" w:rsidRDefault="00281C2F" w:rsidP="009A032D">
            <w:pPr>
              <w:pStyle w:val="Tabletext"/>
              <w:cnfStyle w:val="000000100000" w:firstRow="0" w:lastRow="0" w:firstColumn="0" w:lastColumn="0" w:oddVBand="0" w:evenVBand="0" w:oddHBand="1" w:evenHBand="0" w:firstRowFirstColumn="0" w:firstRowLastColumn="0" w:lastRowFirstColumn="0" w:lastRowLastColumn="0"/>
              <w:rPr>
                <w:bCs/>
              </w:rPr>
            </w:pPr>
            <w:r>
              <w:t>For p</w:t>
            </w:r>
            <w:r w:rsidRPr="00A93894">
              <w:t>aediatric services</w:t>
            </w:r>
            <w:r>
              <w:t>:</w:t>
            </w:r>
          </w:p>
          <w:p w14:paraId="58C9F8D2" w14:textId="1C951AEB" w:rsidR="00281C2F" w:rsidRPr="00A93894"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a</w:t>
            </w:r>
            <w:r w:rsidRPr="63B58C0A">
              <w:t xml:space="preserve">ppropriate ward-based care and </w:t>
            </w:r>
            <w:r>
              <w:t xml:space="preserve">a </w:t>
            </w:r>
            <w:r w:rsidRPr="63B58C0A">
              <w:t>team for post-operative management of paediatric patients</w:t>
            </w:r>
            <w:r>
              <w:t xml:space="preserve"> are in place</w:t>
            </w:r>
          </w:p>
          <w:p w14:paraId="575B6F39" w14:textId="6C830B5A" w:rsidR="00281C2F" w:rsidRPr="00A93894"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6A5F4A">
              <w:t>the operating suite and recovery space are appropriate to the needs of children and parents/carers</w:t>
            </w:r>
          </w:p>
          <w:p w14:paraId="69C6BCDD" w14:textId="77777777" w:rsidR="00281C2F" w:rsidRPr="00A93894"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6A5F4A">
              <w:t>arrangements are in place to enable at least one parent/carer to stay with children who require overnight admission.</w:t>
            </w:r>
          </w:p>
        </w:tc>
      </w:tr>
    </w:tbl>
    <w:p w14:paraId="5B586408" w14:textId="77777777" w:rsidR="00281C2F" w:rsidRDefault="00281C2F" w:rsidP="00281C2F">
      <w:pPr>
        <w:spacing w:after="200" w:line="276" w:lineRule="auto"/>
        <w:rPr>
          <w:rFonts w:eastAsia="Times" w:cs="Arial"/>
          <w:bCs/>
          <w:color w:val="201547"/>
          <w:kern w:val="32"/>
          <w:sz w:val="36"/>
          <w:szCs w:val="36"/>
        </w:rPr>
      </w:pPr>
      <w:r>
        <w:rPr>
          <w:rFonts w:eastAsia="Times"/>
          <w:sz w:val="36"/>
          <w:szCs w:val="36"/>
        </w:rPr>
        <w:br w:type="page"/>
      </w:r>
    </w:p>
    <w:p w14:paraId="69026FBB" w14:textId="77777777" w:rsidR="00281C2F" w:rsidRDefault="00281C2F" w:rsidP="00281C2F">
      <w:pPr>
        <w:pStyle w:val="Heading2"/>
        <w:rPr>
          <w:rFonts w:eastAsia="Times"/>
        </w:rPr>
      </w:pPr>
      <w:bookmarkStart w:id="49" w:name="_Toc148718457"/>
      <w:bookmarkStart w:id="50" w:name="_Toc153792518"/>
      <w:r w:rsidRPr="00C0454C">
        <w:rPr>
          <w:rFonts w:eastAsia="Times"/>
        </w:rPr>
        <w:t xml:space="preserve">Level 4 </w:t>
      </w:r>
      <w:r>
        <w:rPr>
          <w:rFonts w:eastAsia="Times"/>
        </w:rPr>
        <w:t>p</w:t>
      </w:r>
      <w:r w:rsidRPr="00C0454C">
        <w:rPr>
          <w:rFonts w:eastAsia="Times"/>
        </w:rPr>
        <w:t xml:space="preserve">erioperative </w:t>
      </w:r>
      <w:r>
        <w:rPr>
          <w:rFonts w:eastAsia="Times"/>
        </w:rPr>
        <w:t>s</w:t>
      </w:r>
      <w:r w:rsidRPr="00C0454C">
        <w:rPr>
          <w:rFonts w:eastAsia="Times"/>
        </w:rPr>
        <w:t>ervice</w:t>
      </w:r>
      <w:r>
        <w:rPr>
          <w:rFonts w:eastAsia="Times"/>
        </w:rPr>
        <w:t>s</w:t>
      </w:r>
      <w:bookmarkEnd w:id="49"/>
      <w:bookmarkEnd w:id="50"/>
    </w:p>
    <w:p w14:paraId="037FA00D" w14:textId="77777777" w:rsidR="00AF729E" w:rsidRDefault="00AF729E" w:rsidP="00AF729E">
      <w:pPr>
        <w:pStyle w:val="Heading3"/>
      </w:pPr>
      <w:r>
        <w:t>Service description</w:t>
      </w:r>
    </w:p>
    <w:p w14:paraId="1D853732" w14:textId="6BD8B084" w:rsidR="00281C2F" w:rsidRDefault="00281C2F" w:rsidP="00281C2F">
      <w:pPr>
        <w:pStyle w:val="Body"/>
      </w:pPr>
      <w:r>
        <w:t>Level 4 perioperative services include all the roles and responsibilities in Level</w:t>
      </w:r>
      <w:r w:rsidR="00D20AC6">
        <w:t>s</w:t>
      </w:r>
      <w:r>
        <w:t xml:space="preserve"> 1</w:t>
      </w:r>
      <w:r w:rsidR="00D20AC6">
        <w:t>–</w:t>
      </w:r>
      <w:r>
        <w:t xml:space="preserve">3, with additional requirements outlined </w:t>
      </w:r>
      <w:r w:rsidR="005C78FD">
        <w:t>below</w:t>
      </w:r>
      <w:r>
        <w:t>.</w:t>
      </w:r>
    </w:p>
    <w:tbl>
      <w:tblPr>
        <w:tblStyle w:val="GridTable4-Accent6"/>
        <w:tblW w:w="9209" w:type="dxa"/>
        <w:tblBorders>
          <w:top w:val="none" w:sz="0" w:space="0" w:color="auto"/>
          <w:left w:val="none" w:sz="0" w:space="0" w:color="auto"/>
          <w:bottom w:val="single" w:sz="4" w:space="0" w:color="201547"/>
          <w:right w:val="none" w:sz="0" w:space="0" w:color="auto"/>
          <w:insideH w:val="none" w:sz="0" w:space="0" w:color="auto"/>
          <w:insideV w:val="single" w:sz="4" w:space="0" w:color="201547"/>
        </w:tblBorders>
        <w:tblLook w:val="04A0" w:firstRow="1" w:lastRow="0" w:firstColumn="1" w:lastColumn="0" w:noHBand="0" w:noVBand="1"/>
      </w:tblPr>
      <w:tblGrid>
        <w:gridCol w:w="2405"/>
        <w:gridCol w:w="6804"/>
      </w:tblGrid>
      <w:tr w:rsidR="00281C2F" w:rsidRPr="00B30A1F" w14:paraId="24520F1E" w14:textId="77777777" w:rsidTr="009434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201547"/>
          </w:tcPr>
          <w:p w14:paraId="03D9FFE3" w14:textId="4DBC0D37" w:rsidR="00281C2F" w:rsidRPr="00203EEE" w:rsidRDefault="00281C2F" w:rsidP="009A032D">
            <w:pPr>
              <w:pStyle w:val="Tablecolhead"/>
            </w:pPr>
            <w:r w:rsidRPr="00E1136E">
              <w:rPr>
                <w:b/>
                <w:color w:val="FFFFFF" w:themeColor="background1"/>
              </w:rPr>
              <w:t xml:space="preserve">Level 4 service </w:t>
            </w:r>
          </w:p>
        </w:tc>
        <w:tc>
          <w:tcPr>
            <w:tcW w:w="6804" w:type="dxa"/>
            <w:shd w:val="clear" w:color="auto" w:fill="201547"/>
          </w:tcPr>
          <w:p w14:paraId="5D3A656E" w14:textId="76BFE210" w:rsidR="00281C2F" w:rsidRPr="00203EEE" w:rsidRDefault="00AF729E" w:rsidP="009A032D">
            <w:pPr>
              <w:pStyle w:val="Tablecolhead"/>
              <w:cnfStyle w:val="100000000000" w:firstRow="1" w:lastRow="0" w:firstColumn="0" w:lastColumn="0" w:oddVBand="0" w:evenVBand="0" w:oddHBand="0" w:evenHBand="0" w:firstRowFirstColumn="0" w:firstRowLastColumn="0" w:lastRowFirstColumn="0" w:lastRowLastColumn="0"/>
            </w:pPr>
            <w:r>
              <w:rPr>
                <w:b/>
                <w:color w:val="FFFFFF" w:themeColor="background1"/>
              </w:rPr>
              <w:t>Description</w:t>
            </w:r>
          </w:p>
        </w:tc>
      </w:tr>
      <w:tr w:rsidR="00281C2F" w:rsidRPr="00A63ED1" w14:paraId="32BE0358" w14:textId="77777777" w:rsidTr="00943477">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7B1AC9C9" w14:textId="77777777" w:rsidR="00281C2F" w:rsidRPr="007C0BB1" w:rsidRDefault="00281C2F" w:rsidP="009A032D">
            <w:pPr>
              <w:pStyle w:val="Tabletext"/>
              <w:rPr>
                <w:b w:val="0"/>
                <w:bCs w:val="0"/>
              </w:rPr>
            </w:pPr>
            <w:r w:rsidRPr="007C0BB1">
              <w:t xml:space="preserve">Complexity of care </w:t>
            </w:r>
          </w:p>
        </w:tc>
        <w:tc>
          <w:tcPr>
            <w:tcW w:w="6804" w:type="dxa"/>
            <w:shd w:val="clear" w:color="auto" w:fill="DBE5F1" w:themeFill="accent1" w:themeFillTint="33"/>
          </w:tcPr>
          <w:p w14:paraId="4DBC26B2" w14:textId="77777777" w:rsidR="00281C2F" w:rsidRPr="006A2665"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454128FB">
              <w:t>A</w:t>
            </w:r>
            <w:r w:rsidRPr="007D6C82">
              <w:t xml:space="preserve"> </w:t>
            </w:r>
            <w:r>
              <w:t>L</w:t>
            </w:r>
            <w:r w:rsidRPr="007D6C82">
              <w:t xml:space="preserve">evel </w:t>
            </w:r>
            <w:r>
              <w:t>4</w:t>
            </w:r>
            <w:r w:rsidRPr="007D6C82">
              <w:t xml:space="preserve"> service</w:t>
            </w:r>
            <w:r>
              <w:t xml:space="preserve"> provides</w:t>
            </w:r>
            <w:r w:rsidRPr="007D6C82">
              <w:t xml:space="preserve">: </w:t>
            </w:r>
          </w:p>
          <w:p w14:paraId="46254C1C" w14:textId="77777777" w:rsidR="00281C2F" w:rsidRPr="00E31512"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rPr>
                <w:szCs w:val="18"/>
              </w:rPr>
            </w:pPr>
            <w:r w:rsidRPr="63B58C0A">
              <w:t>care for moderate</w:t>
            </w:r>
            <w:r>
              <w:t xml:space="preserve"> complexity</w:t>
            </w:r>
            <w:r w:rsidRPr="63B58C0A">
              <w:t xml:space="preserve"> procedures, across selected specialties</w:t>
            </w:r>
          </w:p>
          <w:p w14:paraId="1FE5B906" w14:textId="77777777" w:rsidR="00281C2F" w:rsidRPr="007D6C82"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932E3D">
              <w:t>anaesthetic care for</w:t>
            </w:r>
            <w:r w:rsidRPr="63B58C0A">
              <w:t xml:space="preserve"> adult patients who have medium</w:t>
            </w:r>
            <w:r>
              <w:t>-</w:t>
            </w:r>
            <w:r w:rsidRPr="63B58C0A">
              <w:t>to</w:t>
            </w:r>
            <w:r>
              <w:t>-</w:t>
            </w:r>
            <w:r w:rsidRPr="63B58C0A">
              <w:t>high perioperative risk, for procedures across the selected specialities</w:t>
            </w:r>
          </w:p>
          <w:p w14:paraId="4AF7CF68" w14:textId="77777777" w:rsidR="00281C2F" w:rsidRPr="00E1136E"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rPr>
                <w:rFonts w:eastAsia="Times"/>
              </w:rPr>
            </w:pPr>
            <w:r>
              <w:rPr>
                <w:rFonts w:eastAsia="Arial"/>
              </w:rPr>
              <w:t>c</w:t>
            </w:r>
            <w:r w:rsidRPr="63B58C0A">
              <w:rPr>
                <w:rFonts w:eastAsia="Arial"/>
              </w:rPr>
              <w:t>are for patients with identified risk factors</w:t>
            </w:r>
            <w:r>
              <w:rPr>
                <w:rFonts w:eastAsia="Arial"/>
              </w:rPr>
              <w:t>,</w:t>
            </w:r>
            <w:r w:rsidRPr="63B58C0A">
              <w:rPr>
                <w:rFonts w:eastAsia="Arial"/>
              </w:rPr>
              <w:t xml:space="preserve"> in accordance with agreed referral and escalation criteria.</w:t>
            </w:r>
          </w:p>
          <w:p w14:paraId="1FDC936A" w14:textId="77777777" w:rsidR="00281C2F" w:rsidRPr="00B30A1F"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Pr>
                <w:rFonts w:eastAsia="Arial"/>
                <w:color w:val="000000" w:themeColor="text1"/>
              </w:rPr>
              <w:t>f</w:t>
            </w:r>
            <w:r w:rsidRPr="00B30A1F">
              <w:rPr>
                <w:rFonts w:eastAsia="Arial"/>
                <w:color w:val="000000" w:themeColor="text1"/>
              </w:rPr>
              <w:t xml:space="preserve">or </w:t>
            </w:r>
            <w:r>
              <w:t>p</w:t>
            </w:r>
            <w:r w:rsidRPr="00E1136E">
              <w:t>aediatric services</w:t>
            </w:r>
            <w:r>
              <w:t>:</w:t>
            </w:r>
          </w:p>
          <w:p w14:paraId="6C0FF9AF" w14:textId="77777777" w:rsidR="00281C2F" w:rsidRPr="001B4C21" w:rsidRDefault="00281C2F" w:rsidP="0073249D">
            <w:pPr>
              <w:pStyle w:val="Tablebullet2"/>
              <w:numPr>
                <w:ilvl w:val="1"/>
                <w:numId w:val="4"/>
              </w:numPr>
              <w:tabs>
                <w:tab w:val="num" w:pos="227"/>
              </w:tabs>
              <w:ind w:left="454" w:hanging="227"/>
              <w:cnfStyle w:val="000000100000" w:firstRow="0" w:lastRow="0" w:firstColumn="0" w:lastColumn="0" w:oddVBand="0" w:evenVBand="0" w:oddHBand="1" w:evenHBand="0" w:firstRowFirstColumn="0" w:firstRowLastColumn="0" w:lastRowFirstColumn="0" w:lastRowLastColumn="0"/>
            </w:pPr>
            <w:r w:rsidRPr="63B58C0A">
              <w:t>low</w:t>
            </w:r>
            <w:r>
              <w:t>-</w:t>
            </w:r>
            <w:r w:rsidRPr="63B58C0A">
              <w:t>to</w:t>
            </w:r>
            <w:r>
              <w:t>-</w:t>
            </w:r>
            <w:r w:rsidRPr="63B58C0A">
              <w:t>moderate complexity procedures</w:t>
            </w:r>
            <w:r>
              <w:t>,</w:t>
            </w:r>
            <w:r w:rsidRPr="63B58C0A">
              <w:t xml:space="preserve"> including multiday stays</w:t>
            </w:r>
          </w:p>
          <w:p w14:paraId="3BEAA6E9" w14:textId="77777777" w:rsidR="00281C2F" w:rsidRPr="001B4C21" w:rsidRDefault="00281C2F" w:rsidP="0073249D">
            <w:pPr>
              <w:pStyle w:val="Tablebullet2"/>
              <w:numPr>
                <w:ilvl w:val="1"/>
                <w:numId w:val="4"/>
              </w:numPr>
              <w:tabs>
                <w:tab w:val="num" w:pos="227"/>
              </w:tabs>
              <w:ind w:left="454" w:hanging="227"/>
              <w:cnfStyle w:val="000000100000" w:firstRow="0" w:lastRow="0" w:firstColumn="0" w:lastColumn="0" w:oddVBand="0" w:evenVBand="0" w:oddHBand="1" w:evenHBand="0" w:firstRowFirstColumn="0" w:firstRowLastColumn="0" w:lastRowFirstColumn="0" w:lastRowLastColumn="0"/>
            </w:pPr>
            <w:r>
              <w:t>l</w:t>
            </w:r>
            <w:r w:rsidRPr="63B58C0A">
              <w:t>ow</w:t>
            </w:r>
            <w:r>
              <w:t>-</w:t>
            </w:r>
            <w:r w:rsidRPr="63B58C0A">
              <w:t>to</w:t>
            </w:r>
            <w:r>
              <w:t>-</w:t>
            </w:r>
            <w:r w:rsidRPr="63B58C0A">
              <w:t>moderate anaesthetic complexity</w:t>
            </w:r>
          </w:p>
          <w:p w14:paraId="341207B2" w14:textId="77777777" w:rsidR="00281C2F" w:rsidRPr="007D6C82" w:rsidRDefault="00281C2F" w:rsidP="0073249D">
            <w:pPr>
              <w:pStyle w:val="Tablebullet2"/>
              <w:numPr>
                <w:ilvl w:val="1"/>
                <w:numId w:val="4"/>
              </w:numPr>
              <w:tabs>
                <w:tab w:val="num" w:pos="227"/>
              </w:tabs>
              <w:ind w:left="454" w:hanging="227"/>
              <w:cnfStyle w:val="000000100000" w:firstRow="0" w:lastRow="0" w:firstColumn="0" w:lastColumn="0" w:oddVBand="0" w:evenVBand="0" w:oddHBand="1" w:evenHBand="0" w:firstRowFirstColumn="0" w:firstRowLastColumn="0" w:lastRowFirstColumn="0" w:lastRowLastColumn="0"/>
            </w:pPr>
            <w:r w:rsidRPr="000A343A">
              <w:t>low-to-moderate patient complexity for paediatric patients of all ages.</w:t>
            </w:r>
          </w:p>
        </w:tc>
      </w:tr>
      <w:tr w:rsidR="00281C2F" w:rsidRPr="00A63ED1" w14:paraId="144EB0A7" w14:textId="77777777" w:rsidTr="00943477">
        <w:tc>
          <w:tcPr>
            <w:cnfStyle w:val="001000000000" w:firstRow="0" w:lastRow="0" w:firstColumn="1" w:lastColumn="0" w:oddVBand="0" w:evenVBand="0" w:oddHBand="0" w:evenHBand="0" w:firstRowFirstColumn="0" w:firstRowLastColumn="0" w:lastRowFirstColumn="0" w:lastRowLastColumn="0"/>
            <w:tcW w:w="2405" w:type="dxa"/>
          </w:tcPr>
          <w:p w14:paraId="3E930BFA" w14:textId="77777777" w:rsidR="00281C2F" w:rsidRPr="007C0BB1" w:rsidRDefault="00281C2F" w:rsidP="009A032D">
            <w:pPr>
              <w:pStyle w:val="Tabletext"/>
              <w:rPr>
                <w:b w:val="0"/>
                <w:bCs w:val="0"/>
              </w:rPr>
            </w:pPr>
            <w:r w:rsidRPr="007C0BB1">
              <w:t>Procedure/surgery</w:t>
            </w:r>
          </w:p>
        </w:tc>
        <w:tc>
          <w:tcPr>
            <w:tcW w:w="6804" w:type="dxa"/>
          </w:tcPr>
          <w:p w14:paraId="2A3F5AD3" w14:textId="77777777" w:rsidR="00281C2F" w:rsidRPr="006A2665"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454128FB">
              <w:t>A</w:t>
            </w:r>
            <w:r w:rsidRPr="007D6C82">
              <w:t xml:space="preserve"> </w:t>
            </w:r>
            <w:r>
              <w:t>L</w:t>
            </w:r>
            <w:r w:rsidRPr="007D6C82">
              <w:t xml:space="preserve">evel </w:t>
            </w:r>
            <w:r>
              <w:t>4</w:t>
            </w:r>
            <w:r w:rsidRPr="007D6C82">
              <w:t xml:space="preserve"> service</w:t>
            </w:r>
            <w:r>
              <w:t xml:space="preserve"> provides</w:t>
            </w:r>
            <w:r w:rsidRPr="007D6C82">
              <w:t xml:space="preserve">: </w:t>
            </w:r>
          </w:p>
          <w:p w14:paraId="5B8C24CC" w14:textId="77777777" w:rsidR="00281C2F" w:rsidRPr="00E31512"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63B58C0A">
              <w:t>emergency and planned general and orthopaedic surgery</w:t>
            </w:r>
          </w:p>
          <w:p w14:paraId="2A6C7F47" w14:textId="77777777" w:rsidR="00281C2F" w:rsidRPr="00241BE2"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63B58C0A">
              <w:t>planned and</w:t>
            </w:r>
            <w:r>
              <w:t>,</w:t>
            </w:r>
            <w:r w:rsidRPr="63B58C0A">
              <w:t xml:space="preserve"> in some cases, emergency surgery for other surgical specialties</w:t>
            </w:r>
            <w:r>
              <w:t>,</w:t>
            </w:r>
            <w:r w:rsidRPr="63B58C0A">
              <w:t xml:space="preserve"> where dedicated perioperative staffing is available</w:t>
            </w:r>
          </w:p>
          <w:p w14:paraId="1F5B801E" w14:textId="77777777" w:rsidR="00281C2F" w:rsidRPr="001B4C21"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t>for p</w:t>
            </w:r>
            <w:r w:rsidRPr="00E13CD0">
              <w:t>aediatric services</w:t>
            </w:r>
            <w:r>
              <w:t>,</w:t>
            </w:r>
            <w:r w:rsidRPr="63B58C0A">
              <w:t xml:space="preserve"> low</w:t>
            </w:r>
            <w:r>
              <w:t>-to-moderate</w:t>
            </w:r>
            <w:r w:rsidRPr="63B58C0A">
              <w:t xml:space="preserve"> complexity procedures</w:t>
            </w:r>
            <w:r>
              <w:t>,</w:t>
            </w:r>
            <w:r w:rsidRPr="63B58C0A">
              <w:t xml:space="preserve"> including multiday stays.</w:t>
            </w:r>
          </w:p>
        </w:tc>
      </w:tr>
      <w:tr w:rsidR="00281C2F" w:rsidRPr="00CA4193" w14:paraId="16FE7506" w14:textId="77777777" w:rsidTr="00943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29DBC186" w14:textId="77777777" w:rsidR="00281C2F" w:rsidRPr="007C0BB1" w:rsidRDefault="00281C2F" w:rsidP="009A032D">
            <w:pPr>
              <w:pStyle w:val="Tabletext"/>
              <w:rPr>
                <w:b w:val="0"/>
                <w:bCs w:val="0"/>
              </w:rPr>
            </w:pPr>
            <w:r w:rsidRPr="007C0BB1">
              <w:t>Anaesthetic complexity</w:t>
            </w:r>
          </w:p>
        </w:tc>
        <w:tc>
          <w:tcPr>
            <w:tcW w:w="6804" w:type="dxa"/>
            <w:shd w:val="clear" w:color="auto" w:fill="DBE5F1" w:themeFill="accent1" w:themeFillTint="33"/>
          </w:tcPr>
          <w:p w14:paraId="6E9BF6C3" w14:textId="77777777" w:rsidR="00281C2F" w:rsidRPr="006A2665"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454128FB">
              <w:t>A</w:t>
            </w:r>
            <w:r w:rsidRPr="007D6C82">
              <w:t xml:space="preserve"> </w:t>
            </w:r>
            <w:r>
              <w:t>L</w:t>
            </w:r>
            <w:r w:rsidRPr="007D6C82">
              <w:t xml:space="preserve">evel </w:t>
            </w:r>
            <w:r>
              <w:t>4</w:t>
            </w:r>
            <w:r w:rsidRPr="007D6C82">
              <w:t xml:space="preserve"> service</w:t>
            </w:r>
            <w:r>
              <w:t xml:space="preserve"> provides</w:t>
            </w:r>
            <w:r w:rsidRPr="007D6C82">
              <w:t xml:space="preserve">: </w:t>
            </w:r>
          </w:p>
          <w:p w14:paraId="705682CF" w14:textId="77777777" w:rsidR="00281C2F" w:rsidRPr="00932E3D"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rPr>
                <w:rFonts w:eastAsia="Arial"/>
              </w:rPr>
            </w:pPr>
            <w:r w:rsidRPr="000A343A">
              <w:rPr>
                <w:rFonts w:eastAsia="Arial"/>
              </w:rPr>
              <w:t xml:space="preserve">pre-operative assessment, </w:t>
            </w:r>
            <w:r w:rsidRPr="00932E3D">
              <w:rPr>
                <w:rFonts w:eastAsia="Arial"/>
              </w:rPr>
              <w:t>anaesthetic and recovery care to day-stay or multiday procedural services for both planned and emergency care</w:t>
            </w:r>
          </w:p>
          <w:p w14:paraId="41E535A9" w14:textId="77777777" w:rsidR="00281C2F" w:rsidRPr="00932E3D"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rPr>
                <w:rFonts w:eastAsia="Arial"/>
              </w:rPr>
            </w:pPr>
            <w:r w:rsidRPr="00932E3D">
              <w:rPr>
                <w:rFonts w:eastAsia="Arial"/>
              </w:rPr>
              <w:t>anaesthetic services to support the agreed procedural caseload for low and selected moderate-risk patients undergoing moderate procedural complexity</w:t>
            </w:r>
          </w:p>
          <w:p w14:paraId="114874FB" w14:textId="77777777" w:rsidR="00281C2F" w:rsidRPr="00932E3D"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rPr>
                <w:rFonts w:eastAsia="Arial"/>
              </w:rPr>
            </w:pPr>
            <w:r w:rsidRPr="00932E3D">
              <w:rPr>
                <w:rFonts w:eastAsia="Arial"/>
              </w:rPr>
              <w:t>anaesthesia for selected low-perioperative-risk patients undergoing moderate complexity surgical procedures</w:t>
            </w:r>
          </w:p>
          <w:p w14:paraId="23BC79D5" w14:textId="77777777" w:rsidR="00281C2F" w:rsidRPr="000A343A"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rPr>
                <w:rFonts w:eastAsia="Arial"/>
              </w:rPr>
            </w:pPr>
            <w:r w:rsidRPr="00932E3D">
              <w:rPr>
                <w:rFonts w:eastAsia="Arial"/>
              </w:rPr>
              <w:t>an anaesthetic team that is structured to provide anaesthetic service</w:t>
            </w:r>
            <w:r w:rsidRPr="000A343A">
              <w:rPr>
                <w:rFonts w:eastAsia="Arial"/>
              </w:rPr>
              <w:t xml:space="preserve"> across non-admitted, diagnostic and operating suite, and inpatient care</w:t>
            </w:r>
          </w:p>
          <w:p w14:paraId="109AA025" w14:textId="77777777" w:rsidR="00281C2F" w:rsidRPr="007D6C82"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0A343A">
              <w:rPr>
                <w:rFonts w:eastAsia="Arial"/>
              </w:rPr>
              <w:t>for paediatric services, low-to-moderate anaesthetic complexity</w:t>
            </w:r>
            <w:r>
              <w:rPr>
                <w:rStyle w:val="eop"/>
                <w:sz w:val="20"/>
              </w:rPr>
              <w:t>.</w:t>
            </w:r>
          </w:p>
        </w:tc>
      </w:tr>
      <w:tr w:rsidR="00281C2F" w:rsidRPr="00A63ED1" w14:paraId="111F81F7" w14:textId="77777777" w:rsidTr="00943477">
        <w:tc>
          <w:tcPr>
            <w:cnfStyle w:val="001000000000" w:firstRow="0" w:lastRow="0" w:firstColumn="1" w:lastColumn="0" w:oddVBand="0" w:evenVBand="0" w:oddHBand="0" w:evenHBand="0" w:firstRowFirstColumn="0" w:firstRowLastColumn="0" w:lastRowFirstColumn="0" w:lastRowLastColumn="0"/>
            <w:tcW w:w="2405" w:type="dxa"/>
          </w:tcPr>
          <w:p w14:paraId="3ADC28E4" w14:textId="77777777" w:rsidR="00281C2F" w:rsidRPr="007C0BB1" w:rsidRDefault="00281C2F" w:rsidP="009A032D">
            <w:pPr>
              <w:pStyle w:val="Tabletext"/>
              <w:rPr>
                <w:b w:val="0"/>
                <w:bCs w:val="0"/>
              </w:rPr>
            </w:pPr>
            <w:r w:rsidRPr="007C0BB1">
              <w:t xml:space="preserve">Patient </w:t>
            </w:r>
            <w:r>
              <w:t>c</w:t>
            </w:r>
            <w:r w:rsidRPr="007C0BB1">
              <w:t>omplexity</w:t>
            </w:r>
          </w:p>
        </w:tc>
        <w:tc>
          <w:tcPr>
            <w:tcW w:w="6804" w:type="dxa"/>
          </w:tcPr>
          <w:p w14:paraId="2B199822" w14:textId="77777777" w:rsidR="00281C2F" w:rsidRPr="006A2665"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454128FB">
              <w:t>A</w:t>
            </w:r>
            <w:r w:rsidRPr="007D6C82">
              <w:t xml:space="preserve"> </w:t>
            </w:r>
            <w:r>
              <w:t>L</w:t>
            </w:r>
            <w:r w:rsidRPr="007D6C82">
              <w:t xml:space="preserve">evel </w:t>
            </w:r>
            <w:r>
              <w:t>4</w:t>
            </w:r>
            <w:r w:rsidRPr="007D6C82">
              <w:t xml:space="preserve"> service</w:t>
            </w:r>
            <w:r>
              <w:t xml:space="preserve"> provides</w:t>
            </w:r>
            <w:r w:rsidRPr="007D6C82">
              <w:t xml:space="preserve">: </w:t>
            </w:r>
          </w:p>
          <w:p w14:paraId="0FEE1A02" w14:textId="77777777" w:rsidR="00281C2F" w:rsidRPr="00611DAC"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00611DAC">
              <w:t>perioperative care for ASA1–3 patients, and ASA4 patients for selected moderate complexity procedures</w:t>
            </w:r>
          </w:p>
          <w:p w14:paraId="3C688768" w14:textId="77777777" w:rsidR="00281C2F" w:rsidRPr="003F1F41"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00611DAC">
              <w:t>for paediatric services, low-to-moderate patient complexity for paediatric patients of all ages.</w:t>
            </w:r>
          </w:p>
        </w:tc>
      </w:tr>
      <w:tr w:rsidR="00281C2F" w:rsidRPr="00CA4193" w14:paraId="5A290A2E" w14:textId="77777777" w:rsidTr="00943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00C9AAC4" w14:textId="77777777" w:rsidR="00281C2F" w:rsidRPr="007C0BB1" w:rsidRDefault="00281C2F" w:rsidP="009A032D">
            <w:pPr>
              <w:pStyle w:val="Tabletext"/>
              <w:rPr>
                <w:b w:val="0"/>
                <w:bCs w:val="0"/>
              </w:rPr>
            </w:pPr>
            <w:r w:rsidRPr="007C0BB1">
              <w:t>Emergency services/surgery</w:t>
            </w:r>
          </w:p>
        </w:tc>
        <w:tc>
          <w:tcPr>
            <w:tcW w:w="6804" w:type="dxa"/>
            <w:shd w:val="clear" w:color="auto" w:fill="DBE5F1" w:themeFill="accent1" w:themeFillTint="33"/>
          </w:tcPr>
          <w:p w14:paraId="53A8BFFF" w14:textId="77777777" w:rsidR="00281C2F" w:rsidRPr="006A2665"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454128FB">
              <w:t>A</w:t>
            </w:r>
            <w:r w:rsidRPr="007D6C82">
              <w:t xml:space="preserve"> </w:t>
            </w:r>
            <w:r>
              <w:t>L</w:t>
            </w:r>
            <w:r w:rsidRPr="007D6C82">
              <w:t xml:space="preserve">evel </w:t>
            </w:r>
            <w:r>
              <w:t>4</w:t>
            </w:r>
            <w:r w:rsidRPr="007D6C82">
              <w:t xml:space="preserve"> service</w:t>
            </w:r>
            <w:r>
              <w:t xml:space="preserve"> provides</w:t>
            </w:r>
            <w:r w:rsidRPr="007D6C82">
              <w:t xml:space="preserve">: </w:t>
            </w:r>
          </w:p>
          <w:p w14:paraId="0BDA8C95" w14:textId="77777777" w:rsidR="00281C2F" w:rsidRPr="00E1136E"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e</w:t>
            </w:r>
            <w:r w:rsidRPr="00E1136E">
              <w:t xml:space="preserve">mergency service </w:t>
            </w:r>
            <w:r>
              <w:t>and</w:t>
            </w:r>
            <w:r w:rsidRPr="00E1136E">
              <w:t xml:space="preserve"> transfers</w:t>
            </w:r>
          </w:p>
          <w:p w14:paraId="5A4FE121" w14:textId="77777777" w:rsidR="00281C2F" w:rsidRPr="00785573"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785573">
              <w:t>a 24/7 emergency service</w:t>
            </w:r>
          </w:p>
          <w:p w14:paraId="457CA740" w14:textId="77777777" w:rsidR="00281C2F" w:rsidRPr="00E31512"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an e</w:t>
            </w:r>
            <w:r w:rsidRPr="00E1136E">
              <w:t>mergency surgery service</w:t>
            </w:r>
            <w:r>
              <w:t>, with e</w:t>
            </w:r>
            <w:r w:rsidRPr="63B58C0A">
              <w:t xml:space="preserve">mergency surgery </w:t>
            </w:r>
            <w:r>
              <w:t xml:space="preserve">that </w:t>
            </w:r>
            <w:r w:rsidRPr="63B58C0A">
              <w:t>is available 24/7, led by a medical specialist and performed in standard hours</w:t>
            </w:r>
            <w:r>
              <w:t>,</w:t>
            </w:r>
            <w:r w:rsidRPr="63B58C0A">
              <w:t xml:space="preserve"> whenever possible. </w:t>
            </w:r>
          </w:p>
        </w:tc>
      </w:tr>
      <w:tr w:rsidR="00281C2F" w:rsidRPr="00A63ED1" w14:paraId="5DA2DFBD" w14:textId="77777777" w:rsidTr="00943477">
        <w:tc>
          <w:tcPr>
            <w:cnfStyle w:val="001000000000" w:firstRow="0" w:lastRow="0" w:firstColumn="1" w:lastColumn="0" w:oddVBand="0" w:evenVBand="0" w:oddHBand="0" w:evenHBand="0" w:firstRowFirstColumn="0" w:firstRowLastColumn="0" w:lastRowFirstColumn="0" w:lastRowLastColumn="0"/>
            <w:tcW w:w="2405" w:type="dxa"/>
          </w:tcPr>
          <w:p w14:paraId="73786EEF" w14:textId="77777777" w:rsidR="00281C2F" w:rsidRPr="007C0BB1" w:rsidRDefault="00281C2F" w:rsidP="009A032D">
            <w:pPr>
              <w:pStyle w:val="Tabletext"/>
              <w:rPr>
                <w:b w:val="0"/>
                <w:bCs w:val="0"/>
              </w:rPr>
            </w:pPr>
            <w:r w:rsidRPr="007C0BB1">
              <w:t>Pre-admission service</w:t>
            </w:r>
          </w:p>
        </w:tc>
        <w:tc>
          <w:tcPr>
            <w:tcW w:w="6804" w:type="dxa"/>
          </w:tcPr>
          <w:p w14:paraId="6E44BA10" w14:textId="0F937367" w:rsidR="00281C2F" w:rsidRPr="00E31512"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E31512">
              <w:t xml:space="preserve">As for </w:t>
            </w:r>
            <w:r>
              <w:t>L</w:t>
            </w:r>
            <w:r w:rsidRPr="00E31512">
              <w:t xml:space="preserve">evel </w:t>
            </w:r>
            <w:r w:rsidR="00FF6380">
              <w:t>2</w:t>
            </w:r>
            <w:r w:rsidRPr="1F0FFDE5">
              <w:t>.</w:t>
            </w:r>
          </w:p>
        </w:tc>
      </w:tr>
      <w:tr w:rsidR="00281C2F" w:rsidRPr="00A63ED1" w14:paraId="374AAA64" w14:textId="77777777" w:rsidTr="00943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4C6E2D1A" w14:textId="77777777" w:rsidR="00281C2F" w:rsidRPr="007C0BB1" w:rsidRDefault="00281C2F" w:rsidP="009A032D">
            <w:pPr>
              <w:pStyle w:val="Tabletext"/>
              <w:rPr>
                <w:b w:val="0"/>
                <w:bCs w:val="0"/>
              </w:rPr>
            </w:pPr>
            <w:r w:rsidRPr="007C0BB1">
              <w:t>Pain management capability</w:t>
            </w:r>
          </w:p>
        </w:tc>
        <w:tc>
          <w:tcPr>
            <w:tcW w:w="6804" w:type="dxa"/>
            <w:shd w:val="clear" w:color="auto" w:fill="DBE5F1" w:themeFill="accent1" w:themeFillTint="33"/>
          </w:tcPr>
          <w:p w14:paraId="39C51750" w14:textId="77777777" w:rsidR="00281C2F" w:rsidRPr="006A2665"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454128FB">
              <w:t>A</w:t>
            </w:r>
            <w:r w:rsidRPr="007D6C82">
              <w:t xml:space="preserve"> </w:t>
            </w:r>
            <w:r>
              <w:t>L</w:t>
            </w:r>
            <w:r w:rsidRPr="007D6C82">
              <w:t xml:space="preserve">evel </w:t>
            </w:r>
            <w:r>
              <w:t>4</w:t>
            </w:r>
            <w:r w:rsidRPr="007D6C82">
              <w:t xml:space="preserve"> service: </w:t>
            </w:r>
          </w:p>
          <w:p w14:paraId="591C1BDF" w14:textId="77777777" w:rsidR="00281C2F" w:rsidRPr="00E31512"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c</w:t>
            </w:r>
            <w:r w:rsidRPr="63B58C0A">
              <w:t>oordinates an acute pain service to review patients</w:t>
            </w:r>
            <w:r>
              <w:t>,</w:t>
            </w:r>
            <w:r w:rsidRPr="63B58C0A">
              <w:t xml:space="preserve"> including those using patient-controlled analgesia units</w:t>
            </w:r>
          </w:p>
          <w:p w14:paraId="2666229D" w14:textId="77777777" w:rsidR="00281C2F" w:rsidRPr="00E31512"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m</w:t>
            </w:r>
            <w:r w:rsidRPr="63B58C0A">
              <w:t xml:space="preserve">ay have a role in </w:t>
            </w:r>
            <w:r>
              <w:t xml:space="preserve">a </w:t>
            </w:r>
            <w:r w:rsidRPr="63B58C0A">
              <w:t xml:space="preserve">wider services pain management service </w:t>
            </w:r>
            <w:r>
              <w:t xml:space="preserve">(for example, </w:t>
            </w:r>
            <w:r w:rsidRPr="63B58C0A">
              <w:t>within the emergency department</w:t>
            </w:r>
            <w:r>
              <w:t>).</w:t>
            </w:r>
          </w:p>
        </w:tc>
      </w:tr>
      <w:tr w:rsidR="00281C2F" w:rsidRPr="00A63ED1" w14:paraId="1A830617" w14:textId="77777777" w:rsidTr="00943477">
        <w:tc>
          <w:tcPr>
            <w:cnfStyle w:val="001000000000" w:firstRow="0" w:lastRow="0" w:firstColumn="1" w:lastColumn="0" w:oddVBand="0" w:evenVBand="0" w:oddHBand="0" w:evenHBand="0" w:firstRowFirstColumn="0" w:firstRowLastColumn="0" w:lastRowFirstColumn="0" w:lastRowLastColumn="0"/>
            <w:tcW w:w="2405" w:type="dxa"/>
          </w:tcPr>
          <w:p w14:paraId="46779180" w14:textId="77777777" w:rsidR="00281C2F" w:rsidRPr="007C0BB1" w:rsidRDefault="00281C2F" w:rsidP="009A032D">
            <w:pPr>
              <w:pStyle w:val="Tabletext"/>
              <w:rPr>
                <w:b w:val="0"/>
                <w:bCs w:val="0"/>
              </w:rPr>
            </w:pPr>
            <w:r w:rsidRPr="007C0BB1">
              <w:t>Discharge planning</w:t>
            </w:r>
          </w:p>
        </w:tc>
        <w:tc>
          <w:tcPr>
            <w:tcW w:w="6804" w:type="dxa"/>
          </w:tcPr>
          <w:p w14:paraId="7415A6CD" w14:textId="77777777" w:rsidR="00281C2F" w:rsidRPr="006A2665"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454128FB">
              <w:t>A</w:t>
            </w:r>
            <w:r w:rsidRPr="007D6C82">
              <w:t xml:space="preserve"> </w:t>
            </w:r>
            <w:r>
              <w:t>L</w:t>
            </w:r>
            <w:r w:rsidRPr="007D6C82">
              <w:t xml:space="preserve">evel </w:t>
            </w:r>
            <w:r>
              <w:t>4</w:t>
            </w:r>
            <w:r w:rsidRPr="007D6C82">
              <w:t xml:space="preserve"> service</w:t>
            </w:r>
            <w:r>
              <w:t>s</w:t>
            </w:r>
            <w:r w:rsidRPr="007D6C82">
              <w:t xml:space="preserve">: </w:t>
            </w:r>
          </w:p>
          <w:p w14:paraId="7DACF55D" w14:textId="77777777" w:rsidR="00281C2F" w:rsidRPr="00E31512"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t>f</w:t>
            </w:r>
            <w:r w:rsidRPr="63B58C0A">
              <w:t>acilitates transition of the patient to home</w:t>
            </w:r>
            <w:r>
              <w:t>,</w:t>
            </w:r>
            <w:r w:rsidRPr="63B58C0A">
              <w:t xml:space="preserve"> including </w:t>
            </w:r>
            <w:r>
              <w:t xml:space="preserve">providing </w:t>
            </w:r>
            <w:r w:rsidRPr="63B58C0A">
              <w:t>post-acute care and specialist rehabilitation as required</w:t>
            </w:r>
          </w:p>
          <w:p w14:paraId="6F4DEA64" w14:textId="77777777" w:rsidR="00281C2F" w:rsidRPr="00792670"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t>has s</w:t>
            </w:r>
            <w:r w:rsidRPr="63B58C0A">
              <w:t>pecialist clinics provid</w:t>
            </w:r>
            <w:r>
              <w:t>ing</w:t>
            </w:r>
            <w:r w:rsidRPr="63B58C0A">
              <w:t xml:space="preserve"> a post-operative review and formal discharge of the patient back to </w:t>
            </w:r>
            <w:r>
              <w:t xml:space="preserve">the </w:t>
            </w:r>
            <w:r w:rsidRPr="63B58C0A">
              <w:t>referring provider</w:t>
            </w:r>
          </w:p>
          <w:p w14:paraId="1B25F70A" w14:textId="77777777" w:rsidR="00281C2F" w:rsidRPr="00792670"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t>h</w:t>
            </w:r>
            <w:r w:rsidRPr="63B58C0A">
              <w:t xml:space="preserve">as </w:t>
            </w:r>
            <w:r>
              <w:t xml:space="preserve">an </w:t>
            </w:r>
            <w:r w:rsidRPr="63B58C0A">
              <w:t>inter</w:t>
            </w:r>
            <w:r>
              <w:t>disciplinary</w:t>
            </w:r>
            <w:r w:rsidRPr="63B58C0A">
              <w:t xml:space="preserve"> approach and processes to discharge planning for specific cohorts of patients (for example</w:t>
            </w:r>
            <w:r>
              <w:t>,</w:t>
            </w:r>
            <w:r w:rsidRPr="63B58C0A">
              <w:t xml:space="preserve"> complex care)</w:t>
            </w:r>
            <w:r>
              <w:t>,</w:t>
            </w:r>
            <w:r w:rsidRPr="63B58C0A">
              <w:t xml:space="preserve"> and discharge coordinators (or similar) to work with specific cohorts.</w:t>
            </w:r>
          </w:p>
        </w:tc>
      </w:tr>
    </w:tbl>
    <w:p w14:paraId="2F8D5076" w14:textId="77777777" w:rsidR="00281C2F" w:rsidRDefault="00281C2F" w:rsidP="00281C2F">
      <w:pPr>
        <w:pStyle w:val="Heading3"/>
      </w:pPr>
      <w:r>
        <w:t>Clinical w</w:t>
      </w:r>
      <w:r w:rsidRPr="0058461A">
        <w:t>orkforce</w:t>
      </w:r>
    </w:p>
    <w:p w14:paraId="5B5489DE" w14:textId="71B54C54" w:rsidR="00281C2F" w:rsidRDefault="0022729A" w:rsidP="00281C2F">
      <w:pPr>
        <w:pStyle w:val="Body"/>
      </w:pPr>
      <w:r>
        <w:t xml:space="preserve">This section </w:t>
      </w:r>
      <w:r w:rsidR="00281C2F">
        <w:t>outlines the requirements for the clinical workforce in Level 4 perioperative services that are in addition to Level</w:t>
      </w:r>
      <w:r>
        <w:t>s</w:t>
      </w:r>
      <w:r w:rsidR="00281C2F">
        <w:t xml:space="preserve"> 1</w:t>
      </w:r>
      <w:r>
        <w:t>–</w:t>
      </w:r>
      <w:r w:rsidR="00281C2F">
        <w:t>3 roles and responsibilities.</w:t>
      </w:r>
    </w:p>
    <w:tbl>
      <w:tblPr>
        <w:tblStyle w:val="GridTable4-Accent6"/>
        <w:tblW w:w="9370" w:type="dxa"/>
        <w:tblBorders>
          <w:top w:val="none" w:sz="0" w:space="0" w:color="auto"/>
          <w:left w:val="none" w:sz="0" w:space="0" w:color="auto"/>
          <w:bottom w:val="single" w:sz="4" w:space="0" w:color="201547"/>
          <w:right w:val="none" w:sz="0" w:space="0" w:color="auto"/>
          <w:insideH w:val="none" w:sz="0" w:space="0" w:color="auto"/>
          <w:insideV w:val="single" w:sz="4" w:space="0" w:color="201547"/>
        </w:tblBorders>
        <w:tblLook w:val="04A0" w:firstRow="1" w:lastRow="0" w:firstColumn="1" w:lastColumn="0" w:noHBand="0" w:noVBand="1"/>
      </w:tblPr>
      <w:tblGrid>
        <w:gridCol w:w="2399"/>
        <w:gridCol w:w="6971"/>
      </w:tblGrid>
      <w:tr w:rsidR="002C03B7" w:rsidRPr="002C03B7" w14:paraId="028F3A69" w14:textId="77777777" w:rsidTr="009434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99" w:type="dxa"/>
            <w:shd w:val="clear" w:color="auto" w:fill="201547"/>
          </w:tcPr>
          <w:p w14:paraId="2D932DA3" w14:textId="34BEC66E" w:rsidR="00281C2F" w:rsidRPr="002C03B7" w:rsidRDefault="00281C2F" w:rsidP="002C03B7">
            <w:pPr>
              <w:pStyle w:val="Tablecolhead"/>
              <w:rPr>
                <w:b/>
                <w:bCs w:val="0"/>
                <w:color w:val="FFFFFF" w:themeColor="background1"/>
              </w:rPr>
            </w:pPr>
            <w:r w:rsidRPr="002C03B7">
              <w:rPr>
                <w:b/>
                <w:bCs w:val="0"/>
                <w:color w:val="FFFFFF" w:themeColor="background1"/>
              </w:rPr>
              <w:t xml:space="preserve">Level 4 service </w:t>
            </w:r>
          </w:p>
        </w:tc>
        <w:tc>
          <w:tcPr>
            <w:tcW w:w="6971" w:type="dxa"/>
            <w:shd w:val="clear" w:color="auto" w:fill="201547"/>
          </w:tcPr>
          <w:p w14:paraId="024A96FE" w14:textId="77777777" w:rsidR="00281C2F" w:rsidRPr="002C03B7" w:rsidRDefault="00281C2F" w:rsidP="002C03B7">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C03B7">
              <w:rPr>
                <w:b/>
                <w:bCs w:val="0"/>
                <w:color w:val="FFFFFF" w:themeColor="background1"/>
              </w:rPr>
              <w:t>Requirements</w:t>
            </w:r>
          </w:p>
        </w:tc>
      </w:tr>
      <w:tr w:rsidR="00281C2F" w:rsidRPr="00A63ED1" w14:paraId="486A0118" w14:textId="77777777" w:rsidTr="00943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shd w:val="clear" w:color="auto" w:fill="DBE5F1" w:themeFill="accent1" w:themeFillTint="33"/>
          </w:tcPr>
          <w:p w14:paraId="4BC08119" w14:textId="77777777" w:rsidR="00281C2F" w:rsidRPr="007C0BB1" w:rsidRDefault="00281C2F" w:rsidP="009A032D">
            <w:pPr>
              <w:pStyle w:val="Tabletext"/>
              <w:rPr>
                <w:bCs w:val="0"/>
              </w:rPr>
            </w:pPr>
            <w:r w:rsidRPr="007C0BB1">
              <w:t>Surgery/proceduralist</w:t>
            </w:r>
          </w:p>
        </w:tc>
        <w:tc>
          <w:tcPr>
            <w:tcW w:w="6971" w:type="dxa"/>
            <w:shd w:val="clear" w:color="auto" w:fill="DBE5F1" w:themeFill="accent1" w:themeFillTint="33"/>
          </w:tcPr>
          <w:p w14:paraId="33257A57" w14:textId="77777777" w:rsidR="00281C2F" w:rsidRPr="0016482B"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16482B">
              <w:t>Clinical units are structured to provide medical specialist</w:t>
            </w:r>
            <w:r>
              <w:t>-</w:t>
            </w:r>
            <w:r w:rsidRPr="0016482B">
              <w:t xml:space="preserve">led care in clinical streams that collectively provide </w:t>
            </w:r>
            <w:r>
              <w:t>non-admitted</w:t>
            </w:r>
            <w:r w:rsidRPr="0016482B">
              <w:t xml:space="preserve"> care, pre and post</w:t>
            </w:r>
            <w:r>
              <w:t>-</w:t>
            </w:r>
            <w:r w:rsidRPr="0016482B">
              <w:t>procedure care and 24/7 care to admitted patients</w:t>
            </w:r>
            <w:r>
              <w:t>,</w:t>
            </w:r>
            <w:r w:rsidRPr="0016482B">
              <w:t xml:space="preserve"> and manage complications of surgery. </w:t>
            </w:r>
          </w:p>
          <w:p w14:paraId="3FD31AC5" w14:textId="77777777" w:rsidR="00281C2F" w:rsidRPr="00112118"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112118">
              <w:t xml:space="preserve">The clinical units </w:t>
            </w:r>
            <w:r>
              <w:t>consist</w:t>
            </w:r>
            <w:r w:rsidRPr="00112118">
              <w:t xml:space="preserve"> of:</w:t>
            </w:r>
          </w:p>
          <w:p w14:paraId="20B6D621" w14:textId="77777777" w:rsidR="00281C2F" w:rsidRPr="00112118"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63B58C0A">
              <w:t>relevant head</w:t>
            </w:r>
            <w:r>
              <w:t>s</w:t>
            </w:r>
            <w:r w:rsidRPr="63B58C0A">
              <w:t xml:space="preserve"> of units</w:t>
            </w:r>
          </w:p>
          <w:p w14:paraId="21416C4F" w14:textId="77777777" w:rsidR="00281C2F" w:rsidRPr="00112118"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 xml:space="preserve">a </w:t>
            </w:r>
            <w:r w:rsidRPr="63B58C0A">
              <w:t>medical specialist, credentialed at the health service for general surgical care, available 24/7</w:t>
            </w:r>
          </w:p>
          <w:p w14:paraId="65E4CEA4" w14:textId="77777777" w:rsidR="00281C2F" w:rsidRPr="00112118"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 xml:space="preserve">a </w:t>
            </w:r>
            <w:r w:rsidRPr="63B58C0A">
              <w:t>medical specialist, credentialed at the health service for orthopaedic surgical care, available 24/7</w:t>
            </w:r>
          </w:p>
          <w:p w14:paraId="15D84F69" w14:textId="77777777" w:rsidR="00281C2F" w:rsidRPr="00112118"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63B58C0A">
              <w:t>medical specialists or equivalent, credentialed at the health service for agreed surgical specialties</w:t>
            </w:r>
          </w:p>
          <w:p w14:paraId="266B1CDA" w14:textId="77777777" w:rsidR="00281C2F" w:rsidRPr="00112118"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63B58C0A">
              <w:t>medical practitioners onsite 24/7</w:t>
            </w:r>
            <w:r>
              <w:t>.</w:t>
            </w:r>
          </w:p>
          <w:p w14:paraId="763EA963"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450F25">
              <w:t>The number, type and composition of units at each service reflect demand for services and local agreements about workload management.</w:t>
            </w:r>
          </w:p>
          <w:p w14:paraId="5CF54522" w14:textId="77777777" w:rsidR="00281C2F" w:rsidRPr="00450F25"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E1136E">
              <w:t>Paediatric services</w:t>
            </w:r>
            <w:r>
              <w:t xml:space="preserve"> – a</w:t>
            </w:r>
            <w:r w:rsidRPr="0024756E">
              <w:t>s for Level 3.</w:t>
            </w:r>
          </w:p>
        </w:tc>
      </w:tr>
      <w:tr w:rsidR="00281C2F" w:rsidRPr="00A63ED1" w14:paraId="4C4ADBC6" w14:textId="77777777" w:rsidTr="00943477">
        <w:tc>
          <w:tcPr>
            <w:cnfStyle w:val="001000000000" w:firstRow="0" w:lastRow="0" w:firstColumn="1" w:lastColumn="0" w:oddVBand="0" w:evenVBand="0" w:oddHBand="0" w:evenHBand="0" w:firstRowFirstColumn="0" w:firstRowLastColumn="0" w:lastRowFirstColumn="0" w:lastRowLastColumn="0"/>
            <w:tcW w:w="2399" w:type="dxa"/>
          </w:tcPr>
          <w:p w14:paraId="25B8C418" w14:textId="77777777" w:rsidR="00281C2F" w:rsidRPr="007C0BB1" w:rsidRDefault="00281C2F" w:rsidP="009A032D">
            <w:pPr>
              <w:pStyle w:val="Tabletext"/>
              <w:rPr>
                <w:bCs w:val="0"/>
              </w:rPr>
            </w:pPr>
            <w:r w:rsidRPr="007C0BB1">
              <w:t xml:space="preserve">Anaesthetics </w:t>
            </w:r>
          </w:p>
        </w:tc>
        <w:tc>
          <w:tcPr>
            <w:tcW w:w="6971" w:type="dxa"/>
          </w:tcPr>
          <w:p w14:paraId="3C47A669" w14:textId="77777777" w:rsidR="00281C2F" w:rsidRPr="00A55DB1"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A55DB1">
              <w:t xml:space="preserve">The anaesthetic team is structured to provide </w:t>
            </w:r>
            <w:r w:rsidRPr="00932E3D">
              <w:t>anaesthetic</w:t>
            </w:r>
            <w:r w:rsidRPr="00A55DB1">
              <w:t xml:space="preserve"> services across </w:t>
            </w:r>
            <w:r>
              <w:t>non-admitted</w:t>
            </w:r>
            <w:r w:rsidRPr="00A55DB1">
              <w:t>, diagnostic and operating suite</w:t>
            </w:r>
            <w:r>
              <w:t>, and</w:t>
            </w:r>
            <w:r w:rsidRPr="00A55DB1">
              <w:t xml:space="preserve"> acute pain services</w:t>
            </w:r>
            <w:r>
              <w:t>. It</w:t>
            </w:r>
            <w:r w:rsidRPr="00A55DB1">
              <w:t xml:space="preserve"> co</w:t>
            </w:r>
            <w:r>
              <w:t>n</w:t>
            </w:r>
            <w:r w:rsidRPr="00A55DB1">
              <w:t>s</w:t>
            </w:r>
            <w:r>
              <w:t>ist</w:t>
            </w:r>
            <w:r w:rsidRPr="00A55DB1">
              <w:t>s</w:t>
            </w:r>
            <w:r>
              <w:t xml:space="preserve"> of</w:t>
            </w:r>
            <w:r w:rsidRPr="00A55DB1">
              <w:t>:</w:t>
            </w:r>
          </w:p>
          <w:p w14:paraId="23C7CDE2" w14:textId="77777777" w:rsidR="00281C2F" w:rsidRPr="003070CE"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t xml:space="preserve">a </w:t>
            </w:r>
            <w:r w:rsidRPr="003070CE">
              <w:t xml:space="preserve">medical specialist, credentialed at the health service for anaesthetic care, as lead clinician and has clinical governance responsibilities (may be in partnership arrangement within region). </w:t>
            </w:r>
          </w:p>
          <w:p w14:paraId="4332125F" w14:textId="77777777" w:rsidR="00281C2F" w:rsidRPr="003070CE"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003070CE">
              <w:t>a medical specialist, credentialed at the health service for anaesthetic care, available 24/7</w:t>
            </w:r>
          </w:p>
          <w:p w14:paraId="72F793FC" w14:textId="47CA6C34" w:rsidR="00281C2F" w:rsidRPr="00A55DB1"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003070CE">
              <w:t>for identified cases, a health practitioner available to assist with anaesthesia per</w:t>
            </w:r>
            <w:r w:rsidRPr="63B58C0A">
              <w:t xml:space="preserve"> </w:t>
            </w:r>
            <w:hyperlink r:id="rId55" w:history="1">
              <w:r w:rsidRPr="009C5270">
                <w:rPr>
                  <w:rStyle w:val="Hyperlink"/>
                  <w:rFonts w:cs="Arial"/>
                </w:rPr>
                <w:t>ANZCA PS08</w:t>
              </w:r>
            </w:hyperlink>
            <w:r w:rsidRPr="63B58C0A">
              <w:rPr>
                <w:rStyle w:val="FootnoteReference"/>
                <w:rFonts w:cs="Arial"/>
                <w:sz w:val="20"/>
              </w:rPr>
              <w:footnoteReference w:id="60"/>
            </w:r>
            <w:r w:rsidRPr="63B58C0A">
              <w:rPr>
                <w:rFonts w:cs="Arial"/>
                <w:vertAlign w:val="superscript"/>
              </w:rPr>
              <w:t>,</w:t>
            </w:r>
            <w:r w:rsidRPr="63B58C0A">
              <w:rPr>
                <w:rStyle w:val="FootnoteReference"/>
                <w:rFonts w:cs="Arial"/>
                <w:sz w:val="20"/>
              </w:rPr>
              <w:footnoteReference w:id="61"/>
            </w:r>
          </w:p>
          <w:p w14:paraId="1EF523B5" w14:textId="77777777" w:rsidR="00281C2F" w:rsidRPr="00A55DB1"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t xml:space="preserve">a </w:t>
            </w:r>
            <w:r w:rsidRPr="63B58C0A">
              <w:t>medical practitioner with competency in the management of peri</w:t>
            </w:r>
            <w:r>
              <w:t>operative</w:t>
            </w:r>
            <w:r w:rsidRPr="63B58C0A">
              <w:t xml:space="preserve"> patients, onsite 24/7, or available to respond to an emergency 24/7.</w:t>
            </w:r>
          </w:p>
          <w:p w14:paraId="3D67A5A7" w14:textId="77777777" w:rsidR="00281C2F" w:rsidRPr="00722480"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E1136E">
              <w:t>Paediatric services</w:t>
            </w:r>
            <w:r>
              <w:t xml:space="preserve"> – as for Level 3.</w:t>
            </w:r>
          </w:p>
        </w:tc>
      </w:tr>
      <w:tr w:rsidR="00281C2F" w:rsidRPr="00CA4193" w14:paraId="3E989382" w14:textId="77777777" w:rsidTr="00943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shd w:val="clear" w:color="auto" w:fill="DBE5F1" w:themeFill="accent1" w:themeFillTint="33"/>
          </w:tcPr>
          <w:p w14:paraId="6EDE082E" w14:textId="77777777" w:rsidR="00281C2F" w:rsidRPr="007C0BB1" w:rsidRDefault="00281C2F" w:rsidP="009A032D">
            <w:pPr>
              <w:pStyle w:val="Tabletext"/>
              <w:rPr>
                <w:bCs w:val="0"/>
              </w:rPr>
            </w:pPr>
            <w:r w:rsidRPr="007C0BB1">
              <w:t>Emergency surgery staff</w:t>
            </w:r>
          </w:p>
        </w:tc>
        <w:tc>
          <w:tcPr>
            <w:tcW w:w="6971" w:type="dxa"/>
            <w:shd w:val="clear" w:color="auto" w:fill="DBE5F1" w:themeFill="accent1" w:themeFillTint="33"/>
          </w:tcPr>
          <w:p w14:paraId="56ECB0F7" w14:textId="77777777" w:rsidR="00281C2F" w:rsidRPr="009F09A2"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63B58C0A">
              <w:t>Where emergency specialty surgical care is within scope, medical specialists</w:t>
            </w:r>
            <w:r>
              <w:t>,</w:t>
            </w:r>
            <w:r w:rsidRPr="63B58C0A">
              <w:t xml:space="preserve"> credentialed at the health service for specialty surgical care, </w:t>
            </w:r>
            <w:r>
              <w:t xml:space="preserve">is </w:t>
            </w:r>
            <w:r w:rsidRPr="63B58C0A">
              <w:t>available 24/7.</w:t>
            </w:r>
          </w:p>
          <w:p w14:paraId="514DCF11" w14:textId="77777777" w:rsidR="00281C2F" w:rsidRPr="003070C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3070CE">
              <w:t>A medical specialist, credentialed at the health service for anaesthetic care, is available 24/7.</w:t>
            </w:r>
          </w:p>
          <w:p w14:paraId="310DA920" w14:textId="77777777" w:rsidR="00281C2F" w:rsidRPr="003070C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3070CE">
              <w:t>A medical practitioner, with competency in perioperative medical management, is onsite 24/7.</w:t>
            </w:r>
          </w:p>
          <w:p w14:paraId="741E0451" w14:textId="77777777" w:rsidR="00281C2F" w:rsidRPr="007D6C82"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3070CE">
              <w:t>Paediatric services – as for Level 3.</w:t>
            </w:r>
          </w:p>
        </w:tc>
      </w:tr>
      <w:tr w:rsidR="00281C2F" w:rsidRPr="00A63ED1" w14:paraId="6BB4FEE0" w14:textId="77777777" w:rsidTr="00943477">
        <w:tc>
          <w:tcPr>
            <w:cnfStyle w:val="001000000000" w:firstRow="0" w:lastRow="0" w:firstColumn="1" w:lastColumn="0" w:oddVBand="0" w:evenVBand="0" w:oddHBand="0" w:evenHBand="0" w:firstRowFirstColumn="0" w:firstRowLastColumn="0" w:lastRowFirstColumn="0" w:lastRowLastColumn="0"/>
            <w:tcW w:w="2399" w:type="dxa"/>
          </w:tcPr>
          <w:p w14:paraId="7E5FB445" w14:textId="77777777" w:rsidR="00281C2F" w:rsidRPr="00BD2B60" w:rsidRDefault="00281C2F" w:rsidP="009A032D">
            <w:pPr>
              <w:pStyle w:val="Tabletext"/>
              <w:rPr>
                <w:bCs w:val="0"/>
              </w:rPr>
            </w:pPr>
            <w:r w:rsidRPr="00BD2B60">
              <w:t>Nursing</w:t>
            </w:r>
          </w:p>
        </w:tc>
        <w:tc>
          <w:tcPr>
            <w:tcW w:w="6971" w:type="dxa"/>
          </w:tcPr>
          <w:p w14:paraId="3893B74C" w14:textId="77777777" w:rsidR="00281C2F" w:rsidRPr="00BD2B60"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63B58C0A">
              <w:t xml:space="preserve">Nursing staff with competency in </w:t>
            </w:r>
            <w:r w:rsidRPr="003070CE">
              <w:t>post-anaesthetic</w:t>
            </w:r>
            <w:r w:rsidRPr="63B58C0A">
              <w:t xml:space="preserve"> and recovery care </w:t>
            </w:r>
            <w:r>
              <w:t xml:space="preserve">are </w:t>
            </w:r>
            <w:r w:rsidRPr="63B58C0A">
              <w:t>available 24/7.</w:t>
            </w:r>
          </w:p>
          <w:p w14:paraId="15EBBEBF"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63B58C0A">
              <w:t xml:space="preserve">Nursing staff with competency in provision of pain management services </w:t>
            </w:r>
            <w:r>
              <w:t xml:space="preserve">are </w:t>
            </w:r>
            <w:r w:rsidRPr="63B58C0A">
              <w:t>available</w:t>
            </w:r>
            <w:r>
              <w:t>,</w:t>
            </w:r>
            <w:r w:rsidRPr="63B58C0A">
              <w:t xml:space="preserve"> according to demand</w:t>
            </w:r>
            <w:r>
              <w:t>.</w:t>
            </w:r>
          </w:p>
          <w:p w14:paraId="10015A97" w14:textId="77777777" w:rsidR="00281C2F" w:rsidRPr="00BD2B60"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63B58C0A">
              <w:t xml:space="preserve">Nursing staff with competence in the assessment and management of acute pain </w:t>
            </w:r>
            <w:r>
              <w:t xml:space="preserve">are </w:t>
            </w:r>
            <w:r w:rsidRPr="63B58C0A">
              <w:t>available to support the Acute Pain Service in standard hours.</w:t>
            </w:r>
          </w:p>
          <w:p w14:paraId="1EFD04FC" w14:textId="77777777" w:rsidR="00281C2F" w:rsidRPr="00423E4A"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Nursing staff</w:t>
            </w:r>
            <w:r w:rsidRPr="00BD2B60">
              <w:t xml:space="preserve"> with competency in provision of </w:t>
            </w:r>
            <w:r>
              <w:t xml:space="preserve">relevant </w:t>
            </w:r>
            <w:r w:rsidRPr="00BD2B60">
              <w:t>specialist services</w:t>
            </w:r>
            <w:r>
              <w:t xml:space="preserve"> are available, according to demand</w:t>
            </w:r>
            <w:r w:rsidRPr="00BD2B60">
              <w:rPr>
                <w:vertAlign w:val="superscript"/>
              </w:rPr>
              <w:footnoteReference w:id="62"/>
            </w:r>
            <w:r>
              <w:t>.</w:t>
            </w:r>
          </w:p>
        </w:tc>
      </w:tr>
      <w:tr w:rsidR="00281C2F" w:rsidRPr="00A63ED1" w14:paraId="30466853" w14:textId="77777777" w:rsidTr="00943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shd w:val="clear" w:color="auto" w:fill="DBE5F1" w:themeFill="accent1" w:themeFillTint="33"/>
          </w:tcPr>
          <w:p w14:paraId="19A2D495" w14:textId="77777777" w:rsidR="00281C2F" w:rsidRPr="00BD1654" w:rsidRDefault="00281C2F" w:rsidP="009A032D">
            <w:pPr>
              <w:pStyle w:val="Tabletext"/>
              <w:rPr>
                <w:bCs w:val="0"/>
              </w:rPr>
            </w:pPr>
            <w:r w:rsidRPr="00BD1654">
              <w:t xml:space="preserve">Allied </w:t>
            </w:r>
            <w:r>
              <w:t>h</w:t>
            </w:r>
            <w:r w:rsidRPr="00BD1654">
              <w:t>ealth</w:t>
            </w:r>
          </w:p>
        </w:tc>
        <w:tc>
          <w:tcPr>
            <w:tcW w:w="6971" w:type="dxa"/>
            <w:shd w:val="clear" w:color="auto" w:fill="DBE5F1" w:themeFill="accent1" w:themeFillTint="33"/>
          </w:tcPr>
          <w:p w14:paraId="16C21FB0" w14:textId="77777777" w:rsidR="00281C2F" w:rsidRPr="00BD1654"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BD1654">
              <w:t xml:space="preserve">As for </w:t>
            </w:r>
            <w:r>
              <w:t>L</w:t>
            </w:r>
            <w:r w:rsidRPr="00BD1654">
              <w:t xml:space="preserve">evel </w:t>
            </w:r>
            <w:r>
              <w:t>2.</w:t>
            </w:r>
          </w:p>
        </w:tc>
      </w:tr>
    </w:tbl>
    <w:p w14:paraId="181CF346" w14:textId="77777777" w:rsidR="00281C2F" w:rsidRDefault="00281C2F" w:rsidP="00281C2F">
      <w:pPr>
        <w:pStyle w:val="Heading3"/>
      </w:pPr>
      <w:r w:rsidRPr="0058461A">
        <w:t>Clinical support services</w:t>
      </w:r>
    </w:p>
    <w:p w14:paraId="00AC9C23" w14:textId="6611CC5D" w:rsidR="00281C2F" w:rsidRDefault="0022729A" w:rsidP="00BE7674">
      <w:pPr>
        <w:pStyle w:val="Body"/>
      </w:pPr>
      <w:r>
        <w:t>This section</w:t>
      </w:r>
      <w:r w:rsidR="00281C2F">
        <w:t xml:space="preserve"> outlines the requirements for clinical support services in Level 4 perioperative services that are in addition to Level</w:t>
      </w:r>
      <w:r>
        <w:t>s</w:t>
      </w:r>
      <w:r w:rsidR="00281C2F">
        <w:t xml:space="preserve"> 1</w:t>
      </w:r>
      <w:r>
        <w:t>–</w:t>
      </w:r>
      <w:r w:rsidR="00281C2F">
        <w:t>3 responsibilities.</w:t>
      </w:r>
    </w:p>
    <w:tbl>
      <w:tblPr>
        <w:tblStyle w:val="GridTable4-Accent6"/>
        <w:tblW w:w="9489" w:type="dxa"/>
        <w:tblBorders>
          <w:top w:val="none" w:sz="0" w:space="0" w:color="auto"/>
          <w:left w:val="none" w:sz="0" w:space="0" w:color="auto"/>
          <w:bottom w:val="single" w:sz="4" w:space="0" w:color="201547"/>
          <w:right w:val="none" w:sz="0" w:space="0" w:color="auto"/>
          <w:insideH w:val="none" w:sz="0" w:space="0" w:color="auto"/>
          <w:insideV w:val="single" w:sz="4" w:space="0" w:color="201547"/>
        </w:tblBorders>
        <w:tblLook w:val="04A0" w:firstRow="1" w:lastRow="0" w:firstColumn="1" w:lastColumn="0" w:noHBand="0" w:noVBand="1"/>
      </w:tblPr>
      <w:tblGrid>
        <w:gridCol w:w="2405"/>
        <w:gridCol w:w="7084"/>
      </w:tblGrid>
      <w:tr w:rsidR="00281C2F" w:rsidRPr="00687440" w14:paraId="4E590920" w14:textId="77777777" w:rsidTr="009434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201547"/>
          </w:tcPr>
          <w:p w14:paraId="78EE926C" w14:textId="63FC3DA9" w:rsidR="00281C2F" w:rsidRPr="00203EEE" w:rsidRDefault="00281C2F" w:rsidP="009A032D">
            <w:pPr>
              <w:pStyle w:val="Tablecolhead"/>
            </w:pPr>
            <w:r w:rsidRPr="00E1136E">
              <w:rPr>
                <w:b/>
                <w:color w:val="FFFFFF" w:themeColor="background1"/>
              </w:rPr>
              <w:t xml:space="preserve">Level 4 service </w:t>
            </w:r>
          </w:p>
        </w:tc>
        <w:tc>
          <w:tcPr>
            <w:tcW w:w="0" w:type="dxa"/>
            <w:shd w:val="clear" w:color="auto" w:fill="201547"/>
          </w:tcPr>
          <w:p w14:paraId="737443C6" w14:textId="77777777" w:rsidR="00281C2F" w:rsidRPr="00203EEE" w:rsidRDefault="00281C2F" w:rsidP="009A032D">
            <w:pPr>
              <w:pStyle w:val="Tablecolhead"/>
              <w:cnfStyle w:val="100000000000" w:firstRow="1" w:lastRow="0" w:firstColumn="0" w:lastColumn="0" w:oddVBand="0" w:evenVBand="0" w:oddHBand="0" w:evenHBand="0" w:firstRowFirstColumn="0" w:firstRowLastColumn="0" w:lastRowFirstColumn="0" w:lastRowLastColumn="0"/>
            </w:pPr>
            <w:r w:rsidRPr="00E1136E">
              <w:rPr>
                <w:b/>
                <w:color w:val="FFFFFF" w:themeColor="background1"/>
              </w:rPr>
              <w:t>Requirements</w:t>
            </w:r>
          </w:p>
        </w:tc>
      </w:tr>
      <w:tr w:rsidR="00281C2F" w:rsidRPr="00A63ED1" w14:paraId="2212292E" w14:textId="77777777" w:rsidTr="00943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48BFF6C1" w14:textId="77777777" w:rsidR="00281C2F" w:rsidRPr="00E1136E" w:rsidRDefault="00281C2F" w:rsidP="009A032D">
            <w:pPr>
              <w:pStyle w:val="Tabletext"/>
              <w:rPr>
                <w:rFonts w:eastAsia="MS Mincho" w:cs="Arial"/>
                <w:b w:val="0"/>
              </w:rPr>
            </w:pPr>
            <w:r w:rsidRPr="00C41490">
              <w:rPr>
                <w:rFonts w:eastAsia="MS Mincho"/>
              </w:rPr>
              <w:t xml:space="preserve">Critical </w:t>
            </w:r>
            <w:r>
              <w:rPr>
                <w:rFonts w:eastAsia="MS Mincho"/>
                <w:bCs w:val="0"/>
              </w:rPr>
              <w:t>c</w:t>
            </w:r>
            <w:r w:rsidRPr="00C41490">
              <w:rPr>
                <w:rFonts w:eastAsia="MS Mincho"/>
              </w:rPr>
              <w:t>are</w:t>
            </w:r>
          </w:p>
        </w:tc>
        <w:tc>
          <w:tcPr>
            <w:tcW w:w="7084" w:type="dxa"/>
            <w:shd w:val="clear" w:color="auto" w:fill="DBE5F1" w:themeFill="accent1" w:themeFillTint="33"/>
          </w:tcPr>
          <w:p w14:paraId="076A13B2" w14:textId="4A78D650" w:rsidR="00281C2F" w:rsidRPr="00C41490"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C41490">
              <w:t xml:space="preserve">Critical care services are aligned with </w:t>
            </w:r>
            <w:r w:rsidRPr="003F1F41">
              <w:t>t</w:t>
            </w:r>
            <w:r>
              <w:t>h</w:t>
            </w:r>
            <w:r w:rsidRPr="003F1F41">
              <w:t xml:space="preserve">e </w:t>
            </w:r>
            <w:hyperlink r:id="rId56" w:anchor="Policies" w:history="1">
              <w:r w:rsidRPr="00982D38">
                <w:rPr>
                  <w:rStyle w:val="Hyperlink"/>
                </w:rPr>
                <w:t>College of Intensive Care Medicine (CICM) minimum standards for intensive care units – Level I</w:t>
              </w:r>
            </w:hyperlink>
            <w:r w:rsidRPr="00C41490">
              <w:rPr>
                <w:rStyle w:val="FootnoteReference"/>
                <w:rFonts w:cs="Arial"/>
                <w:sz w:val="20"/>
              </w:rPr>
              <w:footnoteReference w:id="63"/>
            </w:r>
            <w:r>
              <w:t>.</w:t>
            </w:r>
          </w:p>
          <w:p w14:paraId="0B825561" w14:textId="77777777" w:rsidR="00281C2F" w:rsidRPr="00792535"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A m</w:t>
            </w:r>
            <w:r w:rsidRPr="63B58C0A">
              <w:t>edical specialist</w:t>
            </w:r>
            <w:r>
              <w:t>,</w:t>
            </w:r>
            <w:r w:rsidRPr="63B58C0A">
              <w:t xml:space="preserve"> credentialed for intensive care</w:t>
            </w:r>
            <w:r>
              <w:t>, is</w:t>
            </w:r>
            <w:r w:rsidRPr="63B58C0A">
              <w:t xml:space="preserve"> available 24/7 </w:t>
            </w:r>
            <w:r w:rsidRPr="63B58C0A">
              <w:rPr>
                <w:rFonts w:eastAsia="Calibri"/>
              </w:rPr>
              <w:t>(credential</w:t>
            </w:r>
            <w:r>
              <w:rPr>
                <w:rFonts w:eastAsia="Calibri"/>
              </w:rPr>
              <w:t>ed</w:t>
            </w:r>
            <w:r w:rsidRPr="63B58C0A">
              <w:rPr>
                <w:rFonts w:eastAsia="Calibri"/>
              </w:rPr>
              <w:t xml:space="preserve"> for paediatric care</w:t>
            </w:r>
            <w:r>
              <w:rPr>
                <w:rFonts w:eastAsia="Calibri"/>
              </w:rPr>
              <w:t>,</w:t>
            </w:r>
            <w:r w:rsidRPr="63B58C0A">
              <w:rPr>
                <w:rFonts w:eastAsia="Calibri"/>
              </w:rPr>
              <w:t xml:space="preserve"> where paediatric services are provided).</w:t>
            </w:r>
          </w:p>
        </w:tc>
      </w:tr>
      <w:tr w:rsidR="00281C2F" w:rsidRPr="00A63ED1" w14:paraId="322FB733" w14:textId="77777777" w:rsidTr="00943477">
        <w:tc>
          <w:tcPr>
            <w:cnfStyle w:val="001000000000" w:firstRow="0" w:lastRow="0" w:firstColumn="1" w:lastColumn="0" w:oddVBand="0" w:evenVBand="0" w:oddHBand="0" w:evenHBand="0" w:firstRowFirstColumn="0" w:firstRowLastColumn="0" w:lastRowFirstColumn="0" w:lastRowLastColumn="0"/>
            <w:tcW w:w="2405" w:type="dxa"/>
          </w:tcPr>
          <w:p w14:paraId="2DC2935E" w14:textId="77777777" w:rsidR="00281C2F" w:rsidRPr="00C41490" w:rsidRDefault="00281C2F" w:rsidP="009A032D">
            <w:pPr>
              <w:pStyle w:val="Tabletext"/>
              <w:rPr>
                <w:rFonts w:eastAsia="MS Mincho"/>
                <w:b w:val="0"/>
              </w:rPr>
            </w:pPr>
            <w:r w:rsidRPr="00C41490">
              <w:rPr>
                <w:rFonts w:eastAsia="MS Mincho"/>
              </w:rPr>
              <w:t xml:space="preserve">Emergency </w:t>
            </w:r>
            <w:r>
              <w:rPr>
                <w:rFonts w:eastAsia="MS Mincho"/>
              </w:rPr>
              <w:t>r</w:t>
            </w:r>
            <w:r w:rsidRPr="00C41490">
              <w:rPr>
                <w:rFonts w:eastAsia="MS Mincho"/>
              </w:rPr>
              <w:t>esponse</w:t>
            </w:r>
          </w:p>
        </w:tc>
        <w:tc>
          <w:tcPr>
            <w:tcW w:w="7084" w:type="dxa"/>
          </w:tcPr>
          <w:p w14:paraId="1C9C45D5" w14:textId="77777777" w:rsidR="00281C2F" w:rsidRPr="00C41490"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C41490">
              <w:t xml:space="preserve">As for </w:t>
            </w:r>
            <w:r>
              <w:t>L</w:t>
            </w:r>
            <w:r w:rsidRPr="00C41490">
              <w:t>evel 3</w:t>
            </w:r>
            <w:r>
              <w:t>.</w:t>
            </w:r>
          </w:p>
        </w:tc>
      </w:tr>
      <w:tr w:rsidR="00281C2F" w:rsidRPr="00A63ED1" w14:paraId="43794F86" w14:textId="77777777" w:rsidTr="00943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6B93E98E" w14:textId="77777777" w:rsidR="00281C2F" w:rsidRPr="002935CD" w:rsidRDefault="00281C2F" w:rsidP="009A032D">
            <w:pPr>
              <w:pStyle w:val="Tabletext"/>
              <w:rPr>
                <w:rFonts w:eastAsia="MS Mincho"/>
                <w:b w:val="0"/>
              </w:rPr>
            </w:pPr>
            <w:r w:rsidRPr="002935CD">
              <w:rPr>
                <w:rFonts w:eastAsia="MS Mincho"/>
              </w:rPr>
              <w:t xml:space="preserve">Medical imaging </w:t>
            </w:r>
          </w:p>
        </w:tc>
        <w:tc>
          <w:tcPr>
            <w:tcW w:w="7084" w:type="dxa"/>
            <w:shd w:val="clear" w:color="auto" w:fill="DBE5F1" w:themeFill="accent1" w:themeFillTint="33"/>
          </w:tcPr>
          <w:p w14:paraId="2473D81C" w14:textId="77777777" w:rsidR="00281C2F" w:rsidRPr="00AC37AE" w:rsidRDefault="00281C2F" w:rsidP="009A032D">
            <w:pPr>
              <w:pStyle w:val="Tabletext"/>
              <w:cnfStyle w:val="000000100000" w:firstRow="0" w:lastRow="0" w:firstColumn="0" w:lastColumn="0" w:oddVBand="0" w:evenVBand="0" w:oddHBand="1" w:evenHBand="0" w:firstRowFirstColumn="0" w:firstRowLastColumn="0" w:lastRowFirstColumn="0" w:lastRowLastColumn="0"/>
              <w:rPr>
                <w:rFonts w:eastAsia="Calibri"/>
              </w:rPr>
            </w:pPr>
            <w:r w:rsidRPr="63B58C0A">
              <w:rPr>
                <w:rFonts w:eastAsia="Calibri"/>
              </w:rPr>
              <w:t>A range of onsite imaging services</w:t>
            </w:r>
            <w:r>
              <w:rPr>
                <w:rFonts w:eastAsia="Calibri"/>
              </w:rPr>
              <w:t xml:space="preserve"> are</w:t>
            </w:r>
            <w:r w:rsidRPr="63B58C0A">
              <w:rPr>
                <w:rFonts w:eastAsia="Calibri"/>
              </w:rPr>
              <w:t xml:space="preserve"> available during extended hours</w:t>
            </w:r>
            <w:r>
              <w:rPr>
                <w:rFonts w:eastAsia="Calibri"/>
              </w:rPr>
              <w:t xml:space="preserve">, including </w:t>
            </w:r>
            <w:r>
              <w:t>in theatre image intensifier</w:t>
            </w:r>
            <w:r w:rsidRPr="63B58C0A">
              <w:rPr>
                <w:rFonts w:eastAsia="Calibri"/>
              </w:rPr>
              <w:t>.</w:t>
            </w:r>
          </w:p>
          <w:p w14:paraId="0B3676D4" w14:textId="77777777" w:rsidR="00281C2F" w:rsidRPr="007F1E90" w:rsidRDefault="00281C2F" w:rsidP="009A032D">
            <w:pPr>
              <w:pStyle w:val="Tabletext"/>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CT, x</w:t>
            </w:r>
            <w:r w:rsidRPr="63B58C0A">
              <w:rPr>
                <w:rFonts w:eastAsia="Calibri"/>
              </w:rPr>
              <w:t>-</w:t>
            </w:r>
            <w:r>
              <w:rPr>
                <w:rFonts w:eastAsia="Calibri"/>
              </w:rPr>
              <w:t>r</w:t>
            </w:r>
            <w:r w:rsidRPr="63B58C0A">
              <w:rPr>
                <w:rFonts w:eastAsia="Calibri"/>
              </w:rPr>
              <w:t xml:space="preserve">ay and ultrasound </w:t>
            </w:r>
            <w:r>
              <w:rPr>
                <w:rFonts w:eastAsia="Calibri"/>
              </w:rPr>
              <w:t xml:space="preserve">is available </w:t>
            </w:r>
            <w:r w:rsidRPr="63B58C0A">
              <w:rPr>
                <w:rFonts w:eastAsia="Calibri"/>
              </w:rPr>
              <w:t xml:space="preserve">onsite </w:t>
            </w:r>
            <w:r>
              <w:rPr>
                <w:rFonts w:eastAsia="Calibri"/>
              </w:rPr>
              <w:t xml:space="preserve">and accessible </w:t>
            </w:r>
            <w:r w:rsidRPr="63B58C0A">
              <w:rPr>
                <w:rFonts w:eastAsia="Calibri"/>
              </w:rPr>
              <w:t>24/7.</w:t>
            </w:r>
          </w:p>
        </w:tc>
      </w:tr>
      <w:tr w:rsidR="00281C2F" w:rsidRPr="00A63ED1" w14:paraId="79E4CC00" w14:textId="77777777" w:rsidTr="00943477">
        <w:tc>
          <w:tcPr>
            <w:cnfStyle w:val="001000000000" w:firstRow="0" w:lastRow="0" w:firstColumn="1" w:lastColumn="0" w:oddVBand="0" w:evenVBand="0" w:oddHBand="0" w:evenHBand="0" w:firstRowFirstColumn="0" w:firstRowLastColumn="0" w:lastRowFirstColumn="0" w:lastRowLastColumn="0"/>
            <w:tcW w:w="2405" w:type="dxa"/>
          </w:tcPr>
          <w:p w14:paraId="1FEC9D7A" w14:textId="77777777" w:rsidR="00281C2F" w:rsidRPr="002935CD" w:rsidRDefault="00281C2F" w:rsidP="009A032D">
            <w:pPr>
              <w:pStyle w:val="Tabletext"/>
              <w:rPr>
                <w:rFonts w:eastAsia="MS Mincho"/>
                <w:b w:val="0"/>
              </w:rPr>
            </w:pPr>
            <w:r w:rsidRPr="002935CD">
              <w:rPr>
                <w:rFonts w:eastAsia="MS Mincho"/>
              </w:rPr>
              <w:t>Medical specialties</w:t>
            </w:r>
          </w:p>
        </w:tc>
        <w:tc>
          <w:tcPr>
            <w:tcW w:w="7084" w:type="dxa"/>
          </w:tcPr>
          <w:p w14:paraId="536203F9" w14:textId="75FD8253" w:rsidR="00281C2F" w:rsidRPr="002068E4"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 m</w:t>
            </w:r>
            <w:r w:rsidRPr="002068E4">
              <w:t xml:space="preserve">edical specialist or equivalent, credentialed at the health service, </w:t>
            </w:r>
            <w:r>
              <w:t xml:space="preserve">is </w:t>
            </w:r>
            <w:r w:rsidRPr="002068E4">
              <w:t>available 24/7</w:t>
            </w:r>
            <w:r>
              <w:t xml:space="preserve"> for</w:t>
            </w:r>
            <w:r w:rsidRPr="002068E4">
              <w:t>:</w:t>
            </w:r>
          </w:p>
          <w:p w14:paraId="723F3933" w14:textId="77777777" w:rsidR="00281C2F" w:rsidRPr="002935CD"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rPr>
                <w:rFonts w:eastAsia="Calibri"/>
              </w:rPr>
            </w:pPr>
            <w:r w:rsidRPr="63B58C0A">
              <w:rPr>
                <w:rFonts w:eastAsia="Calibri"/>
              </w:rPr>
              <w:t>general medicine</w:t>
            </w:r>
          </w:p>
          <w:p w14:paraId="7E82603F" w14:textId="77777777" w:rsidR="00281C2F"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rPr>
                <w:rFonts w:eastAsia="Calibri"/>
              </w:rPr>
            </w:pPr>
            <w:r w:rsidRPr="63B58C0A">
              <w:rPr>
                <w:rFonts w:eastAsia="Calibri"/>
              </w:rPr>
              <w:t xml:space="preserve">intensive care medicine </w:t>
            </w:r>
          </w:p>
          <w:p w14:paraId="6AB34180" w14:textId="77777777" w:rsidR="00281C2F" w:rsidRPr="002935CD"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rPr>
                <w:rFonts w:eastAsia="Calibri"/>
              </w:rPr>
            </w:pPr>
            <w:r w:rsidRPr="63B58C0A">
              <w:rPr>
                <w:rFonts w:eastAsia="Calibri"/>
              </w:rPr>
              <w:t>paediatric</w:t>
            </w:r>
            <w:r>
              <w:rPr>
                <w:rFonts w:eastAsia="Calibri"/>
              </w:rPr>
              <w:t>s</w:t>
            </w:r>
            <w:r w:rsidRPr="63B58C0A">
              <w:rPr>
                <w:rFonts w:eastAsia="Calibri"/>
              </w:rPr>
              <w:t xml:space="preserve"> (where paediatric services are provided).</w:t>
            </w:r>
          </w:p>
        </w:tc>
      </w:tr>
      <w:tr w:rsidR="00281C2F" w:rsidRPr="00A63ED1" w14:paraId="595CD6AB" w14:textId="77777777" w:rsidTr="00943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5973098B" w14:textId="77777777" w:rsidR="00281C2F" w:rsidRPr="0075541E" w:rsidRDefault="00281C2F" w:rsidP="009A032D">
            <w:pPr>
              <w:pStyle w:val="Tabletext"/>
              <w:rPr>
                <w:b w:val="0"/>
              </w:rPr>
            </w:pPr>
            <w:r w:rsidRPr="0075541E">
              <w:rPr>
                <w:rFonts w:eastAsia="MS Mincho"/>
              </w:rPr>
              <w:t>Pain management</w:t>
            </w:r>
          </w:p>
        </w:tc>
        <w:tc>
          <w:tcPr>
            <w:tcW w:w="7084" w:type="dxa"/>
            <w:shd w:val="clear" w:color="auto" w:fill="DBE5F1" w:themeFill="accent1" w:themeFillTint="33"/>
          </w:tcPr>
          <w:p w14:paraId="2D4208EA" w14:textId="77777777" w:rsidR="00281C2F" w:rsidRPr="0075541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75541E">
              <w:rPr>
                <w:rFonts w:eastAsia="Calibri"/>
              </w:rPr>
              <w:t xml:space="preserve">An acute pain management service is available during </w:t>
            </w:r>
            <w:r>
              <w:rPr>
                <w:rFonts w:eastAsia="Calibri"/>
              </w:rPr>
              <w:t>standard</w:t>
            </w:r>
            <w:r w:rsidRPr="0075541E">
              <w:rPr>
                <w:rFonts w:eastAsia="Calibri"/>
              </w:rPr>
              <w:t xml:space="preserve"> hours.</w:t>
            </w:r>
          </w:p>
        </w:tc>
      </w:tr>
      <w:tr w:rsidR="00281C2F" w:rsidRPr="00A63ED1" w14:paraId="5F9CA8AD" w14:textId="77777777" w:rsidTr="00943477">
        <w:tc>
          <w:tcPr>
            <w:cnfStyle w:val="001000000000" w:firstRow="0" w:lastRow="0" w:firstColumn="1" w:lastColumn="0" w:oddVBand="0" w:evenVBand="0" w:oddHBand="0" w:evenHBand="0" w:firstRowFirstColumn="0" w:firstRowLastColumn="0" w:lastRowFirstColumn="0" w:lastRowLastColumn="0"/>
            <w:tcW w:w="2405" w:type="dxa"/>
          </w:tcPr>
          <w:p w14:paraId="59A439E8" w14:textId="77777777" w:rsidR="00281C2F" w:rsidRPr="00DE6B0A" w:rsidRDefault="00281C2F" w:rsidP="009A032D">
            <w:pPr>
              <w:pStyle w:val="Tabletext"/>
              <w:rPr>
                <w:b w:val="0"/>
              </w:rPr>
            </w:pPr>
            <w:r w:rsidRPr="00DE6B0A">
              <w:rPr>
                <w:rFonts w:eastAsia="MS Mincho"/>
              </w:rPr>
              <w:t xml:space="preserve">Pathology and blood/blood products </w:t>
            </w:r>
          </w:p>
        </w:tc>
        <w:tc>
          <w:tcPr>
            <w:tcW w:w="7084" w:type="dxa"/>
          </w:tcPr>
          <w:p w14:paraId="0C4E66AE" w14:textId="77777777" w:rsidR="00281C2F" w:rsidRPr="00DE6B0A"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63B58C0A">
              <w:t>Point</w:t>
            </w:r>
            <w:r>
              <w:t>-</w:t>
            </w:r>
            <w:r w:rsidRPr="63B58C0A">
              <w:t>of</w:t>
            </w:r>
            <w:r>
              <w:t>-</w:t>
            </w:r>
            <w:r w:rsidRPr="63B58C0A">
              <w:t xml:space="preserve">care and onsite blood and specimen collection </w:t>
            </w:r>
            <w:r>
              <w:t xml:space="preserve">is provided, </w:t>
            </w:r>
            <w:r w:rsidRPr="63B58C0A">
              <w:t xml:space="preserve">with processing available </w:t>
            </w:r>
            <w:r>
              <w:t>7</w:t>
            </w:r>
            <w:r w:rsidRPr="63B58C0A">
              <w:t xml:space="preserve"> days a week for biochemistry, haematology and microbiology. </w:t>
            </w:r>
          </w:p>
          <w:p w14:paraId="36C5DC2E" w14:textId="77777777" w:rsidR="00281C2F" w:rsidRPr="002920AB"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63B58C0A">
              <w:t xml:space="preserve">Blood and blood products required for immediate management and stabilisation onsite </w:t>
            </w:r>
            <w:r>
              <w:t>are</w:t>
            </w:r>
            <w:r w:rsidRPr="63B58C0A">
              <w:t xml:space="preserve"> available 24/7.</w:t>
            </w:r>
          </w:p>
        </w:tc>
      </w:tr>
      <w:tr w:rsidR="00281C2F" w:rsidRPr="00A63ED1" w14:paraId="753DE348" w14:textId="77777777" w:rsidTr="00943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17FFD821" w14:textId="77777777" w:rsidR="00281C2F" w:rsidRPr="00C47E7E" w:rsidRDefault="00281C2F" w:rsidP="009A032D">
            <w:pPr>
              <w:pStyle w:val="Tabletext"/>
              <w:rPr>
                <w:b w:val="0"/>
              </w:rPr>
            </w:pPr>
            <w:r w:rsidRPr="00C47E7E">
              <w:rPr>
                <w:rFonts w:eastAsia="MS Mincho"/>
              </w:rPr>
              <w:t>Pharmacy and medicines management</w:t>
            </w:r>
          </w:p>
        </w:tc>
        <w:tc>
          <w:tcPr>
            <w:tcW w:w="7084" w:type="dxa"/>
            <w:shd w:val="clear" w:color="auto" w:fill="DBE5F1" w:themeFill="accent1" w:themeFillTint="33"/>
          </w:tcPr>
          <w:p w14:paraId="4D133750" w14:textId="77777777" w:rsidR="00281C2F" w:rsidRPr="00086CAA"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63B58C0A">
              <w:t>Ready and secure access to medications</w:t>
            </w:r>
            <w:r>
              <w:t xml:space="preserve"> is provided,</w:t>
            </w:r>
            <w:r w:rsidRPr="63B58C0A">
              <w:t xml:space="preserve"> including </w:t>
            </w:r>
            <w:r w:rsidRPr="003070CE">
              <w:t>anaesthetics</w:t>
            </w:r>
            <w:r w:rsidRPr="63B58C0A">
              <w:t xml:space="preserve"> in the operating suite.</w:t>
            </w:r>
          </w:p>
        </w:tc>
      </w:tr>
      <w:tr w:rsidR="00281C2F" w:rsidRPr="00A63ED1" w14:paraId="6DF09EAC" w14:textId="77777777" w:rsidTr="00943477">
        <w:tc>
          <w:tcPr>
            <w:cnfStyle w:val="001000000000" w:firstRow="0" w:lastRow="0" w:firstColumn="1" w:lastColumn="0" w:oddVBand="0" w:evenVBand="0" w:oddHBand="0" w:evenHBand="0" w:firstRowFirstColumn="0" w:firstRowLastColumn="0" w:lastRowFirstColumn="0" w:lastRowLastColumn="0"/>
            <w:tcW w:w="2405" w:type="dxa"/>
          </w:tcPr>
          <w:p w14:paraId="62453E96" w14:textId="77777777" w:rsidR="00281C2F" w:rsidRPr="00C47E7E" w:rsidRDefault="00281C2F" w:rsidP="009A032D">
            <w:pPr>
              <w:pStyle w:val="Tabletext"/>
              <w:rPr>
                <w:rFonts w:eastAsia="MS Mincho"/>
                <w:b w:val="0"/>
              </w:rPr>
            </w:pPr>
            <w:r>
              <w:rPr>
                <w:rFonts w:eastAsia="MS Mincho"/>
              </w:rPr>
              <w:t xml:space="preserve">Pre-admission services </w:t>
            </w:r>
          </w:p>
        </w:tc>
        <w:tc>
          <w:tcPr>
            <w:tcW w:w="7084" w:type="dxa"/>
          </w:tcPr>
          <w:p w14:paraId="157EDD08" w14:textId="00A8AF9D" w:rsidR="00281C2F" w:rsidRPr="00450F25"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63B58C0A">
              <w:t>Pre-operative clinics are structured to ensure patients are ready for surgery</w:t>
            </w:r>
            <w:r>
              <w:t>,</w:t>
            </w:r>
            <w:r w:rsidRPr="63B58C0A">
              <w:t xml:space="preserve"> including pre-admission clinics, multidisciplinary surgical assessment clinics and pathways as per </w:t>
            </w:r>
            <w:hyperlink r:id="rId57" w:history="1">
              <w:r w:rsidRPr="00982D38">
                <w:rPr>
                  <w:rStyle w:val="Hyperlink"/>
                </w:rPr>
                <w:t>PG07: Guideline on pre-anaesthesia consultation and patient preparation 2017 (ANZCA)</w:t>
              </w:r>
            </w:hyperlink>
            <w:r w:rsidRPr="63B58C0A">
              <w:rPr>
                <w:rStyle w:val="FootnoteReference"/>
                <w:rFonts w:eastAsia="Calibri" w:cs="Arial"/>
                <w:sz w:val="20"/>
              </w:rPr>
              <w:footnoteReference w:id="64"/>
            </w:r>
            <w:r w:rsidRPr="63B58C0A">
              <w:t>.</w:t>
            </w:r>
          </w:p>
          <w:p w14:paraId="3EF23BE5" w14:textId="77777777" w:rsidR="00281C2F" w:rsidRPr="00C279E2"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 p</w:t>
            </w:r>
            <w:r w:rsidRPr="63B58C0A">
              <w:t>lan for post</w:t>
            </w:r>
            <w:r>
              <w:t>-</w:t>
            </w:r>
            <w:r w:rsidRPr="63B58C0A">
              <w:t>operative admission to ICU</w:t>
            </w:r>
            <w:r>
              <w:t xml:space="preserve"> is in place,</w:t>
            </w:r>
            <w:r w:rsidRPr="63B58C0A">
              <w:t xml:space="preserve"> where the need for higher than ward-based care is identified during </w:t>
            </w:r>
            <w:r>
              <w:t xml:space="preserve">the </w:t>
            </w:r>
            <w:r w:rsidRPr="63B58C0A">
              <w:t xml:space="preserve">pre-admission review. </w:t>
            </w:r>
          </w:p>
        </w:tc>
      </w:tr>
      <w:tr w:rsidR="00281C2F" w:rsidRPr="00CA4193" w14:paraId="4FAF701B" w14:textId="77777777" w:rsidTr="00943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43042E8F" w14:textId="77777777" w:rsidR="00281C2F" w:rsidRPr="0099400F" w:rsidRDefault="00281C2F" w:rsidP="009A032D">
            <w:pPr>
              <w:pStyle w:val="Tabletext"/>
              <w:rPr>
                <w:rFonts w:eastAsia="MS Mincho"/>
                <w:b w:val="0"/>
              </w:rPr>
            </w:pPr>
            <w:r w:rsidRPr="0099400F">
              <w:rPr>
                <w:rFonts w:eastAsia="MS Mincho"/>
              </w:rPr>
              <w:t xml:space="preserve">Sociocultural support </w:t>
            </w:r>
          </w:p>
        </w:tc>
        <w:tc>
          <w:tcPr>
            <w:tcW w:w="7084" w:type="dxa"/>
            <w:shd w:val="clear" w:color="auto" w:fill="DBE5F1" w:themeFill="accent1" w:themeFillTint="33"/>
          </w:tcPr>
          <w:p w14:paraId="127B0A61" w14:textId="77777777" w:rsidR="00281C2F" w:rsidRPr="00B82B8A"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AHLO</w:t>
            </w:r>
            <w:r w:rsidRPr="63B58C0A">
              <w:t xml:space="preserve"> services available during standard hours.</w:t>
            </w:r>
          </w:p>
          <w:p w14:paraId="1549EA55" w14:textId="77777777" w:rsidR="00281C2F" w:rsidRPr="0099400F" w:rsidRDefault="00281C2F" w:rsidP="009A032D">
            <w:pPr>
              <w:pStyle w:val="Tabletext"/>
              <w:cnfStyle w:val="000000100000" w:firstRow="0" w:lastRow="0" w:firstColumn="0" w:lastColumn="0" w:oddVBand="0" w:evenVBand="0" w:oddHBand="1" w:evenHBand="0" w:firstRowFirstColumn="0" w:firstRowLastColumn="0" w:lastRowFirstColumn="0" w:lastRowLastColumn="0"/>
              <w:rPr>
                <w:bCs/>
              </w:rPr>
            </w:pPr>
            <w:r w:rsidRPr="63B58C0A">
              <w:t>The AHLO and care services team ha</w:t>
            </w:r>
            <w:r>
              <w:t>ve</w:t>
            </w:r>
            <w:r w:rsidRPr="63B58C0A">
              <w:t xml:space="preserve"> an established engagement process</w:t>
            </w:r>
            <w:r>
              <w:t>,</w:t>
            </w:r>
            <w:r w:rsidRPr="63B58C0A">
              <w:t xml:space="preserve"> with a designated support officer/team within</w:t>
            </w:r>
            <w:r>
              <w:t xml:space="preserve"> the</w:t>
            </w:r>
            <w:r w:rsidRPr="63B58C0A">
              <w:t xml:space="preserve"> local ACCO for resources and referral</w:t>
            </w:r>
            <w:r>
              <w:t xml:space="preserve">, and </w:t>
            </w:r>
            <w:r w:rsidRPr="63B58C0A">
              <w:t>continuum of care support services</w:t>
            </w:r>
            <w:r>
              <w:t>,</w:t>
            </w:r>
            <w:r w:rsidRPr="63B58C0A">
              <w:t xml:space="preserve"> as required</w:t>
            </w:r>
            <w:r>
              <w:t>,</w:t>
            </w:r>
            <w:r w:rsidRPr="63B58C0A">
              <w:t xml:space="preserve"> including for weekend</w:t>
            </w:r>
            <w:r>
              <w:t xml:space="preserve">s, </w:t>
            </w:r>
            <w:r w:rsidRPr="63B58C0A">
              <w:t>urgent discharge planning</w:t>
            </w:r>
            <w:r>
              <w:t xml:space="preserve"> and </w:t>
            </w:r>
            <w:r w:rsidRPr="63B58C0A">
              <w:t>handover.</w:t>
            </w:r>
          </w:p>
        </w:tc>
      </w:tr>
    </w:tbl>
    <w:p w14:paraId="186CA29D" w14:textId="77777777" w:rsidR="00281C2F" w:rsidRDefault="00281C2F" w:rsidP="00281C2F">
      <w:pPr>
        <w:pStyle w:val="Heading3"/>
      </w:pPr>
      <w:r w:rsidRPr="0058461A">
        <w:t>Equipment and infrastructure</w:t>
      </w:r>
    </w:p>
    <w:p w14:paraId="1AA71C9B" w14:textId="33C0CBF4" w:rsidR="00281C2F" w:rsidRDefault="0022729A" w:rsidP="00281C2F">
      <w:pPr>
        <w:pStyle w:val="Body"/>
      </w:pPr>
      <w:r>
        <w:t xml:space="preserve">This section </w:t>
      </w:r>
      <w:r w:rsidR="00281C2F">
        <w:t xml:space="preserve">outlines the requirements for equipment and infrastructure in Level 4 perioperative services that are in addition to </w:t>
      </w:r>
      <w:r>
        <w:t>Levels 1–3</w:t>
      </w:r>
      <w:r w:rsidR="00281C2F">
        <w:t xml:space="preserve"> </w:t>
      </w:r>
      <w:r w:rsidR="00A761A2">
        <w:t>requirements</w:t>
      </w:r>
      <w:r w:rsidR="00281C2F">
        <w:t>.</w:t>
      </w:r>
    </w:p>
    <w:tbl>
      <w:tblPr>
        <w:tblStyle w:val="GridTable4-Accent6"/>
        <w:tblW w:w="9493" w:type="dxa"/>
        <w:tblBorders>
          <w:top w:val="none" w:sz="0" w:space="0" w:color="auto"/>
          <w:left w:val="none" w:sz="0" w:space="0" w:color="auto"/>
          <w:bottom w:val="single" w:sz="4" w:space="0" w:color="201547"/>
          <w:right w:val="none" w:sz="0" w:space="0" w:color="auto"/>
          <w:insideH w:val="none" w:sz="0" w:space="0" w:color="auto"/>
          <w:insideV w:val="single" w:sz="4" w:space="0" w:color="201547"/>
        </w:tblBorders>
        <w:tblLook w:val="04A0" w:firstRow="1" w:lastRow="0" w:firstColumn="1" w:lastColumn="0" w:noHBand="0" w:noVBand="1"/>
      </w:tblPr>
      <w:tblGrid>
        <w:gridCol w:w="2547"/>
        <w:gridCol w:w="6946"/>
      </w:tblGrid>
      <w:tr w:rsidR="002C03B7" w:rsidRPr="002C03B7" w14:paraId="01B79E81" w14:textId="77777777" w:rsidTr="00E449C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201547"/>
          </w:tcPr>
          <w:p w14:paraId="7F9A0AEB" w14:textId="0C7BAA88" w:rsidR="00281C2F" w:rsidRPr="002C03B7" w:rsidRDefault="00281C2F" w:rsidP="002C03B7">
            <w:pPr>
              <w:pStyle w:val="Tablecolhead"/>
              <w:rPr>
                <w:b/>
                <w:bCs w:val="0"/>
                <w:color w:val="FFFFFF" w:themeColor="background1"/>
              </w:rPr>
            </w:pPr>
            <w:r w:rsidRPr="002C03B7">
              <w:rPr>
                <w:b/>
                <w:bCs w:val="0"/>
                <w:color w:val="FFFFFF" w:themeColor="background1"/>
              </w:rPr>
              <w:t xml:space="preserve">Level 4 service </w:t>
            </w:r>
          </w:p>
        </w:tc>
        <w:tc>
          <w:tcPr>
            <w:tcW w:w="6946" w:type="dxa"/>
            <w:shd w:val="clear" w:color="auto" w:fill="201547"/>
          </w:tcPr>
          <w:p w14:paraId="53A1D00E" w14:textId="77777777" w:rsidR="00281C2F" w:rsidRPr="002C03B7" w:rsidRDefault="00281C2F" w:rsidP="002C03B7">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C03B7">
              <w:rPr>
                <w:b/>
                <w:bCs w:val="0"/>
                <w:color w:val="FFFFFF" w:themeColor="background1"/>
              </w:rPr>
              <w:t>Requirements</w:t>
            </w:r>
          </w:p>
        </w:tc>
      </w:tr>
      <w:tr w:rsidR="00281C2F" w:rsidRPr="00A63ED1" w14:paraId="001653DB" w14:textId="77777777" w:rsidTr="00E44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C48602D" w14:textId="77777777" w:rsidR="00281C2F" w:rsidRPr="00876FCD" w:rsidRDefault="00281C2F" w:rsidP="009A032D">
            <w:pPr>
              <w:pStyle w:val="Tabletext"/>
              <w:rPr>
                <w:b w:val="0"/>
                <w:bCs w:val="0"/>
              </w:rPr>
            </w:pPr>
            <w:r w:rsidRPr="00876FCD">
              <w:t>Equipment</w:t>
            </w:r>
          </w:p>
        </w:tc>
        <w:tc>
          <w:tcPr>
            <w:tcW w:w="6946" w:type="dxa"/>
          </w:tcPr>
          <w:p w14:paraId="7F9E89B8" w14:textId="77777777" w:rsidR="00281C2F" w:rsidRPr="00876FCD"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876FCD">
              <w:t xml:space="preserve">As for </w:t>
            </w:r>
            <w:r>
              <w:t>L</w:t>
            </w:r>
            <w:r w:rsidRPr="00876FCD">
              <w:t>evel 3</w:t>
            </w:r>
            <w:r>
              <w:t>.</w:t>
            </w:r>
          </w:p>
        </w:tc>
      </w:tr>
      <w:tr w:rsidR="00281C2F" w:rsidRPr="00A63ED1" w14:paraId="22DF4029" w14:textId="77777777" w:rsidTr="00E449CC">
        <w:tc>
          <w:tcPr>
            <w:cnfStyle w:val="001000000000" w:firstRow="0" w:lastRow="0" w:firstColumn="1" w:lastColumn="0" w:oddVBand="0" w:evenVBand="0" w:oddHBand="0" w:evenHBand="0" w:firstRowFirstColumn="0" w:firstRowLastColumn="0" w:lastRowFirstColumn="0" w:lastRowLastColumn="0"/>
            <w:tcW w:w="2547" w:type="dxa"/>
          </w:tcPr>
          <w:p w14:paraId="739B9D58" w14:textId="77777777" w:rsidR="00281C2F" w:rsidRPr="00876FCD" w:rsidRDefault="00281C2F" w:rsidP="009A032D">
            <w:pPr>
              <w:pStyle w:val="Tabletext"/>
              <w:rPr>
                <w:b w:val="0"/>
                <w:bCs w:val="0"/>
              </w:rPr>
            </w:pPr>
            <w:r w:rsidRPr="00876FCD">
              <w:t>Environmental services</w:t>
            </w:r>
          </w:p>
        </w:tc>
        <w:tc>
          <w:tcPr>
            <w:tcW w:w="6946" w:type="dxa"/>
          </w:tcPr>
          <w:p w14:paraId="33F0404B" w14:textId="77777777" w:rsidR="00281C2F" w:rsidRPr="00876FCD"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876FCD">
              <w:t xml:space="preserve">As for </w:t>
            </w:r>
            <w:r>
              <w:t>L</w:t>
            </w:r>
            <w:r w:rsidRPr="00876FCD">
              <w:t xml:space="preserve">evel </w:t>
            </w:r>
            <w:r>
              <w:t>2.</w:t>
            </w:r>
          </w:p>
        </w:tc>
      </w:tr>
      <w:tr w:rsidR="00281C2F" w:rsidRPr="00A63ED1" w14:paraId="3204BA22" w14:textId="77777777" w:rsidTr="00E44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DBE5F1" w:themeFill="accent1" w:themeFillTint="33"/>
          </w:tcPr>
          <w:p w14:paraId="69AD203C" w14:textId="77777777" w:rsidR="00281C2F" w:rsidRPr="00841587" w:rsidRDefault="00281C2F" w:rsidP="009A032D">
            <w:pPr>
              <w:pStyle w:val="Tabletext"/>
              <w:rPr>
                <w:b w:val="0"/>
              </w:rPr>
            </w:pPr>
            <w:r w:rsidRPr="00841587">
              <w:t xml:space="preserve">Procedure rooms/ theatre/recovery </w:t>
            </w:r>
          </w:p>
        </w:tc>
        <w:tc>
          <w:tcPr>
            <w:tcW w:w="6946" w:type="dxa"/>
            <w:shd w:val="clear" w:color="auto" w:fill="DBE5F1" w:themeFill="accent1" w:themeFillTint="33"/>
          </w:tcPr>
          <w:p w14:paraId="31BA989B" w14:textId="77777777" w:rsidR="00281C2F" w:rsidRPr="006D1769"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63B58C0A">
              <w:t xml:space="preserve">Emergency theatre suites </w:t>
            </w:r>
            <w:r>
              <w:t xml:space="preserve">are </w:t>
            </w:r>
            <w:r w:rsidRPr="63B58C0A">
              <w:t>available during standard hours</w:t>
            </w:r>
            <w:r>
              <w:t xml:space="preserve"> and</w:t>
            </w:r>
            <w:r w:rsidRPr="63B58C0A">
              <w:t xml:space="preserve"> emergency on-call overnight.</w:t>
            </w:r>
          </w:p>
          <w:p w14:paraId="5E7D40FB" w14:textId="77777777" w:rsidR="00281C2F" w:rsidRPr="006D1769"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63B58C0A">
              <w:t>Post-operative care</w:t>
            </w:r>
            <w:r>
              <w:t xml:space="preserve"> is provided</w:t>
            </w:r>
            <w:r w:rsidRPr="63B58C0A">
              <w:t xml:space="preserve"> to high</w:t>
            </w:r>
            <w:r>
              <w:t>-</w:t>
            </w:r>
            <w:r w:rsidRPr="63B58C0A">
              <w:t>acuity patients, including those needing intensive care</w:t>
            </w:r>
            <w:r>
              <w:t>.</w:t>
            </w:r>
          </w:p>
          <w:p w14:paraId="0632D2C0"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rPr>
                <w:rFonts w:cs="Arial"/>
              </w:rPr>
            </w:pPr>
            <w:r w:rsidRPr="63B58C0A">
              <w:t>Patients are cared for post-operatively on age-appropriate, specialist surgical care wards.</w:t>
            </w:r>
          </w:p>
          <w:p w14:paraId="66CBC300" w14:textId="77777777" w:rsidR="00281C2F" w:rsidRPr="00841587"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Pr>
                <w:rFonts w:cs="Arial"/>
              </w:rPr>
              <w:t>For p</w:t>
            </w:r>
            <w:r w:rsidRPr="00A93894">
              <w:rPr>
                <w:rFonts w:cs="Arial"/>
              </w:rPr>
              <w:t>aediatric services</w:t>
            </w:r>
            <w:r>
              <w:rPr>
                <w:rFonts w:cs="Arial"/>
              </w:rPr>
              <w:t>, there is</w:t>
            </w:r>
            <w:r>
              <w:t xml:space="preserve"> a dedicated children’s ward space and recovery area.</w:t>
            </w:r>
          </w:p>
        </w:tc>
      </w:tr>
    </w:tbl>
    <w:p w14:paraId="7A6569BD" w14:textId="77777777" w:rsidR="00281C2F" w:rsidRDefault="00281C2F" w:rsidP="00281C2F">
      <w:pPr>
        <w:spacing w:after="200" w:line="276" w:lineRule="auto"/>
        <w:rPr>
          <w:rFonts w:eastAsia="Times" w:cs="Arial"/>
          <w:bCs/>
          <w:color w:val="201547"/>
          <w:kern w:val="32"/>
          <w:sz w:val="36"/>
          <w:szCs w:val="36"/>
        </w:rPr>
      </w:pPr>
      <w:r>
        <w:rPr>
          <w:rFonts w:eastAsia="Times"/>
          <w:sz w:val="36"/>
          <w:szCs w:val="36"/>
        </w:rPr>
        <w:br w:type="page"/>
      </w:r>
    </w:p>
    <w:p w14:paraId="1F966B21" w14:textId="77777777" w:rsidR="00281C2F" w:rsidRDefault="00281C2F" w:rsidP="00281C2F">
      <w:pPr>
        <w:pStyle w:val="Heading2"/>
        <w:rPr>
          <w:rFonts w:eastAsia="Times"/>
        </w:rPr>
      </w:pPr>
      <w:bookmarkStart w:id="51" w:name="_Toc148718458"/>
      <w:bookmarkStart w:id="52" w:name="_Toc153792519"/>
      <w:r w:rsidRPr="00C0454C">
        <w:rPr>
          <w:rFonts w:eastAsia="Times"/>
        </w:rPr>
        <w:t xml:space="preserve">Level 5 </w:t>
      </w:r>
      <w:r>
        <w:rPr>
          <w:rFonts w:eastAsia="Times"/>
        </w:rPr>
        <w:t>p</w:t>
      </w:r>
      <w:r w:rsidRPr="00C0454C">
        <w:rPr>
          <w:rFonts w:eastAsia="Times"/>
        </w:rPr>
        <w:t xml:space="preserve">erioperative </w:t>
      </w:r>
      <w:r>
        <w:rPr>
          <w:rFonts w:eastAsia="Times"/>
        </w:rPr>
        <w:t>s</w:t>
      </w:r>
      <w:r w:rsidRPr="00C0454C">
        <w:rPr>
          <w:rFonts w:eastAsia="Times"/>
        </w:rPr>
        <w:t>ervice</w:t>
      </w:r>
      <w:r>
        <w:rPr>
          <w:rFonts w:eastAsia="Times"/>
        </w:rPr>
        <w:t>s</w:t>
      </w:r>
      <w:bookmarkEnd w:id="51"/>
      <w:bookmarkEnd w:id="52"/>
    </w:p>
    <w:p w14:paraId="342E58AA" w14:textId="77777777" w:rsidR="00A97BFD" w:rsidRDefault="00A97BFD" w:rsidP="00A97BFD">
      <w:pPr>
        <w:pStyle w:val="Heading3"/>
      </w:pPr>
      <w:r>
        <w:t>Service description</w:t>
      </w:r>
    </w:p>
    <w:p w14:paraId="68988104" w14:textId="6A964915" w:rsidR="00281C2F" w:rsidRDefault="00281C2F" w:rsidP="00281C2F">
      <w:pPr>
        <w:pStyle w:val="Body"/>
      </w:pPr>
      <w:r>
        <w:t xml:space="preserve">Level 5 perioperative services include all the roles and responsibilities in </w:t>
      </w:r>
      <w:r w:rsidR="0022729A">
        <w:t>Levels 1–4</w:t>
      </w:r>
      <w:r>
        <w:t xml:space="preserve">, with additional requirements outlined </w:t>
      </w:r>
      <w:r w:rsidR="0005183C">
        <w:t>below</w:t>
      </w:r>
      <w:r>
        <w:t>.</w:t>
      </w:r>
    </w:p>
    <w:tbl>
      <w:tblPr>
        <w:tblStyle w:val="GridTable4-Accent6"/>
        <w:tblW w:w="9493" w:type="dxa"/>
        <w:tblBorders>
          <w:top w:val="none" w:sz="0" w:space="0" w:color="auto"/>
          <w:left w:val="none" w:sz="0" w:space="0" w:color="auto"/>
          <w:bottom w:val="single" w:sz="4" w:space="0" w:color="201547"/>
          <w:right w:val="none" w:sz="0" w:space="0" w:color="auto"/>
          <w:insideH w:val="none" w:sz="0" w:space="0" w:color="auto"/>
          <w:insideV w:val="single" w:sz="4" w:space="0" w:color="201547"/>
        </w:tblBorders>
        <w:tblLook w:val="04A0" w:firstRow="1" w:lastRow="0" w:firstColumn="1" w:lastColumn="0" w:noHBand="0" w:noVBand="1"/>
      </w:tblPr>
      <w:tblGrid>
        <w:gridCol w:w="2405"/>
        <w:gridCol w:w="7088"/>
      </w:tblGrid>
      <w:tr w:rsidR="002C03B7" w:rsidRPr="002C03B7" w14:paraId="239DA1E1" w14:textId="77777777" w:rsidTr="00E449C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201547"/>
          </w:tcPr>
          <w:p w14:paraId="66826256" w14:textId="521ABF68" w:rsidR="00281C2F" w:rsidRPr="002C03B7" w:rsidRDefault="00281C2F" w:rsidP="002C03B7">
            <w:pPr>
              <w:pStyle w:val="Tablecolhead"/>
              <w:rPr>
                <w:b/>
                <w:bCs w:val="0"/>
                <w:color w:val="FFFFFF" w:themeColor="background1"/>
              </w:rPr>
            </w:pPr>
            <w:r w:rsidRPr="002C03B7">
              <w:rPr>
                <w:b/>
                <w:bCs w:val="0"/>
                <w:color w:val="FFFFFF" w:themeColor="background1"/>
              </w:rPr>
              <w:t xml:space="preserve">Level 5 service </w:t>
            </w:r>
          </w:p>
        </w:tc>
        <w:tc>
          <w:tcPr>
            <w:tcW w:w="7088" w:type="dxa"/>
            <w:shd w:val="clear" w:color="auto" w:fill="201547"/>
          </w:tcPr>
          <w:p w14:paraId="33036099" w14:textId="66ECA41F" w:rsidR="00281C2F" w:rsidRPr="002C03B7" w:rsidRDefault="00A70EFC" w:rsidP="002C03B7">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Description</w:t>
            </w:r>
          </w:p>
        </w:tc>
      </w:tr>
      <w:tr w:rsidR="00281C2F" w:rsidRPr="00A63ED1" w14:paraId="373143F9" w14:textId="77777777" w:rsidTr="00E449CC">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7157F579" w14:textId="77777777" w:rsidR="00281C2F" w:rsidRPr="007C0BB1" w:rsidRDefault="00281C2F" w:rsidP="009A032D">
            <w:pPr>
              <w:pStyle w:val="Tabletext"/>
              <w:rPr>
                <w:b w:val="0"/>
              </w:rPr>
            </w:pPr>
            <w:r w:rsidRPr="007C0BB1">
              <w:t xml:space="preserve">Complexity of care </w:t>
            </w:r>
          </w:p>
        </w:tc>
        <w:tc>
          <w:tcPr>
            <w:tcW w:w="7088" w:type="dxa"/>
            <w:shd w:val="clear" w:color="auto" w:fill="DBE5F1" w:themeFill="accent1" w:themeFillTint="33"/>
          </w:tcPr>
          <w:p w14:paraId="567120C3" w14:textId="77777777" w:rsidR="00281C2F" w:rsidRPr="00DE5817"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F778848">
              <w:t>A</w:t>
            </w:r>
            <w:r w:rsidRPr="00DE5817">
              <w:t xml:space="preserve"> </w:t>
            </w:r>
            <w:r>
              <w:t>L</w:t>
            </w:r>
            <w:r w:rsidRPr="00DE5817">
              <w:t>evel 5 service</w:t>
            </w:r>
            <w:r>
              <w:t xml:space="preserve"> provides</w:t>
            </w:r>
            <w:r w:rsidRPr="00DE5817">
              <w:t xml:space="preserve">: </w:t>
            </w:r>
          </w:p>
          <w:p w14:paraId="4D02B1C7" w14:textId="77777777" w:rsidR="00281C2F" w:rsidRPr="00DE5817"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63B58C0A">
              <w:t>high</w:t>
            </w:r>
            <w:r>
              <w:t>-</w:t>
            </w:r>
            <w:r w:rsidRPr="63B58C0A">
              <w:t>complexity procedures across most specialties</w:t>
            </w:r>
          </w:p>
          <w:p w14:paraId="7B6B106E" w14:textId="77777777" w:rsidR="00281C2F" w:rsidRPr="00DE5817"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3070CE">
              <w:t>anaesthetic care</w:t>
            </w:r>
            <w:r w:rsidRPr="63B58C0A">
              <w:t xml:space="preserve"> for high</w:t>
            </w:r>
            <w:r>
              <w:t>-</w:t>
            </w:r>
            <w:r w:rsidRPr="63B58C0A">
              <w:t>complexity procedures across most specialties for adult patients who are of high perioperative risk</w:t>
            </w:r>
          </w:p>
          <w:p w14:paraId="556256CD" w14:textId="77777777" w:rsidR="00281C2F" w:rsidRPr="00110CA1"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05183C">
              <w:t>virtual</w:t>
            </w:r>
            <w:r w:rsidRPr="00110CA1">
              <w:t xml:space="preserve"> care clinical decision support services 24/7</w:t>
            </w:r>
          </w:p>
          <w:p w14:paraId="38A8E6A4" w14:textId="77777777" w:rsidR="00281C2F" w:rsidRPr="00DE5817"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rPr>
                <w:rFonts w:cs="Arial"/>
              </w:rPr>
            </w:pPr>
            <w:r>
              <w:t>for p</w:t>
            </w:r>
            <w:r w:rsidRPr="00DE5817">
              <w:t>aediatric services</w:t>
            </w:r>
            <w:r>
              <w:t>:</w:t>
            </w:r>
          </w:p>
          <w:p w14:paraId="42A4F832" w14:textId="77777777" w:rsidR="00281C2F" w:rsidRPr="00DE5817" w:rsidRDefault="00281C2F" w:rsidP="0073249D">
            <w:pPr>
              <w:pStyle w:val="Tablebullet2"/>
              <w:numPr>
                <w:ilvl w:val="1"/>
                <w:numId w:val="4"/>
              </w:numPr>
              <w:tabs>
                <w:tab w:val="num" w:pos="227"/>
              </w:tabs>
              <w:ind w:left="454" w:hanging="227"/>
              <w:cnfStyle w:val="000000100000" w:firstRow="0" w:lastRow="0" w:firstColumn="0" w:lastColumn="0" w:oddVBand="0" w:evenVBand="0" w:oddHBand="1" w:evenHBand="0" w:firstRowFirstColumn="0" w:firstRowLastColumn="0" w:lastRowFirstColumn="0" w:lastRowLastColumn="0"/>
            </w:pPr>
            <w:r w:rsidRPr="63B58C0A">
              <w:t>high</w:t>
            </w:r>
            <w:r>
              <w:t>-</w:t>
            </w:r>
            <w:r w:rsidRPr="63B58C0A">
              <w:t>complexity procedures across most specialities</w:t>
            </w:r>
          </w:p>
          <w:p w14:paraId="4DD26F1A" w14:textId="77777777" w:rsidR="00281C2F" w:rsidRPr="00DE5817" w:rsidRDefault="00281C2F" w:rsidP="0073249D">
            <w:pPr>
              <w:pStyle w:val="Tablebullet2"/>
              <w:numPr>
                <w:ilvl w:val="1"/>
                <w:numId w:val="4"/>
              </w:numPr>
              <w:tabs>
                <w:tab w:val="num" w:pos="227"/>
              </w:tabs>
              <w:ind w:left="454" w:hanging="227"/>
              <w:cnfStyle w:val="000000100000" w:firstRow="0" w:lastRow="0" w:firstColumn="0" w:lastColumn="0" w:oddVBand="0" w:evenVBand="0" w:oddHBand="1" w:evenHBand="0" w:firstRowFirstColumn="0" w:firstRowLastColumn="0" w:lastRowFirstColumn="0" w:lastRowLastColumn="0"/>
            </w:pPr>
            <w:r>
              <w:t>m</w:t>
            </w:r>
            <w:r w:rsidRPr="63B58C0A">
              <w:t>oderate</w:t>
            </w:r>
            <w:r>
              <w:t>-</w:t>
            </w:r>
            <w:r w:rsidRPr="63B58C0A">
              <w:t>to</w:t>
            </w:r>
            <w:r>
              <w:t>-</w:t>
            </w:r>
            <w:r w:rsidRPr="63B58C0A">
              <w:t>high anaesthetic complexity</w:t>
            </w:r>
          </w:p>
          <w:p w14:paraId="1CFD2997" w14:textId="77777777" w:rsidR="00281C2F" w:rsidRPr="00DE5817" w:rsidRDefault="00281C2F" w:rsidP="0073249D">
            <w:pPr>
              <w:pStyle w:val="Tablebullet2"/>
              <w:numPr>
                <w:ilvl w:val="1"/>
                <w:numId w:val="4"/>
              </w:numPr>
              <w:tabs>
                <w:tab w:val="num" w:pos="227"/>
              </w:tabs>
              <w:ind w:left="454" w:hanging="227"/>
              <w:cnfStyle w:val="000000100000" w:firstRow="0" w:lastRow="0" w:firstColumn="0" w:lastColumn="0" w:oddVBand="0" w:evenVBand="0" w:oddHBand="1" w:evenHBand="0" w:firstRowFirstColumn="0" w:firstRowLastColumn="0" w:lastRowFirstColumn="0" w:lastRowLastColumn="0"/>
              <w:rPr>
                <w:rStyle w:val="normaltextrun"/>
                <w:rFonts w:cs="Arial"/>
                <w:sz w:val="20"/>
              </w:rPr>
            </w:pPr>
            <w:r w:rsidRPr="0005183C">
              <w:t>for high patient complexity paediatric patients of all ages.</w:t>
            </w:r>
          </w:p>
        </w:tc>
      </w:tr>
      <w:tr w:rsidR="00281C2F" w:rsidRPr="00CA4193" w14:paraId="3FCDFB74" w14:textId="77777777" w:rsidTr="00E449CC">
        <w:tc>
          <w:tcPr>
            <w:cnfStyle w:val="001000000000" w:firstRow="0" w:lastRow="0" w:firstColumn="1" w:lastColumn="0" w:oddVBand="0" w:evenVBand="0" w:oddHBand="0" w:evenHBand="0" w:firstRowFirstColumn="0" w:firstRowLastColumn="0" w:lastRowFirstColumn="0" w:lastRowLastColumn="0"/>
            <w:tcW w:w="2405" w:type="dxa"/>
          </w:tcPr>
          <w:p w14:paraId="7809712F" w14:textId="77777777" w:rsidR="00281C2F" w:rsidRPr="007C0BB1" w:rsidRDefault="00281C2F" w:rsidP="009A032D">
            <w:pPr>
              <w:pStyle w:val="Tabletext"/>
              <w:rPr>
                <w:b w:val="0"/>
              </w:rPr>
            </w:pPr>
            <w:r w:rsidRPr="007C0BB1">
              <w:t>Procedure/surgery</w:t>
            </w:r>
          </w:p>
        </w:tc>
        <w:tc>
          <w:tcPr>
            <w:tcW w:w="7088" w:type="dxa"/>
          </w:tcPr>
          <w:p w14:paraId="1D480E17" w14:textId="77777777" w:rsidR="00281C2F" w:rsidRPr="00DE5817"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F778848">
              <w:t>A</w:t>
            </w:r>
            <w:r w:rsidRPr="00DE5817">
              <w:t xml:space="preserve"> </w:t>
            </w:r>
            <w:r>
              <w:t>L</w:t>
            </w:r>
            <w:r w:rsidRPr="00DE5817">
              <w:t>evel 5 service</w:t>
            </w:r>
            <w:r>
              <w:t xml:space="preserve"> provides</w:t>
            </w:r>
            <w:r w:rsidRPr="00DE5817">
              <w:t xml:space="preserve">: </w:t>
            </w:r>
          </w:p>
          <w:p w14:paraId="70513F20" w14:textId="77777777" w:rsidR="00281C2F" w:rsidRPr="001B4C21"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rPr>
                <w:bCs/>
              </w:rPr>
            </w:pPr>
            <w:r w:rsidRPr="63B58C0A">
              <w:t>planned and emergency surgery for most specialties and sub</w:t>
            </w:r>
            <w:r>
              <w:t>specialties</w:t>
            </w:r>
          </w:p>
          <w:p w14:paraId="77EFA65B" w14:textId="77777777" w:rsidR="00281C2F" w:rsidRPr="001B4C21"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63B58C0A">
              <w:t>high</w:t>
            </w:r>
            <w:r>
              <w:t>-complexity</w:t>
            </w:r>
            <w:r w:rsidRPr="63B58C0A">
              <w:t xml:space="preserve"> procedures across most specialities</w:t>
            </w:r>
            <w:r>
              <w:t xml:space="preserve"> for paediatric services</w:t>
            </w:r>
            <w:r w:rsidRPr="63B58C0A">
              <w:t xml:space="preserve">. </w:t>
            </w:r>
          </w:p>
        </w:tc>
      </w:tr>
      <w:tr w:rsidR="00281C2F" w:rsidRPr="00CA4193" w14:paraId="27AFE6AE" w14:textId="77777777" w:rsidTr="00E44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5C34577F" w14:textId="77777777" w:rsidR="00281C2F" w:rsidRPr="007C0BB1" w:rsidRDefault="00281C2F" w:rsidP="009A032D">
            <w:pPr>
              <w:pStyle w:val="Tabletext"/>
              <w:rPr>
                <w:b w:val="0"/>
              </w:rPr>
            </w:pPr>
            <w:r w:rsidRPr="007C0BB1">
              <w:t>Anaesthetic complexity</w:t>
            </w:r>
          </w:p>
        </w:tc>
        <w:tc>
          <w:tcPr>
            <w:tcW w:w="7088" w:type="dxa"/>
            <w:shd w:val="clear" w:color="auto" w:fill="DBE5F1" w:themeFill="accent1" w:themeFillTint="33"/>
          </w:tcPr>
          <w:p w14:paraId="5F0D927B" w14:textId="77777777" w:rsidR="00281C2F" w:rsidRPr="00DE5817"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F778848">
              <w:t>A</w:t>
            </w:r>
            <w:r w:rsidRPr="00DE5817">
              <w:t xml:space="preserve"> </w:t>
            </w:r>
            <w:r>
              <w:t>L</w:t>
            </w:r>
            <w:r w:rsidRPr="00DE5817">
              <w:t>evel 5 service</w:t>
            </w:r>
            <w:r>
              <w:t xml:space="preserve"> provides</w:t>
            </w:r>
            <w:r w:rsidRPr="00DE5817">
              <w:t xml:space="preserve">: </w:t>
            </w:r>
          </w:p>
          <w:p w14:paraId="26B94F61" w14:textId="70C48EF7" w:rsidR="00281C2F" w:rsidRPr="00D20AC6"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rPr>
                <w:rStyle w:val="normaltextrun"/>
                <w:rFonts w:cs="Arial"/>
                <w:szCs w:val="21"/>
              </w:rPr>
            </w:pPr>
            <w:r w:rsidRPr="003070CE">
              <w:rPr>
                <w:rStyle w:val="normaltextrun"/>
                <w:rFonts w:cs="Arial"/>
                <w:szCs w:val="21"/>
              </w:rPr>
              <w:t>anaesthe</w:t>
            </w:r>
            <w:r w:rsidR="003070CE">
              <w:rPr>
                <w:rStyle w:val="normaltextrun"/>
                <w:rFonts w:cs="Arial"/>
                <w:szCs w:val="21"/>
              </w:rPr>
              <w:t>tic</w:t>
            </w:r>
            <w:r w:rsidRPr="00D20AC6">
              <w:rPr>
                <w:rStyle w:val="normaltextrun"/>
                <w:rFonts w:cs="Arial"/>
                <w:szCs w:val="21"/>
              </w:rPr>
              <w:t xml:space="preserve"> services to support the service’s high-complexity procedural caseload for high-complexity patients, who are at risk of intra- and post-operative complications</w:t>
            </w:r>
          </w:p>
          <w:p w14:paraId="2E26F5C9" w14:textId="77777777" w:rsidR="00281C2F" w:rsidRPr="001B4C21"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m</w:t>
            </w:r>
            <w:r w:rsidRPr="63B58C0A">
              <w:t>oderate</w:t>
            </w:r>
            <w:r>
              <w:t>-</w:t>
            </w:r>
            <w:r w:rsidRPr="63B58C0A">
              <w:t>to</w:t>
            </w:r>
            <w:r>
              <w:t>-</w:t>
            </w:r>
            <w:r w:rsidRPr="63B58C0A">
              <w:t>high anaesthetic complexity</w:t>
            </w:r>
            <w:r>
              <w:t xml:space="preserve"> for paediatric services.</w:t>
            </w:r>
          </w:p>
        </w:tc>
      </w:tr>
      <w:tr w:rsidR="00281C2F" w:rsidRPr="00A63ED1" w14:paraId="2008EDA1" w14:textId="77777777" w:rsidTr="00E449CC">
        <w:tc>
          <w:tcPr>
            <w:cnfStyle w:val="001000000000" w:firstRow="0" w:lastRow="0" w:firstColumn="1" w:lastColumn="0" w:oddVBand="0" w:evenVBand="0" w:oddHBand="0" w:evenHBand="0" w:firstRowFirstColumn="0" w:firstRowLastColumn="0" w:lastRowFirstColumn="0" w:lastRowLastColumn="0"/>
            <w:tcW w:w="2405" w:type="dxa"/>
          </w:tcPr>
          <w:p w14:paraId="22315FB4" w14:textId="77777777" w:rsidR="00281C2F" w:rsidRPr="007C0BB1" w:rsidRDefault="00281C2F" w:rsidP="009A032D">
            <w:pPr>
              <w:pStyle w:val="Tabletext"/>
              <w:rPr>
                <w:b w:val="0"/>
              </w:rPr>
            </w:pPr>
            <w:r w:rsidRPr="007C0BB1">
              <w:t xml:space="preserve">Patient </w:t>
            </w:r>
            <w:r>
              <w:t>c</w:t>
            </w:r>
            <w:r w:rsidRPr="007C0BB1">
              <w:t>omplexity</w:t>
            </w:r>
          </w:p>
        </w:tc>
        <w:tc>
          <w:tcPr>
            <w:tcW w:w="7088" w:type="dxa"/>
          </w:tcPr>
          <w:p w14:paraId="5B314299"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F778848">
              <w:t>A</w:t>
            </w:r>
            <w:r w:rsidRPr="00DE5817">
              <w:t xml:space="preserve"> </w:t>
            </w:r>
            <w:r>
              <w:t>L</w:t>
            </w:r>
            <w:r w:rsidRPr="00DE5817">
              <w:t>evel 5 service</w:t>
            </w:r>
            <w:r>
              <w:t>:</w:t>
            </w:r>
          </w:p>
          <w:p w14:paraId="0BD4C8FE" w14:textId="77777777" w:rsidR="00281C2F" w:rsidRPr="00D20AC6"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rPr>
                <w:rStyle w:val="normaltextrun"/>
                <w:rFonts w:cs="Arial"/>
                <w:szCs w:val="21"/>
              </w:rPr>
            </w:pPr>
            <w:r w:rsidRPr="00D20AC6">
              <w:rPr>
                <w:rStyle w:val="normaltextrun"/>
                <w:rFonts w:cs="Arial"/>
                <w:szCs w:val="21"/>
              </w:rPr>
              <w:t>can accommodate all patient risk for the relevant specialist procedures</w:t>
            </w:r>
          </w:p>
          <w:p w14:paraId="7D2F70D7" w14:textId="77777777" w:rsidR="00281C2F" w:rsidRPr="007D6C82"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00D20AC6">
              <w:rPr>
                <w:rStyle w:val="normaltextrun"/>
                <w:rFonts w:eastAsia="MS Gothic" w:cs="Arial"/>
                <w:bCs/>
                <w:szCs w:val="21"/>
              </w:rPr>
              <w:t xml:space="preserve">can provide for </w:t>
            </w:r>
            <w:r w:rsidRPr="00D20AC6">
              <w:rPr>
                <w:rStyle w:val="normaltextrun"/>
                <w:rFonts w:cs="Arial"/>
                <w:bCs/>
                <w:szCs w:val="21"/>
              </w:rPr>
              <w:t>high patient complexity paediatric patients of all ages for paediatric services.</w:t>
            </w:r>
          </w:p>
        </w:tc>
      </w:tr>
      <w:tr w:rsidR="00281C2F" w:rsidRPr="00A63ED1" w14:paraId="2685473D" w14:textId="77777777" w:rsidTr="00E44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11910758" w14:textId="77777777" w:rsidR="00281C2F" w:rsidRPr="007C0BB1" w:rsidRDefault="00281C2F" w:rsidP="009A032D">
            <w:pPr>
              <w:pStyle w:val="Tabletext"/>
              <w:rPr>
                <w:b w:val="0"/>
              </w:rPr>
            </w:pPr>
            <w:r w:rsidRPr="007C0BB1">
              <w:t>Emergency services/</w:t>
            </w:r>
          </w:p>
          <w:p w14:paraId="03D363E2" w14:textId="77777777" w:rsidR="00281C2F" w:rsidRPr="007C0BB1" w:rsidRDefault="00281C2F" w:rsidP="009A032D">
            <w:pPr>
              <w:pStyle w:val="Tabletext"/>
              <w:rPr>
                <w:b w:val="0"/>
              </w:rPr>
            </w:pPr>
            <w:r w:rsidRPr="007C0BB1">
              <w:t>surgery</w:t>
            </w:r>
          </w:p>
        </w:tc>
        <w:tc>
          <w:tcPr>
            <w:tcW w:w="7088" w:type="dxa"/>
            <w:shd w:val="clear" w:color="auto" w:fill="DBE5F1" w:themeFill="accent1" w:themeFillTint="33"/>
          </w:tcPr>
          <w:p w14:paraId="5FAB8F52" w14:textId="77777777" w:rsidR="00281C2F" w:rsidRPr="00DF4FD8"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Pr>
                <w:rFonts w:cs="Arial"/>
              </w:rPr>
              <w:t>F</w:t>
            </w:r>
            <w:r>
              <w:t>or e</w:t>
            </w:r>
            <w:r w:rsidRPr="00E1136E">
              <w:rPr>
                <w:rFonts w:cs="Arial"/>
              </w:rPr>
              <w:t>mergency service</w:t>
            </w:r>
            <w:r>
              <w:rPr>
                <w:rFonts w:cs="Arial"/>
              </w:rPr>
              <w:t>s</w:t>
            </w:r>
            <w:r w:rsidRPr="00E1136E">
              <w:rPr>
                <w:rFonts w:cs="Arial"/>
              </w:rPr>
              <w:t xml:space="preserve"> </w:t>
            </w:r>
            <w:r>
              <w:rPr>
                <w:rFonts w:cs="Arial"/>
              </w:rPr>
              <w:t>a</w:t>
            </w:r>
            <w:r>
              <w:t>nd</w:t>
            </w:r>
            <w:r w:rsidRPr="00E1136E">
              <w:rPr>
                <w:rFonts w:cs="Arial"/>
              </w:rPr>
              <w:t xml:space="preserve"> transfers</w:t>
            </w:r>
            <w:r>
              <w:rPr>
                <w:rFonts w:cs="Arial"/>
              </w:rPr>
              <w:t>,</w:t>
            </w:r>
            <w:r>
              <w:t xml:space="preserve"> a Level 5 service p</w:t>
            </w:r>
            <w:r w:rsidRPr="00DF4FD8">
              <w:t>rovides a 24/7 emergency surgical capacity for a range of specialities</w:t>
            </w:r>
            <w:r>
              <w:t>,</w:t>
            </w:r>
            <w:r w:rsidRPr="00DF4FD8">
              <w:t xml:space="preserve"> and </w:t>
            </w:r>
            <w:r>
              <w:t xml:space="preserve">is </w:t>
            </w:r>
            <w:r w:rsidRPr="00DF4FD8">
              <w:t>able to manage most immediate life-saving emergency surgery procedures.</w:t>
            </w:r>
          </w:p>
          <w:p w14:paraId="53A61BCC" w14:textId="77777777" w:rsidR="00281C2F" w:rsidRPr="008D576D"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E1136E">
              <w:t>Emergency surgery service</w:t>
            </w:r>
            <w:r>
              <w:t>s – a</w:t>
            </w:r>
            <w:r w:rsidRPr="00DF4FD8">
              <w:t>s for Level 4.</w:t>
            </w:r>
          </w:p>
        </w:tc>
      </w:tr>
      <w:tr w:rsidR="00281C2F" w:rsidRPr="00A63ED1" w14:paraId="44019B9A" w14:textId="77777777" w:rsidTr="00E449CC">
        <w:tc>
          <w:tcPr>
            <w:cnfStyle w:val="001000000000" w:firstRow="0" w:lastRow="0" w:firstColumn="1" w:lastColumn="0" w:oddVBand="0" w:evenVBand="0" w:oddHBand="0" w:evenHBand="0" w:firstRowFirstColumn="0" w:firstRowLastColumn="0" w:lastRowFirstColumn="0" w:lastRowLastColumn="0"/>
            <w:tcW w:w="2405" w:type="dxa"/>
          </w:tcPr>
          <w:p w14:paraId="620AB8BD" w14:textId="77777777" w:rsidR="00281C2F" w:rsidRPr="007C0BB1" w:rsidRDefault="00281C2F" w:rsidP="009A032D">
            <w:pPr>
              <w:pStyle w:val="Tabletext"/>
              <w:rPr>
                <w:b w:val="0"/>
              </w:rPr>
            </w:pPr>
            <w:r w:rsidRPr="007C0BB1">
              <w:t>Pre-admission service</w:t>
            </w:r>
          </w:p>
        </w:tc>
        <w:tc>
          <w:tcPr>
            <w:tcW w:w="7088" w:type="dxa"/>
          </w:tcPr>
          <w:p w14:paraId="505E12BC" w14:textId="77777777" w:rsidR="00281C2F" w:rsidRPr="00A922E4" w:rsidRDefault="00281C2F" w:rsidP="009A032D">
            <w:pPr>
              <w:pStyle w:val="Tabletext"/>
              <w:cnfStyle w:val="000000000000" w:firstRow="0" w:lastRow="0" w:firstColumn="0" w:lastColumn="0" w:oddVBand="0" w:evenVBand="0" w:oddHBand="0" w:evenHBand="0" w:firstRowFirstColumn="0" w:firstRowLastColumn="0" w:lastRowFirstColumn="0" w:lastRowLastColumn="0"/>
              <w:rPr>
                <w:i/>
                <w:iCs/>
              </w:rPr>
            </w:pPr>
            <w:r w:rsidRPr="00A922E4">
              <w:t xml:space="preserve">As for </w:t>
            </w:r>
            <w:r>
              <w:t>L</w:t>
            </w:r>
            <w:r w:rsidRPr="00A922E4">
              <w:t xml:space="preserve">evel </w:t>
            </w:r>
            <w:r>
              <w:t>3</w:t>
            </w:r>
            <w:r w:rsidRPr="00A922E4">
              <w:t xml:space="preserve">. </w:t>
            </w:r>
          </w:p>
        </w:tc>
      </w:tr>
      <w:tr w:rsidR="00281C2F" w:rsidRPr="00A63ED1" w14:paraId="18901618" w14:textId="77777777" w:rsidTr="00E44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0CBB2C9A" w14:textId="77777777" w:rsidR="00281C2F" w:rsidRPr="007C0BB1" w:rsidRDefault="00281C2F" w:rsidP="009A032D">
            <w:pPr>
              <w:pStyle w:val="Tabletext"/>
              <w:rPr>
                <w:b w:val="0"/>
              </w:rPr>
            </w:pPr>
            <w:r w:rsidRPr="007C0BB1">
              <w:t>Pain management capability</w:t>
            </w:r>
          </w:p>
        </w:tc>
        <w:tc>
          <w:tcPr>
            <w:tcW w:w="7088" w:type="dxa"/>
            <w:shd w:val="clear" w:color="auto" w:fill="DBE5F1" w:themeFill="accent1" w:themeFillTint="33"/>
          </w:tcPr>
          <w:p w14:paraId="03AAD8A1" w14:textId="77777777" w:rsidR="00281C2F" w:rsidRPr="00DE5817"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F778848">
              <w:t>A</w:t>
            </w:r>
            <w:r w:rsidRPr="00DE5817">
              <w:t xml:space="preserve"> </w:t>
            </w:r>
            <w:r>
              <w:t>L</w:t>
            </w:r>
            <w:r w:rsidRPr="00DE5817">
              <w:t>evel 5 service</w:t>
            </w:r>
            <w:r>
              <w:t xml:space="preserve"> provides</w:t>
            </w:r>
            <w:r w:rsidRPr="00DE5817">
              <w:t xml:space="preserve">: </w:t>
            </w:r>
          </w:p>
          <w:p w14:paraId="4C45534E" w14:textId="42EA493D" w:rsidR="00281C2F" w:rsidRPr="00A922E4"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63B58C0A">
              <w:t>acute pain management to</w:t>
            </w:r>
            <w:r w:rsidR="003070CE">
              <w:t xml:space="preserve"> all</w:t>
            </w:r>
            <w:r w:rsidRPr="63B58C0A">
              <w:t xml:space="preserve"> patients </w:t>
            </w:r>
          </w:p>
          <w:p w14:paraId="1A99C7BB" w14:textId="77777777" w:rsidR="00281C2F" w:rsidRPr="00A922E4"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rPr>
                <w:i/>
                <w:iCs/>
              </w:rPr>
            </w:pPr>
            <w:r>
              <w:t>a d</w:t>
            </w:r>
            <w:r w:rsidRPr="63B58C0A">
              <w:t>aily medical round to review patients referred for pain management, supported by a medical specialist.</w:t>
            </w:r>
          </w:p>
        </w:tc>
      </w:tr>
      <w:tr w:rsidR="00281C2F" w:rsidRPr="00A63ED1" w14:paraId="4490D435" w14:textId="77777777" w:rsidTr="00E449CC">
        <w:tc>
          <w:tcPr>
            <w:cnfStyle w:val="001000000000" w:firstRow="0" w:lastRow="0" w:firstColumn="1" w:lastColumn="0" w:oddVBand="0" w:evenVBand="0" w:oddHBand="0" w:evenHBand="0" w:firstRowFirstColumn="0" w:firstRowLastColumn="0" w:lastRowFirstColumn="0" w:lastRowLastColumn="0"/>
            <w:tcW w:w="2405" w:type="dxa"/>
          </w:tcPr>
          <w:p w14:paraId="6AAC634B" w14:textId="77777777" w:rsidR="00281C2F" w:rsidRPr="007C0BB1" w:rsidRDefault="00281C2F" w:rsidP="009A032D">
            <w:pPr>
              <w:pStyle w:val="Tabletext"/>
              <w:rPr>
                <w:b w:val="0"/>
              </w:rPr>
            </w:pPr>
            <w:r w:rsidRPr="007C0BB1">
              <w:t>Discharge planning</w:t>
            </w:r>
          </w:p>
        </w:tc>
        <w:tc>
          <w:tcPr>
            <w:tcW w:w="7088" w:type="dxa"/>
          </w:tcPr>
          <w:p w14:paraId="726A2682" w14:textId="77777777" w:rsidR="00281C2F" w:rsidRPr="00DE5817"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F778848">
              <w:t>A</w:t>
            </w:r>
            <w:r w:rsidRPr="00DE5817">
              <w:t xml:space="preserve"> </w:t>
            </w:r>
            <w:r>
              <w:t>L</w:t>
            </w:r>
            <w:r w:rsidRPr="00DE5817">
              <w:t>evel 5 service</w:t>
            </w:r>
            <w:r>
              <w:t xml:space="preserve"> provides</w:t>
            </w:r>
            <w:r w:rsidRPr="00DE5817">
              <w:t xml:space="preserve">: </w:t>
            </w:r>
          </w:p>
          <w:p w14:paraId="6D544980" w14:textId="77777777" w:rsidR="00281C2F" w:rsidRPr="001268B7"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rPr>
                <w:i/>
                <w:iCs/>
              </w:rPr>
            </w:pPr>
            <w:r w:rsidRPr="63B58C0A">
              <w:t>comprehensive acute substitution services</w:t>
            </w:r>
            <w:r>
              <w:t>,</w:t>
            </w:r>
            <w:r w:rsidRPr="63B58C0A">
              <w:t xml:space="preserve"> such as </w:t>
            </w:r>
            <w:r>
              <w:t>H</w:t>
            </w:r>
            <w:r w:rsidRPr="63B58C0A">
              <w:t xml:space="preserve">ospital in the </w:t>
            </w:r>
            <w:r>
              <w:t>H</w:t>
            </w:r>
            <w:r w:rsidRPr="63B58C0A">
              <w:t xml:space="preserve">ome </w:t>
            </w:r>
          </w:p>
          <w:p w14:paraId="5594B281" w14:textId="77777777" w:rsidR="00281C2F" w:rsidRPr="00956D46"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rPr>
                <w:i/>
                <w:iCs/>
              </w:rPr>
            </w:pPr>
            <w:r w:rsidRPr="63B58C0A">
              <w:t xml:space="preserve">sub-acute services, including admitted services for </w:t>
            </w:r>
            <w:r>
              <w:t xml:space="preserve">both </w:t>
            </w:r>
            <w:r w:rsidRPr="63B58C0A">
              <w:t xml:space="preserve">rehabilitation and Geriatric Evaluation and Management, and a comprehensive range of </w:t>
            </w:r>
            <w:r>
              <w:t>non-admitted</w:t>
            </w:r>
            <w:r w:rsidRPr="63B58C0A">
              <w:t xml:space="preserve"> services</w:t>
            </w:r>
            <w:r>
              <w:t>.</w:t>
            </w:r>
          </w:p>
        </w:tc>
      </w:tr>
    </w:tbl>
    <w:p w14:paraId="0329CAD3" w14:textId="77777777" w:rsidR="00281C2F" w:rsidRDefault="00281C2F" w:rsidP="00281C2F">
      <w:pPr>
        <w:pStyle w:val="Heading3"/>
        <w:rPr>
          <w:rFonts w:eastAsia="Times"/>
        </w:rPr>
      </w:pPr>
      <w:r>
        <w:t>Clinical w</w:t>
      </w:r>
      <w:r w:rsidRPr="0058461A">
        <w:rPr>
          <w:rFonts w:eastAsia="Times"/>
        </w:rPr>
        <w:t>orkforce</w:t>
      </w:r>
    </w:p>
    <w:p w14:paraId="7556C4C2" w14:textId="22CE04D2" w:rsidR="00281C2F" w:rsidRDefault="0022729A" w:rsidP="00281C2F">
      <w:pPr>
        <w:pStyle w:val="Body"/>
      </w:pPr>
      <w:r>
        <w:t xml:space="preserve">This section </w:t>
      </w:r>
      <w:r w:rsidR="00281C2F">
        <w:t xml:space="preserve">outlines the requirements for the clinical workforce in Level 5 perioperative services that are in addition to </w:t>
      </w:r>
      <w:r>
        <w:t>Levels 1–4</w:t>
      </w:r>
      <w:r w:rsidR="00281C2F">
        <w:t xml:space="preserve"> roles and responsibilities.</w:t>
      </w:r>
    </w:p>
    <w:tbl>
      <w:tblPr>
        <w:tblStyle w:val="GridTable4-Accent6"/>
        <w:tblW w:w="9663" w:type="dxa"/>
        <w:tblBorders>
          <w:top w:val="none" w:sz="0" w:space="0" w:color="auto"/>
          <w:left w:val="none" w:sz="0" w:space="0" w:color="auto"/>
          <w:bottom w:val="single" w:sz="4" w:space="0" w:color="201547"/>
          <w:right w:val="none" w:sz="0" w:space="0" w:color="auto"/>
          <w:insideH w:val="none" w:sz="0" w:space="0" w:color="auto"/>
          <w:insideV w:val="single" w:sz="4" w:space="0" w:color="201547"/>
        </w:tblBorders>
        <w:tblLook w:val="04A0" w:firstRow="1" w:lastRow="0" w:firstColumn="1" w:lastColumn="0" w:noHBand="0" w:noVBand="1"/>
      </w:tblPr>
      <w:tblGrid>
        <w:gridCol w:w="2263"/>
        <w:gridCol w:w="142"/>
        <w:gridCol w:w="7258"/>
      </w:tblGrid>
      <w:tr w:rsidR="002C03B7" w:rsidRPr="002C03B7" w14:paraId="6768CEE1" w14:textId="77777777" w:rsidTr="00E449C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201547"/>
          </w:tcPr>
          <w:p w14:paraId="24934297" w14:textId="77777777" w:rsidR="00281C2F" w:rsidRPr="002C03B7" w:rsidRDefault="00281C2F" w:rsidP="002C03B7">
            <w:pPr>
              <w:pStyle w:val="Tablecolhead"/>
              <w:rPr>
                <w:b/>
                <w:bCs w:val="0"/>
                <w:color w:val="FFFFFF" w:themeColor="background1"/>
              </w:rPr>
            </w:pPr>
            <w:r w:rsidRPr="002C03B7">
              <w:rPr>
                <w:b/>
                <w:bCs w:val="0"/>
                <w:color w:val="FFFFFF" w:themeColor="background1"/>
              </w:rPr>
              <w:t>Level 5 service roles</w:t>
            </w:r>
          </w:p>
        </w:tc>
        <w:tc>
          <w:tcPr>
            <w:tcW w:w="7258" w:type="dxa"/>
            <w:shd w:val="clear" w:color="auto" w:fill="201547"/>
          </w:tcPr>
          <w:p w14:paraId="406E6D6D" w14:textId="77777777" w:rsidR="00281C2F" w:rsidRPr="002C03B7" w:rsidRDefault="00281C2F" w:rsidP="002C03B7">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C03B7">
              <w:rPr>
                <w:b/>
                <w:bCs w:val="0"/>
                <w:color w:val="FFFFFF" w:themeColor="background1"/>
              </w:rPr>
              <w:t>Requirements</w:t>
            </w:r>
          </w:p>
        </w:tc>
      </w:tr>
      <w:tr w:rsidR="00281C2F" w:rsidRPr="00A63ED1" w14:paraId="47C3973A" w14:textId="77777777" w:rsidTr="00E44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DBE5F1" w:themeFill="accent1" w:themeFillTint="33"/>
          </w:tcPr>
          <w:p w14:paraId="3AD5773D" w14:textId="77777777" w:rsidR="00281C2F" w:rsidRPr="007C0BB1" w:rsidRDefault="00281C2F" w:rsidP="009A032D">
            <w:pPr>
              <w:pStyle w:val="Tabletext"/>
              <w:rPr>
                <w:bCs w:val="0"/>
              </w:rPr>
            </w:pPr>
            <w:r>
              <w:t>Perioperative unit</w:t>
            </w:r>
          </w:p>
        </w:tc>
        <w:tc>
          <w:tcPr>
            <w:tcW w:w="7400" w:type="dxa"/>
            <w:gridSpan w:val="2"/>
            <w:shd w:val="clear" w:color="auto" w:fill="DBE5F1" w:themeFill="accent1" w:themeFillTint="33"/>
          </w:tcPr>
          <w:p w14:paraId="2A4C2F69"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 xml:space="preserve">A medical specialist, </w:t>
            </w:r>
            <w:r w:rsidRPr="00F255FA">
              <w:t>credentialed at the health service for</w:t>
            </w:r>
            <w:r>
              <w:t xml:space="preserve"> perioperative care, is</w:t>
            </w:r>
            <w:r w:rsidRPr="00F255FA">
              <w:t xml:space="preserve"> employed as Director</w:t>
            </w:r>
            <w:r>
              <w:t>/Head</w:t>
            </w:r>
            <w:r w:rsidRPr="00F255FA">
              <w:t xml:space="preserve"> of </w:t>
            </w:r>
            <w:r>
              <w:t>Perioperative</w:t>
            </w:r>
            <w:r w:rsidRPr="00F255FA">
              <w:t xml:space="preserve"> services and has clinical governance responsibilities.</w:t>
            </w:r>
          </w:p>
        </w:tc>
      </w:tr>
      <w:tr w:rsidR="00281C2F" w:rsidRPr="00A63ED1" w14:paraId="7A9FB74D" w14:textId="77777777" w:rsidTr="00E449CC">
        <w:tc>
          <w:tcPr>
            <w:cnfStyle w:val="001000000000" w:firstRow="0" w:lastRow="0" w:firstColumn="1" w:lastColumn="0" w:oddVBand="0" w:evenVBand="0" w:oddHBand="0" w:evenHBand="0" w:firstRowFirstColumn="0" w:firstRowLastColumn="0" w:lastRowFirstColumn="0" w:lastRowLastColumn="0"/>
            <w:tcW w:w="2263" w:type="dxa"/>
          </w:tcPr>
          <w:p w14:paraId="358D5BDF" w14:textId="77777777" w:rsidR="00281C2F" w:rsidRPr="007D6C82" w:rsidRDefault="00281C2F" w:rsidP="009A032D">
            <w:pPr>
              <w:pStyle w:val="Tabletext"/>
              <w:rPr>
                <w:bCs w:val="0"/>
              </w:rPr>
            </w:pPr>
            <w:r w:rsidRPr="007C0BB1">
              <w:t>Surgery/ proceduralist</w:t>
            </w:r>
            <w:r>
              <w:t xml:space="preserve"> </w:t>
            </w:r>
          </w:p>
        </w:tc>
        <w:tc>
          <w:tcPr>
            <w:tcW w:w="7400" w:type="dxa"/>
            <w:gridSpan w:val="2"/>
          </w:tcPr>
          <w:p w14:paraId="0B0A3EA6" w14:textId="77777777" w:rsidR="00281C2F" w:rsidRPr="00832DDA"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Cl</w:t>
            </w:r>
            <w:r w:rsidRPr="00832DDA">
              <w:t>inical units are comprised of</w:t>
            </w:r>
            <w:r>
              <w:t xml:space="preserve"> </w:t>
            </w:r>
            <w:r w:rsidRPr="00832DDA">
              <w:t xml:space="preserve">medical specialists or equivalent, credentialed at the health service for surgical specialties, </w:t>
            </w:r>
            <w:r>
              <w:t xml:space="preserve">and </w:t>
            </w:r>
            <w:r w:rsidRPr="00832DDA">
              <w:t>available 24/7</w:t>
            </w:r>
            <w:r>
              <w:t>.</w:t>
            </w:r>
          </w:p>
          <w:p w14:paraId="23122878"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rPr>
                <w:b/>
              </w:rPr>
            </w:pPr>
            <w:r w:rsidRPr="00F255FA">
              <w:t xml:space="preserve">The number and type of units at each service reflects demand for services and local agreements about workload management. </w:t>
            </w:r>
          </w:p>
          <w:p w14:paraId="0AA745FC" w14:textId="77777777" w:rsidR="00281C2F" w:rsidRPr="00E1136E"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E1136E">
              <w:t>For paediatric services:</w:t>
            </w:r>
          </w:p>
          <w:p w14:paraId="4E348579" w14:textId="77777777" w:rsidR="00281C2F" w:rsidRPr="00F5024B"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t>c</w:t>
            </w:r>
            <w:r w:rsidRPr="00F5024B">
              <w:t xml:space="preserve">linical units are structured to provide care led by medical specialists, and provide </w:t>
            </w:r>
            <w:r>
              <w:t>non-admitted</w:t>
            </w:r>
            <w:r w:rsidRPr="00F5024B">
              <w:t xml:space="preserve"> care, pre- and post-procedure care</w:t>
            </w:r>
            <w:r>
              <w:t>,</w:t>
            </w:r>
            <w:r w:rsidRPr="00F5024B">
              <w:t xml:space="preserve"> and 24/7 care to admitted patients</w:t>
            </w:r>
            <w:r>
              <w:t>,</w:t>
            </w:r>
            <w:r w:rsidRPr="00F5024B">
              <w:t xml:space="preserve"> and manage complications of surgery</w:t>
            </w:r>
          </w:p>
          <w:p w14:paraId="4FF1643F" w14:textId="77777777" w:rsidR="00281C2F" w:rsidRPr="00187FB8"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00F5024B">
              <w:t>medical specialists</w:t>
            </w:r>
            <w:r>
              <w:t>,</w:t>
            </w:r>
            <w:r w:rsidRPr="00F5024B">
              <w:t xml:space="preserve"> credentialed at the health service for paediatric surgical specialties, </w:t>
            </w:r>
            <w:r>
              <w:t xml:space="preserve">are </w:t>
            </w:r>
            <w:r w:rsidRPr="00F5024B">
              <w:t>available 24/7.</w:t>
            </w:r>
          </w:p>
        </w:tc>
      </w:tr>
      <w:tr w:rsidR="00281C2F" w:rsidRPr="00A63ED1" w14:paraId="48DAE97F" w14:textId="77777777" w:rsidTr="00E44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DBE5F1" w:themeFill="accent1" w:themeFillTint="33"/>
          </w:tcPr>
          <w:p w14:paraId="5C47ECD2" w14:textId="77777777" w:rsidR="00281C2F" w:rsidRPr="007D6C82" w:rsidRDefault="00281C2F" w:rsidP="009A032D">
            <w:pPr>
              <w:pStyle w:val="Tabletext"/>
              <w:rPr>
                <w:bCs w:val="0"/>
              </w:rPr>
            </w:pPr>
            <w:r w:rsidRPr="007C0BB1">
              <w:t>Anaesthetics</w:t>
            </w:r>
            <w:r>
              <w:t xml:space="preserve"> </w:t>
            </w:r>
          </w:p>
        </w:tc>
        <w:tc>
          <w:tcPr>
            <w:tcW w:w="7400" w:type="dxa"/>
            <w:gridSpan w:val="2"/>
            <w:shd w:val="clear" w:color="auto" w:fill="DBE5F1" w:themeFill="accent1" w:themeFillTint="33"/>
          </w:tcPr>
          <w:p w14:paraId="4E552B33" w14:textId="77777777" w:rsidR="00281C2F" w:rsidRPr="00923F30"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934A29">
              <w:t xml:space="preserve">The anaesthetic team is </w:t>
            </w:r>
            <w:r w:rsidRPr="00923F30">
              <w:t xml:space="preserve">structured to provide anaesthetic service across non-admitted, diagnostic and operating suite and acute pain services. It includes: </w:t>
            </w:r>
          </w:p>
          <w:p w14:paraId="3467277C" w14:textId="77777777" w:rsidR="00281C2F" w:rsidRPr="00923F30"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923F30">
              <w:t>a medical specialist, credentialed at the health service for anaesthetic care, as lead clinician, who has clinical governance responsibilities (may be in a partnership arrangement within the region)</w:t>
            </w:r>
          </w:p>
          <w:p w14:paraId="74627F5C" w14:textId="77777777" w:rsidR="00281C2F" w:rsidRPr="00923F30"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923F30">
              <w:t>a medical specialist(s), credentialed at the health service for anaesthetic care, available 24/7</w:t>
            </w:r>
          </w:p>
          <w:p w14:paraId="01BCD8EC" w14:textId="77777777" w:rsidR="00281C2F" w:rsidRPr="00923F30"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923F30">
              <w:t>a medical practitioner with appropriate experience in anaesthetics, credentialed to initiate anaesthetic management for emergencies, available 24/7</w:t>
            </w:r>
          </w:p>
          <w:p w14:paraId="44DA89CF" w14:textId="0F087F2E" w:rsidR="00281C2F" w:rsidRPr="00923F30"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923F30">
              <w:t>a second health practitioner available to assist with anaesthe</w:t>
            </w:r>
            <w:r w:rsidR="00C3336E" w:rsidRPr="00923F30">
              <w:t>sia</w:t>
            </w:r>
            <w:r w:rsidRPr="00923F30">
              <w:t xml:space="preserve">, as per </w:t>
            </w:r>
            <w:hyperlink r:id="rId58" w:history="1">
              <w:r w:rsidRPr="0088669C">
                <w:rPr>
                  <w:rStyle w:val="Hyperlink"/>
                </w:rPr>
                <w:t>ANZCA PS08</w:t>
              </w:r>
            </w:hyperlink>
            <w:r w:rsidRPr="00923F30">
              <w:rPr>
                <w:rStyle w:val="FootnoteReference"/>
              </w:rPr>
              <w:footnoteReference w:id="65"/>
            </w:r>
            <w:r w:rsidRPr="00923F30">
              <w:rPr>
                <w:vertAlign w:val="superscript"/>
              </w:rPr>
              <w:t>,</w:t>
            </w:r>
            <w:r w:rsidRPr="00923F30">
              <w:rPr>
                <w:rStyle w:val="FootnoteReference"/>
              </w:rPr>
              <w:footnoteReference w:id="66"/>
            </w:r>
          </w:p>
          <w:p w14:paraId="0EE5AD43" w14:textId="77777777" w:rsidR="00281C2F" w:rsidRPr="00923F30"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rPr>
                <w:rFonts w:cs="Arial"/>
              </w:rPr>
            </w:pPr>
            <w:r w:rsidRPr="00923F30">
              <w:t>a designated member of the anaesthetic team to review patients referred for pain management daily.</w:t>
            </w:r>
          </w:p>
          <w:p w14:paraId="1C348C67" w14:textId="77777777" w:rsidR="00281C2F" w:rsidRPr="00923F30"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923F30">
              <w:t>For paediatric services, the team includes:</w:t>
            </w:r>
          </w:p>
          <w:p w14:paraId="26FB1393" w14:textId="77777777" w:rsidR="00281C2F" w:rsidRPr="00923F30"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923F30">
              <w:t>a registered medical practitioner, credentialed to initiate paediatric anaesthetic management for emergencies, available 24/7</w:t>
            </w:r>
          </w:p>
          <w:p w14:paraId="092AC52C" w14:textId="5E1A2F8D" w:rsidR="00281C2F" w:rsidRPr="00F5024B"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923F30">
              <w:t xml:space="preserve">a second registered medical practitioner available to assist with anaesthesia, as per </w:t>
            </w:r>
            <w:hyperlink r:id="rId59" w:history="1">
              <w:r w:rsidRPr="0088669C">
                <w:rPr>
                  <w:rStyle w:val="Hyperlink"/>
                </w:rPr>
                <w:t>ANZCA PS08</w:t>
              </w:r>
            </w:hyperlink>
            <w:r w:rsidRPr="00F5024B">
              <w:rPr>
                <w:rStyle w:val="FootnoteReference"/>
                <w:rFonts w:cs="Arial"/>
                <w:sz w:val="20"/>
              </w:rPr>
              <w:footnoteReference w:id="67"/>
            </w:r>
            <w:r w:rsidRPr="00F5024B">
              <w:t xml:space="preserve"> and </w:t>
            </w:r>
            <w:hyperlink r:id="rId60" w:history="1">
              <w:r w:rsidRPr="0088669C">
                <w:rPr>
                  <w:rStyle w:val="Hyperlink"/>
                </w:rPr>
                <w:t>PS29</w:t>
              </w:r>
            </w:hyperlink>
            <w:r w:rsidRPr="00F5024B">
              <w:rPr>
                <w:rStyle w:val="FootnoteReference"/>
                <w:rFonts w:cs="Arial"/>
                <w:sz w:val="20"/>
              </w:rPr>
              <w:footnoteReference w:id="68"/>
            </w:r>
            <w:r w:rsidRPr="00F5024B">
              <w:t>.</w:t>
            </w:r>
          </w:p>
        </w:tc>
      </w:tr>
      <w:tr w:rsidR="00281C2F" w:rsidRPr="00A63ED1" w14:paraId="04C8273E" w14:textId="77777777" w:rsidTr="00E449CC">
        <w:tc>
          <w:tcPr>
            <w:cnfStyle w:val="001000000000" w:firstRow="0" w:lastRow="0" w:firstColumn="1" w:lastColumn="0" w:oddVBand="0" w:evenVBand="0" w:oddHBand="0" w:evenHBand="0" w:firstRowFirstColumn="0" w:firstRowLastColumn="0" w:lastRowFirstColumn="0" w:lastRowLastColumn="0"/>
            <w:tcW w:w="2263" w:type="dxa"/>
          </w:tcPr>
          <w:p w14:paraId="113C960A" w14:textId="77777777" w:rsidR="00281C2F" w:rsidRPr="004C56AD" w:rsidRDefault="00281C2F" w:rsidP="009A032D">
            <w:pPr>
              <w:pStyle w:val="Tabletext"/>
            </w:pPr>
            <w:r w:rsidRPr="004C56AD">
              <w:t>Emergency surgery</w:t>
            </w:r>
            <w:r>
              <w:t xml:space="preserve"> staff</w:t>
            </w:r>
          </w:p>
        </w:tc>
        <w:tc>
          <w:tcPr>
            <w:tcW w:w="7400" w:type="dxa"/>
            <w:gridSpan w:val="2"/>
          </w:tcPr>
          <w:p w14:paraId="5C54BC7F"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 m</w:t>
            </w:r>
            <w:r w:rsidRPr="00792456">
              <w:t>edical practitioner, credentialed at the health service for general surgical care (including initiation of management for surgical emergency)</w:t>
            </w:r>
            <w:r>
              <w:t>, is</w:t>
            </w:r>
            <w:r w:rsidRPr="00792456">
              <w:t xml:space="preserve"> available 24/7.</w:t>
            </w:r>
            <w:r w:rsidRPr="004C56AD">
              <w:t xml:space="preserve"> </w:t>
            </w:r>
          </w:p>
          <w:p w14:paraId="39D03D30" w14:textId="77777777" w:rsidR="00281C2F" w:rsidRPr="004C56AD"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E1136E">
              <w:t>For paediatric services</w:t>
            </w:r>
            <w:r w:rsidRPr="008949F8">
              <w:t>,</w:t>
            </w:r>
            <w:r>
              <w:t xml:space="preserve"> a m</w:t>
            </w:r>
            <w:r w:rsidRPr="00792456">
              <w:t xml:space="preserve">edical practitioner, credentialed at the health service for </w:t>
            </w:r>
            <w:r>
              <w:t xml:space="preserve">general </w:t>
            </w:r>
            <w:r w:rsidRPr="00792456">
              <w:t xml:space="preserve">surgical care </w:t>
            </w:r>
            <w:r>
              <w:t>of children</w:t>
            </w:r>
            <w:r w:rsidRPr="00792456">
              <w:t xml:space="preserve"> (including initiation of management for surgical emergency)</w:t>
            </w:r>
            <w:r>
              <w:t>, is</w:t>
            </w:r>
            <w:r w:rsidRPr="00792456">
              <w:t xml:space="preserve"> available 24/7.</w:t>
            </w:r>
            <w:r w:rsidRPr="004C56AD">
              <w:t xml:space="preserve"> </w:t>
            </w:r>
          </w:p>
        </w:tc>
      </w:tr>
      <w:tr w:rsidR="00281C2F" w:rsidRPr="00A63ED1" w14:paraId="039435B6" w14:textId="77777777" w:rsidTr="00E44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DBE5F1" w:themeFill="accent1" w:themeFillTint="33"/>
            <w:hideMark/>
          </w:tcPr>
          <w:p w14:paraId="0D962FF9" w14:textId="77777777" w:rsidR="00281C2F" w:rsidRPr="00377314" w:rsidRDefault="00281C2F" w:rsidP="009A032D">
            <w:pPr>
              <w:pStyle w:val="Tabletext"/>
              <w:rPr>
                <w:bCs w:val="0"/>
              </w:rPr>
            </w:pPr>
            <w:r w:rsidRPr="00377314">
              <w:t>Nursing</w:t>
            </w:r>
          </w:p>
        </w:tc>
        <w:tc>
          <w:tcPr>
            <w:tcW w:w="7400" w:type="dxa"/>
            <w:gridSpan w:val="2"/>
            <w:shd w:val="clear" w:color="auto" w:fill="DBE5F1" w:themeFill="accent1" w:themeFillTint="33"/>
          </w:tcPr>
          <w:p w14:paraId="55BB0AA5" w14:textId="77777777" w:rsidR="00281C2F" w:rsidRPr="00377314"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377314">
              <w:t xml:space="preserve">As for </w:t>
            </w:r>
            <w:r>
              <w:t>L</w:t>
            </w:r>
            <w:r w:rsidRPr="00377314">
              <w:t>evel 4</w:t>
            </w:r>
            <w:r>
              <w:t>.</w:t>
            </w:r>
            <w:r w:rsidRPr="00377314">
              <w:t xml:space="preserve"> </w:t>
            </w:r>
          </w:p>
        </w:tc>
      </w:tr>
      <w:tr w:rsidR="00281C2F" w:rsidRPr="00A63ED1" w14:paraId="62A2384D" w14:textId="77777777" w:rsidTr="00E449CC">
        <w:tc>
          <w:tcPr>
            <w:cnfStyle w:val="001000000000" w:firstRow="0" w:lastRow="0" w:firstColumn="1" w:lastColumn="0" w:oddVBand="0" w:evenVBand="0" w:oddHBand="0" w:evenHBand="0" w:firstRowFirstColumn="0" w:firstRowLastColumn="0" w:lastRowFirstColumn="0" w:lastRowLastColumn="0"/>
            <w:tcW w:w="2263" w:type="dxa"/>
          </w:tcPr>
          <w:p w14:paraId="67DD2B75" w14:textId="77777777" w:rsidR="00281C2F" w:rsidRPr="00F514A4" w:rsidRDefault="00281C2F" w:rsidP="009A032D">
            <w:pPr>
              <w:pStyle w:val="Tabletext"/>
              <w:rPr>
                <w:bCs w:val="0"/>
              </w:rPr>
            </w:pPr>
            <w:r w:rsidRPr="007C0BB1">
              <w:t>Allied health</w:t>
            </w:r>
          </w:p>
        </w:tc>
        <w:tc>
          <w:tcPr>
            <w:tcW w:w="7400" w:type="dxa"/>
            <w:gridSpan w:val="2"/>
          </w:tcPr>
          <w:p w14:paraId="2AD90504" w14:textId="77777777" w:rsidR="00281C2F" w:rsidRPr="005A65DC"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227594">
              <w:t xml:space="preserve">Allied health staff </w:t>
            </w:r>
            <w:r>
              <w:t xml:space="preserve">are </w:t>
            </w:r>
            <w:r w:rsidRPr="00227594">
              <w:t>available during extended hours, with disciplines aligning with perioperative services provided.</w:t>
            </w:r>
          </w:p>
        </w:tc>
      </w:tr>
    </w:tbl>
    <w:p w14:paraId="0456D79D" w14:textId="77777777" w:rsidR="00281C2F" w:rsidRDefault="00281C2F" w:rsidP="00281C2F">
      <w:pPr>
        <w:pStyle w:val="Heading3"/>
      </w:pPr>
      <w:r w:rsidRPr="0058461A">
        <w:t>Clinical support services</w:t>
      </w:r>
    </w:p>
    <w:p w14:paraId="129A5C42" w14:textId="1C33E9A4" w:rsidR="00281C2F" w:rsidRDefault="0022729A" w:rsidP="00281C2F">
      <w:pPr>
        <w:pStyle w:val="Body"/>
      </w:pPr>
      <w:r>
        <w:t xml:space="preserve">This section </w:t>
      </w:r>
      <w:r w:rsidR="00281C2F">
        <w:t xml:space="preserve">outlines the requirements for clinical support services in Level 5 perioperative services that are in addition to </w:t>
      </w:r>
      <w:r>
        <w:t>Levels 1–4</w:t>
      </w:r>
      <w:r w:rsidR="00281C2F">
        <w:t xml:space="preserve"> responsibilities.</w:t>
      </w:r>
    </w:p>
    <w:tbl>
      <w:tblPr>
        <w:tblStyle w:val="GridTable4-Accent6"/>
        <w:tblW w:w="9634" w:type="dxa"/>
        <w:tblBorders>
          <w:top w:val="none" w:sz="0" w:space="0" w:color="auto"/>
          <w:left w:val="none" w:sz="0" w:space="0" w:color="auto"/>
          <w:bottom w:val="single" w:sz="4" w:space="0" w:color="201547"/>
          <w:right w:val="none" w:sz="0" w:space="0" w:color="auto"/>
          <w:insideH w:val="none" w:sz="0" w:space="0" w:color="auto"/>
          <w:insideV w:val="single" w:sz="4" w:space="0" w:color="201547"/>
        </w:tblBorders>
        <w:tblLook w:val="04A0" w:firstRow="1" w:lastRow="0" w:firstColumn="1" w:lastColumn="0" w:noHBand="0" w:noVBand="1"/>
      </w:tblPr>
      <w:tblGrid>
        <w:gridCol w:w="2405"/>
        <w:gridCol w:w="7229"/>
      </w:tblGrid>
      <w:tr w:rsidR="002C03B7" w:rsidRPr="002C03B7" w14:paraId="77278ADB" w14:textId="77777777" w:rsidTr="00E449C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201547"/>
          </w:tcPr>
          <w:p w14:paraId="02A1A1E5" w14:textId="681B6659" w:rsidR="00281C2F" w:rsidRPr="002C03B7" w:rsidRDefault="00281C2F" w:rsidP="002C03B7">
            <w:pPr>
              <w:pStyle w:val="Tablecolhead"/>
              <w:rPr>
                <w:b/>
                <w:bCs w:val="0"/>
                <w:color w:val="FFFFFF" w:themeColor="background1"/>
              </w:rPr>
            </w:pPr>
            <w:r w:rsidRPr="002C03B7">
              <w:rPr>
                <w:b/>
                <w:bCs w:val="0"/>
                <w:color w:val="FFFFFF" w:themeColor="background1"/>
              </w:rPr>
              <w:t xml:space="preserve">Level 5 service </w:t>
            </w:r>
          </w:p>
        </w:tc>
        <w:tc>
          <w:tcPr>
            <w:tcW w:w="7229" w:type="dxa"/>
            <w:shd w:val="clear" w:color="auto" w:fill="201547"/>
          </w:tcPr>
          <w:p w14:paraId="0DCC7169" w14:textId="77777777" w:rsidR="00281C2F" w:rsidRPr="002C03B7" w:rsidRDefault="00281C2F" w:rsidP="002C03B7">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C03B7">
              <w:rPr>
                <w:b/>
                <w:bCs w:val="0"/>
                <w:color w:val="FFFFFF" w:themeColor="background1"/>
              </w:rPr>
              <w:t>Requirements</w:t>
            </w:r>
          </w:p>
        </w:tc>
      </w:tr>
      <w:tr w:rsidR="00281C2F" w:rsidRPr="00A63ED1" w14:paraId="643F75E7" w14:textId="77777777" w:rsidTr="00E449CC">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4306EFDD" w14:textId="77777777" w:rsidR="00281C2F" w:rsidRPr="00E1136E" w:rsidRDefault="00281C2F" w:rsidP="009A032D">
            <w:pPr>
              <w:pStyle w:val="Tabletext"/>
              <w:rPr>
                <w:b w:val="0"/>
              </w:rPr>
            </w:pPr>
            <w:r w:rsidRPr="006B3860">
              <w:rPr>
                <w:rFonts w:eastAsia="MS Mincho"/>
              </w:rPr>
              <w:t xml:space="preserve">Critical </w:t>
            </w:r>
            <w:r>
              <w:rPr>
                <w:rFonts w:eastAsia="MS Mincho"/>
              </w:rPr>
              <w:t>c</w:t>
            </w:r>
            <w:r w:rsidRPr="006B3860">
              <w:rPr>
                <w:rFonts w:eastAsia="MS Mincho"/>
              </w:rPr>
              <w:t>are</w:t>
            </w:r>
          </w:p>
        </w:tc>
        <w:tc>
          <w:tcPr>
            <w:tcW w:w="7229" w:type="dxa"/>
            <w:shd w:val="clear" w:color="auto" w:fill="DBE5F1" w:themeFill="accent1" w:themeFillTint="33"/>
          </w:tcPr>
          <w:p w14:paraId="7C2CD84F" w14:textId="3893F89E"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1B6DC5">
              <w:t xml:space="preserve">Critical care services are aligned with </w:t>
            </w:r>
            <w:hyperlink r:id="rId61" w:anchor="Policies" w:history="1">
              <w:r w:rsidRPr="0088669C">
                <w:rPr>
                  <w:rStyle w:val="Hyperlink"/>
                </w:rPr>
                <w:t>CICM minimum standards for intensive care units – Level II</w:t>
              </w:r>
            </w:hyperlink>
            <w:r>
              <w:rPr>
                <w:rStyle w:val="FootnoteReference"/>
                <w:rFonts w:cs="Arial"/>
              </w:rPr>
              <w:footnoteReference w:id="69"/>
            </w:r>
            <w:r>
              <w:t>.</w:t>
            </w:r>
          </w:p>
          <w:p w14:paraId="5F734589" w14:textId="77777777" w:rsidR="00281C2F" w:rsidRPr="006B3860"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Pr>
                <w:rFonts w:cs="Arial"/>
              </w:rPr>
              <w:t>For p</w:t>
            </w:r>
            <w:r w:rsidRPr="00F5024B">
              <w:rPr>
                <w:rFonts w:cs="Arial"/>
              </w:rPr>
              <w:t>a</w:t>
            </w:r>
            <w:r w:rsidRPr="00F5024B">
              <w:t>ediatric services</w:t>
            </w:r>
            <w:r>
              <w:t>, d</w:t>
            </w:r>
            <w:r w:rsidRPr="00F5024B">
              <w:t xml:space="preserve">edicated paediatric beds </w:t>
            </w:r>
            <w:r>
              <w:t xml:space="preserve">are provided </w:t>
            </w:r>
            <w:r w:rsidRPr="00F5024B">
              <w:t>within the ICU environment.</w:t>
            </w:r>
            <w:r>
              <w:t xml:space="preserve"> </w:t>
            </w:r>
          </w:p>
        </w:tc>
      </w:tr>
      <w:tr w:rsidR="00281C2F" w:rsidRPr="00A63ED1" w14:paraId="34A621A5" w14:textId="77777777" w:rsidTr="00E449CC">
        <w:trPr>
          <w:trHeight w:val="674"/>
        </w:trPr>
        <w:tc>
          <w:tcPr>
            <w:cnfStyle w:val="001000000000" w:firstRow="0" w:lastRow="0" w:firstColumn="1" w:lastColumn="0" w:oddVBand="0" w:evenVBand="0" w:oddHBand="0" w:evenHBand="0" w:firstRowFirstColumn="0" w:firstRowLastColumn="0" w:lastRowFirstColumn="0" w:lastRowLastColumn="0"/>
            <w:tcW w:w="2405" w:type="dxa"/>
          </w:tcPr>
          <w:p w14:paraId="719B16A7" w14:textId="77777777" w:rsidR="00281C2F" w:rsidRPr="00DF7789" w:rsidRDefault="00281C2F" w:rsidP="009A032D">
            <w:pPr>
              <w:pStyle w:val="Tabletext"/>
              <w:rPr>
                <w:b w:val="0"/>
              </w:rPr>
            </w:pPr>
            <w:r w:rsidRPr="00DF7789">
              <w:t>Emergency response</w:t>
            </w:r>
          </w:p>
        </w:tc>
        <w:tc>
          <w:tcPr>
            <w:tcW w:w="7229" w:type="dxa"/>
          </w:tcPr>
          <w:p w14:paraId="65C0E88C" w14:textId="77777777" w:rsidR="00281C2F" w:rsidRPr="00DF7789" w:rsidRDefault="00281C2F" w:rsidP="009A032D">
            <w:pPr>
              <w:pStyle w:val="Tabletext"/>
              <w:cnfStyle w:val="000000000000" w:firstRow="0" w:lastRow="0" w:firstColumn="0" w:lastColumn="0" w:oddVBand="0" w:evenVBand="0" w:oddHBand="0" w:evenHBand="0" w:firstRowFirstColumn="0" w:firstRowLastColumn="0" w:lastRowFirstColumn="0" w:lastRowLastColumn="0"/>
              <w:rPr>
                <w:rFonts w:cs="Arial"/>
                <w:iCs/>
              </w:rPr>
            </w:pPr>
            <w:r w:rsidRPr="008526FC">
              <w:t xml:space="preserve">Registered health practitioners(s) from intensive care workforce support </w:t>
            </w:r>
            <w:r>
              <w:t xml:space="preserve">the </w:t>
            </w:r>
            <w:r w:rsidRPr="008526FC">
              <w:t>organisation</w:t>
            </w:r>
            <w:r>
              <w:t>-</w:t>
            </w:r>
            <w:r w:rsidRPr="008526FC">
              <w:t>wide rapid response team</w:t>
            </w:r>
            <w:r w:rsidRPr="00DF7789">
              <w:rPr>
                <w:rStyle w:val="FootnoteReference"/>
                <w:rFonts w:cs="Arial"/>
              </w:rPr>
              <w:footnoteReference w:id="70"/>
            </w:r>
            <w:r w:rsidRPr="00DF7789">
              <w:rPr>
                <w:rFonts w:cs="Arial"/>
              </w:rPr>
              <w:t>.</w:t>
            </w:r>
          </w:p>
        </w:tc>
      </w:tr>
      <w:tr w:rsidR="00281C2F" w:rsidRPr="00A63ED1" w14:paraId="090D507C" w14:textId="77777777" w:rsidTr="00E449C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64658829" w14:textId="77777777" w:rsidR="00281C2F" w:rsidRPr="00C230C8" w:rsidRDefault="00281C2F" w:rsidP="009A032D">
            <w:pPr>
              <w:pStyle w:val="Tabletext"/>
              <w:rPr>
                <w:b w:val="0"/>
              </w:rPr>
            </w:pPr>
            <w:r w:rsidRPr="00C230C8">
              <w:t xml:space="preserve">Medical imaging </w:t>
            </w:r>
          </w:p>
        </w:tc>
        <w:tc>
          <w:tcPr>
            <w:tcW w:w="7229" w:type="dxa"/>
            <w:shd w:val="clear" w:color="auto" w:fill="DBE5F1" w:themeFill="accent1" w:themeFillTint="33"/>
          </w:tcPr>
          <w:p w14:paraId="26258934" w14:textId="77777777" w:rsidR="00281C2F" w:rsidRPr="00C230C8" w:rsidRDefault="00281C2F" w:rsidP="009A032D">
            <w:pPr>
              <w:pStyle w:val="Tabletext"/>
              <w:cnfStyle w:val="000000100000" w:firstRow="0" w:lastRow="0" w:firstColumn="0" w:lastColumn="0" w:oddVBand="0" w:evenVBand="0" w:oddHBand="1" w:evenHBand="0" w:firstRowFirstColumn="0" w:firstRowLastColumn="0" w:lastRowFirstColumn="0" w:lastRowLastColumn="0"/>
              <w:rPr>
                <w:rFonts w:cs="Arial"/>
              </w:rPr>
            </w:pPr>
            <w:r>
              <w:t>A l</w:t>
            </w:r>
            <w:r w:rsidRPr="008526FC">
              <w:t xml:space="preserve">arge range of onsite imaging services </w:t>
            </w:r>
            <w:r>
              <w:t xml:space="preserve">are </w:t>
            </w:r>
            <w:r w:rsidRPr="008526FC">
              <w:t xml:space="preserve">available </w:t>
            </w:r>
            <w:r>
              <w:t xml:space="preserve">for </w:t>
            </w:r>
            <w:r w:rsidRPr="008526FC">
              <w:t>extended hours.</w:t>
            </w:r>
          </w:p>
        </w:tc>
      </w:tr>
      <w:tr w:rsidR="00281C2F" w:rsidRPr="00A63ED1" w14:paraId="5662D0C5" w14:textId="77777777" w:rsidTr="00E449CC">
        <w:trPr>
          <w:trHeight w:val="416"/>
        </w:trPr>
        <w:tc>
          <w:tcPr>
            <w:cnfStyle w:val="001000000000" w:firstRow="0" w:lastRow="0" w:firstColumn="1" w:lastColumn="0" w:oddVBand="0" w:evenVBand="0" w:oddHBand="0" w:evenHBand="0" w:firstRowFirstColumn="0" w:firstRowLastColumn="0" w:lastRowFirstColumn="0" w:lastRowLastColumn="0"/>
            <w:tcW w:w="2405" w:type="dxa"/>
          </w:tcPr>
          <w:p w14:paraId="5ED54830" w14:textId="77777777" w:rsidR="00281C2F" w:rsidRPr="00C230C8" w:rsidRDefault="00281C2F" w:rsidP="009A032D">
            <w:pPr>
              <w:pStyle w:val="Tabletext"/>
              <w:rPr>
                <w:b w:val="0"/>
                <w:bCs w:val="0"/>
              </w:rPr>
            </w:pPr>
            <w:r w:rsidRPr="00C230C8">
              <w:t>Medical specialties</w:t>
            </w:r>
          </w:p>
        </w:tc>
        <w:tc>
          <w:tcPr>
            <w:tcW w:w="7229" w:type="dxa"/>
          </w:tcPr>
          <w:p w14:paraId="373F3A8C" w14:textId="77777777" w:rsidR="00281C2F" w:rsidRPr="00C230C8"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M</w:t>
            </w:r>
            <w:r w:rsidRPr="00C230C8">
              <w:t xml:space="preserve">edical specialists or equivalent, credentialed at the health service, </w:t>
            </w:r>
            <w:r>
              <w:t xml:space="preserve">are </w:t>
            </w:r>
            <w:r w:rsidRPr="00C230C8">
              <w:t>available 24/7</w:t>
            </w:r>
            <w:r>
              <w:t xml:space="preserve"> for</w:t>
            </w:r>
            <w:r w:rsidRPr="00C230C8">
              <w:t>:</w:t>
            </w:r>
          </w:p>
          <w:p w14:paraId="0FB5CFEC" w14:textId="77777777" w:rsidR="00281C2F" w:rsidRPr="00C230C8"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37488AAE">
              <w:t>dermatology</w:t>
            </w:r>
          </w:p>
          <w:p w14:paraId="4CF65A04" w14:textId="77777777" w:rsidR="00281C2F" w:rsidRPr="00C230C8"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37488AAE">
              <w:t>oncology</w:t>
            </w:r>
          </w:p>
          <w:p w14:paraId="21E817A8" w14:textId="77777777" w:rsidR="00281C2F" w:rsidRPr="00C230C8"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37488AAE">
              <w:t>respiratory medicine</w:t>
            </w:r>
          </w:p>
          <w:p w14:paraId="5FE05774" w14:textId="77777777" w:rsidR="00281C2F" w:rsidRPr="00C230C8"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37488AAE">
              <w:t>cardiology</w:t>
            </w:r>
          </w:p>
          <w:p w14:paraId="3C87EBA9" w14:textId="77777777" w:rsidR="00281C2F" w:rsidRPr="00C230C8"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37488AAE">
              <w:t>gastroenterology</w:t>
            </w:r>
          </w:p>
          <w:p w14:paraId="45688929" w14:textId="77777777" w:rsidR="00281C2F" w:rsidRPr="00C230C8"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37488AAE">
              <w:t xml:space="preserve">neurology </w:t>
            </w:r>
          </w:p>
        </w:tc>
      </w:tr>
      <w:tr w:rsidR="00281C2F" w:rsidRPr="00A63ED1" w14:paraId="10D8718E" w14:textId="77777777" w:rsidTr="00E44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27EFFE78" w14:textId="77777777" w:rsidR="00281C2F" w:rsidRPr="00C230C8" w:rsidRDefault="00281C2F" w:rsidP="009A032D">
            <w:pPr>
              <w:pStyle w:val="Tabletext"/>
              <w:rPr>
                <w:b w:val="0"/>
                <w:bCs w:val="0"/>
              </w:rPr>
            </w:pPr>
            <w:r w:rsidRPr="00C230C8">
              <w:rPr>
                <w:rFonts w:eastAsia="MS Mincho"/>
              </w:rPr>
              <w:t xml:space="preserve">Pathology and blood/blood products </w:t>
            </w:r>
          </w:p>
        </w:tc>
        <w:tc>
          <w:tcPr>
            <w:tcW w:w="7229" w:type="dxa"/>
            <w:shd w:val="clear" w:color="auto" w:fill="DBE5F1" w:themeFill="accent1" w:themeFillTint="33"/>
          </w:tcPr>
          <w:p w14:paraId="3D020076" w14:textId="77777777" w:rsidR="00281C2F" w:rsidRPr="00C230C8"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C230C8">
              <w:t xml:space="preserve">As for </w:t>
            </w:r>
            <w:r>
              <w:t>L</w:t>
            </w:r>
            <w:r w:rsidRPr="00C230C8">
              <w:t>evel 4.</w:t>
            </w:r>
            <w:r w:rsidRPr="00C230C8">
              <w:rPr>
                <w:rFonts w:eastAsia="Calibri"/>
              </w:rPr>
              <w:t xml:space="preserve"> </w:t>
            </w:r>
          </w:p>
        </w:tc>
      </w:tr>
      <w:tr w:rsidR="00281C2F" w:rsidRPr="00A63ED1" w14:paraId="0347807C" w14:textId="77777777" w:rsidTr="00E449CC">
        <w:tc>
          <w:tcPr>
            <w:cnfStyle w:val="001000000000" w:firstRow="0" w:lastRow="0" w:firstColumn="1" w:lastColumn="0" w:oddVBand="0" w:evenVBand="0" w:oddHBand="0" w:evenHBand="0" w:firstRowFirstColumn="0" w:firstRowLastColumn="0" w:lastRowFirstColumn="0" w:lastRowLastColumn="0"/>
            <w:tcW w:w="2405" w:type="dxa"/>
          </w:tcPr>
          <w:p w14:paraId="5A892163" w14:textId="77777777" w:rsidR="00281C2F" w:rsidRPr="0059620D" w:rsidRDefault="00281C2F" w:rsidP="009A032D">
            <w:pPr>
              <w:pStyle w:val="Tabletext"/>
              <w:rPr>
                <w:rFonts w:eastAsia="MS Mincho"/>
                <w:b w:val="0"/>
                <w:bCs w:val="0"/>
                <w:highlight w:val="yellow"/>
              </w:rPr>
            </w:pPr>
            <w:r w:rsidRPr="00522043">
              <w:t>Pain management</w:t>
            </w:r>
          </w:p>
        </w:tc>
        <w:tc>
          <w:tcPr>
            <w:tcW w:w="7229" w:type="dxa"/>
          </w:tcPr>
          <w:p w14:paraId="59D2B3C5" w14:textId="77777777" w:rsidR="00281C2F" w:rsidRPr="0007053C"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07053C">
              <w:t xml:space="preserve">Onsite, multidisciplinary, comprehensive acute management services </w:t>
            </w:r>
            <w:r>
              <w:t xml:space="preserve">are </w:t>
            </w:r>
            <w:r w:rsidRPr="0007053C">
              <w:t xml:space="preserve">available during </w:t>
            </w:r>
            <w:r>
              <w:t>standard</w:t>
            </w:r>
            <w:r w:rsidRPr="0007053C">
              <w:t xml:space="preserve"> hours.</w:t>
            </w:r>
          </w:p>
        </w:tc>
      </w:tr>
      <w:tr w:rsidR="00281C2F" w:rsidRPr="00A63ED1" w14:paraId="72089932" w14:textId="77777777" w:rsidTr="00E44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6918C872" w14:textId="77777777" w:rsidR="00281C2F" w:rsidRPr="0059620D" w:rsidRDefault="00281C2F" w:rsidP="009A032D">
            <w:pPr>
              <w:pStyle w:val="Tabletext"/>
              <w:rPr>
                <w:b w:val="0"/>
                <w:bCs w:val="0"/>
              </w:rPr>
            </w:pPr>
            <w:r w:rsidRPr="0059620D">
              <w:rPr>
                <w:rFonts w:eastAsia="MS Mincho"/>
              </w:rPr>
              <w:t>Pharmacy and medicines management</w:t>
            </w:r>
          </w:p>
        </w:tc>
        <w:tc>
          <w:tcPr>
            <w:tcW w:w="7229" w:type="dxa"/>
            <w:shd w:val="clear" w:color="auto" w:fill="DBE5F1" w:themeFill="accent1" w:themeFillTint="33"/>
          </w:tcPr>
          <w:p w14:paraId="76CEAE7B" w14:textId="77777777" w:rsidR="00281C2F" w:rsidRPr="0059620D" w:rsidRDefault="00281C2F" w:rsidP="009A032D">
            <w:pPr>
              <w:pStyle w:val="Tabletext"/>
              <w:cnfStyle w:val="000000100000" w:firstRow="0" w:lastRow="0" w:firstColumn="0" w:lastColumn="0" w:oddVBand="0" w:evenVBand="0" w:oddHBand="1" w:evenHBand="0" w:firstRowFirstColumn="0" w:firstRowLastColumn="0" w:lastRowFirstColumn="0" w:lastRowLastColumn="0"/>
              <w:rPr>
                <w:rFonts w:cs="Arial"/>
              </w:rPr>
            </w:pPr>
            <w:r>
              <w:t>An o</w:t>
            </w:r>
            <w:r w:rsidRPr="003D1A53">
              <w:t xml:space="preserve">nsite pharmacy service that provides clinical pharmacy, medicines information, clinical trial support, hospital-wide medication management services, medicines procurement, sterile compounding, dispensing and distribution services </w:t>
            </w:r>
            <w:r>
              <w:t xml:space="preserve">is </w:t>
            </w:r>
            <w:r w:rsidRPr="003D1A53">
              <w:t xml:space="preserve">available </w:t>
            </w:r>
            <w:r>
              <w:t>7</w:t>
            </w:r>
            <w:r w:rsidRPr="003D1A53">
              <w:t xml:space="preserve"> days a week during standard hours and accessible 24/7.</w:t>
            </w:r>
          </w:p>
        </w:tc>
      </w:tr>
      <w:tr w:rsidR="00281C2F" w:rsidRPr="00A63ED1" w14:paraId="480B362A" w14:textId="77777777" w:rsidTr="00E449CC">
        <w:tc>
          <w:tcPr>
            <w:cnfStyle w:val="001000000000" w:firstRow="0" w:lastRow="0" w:firstColumn="1" w:lastColumn="0" w:oddVBand="0" w:evenVBand="0" w:oddHBand="0" w:evenHBand="0" w:firstRowFirstColumn="0" w:firstRowLastColumn="0" w:lastRowFirstColumn="0" w:lastRowLastColumn="0"/>
            <w:tcW w:w="2405" w:type="dxa"/>
          </w:tcPr>
          <w:p w14:paraId="4EE9FE63" w14:textId="77777777" w:rsidR="00281C2F" w:rsidRPr="0059620D" w:rsidRDefault="00281C2F" w:rsidP="009A032D">
            <w:pPr>
              <w:pStyle w:val="Tabletext"/>
              <w:rPr>
                <w:rFonts w:eastAsia="MS Mincho"/>
                <w:b w:val="0"/>
                <w:bCs w:val="0"/>
              </w:rPr>
            </w:pPr>
            <w:r>
              <w:rPr>
                <w:rFonts w:eastAsia="MS Mincho"/>
              </w:rPr>
              <w:t>Pre-admission services</w:t>
            </w:r>
          </w:p>
        </w:tc>
        <w:tc>
          <w:tcPr>
            <w:tcW w:w="7229" w:type="dxa"/>
          </w:tcPr>
          <w:p w14:paraId="01D0F31C" w14:textId="77777777" w:rsidR="00281C2F" w:rsidRPr="0059620D"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As for Level 4.</w:t>
            </w:r>
          </w:p>
        </w:tc>
      </w:tr>
      <w:tr w:rsidR="00281C2F" w:rsidRPr="00A63ED1" w14:paraId="34670CF7" w14:textId="77777777" w:rsidTr="00E44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7129BD8D" w14:textId="77777777" w:rsidR="00281C2F" w:rsidRPr="0059620D" w:rsidRDefault="00281C2F" w:rsidP="009A032D">
            <w:pPr>
              <w:pStyle w:val="Tabletext"/>
              <w:rPr>
                <w:rFonts w:eastAsia="MS Mincho"/>
                <w:b w:val="0"/>
                <w:bCs w:val="0"/>
              </w:rPr>
            </w:pPr>
            <w:r w:rsidRPr="0059620D">
              <w:rPr>
                <w:rFonts w:eastAsia="MS Mincho"/>
              </w:rPr>
              <w:t>Sociocultural support</w:t>
            </w:r>
          </w:p>
        </w:tc>
        <w:tc>
          <w:tcPr>
            <w:tcW w:w="7229" w:type="dxa"/>
            <w:shd w:val="clear" w:color="auto" w:fill="DBE5F1" w:themeFill="accent1" w:themeFillTint="33"/>
          </w:tcPr>
          <w:p w14:paraId="6959C853" w14:textId="77777777" w:rsidR="00281C2F" w:rsidRPr="0059620D" w:rsidRDefault="00281C2F" w:rsidP="009A032D">
            <w:pPr>
              <w:pStyle w:val="Tabletext"/>
              <w:cnfStyle w:val="000000100000" w:firstRow="0" w:lastRow="0" w:firstColumn="0" w:lastColumn="0" w:oddVBand="0" w:evenVBand="0" w:oddHBand="1" w:evenHBand="0" w:firstRowFirstColumn="0" w:firstRowLastColumn="0" w:lastRowFirstColumn="0" w:lastRowLastColumn="0"/>
              <w:rPr>
                <w:rFonts w:cs="Arial"/>
              </w:rPr>
            </w:pPr>
            <w:r w:rsidRPr="007809A2">
              <w:t>Protocols</w:t>
            </w:r>
            <w:r>
              <w:t xml:space="preserve"> are</w:t>
            </w:r>
            <w:r w:rsidRPr="007809A2">
              <w:t xml:space="preserve"> in place to support care for people with disability, multicultural communities and LGBTIQ+ patients</w:t>
            </w:r>
            <w:r>
              <w:t>.</w:t>
            </w:r>
          </w:p>
        </w:tc>
      </w:tr>
    </w:tbl>
    <w:p w14:paraId="70694063" w14:textId="77777777" w:rsidR="00281C2F" w:rsidRDefault="00281C2F" w:rsidP="00281C2F">
      <w:pPr>
        <w:pStyle w:val="Heading3"/>
      </w:pPr>
      <w:r w:rsidRPr="0058461A">
        <w:t>Equipment and infrastructure</w:t>
      </w:r>
    </w:p>
    <w:p w14:paraId="10D7FBF2" w14:textId="5B8ABE45" w:rsidR="00281C2F" w:rsidRDefault="0022729A" w:rsidP="00281C2F">
      <w:pPr>
        <w:pStyle w:val="Body"/>
      </w:pPr>
      <w:r>
        <w:t xml:space="preserve">This section </w:t>
      </w:r>
      <w:r w:rsidR="00281C2F">
        <w:t xml:space="preserve">outlines the requirements for equipment and infrastructure in Level 4 perioperative services that are in addition to </w:t>
      </w:r>
      <w:r>
        <w:t>Levels 1–4</w:t>
      </w:r>
      <w:r w:rsidR="00281C2F">
        <w:t xml:space="preserve"> </w:t>
      </w:r>
      <w:r w:rsidR="00A277F2">
        <w:t>requirements</w:t>
      </w:r>
      <w:r w:rsidR="00281C2F">
        <w:t>.</w:t>
      </w:r>
    </w:p>
    <w:tbl>
      <w:tblPr>
        <w:tblStyle w:val="GridTable4-Accent6"/>
        <w:tblW w:w="9634" w:type="dxa"/>
        <w:tblBorders>
          <w:top w:val="none" w:sz="0" w:space="0" w:color="auto"/>
          <w:left w:val="none" w:sz="0" w:space="0" w:color="auto"/>
          <w:bottom w:val="single" w:sz="4" w:space="0" w:color="201547"/>
          <w:right w:val="none" w:sz="0" w:space="0" w:color="auto"/>
          <w:insideH w:val="none" w:sz="0" w:space="0" w:color="auto"/>
          <w:insideV w:val="single" w:sz="4" w:space="0" w:color="201547"/>
        </w:tblBorders>
        <w:tblLook w:val="04A0" w:firstRow="1" w:lastRow="0" w:firstColumn="1" w:lastColumn="0" w:noHBand="0" w:noVBand="1"/>
      </w:tblPr>
      <w:tblGrid>
        <w:gridCol w:w="2405"/>
        <w:gridCol w:w="7229"/>
      </w:tblGrid>
      <w:tr w:rsidR="002C03B7" w:rsidRPr="002C03B7" w14:paraId="27EF91DC" w14:textId="77777777" w:rsidTr="00E449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201547"/>
          </w:tcPr>
          <w:p w14:paraId="34AECDC6" w14:textId="7778CFDB" w:rsidR="00281C2F" w:rsidRPr="002C03B7" w:rsidRDefault="00281C2F" w:rsidP="009A032D">
            <w:pPr>
              <w:pStyle w:val="Tablecolhead"/>
              <w:rPr>
                <w:b/>
                <w:bCs w:val="0"/>
                <w:color w:val="FFFFFF" w:themeColor="background1"/>
              </w:rPr>
            </w:pPr>
            <w:r w:rsidRPr="002C03B7">
              <w:rPr>
                <w:b/>
                <w:bCs w:val="0"/>
                <w:color w:val="FFFFFF" w:themeColor="background1"/>
              </w:rPr>
              <w:t xml:space="preserve">Level 5 service </w:t>
            </w:r>
          </w:p>
        </w:tc>
        <w:tc>
          <w:tcPr>
            <w:tcW w:w="7229" w:type="dxa"/>
            <w:shd w:val="clear" w:color="auto" w:fill="201547"/>
          </w:tcPr>
          <w:p w14:paraId="3119055D" w14:textId="77777777" w:rsidR="00281C2F" w:rsidRPr="002C03B7" w:rsidRDefault="00281C2F" w:rsidP="009A032D">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C03B7">
              <w:rPr>
                <w:b/>
                <w:bCs w:val="0"/>
                <w:color w:val="FFFFFF" w:themeColor="background1"/>
              </w:rPr>
              <w:t>Requirements</w:t>
            </w:r>
          </w:p>
        </w:tc>
      </w:tr>
      <w:tr w:rsidR="00281C2F" w14:paraId="3EA79900" w14:textId="77777777" w:rsidTr="00E44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2CBB6CEE" w14:textId="77777777" w:rsidR="00281C2F" w:rsidRDefault="00281C2F" w:rsidP="009A032D">
            <w:pPr>
              <w:pStyle w:val="Tabletext"/>
            </w:pPr>
            <w:r>
              <w:t>Equipment</w:t>
            </w:r>
          </w:p>
        </w:tc>
        <w:tc>
          <w:tcPr>
            <w:tcW w:w="7229" w:type="dxa"/>
            <w:shd w:val="clear" w:color="auto" w:fill="DBE5F1" w:themeFill="accent1" w:themeFillTint="33"/>
          </w:tcPr>
          <w:p w14:paraId="2D4EAF4B"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As for Level 3.</w:t>
            </w:r>
          </w:p>
        </w:tc>
      </w:tr>
      <w:tr w:rsidR="00281C2F" w14:paraId="547F4FCC" w14:textId="77777777" w:rsidTr="00E449CC">
        <w:tc>
          <w:tcPr>
            <w:cnfStyle w:val="001000000000" w:firstRow="0" w:lastRow="0" w:firstColumn="1" w:lastColumn="0" w:oddVBand="0" w:evenVBand="0" w:oddHBand="0" w:evenHBand="0" w:firstRowFirstColumn="0" w:firstRowLastColumn="0" w:lastRowFirstColumn="0" w:lastRowLastColumn="0"/>
            <w:tcW w:w="2405" w:type="dxa"/>
          </w:tcPr>
          <w:p w14:paraId="3EA57D27" w14:textId="77777777" w:rsidR="00281C2F" w:rsidRDefault="00281C2F" w:rsidP="009A032D">
            <w:pPr>
              <w:pStyle w:val="Tabletext"/>
            </w:pPr>
            <w:r>
              <w:t>Environmental services</w:t>
            </w:r>
          </w:p>
        </w:tc>
        <w:tc>
          <w:tcPr>
            <w:tcW w:w="7229" w:type="dxa"/>
          </w:tcPr>
          <w:p w14:paraId="6DBF0713"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As for Level 2.</w:t>
            </w:r>
          </w:p>
        </w:tc>
      </w:tr>
      <w:tr w:rsidR="00281C2F" w14:paraId="7237E8BD" w14:textId="77777777" w:rsidTr="00E44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33253487" w14:textId="77777777" w:rsidR="00281C2F" w:rsidRDefault="00281C2F" w:rsidP="009A032D">
            <w:pPr>
              <w:pStyle w:val="Tabletext"/>
            </w:pPr>
            <w:r>
              <w:t>Procedure rooms/ theatre/recovery</w:t>
            </w:r>
          </w:p>
        </w:tc>
        <w:tc>
          <w:tcPr>
            <w:tcW w:w="7229" w:type="dxa"/>
            <w:shd w:val="clear" w:color="auto" w:fill="DBE5F1" w:themeFill="accent1" w:themeFillTint="33"/>
          </w:tcPr>
          <w:p w14:paraId="355CFCB4"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 xml:space="preserve">Emergency theatre suites are available during extended standard hours, with on-call access </w:t>
            </w:r>
            <w:proofErr w:type="spellStart"/>
            <w:r>
              <w:t>after hours</w:t>
            </w:r>
            <w:proofErr w:type="spellEnd"/>
            <w:r>
              <w:t>.</w:t>
            </w:r>
          </w:p>
          <w:p w14:paraId="4B57612D"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Paediatric services – as for Level 4.</w:t>
            </w:r>
          </w:p>
        </w:tc>
      </w:tr>
    </w:tbl>
    <w:p w14:paraId="65E8A25A" w14:textId="77777777" w:rsidR="00281C2F" w:rsidRDefault="00281C2F" w:rsidP="00281C2F">
      <w:pPr>
        <w:spacing w:after="200" w:line="276" w:lineRule="auto"/>
        <w:rPr>
          <w:rFonts w:eastAsia="Times" w:cs="Arial"/>
          <w:bCs/>
          <w:color w:val="201547"/>
          <w:kern w:val="32"/>
          <w:sz w:val="36"/>
          <w:szCs w:val="36"/>
        </w:rPr>
      </w:pPr>
      <w:r>
        <w:rPr>
          <w:rFonts w:eastAsia="Times"/>
          <w:sz w:val="36"/>
          <w:szCs w:val="36"/>
        </w:rPr>
        <w:br w:type="page"/>
      </w:r>
    </w:p>
    <w:p w14:paraId="28A9551A" w14:textId="77777777" w:rsidR="00281C2F" w:rsidRPr="007C5E39" w:rsidRDefault="00281C2F" w:rsidP="00281C2F">
      <w:pPr>
        <w:pStyle w:val="Heading2"/>
        <w:rPr>
          <w:rFonts w:eastAsia="Times"/>
        </w:rPr>
      </w:pPr>
      <w:bookmarkStart w:id="53" w:name="_Toc148718459"/>
      <w:bookmarkStart w:id="54" w:name="_Toc153792520"/>
      <w:r w:rsidRPr="007C5E39">
        <w:rPr>
          <w:rFonts w:eastAsia="Times"/>
        </w:rPr>
        <w:t xml:space="preserve">Level 6 </w:t>
      </w:r>
      <w:r>
        <w:rPr>
          <w:rFonts w:eastAsia="Times"/>
        </w:rPr>
        <w:t>p</w:t>
      </w:r>
      <w:r w:rsidRPr="007C5E39">
        <w:rPr>
          <w:rFonts w:eastAsia="Times"/>
        </w:rPr>
        <w:t xml:space="preserve">erioperative </w:t>
      </w:r>
      <w:r>
        <w:rPr>
          <w:rFonts w:eastAsia="Times"/>
        </w:rPr>
        <w:t>s</w:t>
      </w:r>
      <w:r w:rsidRPr="007C5E39">
        <w:rPr>
          <w:rFonts w:eastAsia="Times"/>
        </w:rPr>
        <w:t>ervice</w:t>
      </w:r>
      <w:r>
        <w:rPr>
          <w:rFonts w:eastAsia="Times"/>
        </w:rPr>
        <w:t>s</w:t>
      </w:r>
      <w:bookmarkEnd w:id="53"/>
      <w:bookmarkEnd w:id="54"/>
    </w:p>
    <w:p w14:paraId="2B5E8029" w14:textId="77777777" w:rsidR="00A70EFC" w:rsidRDefault="00A70EFC" w:rsidP="00A70EFC">
      <w:pPr>
        <w:pStyle w:val="Heading3"/>
      </w:pPr>
      <w:r>
        <w:t>Service description</w:t>
      </w:r>
    </w:p>
    <w:p w14:paraId="03328A56" w14:textId="3507F4A8" w:rsidR="00281C2F" w:rsidRPr="001A5357" w:rsidRDefault="00281C2F" w:rsidP="00281C2F">
      <w:pPr>
        <w:pStyle w:val="Body"/>
      </w:pPr>
      <w:r w:rsidRPr="001A5357">
        <w:t xml:space="preserve">Level 6 perioperative services include </w:t>
      </w:r>
      <w:r>
        <w:t xml:space="preserve">all </w:t>
      </w:r>
      <w:r w:rsidRPr="001A5357">
        <w:t xml:space="preserve">the roles and responsibilities in </w:t>
      </w:r>
      <w:r w:rsidR="00710B90" w:rsidRPr="009E3C8C">
        <w:t>L</w:t>
      </w:r>
      <w:r w:rsidRPr="009E3C8C">
        <w:t>evels 1–5</w:t>
      </w:r>
      <w:r w:rsidRPr="001A5357">
        <w:t xml:space="preserve">, with additional requirements outlined </w:t>
      </w:r>
      <w:r w:rsidR="009E3C8C">
        <w:t>below</w:t>
      </w:r>
      <w:r w:rsidRPr="001A5357">
        <w:t>.</w:t>
      </w:r>
    </w:p>
    <w:tbl>
      <w:tblPr>
        <w:tblStyle w:val="GridTable4-Accent6"/>
        <w:tblW w:w="9370" w:type="dxa"/>
        <w:tblBorders>
          <w:top w:val="none" w:sz="0" w:space="0" w:color="auto"/>
          <w:left w:val="none" w:sz="0" w:space="0" w:color="auto"/>
          <w:bottom w:val="single" w:sz="4" w:space="0" w:color="201547"/>
          <w:right w:val="none" w:sz="0" w:space="0" w:color="auto"/>
          <w:insideH w:val="none" w:sz="0" w:space="0" w:color="auto"/>
          <w:insideV w:val="single" w:sz="4" w:space="0" w:color="201547"/>
        </w:tblBorders>
        <w:tblLook w:val="04A0" w:firstRow="1" w:lastRow="0" w:firstColumn="1" w:lastColumn="0" w:noHBand="0" w:noVBand="1"/>
      </w:tblPr>
      <w:tblGrid>
        <w:gridCol w:w="2372"/>
        <w:gridCol w:w="6998"/>
      </w:tblGrid>
      <w:tr w:rsidR="0016155A" w:rsidRPr="0016155A" w14:paraId="0E22827B" w14:textId="77777777" w:rsidTr="00E449C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2" w:type="dxa"/>
            <w:shd w:val="clear" w:color="auto" w:fill="201547"/>
          </w:tcPr>
          <w:p w14:paraId="05CA193B" w14:textId="67F34D76" w:rsidR="00281C2F" w:rsidRPr="0016155A" w:rsidRDefault="00281C2F" w:rsidP="0016155A">
            <w:pPr>
              <w:pStyle w:val="Tablecolhead"/>
              <w:rPr>
                <w:b/>
                <w:bCs w:val="0"/>
                <w:color w:val="FFFFFF" w:themeColor="background1"/>
              </w:rPr>
            </w:pPr>
            <w:r w:rsidRPr="0016155A">
              <w:rPr>
                <w:b/>
                <w:bCs w:val="0"/>
                <w:color w:val="FFFFFF" w:themeColor="background1"/>
              </w:rPr>
              <w:t xml:space="preserve">Level 6 service </w:t>
            </w:r>
          </w:p>
        </w:tc>
        <w:tc>
          <w:tcPr>
            <w:tcW w:w="6998" w:type="dxa"/>
            <w:shd w:val="clear" w:color="auto" w:fill="201547"/>
          </w:tcPr>
          <w:p w14:paraId="3536B09F" w14:textId="385EEC55" w:rsidR="00281C2F" w:rsidRPr="0016155A" w:rsidRDefault="00A70EFC" w:rsidP="0016155A">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Description</w:t>
            </w:r>
          </w:p>
        </w:tc>
      </w:tr>
      <w:tr w:rsidR="00281C2F" w:rsidRPr="001F0BAF" w14:paraId="3F4340C7" w14:textId="77777777" w:rsidTr="00E44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shd w:val="clear" w:color="auto" w:fill="DBE5F1" w:themeFill="accent1" w:themeFillTint="33"/>
          </w:tcPr>
          <w:p w14:paraId="5CF45D6F" w14:textId="77777777" w:rsidR="00281C2F" w:rsidRPr="00522043" w:rsidRDefault="00281C2F" w:rsidP="009A032D">
            <w:pPr>
              <w:pStyle w:val="Tabletext"/>
              <w:rPr>
                <w:b w:val="0"/>
                <w:bCs w:val="0"/>
              </w:rPr>
            </w:pPr>
            <w:r w:rsidRPr="00522043">
              <w:t xml:space="preserve">Complexity of care </w:t>
            </w:r>
          </w:p>
        </w:tc>
        <w:tc>
          <w:tcPr>
            <w:tcW w:w="6998" w:type="dxa"/>
            <w:shd w:val="clear" w:color="auto" w:fill="DBE5F1" w:themeFill="accent1" w:themeFillTint="33"/>
          </w:tcPr>
          <w:p w14:paraId="25B1405F" w14:textId="77777777" w:rsidR="00281C2F" w:rsidRPr="007D6C82"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7D6C82">
              <w:t>A</w:t>
            </w:r>
            <w:r>
              <w:t xml:space="preserve"> L</w:t>
            </w:r>
            <w:r w:rsidRPr="007D6C82">
              <w:t xml:space="preserve">evel </w:t>
            </w:r>
            <w:r>
              <w:t>6</w:t>
            </w:r>
            <w:r w:rsidRPr="007D6C82">
              <w:t xml:space="preserve"> service</w:t>
            </w:r>
            <w:r>
              <w:t xml:space="preserve"> provides</w:t>
            </w:r>
            <w:r w:rsidRPr="007D6C82">
              <w:t xml:space="preserve">: </w:t>
            </w:r>
          </w:p>
          <w:p w14:paraId="1BFF3636" w14:textId="77777777" w:rsidR="00281C2F" w:rsidRPr="00421635"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 xml:space="preserve">the </w:t>
            </w:r>
            <w:r w:rsidRPr="005F4469">
              <w:t>high</w:t>
            </w:r>
            <w:r>
              <w:t xml:space="preserve">est </w:t>
            </w:r>
            <w:r w:rsidRPr="005F4469">
              <w:t xml:space="preserve">complexity procedures </w:t>
            </w:r>
            <w:r w:rsidRPr="37488AAE">
              <w:t>for specialties relevant to the services offered at that site</w:t>
            </w:r>
          </w:p>
          <w:p w14:paraId="28CF63DA" w14:textId="77777777" w:rsidR="00281C2F" w:rsidRPr="004323BA"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923F30">
              <w:t>anaesthetic care</w:t>
            </w:r>
            <w:r w:rsidRPr="37488AAE">
              <w:t xml:space="preserve"> </w:t>
            </w:r>
            <w:r>
              <w:t xml:space="preserve">for the </w:t>
            </w:r>
            <w:r w:rsidRPr="005F4469">
              <w:t>high</w:t>
            </w:r>
            <w:r>
              <w:t xml:space="preserve">est </w:t>
            </w:r>
            <w:r w:rsidRPr="005F4469">
              <w:t>complexity procedures</w:t>
            </w:r>
            <w:r>
              <w:t xml:space="preserve"> for</w:t>
            </w:r>
            <w:r w:rsidRPr="37488AAE">
              <w:t xml:space="preserve"> adult patients who are of </w:t>
            </w:r>
            <w:r>
              <w:t xml:space="preserve">the </w:t>
            </w:r>
            <w:r w:rsidRPr="37488AAE">
              <w:t>high</w:t>
            </w:r>
            <w:r>
              <w:t>est</w:t>
            </w:r>
            <w:r w:rsidRPr="37488AAE">
              <w:t xml:space="preserve"> perioperative risk</w:t>
            </w:r>
          </w:p>
          <w:p w14:paraId="37365872" w14:textId="77777777" w:rsidR="00281C2F" w:rsidRPr="00851ABA"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37488AAE">
              <w:t xml:space="preserve">perioperative services for </w:t>
            </w:r>
            <w:r>
              <w:t xml:space="preserve">all </w:t>
            </w:r>
            <w:r w:rsidRPr="37488AAE">
              <w:t xml:space="preserve">patients with complex medical needs </w:t>
            </w:r>
            <w:r>
              <w:t>who</w:t>
            </w:r>
            <w:r w:rsidRPr="37488AAE">
              <w:t xml:space="preserve"> require specialist interdisciplinary care </w:t>
            </w:r>
          </w:p>
          <w:p w14:paraId="3AEBD45F" w14:textId="77777777" w:rsidR="00281C2F" w:rsidRPr="00851ABA"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for p</w:t>
            </w:r>
            <w:r w:rsidRPr="00851ABA">
              <w:t>aediatric services</w:t>
            </w:r>
            <w:r>
              <w:t>:</w:t>
            </w:r>
          </w:p>
          <w:p w14:paraId="043F1AE1" w14:textId="77777777" w:rsidR="00281C2F" w:rsidRPr="00851ABA" w:rsidRDefault="00281C2F" w:rsidP="0073249D">
            <w:pPr>
              <w:pStyle w:val="Tablebullet2"/>
              <w:numPr>
                <w:ilvl w:val="1"/>
                <w:numId w:val="4"/>
              </w:numPr>
              <w:ind w:left="454" w:hanging="227"/>
              <w:cnfStyle w:val="000000100000" w:firstRow="0" w:lastRow="0" w:firstColumn="0" w:lastColumn="0" w:oddVBand="0" w:evenVBand="0" w:oddHBand="1" w:evenHBand="0" w:firstRowFirstColumn="0" w:firstRowLastColumn="0" w:lastRowFirstColumn="0" w:lastRowLastColumn="0"/>
            </w:pPr>
            <w:r>
              <w:t>h</w:t>
            </w:r>
            <w:r w:rsidRPr="00851ABA">
              <w:t>ighest complexity procedures across all specialties</w:t>
            </w:r>
          </w:p>
          <w:p w14:paraId="03F6DF77" w14:textId="77777777" w:rsidR="00281C2F" w:rsidRPr="00851ABA" w:rsidRDefault="00281C2F" w:rsidP="0073249D">
            <w:pPr>
              <w:pStyle w:val="Tablebullet2"/>
              <w:numPr>
                <w:ilvl w:val="1"/>
                <w:numId w:val="4"/>
              </w:numPr>
              <w:ind w:left="454" w:hanging="227"/>
              <w:cnfStyle w:val="000000100000" w:firstRow="0" w:lastRow="0" w:firstColumn="0" w:lastColumn="0" w:oddVBand="0" w:evenVBand="0" w:oddHBand="1" w:evenHBand="0" w:firstRowFirstColumn="0" w:firstRowLastColumn="0" w:lastRowFirstColumn="0" w:lastRowLastColumn="0"/>
            </w:pPr>
            <w:r>
              <w:t>h</w:t>
            </w:r>
            <w:r w:rsidRPr="00851ABA">
              <w:t>ighest anaesthetic complexity</w:t>
            </w:r>
          </w:p>
          <w:p w14:paraId="30E794C6" w14:textId="77777777" w:rsidR="00281C2F" w:rsidRPr="00851ABA" w:rsidRDefault="00281C2F" w:rsidP="0073249D">
            <w:pPr>
              <w:pStyle w:val="Tablebullet2"/>
              <w:numPr>
                <w:ilvl w:val="1"/>
                <w:numId w:val="4"/>
              </w:numPr>
              <w:ind w:left="454" w:hanging="227"/>
              <w:cnfStyle w:val="000000100000" w:firstRow="0" w:lastRow="0" w:firstColumn="0" w:lastColumn="0" w:oddVBand="0" w:evenVBand="0" w:oddHBand="1" w:evenHBand="0" w:firstRowFirstColumn="0" w:firstRowLastColumn="0" w:lastRowFirstColumn="0" w:lastRowLastColumn="0"/>
            </w:pPr>
            <w:r>
              <w:t>h</w:t>
            </w:r>
            <w:r w:rsidRPr="00851ABA">
              <w:t xml:space="preserve">ighest complexity </w:t>
            </w:r>
            <w:r>
              <w:t xml:space="preserve">paediatric </w:t>
            </w:r>
            <w:r w:rsidRPr="00851ABA">
              <w:t>patients of all ages.</w:t>
            </w:r>
          </w:p>
        </w:tc>
      </w:tr>
      <w:tr w:rsidR="00281C2F" w:rsidRPr="001F0BAF" w14:paraId="11CA8F9D" w14:textId="77777777" w:rsidTr="00E449CC">
        <w:tc>
          <w:tcPr>
            <w:cnfStyle w:val="001000000000" w:firstRow="0" w:lastRow="0" w:firstColumn="1" w:lastColumn="0" w:oddVBand="0" w:evenVBand="0" w:oddHBand="0" w:evenHBand="0" w:firstRowFirstColumn="0" w:firstRowLastColumn="0" w:lastRowFirstColumn="0" w:lastRowLastColumn="0"/>
            <w:tcW w:w="2372" w:type="dxa"/>
          </w:tcPr>
          <w:p w14:paraId="1218EBC3" w14:textId="77777777" w:rsidR="00281C2F" w:rsidRPr="00522043" w:rsidRDefault="00281C2F" w:rsidP="009A032D">
            <w:pPr>
              <w:pStyle w:val="Tabletext"/>
              <w:rPr>
                <w:b w:val="0"/>
                <w:bCs w:val="0"/>
              </w:rPr>
            </w:pPr>
            <w:r w:rsidRPr="00522043">
              <w:t>Procedure/surgery</w:t>
            </w:r>
          </w:p>
        </w:tc>
        <w:tc>
          <w:tcPr>
            <w:tcW w:w="6998" w:type="dxa"/>
          </w:tcPr>
          <w:p w14:paraId="611946AB" w14:textId="77777777" w:rsidR="00281C2F" w:rsidRPr="007D6C82"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7D6C82">
              <w:t>A</w:t>
            </w:r>
            <w:r>
              <w:t xml:space="preserve"> L</w:t>
            </w:r>
            <w:r w:rsidRPr="007D6C82">
              <w:t xml:space="preserve">evel </w:t>
            </w:r>
            <w:r>
              <w:t>6</w:t>
            </w:r>
            <w:r w:rsidRPr="007D6C82">
              <w:t xml:space="preserve"> service</w:t>
            </w:r>
            <w:r>
              <w:t xml:space="preserve"> provides</w:t>
            </w:r>
            <w:r w:rsidRPr="007D6C82">
              <w:t xml:space="preserve">: </w:t>
            </w:r>
          </w:p>
          <w:p w14:paraId="21B8FC1E" w14:textId="77777777" w:rsidR="00281C2F" w:rsidRPr="00422877"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rPr>
                <w:rFonts w:cs="Arial"/>
              </w:rPr>
            </w:pPr>
            <w:r w:rsidRPr="37488AAE">
              <w:t>planned and emergency surgery and procedures for a range of specialties and subspecialties (</w:t>
            </w:r>
            <w:r>
              <w:t xml:space="preserve">including </w:t>
            </w:r>
            <w:r w:rsidRPr="37488AAE">
              <w:t>neurosurgery, cardi</w:t>
            </w:r>
            <w:r>
              <w:t xml:space="preserve">ac </w:t>
            </w:r>
            <w:r w:rsidRPr="37488AAE">
              <w:t>surgery)</w:t>
            </w:r>
            <w:r>
              <w:t>,</w:t>
            </w:r>
            <w:r w:rsidRPr="37488AAE">
              <w:t xml:space="preserve"> including rare and infrequently performed procedures</w:t>
            </w:r>
          </w:p>
          <w:p w14:paraId="50ACD740" w14:textId="77777777" w:rsidR="00281C2F" w:rsidRPr="00422877"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t>for p</w:t>
            </w:r>
            <w:r w:rsidRPr="00B94BF2">
              <w:t>aediatric services</w:t>
            </w:r>
            <w:r>
              <w:t>, the h</w:t>
            </w:r>
            <w:r w:rsidRPr="00422877">
              <w:t xml:space="preserve">ighest complexity procedures across all specialties. </w:t>
            </w:r>
          </w:p>
        </w:tc>
      </w:tr>
      <w:tr w:rsidR="00281C2F" w:rsidRPr="001F0BAF" w14:paraId="532983AD" w14:textId="77777777" w:rsidTr="00E44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shd w:val="clear" w:color="auto" w:fill="DBE5F1" w:themeFill="accent1" w:themeFillTint="33"/>
          </w:tcPr>
          <w:p w14:paraId="22F439F3" w14:textId="77777777" w:rsidR="00281C2F" w:rsidRPr="00522043" w:rsidRDefault="00281C2F" w:rsidP="009A032D">
            <w:pPr>
              <w:pStyle w:val="Tabletext"/>
              <w:rPr>
                <w:b w:val="0"/>
                <w:bCs w:val="0"/>
              </w:rPr>
            </w:pPr>
            <w:r w:rsidRPr="00522043">
              <w:t>Anaesthetic complexity</w:t>
            </w:r>
          </w:p>
        </w:tc>
        <w:tc>
          <w:tcPr>
            <w:tcW w:w="6998" w:type="dxa"/>
            <w:shd w:val="clear" w:color="auto" w:fill="DBE5F1" w:themeFill="accent1" w:themeFillTint="33"/>
          </w:tcPr>
          <w:p w14:paraId="0E5FF6CC" w14:textId="77777777" w:rsidR="00281C2F" w:rsidRPr="007D6C82"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7D6C82">
              <w:t>A</w:t>
            </w:r>
            <w:r>
              <w:t xml:space="preserve"> L</w:t>
            </w:r>
            <w:r w:rsidRPr="007D6C82">
              <w:t xml:space="preserve">evel </w:t>
            </w:r>
            <w:r>
              <w:t>6</w:t>
            </w:r>
            <w:r w:rsidRPr="007D6C82">
              <w:t xml:space="preserve"> service</w:t>
            </w:r>
            <w:r>
              <w:t xml:space="preserve"> provides</w:t>
            </w:r>
            <w:r w:rsidRPr="007D6C82">
              <w:t xml:space="preserve">: </w:t>
            </w:r>
          </w:p>
          <w:p w14:paraId="128BA995" w14:textId="77777777" w:rsidR="00281C2F" w:rsidRPr="00422877"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923F30">
              <w:t>anaesthetic</w:t>
            </w:r>
            <w:r w:rsidRPr="00422877">
              <w:t xml:space="preserve"> services to support the service’s procedural caseload for all patients undergoing all procedural complexity</w:t>
            </w:r>
            <w:r>
              <w:t>,</w:t>
            </w:r>
            <w:r w:rsidRPr="00422877">
              <w:t xml:space="preserve"> and can account for risk of all intra-</w:t>
            </w:r>
            <w:r>
              <w:t xml:space="preserve"> </w:t>
            </w:r>
            <w:r w:rsidRPr="00422877">
              <w:t>and post-operative complications</w:t>
            </w:r>
          </w:p>
          <w:p w14:paraId="12F578D2" w14:textId="77777777" w:rsidR="00281C2F" w:rsidRPr="00422877"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rPr>
                <w:rFonts w:cs="Arial"/>
              </w:rPr>
            </w:pPr>
            <w:r>
              <w:t>s</w:t>
            </w:r>
            <w:r w:rsidRPr="00422877">
              <w:t>ervices for patients with the highest level of anaesthetic risk across all specialties</w:t>
            </w:r>
            <w:r>
              <w:t>,</w:t>
            </w:r>
            <w:r w:rsidRPr="00422877">
              <w:t xml:space="preserve"> in conjunction with the most complex surgical and medical presentations. These patients may have a high level of complexity or multiple comorbidities requiring specialist staff</w:t>
            </w:r>
          </w:p>
          <w:p w14:paraId="6E28D2E6" w14:textId="77777777" w:rsidR="00281C2F" w:rsidRPr="00422877"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 xml:space="preserve">a </w:t>
            </w:r>
            <w:r w:rsidRPr="00422877">
              <w:t xml:space="preserve">full complement of </w:t>
            </w:r>
            <w:r w:rsidRPr="00923F30">
              <w:t>anaesthetic</w:t>
            </w:r>
            <w:r w:rsidRPr="00422877">
              <w:t xml:space="preserve"> services to all speciality and sub</w:t>
            </w:r>
            <w:r>
              <w:t>specialty</w:t>
            </w:r>
            <w:r w:rsidRPr="00422877">
              <w:t xml:space="preserve"> patients</w:t>
            </w:r>
          </w:p>
          <w:p w14:paraId="2F2FADC1" w14:textId="77777777" w:rsidR="00281C2F" w:rsidRPr="00BA3534"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for p</w:t>
            </w:r>
            <w:r w:rsidRPr="001E2207">
              <w:t>aediatric services</w:t>
            </w:r>
            <w:r>
              <w:t>, the h</w:t>
            </w:r>
            <w:r w:rsidRPr="00BA3534">
              <w:t>ighest anaesthetic complexity</w:t>
            </w:r>
            <w:r>
              <w:t>.</w:t>
            </w:r>
          </w:p>
        </w:tc>
      </w:tr>
      <w:tr w:rsidR="00281C2F" w:rsidRPr="001F0BAF" w14:paraId="665974B6" w14:textId="77777777" w:rsidTr="00E449CC">
        <w:tc>
          <w:tcPr>
            <w:cnfStyle w:val="001000000000" w:firstRow="0" w:lastRow="0" w:firstColumn="1" w:lastColumn="0" w:oddVBand="0" w:evenVBand="0" w:oddHBand="0" w:evenHBand="0" w:firstRowFirstColumn="0" w:firstRowLastColumn="0" w:lastRowFirstColumn="0" w:lastRowLastColumn="0"/>
            <w:tcW w:w="2372" w:type="dxa"/>
          </w:tcPr>
          <w:p w14:paraId="7AAD7762" w14:textId="77777777" w:rsidR="00281C2F" w:rsidRPr="00522043" w:rsidRDefault="00281C2F" w:rsidP="009A032D">
            <w:pPr>
              <w:pStyle w:val="Tabletext"/>
              <w:rPr>
                <w:b w:val="0"/>
                <w:bCs w:val="0"/>
              </w:rPr>
            </w:pPr>
            <w:r w:rsidRPr="00522043">
              <w:t xml:space="preserve">Patient </w:t>
            </w:r>
            <w:r>
              <w:t>c</w:t>
            </w:r>
            <w:r w:rsidRPr="00522043">
              <w:t>omplexity</w:t>
            </w:r>
          </w:p>
        </w:tc>
        <w:tc>
          <w:tcPr>
            <w:tcW w:w="6998" w:type="dxa"/>
          </w:tcPr>
          <w:p w14:paraId="6BC9EE40"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7D6C82">
              <w:t>A</w:t>
            </w:r>
            <w:r>
              <w:t xml:space="preserve"> L</w:t>
            </w:r>
            <w:r w:rsidRPr="007D6C82">
              <w:t xml:space="preserve">evel </w:t>
            </w:r>
            <w:r>
              <w:t>6</w:t>
            </w:r>
            <w:r w:rsidRPr="007D6C82">
              <w:t xml:space="preserve"> service</w:t>
            </w:r>
            <w:r>
              <w:t>:</w:t>
            </w:r>
          </w:p>
          <w:p w14:paraId="3CC5ECA2" w14:textId="77777777" w:rsidR="00281C2F" w:rsidRPr="00BA3534"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rPr>
                <w:rStyle w:val="normaltextrun"/>
                <w:rFonts w:cs="Arial"/>
              </w:rPr>
            </w:pPr>
            <w:r>
              <w:rPr>
                <w:rStyle w:val="normaltextrun"/>
                <w:rFonts w:eastAsia="MS Gothic" w:cs="Arial"/>
              </w:rPr>
              <w:t>c</w:t>
            </w:r>
            <w:r w:rsidRPr="37488AAE">
              <w:rPr>
                <w:rStyle w:val="normaltextrun"/>
                <w:rFonts w:eastAsia="MS Gothic" w:cs="Arial"/>
              </w:rPr>
              <w:t>an accommodate all patient risks for all specialist procedures</w:t>
            </w:r>
          </w:p>
          <w:p w14:paraId="1013E589" w14:textId="77777777" w:rsidR="00281C2F" w:rsidRPr="00BA3534"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t>for p</w:t>
            </w:r>
            <w:r w:rsidRPr="001E2207">
              <w:t>aediatric services</w:t>
            </w:r>
            <w:r>
              <w:t>, can provide for the h</w:t>
            </w:r>
            <w:r w:rsidRPr="00BA3534">
              <w:t>ighest complexity patients.</w:t>
            </w:r>
          </w:p>
        </w:tc>
      </w:tr>
      <w:tr w:rsidR="00281C2F" w:rsidRPr="001F0BAF" w14:paraId="264217D4" w14:textId="77777777" w:rsidTr="00E44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shd w:val="clear" w:color="auto" w:fill="DBE5F1" w:themeFill="accent1" w:themeFillTint="33"/>
          </w:tcPr>
          <w:p w14:paraId="10DF4FF3" w14:textId="77777777" w:rsidR="00281C2F" w:rsidRPr="00522043" w:rsidRDefault="00281C2F" w:rsidP="009A032D">
            <w:pPr>
              <w:pStyle w:val="Tabletext"/>
              <w:rPr>
                <w:b w:val="0"/>
                <w:bCs w:val="0"/>
              </w:rPr>
            </w:pPr>
            <w:r w:rsidRPr="00522043">
              <w:t>Emergency services/</w:t>
            </w:r>
          </w:p>
          <w:p w14:paraId="620ACAFB" w14:textId="77777777" w:rsidR="00281C2F" w:rsidRPr="00522043" w:rsidRDefault="00281C2F" w:rsidP="009A032D">
            <w:pPr>
              <w:pStyle w:val="Tabletext"/>
              <w:rPr>
                <w:b w:val="0"/>
                <w:bCs w:val="0"/>
              </w:rPr>
            </w:pPr>
            <w:r w:rsidRPr="00522043">
              <w:t>surgery</w:t>
            </w:r>
          </w:p>
        </w:tc>
        <w:tc>
          <w:tcPr>
            <w:tcW w:w="6998" w:type="dxa"/>
            <w:shd w:val="clear" w:color="auto" w:fill="DBE5F1" w:themeFill="accent1" w:themeFillTint="33"/>
          </w:tcPr>
          <w:p w14:paraId="5319F7BE" w14:textId="77777777" w:rsidR="00281C2F" w:rsidRPr="00D63FA1"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E1136E">
              <w:rPr>
                <w:rFonts w:cs="Arial"/>
              </w:rPr>
              <w:t>For emergency service and transfers,</w:t>
            </w:r>
            <w:r w:rsidRPr="001A5357">
              <w:t xml:space="preserve"> a Level 6 service provides a 24/7 emergency surgical capacity</w:t>
            </w:r>
            <w:r w:rsidRPr="37488AAE">
              <w:t xml:space="preserve"> for all specialities</w:t>
            </w:r>
            <w:r>
              <w:t>,</w:t>
            </w:r>
            <w:r w:rsidRPr="37488AAE">
              <w:t xml:space="preserve"> and </w:t>
            </w:r>
            <w:r>
              <w:t xml:space="preserve">is </w:t>
            </w:r>
            <w:r w:rsidRPr="37488AAE">
              <w:t xml:space="preserve">able to manage all immediate life-saving emergency surgery procedures, relevant to the services offered at that site. </w:t>
            </w:r>
          </w:p>
        </w:tc>
      </w:tr>
      <w:tr w:rsidR="00281C2F" w:rsidRPr="001F0BAF" w14:paraId="3018D3E3" w14:textId="77777777" w:rsidTr="00E449CC">
        <w:tc>
          <w:tcPr>
            <w:cnfStyle w:val="001000000000" w:firstRow="0" w:lastRow="0" w:firstColumn="1" w:lastColumn="0" w:oddVBand="0" w:evenVBand="0" w:oddHBand="0" w:evenHBand="0" w:firstRowFirstColumn="0" w:firstRowLastColumn="0" w:lastRowFirstColumn="0" w:lastRowLastColumn="0"/>
            <w:tcW w:w="2372" w:type="dxa"/>
          </w:tcPr>
          <w:p w14:paraId="5098F7C2" w14:textId="77777777" w:rsidR="00281C2F" w:rsidRPr="00522043" w:rsidRDefault="00281C2F" w:rsidP="009A032D">
            <w:pPr>
              <w:pStyle w:val="Tabletext"/>
              <w:rPr>
                <w:b w:val="0"/>
                <w:bCs w:val="0"/>
              </w:rPr>
            </w:pPr>
            <w:r w:rsidRPr="00522043">
              <w:t>Pre-admission service</w:t>
            </w:r>
          </w:p>
        </w:tc>
        <w:tc>
          <w:tcPr>
            <w:tcW w:w="6998" w:type="dxa"/>
          </w:tcPr>
          <w:p w14:paraId="17659BDB" w14:textId="0F50D836" w:rsidR="00281C2F" w:rsidRPr="006F0A8C" w:rsidRDefault="00281C2F" w:rsidP="0041678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pPr>
            <w:r w:rsidRPr="007D6C82">
              <w:t>A</w:t>
            </w:r>
            <w:r>
              <w:t xml:space="preserve"> L</w:t>
            </w:r>
            <w:r w:rsidRPr="007D6C82">
              <w:t xml:space="preserve">evel </w:t>
            </w:r>
            <w:r>
              <w:t>6</w:t>
            </w:r>
            <w:r w:rsidRPr="007D6C82">
              <w:t xml:space="preserve"> service</w:t>
            </w:r>
            <w:r>
              <w:t xml:space="preserve"> </w:t>
            </w:r>
            <w:r w:rsidR="008279E3">
              <w:t>i</w:t>
            </w:r>
            <w:proofErr w:type="spellStart"/>
            <w:r w:rsidR="008279E3">
              <w:rPr>
                <w:lang w:val="en-US" w:eastAsia="en-AU"/>
              </w:rPr>
              <w:t>dentifies</w:t>
            </w:r>
            <w:proofErr w:type="spellEnd"/>
            <w:r w:rsidR="008279E3">
              <w:rPr>
                <w:lang w:val="en-US" w:eastAsia="en-AU"/>
              </w:rPr>
              <w:t xml:space="preserve"> high-risk patients on the preparation list to </w:t>
            </w:r>
            <w:proofErr w:type="spellStart"/>
            <w:r w:rsidR="008279E3">
              <w:rPr>
                <w:lang w:val="en-US" w:eastAsia="en-AU"/>
              </w:rPr>
              <w:t>optimise</w:t>
            </w:r>
            <w:proofErr w:type="spellEnd"/>
            <w:r w:rsidR="008279E3">
              <w:rPr>
                <w:lang w:val="en-US" w:eastAsia="en-AU"/>
              </w:rPr>
              <w:t> their condition prior </w:t>
            </w:r>
            <w:r w:rsidR="0041678F">
              <w:rPr>
                <w:lang w:val="en-US" w:eastAsia="en-AU"/>
              </w:rPr>
              <w:t>to</w:t>
            </w:r>
            <w:r w:rsidRPr="006F0A8C">
              <w:t xml:space="preserve"> specialist intervention </w:t>
            </w:r>
            <w:r>
              <w:t>(for example,</w:t>
            </w:r>
            <w:r w:rsidRPr="006F0A8C">
              <w:t xml:space="preserve"> cardiac surgery</w:t>
            </w:r>
            <w:r>
              <w:t>)</w:t>
            </w:r>
            <w:r w:rsidR="00584C90">
              <w:rPr>
                <w:rStyle w:val="FootnoteReference"/>
              </w:rPr>
              <w:footnoteReference w:id="71"/>
            </w:r>
            <w:r w:rsidRPr="006F0A8C">
              <w:t>.</w:t>
            </w:r>
          </w:p>
        </w:tc>
      </w:tr>
      <w:tr w:rsidR="00281C2F" w:rsidRPr="001F0BAF" w14:paraId="76661743" w14:textId="77777777" w:rsidTr="00E44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shd w:val="clear" w:color="auto" w:fill="DBE5F1" w:themeFill="accent1" w:themeFillTint="33"/>
          </w:tcPr>
          <w:p w14:paraId="43856F33" w14:textId="77777777" w:rsidR="00281C2F" w:rsidRPr="00522043" w:rsidRDefault="00281C2F" w:rsidP="009A032D">
            <w:pPr>
              <w:pStyle w:val="Tabletext"/>
              <w:rPr>
                <w:b w:val="0"/>
                <w:bCs w:val="0"/>
              </w:rPr>
            </w:pPr>
            <w:r w:rsidRPr="00522043">
              <w:t>Pain management capability</w:t>
            </w:r>
          </w:p>
        </w:tc>
        <w:tc>
          <w:tcPr>
            <w:tcW w:w="6998" w:type="dxa"/>
            <w:shd w:val="clear" w:color="auto" w:fill="DBE5F1" w:themeFill="accent1" w:themeFillTint="33"/>
          </w:tcPr>
          <w:p w14:paraId="7107D928"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7D6C82">
              <w:t>A</w:t>
            </w:r>
            <w:r>
              <w:t xml:space="preserve"> L</w:t>
            </w:r>
            <w:r w:rsidRPr="007D6C82">
              <w:t xml:space="preserve">evel </w:t>
            </w:r>
            <w:r>
              <w:t>6</w:t>
            </w:r>
            <w:r w:rsidRPr="007D6C82">
              <w:t xml:space="preserve"> service</w:t>
            </w:r>
            <w:r>
              <w:t>:</w:t>
            </w:r>
          </w:p>
          <w:p w14:paraId="5522C75F" w14:textId="77777777" w:rsidR="00281C2F" w:rsidRPr="00BF7E5B"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p</w:t>
            </w:r>
            <w:r w:rsidRPr="00BF7E5B">
              <w:t>rovides planned and unplanned services to theatre, procedure suites</w:t>
            </w:r>
            <w:r>
              <w:t xml:space="preserve"> and</w:t>
            </w:r>
            <w:r w:rsidRPr="00BF7E5B">
              <w:t xml:space="preserve"> imaging areas of the service</w:t>
            </w:r>
          </w:p>
          <w:p w14:paraId="32475A75" w14:textId="77777777" w:rsidR="00281C2F" w:rsidRPr="007D6C82"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c</w:t>
            </w:r>
            <w:r w:rsidRPr="00BF7E5B">
              <w:t>oordinates a medical specialist</w:t>
            </w:r>
            <w:r>
              <w:t>-</w:t>
            </w:r>
            <w:r w:rsidRPr="00BF7E5B">
              <w:t>led</w:t>
            </w:r>
            <w:r>
              <w:t xml:space="preserve"> (or supported)</w:t>
            </w:r>
            <w:r w:rsidRPr="00BF7E5B">
              <w:t xml:space="preserve"> acute pain service to review patients</w:t>
            </w:r>
            <w:r>
              <w:t>.</w:t>
            </w:r>
          </w:p>
        </w:tc>
      </w:tr>
      <w:tr w:rsidR="00281C2F" w:rsidRPr="001F0BAF" w14:paraId="4B3B7919" w14:textId="77777777" w:rsidTr="00E449CC">
        <w:tc>
          <w:tcPr>
            <w:cnfStyle w:val="001000000000" w:firstRow="0" w:lastRow="0" w:firstColumn="1" w:lastColumn="0" w:oddVBand="0" w:evenVBand="0" w:oddHBand="0" w:evenHBand="0" w:firstRowFirstColumn="0" w:firstRowLastColumn="0" w:lastRowFirstColumn="0" w:lastRowLastColumn="0"/>
            <w:tcW w:w="2372" w:type="dxa"/>
          </w:tcPr>
          <w:p w14:paraId="45976099" w14:textId="77777777" w:rsidR="00281C2F" w:rsidRPr="00522043" w:rsidRDefault="00281C2F" w:rsidP="009A032D">
            <w:pPr>
              <w:pStyle w:val="Tabletext"/>
              <w:rPr>
                <w:b w:val="0"/>
                <w:bCs w:val="0"/>
              </w:rPr>
            </w:pPr>
            <w:r w:rsidRPr="00522043">
              <w:t>Discharge planning</w:t>
            </w:r>
          </w:p>
        </w:tc>
        <w:tc>
          <w:tcPr>
            <w:tcW w:w="6998" w:type="dxa"/>
          </w:tcPr>
          <w:p w14:paraId="5B619FC7" w14:textId="77777777" w:rsidR="00281C2F" w:rsidRPr="007D6C82"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7D6C82">
              <w:t>A</w:t>
            </w:r>
            <w:r>
              <w:t xml:space="preserve"> L</w:t>
            </w:r>
            <w:r w:rsidRPr="007D6C82">
              <w:t xml:space="preserve">evel </w:t>
            </w:r>
            <w:r>
              <w:t>6</w:t>
            </w:r>
            <w:r w:rsidRPr="007D6C82">
              <w:t xml:space="preserve"> service</w:t>
            </w:r>
            <w:r w:rsidRPr="00BC5A2D">
              <w:t xml:space="preserve"> ha</w:t>
            </w:r>
            <w:r>
              <w:t>s</w:t>
            </w:r>
            <w:r w:rsidRPr="00BC5A2D">
              <w:t xml:space="preserve"> extensive post-discharge support services available </w:t>
            </w:r>
            <w:r>
              <w:t xml:space="preserve">(for example, it </w:t>
            </w:r>
            <w:r w:rsidRPr="00BC5A2D">
              <w:t xml:space="preserve">may have </w:t>
            </w:r>
            <w:r>
              <w:t xml:space="preserve">its </w:t>
            </w:r>
            <w:r w:rsidRPr="00BC5A2D">
              <w:t>own inpatient and/or in-home and/or community-based rehabilitation services.</w:t>
            </w:r>
          </w:p>
        </w:tc>
      </w:tr>
    </w:tbl>
    <w:p w14:paraId="43A18BD3" w14:textId="77777777" w:rsidR="00281C2F" w:rsidRDefault="00281C2F" w:rsidP="00281C2F">
      <w:pPr>
        <w:pStyle w:val="Heading3"/>
      </w:pPr>
      <w:r>
        <w:t>Clinical w</w:t>
      </w:r>
      <w:r w:rsidRPr="00B308DB">
        <w:t>orkforce</w:t>
      </w:r>
    </w:p>
    <w:p w14:paraId="277DEC07" w14:textId="2E8A66D5" w:rsidR="00281C2F" w:rsidRPr="001A5357" w:rsidRDefault="0022729A" w:rsidP="00281C2F">
      <w:pPr>
        <w:pStyle w:val="Body"/>
      </w:pPr>
      <w:r>
        <w:t xml:space="preserve">This section </w:t>
      </w:r>
      <w:r w:rsidR="00281C2F">
        <w:t xml:space="preserve">outlines the requirements for the clinical workforce in Level 6 perioperative services that are in addition to all the roles and responsibilities in </w:t>
      </w:r>
      <w:r w:rsidR="00710B90">
        <w:t>L</w:t>
      </w:r>
      <w:r w:rsidR="00281C2F">
        <w:t>evels 1–5.</w:t>
      </w:r>
    </w:p>
    <w:tbl>
      <w:tblPr>
        <w:tblStyle w:val="GridTable4-Accent6"/>
        <w:tblW w:w="9247" w:type="dxa"/>
        <w:tblBorders>
          <w:top w:val="none" w:sz="0" w:space="0" w:color="auto"/>
          <w:left w:val="none" w:sz="0" w:space="0" w:color="auto"/>
          <w:bottom w:val="single" w:sz="4" w:space="0" w:color="201547"/>
          <w:right w:val="none" w:sz="0" w:space="0" w:color="auto"/>
          <w:insideH w:val="none" w:sz="0" w:space="0" w:color="auto"/>
          <w:insideV w:val="single" w:sz="4" w:space="0" w:color="201547"/>
        </w:tblBorders>
        <w:tblLook w:val="04A0" w:firstRow="1" w:lastRow="0" w:firstColumn="1" w:lastColumn="0" w:noHBand="0" w:noVBand="1"/>
      </w:tblPr>
      <w:tblGrid>
        <w:gridCol w:w="2523"/>
        <w:gridCol w:w="6724"/>
      </w:tblGrid>
      <w:tr w:rsidR="0016155A" w:rsidRPr="0016155A" w14:paraId="155E571D" w14:textId="77777777" w:rsidTr="00E449CC">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523" w:type="dxa"/>
            <w:shd w:val="clear" w:color="auto" w:fill="201547"/>
          </w:tcPr>
          <w:p w14:paraId="0C609B89" w14:textId="77777777" w:rsidR="00281C2F" w:rsidRPr="0016155A" w:rsidRDefault="00281C2F" w:rsidP="0016155A">
            <w:pPr>
              <w:pStyle w:val="Tablecolhead"/>
              <w:rPr>
                <w:b/>
                <w:bCs w:val="0"/>
                <w:color w:val="FFFFFF" w:themeColor="background1"/>
              </w:rPr>
            </w:pPr>
            <w:r w:rsidRPr="0016155A">
              <w:rPr>
                <w:b/>
                <w:bCs w:val="0"/>
                <w:color w:val="FFFFFF" w:themeColor="background1"/>
              </w:rPr>
              <w:t>Level 6 service roles</w:t>
            </w:r>
          </w:p>
        </w:tc>
        <w:tc>
          <w:tcPr>
            <w:tcW w:w="6724" w:type="dxa"/>
            <w:shd w:val="clear" w:color="auto" w:fill="201547"/>
          </w:tcPr>
          <w:p w14:paraId="713B9209" w14:textId="77777777" w:rsidR="00281C2F" w:rsidRPr="0016155A" w:rsidRDefault="00281C2F" w:rsidP="0016155A">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16155A">
              <w:rPr>
                <w:b/>
                <w:bCs w:val="0"/>
                <w:color w:val="FFFFFF" w:themeColor="background1"/>
              </w:rPr>
              <w:t>Requirements</w:t>
            </w:r>
          </w:p>
        </w:tc>
      </w:tr>
      <w:tr w:rsidR="00281C2F" w:rsidRPr="00A63ED1" w14:paraId="63D3D749" w14:textId="77777777" w:rsidTr="00E449CC">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2523" w:type="dxa"/>
            <w:shd w:val="clear" w:color="auto" w:fill="DBE5F1" w:themeFill="accent1" w:themeFillTint="33"/>
          </w:tcPr>
          <w:p w14:paraId="5F40A01E" w14:textId="77777777" w:rsidR="00281C2F" w:rsidRPr="00522043" w:rsidRDefault="00281C2F" w:rsidP="009A032D">
            <w:pPr>
              <w:pStyle w:val="Tabletext"/>
              <w:rPr>
                <w:b w:val="0"/>
              </w:rPr>
            </w:pPr>
            <w:r>
              <w:t>Perioperative unit</w:t>
            </w:r>
          </w:p>
        </w:tc>
        <w:tc>
          <w:tcPr>
            <w:tcW w:w="6724" w:type="dxa"/>
            <w:shd w:val="clear" w:color="auto" w:fill="DBE5F1" w:themeFill="accent1" w:themeFillTint="33"/>
          </w:tcPr>
          <w:p w14:paraId="4D4B7BA9" w14:textId="77777777" w:rsidR="00281C2F" w:rsidRPr="00CD5AA0"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CD5AA0">
              <w:t xml:space="preserve">A medical specialist, credentialed at the health service for perioperative care, </w:t>
            </w:r>
            <w:r>
              <w:t xml:space="preserve">is </w:t>
            </w:r>
            <w:r w:rsidRPr="00CD5AA0">
              <w:t>employed as Director/Head of Perioperative services and has clinical governance responsibilities.</w:t>
            </w:r>
          </w:p>
        </w:tc>
      </w:tr>
      <w:tr w:rsidR="00281C2F" w:rsidRPr="00A63ED1" w14:paraId="0503A782" w14:textId="77777777" w:rsidTr="00E449CC">
        <w:trPr>
          <w:trHeight w:val="130"/>
        </w:trPr>
        <w:tc>
          <w:tcPr>
            <w:cnfStyle w:val="001000000000" w:firstRow="0" w:lastRow="0" w:firstColumn="1" w:lastColumn="0" w:oddVBand="0" w:evenVBand="0" w:oddHBand="0" w:evenHBand="0" w:firstRowFirstColumn="0" w:firstRowLastColumn="0" w:lastRowFirstColumn="0" w:lastRowLastColumn="0"/>
            <w:tcW w:w="2523" w:type="dxa"/>
          </w:tcPr>
          <w:p w14:paraId="50F70401" w14:textId="77777777" w:rsidR="00281C2F" w:rsidRPr="009C599A" w:rsidRDefault="00281C2F" w:rsidP="009A032D">
            <w:pPr>
              <w:pStyle w:val="Tabletext"/>
              <w:rPr>
                <w:b w:val="0"/>
              </w:rPr>
            </w:pPr>
            <w:r w:rsidRPr="00522043">
              <w:t>Surgery/proceduralist</w:t>
            </w:r>
            <w:r w:rsidRPr="009C599A">
              <w:t xml:space="preserve"> </w:t>
            </w:r>
          </w:p>
        </w:tc>
        <w:tc>
          <w:tcPr>
            <w:tcW w:w="6724" w:type="dxa"/>
          </w:tcPr>
          <w:p w14:paraId="2F617733" w14:textId="77777777" w:rsidR="00281C2F" w:rsidRPr="00185532"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185532">
              <w:t>Medical specialists can:</w:t>
            </w:r>
          </w:p>
          <w:p w14:paraId="4926BB64" w14:textId="77777777" w:rsidR="00281C2F" w:rsidRPr="00185532"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00185532">
              <w:t>perform rare and/or complex procedures in both the planned and emergency setting applicable to that site</w:t>
            </w:r>
          </w:p>
          <w:p w14:paraId="6DEFB953" w14:textId="77777777" w:rsidR="00281C2F" w:rsidRPr="00185532"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00185532">
              <w:t>perform routine procedures for patients with complex medical needs.</w:t>
            </w:r>
          </w:p>
          <w:p w14:paraId="20A5A8BB" w14:textId="77777777" w:rsidR="00281C2F" w:rsidRPr="00185532" w:rsidRDefault="00281C2F" w:rsidP="009A032D">
            <w:pPr>
              <w:pStyle w:val="Tabletext"/>
              <w:cnfStyle w:val="000000000000" w:firstRow="0" w:lastRow="0" w:firstColumn="0" w:lastColumn="0" w:oddVBand="0" w:evenVBand="0" w:oddHBand="0" w:evenHBand="0" w:firstRowFirstColumn="0" w:firstRowLastColumn="0" w:lastRowFirstColumn="0" w:lastRowLastColumn="0"/>
              <w:rPr>
                <w:bCs/>
              </w:rPr>
            </w:pPr>
            <w:r w:rsidRPr="00185532">
              <w:t>Paediatric services</w:t>
            </w:r>
            <w:r>
              <w:t xml:space="preserve"> include:</w:t>
            </w:r>
          </w:p>
          <w:p w14:paraId="0E46BFEA" w14:textId="77777777" w:rsidR="00281C2F" w:rsidRPr="00185532"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00EF750F">
              <w:t>a clinical head of paediatric perioperative services</w:t>
            </w:r>
          </w:p>
          <w:p w14:paraId="4B3D2D67" w14:textId="77777777" w:rsidR="00281C2F" w:rsidRPr="008517FE" w:rsidRDefault="00281C2F" w:rsidP="0073249D">
            <w:pPr>
              <w:pStyle w:val="Tablebullet1"/>
              <w:numPr>
                <w:ilvl w:val="0"/>
                <w:numId w:val="4"/>
              </w:numPr>
              <w:ind w:left="227" w:hanging="227"/>
              <w:cnfStyle w:val="000000000000" w:firstRow="0" w:lastRow="0" w:firstColumn="0" w:lastColumn="0" w:oddVBand="0" w:evenVBand="0" w:oddHBand="0" w:evenHBand="0" w:firstRowFirstColumn="0" w:firstRowLastColumn="0" w:lastRowFirstColumn="0" w:lastRowLastColumn="0"/>
            </w:pPr>
            <w:r w:rsidRPr="00EF750F">
              <w:t>registered medical specialists credentialed to provide sub-specialist paediatric surgical care available 24/7.</w:t>
            </w:r>
            <w:r>
              <w:rPr>
                <w:rStyle w:val="eop"/>
                <w:rFonts w:cs="Arial"/>
                <w:sz w:val="20"/>
              </w:rPr>
              <w:t xml:space="preserve"> </w:t>
            </w:r>
          </w:p>
        </w:tc>
      </w:tr>
      <w:tr w:rsidR="00281C2F" w:rsidRPr="00A63ED1" w14:paraId="1A8CD11A" w14:textId="77777777" w:rsidTr="00E449CC">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2523" w:type="dxa"/>
            <w:shd w:val="clear" w:color="auto" w:fill="DBE5F1" w:themeFill="accent1" w:themeFillTint="33"/>
          </w:tcPr>
          <w:p w14:paraId="783DC698" w14:textId="77777777" w:rsidR="00281C2F" w:rsidRPr="00AD5D9C" w:rsidRDefault="00281C2F" w:rsidP="009A032D">
            <w:pPr>
              <w:pStyle w:val="Tabletext"/>
              <w:rPr>
                <w:b w:val="0"/>
              </w:rPr>
            </w:pPr>
            <w:r w:rsidRPr="00AD5D9C">
              <w:t xml:space="preserve">Anaesthetics </w:t>
            </w:r>
          </w:p>
        </w:tc>
        <w:tc>
          <w:tcPr>
            <w:tcW w:w="6724" w:type="dxa"/>
            <w:shd w:val="clear" w:color="auto" w:fill="DBE5F1" w:themeFill="accent1" w:themeFillTint="33"/>
          </w:tcPr>
          <w:p w14:paraId="74F8A10A" w14:textId="77777777" w:rsidR="00281C2F" w:rsidRPr="004E3E09"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M</w:t>
            </w:r>
            <w:r w:rsidRPr="008517FE">
              <w:t xml:space="preserve">edical specialists with qualifications and demonstrated competency in sub-specialist </w:t>
            </w:r>
            <w:r w:rsidRPr="004E3E09">
              <w:t xml:space="preserve">anaesthetic care are available during standard hours and accessible 24/7. </w:t>
            </w:r>
          </w:p>
          <w:p w14:paraId="0146E529" w14:textId="77777777" w:rsidR="00281C2F" w:rsidRPr="004E3E09"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4E3E09">
              <w:t xml:space="preserve">A medical practitioner with appropriate experience in anaesthetics, credentialed to initiate anaesthetic management for emergencies, is onsite 24/7. </w:t>
            </w:r>
          </w:p>
          <w:p w14:paraId="17D2185C" w14:textId="77777777" w:rsidR="00281C2F" w:rsidRPr="004E3E09"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4E3E09">
              <w:t>Medical specialist-led pain management round to respond to pain management referrals operates daily.</w:t>
            </w:r>
          </w:p>
          <w:p w14:paraId="71FD3951" w14:textId="77777777" w:rsidR="00281C2F" w:rsidRPr="00AD5D9C"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4E3E09">
              <w:t>For paediatric services, registered medical specialists, credentialed to provide sub-specialist paediatric anaesthetic care,</w:t>
            </w:r>
            <w:r w:rsidRPr="001E3565">
              <w:t xml:space="preserve"> are available 24/7. </w:t>
            </w:r>
          </w:p>
        </w:tc>
      </w:tr>
      <w:tr w:rsidR="00281C2F" w:rsidRPr="00A63ED1" w14:paraId="1FE7DCDD" w14:textId="77777777" w:rsidTr="00E449CC">
        <w:trPr>
          <w:trHeight w:val="130"/>
        </w:trPr>
        <w:tc>
          <w:tcPr>
            <w:cnfStyle w:val="001000000000" w:firstRow="0" w:lastRow="0" w:firstColumn="1" w:lastColumn="0" w:oddVBand="0" w:evenVBand="0" w:oddHBand="0" w:evenHBand="0" w:firstRowFirstColumn="0" w:firstRowLastColumn="0" w:lastRowFirstColumn="0" w:lastRowLastColumn="0"/>
            <w:tcW w:w="2523" w:type="dxa"/>
          </w:tcPr>
          <w:p w14:paraId="273E8746" w14:textId="77777777" w:rsidR="00281C2F" w:rsidRPr="003479CE" w:rsidRDefault="00281C2F" w:rsidP="009A032D">
            <w:pPr>
              <w:pStyle w:val="Tabletext"/>
              <w:rPr>
                <w:b w:val="0"/>
              </w:rPr>
            </w:pPr>
            <w:r w:rsidRPr="003479CE">
              <w:t xml:space="preserve">Emergency surgery </w:t>
            </w:r>
          </w:p>
        </w:tc>
        <w:tc>
          <w:tcPr>
            <w:tcW w:w="6724" w:type="dxa"/>
          </w:tcPr>
          <w:p w14:paraId="24D83E15" w14:textId="77777777" w:rsidR="00281C2F" w:rsidRPr="00737EC2"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M</w:t>
            </w:r>
            <w:r w:rsidRPr="008517FE">
              <w:t>edical specialists with qualifications and demonstrated competency to perform rare emergency procedures</w:t>
            </w:r>
            <w:r>
              <w:t>,</w:t>
            </w:r>
            <w:r w:rsidRPr="008517FE">
              <w:t xml:space="preserve"> in line with the services provided at that site</w:t>
            </w:r>
            <w:r>
              <w:t>, are available 24/7.</w:t>
            </w:r>
          </w:p>
          <w:p w14:paraId="16D26135" w14:textId="77777777" w:rsidR="00281C2F" w:rsidRPr="003479CE" w:rsidDel="009E5C9B"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For p</w:t>
            </w:r>
            <w:r w:rsidRPr="007F1E90">
              <w:t>aediatric services</w:t>
            </w:r>
            <w:r>
              <w:t>, m</w:t>
            </w:r>
            <w:r w:rsidRPr="008517FE">
              <w:t>edical specialists with qualifications and demonstrated competency to perform rare emergency procedures</w:t>
            </w:r>
            <w:r>
              <w:t>,</w:t>
            </w:r>
            <w:r w:rsidRPr="008517FE">
              <w:t xml:space="preserve"> in line with the services provided at that site</w:t>
            </w:r>
            <w:r>
              <w:t>, are available 24/7.</w:t>
            </w:r>
          </w:p>
        </w:tc>
      </w:tr>
      <w:tr w:rsidR="00281C2F" w:rsidRPr="00A63ED1" w14:paraId="18CF5F13" w14:textId="77777777" w:rsidTr="00E44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3" w:type="dxa"/>
            <w:shd w:val="clear" w:color="auto" w:fill="DBE5F1" w:themeFill="accent1" w:themeFillTint="33"/>
          </w:tcPr>
          <w:p w14:paraId="1D10BD04" w14:textId="77777777" w:rsidR="00281C2F" w:rsidRPr="003479CE" w:rsidRDefault="00281C2F" w:rsidP="009A032D">
            <w:pPr>
              <w:pStyle w:val="Tabletext"/>
              <w:rPr>
                <w:b w:val="0"/>
              </w:rPr>
            </w:pPr>
            <w:r w:rsidRPr="003479CE">
              <w:t>Nursing</w:t>
            </w:r>
          </w:p>
        </w:tc>
        <w:tc>
          <w:tcPr>
            <w:tcW w:w="6724" w:type="dxa"/>
            <w:shd w:val="clear" w:color="auto" w:fill="DBE5F1" w:themeFill="accent1" w:themeFillTint="33"/>
          </w:tcPr>
          <w:p w14:paraId="262FF4CF" w14:textId="719DC5A1" w:rsidR="00281C2F" w:rsidRPr="00FF617A"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FF617A">
              <w:t xml:space="preserve">As for </w:t>
            </w:r>
            <w:r w:rsidR="00710B90">
              <w:t>L</w:t>
            </w:r>
            <w:r w:rsidRPr="00FF617A">
              <w:t xml:space="preserve">evel </w:t>
            </w:r>
            <w:r>
              <w:t>4.</w:t>
            </w:r>
          </w:p>
        </w:tc>
      </w:tr>
      <w:tr w:rsidR="00281C2F" w:rsidRPr="00A63ED1" w14:paraId="3AC23978" w14:textId="77777777" w:rsidTr="00E449CC">
        <w:tc>
          <w:tcPr>
            <w:cnfStyle w:val="001000000000" w:firstRow="0" w:lastRow="0" w:firstColumn="1" w:lastColumn="0" w:oddVBand="0" w:evenVBand="0" w:oddHBand="0" w:evenHBand="0" w:firstRowFirstColumn="0" w:firstRowLastColumn="0" w:lastRowFirstColumn="0" w:lastRowLastColumn="0"/>
            <w:tcW w:w="2523" w:type="dxa"/>
          </w:tcPr>
          <w:p w14:paraId="667F2661" w14:textId="77777777" w:rsidR="00281C2F" w:rsidRPr="00E1136E" w:rsidRDefault="00281C2F" w:rsidP="009A032D">
            <w:pPr>
              <w:pStyle w:val="Tabletext"/>
              <w:rPr>
                <w:b w:val="0"/>
              </w:rPr>
            </w:pPr>
            <w:r w:rsidRPr="00FF617A">
              <w:t xml:space="preserve">Allied </w:t>
            </w:r>
            <w:r>
              <w:t>h</w:t>
            </w:r>
            <w:r w:rsidRPr="00FF617A">
              <w:t>ealth</w:t>
            </w:r>
          </w:p>
        </w:tc>
        <w:tc>
          <w:tcPr>
            <w:tcW w:w="6724" w:type="dxa"/>
          </w:tcPr>
          <w:p w14:paraId="36F04635" w14:textId="3DD7B511" w:rsidR="00281C2F" w:rsidRPr="00FF617A"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FF617A">
              <w:t xml:space="preserve">As for </w:t>
            </w:r>
            <w:r w:rsidR="00710B90">
              <w:t>L</w:t>
            </w:r>
            <w:r w:rsidRPr="00FF617A">
              <w:t>evel 5</w:t>
            </w:r>
            <w:r>
              <w:t>.</w:t>
            </w:r>
          </w:p>
        </w:tc>
      </w:tr>
    </w:tbl>
    <w:p w14:paraId="48237EBE" w14:textId="77777777" w:rsidR="00281C2F" w:rsidRDefault="00281C2F" w:rsidP="00281C2F">
      <w:pPr>
        <w:pStyle w:val="Heading3"/>
      </w:pPr>
      <w:r w:rsidRPr="006B1A40">
        <w:t>Clinical support services</w:t>
      </w:r>
    </w:p>
    <w:p w14:paraId="14C22A2D" w14:textId="7BA713F9" w:rsidR="00281C2F" w:rsidRPr="001A5357" w:rsidRDefault="0022729A" w:rsidP="00281C2F">
      <w:pPr>
        <w:pStyle w:val="Body"/>
      </w:pPr>
      <w:r>
        <w:t xml:space="preserve">This section </w:t>
      </w:r>
      <w:r w:rsidR="00281C2F">
        <w:t xml:space="preserve">outlines the requirements for clinical support services in Level 6 perioperative services that are in addition to all the responsibilities in </w:t>
      </w:r>
      <w:r w:rsidR="00710B90">
        <w:t>L</w:t>
      </w:r>
      <w:r w:rsidR="00281C2F">
        <w:t>evels 1–5.</w:t>
      </w:r>
    </w:p>
    <w:tbl>
      <w:tblPr>
        <w:tblStyle w:val="GridTable4-Accent6"/>
        <w:tblW w:w="9067" w:type="dxa"/>
        <w:tblBorders>
          <w:top w:val="none" w:sz="0" w:space="0" w:color="auto"/>
          <w:left w:val="none" w:sz="0" w:space="0" w:color="auto"/>
          <w:bottom w:val="single" w:sz="4" w:space="0" w:color="201547"/>
          <w:right w:val="none" w:sz="0" w:space="0" w:color="auto"/>
          <w:insideH w:val="none" w:sz="0" w:space="0" w:color="auto"/>
          <w:insideV w:val="single" w:sz="4" w:space="0" w:color="201547"/>
        </w:tblBorders>
        <w:tblLook w:val="04A0" w:firstRow="1" w:lastRow="0" w:firstColumn="1" w:lastColumn="0" w:noHBand="0" w:noVBand="1"/>
      </w:tblPr>
      <w:tblGrid>
        <w:gridCol w:w="2405"/>
        <w:gridCol w:w="6662"/>
      </w:tblGrid>
      <w:tr w:rsidR="0016155A" w:rsidRPr="0016155A" w14:paraId="680DDC5C" w14:textId="77777777" w:rsidTr="00E449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201547"/>
          </w:tcPr>
          <w:p w14:paraId="4E01C823" w14:textId="0C280CF2" w:rsidR="00281C2F" w:rsidRPr="0016155A" w:rsidRDefault="00281C2F" w:rsidP="0016155A">
            <w:pPr>
              <w:pStyle w:val="Tablecolhead"/>
              <w:rPr>
                <w:b/>
                <w:bCs w:val="0"/>
                <w:color w:val="FFFFFF" w:themeColor="background1"/>
              </w:rPr>
            </w:pPr>
            <w:r w:rsidRPr="0016155A">
              <w:rPr>
                <w:b/>
                <w:bCs w:val="0"/>
                <w:color w:val="FFFFFF" w:themeColor="background1"/>
              </w:rPr>
              <w:t xml:space="preserve">Level 6 service </w:t>
            </w:r>
          </w:p>
        </w:tc>
        <w:tc>
          <w:tcPr>
            <w:tcW w:w="6662" w:type="dxa"/>
            <w:shd w:val="clear" w:color="auto" w:fill="201547"/>
          </w:tcPr>
          <w:p w14:paraId="3567BEC2" w14:textId="77777777" w:rsidR="00281C2F" w:rsidRPr="0016155A" w:rsidRDefault="00281C2F" w:rsidP="0016155A">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16155A">
              <w:rPr>
                <w:b/>
                <w:bCs w:val="0"/>
                <w:color w:val="FFFFFF" w:themeColor="background1"/>
              </w:rPr>
              <w:t>Requirements</w:t>
            </w:r>
          </w:p>
        </w:tc>
      </w:tr>
      <w:tr w:rsidR="00281C2F" w:rsidRPr="00A63ED1" w14:paraId="29AD15CC" w14:textId="77777777" w:rsidTr="00E44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76CBA4FD" w14:textId="77777777" w:rsidR="00281C2F" w:rsidRPr="00E1136E" w:rsidRDefault="00281C2F" w:rsidP="009A032D">
            <w:pPr>
              <w:pStyle w:val="Tabletext"/>
              <w:rPr>
                <w:b w:val="0"/>
              </w:rPr>
            </w:pPr>
            <w:r w:rsidRPr="002216AF">
              <w:rPr>
                <w:rFonts w:eastAsia="MS Mincho"/>
              </w:rPr>
              <w:t xml:space="preserve">Critical </w:t>
            </w:r>
            <w:r>
              <w:rPr>
                <w:rFonts w:eastAsia="MS Mincho"/>
              </w:rPr>
              <w:t>c</w:t>
            </w:r>
            <w:r w:rsidRPr="002216AF">
              <w:rPr>
                <w:rFonts w:eastAsia="MS Mincho"/>
              </w:rPr>
              <w:t>are</w:t>
            </w:r>
          </w:p>
        </w:tc>
        <w:tc>
          <w:tcPr>
            <w:tcW w:w="6662" w:type="dxa"/>
            <w:shd w:val="clear" w:color="auto" w:fill="DBE5F1" w:themeFill="accent1" w:themeFillTint="33"/>
          </w:tcPr>
          <w:p w14:paraId="7D856981" w14:textId="77777777" w:rsidR="00281C2F" w:rsidRPr="00E1136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4B55C6">
              <w:t>Critical</w:t>
            </w:r>
            <w:r w:rsidRPr="002216AF">
              <w:t xml:space="preserve"> care services are aligned with CICM minimum standards for intensive care units – Level III</w:t>
            </w:r>
            <w:r>
              <w:t>.</w:t>
            </w:r>
          </w:p>
          <w:p w14:paraId="022D73C7" w14:textId="77777777" w:rsidR="00281C2F" w:rsidRPr="00422877" w:rsidRDefault="00281C2F" w:rsidP="009A032D">
            <w:pPr>
              <w:pStyle w:val="Tabletext"/>
              <w:cnfStyle w:val="000000100000" w:firstRow="0" w:lastRow="0" w:firstColumn="0" w:lastColumn="0" w:oddVBand="0" w:evenVBand="0" w:oddHBand="1" w:evenHBand="0" w:firstRowFirstColumn="0" w:firstRowLastColumn="0" w:lastRowFirstColumn="0" w:lastRowLastColumn="0"/>
              <w:rPr>
                <w:bCs/>
              </w:rPr>
            </w:pPr>
            <w:r>
              <w:t>For p</w:t>
            </w:r>
            <w:r w:rsidRPr="001E2207">
              <w:t>aediatric services</w:t>
            </w:r>
            <w:r>
              <w:t>:</w:t>
            </w:r>
          </w:p>
          <w:p w14:paraId="24BF3ACA" w14:textId="18B1F5D3" w:rsidR="00281C2F" w:rsidRPr="00096DF9"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a m</w:t>
            </w:r>
            <w:r w:rsidRPr="00E1136E">
              <w:t>edical specialist</w:t>
            </w:r>
            <w:r>
              <w:t>,</w:t>
            </w:r>
            <w:r w:rsidRPr="00E1136E">
              <w:t xml:space="preserve"> credential</w:t>
            </w:r>
            <w:r>
              <w:t>ed</w:t>
            </w:r>
            <w:r w:rsidRPr="00E1136E">
              <w:t xml:space="preserve"> for paediatric intensive care</w:t>
            </w:r>
            <w:r>
              <w:t>, is</w:t>
            </w:r>
            <w:r w:rsidRPr="00E1136E">
              <w:t xml:space="preserve"> available 24/7</w:t>
            </w:r>
          </w:p>
          <w:p w14:paraId="573F1247" w14:textId="0B1957A0" w:rsidR="00281C2F" w:rsidRPr="00422877"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E1136E">
              <w:t xml:space="preserve">the highest level of intensive care support </w:t>
            </w:r>
            <w:r w:rsidR="001E15F2">
              <w:t xml:space="preserve">is provided </w:t>
            </w:r>
            <w:r w:rsidRPr="00E1136E">
              <w:t>to paediatric patients.</w:t>
            </w:r>
            <w:r w:rsidRPr="00422877">
              <w:rPr>
                <w:rStyle w:val="eop"/>
                <w:rFonts w:cs="Arial"/>
                <w:sz w:val="20"/>
              </w:rPr>
              <w:t> </w:t>
            </w:r>
          </w:p>
        </w:tc>
      </w:tr>
      <w:tr w:rsidR="00281C2F" w:rsidRPr="00A63ED1" w14:paraId="2662283D" w14:textId="77777777" w:rsidTr="00E449CC">
        <w:tc>
          <w:tcPr>
            <w:cnfStyle w:val="001000000000" w:firstRow="0" w:lastRow="0" w:firstColumn="1" w:lastColumn="0" w:oddVBand="0" w:evenVBand="0" w:oddHBand="0" w:evenHBand="0" w:firstRowFirstColumn="0" w:firstRowLastColumn="0" w:lastRowFirstColumn="0" w:lastRowLastColumn="0"/>
            <w:tcW w:w="2405" w:type="dxa"/>
          </w:tcPr>
          <w:p w14:paraId="7029EB14" w14:textId="77777777" w:rsidR="00281C2F" w:rsidRPr="00D12049" w:rsidRDefault="00281C2F" w:rsidP="009A032D">
            <w:pPr>
              <w:pStyle w:val="Tabletext"/>
              <w:rPr>
                <w:b w:val="0"/>
              </w:rPr>
            </w:pPr>
            <w:r w:rsidRPr="00D12049">
              <w:t xml:space="preserve">Emergency </w:t>
            </w:r>
            <w:r>
              <w:t>r</w:t>
            </w:r>
            <w:r w:rsidRPr="00D12049">
              <w:t xml:space="preserve">esponse </w:t>
            </w:r>
          </w:p>
        </w:tc>
        <w:tc>
          <w:tcPr>
            <w:tcW w:w="6662" w:type="dxa"/>
          </w:tcPr>
          <w:p w14:paraId="132C5268" w14:textId="02FC93EE" w:rsidR="00281C2F" w:rsidRPr="00D12049"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D12049">
              <w:t xml:space="preserve">As for </w:t>
            </w:r>
            <w:r w:rsidR="00710B90">
              <w:t>L</w:t>
            </w:r>
            <w:r w:rsidRPr="00D12049">
              <w:t>evel 5</w:t>
            </w:r>
            <w:r>
              <w:t>.</w:t>
            </w:r>
            <w:r w:rsidRPr="00D12049">
              <w:rPr>
                <w:rFonts w:cs="Arial"/>
                <w:i/>
              </w:rPr>
              <w:t xml:space="preserve"> </w:t>
            </w:r>
          </w:p>
        </w:tc>
      </w:tr>
      <w:tr w:rsidR="00281C2F" w:rsidRPr="00A63ED1" w14:paraId="4800E4AA" w14:textId="77777777" w:rsidTr="00E44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1EAE7871" w14:textId="77777777" w:rsidR="00281C2F" w:rsidRPr="00D12049" w:rsidRDefault="00281C2F" w:rsidP="009A032D">
            <w:pPr>
              <w:pStyle w:val="Tabletext"/>
              <w:rPr>
                <w:rFonts w:eastAsia="MS Mincho"/>
                <w:b w:val="0"/>
              </w:rPr>
            </w:pPr>
            <w:r w:rsidRPr="00D12049">
              <w:t>Medical imaging</w:t>
            </w:r>
          </w:p>
        </w:tc>
        <w:tc>
          <w:tcPr>
            <w:tcW w:w="6662" w:type="dxa"/>
            <w:shd w:val="clear" w:color="auto" w:fill="DBE5F1" w:themeFill="accent1" w:themeFillTint="33"/>
          </w:tcPr>
          <w:p w14:paraId="264F3715" w14:textId="77777777" w:rsidR="00281C2F" w:rsidRPr="00D12049"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A f</w:t>
            </w:r>
            <w:r w:rsidRPr="00D12049">
              <w:t xml:space="preserve">ull range of onsite imaging services </w:t>
            </w:r>
            <w:r>
              <w:t xml:space="preserve">is </w:t>
            </w:r>
            <w:r w:rsidRPr="00D12049">
              <w:t>available 24/7.</w:t>
            </w:r>
          </w:p>
        </w:tc>
      </w:tr>
      <w:tr w:rsidR="00281C2F" w:rsidRPr="00A63ED1" w14:paraId="5308B4F0" w14:textId="77777777" w:rsidTr="00E449CC">
        <w:tc>
          <w:tcPr>
            <w:cnfStyle w:val="001000000000" w:firstRow="0" w:lastRow="0" w:firstColumn="1" w:lastColumn="0" w:oddVBand="0" w:evenVBand="0" w:oddHBand="0" w:evenHBand="0" w:firstRowFirstColumn="0" w:firstRowLastColumn="0" w:lastRowFirstColumn="0" w:lastRowLastColumn="0"/>
            <w:tcW w:w="2405" w:type="dxa"/>
          </w:tcPr>
          <w:p w14:paraId="655124E6" w14:textId="77777777" w:rsidR="00281C2F" w:rsidRPr="00480AE9" w:rsidRDefault="00281C2F" w:rsidP="009A032D">
            <w:pPr>
              <w:pStyle w:val="Tabletext"/>
              <w:rPr>
                <w:b w:val="0"/>
              </w:rPr>
            </w:pPr>
            <w:r w:rsidRPr="00480AE9">
              <w:t xml:space="preserve">Medical specialties </w:t>
            </w:r>
          </w:p>
        </w:tc>
        <w:tc>
          <w:tcPr>
            <w:tcW w:w="6662" w:type="dxa"/>
          </w:tcPr>
          <w:p w14:paraId="75016EE8" w14:textId="77777777" w:rsidR="00281C2F" w:rsidRPr="00480AE9" w:rsidRDefault="00281C2F" w:rsidP="009A032D">
            <w:pPr>
              <w:pStyle w:val="Tabletext"/>
              <w:cnfStyle w:val="000000000000" w:firstRow="0" w:lastRow="0" w:firstColumn="0" w:lastColumn="0" w:oddVBand="0" w:evenVBand="0" w:oddHBand="0" w:evenHBand="0" w:firstRowFirstColumn="0" w:firstRowLastColumn="0" w:lastRowFirstColumn="0" w:lastRowLastColumn="0"/>
              <w:rPr>
                <w:iCs/>
              </w:rPr>
            </w:pPr>
            <w:r w:rsidRPr="00BB16DB">
              <w:t xml:space="preserve">Provide the full range of specialty and subspecialty services, relevant to the services provided, and support services </w:t>
            </w:r>
            <w:r>
              <w:t xml:space="preserve">are </w:t>
            </w:r>
            <w:r w:rsidRPr="00BB16DB">
              <w:t>available 24/7 across the continuum of care.</w:t>
            </w:r>
            <w:r w:rsidRPr="00480AE9">
              <w:t xml:space="preserve"> </w:t>
            </w:r>
          </w:p>
        </w:tc>
      </w:tr>
      <w:tr w:rsidR="00281C2F" w:rsidRPr="00A63ED1" w14:paraId="1D31EC4B" w14:textId="77777777" w:rsidTr="00E44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1012425E" w14:textId="77777777" w:rsidR="00281C2F" w:rsidRPr="005A4EFA" w:rsidRDefault="00281C2F" w:rsidP="009A032D">
            <w:pPr>
              <w:pStyle w:val="Tabletext"/>
              <w:rPr>
                <w:b w:val="0"/>
              </w:rPr>
            </w:pPr>
            <w:r w:rsidRPr="005A4EFA">
              <w:rPr>
                <w:rFonts w:eastAsia="MS Mincho"/>
              </w:rPr>
              <w:t xml:space="preserve">Pathology and blood/blood products </w:t>
            </w:r>
          </w:p>
        </w:tc>
        <w:tc>
          <w:tcPr>
            <w:tcW w:w="6662" w:type="dxa"/>
            <w:shd w:val="clear" w:color="auto" w:fill="DBE5F1" w:themeFill="accent1" w:themeFillTint="33"/>
          </w:tcPr>
          <w:p w14:paraId="2788C832" w14:textId="77777777" w:rsidR="00281C2F" w:rsidRPr="005A4EFA" w:rsidRDefault="00281C2F" w:rsidP="009A032D">
            <w:pPr>
              <w:pStyle w:val="Tabletext"/>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There is o</w:t>
            </w:r>
            <w:r w:rsidRPr="005A4EFA">
              <w:rPr>
                <w:rFonts w:eastAsia="Calibri"/>
              </w:rPr>
              <w:t>nsite access to pathology services 24/7 for:</w:t>
            </w:r>
          </w:p>
          <w:p w14:paraId="4574FAE8" w14:textId="77777777" w:rsidR="00281C2F" w:rsidRPr="00327A45"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rPr>
                <w:szCs w:val="18"/>
              </w:rPr>
            </w:pPr>
            <w:r w:rsidRPr="37488AAE">
              <w:t>biochemistry</w:t>
            </w:r>
          </w:p>
          <w:p w14:paraId="33CA80D5" w14:textId="77777777" w:rsidR="00281C2F" w:rsidRPr="00327A45"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rPr>
                <w:szCs w:val="18"/>
              </w:rPr>
            </w:pPr>
            <w:r w:rsidRPr="37488AAE">
              <w:t>haematology</w:t>
            </w:r>
          </w:p>
          <w:p w14:paraId="7ABD2A17" w14:textId="77777777" w:rsidR="00281C2F" w:rsidRPr="00327A45"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rPr>
                <w:szCs w:val="18"/>
              </w:rPr>
            </w:pPr>
            <w:r w:rsidRPr="37488AAE">
              <w:t>microbiology</w:t>
            </w:r>
          </w:p>
          <w:p w14:paraId="4604B5D5" w14:textId="41F0B1FE" w:rsidR="00281C2F" w:rsidRPr="004F26FA"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37488AAE">
              <w:t>serology and blood bank</w:t>
            </w:r>
          </w:p>
          <w:p w14:paraId="3DC0816C" w14:textId="77777777" w:rsidR="00281C2F" w:rsidRPr="005A4EFA"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37488AAE">
              <w:t>anatomical pathology service.</w:t>
            </w:r>
          </w:p>
        </w:tc>
      </w:tr>
      <w:tr w:rsidR="00281C2F" w:rsidRPr="00A63ED1" w14:paraId="7B4C92CC" w14:textId="77777777" w:rsidTr="00E449CC">
        <w:tc>
          <w:tcPr>
            <w:cnfStyle w:val="001000000000" w:firstRow="0" w:lastRow="0" w:firstColumn="1" w:lastColumn="0" w:oddVBand="0" w:evenVBand="0" w:oddHBand="0" w:evenHBand="0" w:firstRowFirstColumn="0" w:firstRowLastColumn="0" w:lastRowFirstColumn="0" w:lastRowLastColumn="0"/>
            <w:tcW w:w="2405" w:type="dxa"/>
          </w:tcPr>
          <w:p w14:paraId="1F42CDD8" w14:textId="77777777" w:rsidR="00281C2F" w:rsidRPr="00256451" w:rsidRDefault="00281C2F" w:rsidP="009A032D">
            <w:pPr>
              <w:pStyle w:val="Tabletext"/>
              <w:rPr>
                <w:b w:val="0"/>
              </w:rPr>
            </w:pPr>
            <w:r w:rsidRPr="00256451">
              <w:rPr>
                <w:rFonts w:eastAsia="MS Mincho"/>
              </w:rPr>
              <w:t xml:space="preserve">Pharmacy and medicines management </w:t>
            </w:r>
          </w:p>
        </w:tc>
        <w:tc>
          <w:tcPr>
            <w:tcW w:w="6662" w:type="dxa"/>
          </w:tcPr>
          <w:p w14:paraId="60DF8DB7" w14:textId="77777777" w:rsidR="00281C2F" w:rsidRPr="00256451"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256451">
              <w:t xml:space="preserve">As for </w:t>
            </w:r>
            <w:r>
              <w:t>L</w:t>
            </w:r>
            <w:r w:rsidRPr="00256451">
              <w:t>evel 5.</w:t>
            </w:r>
          </w:p>
        </w:tc>
      </w:tr>
      <w:tr w:rsidR="00281C2F" w:rsidRPr="00A63ED1" w14:paraId="2440FCAA" w14:textId="77777777" w:rsidTr="00E44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43A89CD6" w14:textId="77777777" w:rsidR="00281C2F" w:rsidRPr="00256451" w:rsidRDefault="00281C2F" w:rsidP="009A032D">
            <w:pPr>
              <w:pStyle w:val="Tabletext"/>
              <w:rPr>
                <w:rFonts w:eastAsia="MS Mincho"/>
              </w:rPr>
            </w:pPr>
            <w:r>
              <w:rPr>
                <w:rFonts w:eastAsia="MS Mincho"/>
              </w:rPr>
              <w:t>Pre-admission services</w:t>
            </w:r>
          </w:p>
        </w:tc>
        <w:tc>
          <w:tcPr>
            <w:tcW w:w="6662" w:type="dxa"/>
            <w:shd w:val="clear" w:color="auto" w:fill="DBE5F1" w:themeFill="accent1" w:themeFillTint="33"/>
          </w:tcPr>
          <w:p w14:paraId="369599FB" w14:textId="77777777" w:rsidR="00281C2F" w:rsidRPr="00256451"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As for Level 4.</w:t>
            </w:r>
          </w:p>
        </w:tc>
      </w:tr>
      <w:tr w:rsidR="00281C2F" w:rsidRPr="00A63ED1" w14:paraId="69ACEE26" w14:textId="77777777" w:rsidTr="00E449CC">
        <w:tc>
          <w:tcPr>
            <w:cnfStyle w:val="001000000000" w:firstRow="0" w:lastRow="0" w:firstColumn="1" w:lastColumn="0" w:oddVBand="0" w:evenVBand="0" w:oddHBand="0" w:evenHBand="0" w:firstRowFirstColumn="0" w:firstRowLastColumn="0" w:lastRowFirstColumn="0" w:lastRowLastColumn="0"/>
            <w:tcW w:w="2405" w:type="dxa"/>
          </w:tcPr>
          <w:p w14:paraId="6C29CE5C" w14:textId="77777777" w:rsidR="00281C2F" w:rsidRPr="00256451" w:rsidRDefault="00281C2F" w:rsidP="009A032D">
            <w:pPr>
              <w:pStyle w:val="Tabletext"/>
              <w:rPr>
                <w:rFonts w:eastAsia="MS Mincho"/>
              </w:rPr>
            </w:pPr>
            <w:r>
              <w:rPr>
                <w:rFonts w:eastAsia="MS Mincho"/>
              </w:rPr>
              <w:t>Sociocultural support</w:t>
            </w:r>
          </w:p>
        </w:tc>
        <w:tc>
          <w:tcPr>
            <w:tcW w:w="6662" w:type="dxa"/>
          </w:tcPr>
          <w:p w14:paraId="1ADEA000" w14:textId="77777777" w:rsidR="00281C2F" w:rsidRPr="00256451"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AHLO services are available during standard hours and accessible 24/7.</w:t>
            </w:r>
          </w:p>
        </w:tc>
      </w:tr>
    </w:tbl>
    <w:p w14:paraId="2A3912F4" w14:textId="77777777" w:rsidR="00281C2F" w:rsidRDefault="00281C2F" w:rsidP="00281C2F">
      <w:pPr>
        <w:pStyle w:val="Heading3"/>
      </w:pPr>
      <w:r w:rsidRPr="006A6222">
        <w:t>Equipment and infrastructure</w:t>
      </w:r>
      <w:r>
        <w:t xml:space="preserve"> </w:t>
      </w:r>
    </w:p>
    <w:p w14:paraId="6A98EABD" w14:textId="50956B28" w:rsidR="00281C2F" w:rsidRPr="001A5357" w:rsidRDefault="0022729A" w:rsidP="00281C2F">
      <w:pPr>
        <w:pStyle w:val="Body"/>
      </w:pPr>
      <w:r>
        <w:t xml:space="preserve">This section </w:t>
      </w:r>
      <w:r w:rsidR="00281C2F">
        <w:t xml:space="preserve">outlines the requirements for equipment and infrastructure in Level 6 perioperative services that are in addition to all the </w:t>
      </w:r>
      <w:r w:rsidR="00FE56A3">
        <w:t>requirements</w:t>
      </w:r>
      <w:r w:rsidR="00281C2F">
        <w:t xml:space="preserve"> in </w:t>
      </w:r>
      <w:r w:rsidR="00710B90">
        <w:t>L</w:t>
      </w:r>
      <w:r w:rsidR="00281C2F">
        <w:t>evels 1–5.</w:t>
      </w:r>
    </w:p>
    <w:tbl>
      <w:tblPr>
        <w:tblStyle w:val="GridTable4-Accent6"/>
        <w:tblW w:w="9067" w:type="dxa"/>
        <w:tblBorders>
          <w:top w:val="none" w:sz="0" w:space="0" w:color="auto"/>
          <w:left w:val="none" w:sz="0" w:space="0" w:color="auto"/>
          <w:bottom w:val="none" w:sz="0" w:space="0" w:color="auto"/>
          <w:right w:val="none" w:sz="0" w:space="0" w:color="auto"/>
          <w:insideH w:val="none" w:sz="0" w:space="0" w:color="auto"/>
          <w:insideV w:val="single" w:sz="4" w:space="0" w:color="201547"/>
        </w:tblBorders>
        <w:tblLook w:val="04A0" w:firstRow="1" w:lastRow="0" w:firstColumn="1" w:lastColumn="0" w:noHBand="0" w:noVBand="1"/>
      </w:tblPr>
      <w:tblGrid>
        <w:gridCol w:w="2547"/>
        <w:gridCol w:w="6520"/>
      </w:tblGrid>
      <w:tr w:rsidR="0016155A" w:rsidRPr="0016155A" w14:paraId="28C40626" w14:textId="77777777" w:rsidTr="00E449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201547"/>
          </w:tcPr>
          <w:p w14:paraId="436E8AA9" w14:textId="3F7CB7B8" w:rsidR="00281C2F" w:rsidRPr="0016155A" w:rsidRDefault="00281C2F" w:rsidP="0016155A">
            <w:pPr>
              <w:pStyle w:val="Tablecolhead"/>
              <w:rPr>
                <w:b/>
                <w:bCs w:val="0"/>
                <w:color w:val="FFFFFF" w:themeColor="background1"/>
              </w:rPr>
            </w:pPr>
            <w:r w:rsidRPr="0016155A">
              <w:rPr>
                <w:b/>
                <w:bCs w:val="0"/>
                <w:color w:val="FFFFFF" w:themeColor="background1"/>
              </w:rPr>
              <w:t xml:space="preserve">Level 6 service </w:t>
            </w:r>
          </w:p>
        </w:tc>
        <w:tc>
          <w:tcPr>
            <w:tcW w:w="6520" w:type="dxa"/>
            <w:shd w:val="clear" w:color="auto" w:fill="201547"/>
          </w:tcPr>
          <w:p w14:paraId="02CA5FA6" w14:textId="77777777" w:rsidR="00281C2F" w:rsidRPr="0016155A" w:rsidRDefault="00281C2F" w:rsidP="0016155A">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16155A">
              <w:rPr>
                <w:b/>
                <w:bCs w:val="0"/>
                <w:color w:val="FFFFFF" w:themeColor="background1"/>
              </w:rPr>
              <w:t>Requirements</w:t>
            </w:r>
          </w:p>
        </w:tc>
      </w:tr>
      <w:tr w:rsidR="00281C2F" w:rsidRPr="00A63ED1" w14:paraId="498BAF80" w14:textId="77777777" w:rsidTr="00E44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DBE5F1" w:themeFill="accent1" w:themeFillTint="33"/>
          </w:tcPr>
          <w:p w14:paraId="032CA50B" w14:textId="77777777" w:rsidR="00281C2F" w:rsidRPr="00DC4FFC" w:rsidRDefault="00281C2F" w:rsidP="009A032D">
            <w:pPr>
              <w:pStyle w:val="Tabletext"/>
              <w:rPr>
                <w:b w:val="0"/>
              </w:rPr>
            </w:pPr>
            <w:r w:rsidRPr="00DC4FFC">
              <w:t>Equipment</w:t>
            </w:r>
          </w:p>
        </w:tc>
        <w:tc>
          <w:tcPr>
            <w:tcW w:w="6520" w:type="dxa"/>
            <w:shd w:val="clear" w:color="auto" w:fill="DBE5F1" w:themeFill="accent1" w:themeFillTint="33"/>
          </w:tcPr>
          <w:p w14:paraId="62C45B2E" w14:textId="77777777" w:rsidR="00281C2F" w:rsidRPr="00F966E1"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37488AAE">
              <w:t>Specialist surgical equipment required to undertake rare or complex surgery applicable to that site</w:t>
            </w:r>
            <w:r>
              <w:t xml:space="preserve"> is provided.</w:t>
            </w:r>
          </w:p>
          <w:p w14:paraId="21EAD8CB" w14:textId="77777777" w:rsidR="00281C2F" w:rsidRPr="009F15D1"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37488AAE">
              <w:t xml:space="preserve">Specialist anaesthetic equipment </w:t>
            </w:r>
            <w:r>
              <w:t xml:space="preserve">is </w:t>
            </w:r>
            <w:r w:rsidRPr="37488AAE">
              <w:t>available for surgical subspecialties within scope</w:t>
            </w:r>
            <w:r>
              <w:t>.</w:t>
            </w:r>
          </w:p>
        </w:tc>
      </w:tr>
      <w:tr w:rsidR="00281C2F" w:rsidRPr="00A63ED1" w14:paraId="509C3969" w14:textId="77777777" w:rsidTr="00E449CC">
        <w:tc>
          <w:tcPr>
            <w:cnfStyle w:val="001000000000" w:firstRow="0" w:lastRow="0" w:firstColumn="1" w:lastColumn="0" w:oddVBand="0" w:evenVBand="0" w:oddHBand="0" w:evenHBand="0" w:firstRowFirstColumn="0" w:firstRowLastColumn="0" w:lastRowFirstColumn="0" w:lastRowLastColumn="0"/>
            <w:tcW w:w="2547" w:type="dxa"/>
          </w:tcPr>
          <w:p w14:paraId="0ED88D7B" w14:textId="77777777" w:rsidR="00281C2F" w:rsidRPr="00DC4FFC" w:rsidRDefault="00281C2F" w:rsidP="009A032D">
            <w:pPr>
              <w:pStyle w:val="Tabletext"/>
            </w:pPr>
            <w:r>
              <w:t>Environmental services</w:t>
            </w:r>
          </w:p>
        </w:tc>
        <w:tc>
          <w:tcPr>
            <w:tcW w:w="6520" w:type="dxa"/>
          </w:tcPr>
          <w:p w14:paraId="24B86234" w14:textId="77777777" w:rsidR="00281C2F" w:rsidRPr="37488AAE"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As for Level 2.</w:t>
            </w:r>
          </w:p>
        </w:tc>
      </w:tr>
      <w:tr w:rsidR="00281C2F" w:rsidRPr="00A63ED1" w14:paraId="3365072B" w14:textId="77777777" w:rsidTr="00E44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DBE5F1" w:themeFill="accent1" w:themeFillTint="33"/>
          </w:tcPr>
          <w:p w14:paraId="145346CA" w14:textId="77777777" w:rsidR="00281C2F" w:rsidRPr="00DC4FFC" w:rsidRDefault="00281C2F" w:rsidP="009A032D">
            <w:pPr>
              <w:pStyle w:val="Tabletext"/>
            </w:pPr>
            <w:r>
              <w:t>Procedure rooms/ theatre/recovery</w:t>
            </w:r>
          </w:p>
        </w:tc>
        <w:tc>
          <w:tcPr>
            <w:tcW w:w="6520" w:type="dxa"/>
            <w:shd w:val="clear" w:color="auto" w:fill="DBE5F1" w:themeFill="accent1" w:themeFillTint="33"/>
          </w:tcPr>
          <w:p w14:paraId="59CF7E76"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As for Level 5.</w:t>
            </w:r>
          </w:p>
          <w:p w14:paraId="08334EDC" w14:textId="77777777" w:rsidR="00281C2F" w:rsidRPr="37488AAE"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Paediatric services – as for Level 4.</w:t>
            </w:r>
          </w:p>
        </w:tc>
      </w:tr>
    </w:tbl>
    <w:p w14:paraId="45D0CDC5" w14:textId="77777777" w:rsidR="00281C2F" w:rsidRDefault="00281C2F" w:rsidP="008A389B">
      <w:pPr>
        <w:pStyle w:val="Body"/>
      </w:pPr>
      <w:r>
        <w:br w:type="page"/>
      </w:r>
    </w:p>
    <w:p w14:paraId="7672CD8A" w14:textId="77777777" w:rsidR="00281C2F" w:rsidRPr="002A3568" w:rsidRDefault="00281C2F" w:rsidP="00281C2F">
      <w:pPr>
        <w:pStyle w:val="Heading1"/>
      </w:pPr>
      <w:bookmarkStart w:id="55" w:name="_Toc148718460"/>
      <w:bookmarkStart w:id="56" w:name="_Toc153792521"/>
      <w:r w:rsidRPr="002A3568">
        <w:t>Glossary</w:t>
      </w:r>
      <w:bookmarkEnd w:id="55"/>
      <w:bookmarkEnd w:id="56"/>
    </w:p>
    <w:tbl>
      <w:tblPr>
        <w:tblStyle w:val="GridTable4-Accent6"/>
        <w:tblW w:w="9498" w:type="dxa"/>
        <w:tblBorders>
          <w:top w:val="none" w:sz="0" w:space="0" w:color="auto"/>
          <w:left w:val="none" w:sz="0" w:space="0" w:color="auto"/>
          <w:bottom w:val="single" w:sz="4" w:space="0" w:color="201547"/>
          <w:right w:val="none" w:sz="0" w:space="0" w:color="auto"/>
          <w:insideH w:val="none" w:sz="0" w:space="0" w:color="auto"/>
          <w:insideV w:val="single" w:sz="4" w:space="0" w:color="201547"/>
        </w:tblBorders>
        <w:tblLook w:val="04A0" w:firstRow="1" w:lastRow="0" w:firstColumn="1" w:lastColumn="0" w:noHBand="0" w:noVBand="1"/>
      </w:tblPr>
      <w:tblGrid>
        <w:gridCol w:w="2282"/>
        <w:gridCol w:w="7216"/>
      </w:tblGrid>
      <w:tr w:rsidR="00281C2F" w:rsidRPr="002A3568" w14:paraId="3EFE281A" w14:textId="77777777" w:rsidTr="00E449CC">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2282" w:type="dxa"/>
            <w:shd w:val="clear" w:color="auto" w:fill="201547"/>
            <w:hideMark/>
          </w:tcPr>
          <w:p w14:paraId="2D441235" w14:textId="77777777" w:rsidR="00281C2F" w:rsidRPr="002A3568" w:rsidRDefault="00281C2F" w:rsidP="009A032D">
            <w:pPr>
              <w:pStyle w:val="Tablecolhead"/>
              <w:rPr>
                <w:b/>
                <w:color w:val="FFFFFF" w:themeColor="background1"/>
              </w:rPr>
            </w:pPr>
            <w:r w:rsidRPr="002A3568">
              <w:rPr>
                <w:b/>
                <w:color w:val="FFFFFF" w:themeColor="background1"/>
              </w:rPr>
              <w:t>Term </w:t>
            </w:r>
          </w:p>
        </w:tc>
        <w:tc>
          <w:tcPr>
            <w:tcW w:w="7216" w:type="dxa"/>
            <w:shd w:val="clear" w:color="auto" w:fill="201547"/>
            <w:hideMark/>
          </w:tcPr>
          <w:p w14:paraId="277B4476" w14:textId="77777777" w:rsidR="00281C2F" w:rsidRPr="002A3568" w:rsidRDefault="00281C2F" w:rsidP="009A032D">
            <w:pPr>
              <w:pStyle w:val="Tablecolhead"/>
              <w:cnfStyle w:val="100000000000" w:firstRow="1" w:lastRow="0" w:firstColumn="0" w:lastColumn="0" w:oddVBand="0" w:evenVBand="0" w:oddHBand="0" w:evenHBand="0" w:firstRowFirstColumn="0" w:firstRowLastColumn="0" w:lastRowFirstColumn="0" w:lastRowLastColumn="0"/>
              <w:rPr>
                <w:b/>
                <w:color w:val="FFFFFF" w:themeColor="background1"/>
              </w:rPr>
            </w:pPr>
            <w:r w:rsidRPr="002A3568">
              <w:rPr>
                <w:b/>
                <w:color w:val="FFFFFF" w:themeColor="background1"/>
              </w:rPr>
              <w:t>Meaning in this document</w:t>
            </w:r>
          </w:p>
        </w:tc>
      </w:tr>
      <w:tr w:rsidR="00281C2F" w14:paraId="2AC6AB60" w14:textId="77777777" w:rsidTr="00E449C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375540FE" w14:textId="77777777" w:rsidR="00281C2F" w:rsidRDefault="00281C2F" w:rsidP="009A032D">
            <w:pPr>
              <w:pStyle w:val="Tabletext"/>
              <w:rPr>
                <w:b w:val="0"/>
                <w:bCs w:val="0"/>
              </w:rPr>
            </w:pPr>
            <w:r>
              <w:t>24/7  </w:t>
            </w:r>
          </w:p>
        </w:tc>
        <w:tc>
          <w:tcPr>
            <w:tcW w:w="7216" w:type="dxa"/>
            <w:shd w:val="clear" w:color="auto" w:fill="DBE5F1" w:themeFill="accent1" w:themeFillTint="33"/>
            <w:hideMark/>
          </w:tcPr>
          <w:p w14:paraId="5CAB180E"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24 hours a day, 7 days a week.  </w:t>
            </w:r>
          </w:p>
        </w:tc>
      </w:tr>
      <w:tr w:rsidR="00281C2F" w14:paraId="72B89B71" w14:textId="77777777" w:rsidTr="00E449CC">
        <w:trPr>
          <w:trHeight w:val="780"/>
        </w:trPr>
        <w:tc>
          <w:tcPr>
            <w:cnfStyle w:val="001000000000" w:firstRow="0" w:lastRow="0" w:firstColumn="1" w:lastColumn="0" w:oddVBand="0" w:evenVBand="0" w:oddHBand="0" w:evenHBand="0" w:firstRowFirstColumn="0" w:firstRowLastColumn="0" w:lastRowFirstColumn="0" w:lastRowLastColumn="0"/>
            <w:tcW w:w="2282" w:type="dxa"/>
            <w:hideMark/>
          </w:tcPr>
          <w:p w14:paraId="22A956FF" w14:textId="77777777" w:rsidR="00281C2F" w:rsidRDefault="00281C2F" w:rsidP="009A032D">
            <w:pPr>
              <w:pStyle w:val="Tabletext"/>
              <w:rPr>
                <w:b w:val="0"/>
                <w:bCs w:val="0"/>
              </w:rPr>
            </w:pPr>
            <w:r>
              <w:t>Access/accessible </w:t>
            </w:r>
          </w:p>
        </w:tc>
        <w:tc>
          <w:tcPr>
            <w:tcW w:w="7216" w:type="dxa"/>
            <w:hideMark/>
          </w:tcPr>
          <w:p w14:paraId="557B354D"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Refers to the ability to use resources, a service or the skills of a suitably qualified person without difficulty or delay (may be located onsite or offsite, in accordance with requirements).  </w:t>
            </w:r>
          </w:p>
        </w:tc>
      </w:tr>
      <w:tr w:rsidR="00281C2F" w14:paraId="4FBAAA30" w14:textId="77777777" w:rsidTr="00E449CC">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2F304167" w14:textId="77777777" w:rsidR="00281C2F" w:rsidRDefault="00281C2F" w:rsidP="009A032D">
            <w:pPr>
              <w:pStyle w:val="Tabletext"/>
              <w:rPr>
                <w:b w:val="0"/>
                <w:bCs w:val="0"/>
              </w:rPr>
            </w:pPr>
            <w:r>
              <w:t>Acute care </w:t>
            </w:r>
          </w:p>
        </w:tc>
        <w:tc>
          <w:tcPr>
            <w:tcW w:w="7216" w:type="dxa"/>
            <w:shd w:val="clear" w:color="auto" w:fill="DBE5F1" w:themeFill="accent1" w:themeFillTint="33"/>
            <w:hideMark/>
          </w:tcPr>
          <w:p w14:paraId="6949CFED"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Victorian acute care includes admitted and non-admitted services, such as critical care, surgical services, admitted care (including Hospital in the Home), specialist clinics, trauma and emergency services. </w:t>
            </w:r>
          </w:p>
        </w:tc>
      </w:tr>
      <w:tr w:rsidR="00281C2F" w14:paraId="17B0B5FD" w14:textId="77777777" w:rsidTr="00E449CC">
        <w:trPr>
          <w:trHeight w:val="510"/>
        </w:trPr>
        <w:tc>
          <w:tcPr>
            <w:cnfStyle w:val="001000000000" w:firstRow="0" w:lastRow="0" w:firstColumn="1" w:lastColumn="0" w:oddVBand="0" w:evenVBand="0" w:oddHBand="0" w:evenHBand="0" w:firstRowFirstColumn="0" w:firstRowLastColumn="0" w:lastRowFirstColumn="0" w:lastRowLastColumn="0"/>
            <w:tcW w:w="2282" w:type="dxa"/>
            <w:hideMark/>
          </w:tcPr>
          <w:p w14:paraId="471FCD47" w14:textId="77777777" w:rsidR="00281C2F" w:rsidRDefault="00281C2F" w:rsidP="009A032D">
            <w:pPr>
              <w:pStyle w:val="Tabletext"/>
              <w:rPr>
                <w:b w:val="0"/>
                <w:bCs w:val="0"/>
              </w:rPr>
            </w:pPr>
            <w:r>
              <w:t>Admitted care </w:t>
            </w:r>
          </w:p>
        </w:tc>
        <w:tc>
          <w:tcPr>
            <w:tcW w:w="7216" w:type="dxa"/>
            <w:hideMark/>
          </w:tcPr>
          <w:p w14:paraId="2A12EE77"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Sufficient dedicated facilities that are fit for purpose for the clinical services are provided to an admitted patient during an episode of care.</w:t>
            </w:r>
          </w:p>
          <w:p w14:paraId="3353249F"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Accommodation should support the care of diverse and speciality groups. </w:t>
            </w:r>
          </w:p>
        </w:tc>
      </w:tr>
      <w:tr w:rsidR="00281C2F" w14:paraId="2E9AC455" w14:textId="77777777" w:rsidTr="00E449CC">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714276A9" w14:textId="77777777" w:rsidR="00281C2F" w:rsidRDefault="00281C2F" w:rsidP="009A032D">
            <w:pPr>
              <w:pStyle w:val="Tabletext"/>
              <w:rPr>
                <w:b w:val="0"/>
                <w:bCs w:val="0"/>
              </w:rPr>
            </w:pPr>
            <w:r>
              <w:t>Admitted patient </w:t>
            </w:r>
          </w:p>
        </w:tc>
        <w:tc>
          <w:tcPr>
            <w:tcW w:w="7216" w:type="dxa"/>
            <w:shd w:val="clear" w:color="auto" w:fill="DBE5F1" w:themeFill="accent1" w:themeFillTint="33"/>
            <w:hideMark/>
          </w:tcPr>
          <w:p w14:paraId="1DCF23BD"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A patient who undergoes a hospital’s formal admission process to receive treatment and/or care. This treatment and/or care is provided over a period of time and can occur in hospital and/or in the person’s home (Hospital in the Home). </w:t>
            </w:r>
          </w:p>
        </w:tc>
      </w:tr>
      <w:tr w:rsidR="00281C2F" w14:paraId="676D58C0" w14:textId="77777777" w:rsidTr="00E449CC">
        <w:trPr>
          <w:trHeight w:val="1035"/>
        </w:trPr>
        <w:tc>
          <w:tcPr>
            <w:cnfStyle w:val="001000000000" w:firstRow="0" w:lastRow="0" w:firstColumn="1" w:lastColumn="0" w:oddVBand="0" w:evenVBand="0" w:oddHBand="0" w:evenHBand="0" w:firstRowFirstColumn="0" w:firstRowLastColumn="0" w:lastRowFirstColumn="0" w:lastRowLastColumn="0"/>
            <w:tcW w:w="2282" w:type="dxa"/>
            <w:hideMark/>
          </w:tcPr>
          <w:p w14:paraId="026AACFA" w14:textId="77777777" w:rsidR="00281C2F" w:rsidRDefault="00281C2F" w:rsidP="009A032D">
            <w:pPr>
              <w:pStyle w:val="Tabletext"/>
              <w:rPr>
                <w:b w:val="0"/>
                <w:bCs w:val="0"/>
              </w:rPr>
            </w:pPr>
            <w:r>
              <w:t>Advanced life support (ALS) </w:t>
            </w:r>
          </w:p>
        </w:tc>
        <w:tc>
          <w:tcPr>
            <w:tcW w:w="7216" w:type="dxa"/>
            <w:hideMark/>
          </w:tcPr>
          <w:p w14:paraId="517A99DB"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The provision of effective airway management, ventilation of the lungs and production of a circulation, by means of techniques additional to those of basic life support. These techniques may include, but not be limited to, advanced airway management, vascular access/drug therapy and defibrillation.</w:t>
            </w:r>
            <w:r>
              <w:rPr>
                <w:rFonts w:ascii="Calibri" w:hAnsi="Calibri" w:cs="Calibri"/>
              </w:rPr>
              <w:t xml:space="preserve"> </w:t>
            </w:r>
            <w:r>
              <w:t> </w:t>
            </w:r>
          </w:p>
        </w:tc>
      </w:tr>
      <w:tr w:rsidR="00281C2F" w14:paraId="0003FBEE" w14:textId="77777777" w:rsidTr="00E449CC">
        <w:trPr>
          <w:cnfStyle w:val="000000100000" w:firstRow="0" w:lastRow="0" w:firstColumn="0" w:lastColumn="0" w:oddVBand="0" w:evenVBand="0" w:oddHBand="1"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68F2A7B2" w14:textId="77777777" w:rsidR="00281C2F" w:rsidRDefault="00281C2F" w:rsidP="009A032D">
            <w:pPr>
              <w:pStyle w:val="Tabletext"/>
              <w:rPr>
                <w:b w:val="0"/>
                <w:bCs w:val="0"/>
              </w:rPr>
            </w:pPr>
            <w:r>
              <w:t>Allied health </w:t>
            </w:r>
          </w:p>
        </w:tc>
        <w:tc>
          <w:tcPr>
            <w:tcW w:w="7216" w:type="dxa"/>
            <w:shd w:val="clear" w:color="auto" w:fill="DBE5F1" w:themeFill="accent1" w:themeFillTint="33"/>
            <w:hideMark/>
          </w:tcPr>
          <w:p w14:paraId="401851B9"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An allied health profession is one that has a direct patient care role and belongs to a national professional organisation with a code of ethics/conduct and clearly defined membership requirements.  </w:t>
            </w:r>
          </w:p>
        </w:tc>
      </w:tr>
      <w:tr w:rsidR="00281C2F" w14:paraId="5AC96E81" w14:textId="77777777" w:rsidTr="00E449CC">
        <w:trPr>
          <w:trHeight w:val="315"/>
        </w:trPr>
        <w:tc>
          <w:tcPr>
            <w:cnfStyle w:val="001000000000" w:firstRow="0" w:lastRow="0" w:firstColumn="1" w:lastColumn="0" w:oddVBand="0" w:evenVBand="0" w:oddHBand="0" w:evenHBand="0" w:firstRowFirstColumn="0" w:firstRowLastColumn="0" w:lastRowFirstColumn="0" w:lastRowLastColumn="0"/>
            <w:tcW w:w="2282" w:type="dxa"/>
            <w:hideMark/>
          </w:tcPr>
          <w:p w14:paraId="33E48525" w14:textId="77777777" w:rsidR="00281C2F" w:rsidRDefault="00281C2F" w:rsidP="009A032D">
            <w:pPr>
              <w:pStyle w:val="Tabletext"/>
              <w:rPr>
                <w:b w:val="0"/>
                <w:bCs w:val="0"/>
              </w:rPr>
            </w:pPr>
            <w:r>
              <w:t>Anaesthesia</w:t>
            </w:r>
          </w:p>
        </w:tc>
        <w:tc>
          <w:tcPr>
            <w:tcW w:w="7216" w:type="dxa"/>
            <w:hideMark/>
          </w:tcPr>
          <w:p w14:paraId="60D4B24F"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 loss of sensation or awareness brought about by the delivery of medication to a patient. It allows procedures or surgery to be undertaken safely with minimal discomfort. It includes, but is not limited to, general anaesthesia, regional anaesthesia and sedation. For the purposes of this document, it excludes small procedures done under topical anaesthetic or local anaesthetic infiltration.</w:t>
            </w:r>
          </w:p>
        </w:tc>
      </w:tr>
      <w:tr w:rsidR="00281C2F" w14:paraId="7A641976" w14:textId="77777777" w:rsidTr="00E449C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7CA13F4C" w14:textId="77777777" w:rsidR="00281C2F" w:rsidRDefault="00281C2F" w:rsidP="009A032D">
            <w:pPr>
              <w:pStyle w:val="Tabletext"/>
              <w:rPr>
                <w:b w:val="0"/>
                <w:bCs w:val="0"/>
              </w:rPr>
            </w:pPr>
            <w:r>
              <w:t>Anaesthesia – local</w:t>
            </w:r>
          </w:p>
        </w:tc>
        <w:tc>
          <w:tcPr>
            <w:tcW w:w="7216" w:type="dxa"/>
            <w:shd w:val="clear" w:color="auto" w:fill="DBE5F1" w:themeFill="accent1" w:themeFillTint="33"/>
            <w:hideMark/>
          </w:tcPr>
          <w:p w14:paraId="51065127"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Infiltration of local anaesthetic to anaesthetise a small part of the body.</w:t>
            </w:r>
          </w:p>
        </w:tc>
      </w:tr>
      <w:tr w:rsidR="00281C2F" w14:paraId="24F237B6" w14:textId="77777777" w:rsidTr="00E449CC">
        <w:trPr>
          <w:trHeight w:val="315"/>
        </w:trPr>
        <w:tc>
          <w:tcPr>
            <w:cnfStyle w:val="001000000000" w:firstRow="0" w:lastRow="0" w:firstColumn="1" w:lastColumn="0" w:oddVBand="0" w:evenVBand="0" w:oddHBand="0" w:evenHBand="0" w:firstRowFirstColumn="0" w:firstRowLastColumn="0" w:lastRowFirstColumn="0" w:lastRowLastColumn="0"/>
            <w:tcW w:w="2282" w:type="dxa"/>
            <w:hideMark/>
          </w:tcPr>
          <w:p w14:paraId="6D31AAF7" w14:textId="77777777" w:rsidR="00281C2F" w:rsidRDefault="00281C2F" w:rsidP="009A032D">
            <w:pPr>
              <w:pStyle w:val="Tabletext"/>
              <w:rPr>
                <w:b w:val="0"/>
                <w:bCs w:val="0"/>
              </w:rPr>
            </w:pPr>
            <w:r>
              <w:t>Anaesthetic assistant</w:t>
            </w:r>
          </w:p>
        </w:tc>
        <w:tc>
          <w:tcPr>
            <w:tcW w:w="7216" w:type="dxa"/>
            <w:hideMark/>
          </w:tcPr>
          <w:p w14:paraId="2578C389"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An individual who has successfully completed a suitable training course to assist anaesthetists during the conduct of anaesthesia</w:t>
            </w:r>
            <w:r>
              <w:rPr>
                <w:rStyle w:val="FootnoteReference"/>
                <w:sz w:val="20"/>
              </w:rPr>
              <w:footnoteReference w:id="72"/>
            </w:r>
            <w:r>
              <w:t>.</w:t>
            </w:r>
          </w:p>
        </w:tc>
      </w:tr>
      <w:tr w:rsidR="00281C2F" w14:paraId="70D4117F" w14:textId="77777777" w:rsidTr="00E449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7B500BE4" w14:textId="77777777" w:rsidR="00281C2F" w:rsidRDefault="00281C2F" w:rsidP="009A032D">
            <w:pPr>
              <w:pStyle w:val="Tabletext"/>
              <w:rPr>
                <w:b w:val="0"/>
                <w:bCs w:val="0"/>
              </w:rPr>
            </w:pPr>
            <w:r>
              <w:t>Available </w:t>
            </w:r>
          </w:p>
        </w:tc>
        <w:tc>
          <w:tcPr>
            <w:tcW w:w="7216" w:type="dxa"/>
            <w:shd w:val="clear" w:color="auto" w:fill="DBE5F1" w:themeFill="accent1" w:themeFillTint="33"/>
            <w:hideMark/>
          </w:tcPr>
          <w:p w14:paraId="48E534AC"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Refers to the ability to immediately access and use resources, a service or the skills of a suitably qualified person.  </w:t>
            </w:r>
          </w:p>
          <w:p w14:paraId="1C22744B"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In relation to workforce, an available staff member is formally on call, and can be immediately contacted to provide advice and/or deliver face-to-face care within the timeframes agreed by the health service. </w:t>
            </w:r>
          </w:p>
        </w:tc>
      </w:tr>
      <w:tr w:rsidR="00281C2F" w14:paraId="6D2E925D" w14:textId="77777777" w:rsidTr="00E449CC">
        <w:trPr>
          <w:trHeight w:val="780"/>
        </w:trPr>
        <w:tc>
          <w:tcPr>
            <w:cnfStyle w:val="001000000000" w:firstRow="0" w:lastRow="0" w:firstColumn="1" w:lastColumn="0" w:oddVBand="0" w:evenVBand="0" w:oddHBand="0" w:evenHBand="0" w:firstRowFirstColumn="0" w:firstRowLastColumn="0" w:lastRowFirstColumn="0" w:lastRowLastColumn="0"/>
            <w:tcW w:w="2282" w:type="dxa"/>
          </w:tcPr>
          <w:p w14:paraId="12B03471" w14:textId="77777777" w:rsidR="00281C2F" w:rsidRDefault="00281C2F" w:rsidP="009A032D">
            <w:pPr>
              <w:pStyle w:val="Tabletext"/>
              <w:rPr>
                <w:b w:val="0"/>
                <w:bCs w:val="0"/>
              </w:rPr>
            </w:pPr>
            <w:r>
              <w:t>Basic life support (BLS)</w:t>
            </w:r>
          </w:p>
        </w:tc>
        <w:tc>
          <w:tcPr>
            <w:tcW w:w="7216" w:type="dxa"/>
          </w:tcPr>
          <w:p w14:paraId="0CD89DE8"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9C716A">
              <w:t xml:space="preserve">The preservation of life by the initial establishment of, and/or maintenance of, airway, </w:t>
            </w:r>
            <w:r>
              <w:t>breathing</w:t>
            </w:r>
            <w:r w:rsidRPr="009C716A">
              <w:t xml:space="preserve">, circulation and related emergency care, including use of an </w:t>
            </w:r>
            <w:r>
              <w:t xml:space="preserve">automated external defibrillator. </w:t>
            </w:r>
          </w:p>
        </w:tc>
      </w:tr>
      <w:tr w:rsidR="00281C2F" w14:paraId="0BA3CEEA" w14:textId="77777777" w:rsidTr="00E449CC">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2EB1E5C2" w14:textId="77777777" w:rsidR="00281C2F" w:rsidRDefault="00281C2F" w:rsidP="009A032D">
            <w:pPr>
              <w:pStyle w:val="Tabletext"/>
              <w:rPr>
                <w:b w:val="0"/>
                <w:bCs w:val="0"/>
              </w:rPr>
            </w:pPr>
            <w:r>
              <w:t xml:space="preserve">Bush nursing centres/hospitals  </w:t>
            </w:r>
          </w:p>
        </w:tc>
        <w:tc>
          <w:tcPr>
            <w:tcW w:w="7216" w:type="dxa"/>
            <w:shd w:val="clear" w:color="auto" w:fill="DBE5F1" w:themeFill="accent1" w:themeFillTint="33"/>
            <w:hideMark/>
          </w:tcPr>
          <w:p w14:paraId="79C81392"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Victoria has five public bush nursing hospitals and one operating as a non-government organisation (Cobden District Health Services), and 15 bush nursing centres. These services will be covered under the capability framework.</w:t>
            </w:r>
          </w:p>
        </w:tc>
      </w:tr>
      <w:tr w:rsidR="00281C2F" w14:paraId="1D7276DC" w14:textId="77777777" w:rsidTr="00E449CC">
        <w:trPr>
          <w:trHeight w:val="780"/>
        </w:trPr>
        <w:tc>
          <w:tcPr>
            <w:cnfStyle w:val="001000000000" w:firstRow="0" w:lastRow="0" w:firstColumn="1" w:lastColumn="0" w:oddVBand="0" w:evenVBand="0" w:oddHBand="0" w:evenHBand="0" w:firstRowFirstColumn="0" w:firstRowLastColumn="0" w:lastRowFirstColumn="0" w:lastRowLastColumn="0"/>
            <w:tcW w:w="2282" w:type="dxa"/>
            <w:hideMark/>
          </w:tcPr>
          <w:p w14:paraId="264598B0" w14:textId="77777777" w:rsidR="00281C2F" w:rsidRDefault="00281C2F" w:rsidP="009A032D">
            <w:pPr>
              <w:pStyle w:val="Tabletext"/>
              <w:rPr>
                <w:b w:val="0"/>
                <w:bCs w:val="0"/>
              </w:rPr>
            </w:pPr>
            <w:r>
              <w:t>Clinical mental health consultation-liaison service</w:t>
            </w:r>
          </w:p>
        </w:tc>
        <w:tc>
          <w:tcPr>
            <w:tcW w:w="7216" w:type="dxa"/>
            <w:hideMark/>
          </w:tcPr>
          <w:p w14:paraId="56FF5BD2"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This service comprises specialist mental health assessment, intervention and management for hospital patients requiring immediate mental health care, as well as providing support and training to hospital staff.</w:t>
            </w:r>
          </w:p>
        </w:tc>
      </w:tr>
      <w:tr w:rsidR="00281C2F" w14:paraId="1BF0C40D" w14:textId="77777777" w:rsidTr="00E449CC">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4B469B28" w14:textId="77777777" w:rsidR="00281C2F" w:rsidRDefault="00281C2F" w:rsidP="009A032D">
            <w:pPr>
              <w:pStyle w:val="Tabletext"/>
              <w:rPr>
                <w:b w:val="0"/>
                <w:bCs w:val="0"/>
              </w:rPr>
            </w:pPr>
            <w:r>
              <w:t>Clinical governance  </w:t>
            </w:r>
          </w:p>
        </w:tc>
        <w:tc>
          <w:tcPr>
            <w:tcW w:w="7216" w:type="dxa"/>
            <w:shd w:val="clear" w:color="auto" w:fill="DBE5F1" w:themeFill="accent1" w:themeFillTint="33"/>
            <w:hideMark/>
          </w:tcPr>
          <w:p w14:paraId="6EBB2113"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The framework through which health organisations are accountable for continuously improving the quality of their services and safeguarding high standards of care by creating an environment in which excellence in clinical care will flourish. </w:t>
            </w:r>
          </w:p>
        </w:tc>
      </w:tr>
      <w:tr w:rsidR="00281C2F" w14:paraId="071CD532" w14:textId="77777777" w:rsidTr="00E449CC">
        <w:trPr>
          <w:trHeight w:val="525"/>
        </w:trPr>
        <w:tc>
          <w:tcPr>
            <w:cnfStyle w:val="001000000000" w:firstRow="0" w:lastRow="0" w:firstColumn="1" w:lastColumn="0" w:oddVBand="0" w:evenVBand="0" w:oddHBand="0" w:evenHBand="0" w:firstRowFirstColumn="0" w:firstRowLastColumn="0" w:lastRowFirstColumn="0" w:lastRowLastColumn="0"/>
            <w:tcW w:w="2282" w:type="dxa"/>
            <w:hideMark/>
          </w:tcPr>
          <w:p w14:paraId="7E9DDACB" w14:textId="77777777" w:rsidR="00281C2F" w:rsidRDefault="00281C2F" w:rsidP="009A032D">
            <w:pPr>
              <w:pStyle w:val="Tabletext"/>
              <w:rPr>
                <w:b w:val="0"/>
                <w:bCs w:val="0"/>
              </w:rPr>
            </w:pPr>
            <w:r>
              <w:t>Community service organisations </w:t>
            </w:r>
          </w:p>
        </w:tc>
        <w:tc>
          <w:tcPr>
            <w:tcW w:w="7216" w:type="dxa"/>
            <w:hideMark/>
          </w:tcPr>
          <w:p w14:paraId="08DFA72B"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Registered community health centres, local government authorities and non-government organisations that are not health services. </w:t>
            </w:r>
          </w:p>
        </w:tc>
      </w:tr>
      <w:tr w:rsidR="00281C2F" w14:paraId="5783094E" w14:textId="77777777" w:rsidTr="00E449CC">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782B97F5" w14:textId="77777777" w:rsidR="00281C2F" w:rsidRDefault="00281C2F" w:rsidP="009A032D">
            <w:pPr>
              <w:pStyle w:val="Tabletext"/>
              <w:rPr>
                <w:b w:val="0"/>
                <w:bCs w:val="0"/>
              </w:rPr>
            </w:pPr>
            <w:r>
              <w:t>Competency </w:t>
            </w:r>
          </w:p>
        </w:tc>
        <w:tc>
          <w:tcPr>
            <w:tcW w:w="7216" w:type="dxa"/>
            <w:shd w:val="clear" w:color="auto" w:fill="DBE5F1" w:themeFill="accent1" w:themeFillTint="33"/>
            <w:hideMark/>
          </w:tcPr>
          <w:p w14:paraId="3B718612"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Refers to the demonstration of a current set of skills, knowledge and practice expertise required to provide care that is safe and high quality. Competency may be demonstrated across a scope of practice or depth of practice, both during training or after formal assessment or credentialing.  </w:t>
            </w:r>
          </w:p>
          <w:p w14:paraId="0D3121F4"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Competency is usually demonstrated through: </w:t>
            </w:r>
          </w:p>
          <w:p w14:paraId="30F05712" w14:textId="77777777" w:rsidR="00281C2F"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regular training and education </w:t>
            </w:r>
          </w:p>
          <w:p w14:paraId="0F4927AE" w14:textId="77777777" w:rsidR="00281C2F"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ongoing workplace assessment and review </w:t>
            </w:r>
          </w:p>
          <w:p w14:paraId="04840566" w14:textId="77777777" w:rsidR="00281C2F"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recency of practice (within 12 months).</w:t>
            </w:r>
          </w:p>
          <w:p w14:paraId="57CFBC98"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It may be used to offer privilege to provide specific services within a health service, and be recognised through formal endorsement by a registering authority or a formal credentialing process. </w:t>
            </w:r>
          </w:p>
        </w:tc>
      </w:tr>
      <w:tr w:rsidR="00281C2F" w14:paraId="47AEB156" w14:textId="77777777" w:rsidTr="00E449CC">
        <w:trPr>
          <w:trHeight w:val="695"/>
        </w:trPr>
        <w:tc>
          <w:tcPr>
            <w:cnfStyle w:val="001000000000" w:firstRow="0" w:lastRow="0" w:firstColumn="1" w:lastColumn="0" w:oddVBand="0" w:evenVBand="0" w:oddHBand="0" w:evenHBand="0" w:firstRowFirstColumn="0" w:firstRowLastColumn="0" w:lastRowFirstColumn="0" w:lastRowLastColumn="0"/>
            <w:tcW w:w="2282" w:type="dxa"/>
          </w:tcPr>
          <w:p w14:paraId="5908D95D" w14:textId="77777777" w:rsidR="00281C2F" w:rsidRDefault="00281C2F" w:rsidP="009A032D">
            <w:pPr>
              <w:pStyle w:val="Tabletext"/>
              <w:rPr>
                <w:b w:val="0"/>
                <w:bCs w:val="0"/>
              </w:rPr>
            </w:pPr>
            <w:r w:rsidRPr="003F1F41">
              <w:t>Consumer</w:t>
            </w:r>
          </w:p>
        </w:tc>
        <w:tc>
          <w:tcPr>
            <w:tcW w:w="7216" w:type="dxa"/>
          </w:tcPr>
          <w:p w14:paraId="4387B16E"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3F1F41">
              <w:t>A person, their family or carer/s who are current or potential users of health services.</w:t>
            </w:r>
          </w:p>
        </w:tc>
      </w:tr>
      <w:tr w:rsidR="00281C2F" w14:paraId="0B6BECB8" w14:textId="77777777" w:rsidTr="00E449CC">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13D60B0F" w14:textId="77777777" w:rsidR="00281C2F" w:rsidRDefault="00281C2F" w:rsidP="009A032D">
            <w:pPr>
              <w:pStyle w:val="Tabletext"/>
              <w:rPr>
                <w:b w:val="0"/>
                <w:bCs w:val="0"/>
                <w:color w:val="000000"/>
              </w:rPr>
            </w:pPr>
            <w:r>
              <w:t>Credentialing</w:t>
            </w:r>
          </w:p>
        </w:tc>
        <w:tc>
          <w:tcPr>
            <w:tcW w:w="7216" w:type="dxa"/>
            <w:shd w:val="clear" w:color="auto" w:fill="DBE5F1" w:themeFill="accent1" w:themeFillTint="33"/>
            <w:hideMark/>
          </w:tcPr>
          <w:p w14:paraId="1572F79F"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The formal process used to verify the qualifications, experience, professional standing and other relevant professional attributes of medical practitioners or dentists, for the purpose of forming a view about their competence, performance and professional suitability to provide safe, high-quality healthcare services in specific organisational environments.</w:t>
            </w:r>
          </w:p>
          <w:p w14:paraId="769258F0" w14:textId="380858B2"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 xml:space="preserve">For registered medical specialists, credentialing is as per the </w:t>
            </w:r>
            <w:hyperlink r:id="rId62" w:history="1">
              <w:r w:rsidRPr="00BB6B39">
                <w:rPr>
                  <w:rStyle w:val="Hyperlink"/>
                </w:rPr>
                <w:t>Credentialing and scope of clinical practice for senior medical practitioners policy</w:t>
              </w:r>
            </w:hyperlink>
            <w:r>
              <w:rPr>
                <w:rStyle w:val="FootnoteReference"/>
                <w:i/>
                <w:iCs/>
                <w:sz w:val="20"/>
              </w:rPr>
              <w:footnoteReference w:id="73"/>
            </w:r>
            <w:r>
              <w:t>.</w:t>
            </w:r>
          </w:p>
          <w:p w14:paraId="676AE8A5"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rPr>
                <w:color w:val="000000"/>
              </w:rPr>
            </w:pPr>
            <w:r>
              <w:t>For registered medical practitioners (non-specialists) and non-medical health professionals, credentialing is a health service process, whereby a registered medical specialist, or other suitably qualified person, assesses and documents that a health professional is appropriately qualified and competent to deliver safe, high-quality care within a specified scope of practice.</w:t>
            </w:r>
          </w:p>
        </w:tc>
      </w:tr>
      <w:tr w:rsidR="00281C2F" w14:paraId="42339455" w14:textId="77777777" w:rsidTr="00E449CC">
        <w:trPr>
          <w:trHeight w:val="553"/>
        </w:trPr>
        <w:tc>
          <w:tcPr>
            <w:cnfStyle w:val="001000000000" w:firstRow="0" w:lastRow="0" w:firstColumn="1" w:lastColumn="0" w:oddVBand="0" w:evenVBand="0" w:oddHBand="0" w:evenHBand="0" w:firstRowFirstColumn="0" w:firstRowLastColumn="0" w:lastRowFirstColumn="0" w:lastRowLastColumn="0"/>
            <w:tcW w:w="2282" w:type="dxa"/>
          </w:tcPr>
          <w:p w14:paraId="4664FC1A" w14:textId="77777777" w:rsidR="00281C2F" w:rsidRDefault="00281C2F" w:rsidP="009A032D">
            <w:pPr>
              <w:pStyle w:val="Tabletext"/>
              <w:rPr>
                <w:b w:val="0"/>
                <w:bCs w:val="0"/>
              </w:rPr>
            </w:pPr>
            <w:r>
              <w:t xml:space="preserve">Cultural competency </w:t>
            </w:r>
          </w:p>
        </w:tc>
        <w:tc>
          <w:tcPr>
            <w:tcW w:w="7216" w:type="dxa"/>
          </w:tcPr>
          <w:p w14:paraId="2B284032"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A24E68">
              <w:t>Cultural competence is a set of congruent behaviours, attitudes and policies that come together in a system, agency or among professionals</w:t>
            </w:r>
            <w:r>
              <w:t>,</w:t>
            </w:r>
            <w:r w:rsidRPr="00A24E68">
              <w:t xml:space="preserve"> enabling that system, agency or those professionals to work effectively in cross-cultural situations. Cultural competence offers a framework </w:t>
            </w:r>
            <w:r>
              <w:t>to</w:t>
            </w:r>
            <w:r w:rsidRPr="00A24E68">
              <w:t xml:space="preserve"> ensure </w:t>
            </w:r>
            <w:r>
              <w:t>consumers</w:t>
            </w:r>
            <w:r w:rsidRPr="00A24E68">
              <w:t xml:space="preserve"> receive safe, high</w:t>
            </w:r>
            <w:r>
              <w:t>-</w:t>
            </w:r>
            <w:r w:rsidRPr="00A24E68">
              <w:t>quality and culturally appropriate health care.</w:t>
            </w:r>
            <w:r>
              <w:rPr>
                <w:rStyle w:val="FootnoteReference"/>
                <w:sz w:val="20"/>
              </w:rPr>
              <w:footnoteReference w:id="74"/>
            </w:r>
          </w:p>
        </w:tc>
      </w:tr>
      <w:tr w:rsidR="00281C2F" w14:paraId="7F93DB41" w14:textId="77777777" w:rsidTr="00E449CC">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4FCE565F" w14:textId="77777777" w:rsidR="00281C2F" w:rsidRDefault="00281C2F" w:rsidP="009A032D">
            <w:pPr>
              <w:pStyle w:val="Tabletext"/>
              <w:rPr>
                <w:b w:val="0"/>
                <w:bCs w:val="0"/>
              </w:rPr>
            </w:pPr>
            <w:r>
              <w:t>Cultural respect and safety </w:t>
            </w:r>
          </w:p>
        </w:tc>
        <w:tc>
          <w:tcPr>
            <w:tcW w:w="7216" w:type="dxa"/>
            <w:shd w:val="clear" w:color="auto" w:fill="DBE5F1" w:themeFill="accent1" w:themeFillTint="33"/>
            <w:hideMark/>
          </w:tcPr>
          <w:p w14:paraId="39D45E04" w14:textId="0E3254FF"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3E5591">
              <w:t xml:space="preserve">Aboriginal </w:t>
            </w:r>
            <w:r w:rsidR="00021345" w:rsidRPr="00B21F3F">
              <w:t xml:space="preserve">and Torres Strait Islander </w:t>
            </w:r>
            <w:r w:rsidRPr="003E5591">
              <w:t xml:space="preserve">cultural safety is defined as an environment that is safe for Aboriginal </w:t>
            </w:r>
            <w:r w:rsidR="00021345" w:rsidRPr="00B21F3F">
              <w:t xml:space="preserve">and Torres Strait Islander </w:t>
            </w:r>
            <w:r w:rsidRPr="003E5591">
              <w:t>peoples, where there is no assault, challenge or denial of their identity and experience</w:t>
            </w:r>
            <w:r>
              <w:t>.</w:t>
            </w:r>
          </w:p>
          <w:p w14:paraId="2327A1B0" w14:textId="77777777" w:rsidR="00281C2F" w:rsidRPr="003E5591"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3E5591">
              <w:t xml:space="preserve">In a </w:t>
            </w:r>
            <w:r>
              <w:t>h</w:t>
            </w:r>
            <w:r w:rsidRPr="003E5591">
              <w:t xml:space="preserve">ealth </w:t>
            </w:r>
            <w:r>
              <w:t>s</w:t>
            </w:r>
            <w:r w:rsidRPr="003E5591">
              <w:t>ervice context, several elements to consider</w:t>
            </w:r>
            <w:r>
              <w:t xml:space="preserve"> include:</w:t>
            </w:r>
            <w:r w:rsidRPr="003E5591">
              <w:t xml:space="preserve"> </w:t>
            </w:r>
          </w:p>
          <w:p w14:paraId="4272956F" w14:textId="77777777" w:rsidR="00281C2F" w:rsidRPr="003E5591"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i</w:t>
            </w:r>
            <w:r w:rsidRPr="003E5591">
              <w:t>ndividual staff knowledge and respect for self (reflection on knowledge, bias</w:t>
            </w:r>
            <w:r>
              <w:t xml:space="preserve"> and</w:t>
            </w:r>
            <w:r w:rsidRPr="003E5591">
              <w:t xml:space="preserve"> learning journey)</w:t>
            </w:r>
          </w:p>
          <w:p w14:paraId="40DB9B84" w14:textId="69627AA0" w:rsidR="00281C2F"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k</w:t>
            </w:r>
            <w:r w:rsidRPr="003E5591">
              <w:t xml:space="preserve">nowledge and respect for Aboriginal </w:t>
            </w:r>
            <w:r w:rsidR="00021345" w:rsidRPr="00B21F3F">
              <w:t xml:space="preserve">and Torres Strait Islander </w:t>
            </w:r>
            <w:r w:rsidRPr="003E5591">
              <w:t>people and culture</w:t>
            </w:r>
          </w:p>
          <w:p w14:paraId="43E9E8C6" w14:textId="77777777" w:rsidR="00281C2F" w:rsidRPr="00A105A5"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rsidRPr="00A105A5">
              <w:t>organisational reflection, a commitment to organisational</w:t>
            </w:r>
            <w:r>
              <w:t xml:space="preserve"> </w:t>
            </w:r>
            <w:r w:rsidRPr="00A105A5">
              <w:t>review</w:t>
            </w:r>
            <w:r>
              <w:t>,</w:t>
            </w:r>
            <w:r w:rsidRPr="00A105A5">
              <w:t xml:space="preserve"> and system redesign to eliminate racism and discrimination</w:t>
            </w:r>
            <w:r>
              <w:t>.</w:t>
            </w:r>
          </w:p>
        </w:tc>
      </w:tr>
      <w:tr w:rsidR="00281C2F" w14:paraId="73DF4CAF" w14:textId="77777777" w:rsidTr="00E449CC">
        <w:trPr>
          <w:trHeight w:val="781"/>
        </w:trPr>
        <w:tc>
          <w:tcPr>
            <w:cnfStyle w:val="001000000000" w:firstRow="0" w:lastRow="0" w:firstColumn="1" w:lastColumn="0" w:oddVBand="0" w:evenVBand="0" w:oddHBand="0" w:evenHBand="0" w:firstRowFirstColumn="0" w:firstRowLastColumn="0" w:lastRowFirstColumn="0" w:lastRowLastColumn="0"/>
            <w:tcW w:w="2282" w:type="dxa"/>
            <w:noWrap/>
            <w:hideMark/>
          </w:tcPr>
          <w:p w14:paraId="664F38F5" w14:textId="77777777" w:rsidR="00281C2F" w:rsidRDefault="00281C2F" w:rsidP="009A032D">
            <w:pPr>
              <w:pStyle w:val="Tabletext"/>
              <w:rPr>
                <w:rFonts w:ascii="Calibri" w:hAnsi="Calibri" w:cs="Calibri"/>
                <w:b w:val="0"/>
                <w:bCs w:val="0"/>
                <w:color w:val="000000"/>
              </w:rPr>
            </w:pPr>
            <w:r>
              <w:t>Day surgery procedures</w:t>
            </w:r>
          </w:p>
        </w:tc>
        <w:tc>
          <w:tcPr>
            <w:tcW w:w="7216" w:type="dxa"/>
            <w:hideMark/>
          </w:tcPr>
          <w:p w14:paraId="08490206"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rPr>
                <w:color w:val="000000"/>
              </w:rPr>
            </w:pPr>
            <w:r>
              <w:t>Procedures performed on an outpatient basis, where the patient would normally be discharged on the same day</w:t>
            </w:r>
            <w:r>
              <w:rPr>
                <w:rStyle w:val="FootnoteReference"/>
                <w:rFonts w:cs="Arial"/>
                <w:color w:val="000000" w:themeColor="text1"/>
                <w:sz w:val="20"/>
              </w:rPr>
              <w:footnoteReference w:id="75"/>
            </w:r>
            <w:r>
              <w:rPr>
                <w:vertAlign w:val="superscript"/>
              </w:rPr>
              <w:t>,</w:t>
            </w:r>
            <w:r>
              <w:rPr>
                <w:rStyle w:val="FootnoteReference"/>
                <w:rFonts w:cs="Arial"/>
                <w:color w:val="000000" w:themeColor="text1"/>
                <w:sz w:val="20"/>
              </w:rPr>
              <w:footnoteReference w:id="76"/>
            </w:r>
            <w:r>
              <w:t xml:space="preserve">. </w:t>
            </w:r>
          </w:p>
        </w:tc>
      </w:tr>
      <w:tr w:rsidR="00281C2F" w14:paraId="33A6DAE5" w14:textId="77777777" w:rsidTr="00E449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noWrap/>
          </w:tcPr>
          <w:p w14:paraId="588DD1BB" w14:textId="77777777" w:rsidR="00281C2F" w:rsidRDefault="00281C2F" w:rsidP="009A032D">
            <w:pPr>
              <w:pStyle w:val="Tabletext"/>
            </w:pPr>
            <w:r>
              <w:t>Designated location</w:t>
            </w:r>
          </w:p>
        </w:tc>
        <w:tc>
          <w:tcPr>
            <w:tcW w:w="7216" w:type="dxa"/>
            <w:shd w:val="clear" w:color="auto" w:fill="DBE5F1" w:themeFill="accent1" w:themeFillTint="33"/>
          </w:tcPr>
          <w:p w14:paraId="53B3CC06"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rPr>
                <w:rFonts w:cs="Arial"/>
                <w:color w:val="000000" w:themeColor="text1"/>
              </w:rPr>
            </w:pPr>
            <w:r>
              <w:t>Agreed site or service for a defined purpose.</w:t>
            </w:r>
          </w:p>
        </w:tc>
      </w:tr>
      <w:tr w:rsidR="00281C2F" w14:paraId="16F9BCA9" w14:textId="77777777" w:rsidTr="00E449CC">
        <w:trPr>
          <w:trHeight w:val="781"/>
        </w:trPr>
        <w:tc>
          <w:tcPr>
            <w:cnfStyle w:val="001000000000" w:firstRow="0" w:lastRow="0" w:firstColumn="1" w:lastColumn="0" w:oddVBand="0" w:evenVBand="0" w:oddHBand="0" w:evenHBand="0" w:firstRowFirstColumn="0" w:firstRowLastColumn="0" w:lastRowFirstColumn="0" w:lastRowLastColumn="0"/>
            <w:tcW w:w="2282" w:type="dxa"/>
            <w:noWrap/>
          </w:tcPr>
          <w:p w14:paraId="23285F6E" w14:textId="77777777" w:rsidR="00281C2F" w:rsidRDefault="00281C2F" w:rsidP="009A032D">
            <w:pPr>
              <w:pStyle w:val="Tabletext"/>
            </w:pPr>
            <w:r>
              <w:t>Designated staffing</w:t>
            </w:r>
          </w:p>
        </w:tc>
        <w:tc>
          <w:tcPr>
            <w:tcW w:w="7216" w:type="dxa"/>
          </w:tcPr>
          <w:p w14:paraId="5EE1C970"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rPr>
                <w:rFonts w:cs="Arial"/>
                <w:color w:val="000000" w:themeColor="text1"/>
              </w:rPr>
            </w:pPr>
            <w:r>
              <w:t>Specifically defined and named staffing available for providing a service, for example, where a designated registered medical practitioner is readily contactable and able to attend immediately.</w:t>
            </w:r>
          </w:p>
        </w:tc>
      </w:tr>
      <w:tr w:rsidR="00281C2F" w14:paraId="5E44526A" w14:textId="77777777" w:rsidTr="00E449CC">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05C75340" w14:textId="77777777" w:rsidR="00281C2F" w:rsidRDefault="00281C2F" w:rsidP="009A032D">
            <w:pPr>
              <w:pStyle w:val="Tabletext"/>
              <w:rPr>
                <w:b w:val="0"/>
                <w:bCs w:val="0"/>
              </w:rPr>
            </w:pPr>
            <w:r>
              <w:t>Dedicated space  </w:t>
            </w:r>
          </w:p>
        </w:tc>
        <w:tc>
          <w:tcPr>
            <w:tcW w:w="7216" w:type="dxa"/>
            <w:shd w:val="clear" w:color="auto" w:fill="DBE5F1" w:themeFill="accent1" w:themeFillTint="33"/>
            <w:hideMark/>
          </w:tcPr>
          <w:p w14:paraId="4AD16609"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An agreed area with the necessary equipment and resources for clinical assessment and care. </w:t>
            </w:r>
          </w:p>
        </w:tc>
      </w:tr>
      <w:tr w:rsidR="00281C2F" w14:paraId="7450BFFC" w14:textId="77777777" w:rsidTr="00E449CC">
        <w:trPr>
          <w:trHeight w:val="480"/>
        </w:trPr>
        <w:tc>
          <w:tcPr>
            <w:cnfStyle w:val="001000000000" w:firstRow="0" w:lastRow="0" w:firstColumn="1" w:lastColumn="0" w:oddVBand="0" w:evenVBand="0" w:oddHBand="0" w:evenHBand="0" w:firstRowFirstColumn="0" w:firstRowLastColumn="0" w:lastRowFirstColumn="0" w:lastRowLastColumn="0"/>
            <w:tcW w:w="2282" w:type="dxa"/>
            <w:hideMark/>
          </w:tcPr>
          <w:p w14:paraId="7E1AA2F7" w14:textId="77777777" w:rsidR="00281C2F" w:rsidRDefault="00281C2F" w:rsidP="009A032D">
            <w:pPr>
              <w:pStyle w:val="Tabletext"/>
              <w:rPr>
                <w:b w:val="0"/>
                <w:bCs w:val="0"/>
              </w:rPr>
            </w:pPr>
            <w:r>
              <w:t xml:space="preserve">Dentist </w:t>
            </w:r>
          </w:p>
        </w:tc>
        <w:tc>
          <w:tcPr>
            <w:tcW w:w="7216" w:type="dxa"/>
            <w:hideMark/>
          </w:tcPr>
          <w:p w14:paraId="5EEAE49A"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 person who is registered as a dentist with the Dental Board of Australia. For the purposes of this document, a dentist may also be referred to as the proceduralist.</w:t>
            </w:r>
          </w:p>
        </w:tc>
      </w:tr>
      <w:tr w:rsidR="00281C2F" w14:paraId="08AF4768" w14:textId="77777777" w:rsidTr="00E449CC">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58E210CB" w14:textId="77777777" w:rsidR="00281C2F" w:rsidRDefault="00281C2F" w:rsidP="009A032D">
            <w:pPr>
              <w:pStyle w:val="Tabletext"/>
              <w:rPr>
                <w:b w:val="0"/>
                <w:bCs w:val="0"/>
              </w:rPr>
            </w:pPr>
            <w:r>
              <w:t>Dental services (public)</w:t>
            </w:r>
          </w:p>
        </w:tc>
        <w:tc>
          <w:tcPr>
            <w:tcW w:w="7216" w:type="dxa"/>
            <w:shd w:val="clear" w:color="auto" w:fill="DBE5F1" w:themeFill="accent1" w:themeFillTint="33"/>
            <w:hideMark/>
          </w:tcPr>
          <w:p w14:paraId="73AB2B76"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Public dental services are provided through the Royal Dental Hospital Melbourne and over 50 integrated and registered community health services across Victoria, which are funded by the department of health (via Dental Health Services Victoria) to deliver public dental services. These services will be covered under the capability framework.</w:t>
            </w:r>
          </w:p>
        </w:tc>
      </w:tr>
      <w:tr w:rsidR="00281C2F" w14:paraId="5E72C3AF" w14:textId="77777777" w:rsidTr="00E449CC">
        <w:trPr>
          <w:trHeight w:val="690"/>
        </w:trPr>
        <w:tc>
          <w:tcPr>
            <w:cnfStyle w:val="001000000000" w:firstRow="0" w:lastRow="0" w:firstColumn="1" w:lastColumn="0" w:oddVBand="0" w:evenVBand="0" w:oddHBand="0" w:evenHBand="0" w:firstRowFirstColumn="0" w:firstRowLastColumn="0" w:lastRowFirstColumn="0" w:lastRowLastColumn="0"/>
            <w:tcW w:w="2282" w:type="dxa"/>
            <w:hideMark/>
          </w:tcPr>
          <w:p w14:paraId="475305DF" w14:textId="77777777" w:rsidR="00281C2F" w:rsidRDefault="00281C2F" w:rsidP="009A032D">
            <w:pPr>
              <w:pStyle w:val="Tabletext"/>
              <w:rPr>
                <w:b w:val="0"/>
                <w:bCs w:val="0"/>
              </w:rPr>
            </w:pPr>
            <w:r>
              <w:t>Dietitian </w:t>
            </w:r>
          </w:p>
        </w:tc>
        <w:tc>
          <w:tcPr>
            <w:tcW w:w="7216" w:type="dxa"/>
            <w:hideMark/>
          </w:tcPr>
          <w:p w14:paraId="5715127A"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 member of, or an individual eligible for membership of, the Dietitians Association of Australia. </w:t>
            </w:r>
          </w:p>
        </w:tc>
      </w:tr>
      <w:tr w:rsidR="00281C2F" w14:paraId="22500026" w14:textId="77777777" w:rsidTr="00E449CC">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73CA09F5" w14:textId="77777777" w:rsidR="00281C2F" w:rsidRDefault="00281C2F" w:rsidP="009A032D">
            <w:pPr>
              <w:pStyle w:val="Tabletext"/>
              <w:rPr>
                <w:b w:val="0"/>
                <w:bCs w:val="0"/>
              </w:rPr>
            </w:pPr>
            <w:r>
              <w:t>Documented process/guidelines </w:t>
            </w:r>
          </w:p>
        </w:tc>
        <w:tc>
          <w:tcPr>
            <w:tcW w:w="7216" w:type="dxa"/>
            <w:shd w:val="clear" w:color="auto" w:fill="DBE5F1" w:themeFill="accent1" w:themeFillTint="33"/>
            <w:hideMark/>
          </w:tcPr>
          <w:p w14:paraId="28ECDFBC"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A process agreed by services involved. It may include a networking agreement, letter of agreement between parties, a policy arrangement, memorandum of understanding or a contractual arrangement for the delivery and receipt of services, however defined between two organisations. </w:t>
            </w:r>
          </w:p>
        </w:tc>
      </w:tr>
      <w:tr w:rsidR="00281C2F" w14:paraId="28F42907" w14:textId="77777777" w:rsidTr="00E449CC">
        <w:trPr>
          <w:trHeight w:val="525"/>
        </w:trPr>
        <w:tc>
          <w:tcPr>
            <w:cnfStyle w:val="001000000000" w:firstRow="0" w:lastRow="0" w:firstColumn="1" w:lastColumn="0" w:oddVBand="0" w:evenVBand="0" w:oddHBand="0" w:evenHBand="0" w:firstRowFirstColumn="0" w:firstRowLastColumn="0" w:lastRowFirstColumn="0" w:lastRowLastColumn="0"/>
            <w:tcW w:w="2282" w:type="dxa"/>
            <w:hideMark/>
          </w:tcPr>
          <w:p w14:paraId="722264E7" w14:textId="77777777" w:rsidR="00281C2F" w:rsidRDefault="00281C2F" w:rsidP="009A032D">
            <w:pPr>
              <w:pStyle w:val="Tabletext"/>
              <w:rPr>
                <w:b w:val="0"/>
                <w:bCs w:val="0"/>
              </w:rPr>
            </w:pPr>
            <w:r>
              <w:t>Emergency department </w:t>
            </w:r>
          </w:p>
        </w:tc>
        <w:tc>
          <w:tcPr>
            <w:tcW w:w="7216" w:type="dxa"/>
            <w:hideMark/>
          </w:tcPr>
          <w:p w14:paraId="2C85ED7A"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 dedicated hospital-based facility specifically designed and staffed to provide 24-hour emergency care. </w:t>
            </w:r>
          </w:p>
        </w:tc>
      </w:tr>
      <w:tr w:rsidR="00281C2F" w14:paraId="01D19A56" w14:textId="77777777" w:rsidTr="00E449C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39D6C4DD" w14:textId="77777777" w:rsidR="00281C2F" w:rsidRDefault="00281C2F" w:rsidP="009A032D">
            <w:pPr>
              <w:pStyle w:val="Tabletext"/>
              <w:rPr>
                <w:b w:val="0"/>
                <w:bCs w:val="0"/>
              </w:rPr>
            </w:pPr>
            <w:r>
              <w:t>Emergency surgery</w:t>
            </w:r>
          </w:p>
        </w:tc>
        <w:tc>
          <w:tcPr>
            <w:tcW w:w="7216" w:type="dxa"/>
            <w:shd w:val="clear" w:color="auto" w:fill="DBE5F1" w:themeFill="accent1" w:themeFillTint="33"/>
            <w:hideMark/>
          </w:tcPr>
          <w:p w14:paraId="7F4B2B85"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Surgery to treat trauma or acute surgical illness following a presentation to an emergency department, an emergency admission directly to the ward, or clinical deterioration during hospital admission.</w:t>
            </w:r>
          </w:p>
        </w:tc>
      </w:tr>
      <w:tr w:rsidR="00281C2F" w14:paraId="06FA64A9" w14:textId="77777777" w:rsidTr="00E449CC">
        <w:trPr>
          <w:trHeight w:val="1035"/>
        </w:trPr>
        <w:tc>
          <w:tcPr>
            <w:cnfStyle w:val="001000000000" w:firstRow="0" w:lastRow="0" w:firstColumn="1" w:lastColumn="0" w:oddVBand="0" w:evenVBand="0" w:oddHBand="0" w:evenHBand="0" w:firstRowFirstColumn="0" w:firstRowLastColumn="0" w:lastRowFirstColumn="0" w:lastRowLastColumn="0"/>
            <w:tcW w:w="2282" w:type="dxa"/>
            <w:hideMark/>
          </w:tcPr>
          <w:p w14:paraId="611A8306" w14:textId="77777777" w:rsidR="00281C2F" w:rsidRDefault="00281C2F" w:rsidP="009A032D">
            <w:pPr>
              <w:pStyle w:val="Tabletext"/>
              <w:rPr>
                <w:b w:val="0"/>
                <w:bCs w:val="0"/>
              </w:rPr>
            </w:pPr>
            <w:r>
              <w:t>Enrolled nurse </w:t>
            </w:r>
          </w:p>
        </w:tc>
        <w:tc>
          <w:tcPr>
            <w:tcW w:w="7216" w:type="dxa"/>
            <w:hideMark/>
          </w:tcPr>
          <w:p w14:paraId="51215659"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 person registered as an enrolled nurse in the Register of Nurses kept by the Nursing and Midwifery Board of Australia under the Health Practitioner Regulation National Law, other than as a student. The enrolled nurse practises with the support and professional supervision of the registered nurse. </w:t>
            </w:r>
          </w:p>
        </w:tc>
      </w:tr>
      <w:tr w:rsidR="00281C2F" w14:paraId="5A8BF8B5" w14:textId="77777777" w:rsidTr="00E449CC">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4EF45014" w14:textId="77777777" w:rsidR="00281C2F" w:rsidRDefault="00281C2F" w:rsidP="009A032D">
            <w:pPr>
              <w:pStyle w:val="Tabletext"/>
              <w:rPr>
                <w:b w:val="0"/>
                <w:bCs w:val="0"/>
              </w:rPr>
            </w:pPr>
            <w:r>
              <w:t>Extended hours </w:t>
            </w:r>
          </w:p>
        </w:tc>
        <w:tc>
          <w:tcPr>
            <w:tcW w:w="7216" w:type="dxa"/>
            <w:shd w:val="clear" w:color="auto" w:fill="DBE5F1" w:themeFill="accent1" w:themeFillTint="33"/>
            <w:hideMark/>
          </w:tcPr>
          <w:p w14:paraId="0DB1014F"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The service is available beyond common standard hours (9 am to 5 pm Monday to Friday); this may be extended hours during the day/evening or over the weekend. </w:t>
            </w:r>
          </w:p>
        </w:tc>
      </w:tr>
      <w:tr w:rsidR="00281C2F" w14:paraId="115C36EE" w14:textId="77777777" w:rsidTr="00E449CC">
        <w:trPr>
          <w:trHeight w:val="525"/>
        </w:trPr>
        <w:tc>
          <w:tcPr>
            <w:cnfStyle w:val="001000000000" w:firstRow="0" w:lastRow="0" w:firstColumn="1" w:lastColumn="0" w:oddVBand="0" w:evenVBand="0" w:oddHBand="0" w:evenHBand="0" w:firstRowFirstColumn="0" w:firstRowLastColumn="0" w:lastRowFirstColumn="0" w:lastRowLastColumn="0"/>
            <w:tcW w:w="2282" w:type="dxa"/>
            <w:hideMark/>
          </w:tcPr>
          <w:p w14:paraId="46D11CC2" w14:textId="77777777" w:rsidR="00281C2F" w:rsidRDefault="00281C2F" w:rsidP="009A032D">
            <w:pPr>
              <w:pStyle w:val="Tabletext"/>
              <w:rPr>
                <w:b w:val="0"/>
                <w:bCs w:val="0"/>
              </w:rPr>
            </w:pPr>
            <w:r>
              <w:t>Facility </w:t>
            </w:r>
          </w:p>
        </w:tc>
        <w:tc>
          <w:tcPr>
            <w:tcW w:w="7216" w:type="dxa"/>
            <w:hideMark/>
          </w:tcPr>
          <w:p w14:paraId="5F49129F"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 physical or organisational structure that may operate a number of services of a similar or differing capability level. </w:t>
            </w:r>
          </w:p>
        </w:tc>
      </w:tr>
      <w:tr w:rsidR="00281C2F" w14:paraId="26A9CFC9" w14:textId="77777777" w:rsidTr="00E449CC">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19B401C9" w14:textId="77777777" w:rsidR="00281C2F" w:rsidRDefault="00281C2F" w:rsidP="009A032D">
            <w:pPr>
              <w:pStyle w:val="Tabletext"/>
              <w:rPr>
                <w:b w:val="0"/>
                <w:bCs w:val="0"/>
              </w:rPr>
            </w:pPr>
            <w:r>
              <w:t>Guideline </w:t>
            </w:r>
          </w:p>
        </w:tc>
        <w:tc>
          <w:tcPr>
            <w:tcW w:w="7216" w:type="dxa"/>
            <w:shd w:val="clear" w:color="auto" w:fill="DBE5F1" w:themeFill="accent1" w:themeFillTint="33"/>
            <w:hideMark/>
          </w:tcPr>
          <w:p w14:paraId="29B52DC6"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Evidence-based statement(s) and/or recommendations that assist decision making to optimise patient care and outcomes. Guidelines include information and advice regarding referral pathways.  </w:t>
            </w:r>
          </w:p>
        </w:tc>
      </w:tr>
      <w:tr w:rsidR="00281C2F" w14:paraId="1248D4E6" w14:textId="77777777" w:rsidTr="00E449CC">
        <w:trPr>
          <w:trHeight w:val="525"/>
        </w:trPr>
        <w:tc>
          <w:tcPr>
            <w:cnfStyle w:val="001000000000" w:firstRow="0" w:lastRow="0" w:firstColumn="1" w:lastColumn="0" w:oddVBand="0" w:evenVBand="0" w:oddHBand="0" w:evenHBand="0" w:firstRowFirstColumn="0" w:firstRowLastColumn="0" w:lastRowFirstColumn="0" w:lastRowLastColumn="0"/>
            <w:tcW w:w="2282" w:type="dxa"/>
            <w:hideMark/>
          </w:tcPr>
          <w:p w14:paraId="5B95171A" w14:textId="77777777" w:rsidR="00281C2F" w:rsidRDefault="00281C2F" w:rsidP="009A032D">
            <w:pPr>
              <w:pStyle w:val="Tabletext"/>
              <w:rPr>
                <w:b w:val="0"/>
                <w:bCs w:val="0"/>
              </w:rPr>
            </w:pPr>
            <w:r>
              <w:t>Health practitioner  </w:t>
            </w:r>
          </w:p>
        </w:tc>
        <w:tc>
          <w:tcPr>
            <w:tcW w:w="7216" w:type="dxa"/>
            <w:hideMark/>
          </w:tcPr>
          <w:p w14:paraId="01A42C6C"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 person whose name is entered on a register of practitioners maintained by a competent authority. </w:t>
            </w:r>
          </w:p>
        </w:tc>
      </w:tr>
      <w:tr w:rsidR="00281C2F" w14:paraId="0945F6BF" w14:textId="77777777" w:rsidTr="00E449CC">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0F1C2EBC" w14:textId="77777777" w:rsidR="00281C2F" w:rsidRDefault="00281C2F" w:rsidP="009A032D">
            <w:pPr>
              <w:pStyle w:val="Tabletext"/>
              <w:rPr>
                <w:b w:val="0"/>
                <w:bCs w:val="0"/>
              </w:rPr>
            </w:pPr>
            <w:r>
              <w:t>Health service </w:t>
            </w:r>
          </w:p>
        </w:tc>
        <w:tc>
          <w:tcPr>
            <w:tcW w:w="7216" w:type="dxa"/>
            <w:shd w:val="clear" w:color="auto" w:fill="DBE5F1" w:themeFill="accent1" w:themeFillTint="33"/>
            <w:hideMark/>
          </w:tcPr>
          <w:p w14:paraId="4739A399" w14:textId="2EE0EC38"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 xml:space="preserve">A registered funded agency, multipurpose service or health service establishment, as defined by the </w:t>
            </w:r>
            <w:hyperlink r:id="rId63" w:history="1">
              <w:r w:rsidRPr="00E91D03">
                <w:rPr>
                  <w:rStyle w:val="Hyperlink"/>
                  <w:i/>
                  <w:iCs/>
                </w:rPr>
                <w:t>Health Services Act 1988</w:t>
              </w:r>
            </w:hyperlink>
            <w:r>
              <w:rPr>
                <w:rStyle w:val="FootnoteReference"/>
                <w:i/>
                <w:iCs/>
                <w:sz w:val="20"/>
              </w:rPr>
              <w:footnoteReference w:id="77"/>
            </w:r>
            <w:r>
              <w:t>, in regard to services provided within a hospital or a hospital-equivalent setting. </w:t>
            </w:r>
          </w:p>
        </w:tc>
      </w:tr>
      <w:tr w:rsidR="00281C2F" w14:paraId="1B68ABE0" w14:textId="77777777" w:rsidTr="00E449CC">
        <w:trPr>
          <w:trHeight w:val="780"/>
        </w:trPr>
        <w:tc>
          <w:tcPr>
            <w:cnfStyle w:val="001000000000" w:firstRow="0" w:lastRow="0" w:firstColumn="1" w:lastColumn="0" w:oddVBand="0" w:evenVBand="0" w:oddHBand="0" w:evenHBand="0" w:firstRowFirstColumn="0" w:firstRowLastColumn="0" w:lastRowFirstColumn="0" w:lastRowLastColumn="0"/>
            <w:tcW w:w="2282" w:type="dxa"/>
            <w:hideMark/>
          </w:tcPr>
          <w:p w14:paraId="5C17A433" w14:textId="77777777" w:rsidR="00281C2F" w:rsidRDefault="00281C2F" w:rsidP="009A032D">
            <w:pPr>
              <w:pStyle w:val="Tabletext"/>
              <w:rPr>
                <w:b w:val="0"/>
                <w:bCs w:val="0"/>
              </w:rPr>
            </w:pPr>
            <w:r>
              <w:t>High dependency unit </w:t>
            </w:r>
          </w:p>
        </w:tc>
        <w:tc>
          <w:tcPr>
            <w:tcW w:w="7216" w:type="dxa"/>
            <w:hideMark/>
          </w:tcPr>
          <w:p w14:paraId="120315D1"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 high dependency unit is a specially staffed and equipped section of a health service that provides a level of care that is intermediate between general ward care and intensive care. </w:t>
            </w:r>
          </w:p>
        </w:tc>
      </w:tr>
      <w:tr w:rsidR="00281C2F" w14:paraId="0CE0D26B" w14:textId="77777777" w:rsidTr="00E449CC">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199665A7" w14:textId="77777777" w:rsidR="00281C2F" w:rsidRDefault="00281C2F" w:rsidP="009A032D">
            <w:pPr>
              <w:pStyle w:val="Tabletext"/>
              <w:rPr>
                <w:b w:val="0"/>
                <w:bCs w:val="0"/>
              </w:rPr>
            </w:pPr>
            <w:r>
              <w:t>Infection prevention </w:t>
            </w:r>
          </w:p>
        </w:tc>
        <w:tc>
          <w:tcPr>
            <w:tcW w:w="7216" w:type="dxa"/>
            <w:shd w:val="clear" w:color="auto" w:fill="DBE5F1" w:themeFill="accent1" w:themeFillTint="33"/>
            <w:hideMark/>
          </w:tcPr>
          <w:p w14:paraId="39C670C4" w14:textId="65141186"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 xml:space="preserve">In-hospital services require infection prevention services available, in accordance with the preventing and controlling healthcare-associated infection standard (Infection prevention and control systems) listed in the </w:t>
            </w:r>
            <w:hyperlink r:id="rId64" w:history="1">
              <w:r w:rsidRPr="0024553F">
                <w:rPr>
                  <w:rStyle w:val="Hyperlink"/>
                  <w:i/>
                  <w:iCs/>
                </w:rPr>
                <w:t>National safety and quality health services standards</w:t>
              </w:r>
            </w:hyperlink>
            <w:r>
              <w:rPr>
                <w:rStyle w:val="FootnoteReference"/>
                <w:i/>
                <w:iCs/>
                <w:sz w:val="20"/>
              </w:rPr>
              <w:footnoteReference w:id="78"/>
            </w:r>
            <w:r>
              <w:rPr>
                <w:i/>
                <w:iCs/>
              </w:rPr>
              <w:t>.</w:t>
            </w:r>
            <w:r>
              <w:t> </w:t>
            </w:r>
          </w:p>
        </w:tc>
      </w:tr>
      <w:tr w:rsidR="00281C2F" w14:paraId="00ACC395" w14:textId="77777777" w:rsidTr="00E449CC">
        <w:trPr>
          <w:trHeight w:val="525"/>
        </w:trPr>
        <w:tc>
          <w:tcPr>
            <w:cnfStyle w:val="001000000000" w:firstRow="0" w:lastRow="0" w:firstColumn="1" w:lastColumn="0" w:oddVBand="0" w:evenVBand="0" w:oddHBand="0" w:evenHBand="0" w:firstRowFirstColumn="0" w:firstRowLastColumn="0" w:lastRowFirstColumn="0" w:lastRowLastColumn="0"/>
            <w:tcW w:w="2282" w:type="dxa"/>
            <w:hideMark/>
          </w:tcPr>
          <w:p w14:paraId="27F503BA" w14:textId="77777777" w:rsidR="00281C2F" w:rsidRDefault="00281C2F" w:rsidP="009A032D">
            <w:pPr>
              <w:pStyle w:val="Tabletext"/>
              <w:rPr>
                <w:b w:val="0"/>
                <w:bCs w:val="0"/>
              </w:rPr>
            </w:pPr>
            <w:r>
              <w:t>Infrastructure </w:t>
            </w:r>
          </w:p>
        </w:tc>
        <w:tc>
          <w:tcPr>
            <w:tcW w:w="7216" w:type="dxa"/>
            <w:hideMark/>
          </w:tcPr>
          <w:p w14:paraId="7D9CBA87"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The physical equipment and facilities required to support service configuration and capacities necessary to achieve desired performance outcomes. </w:t>
            </w:r>
          </w:p>
        </w:tc>
      </w:tr>
      <w:tr w:rsidR="00281C2F" w14:paraId="009FCE92" w14:textId="77777777" w:rsidTr="00E449CC">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7ED7EC63" w14:textId="77777777" w:rsidR="00281C2F" w:rsidRDefault="00281C2F" w:rsidP="009A032D">
            <w:pPr>
              <w:pStyle w:val="Tabletext"/>
              <w:rPr>
                <w:b w:val="0"/>
                <w:bCs w:val="0"/>
              </w:rPr>
            </w:pPr>
            <w:r>
              <w:t>Intensive care unit </w:t>
            </w:r>
          </w:p>
        </w:tc>
        <w:tc>
          <w:tcPr>
            <w:tcW w:w="7216" w:type="dxa"/>
            <w:shd w:val="clear" w:color="auto" w:fill="DBE5F1" w:themeFill="accent1" w:themeFillTint="33"/>
            <w:hideMark/>
          </w:tcPr>
          <w:p w14:paraId="3C949A30"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A unit within the hospital that has additional equipment and infrastructure to support: </w:t>
            </w:r>
          </w:p>
          <w:p w14:paraId="2BEBEAFF" w14:textId="77777777" w:rsidR="00281C2F"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immediate resuscitation and short-term cardio-respiratory support  </w:t>
            </w:r>
          </w:p>
          <w:p w14:paraId="14A2FE06" w14:textId="77777777" w:rsidR="00281C2F"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mechanical ventilation  </w:t>
            </w:r>
          </w:p>
          <w:p w14:paraId="4BF7E74C" w14:textId="77777777" w:rsidR="00281C2F"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invasive cardiovascular monitoring </w:t>
            </w:r>
          </w:p>
          <w:p w14:paraId="00713484" w14:textId="77777777" w:rsidR="00281C2F"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renal replacement therapy  </w:t>
            </w:r>
          </w:p>
          <w:p w14:paraId="11F860A1" w14:textId="77777777" w:rsidR="00281C2F"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complex multi-system life support. </w:t>
            </w:r>
          </w:p>
        </w:tc>
      </w:tr>
      <w:tr w:rsidR="00281C2F" w14:paraId="38857920" w14:textId="77777777" w:rsidTr="00E449CC">
        <w:trPr>
          <w:trHeight w:val="780"/>
        </w:trPr>
        <w:tc>
          <w:tcPr>
            <w:cnfStyle w:val="001000000000" w:firstRow="0" w:lastRow="0" w:firstColumn="1" w:lastColumn="0" w:oddVBand="0" w:evenVBand="0" w:oddHBand="0" w:evenHBand="0" w:firstRowFirstColumn="0" w:firstRowLastColumn="0" w:lastRowFirstColumn="0" w:lastRowLastColumn="0"/>
            <w:tcW w:w="2282" w:type="dxa"/>
            <w:hideMark/>
          </w:tcPr>
          <w:p w14:paraId="0DC459FF" w14:textId="77777777" w:rsidR="00281C2F" w:rsidRDefault="00281C2F" w:rsidP="009A032D">
            <w:pPr>
              <w:pStyle w:val="Tabletext"/>
              <w:rPr>
                <w:b w:val="0"/>
                <w:bCs w:val="0"/>
              </w:rPr>
            </w:pPr>
            <w:r>
              <w:t>Major trauma service </w:t>
            </w:r>
          </w:p>
        </w:tc>
        <w:tc>
          <w:tcPr>
            <w:tcW w:w="7216" w:type="dxa"/>
            <w:hideMark/>
          </w:tcPr>
          <w:p w14:paraId="40BD4825"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Centres of expertise in trauma management in Victoria. Responsible for providing definitive care to major trauma patients, either through primary triage or secondary transfer. </w:t>
            </w:r>
          </w:p>
        </w:tc>
      </w:tr>
      <w:tr w:rsidR="00281C2F" w14:paraId="17325039" w14:textId="77777777" w:rsidTr="00E449CC">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7384979D" w14:textId="77777777" w:rsidR="00281C2F" w:rsidRDefault="00281C2F" w:rsidP="009A032D">
            <w:pPr>
              <w:pStyle w:val="Tabletext"/>
              <w:rPr>
                <w:b w:val="0"/>
                <w:bCs w:val="0"/>
              </w:rPr>
            </w:pPr>
            <w:r>
              <w:t>Medical practitioner </w:t>
            </w:r>
          </w:p>
        </w:tc>
        <w:tc>
          <w:tcPr>
            <w:tcW w:w="7216" w:type="dxa"/>
            <w:shd w:val="clear" w:color="auto" w:fill="DBE5F1" w:themeFill="accent1" w:themeFillTint="33"/>
            <w:hideMark/>
          </w:tcPr>
          <w:p w14:paraId="40B95DD1"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A health practitioner, commonly referred to as a doctor, who has successfully completed a Bachelor of Medicine, Bachelor of Surgery (MBBS) or equivalent, as accredited by the Australian Medical Council. A medical practitioner holds registration with the Medical Board of Australia.</w:t>
            </w:r>
          </w:p>
          <w:p w14:paraId="2250F777"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For the purposes of this document, this assumes registration (general or specialist) with the Medical Board of Australia.</w:t>
            </w:r>
          </w:p>
        </w:tc>
      </w:tr>
      <w:tr w:rsidR="00281C2F" w14:paraId="00054801" w14:textId="77777777" w:rsidTr="00E449CC">
        <w:trPr>
          <w:trHeight w:val="1035"/>
        </w:trPr>
        <w:tc>
          <w:tcPr>
            <w:cnfStyle w:val="001000000000" w:firstRow="0" w:lastRow="0" w:firstColumn="1" w:lastColumn="0" w:oddVBand="0" w:evenVBand="0" w:oddHBand="0" w:evenHBand="0" w:firstRowFirstColumn="0" w:firstRowLastColumn="0" w:lastRowFirstColumn="0" w:lastRowLastColumn="0"/>
            <w:tcW w:w="2282" w:type="dxa"/>
            <w:hideMark/>
          </w:tcPr>
          <w:p w14:paraId="003C52D5" w14:textId="77777777" w:rsidR="00281C2F" w:rsidRDefault="00281C2F" w:rsidP="009A032D">
            <w:pPr>
              <w:pStyle w:val="Tabletext"/>
              <w:rPr>
                <w:b w:val="0"/>
                <w:bCs w:val="0"/>
              </w:rPr>
            </w:pPr>
            <w:r>
              <w:t>Medical specialist </w:t>
            </w:r>
          </w:p>
        </w:tc>
        <w:tc>
          <w:tcPr>
            <w:tcW w:w="7216" w:type="dxa"/>
            <w:hideMark/>
          </w:tcPr>
          <w:p w14:paraId="25426ABB" w14:textId="1474866B"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 xml:space="preserve">A medical practitioner who holds specialist registration with the </w:t>
            </w:r>
            <w:r w:rsidRPr="00C9326F">
              <w:t>Medical Board of Australia</w:t>
            </w:r>
            <w:r>
              <w:rPr>
                <w:rStyle w:val="FootnoteReference"/>
                <w:sz w:val="20"/>
              </w:rPr>
              <w:footnoteReference w:id="79"/>
            </w:r>
            <w:r>
              <w:t>. Specialist registration is available to medical practitioners who have been assessed by an Australian Medical Council-accredited medical specialist college as being eligible for fellowship. Fellowship is not a prerequisite for specialist registration. </w:t>
            </w:r>
          </w:p>
        </w:tc>
      </w:tr>
      <w:tr w:rsidR="00281C2F" w14:paraId="0DFE537F" w14:textId="77777777" w:rsidTr="00E449CC">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tcPr>
          <w:p w14:paraId="65A7F579" w14:textId="77777777" w:rsidR="00281C2F" w:rsidRDefault="00281C2F" w:rsidP="009A032D">
            <w:pPr>
              <w:pStyle w:val="Tabletext"/>
            </w:pPr>
            <w:r w:rsidRPr="001412A8">
              <w:t xml:space="preserve">Medical specialist </w:t>
            </w:r>
            <w:r>
              <w:t xml:space="preserve">– General practitioner </w:t>
            </w:r>
          </w:p>
        </w:tc>
        <w:tc>
          <w:tcPr>
            <w:tcW w:w="7216" w:type="dxa"/>
            <w:shd w:val="clear" w:color="auto" w:fill="DBE5F1" w:themeFill="accent1" w:themeFillTint="33"/>
          </w:tcPr>
          <w:p w14:paraId="77811C1D"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A medical practitioner who has attained a specialist general practice qualification with either the Royal Australian College of General Practitioners (RACGP) or the Australian College of Rural and Remote Medicine (ACRRM). </w:t>
            </w:r>
          </w:p>
          <w:p w14:paraId="2F208796"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Some general practitioners may be credentialed to perform procedures/surgeries.</w:t>
            </w:r>
          </w:p>
        </w:tc>
      </w:tr>
      <w:tr w:rsidR="00281C2F" w14:paraId="5C95004C" w14:textId="77777777" w:rsidTr="00E449CC">
        <w:trPr>
          <w:trHeight w:val="1035"/>
        </w:trPr>
        <w:tc>
          <w:tcPr>
            <w:cnfStyle w:val="001000000000" w:firstRow="0" w:lastRow="0" w:firstColumn="1" w:lastColumn="0" w:oddVBand="0" w:evenVBand="0" w:oddHBand="0" w:evenHBand="0" w:firstRowFirstColumn="0" w:firstRowLastColumn="0" w:lastRowFirstColumn="0" w:lastRowLastColumn="0"/>
            <w:tcW w:w="2282" w:type="dxa"/>
          </w:tcPr>
          <w:p w14:paraId="70D5E5FB" w14:textId="77777777" w:rsidR="00281C2F" w:rsidRDefault="00281C2F" w:rsidP="009A032D">
            <w:pPr>
              <w:pStyle w:val="Tabletext"/>
            </w:pPr>
            <w:r w:rsidRPr="008055C5">
              <w:t>Medical specialist – General</w:t>
            </w:r>
            <w:r>
              <w:t xml:space="preserve"> practitioner anaesthetist, or general rural anaesthetist</w:t>
            </w:r>
            <w:r w:rsidRPr="008055C5">
              <w:t xml:space="preserve"> </w:t>
            </w:r>
          </w:p>
        </w:tc>
        <w:tc>
          <w:tcPr>
            <w:tcW w:w="7216" w:type="dxa"/>
          </w:tcPr>
          <w:p w14:paraId="58E4CCE3"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 general practitioner who has successfully obtained a Diploma of Rural Generalist Anaesthesia (</w:t>
            </w:r>
            <w:proofErr w:type="spellStart"/>
            <w:r>
              <w:t>DipRGA</w:t>
            </w:r>
            <w:proofErr w:type="spellEnd"/>
            <w:r>
              <w:t>) or equivalent qualification.</w:t>
            </w:r>
          </w:p>
        </w:tc>
      </w:tr>
      <w:tr w:rsidR="00281C2F" w14:paraId="79AD57E5" w14:textId="77777777" w:rsidTr="00E449CC">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tcPr>
          <w:p w14:paraId="5B3949A9" w14:textId="77777777" w:rsidR="00281C2F" w:rsidRDefault="00281C2F" w:rsidP="009A032D">
            <w:pPr>
              <w:pStyle w:val="Tabletext"/>
            </w:pPr>
            <w:r w:rsidRPr="001412A8">
              <w:t xml:space="preserve">Medical specialist </w:t>
            </w:r>
            <w:r>
              <w:t>– Senior medical practitioner</w:t>
            </w:r>
          </w:p>
        </w:tc>
        <w:tc>
          <w:tcPr>
            <w:tcW w:w="7216" w:type="dxa"/>
            <w:shd w:val="clear" w:color="auto" w:fill="DBE5F1" w:themeFill="accent1" w:themeFillTint="33"/>
          </w:tcPr>
          <w:p w14:paraId="3FCBC15F"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A medical practitioner who exercises autonomous decision making and has primary clinical responsibility for determining a patient’s care and treatment. This includes general practice registrars who undertake independent patient care in a health service</w:t>
            </w:r>
            <w:r>
              <w:rPr>
                <w:rStyle w:val="FootnoteReference"/>
                <w:sz w:val="20"/>
              </w:rPr>
              <w:footnoteReference w:id="80"/>
            </w:r>
            <w:r>
              <w:t>.</w:t>
            </w:r>
          </w:p>
          <w:p w14:paraId="06C61F59"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It does not include hospital-employed junior medical staff.</w:t>
            </w:r>
          </w:p>
        </w:tc>
      </w:tr>
      <w:tr w:rsidR="00281C2F" w14:paraId="05529166" w14:textId="77777777" w:rsidTr="00E449CC">
        <w:trPr>
          <w:trHeight w:val="957"/>
        </w:trPr>
        <w:tc>
          <w:tcPr>
            <w:cnfStyle w:val="001000000000" w:firstRow="0" w:lastRow="0" w:firstColumn="1" w:lastColumn="0" w:oddVBand="0" w:evenVBand="0" w:oddHBand="0" w:evenHBand="0" w:firstRowFirstColumn="0" w:firstRowLastColumn="0" w:lastRowFirstColumn="0" w:lastRowLastColumn="0"/>
            <w:tcW w:w="0" w:type="dxa"/>
          </w:tcPr>
          <w:p w14:paraId="0A11DFBC" w14:textId="77777777" w:rsidR="00281C2F" w:rsidRDefault="00281C2F" w:rsidP="009A032D">
            <w:pPr>
              <w:pStyle w:val="Tabletext"/>
            </w:pPr>
            <w:r w:rsidRPr="001412A8">
              <w:t xml:space="preserve">Medical specialist </w:t>
            </w:r>
            <w:r>
              <w:t>– Specialist anaesthetist</w:t>
            </w:r>
          </w:p>
        </w:tc>
        <w:tc>
          <w:tcPr>
            <w:tcW w:w="0" w:type="dxa"/>
          </w:tcPr>
          <w:p w14:paraId="6AC0E65E"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 medical practitioner who has completed specialist training and holds Australian and New Zealand College of Anaesthetists (ANZCA) Fellowship or equivalent.</w:t>
            </w:r>
          </w:p>
        </w:tc>
      </w:tr>
      <w:tr w:rsidR="00281C2F" w14:paraId="6CF37E0E" w14:textId="77777777" w:rsidTr="00E449CC">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tcPr>
          <w:p w14:paraId="4BA0A316" w14:textId="77777777" w:rsidR="00281C2F" w:rsidRDefault="00281C2F" w:rsidP="009A032D">
            <w:pPr>
              <w:pStyle w:val="Tabletext"/>
            </w:pPr>
            <w:r w:rsidRPr="001412A8">
              <w:t xml:space="preserve">Medical specialist </w:t>
            </w:r>
            <w:r>
              <w:t>– Surgeon</w:t>
            </w:r>
          </w:p>
        </w:tc>
        <w:tc>
          <w:tcPr>
            <w:tcW w:w="7216" w:type="dxa"/>
            <w:shd w:val="clear" w:color="auto" w:fill="DBE5F1" w:themeFill="accent1" w:themeFillTint="33"/>
          </w:tcPr>
          <w:p w14:paraId="6C9D6333"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A medical practitioner who has completed specialist training and holds fellowship (or equivalent) of an AMC-accredited college, and includes Fellows of the Royal Australasian College of Surgeons (RACS), the Royal Australian and New Zealand College of Obstetricians and Gynaecologists (RANZCOG), the Royal Australian and New Zealand College of Ophthalmologists (RANZCO) and the Faculty of Oral and Maxillofacial Surgery of the Royal College of Dental Surgeons.</w:t>
            </w:r>
          </w:p>
        </w:tc>
      </w:tr>
      <w:tr w:rsidR="00281C2F" w14:paraId="3BF797B8" w14:textId="77777777" w:rsidTr="00E449CC">
        <w:trPr>
          <w:trHeight w:val="1035"/>
        </w:trPr>
        <w:tc>
          <w:tcPr>
            <w:cnfStyle w:val="001000000000" w:firstRow="0" w:lastRow="0" w:firstColumn="1" w:lastColumn="0" w:oddVBand="0" w:evenVBand="0" w:oddHBand="0" w:evenHBand="0" w:firstRowFirstColumn="0" w:firstRowLastColumn="0" w:lastRowFirstColumn="0" w:lastRowLastColumn="0"/>
            <w:tcW w:w="2282" w:type="dxa"/>
            <w:hideMark/>
          </w:tcPr>
          <w:p w14:paraId="5437D9E4" w14:textId="77777777" w:rsidR="00281C2F" w:rsidRDefault="00281C2F" w:rsidP="009A032D">
            <w:pPr>
              <w:pStyle w:val="Tabletext"/>
              <w:rPr>
                <w:b w:val="0"/>
                <w:bCs w:val="0"/>
              </w:rPr>
            </w:pPr>
            <w:r>
              <w:t>Multidisciplinary care </w:t>
            </w:r>
          </w:p>
        </w:tc>
        <w:tc>
          <w:tcPr>
            <w:tcW w:w="7216" w:type="dxa"/>
            <w:hideMark/>
          </w:tcPr>
          <w:p w14:paraId="7DAEF4F0"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Multidisciplinary care happens when medical, nursing and allied health professionals involved in patients’ treatment hold regular structured meetings to together consider all treatment options and personal preferences of patients, and collaboratively develop individual care plans that best meet the needs of patients. </w:t>
            </w:r>
          </w:p>
        </w:tc>
      </w:tr>
      <w:tr w:rsidR="00281C2F" w14:paraId="71C6DE65" w14:textId="77777777" w:rsidTr="00E449CC">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2484437D" w14:textId="77777777" w:rsidR="00281C2F" w:rsidRDefault="00281C2F" w:rsidP="009A032D">
            <w:pPr>
              <w:pStyle w:val="Tabletext"/>
              <w:rPr>
                <w:b w:val="0"/>
                <w:bCs w:val="0"/>
              </w:rPr>
            </w:pPr>
            <w:r>
              <w:t>Non-admitted care </w:t>
            </w:r>
          </w:p>
        </w:tc>
        <w:tc>
          <w:tcPr>
            <w:tcW w:w="7216" w:type="dxa"/>
            <w:shd w:val="clear" w:color="auto" w:fill="DBE5F1" w:themeFill="accent1" w:themeFillTint="33"/>
            <w:hideMark/>
          </w:tcPr>
          <w:p w14:paraId="011DDD7E"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0835C9">
              <w:t>Care provided to a patient who has not undergone a hospital’s formal admission process. Non-admitted care may include outpatient visits and emergency department services</w:t>
            </w:r>
            <w:r>
              <w:t xml:space="preserve"> (Australian Institute of Health and Welfare)</w:t>
            </w:r>
            <w:r>
              <w:rPr>
                <w:rStyle w:val="FootnoteReference"/>
                <w:sz w:val="20"/>
              </w:rPr>
              <w:footnoteReference w:id="81"/>
            </w:r>
            <w:r w:rsidRPr="000835C9">
              <w:t>.</w:t>
            </w:r>
          </w:p>
        </w:tc>
      </w:tr>
      <w:tr w:rsidR="00281C2F" w14:paraId="23C4DF6B" w14:textId="77777777" w:rsidTr="00E449CC">
        <w:trPr>
          <w:trHeight w:val="525"/>
        </w:trPr>
        <w:tc>
          <w:tcPr>
            <w:cnfStyle w:val="001000000000" w:firstRow="0" w:lastRow="0" w:firstColumn="1" w:lastColumn="0" w:oddVBand="0" w:evenVBand="0" w:oddHBand="0" w:evenHBand="0" w:firstRowFirstColumn="0" w:firstRowLastColumn="0" w:lastRowFirstColumn="0" w:lastRowLastColumn="0"/>
            <w:tcW w:w="2282" w:type="dxa"/>
          </w:tcPr>
          <w:p w14:paraId="754ECEA9" w14:textId="77777777" w:rsidR="00281C2F" w:rsidRDefault="00281C2F" w:rsidP="009A032D">
            <w:pPr>
              <w:pStyle w:val="Tabletext"/>
              <w:rPr>
                <w:b w:val="0"/>
                <w:bCs w:val="0"/>
              </w:rPr>
            </w:pPr>
            <w:r w:rsidRPr="008265B5">
              <w:t>Non-surgical management</w:t>
            </w:r>
          </w:p>
        </w:tc>
        <w:tc>
          <w:tcPr>
            <w:tcW w:w="7216" w:type="dxa"/>
          </w:tcPr>
          <w:p w14:paraId="6B5B2C71" w14:textId="77777777" w:rsidR="00281C2F" w:rsidRPr="00D44C7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rsidRPr="00D44C7F">
              <w:t>Non-surgical treatment pathways describe care that includes evidence</w:t>
            </w:r>
            <w:r w:rsidRPr="00D44C7F">
              <w:rPr>
                <w:rFonts w:ascii="Cambria Math" w:hAnsi="Cambria Math" w:cs="Cambria Math"/>
              </w:rPr>
              <w:t>‑</w:t>
            </w:r>
            <w:r w:rsidRPr="00D44C7F">
              <w:t>based alternatives to surgery (diverting or delaying the need for surgery), and interventions aimed at optimising the health of patients before, during and after surgery.</w:t>
            </w:r>
          </w:p>
        </w:tc>
      </w:tr>
      <w:tr w:rsidR="00281C2F" w14:paraId="389085B9" w14:textId="77777777" w:rsidTr="00E449CC">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52BBC2CB" w14:textId="77777777" w:rsidR="00281C2F" w:rsidRDefault="00281C2F" w:rsidP="009A032D">
            <w:pPr>
              <w:pStyle w:val="Tabletext"/>
              <w:rPr>
                <w:b w:val="0"/>
                <w:bCs w:val="0"/>
              </w:rPr>
            </w:pPr>
            <w:r>
              <w:t>Nurse practitioner </w:t>
            </w:r>
          </w:p>
        </w:tc>
        <w:tc>
          <w:tcPr>
            <w:tcW w:w="7216" w:type="dxa"/>
            <w:shd w:val="clear" w:color="auto" w:fill="DBE5F1" w:themeFill="accent1" w:themeFillTint="33"/>
            <w:hideMark/>
          </w:tcPr>
          <w:p w14:paraId="082CC50F"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A registered nurse who is endorsed as a nurse practitioner by the Nursing and Midwifery Board of Australia under the Health Practitioner Regulation National Law. </w:t>
            </w:r>
          </w:p>
        </w:tc>
      </w:tr>
      <w:tr w:rsidR="00281C2F" w14:paraId="7F8F7C18" w14:textId="77777777" w:rsidTr="00E449CC">
        <w:trPr>
          <w:trHeight w:val="525"/>
        </w:trPr>
        <w:tc>
          <w:tcPr>
            <w:cnfStyle w:val="001000000000" w:firstRow="0" w:lastRow="0" w:firstColumn="1" w:lastColumn="0" w:oddVBand="0" w:evenVBand="0" w:oddHBand="0" w:evenHBand="0" w:firstRowFirstColumn="0" w:firstRowLastColumn="0" w:lastRowFirstColumn="0" w:lastRowLastColumn="0"/>
            <w:tcW w:w="2282" w:type="dxa"/>
            <w:hideMark/>
          </w:tcPr>
          <w:p w14:paraId="1B66E9AB" w14:textId="77777777" w:rsidR="00281C2F" w:rsidRDefault="00281C2F" w:rsidP="009A032D">
            <w:pPr>
              <w:pStyle w:val="Tabletext"/>
              <w:rPr>
                <w:b w:val="0"/>
                <w:bCs w:val="0"/>
              </w:rPr>
            </w:pPr>
            <w:r>
              <w:t>Occupational therapist </w:t>
            </w:r>
          </w:p>
        </w:tc>
        <w:tc>
          <w:tcPr>
            <w:tcW w:w="7216" w:type="dxa"/>
            <w:hideMark/>
          </w:tcPr>
          <w:p w14:paraId="561F0855"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 health practitioner registered with the Occupational Therapy Board of Australia </w:t>
            </w:r>
          </w:p>
        </w:tc>
      </w:tr>
      <w:tr w:rsidR="00281C2F" w14:paraId="0D365DF9" w14:textId="77777777" w:rsidTr="00E449CC">
        <w:trPr>
          <w:cnfStyle w:val="000000100000" w:firstRow="0" w:lastRow="0" w:firstColumn="0" w:lastColumn="0" w:oddVBand="0" w:evenVBand="0" w:oddHBand="1" w:evenHBand="0" w:firstRowFirstColumn="0" w:firstRowLastColumn="0" w:lastRowFirstColumn="0" w:lastRowLastColumn="0"/>
          <w:trHeight w:val="1082"/>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noWrap/>
            <w:hideMark/>
          </w:tcPr>
          <w:p w14:paraId="3E988F0B" w14:textId="77777777" w:rsidR="00281C2F" w:rsidRDefault="00281C2F" w:rsidP="009A032D">
            <w:pPr>
              <w:pStyle w:val="Tabletext"/>
              <w:rPr>
                <w:b w:val="0"/>
                <w:color w:val="000000"/>
              </w:rPr>
            </w:pPr>
            <w:r>
              <w:t>Office-based procedures </w:t>
            </w:r>
          </w:p>
        </w:tc>
        <w:tc>
          <w:tcPr>
            <w:tcW w:w="7216" w:type="dxa"/>
            <w:shd w:val="clear" w:color="auto" w:fill="DBE5F1" w:themeFill="accent1" w:themeFillTint="33"/>
            <w:hideMark/>
          </w:tcPr>
          <w:p w14:paraId="7DB4693E"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rPr>
                <w:color w:val="000000"/>
              </w:rPr>
            </w:pPr>
            <w:r>
              <w:t>Procedures performed with low doses of local anaesthetic, such that any dose given into a single location is insufficient to cause systemic toxicity if inadvertently given intravenously, or a dose that is not likely to reach toxic levels by absorption; and without intravenous sedation</w:t>
            </w:r>
            <w:r>
              <w:rPr>
                <w:rStyle w:val="FootnoteReference"/>
                <w:rFonts w:cs="Arial"/>
                <w:color w:val="000000" w:themeColor="text1"/>
                <w:sz w:val="20"/>
              </w:rPr>
              <w:footnoteReference w:id="82"/>
            </w:r>
            <w:r>
              <w:t xml:space="preserve">. </w:t>
            </w:r>
          </w:p>
        </w:tc>
      </w:tr>
      <w:tr w:rsidR="00281C2F" w14:paraId="3CBB4E1C" w14:textId="77777777" w:rsidTr="00E449CC">
        <w:trPr>
          <w:trHeight w:val="525"/>
        </w:trPr>
        <w:tc>
          <w:tcPr>
            <w:cnfStyle w:val="001000000000" w:firstRow="0" w:lastRow="0" w:firstColumn="1" w:lastColumn="0" w:oddVBand="0" w:evenVBand="0" w:oddHBand="0" w:evenHBand="0" w:firstRowFirstColumn="0" w:firstRowLastColumn="0" w:lastRowFirstColumn="0" w:lastRowLastColumn="0"/>
            <w:tcW w:w="2282" w:type="dxa"/>
            <w:hideMark/>
          </w:tcPr>
          <w:p w14:paraId="79BFC30A" w14:textId="77777777" w:rsidR="00281C2F" w:rsidRDefault="00281C2F" w:rsidP="009A032D">
            <w:pPr>
              <w:pStyle w:val="Tabletext"/>
              <w:rPr>
                <w:b w:val="0"/>
                <w:bCs w:val="0"/>
              </w:rPr>
            </w:pPr>
            <w:r>
              <w:t>Onsite </w:t>
            </w:r>
          </w:p>
        </w:tc>
        <w:tc>
          <w:tcPr>
            <w:tcW w:w="7216" w:type="dxa"/>
            <w:hideMark/>
          </w:tcPr>
          <w:p w14:paraId="4CAA4F91"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Located within the health facility or an adjacent campus, this may refer to staff, services and/or resources, including third-party providers. </w:t>
            </w:r>
          </w:p>
        </w:tc>
      </w:tr>
      <w:tr w:rsidR="00281C2F" w14:paraId="19BC5319" w14:textId="77777777" w:rsidTr="00E449C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78B0593E" w14:textId="77777777" w:rsidR="00281C2F" w:rsidRDefault="00281C2F" w:rsidP="009A032D">
            <w:pPr>
              <w:pStyle w:val="Tabletext"/>
              <w:rPr>
                <w:b w:val="0"/>
                <w:bCs w:val="0"/>
              </w:rPr>
            </w:pPr>
            <w:r>
              <w:t>Operating hours </w:t>
            </w:r>
          </w:p>
        </w:tc>
        <w:tc>
          <w:tcPr>
            <w:tcW w:w="7216" w:type="dxa"/>
            <w:shd w:val="clear" w:color="auto" w:fill="DBE5F1" w:themeFill="accent1" w:themeFillTint="33"/>
            <w:hideMark/>
          </w:tcPr>
          <w:p w14:paraId="205C8DE5"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The hours a specific service is open and provides services to patients. </w:t>
            </w:r>
          </w:p>
        </w:tc>
      </w:tr>
      <w:tr w:rsidR="00281C2F" w14:paraId="6E3AA1EE" w14:textId="77777777" w:rsidTr="00E449CC">
        <w:trPr>
          <w:trHeight w:val="525"/>
        </w:trPr>
        <w:tc>
          <w:tcPr>
            <w:cnfStyle w:val="001000000000" w:firstRow="0" w:lastRow="0" w:firstColumn="1" w:lastColumn="0" w:oddVBand="0" w:evenVBand="0" w:oddHBand="0" w:evenHBand="0" w:firstRowFirstColumn="0" w:firstRowLastColumn="0" w:lastRowFirstColumn="0" w:lastRowLastColumn="0"/>
            <w:tcW w:w="2282" w:type="dxa"/>
            <w:hideMark/>
          </w:tcPr>
          <w:p w14:paraId="68CCB5CE" w14:textId="77777777" w:rsidR="00281C2F" w:rsidRDefault="00281C2F" w:rsidP="009A032D">
            <w:pPr>
              <w:pStyle w:val="Tabletext"/>
              <w:rPr>
                <w:b w:val="0"/>
                <w:bCs w:val="0"/>
              </w:rPr>
            </w:pPr>
            <w:r>
              <w:t>Operating rooms </w:t>
            </w:r>
          </w:p>
        </w:tc>
        <w:tc>
          <w:tcPr>
            <w:tcW w:w="7216" w:type="dxa"/>
            <w:hideMark/>
          </w:tcPr>
          <w:p w14:paraId="106783DE"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 facility within a hospital where surgical operations are carried out in an aseptic environment. </w:t>
            </w:r>
          </w:p>
        </w:tc>
      </w:tr>
      <w:tr w:rsidR="00281C2F" w14:paraId="51FDDF6C" w14:textId="77777777" w:rsidTr="00E449CC">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5A630FD6" w14:textId="77777777" w:rsidR="00281C2F" w:rsidRDefault="00281C2F" w:rsidP="009A032D">
            <w:pPr>
              <w:pStyle w:val="Tabletext"/>
              <w:rPr>
                <w:b w:val="0"/>
                <w:bCs w:val="0"/>
              </w:rPr>
            </w:pPr>
            <w:r>
              <w:t>Or equivalent </w:t>
            </w:r>
          </w:p>
        </w:tc>
        <w:tc>
          <w:tcPr>
            <w:tcW w:w="7216" w:type="dxa"/>
            <w:shd w:val="clear" w:color="auto" w:fill="DBE5F1" w:themeFill="accent1" w:themeFillTint="33"/>
            <w:hideMark/>
          </w:tcPr>
          <w:p w14:paraId="25635FA2" w14:textId="7DBBB22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A health professional determined via a credentialing process to have met the required workforce capability level</w:t>
            </w:r>
            <w:r w:rsidR="04FEBBE0">
              <w:t xml:space="preserve"> as a minimum</w:t>
            </w:r>
            <w:r>
              <w:t>. This applies to, but is not limited to: </w:t>
            </w:r>
          </w:p>
          <w:p w14:paraId="705889FD" w14:textId="77777777" w:rsidR="00281C2F"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registered medical practitioners with Limited Registration (or Provisional Registration) on either the Specialist Pathway – specialist recognition, or the Specialist Pathway – area of need </w:t>
            </w:r>
          </w:p>
          <w:p w14:paraId="0FB29B56" w14:textId="77777777" w:rsidR="00281C2F" w:rsidRDefault="00281C2F" w:rsidP="0073249D">
            <w:pPr>
              <w:pStyle w:val="Tablebullet1"/>
              <w:numPr>
                <w:ilvl w:val="0"/>
                <w:numId w:val="4"/>
              </w:numPr>
              <w:ind w:left="227" w:hanging="227"/>
              <w:cnfStyle w:val="000000100000" w:firstRow="0" w:lastRow="0" w:firstColumn="0" w:lastColumn="0" w:oddVBand="0" w:evenVBand="0" w:oddHBand="1" w:evenHBand="0" w:firstRowFirstColumn="0" w:firstRowLastColumn="0" w:lastRowFirstColumn="0" w:lastRowLastColumn="0"/>
            </w:pPr>
            <w:r>
              <w:t>registered medical practitioners on accredited training programs with previous training undertaken interstate. </w:t>
            </w:r>
          </w:p>
        </w:tc>
      </w:tr>
      <w:tr w:rsidR="00281C2F" w14:paraId="2D38272A" w14:textId="77777777" w:rsidTr="00E449CC">
        <w:trPr>
          <w:trHeight w:val="1095"/>
        </w:trPr>
        <w:tc>
          <w:tcPr>
            <w:cnfStyle w:val="001000000000" w:firstRow="0" w:lastRow="0" w:firstColumn="1" w:lastColumn="0" w:oddVBand="0" w:evenVBand="0" w:oddHBand="0" w:evenHBand="0" w:firstRowFirstColumn="0" w:firstRowLastColumn="0" w:lastRowFirstColumn="0" w:lastRowLastColumn="0"/>
            <w:tcW w:w="2282" w:type="dxa"/>
            <w:noWrap/>
            <w:hideMark/>
          </w:tcPr>
          <w:p w14:paraId="13712062" w14:textId="77777777" w:rsidR="00281C2F" w:rsidRDefault="00281C2F" w:rsidP="009A032D">
            <w:pPr>
              <w:pStyle w:val="Tabletext"/>
              <w:rPr>
                <w:b w:val="0"/>
                <w:color w:val="000000"/>
              </w:rPr>
            </w:pPr>
            <w:r>
              <w:t>Outreach surgery</w:t>
            </w:r>
          </w:p>
        </w:tc>
        <w:tc>
          <w:tcPr>
            <w:tcW w:w="7216" w:type="dxa"/>
            <w:hideMark/>
          </w:tcPr>
          <w:p w14:paraId="75F40386"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rPr>
                <w:color w:val="000000"/>
              </w:rPr>
            </w:pPr>
            <w:r>
              <w:t>A surgery performed by a surgeon in a town where that surgeon is not resident and may not be available in person for ongoing post-operative care or follow up. Outreach services refer only to situations where the services being delivered are not normally locally available</w:t>
            </w:r>
            <w:r>
              <w:rPr>
                <w:rStyle w:val="FootnoteReference"/>
                <w:rFonts w:cs="Arial"/>
                <w:color w:val="000000" w:themeColor="text1"/>
                <w:sz w:val="20"/>
              </w:rPr>
              <w:footnoteReference w:id="83"/>
            </w:r>
            <w:r>
              <w:t xml:space="preserve">. </w:t>
            </w:r>
          </w:p>
        </w:tc>
      </w:tr>
      <w:tr w:rsidR="00281C2F" w14:paraId="0E0CEA3E" w14:textId="77777777" w:rsidTr="00E449CC">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tcPr>
          <w:p w14:paraId="5E4336EB" w14:textId="77777777" w:rsidR="00281C2F" w:rsidRDefault="00281C2F" w:rsidP="009A032D">
            <w:pPr>
              <w:pStyle w:val="Tabletext"/>
              <w:rPr>
                <w:b w:val="0"/>
                <w:bCs w:val="0"/>
              </w:rPr>
            </w:pPr>
            <w:r>
              <w:t xml:space="preserve">Paediatric </w:t>
            </w:r>
          </w:p>
        </w:tc>
        <w:tc>
          <w:tcPr>
            <w:tcW w:w="7216" w:type="dxa"/>
            <w:shd w:val="clear" w:color="auto" w:fill="DBE5F1" w:themeFill="accent1" w:themeFillTint="33"/>
          </w:tcPr>
          <w:p w14:paraId="539ECC35"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 xml:space="preserve">An infant, </w:t>
            </w:r>
            <w:r w:rsidRPr="00F876DF">
              <w:t>child or adolescent under 16 years of age. Adolescent aged 16</w:t>
            </w:r>
            <w:r>
              <w:t>–</w:t>
            </w:r>
            <w:r w:rsidRPr="00F876DF">
              <w:t>18 may be considered paediatric by treating clinicians</w:t>
            </w:r>
            <w:r>
              <w:t>,</w:t>
            </w:r>
            <w:r w:rsidRPr="00F876DF">
              <w:t xml:space="preserve"> based on the patient’s developmental status.</w:t>
            </w:r>
          </w:p>
        </w:tc>
      </w:tr>
      <w:tr w:rsidR="00281C2F" w14:paraId="5445A796" w14:textId="77777777" w:rsidTr="00E449CC">
        <w:trPr>
          <w:trHeight w:val="780"/>
        </w:trPr>
        <w:tc>
          <w:tcPr>
            <w:cnfStyle w:val="001000000000" w:firstRow="0" w:lastRow="0" w:firstColumn="1" w:lastColumn="0" w:oddVBand="0" w:evenVBand="0" w:oddHBand="0" w:evenHBand="0" w:firstRowFirstColumn="0" w:firstRowLastColumn="0" w:lastRowFirstColumn="0" w:lastRowLastColumn="0"/>
            <w:tcW w:w="2282" w:type="dxa"/>
            <w:hideMark/>
          </w:tcPr>
          <w:p w14:paraId="20830FF6" w14:textId="77777777" w:rsidR="00281C2F" w:rsidRDefault="00281C2F" w:rsidP="009A032D">
            <w:pPr>
              <w:pStyle w:val="Tabletext"/>
              <w:rPr>
                <w:b w:val="0"/>
                <w:bCs w:val="0"/>
              </w:rPr>
            </w:pPr>
            <w:r>
              <w:t>Peer review process </w:t>
            </w:r>
          </w:p>
        </w:tc>
        <w:tc>
          <w:tcPr>
            <w:tcW w:w="7216" w:type="dxa"/>
            <w:hideMark/>
          </w:tcPr>
          <w:p w14:paraId="5F081620"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The evaluation by a practitioner of creative work or performance by other practitioners in the same field, in order to assure, maintain and/or enhance the quality of work or performance. </w:t>
            </w:r>
          </w:p>
        </w:tc>
      </w:tr>
      <w:tr w:rsidR="00281C2F" w14:paraId="67B8A013" w14:textId="77777777" w:rsidTr="00E449CC">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tcPr>
          <w:p w14:paraId="0F3AF6CB" w14:textId="77777777" w:rsidR="00281C2F" w:rsidRDefault="00281C2F" w:rsidP="009A032D">
            <w:pPr>
              <w:pStyle w:val="Tabletext"/>
              <w:rPr>
                <w:b w:val="0"/>
                <w:bCs w:val="0"/>
              </w:rPr>
            </w:pPr>
            <w:r>
              <w:t>Perioperative services</w:t>
            </w:r>
          </w:p>
        </w:tc>
        <w:tc>
          <w:tcPr>
            <w:tcW w:w="7216" w:type="dxa"/>
            <w:shd w:val="clear" w:color="auto" w:fill="DBE5F1" w:themeFill="accent1" w:themeFillTint="33"/>
          </w:tcPr>
          <w:p w14:paraId="641A804B" w14:textId="77777777" w:rsidR="00281C2F" w:rsidRPr="008265B5" w:rsidRDefault="00281C2F" w:rsidP="009A032D">
            <w:pPr>
              <w:pStyle w:val="Tabletext"/>
              <w:cnfStyle w:val="000000100000" w:firstRow="0" w:lastRow="0" w:firstColumn="0" w:lastColumn="0" w:oddVBand="0" w:evenVBand="0" w:oddHBand="1" w:evenHBand="0" w:firstRowFirstColumn="0" w:firstRowLastColumn="0" w:lastRowFirstColumn="0" w:lastRowLastColumn="0"/>
            </w:pPr>
            <w:r w:rsidRPr="008265B5">
              <w:t>Perioperative care refers to the continuum of multidisciplinary and patient-centred care that is provided before, during and after surgery. This includes the integrated, planned and personalised approach to patient care before, during and after a surgical procedure involving anaesthetics.</w:t>
            </w:r>
          </w:p>
        </w:tc>
      </w:tr>
      <w:tr w:rsidR="00281C2F" w14:paraId="2DB8F75D" w14:textId="77777777" w:rsidTr="00E449CC">
        <w:trPr>
          <w:trHeight w:val="315"/>
        </w:trPr>
        <w:tc>
          <w:tcPr>
            <w:cnfStyle w:val="001000000000" w:firstRow="0" w:lastRow="0" w:firstColumn="1" w:lastColumn="0" w:oddVBand="0" w:evenVBand="0" w:oddHBand="0" w:evenHBand="0" w:firstRowFirstColumn="0" w:firstRowLastColumn="0" w:lastRowFirstColumn="0" w:lastRowLastColumn="0"/>
            <w:tcW w:w="2282" w:type="dxa"/>
            <w:hideMark/>
          </w:tcPr>
          <w:p w14:paraId="30E1E925" w14:textId="77777777" w:rsidR="00281C2F" w:rsidRDefault="00281C2F" w:rsidP="009A032D">
            <w:pPr>
              <w:pStyle w:val="Tabletext"/>
              <w:rPr>
                <w:b w:val="0"/>
                <w:bCs w:val="0"/>
              </w:rPr>
            </w:pPr>
            <w:r>
              <w:t>Physiotherapist </w:t>
            </w:r>
          </w:p>
        </w:tc>
        <w:tc>
          <w:tcPr>
            <w:tcW w:w="7216" w:type="dxa"/>
            <w:hideMark/>
          </w:tcPr>
          <w:p w14:paraId="65BA0E06"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 health practitioner registered with the Physiotherapy Board of Australia. </w:t>
            </w:r>
          </w:p>
        </w:tc>
      </w:tr>
      <w:tr w:rsidR="00281C2F" w14:paraId="7FC3BBED" w14:textId="77777777" w:rsidTr="00E449CC">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2BF675F1" w14:textId="77777777" w:rsidR="00281C2F" w:rsidRDefault="00281C2F" w:rsidP="009A032D">
            <w:pPr>
              <w:pStyle w:val="Tabletext"/>
              <w:rPr>
                <w:b w:val="0"/>
                <w:bCs w:val="0"/>
              </w:rPr>
            </w:pPr>
            <w:r>
              <w:t xml:space="preserve">Planned surgery and </w:t>
            </w:r>
            <w:r w:rsidRPr="00F36AF3">
              <w:t>procedures</w:t>
            </w:r>
            <w:r>
              <w:t xml:space="preserve"> </w:t>
            </w:r>
            <w:r w:rsidRPr="00E1136E">
              <w:t>(also known as elective surgery)</w:t>
            </w:r>
          </w:p>
        </w:tc>
        <w:tc>
          <w:tcPr>
            <w:tcW w:w="7216" w:type="dxa"/>
            <w:shd w:val="clear" w:color="auto" w:fill="DBE5F1" w:themeFill="accent1" w:themeFillTint="33"/>
            <w:hideMark/>
          </w:tcPr>
          <w:p w14:paraId="29175925"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Surgery or procedures that, in the opinion of the treating clinician, is necessary, but for which admission can be delayed for at least 24 hours</w:t>
            </w:r>
            <w:r>
              <w:rPr>
                <w:rStyle w:val="FootnoteReference"/>
                <w:sz w:val="20"/>
              </w:rPr>
              <w:footnoteReference w:id="84"/>
            </w:r>
            <w:r>
              <w:t>. Planned surgery refers to planned surgical procedures that can be booked in advance and scheduled for normal working hours.</w:t>
            </w:r>
          </w:p>
        </w:tc>
      </w:tr>
      <w:tr w:rsidR="00281C2F" w14:paraId="706F0377" w14:textId="77777777" w:rsidTr="00E449CC">
        <w:trPr>
          <w:trHeight w:val="315"/>
        </w:trPr>
        <w:tc>
          <w:tcPr>
            <w:cnfStyle w:val="001000000000" w:firstRow="0" w:lastRow="0" w:firstColumn="1" w:lastColumn="0" w:oddVBand="0" w:evenVBand="0" w:oddHBand="0" w:evenHBand="0" w:firstRowFirstColumn="0" w:firstRowLastColumn="0" w:lastRowFirstColumn="0" w:lastRowLastColumn="0"/>
            <w:tcW w:w="2282" w:type="dxa"/>
            <w:hideMark/>
          </w:tcPr>
          <w:p w14:paraId="130D6AFC" w14:textId="77777777" w:rsidR="00281C2F" w:rsidRDefault="00281C2F" w:rsidP="009A032D">
            <w:pPr>
              <w:pStyle w:val="Tabletext"/>
              <w:rPr>
                <w:b w:val="0"/>
                <w:bCs w:val="0"/>
              </w:rPr>
            </w:pPr>
            <w:r>
              <w:t>Podiatrist </w:t>
            </w:r>
          </w:p>
        </w:tc>
        <w:tc>
          <w:tcPr>
            <w:tcW w:w="7216" w:type="dxa"/>
            <w:hideMark/>
          </w:tcPr>
          <w:p w14:paraId="04CE1101"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 health practitioner registered with the Podiatry Board of Australia. </w:t>
            </w:r>
          </w:p>
        </w:tc>
      </w:tr>
      <w:tr w:rsidR="00281C2F" w14:paraId="687E1C9E" w14:textId="77777777" w:rsidTr="00E449CC">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6DE4DD98" w14:textId="77777777" w:rsidR="00281C2F" w:rsidRDefault="00281C2F" w:rsidP="009A032D">
            <w:pPr>
              <w:pStyle w:val="Tabletext"/>
              <w:rPr>
                <w:b w:val="0"/>
                <w:bCs w:val="0"/>
              </w:rPr>
            </w:pPr>
            <w:r>
              <w:t>Point-of-care testing </w:t>
            </w:r>
          </w:p>
        </w:tc>
        <w:tc>
          <w:tcPr>
            <w:tcW w:w="7216" w:type="dxa"/>
            <w:shd w:val="clear" w:color="auto" w:fill="DBE5F1" w:themeFill="accent1" w:themeFillTint="33"/>
            <w:hideMark/>
          </w:tcPr>
          <w:p w14:paraId="001609AF"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Also referred to as bedside testing. Diagnostic testing that takes place at or near the point of care – at the time and place of patient care. </w:t>
            </w:r>
          </w:p>
        </w:tc>
      </w:tr>
      <w:tr w:rsidR="00281C2F" w14:paraId="273EEC54" w14:textId="77777777" w:rsidTr="00E449CC">
        <w:trPr>
          <w:trHeight w:val="1290"/>
        </w:trPr>
        <w:tc>
          <w:tcPr>
            <w:cnfStyle w:val="001000000000" w:firstRow="0" w:lastRow="0" w:firstColumn="1" w:lastColumn="0" w:oddVBand="0" w:evenVBand="0" w:oddHBand="0" w:evenHBand="0" w:firstRowFirstColumn="0" w:firstRowLastColumn="0" w:lastRowFirstColumn="0" w:lastRowLastColumn="0"/>
            <w:tcW w:w="2282" w:type="dxa"/>
            <w:hideMark/>
          </w:tcPr>
          <w:p w14:paraId="491CD362" w14:textId="77777777" w:rsidR="00281C2F" w:rsidRDefault="00281C2F" w:rsidP="009A032D">
            <w:pPr>
              <w:pStyle w:val="Tabletext"/>
              <w:rPr>
                <w:b w:val="0"/>
                <w:bCs w:val="0"/>
              </w:rPr>
            </w:pPr>
            <w:r>
              <w:t>Primary care </w:t>
            </w:r>
          </w:p>
        </w:tc>
        <w:tc>
          <w:tcPr>
            <w:tcW w:w="7216" w:type="dxa"/>
            <w:hideMark/>
          </w:tcPr>
          <w:p w14:paraId="71E632FC"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Primary care includes a broad range of activities and services (such as health promotion, prevention, early intervention, treatment of acute conditions and management of chronic conditions) that are delivered in the home or in community-based settings, such as general practices, community health centres and allied health practices. </w:t>
            </w:r>
          </w:p>
        </w:tc>
      </w:tr>
      <w:tr w:rsidR="00281C2F" w14:paraId="7ABBEC7F" w14:textId="77777777" w:rsidTr="00E449CC">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tcPr>
          <w:p w14:paraId="33FD12E1" w14:textId="77777777" w:rsidR="00281C2F" w:rsidRDefault="00281C2F" w:rsidP="009A032D">
            <w:pPr>
              <w:pStyle w:val="Tabletext"/>
              <w:rPr>
                <w:b w:val="0"/>
              </w:rPr>
            </w:pPr>
            <w:r>
              <w:t>Proceduralist</w:t>
            </w:r>
          </w:p>
        </w:tc>
        <w:tc>
          <w:tcPr>
            <w:tcW w:w="7216" w:type="dxa"/>
            <w:shd w:val="clear" w:color="auto" w:fill="DBE5F1" w:themeFill="accent1" w:themeFillTint="33"/>
          </w:tcPr>
          <w:p w14:paraId="0ECA1CB4" w14:textId="6A7BDE2C"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A health practitioner credentialed at the site to deliver the procedure being undertaken. This would typically be a</w:t>
            </w:r>
            <w:r w:rsidRPr="00EB5A5E">
              <w:t xml:space="preserve"> medical practitioner </w:t>
            </w:r>
            <w:r>
              <w:t>(</w:t>
            </w:r>
            <w:r w:rsidRPr="00EB5A5E">
              <w:t>or dentist</w:t>
            </w:r>
            <w:r w:rsidR="00E95993">
              <w:t>) but</w:t>
            </w:r>
            <w:r>
              <w:t xml:space="preserve"> may also include podiatrists or extended scope of practice nurses, depending on the location and nature of the procedure.</w:t>
            </w:r>
          </w:p>
        </w:tc>
      </w:tr>
      <w:tr w:rsidR="00281C2F" w14:paraId="0459FD11" w14:textId="77777777" w:rsidTr="00E449CC">
        <w:trPr>
          <w:trHeight w:val="395"/>
        </w:trPr>
        <w:tc>
          <w:tcPr>
            <w:cnfStyle w:val="001000000000" w:firstRow="0" w:lastRow="0" w:firstColumn="1" w:lastColumn="0" w:oddVBand="0" w:evenVBand="0" w:oddHBand="0" w:evenHBand="0" w:firstRowFirstColumn="0" w:firstRowLastColumn="0" w:lastRowFirstColumn="0" w:lastRowLastColumn="0"/>
            <w:tcW w:w="2282" w:type="dxa"/>
            <w:hideMark/>
          </w:tcPr>
          <w:p w14:paraId="166CAC71" w14:textId="77777777" w:rsidR="00281C2F" w:rsidRDefault="00281C2F" w:rsidP="009A032D">
            <w:pPr>
              <w:pStyle w:val="Tabletext"/>
              <w:rPr>
                <w:b w:val="0"/>
              </w:rPr>
            </w:pPr>
            <w:r>
              <w:t>Procedure rooms </w:t>
            </w:r>
          </w:p>
        </w:tc>
        <w:tc>
          <w:tcPr>
            <w:tcW w:w="7216" w:type="dxa"/>
            <w:hideMark/>
          </w:tcPr>
          <w:p w14:paraId="62201888"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Facilities to support the care of patients undergoing a range of surgical and/or endoscopic procedures, with provision to deliver inhalational and other anaesthetic agents. Facilities for the surgical/procedural treatment of patients who are admitted and discharged on the same day. These units may be integrated within a hospital complex, be a separate facility on a hospital campus or be a standalone facility</w:t>
            </w:r>
            <w:r>
              <w:rPr>
                <w:rStyle w:val="FootnoteReference"/>
                <w:sz w:val="20"/>
              </w:rPr>
              <w:footnoteReference w:id="85"/>
            </w:r>
            <w:r>
              <w:t xml:space="preserve">. </w:t>
            </w:r>
          </w:p>
        </w:tc>
      </w:tr>
      <w:tr w:rsidR="00281C2F" w14:paraId="52F23E64" w14:textId="77777777" w:rsidTr="00E449CC">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0B4E189F" w14:textId="77777777" w:rsidR="00281C2F" w:rsidRDefault="00281C2F" w:rsidP="009A032D">
            <w:pPr>
              <w:pStyle w:val="Tabletext"/>
              <w:rPr>
                <w:b w:val="0"/>
                <w:bCs w:val="0"/>
              </w:rPr>
            </w:pPr>
            <w:r>
              <w:t>Protocol/established protocol </w:t>
            </w:r>
          </w:p>
        </w:tc>
        <w:tc>
          <w:tcPr>
            <w:tcW w:w="7216" w:type="dxa"/>
            <w:shd w:val="clear" w:color="auto" w:fill="DBE5F1" w:themeFill="accent1" w:themeFillTint="33"/>
            <w:hideMark/>
          </w:tcPr>
          <w:p w14:paraId="4E133C04"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An agreed framework outlining the care to be provided to patients in a given situation.  </w:t>
            </w:r>
          </w:p>
        </w:tc>
      </w:tr>
      <w:tr w:rsidR="00281C2F" w14:paraId="3D984DA2" w14:textId="77777777" w:rsidTr="00E449CC">
        <w:trPr>
          <w:trHeight w:val="315"/>
        </w:trPr>
        <w:tc>
          <w:tcPr>
            <w:cnfStyle w:val="001000000000" w:firstRow="0" w:lastRow="0" w:firstColumn="1" w:lastColumn="0" w:oddVBand="0" w:evenVBand="0" w:oddHBand="0" w:evenHBand="0" w:firstRowFirstColumn="0" w:firstRowLastColumn="0" w:lastRowFirstColumn="0" w:lastRowLastColumn="0"/>
            <w:tcW w:w="2282" w:type="dxa"/>
            <w:hideMark/>
          </w:tcPr>
          <w:p w14:paraId="32507379" w14:textId="77777777" w:rsidR="00281C2F" w:rsidRDefault="00281C2F" w:rsidP="009A032D">
            <w:pPr>
              <w:pStyle w:val="Tabletext"/>
              <w:rPr>
                <w:b w:val="0"/>
                <w:bCs w:val="0"/>
              </w:rPr>
            </w:pPr>
            <w:r>
              <w:t>Psychologist </w:t>
            </w:r>
          </w:p>
        </w:tc>
        <w:tc>
          <w:tcPr>
            <w:tcW w:w="7216" w:type="dxa"/>
            <w:hideMark/>
          </w:tcPr>
          <w:p w14:paraId="536AA712"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 health practitioner registered with the Psychology Board of Australia. </w:t>
            </w:r>
          </w:p>
        </w:tc>
      </w:tr>
      <w:tr w:rsidR="00281C2F" w14:paraId="79E624B7" w14:textId="77777777" w:rsidTr="00E449CC">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16E70F81" w14:textId="77777777" w:rsidR="00281C2F" w:rsidRDefault="00281C2F" w:rsidP="009A032D">
            <w:pPr>
              <w:pStyle w:val="Tabletext"/>
              <w:rPr>
                <w:b w:val="0"/>
                <w:bCs w:val="0"/>
              </w:rPr>
            </w:pPr>
            <w:r>
              <w:t>Referral pathway  </w:t>
            </w:r>
          </w:p>
        </w:tc>
        <w:tc>
          <w:tcPr>
            <w:tcW w:w="7216" w:type="dxa"/>
            <w:shd w:val="clear" w:color="auto" w:fill="DBE5F1" w:themeFill="accent1" w:themeFillTint="33"/>
            <w:hideMark/>
          </w:tcPr>
          <w:p w14:paraId="394A7E90"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A shared and agreed process by which a patient is referred from one service provider to another. This includes agreed referral criteria, consistent management of referrals and timely communication between service providers, regarding the outcome of the referral.  </w:t>
            </w:r>
          </w:p>
        </w:tc>
      </w:tr>
      <w:tr w:rsidR="00281C2F" w14:paraId="39272E98" w14:textId="77777777" w:rsidTr="00E449CC">
        <w:trPr>
          <w:trHeight w:val="780"/>
        </w:trPr>
        <w:tc>
          <w:tcPr>
            <w:cnfStyle w:val="001000000000" w:firstRow="0" w:lastRow="0" w:firstColumn="1" w:lastColumn="0" w:oddVBand="0" w:evenVBand="0" w:oddHBand="0" w:evenHBand="0" w:firstRowFirstColumn="0" w:firstRowLastColumn="0" w:lastRowFirstColumn="0" w:lastRowLastColumn="0"/>
            <w:tcW w:w="2282" w:type="dxa"/>
            <w:hideMark/>
          </w:tcPr>
          <w:p w14:paraId="0D1B687C" w14:textId="77777777" w:rsidR="00281C2F" w:rsidRDefault="00281C2F" w:rsidP="009A032D">
            <w:pPr>
              <w:pStyle w:val="Tabletext"/>
              <w:rPr>
                <w:b w:val="0"/>
                <w:bCs w:val="0"/>
              </w:rPr>
            </w:pPr>
            <w:r>
              <w:t>Registered nurse (RN) </w:t>
            </w:r>
          </w:p>
        </w:tc>
        <w:tc>
          <w:tcPr>
            <w:tcW w:w="7216" w:type="dxa"/>
            <w:hideMark/>
          </w:tcPr>
          <w:p w14:paraId="6F841504"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 person registered as a registered nurse in the Register of Nurses kept by the Nursing and Midwifery Board of Australia under the Health Practitioner Regulation National Law, other than as a student. </w:t>
            </w:r>
          </w:p>
        </w:tc>
      </w:tr>
      <w:tr w:rsidR="00281C2F" w14:paraId="1BCB0405" w14:textId="77777777" w:rsidTr="00FC602E">
        <w:trPr>
          <w:cnfStyle w:val="000000100000" w:firstRow="0" w:lastRow="0" w:firstColumn="0" w:lastColumn="0" w:oddVBand="0" w:evenVBand="0" w:oddHBand="1"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noWrap/>
            <w:hideMark/>
          </w:tcPr>
          <w:p w14:paraId="2F3345AD" w14:textId="77777777" w:rsidR="00281C2F" w:rsidRDefault="00281C2F" w:rsidP="009A032D">
            <w:pPr>
              <w:pStyle w:val="Tabletext"/>
              <w:rPr>
                <w:rFonts w:ascii="Calibri" w:hAnsi="Calibri" w:cs="Calibri"/>
                <w:b w:val="0"/>
                <w:bCs w:val="0"/>
                <w:color w:val="000000"/>
              </w:rPr>
            </w:pPr>
            <w:r>
              <w:t>Scope of clinical practice</w:t>
            </w:r>
          </w:p>
        </w:tc>
        <w:tc>
          <w:tcPr>
            <w:tcW w:w="7216" w:type="dxa"/>
            <w:shd w:val="clear" w:color="auto" w:fill="DBE5F1" w:themeFill="accent1" w:themeFillTint="33"/>
            <w:hideMark/>
          </w:tcPr>
          <w:p w14:paraId="5D04CA20"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Delineating the extent of an individual practitioner’s clinical practice in a particular organisation or facility, based on the individual’s credentials, competence, performance and professional suitability, and the needs and capability of the organisation to support the scope of clinical practice</w:t>
            </w:r>
            <w:r>
              <w:rPr>
                <w:rStyle w:val="FootnoteReference"/>
                <w:sz w:val="20"/>
              </w:rPr>
              <w:footnoteReference w:id="86"/>
            </w:r>
            <w:r>
              <w:t>.</w:t>
            </w:r>
          </w:p>
        </w:tc>
      </w:tr>
      <w:tr w:rsidR="00281C2F" w14:paraId="228F94E1" w14:textId="77777777" w:rsidTr="00E449CC">
        <w:trPr>
          <w:trHeight w:val="395"/>
        </w:trPr>
        <w:tc>
          <w:tcPr>
            <w:cnfStyle w:val="001000000000" w:firstRow="0" w:lastRow="0" w:firstColumn="1" w:lastColumn="0" w:oddVBand="0" w:evenVBand="0" w:oddHBand="0" w:evenHBand="0" w:firstRowFirstColumn="0" w:firstRowLastColumn="0" w:lastRowFirstColumn="0" w:lastRowLastColumn="0"/>
            <w:tcW w:w="2282" w:type="dxa"/>
            <w:hideMark/>
          </w:tcPr>
          <w:p w14:paraId="5665F7DA" w14:textId="77777777" w:rsidR="00281C2F" w:rsidRDefault="00281C2F" w:rsidP="009A032D">
            <w:pPr>
              <w:pStyle w:val="Tabletext"/>
              <w:rPr>
                <w:b w:val="0"/>
                <w:bCs w:val="0"/>
              </w:rPr>
            </w:pPr>
            <w:r>
              <w:t>Service (health) </w:t>
            </w:r>
          </w:p>
        </w:tc>
        <w:tc>
          <w:tcPr>
            <w:tcW w:w="7216" w:type="dxa"/>
            <w:hideMark/>
          </w:tcPr>
          <w:p w14:paraId="20E23D57"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Refers to a clinical service provided under the auspices of an organisation or facility. The word ‘facility’ usually refers to a physical or organisational structure that may operate a number of services of a similar or differing capability level.  </w:t>
            </w:r>
          </w:p>
          <w:p w14:paraId="2257EF99"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rPr>
                <w:color w:val="000000"/>
                <w:sz w:val="18"/>
                <w:szCs w:val="18"/>
              </w:rPr>
            </w:pPr>
            <w:r>
              <w:t xml:space="preserve">For the purpose of this policy, a ‘health service’ includes all public hospitals, public health services and multipurpose services established under the </w:t>
            </w:r>
            <w:r w:rsidRPr="00E1136E">
              <w:rPr>
                <w:i/>
                <w:iCs/>
              </w:rPr>
              <w:t>Health Services Act 1988</w:t>
            </w:r>
            <w:r>
              <w:t xml:space="preserve"> (Vic).</w:t>
            </w:r>
          </w:p>
        </w:tc>
      </w:tr>
      <w:tr w:rsidR="00281C2F" w14:paraId="169470C8" w14:textId="77777777" w:rsidTr="00E449CC">
        <w:trPr>
          <w:cnfStyle w:val="000000100000" w:firstRow="0" w:lastRow="0" w:firstColumn="0" w:lastColumn="0" w:oddVBand="0" w:evenVBand="0" w:oddHBand="1" w:evenHBand="0" w:firstRowFirstColumn="0" w:firstRowLastColumn="0" w:lastRowFirstColumn="0" w:lastRowLastColumn="0"/>
          <w:trHeight w:val="1019"/>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794F3C79" w14:textId="77777777" w:rsidR="00281C2F" w:rsidRDefault="00281C2F" w:rsidP="009A032D">
            <w:pPr>
              <w:pStyle w:val="Tabletext"/>
              <w:rPr>
                <w:b w:val="0"/>
                <w:bCs w:val="0"/>
              </w:rPr>
            </w:pPr>
            <w:r>
              <w:t>Service (as referred to in clinical support services)</w:t>
            </w:r>
          </w:p>
        </w:tc>
        <w:tc>
          <w:tcPr>
            <w:tcW w:w="7216" w:type="dxa"/>
            <w:shd w:val="clear" w:color="auto" w:fill="DBE5F1" w:themeFill="accent1" w:themeFillTint="33"/>
            <w:hideMark/>
          </w:tcPr>
          <w:p w14:paraId="6FCFEBC2"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Refers to the equipment and workforce required to deliver clinical support services.</w:t>
            </w:r>
          </w:p>
        </w:tc>
      </w:tr>
      <w:tr w:rsidR="00281C2F" w14:paraId="61000B74" w14:textId="77777777" w:rsidTr="00E449CC">
        <w:trPr>
          <w:trHeight w:val="315"/>
        </w:trPr>
        <w:tc>
          <w:tcPr>
            <w:cnfStyle w:val="001000000000" w:firstRow="0" w:lastRow="0" w:firstColumn="1" w:lastColumn="0" w:oddVBand="0" w:evenVBand="0" w:oddHBand="0" w:evenHBand="0" w:firstRowFirstColumn="0" w:firstRowLastColumn="0" w:lastRowFirstColumn="0" w:lastRowLastColumn="0"/>
            <w:tcW w:w="2282" w:type="dxa"/>
            <w:hideMark/>
          </w:tcPr>
          <w:p w14:paraId="57B77382" w14:textId="77777777" w:rsidR="00281C2F" w:rsidRDefault="00281C2F" w:rsidP="009A032D">
            <w:pPr>
              <w:pStyle w:val="Tabletext"/>
              <w:rPr>
                <w:b w:val="0"/>
                <w:bCs w:val="0"/>
              </w:rPr>
            </w:pPr>
            <w:r>
              <w:t>Seven days a week </w:t>
            </w:r>
          </w:p>
        </w:tc>
        <w:tc>
          <w:tcPr>
            <w:tcW w:w="7216" w:type="dxa"/>
            <w:hideMark/>
          </w:tcPr>
          <w:p w14:paraId="33D72DAD"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 specific service is open and provides services every day of the week. </w:t>
            </w:r>
          </w:p>
        </w:tc>
      </w:tr>
      <w:tr w:rsidR="00281C2F" w14:paraId="3782C34B" w14:textId="77777777" w:rsidTr="00E449CC">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hideMark/>
          </w:tcPr>
          <w:p w14:paraId="59C45787" w14:textId="77777777" w:rsidR="00281C2F" w:rsidRDefault="00281C2F" w:rsidP="009A032D">
            <w:pPr>
              <w:pStyle w:val="Tabletext"/>
              <w:rPr>
                <w:b w:val="0"/>
                <w:bCs w:val="0"/>
              </w:rPr>
            </w:pPr>
            <w:r>
              <w:t>Social worker </w:t>
            </w:r>
          </w:p>
        </w:tc>
        <w:tc>
          <w:tcPr>
            <w:tcW w:w="7216" w:type="dxa"/>
            <w:shd w:val="clear" w:color="auto" w:fill="DBE5F1" w:themeFill="accent1" w:themeFillTint="33"/>
            <w:hideMark/>
          </w:tcPr>
          <w:p w14:paraId="5C5EAF95"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A member of, or individual eligible for membership of, the Australian Association of Social Workers. </w:t>
            </w:r>
          </w:p>
        </w:tc>
      </w:tr>
      <w:tr w:rsidR="00281C2F" w14:paraId="252276BB" w14:textId="77777777" w:rsidTr="00E449CC">
        <w:trPr>
          <w:trHeight w:val="780"/>
        </w:trPr>
        <w:tc>
          <w:tcPr>
            <w:cnfStyle w:val="001000000000" w:firstRow="0" w:lastRow="0" w:firstColumn="1" w:lastColumn="0" w:oddVBand="0" w:evenVBand="0" w:oddHBand="0" w:evenHBand="0" w:firstRowFirstColumn="0" w:firstRowLastColumn="0" w:lastRowFirstColumn="0" w:lastRowLastColumn="0"/>
            <w:tcW w:w="2282" w:type="dxa"/>
            <w:hideMark/>
          </w:tcPr>
          <w:p w14:paraId="2E8AD7C2" w14:textId="77777777" w:rsidR="00281C2F" w:rsidRDefault="00281C2F" w:rsidP="009A032D">
            <w:pPr>
              <w:pStyle w:val="Tabletext"/>
              <w:rPr>
                <w:b w:val="0"/>
                <w:bCs w:val="0"/>
              </w:rPr>
            </w:pPr>
            <w:r>
              <w:t>Statewide service </w:t>
            </w:r>
          </w:p>
        </w:tc>
        <w:tc>
          <w:tcPr>
            <w:tcW w:w="7216" w:type="dxa"/>
            <w:hideMark/>
          </w:tcPr>
          <w:p w14:paraId="1F83FA35"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A specialist service that is provided by one or two health services for the entire state. Examples include transplant services, specialist services for children and endovascular clot retrieval for acute stroke. </w:t>
            </w:r>
          </w:p>
        </w:tc>
      </w:tr>
      <w:tr w:rsidR="00281C2F" w14:paraId="1CBCA541" w14:textId="77777777" w:rsidTr="00E449CC">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tcPr>
          <w:p w14:paraId="3631B59B" w14:textId="77777777" w:rsidR="00281C2F" w:rsidRDefault="00281C2F" w:rsidP="009A032D">
            <w:pPr>
              <w:pStyle w:val="Tabletext"/>
              <w:rPr>
                <w:b w:val="0"/>
                <w:bCs w:val="0"/>
              </w:rPr>
            </w:pPr>
            <w:r>
              <w:t>Standard hours</w:t>
            </w:r>
          </w:p>
        </w:tc>
        <w:tc>
          <w:tcPr>
            <w:tcW w:w="7216" w:type="dxa"/>
            <w:shd w:val="clear" w:color="auto" w:fill="DBE5F1" w:themeFill="accent1" w:themeFillTint="33"/>
          </w:tcPr>
          <w:p w14:paraId="2C10D4B3"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Commonly defined as Monday to Friday, 9.00 am to 5.00 pm. Standard hours may otherwise be determined by the health service campus.</w:t>
            </w:r>
          </w:p>
        </w:tc>
      </w:tr>
      <w:tr w:rsidR="00281C2F" w14:paraId="7FCF9081" w14:textId="77777777" w:rsidTr="00E449CC">
        <w:trPr>
          <w:trHeight w:val="510"/>
        </w:trPr>
        <w:tc>
          <w:tcPr>
            <w:cnfStyle w:val="001000000000" w:firstRow="0" w:lastRow="0" w:firstColumn="1" w:lastColumn="0" w:oddVBand="0" w:evenVBand="0" w:oddHBand="0" w:evenHBand="0" w:firstRowFirstColumn="0" w:firstRowLastColumn="0" w:lastRowFirstColumn="0" w:lastRowLastColumn="0"/>
            <w:tcW w:w="2282" w:type="dxa"/>
            <w:hideMark/>
          </w:tcPr>
          <w:p w14:paraId="0C1C7A5F" w14:textId="77777777" w:rsidR="00281C2F" w:rsidRDefault="00281C2F" w:rsidP="009A032D">
            <w:pPr>
              <w:pStyle w:val="Tabletext"/>
              <w:rPr>
                <w:b w:val="0"/>
              </w:rPr>
            </w:pPr>
            <w:r>
              <w:t>Urgent care centres </w:t>
            </w:r>
          </w:p>
        </w:tc>
        <w:tc>
          <w:tcPr>
            <w:tcW w:w="7216" w:type="dxa"/>
            <w:hideMark/>
          </w:tcPr>
          <w:p w14:paraId="3B8F3420" w14:textId="77777777" w:rsidR="00281C2F" w:rsidRDefault="00281C2F" w:rsidP="009A032D">
            <w:pPr>
              <w:pStyle w:val="Tabletext"/>
              <w:cnfStyle w:val="000000000000" w:firstRow="0" w:lastRow="0" w:firstColumn="0" w:lastColumn="0" w:oddVBand="0" w:evenVBand="0" w:oddHBand="0" w:evenHBand="0" w:firstRowFirstColumn="0" w:firstRowLastColumn="0" w:lastRowFirstColumn="0" w:lastRowLastColumn="0"/>
            </w:pPr>
            <w:r>
              <w:t>Urgent care centres are generally found in rural areas in Victoria. They are often supported by general practitioners and/or advanced practice nurses.  </w:t>
            </w:r>
          </w:p>
        </w:tc>
      </w:tr>
      <w:tr w:rsidR="00281C2F" w14:paraId="0FBA55FD" w14:textId="77777777" w:rsidTr="00E449C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82" w:type="dxa"/>
            <w:shd w:val="clear" w:color="auto" w:fill="DBE5F1" w:themeFill="accent1" w:themeFillTint="33"/>
          </w:tcPr>
          <w:p w14:paraId="58E79FBF" w14:textId="77777777" w:rsidR="00281C2F" w:rsidRDefault="00281C2F" w:rsidP="009A032D">
            <w:pPr>
              <w:pStyle w:val="Tabletext"/>
              <w:rPr>
                <w:b w:val="0"/>
              </w:rPr>
            </w:pPr>
            <w:r>
              <w:t>Virtual care</w:t>
            </w:r>
          </w:p>
        </w:tc>
        <w:tc>
          <w:tcPr>
            <w:tcW w:w="7216" w:type="dxa"/>
            <w:shd w:val="clear" w:color="auto" w:fill="DBE5F1" w:themeFill="accent1" w:themeFillTint="33"/>
          </w:tcPr>
          <w:p w14:paraId="48E83808" w14:textId="77777777" w:rsidR="00281C2F" w:rsidRDefault="00281C2F" w:rsidP="009A032D">
            <w:pPr>
              <w:pStyle w:val="Tabletext"/>
              <w:cnfStyle w:val="000000100000" w:firstRow="0" w:lastRow="0" w:firstColumn="0" w:lastColumn="0" w:oddVBand="0" w:evenVBand="0" w:oddHBand="1" w:evenHBand="0" w:firstRowFirstColumn="0" w:firstRowLastColumn="0" w:lastRowFirstColumn="0" w:lastRowLastColumn="0"/>
            </w:pPr>
            <w:r>
              <w:t>The delivery of healthcare and related services where care is provided by using information and communications technologies (including telephone</w:t>
            </w:r>
            <w:r w:rsidRPr="1AC5FC4B">
              <w:t>,</w:t>
            </w:r>
            <w:r>
              <w:t xml:space="preserve"> video-enabled</w:t>
            </w:r>
            <w:r w:rsidRPr="1AC5FC4B">
              <w:t xml:space="preserve"> and remote monitoring</w:t>
            </w:r>
            <w:r>
              <w:t>)</w:t>
            </w:r>
            <w:r>
              <w:rPr>
                <w:rStyle w:val="FootnoteReference"/>
                <w:sz w:val="20"/>
              </w:rPr>
              <w:footnoteReference w:id="87"/>
            </w:r>
            <w:r>
              <w:t xml:space="preserve">. </w:t>
            </w:r>
          </w:p>
        </w:tc>
      </w:tr>
    </w:tbl>
    <w:p w14:paraId="7A817E88" w14:textId="77777777" w:rsidR="00281C2F" w:rsidRDefault="00281C2F" w:rsidP="00281C2F">
      <w:pPr>
        <w:spacing w:after="200" w:line="276" w:lineRule="auto"/>
        <w:rPr>
          <w:rStyle w:val="Heading1Char"/>
          <w:sz w:val="36"/>
        </w:rPr>
      </w:pPr>
    </w:p>
    <w:p w14:paraId="54E02D61" w14:textId="77777777" w:rsidR="00281C2F" w:rsidRDefault="00281C2F" w:rsidP="00281C2F">
      <w:pPr>
        <w:spacing w:after="200" w:line="276" w:lineRule="auto"/>
        <w:rPr>
          <w:rStyle w:val="Heading1Char"/>
          <w:sz w:val="36"/>
        </w:rPr>
      </w:pPr>
      <w:r>
        <w:rPr>
          <w:rStyle w:val="Heading1Char"/>
          <w:sz w:val="36"/>
        </w:rPr>
        <w:br w:type="page"/>
      </w:r>
    </w:p>
    <w:p w14:paraId="3739B363" w14:textId="77777777" w:rsidR="00281C2F" w:rsidRDefault="00281C2F" w:rsidP="00281C2F">
      <w:pPr>
        <w:spacing w:after="200" w:line="276" w:lineRule="auto"/>
        <w:rPr>
          <w:rStyle w:val="Heading1Char"/>
          <w:sz w:val="36"/>
        </w:rPr>
      </w:pPr>
      <w:bookmarkStart w:id="57" w:name="_Toc148718461"/>
      <w:bookmarkStart w:id="58" w:name="_Toc153792522"/>
      <w:r>
        <w:rPr>
          <w:rStyle w:val="Heading1Char"/>
          <w:sz w:val="36"/>
        </w:rPr>
        <w:t>List of acronyms</w:t>
      </w:r>
      <w:bookmarkEnd w:id="57"/>
      <w:bookmarkEnd w:id="58"/>
    </w:p>
    <w:tbl>
      <w:tblPr>
        <w:tblStyle w:val="GridTable4-Accent6"/>
        <w:tblW w:w="0" w:type="auto"/>
        <w:tblBorders>
          <w:top w:val="none" w:sz="0" w:space="0" w:color="auto"/>
          <w:left w:val="none" w:sz="0" w:space="0" w:color="auto"/>
          <w:bottom w:val="single" w:sz="4" w:space="0" w:color="201547"/>
          <w:right w:val="none" w:sz="0" w:space="0" w:color="auto"/>
          <w:insideH w:val="none" w:sz="0" w:space="0" w:color="auto"/>
          <w:insideV w:val="single" w:sz="4" w:space="0" w:color="201547"/>
        </w:tblBorders>
        <w:tblLook w:val="04A0" w:firstRow="1" w:lastRow="0" w:firstColumn="1" w:lastColumn="0" w:noHBand="0" w:noVBand="1"/>
      </w:tblPr>
      <w:tblGrid>
        <w:gridCol w:w="2689"/>
        <w:gridCol w:w="6095"/>
      </w:tblGrid>
      <w:tr w:rsidR="00281C2F" w:rsidRPr="002A3568" w14:paraId="7B253077" w14:textId="77777777" w:rsidTr="67F2E2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201547"/>
          </w:tcPr>
          <w:p w14:paraId="3BA3ABF1" w14:textId="77777777" w:rsidR="00281C2F" w:rsidRPr="002A3568" w:rsidRDefault="00281C2F" w:rsidP="009A032D">
            <w:pPr>
              <w:pStyle w:val="Tablecolhead"/>
              <w:rPr>
                <w:b/>
                <w:bCs w:val="0"/>
                <w:color w:val="FFFFFF" w:themeColor="background1"/>
              </w:rPr>
            </w:pPr>
            <w:r w:rsidRPr="002A3568">
              <w:rPr>
                <w:b/>
                <w:bCs w:val="0"/>
                <w:color w:val="FFFFFF" w:themeColor="background1"/>
              </w:rPr>
              <w:t>Acronym</w:t>
            </w:r>
          </w:p>
        </w:tc>
        <w:tc>
          <w:tcPr>
            <w:tcW w:w="6095" w:type="dxa"/>
            <w:shd w:val="clear" w:color="auto" w:fill="201547"/>
          </w:tcPr>
          <w:p w14:paraId="11080143" w14:textId="77777777" w:rsidR="00281C2F" w:rsidRPr="002A3568" w:rsidRDefault="00281C2F" w:rsidP="009A032D">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A3568">
              <w:rPr>
                <w:b/>
                <w:bCs w:val="0"/>
                <w:color w:val="FFFFFF" w:themeColor="background1"/>
              </w:rPr>
              <w:t>Definition</w:t>
            </w:r>
          </w:p>
        </w:tc>
      </w:tr>
      <w:tr w:rsidR="00281C2F" w:rsidRPr="00281C2F" w14:paraId="5A467427" w14:textId="77777777" w:rsidTr="67F2E2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DBE5F1" w:themeFill="accent1" w:themeFillTint="33"/>
          </w:tcPr>
          <w:p w14:paraId="5CC15039" w14:textId="77777777" w:rsidR="00281C2F" w:rsidRPr="001E15F2" w:rsidRDefault="00281C2F" w:rsidP="00281C2F">
            <w:pPr>
              <w:pStyle w:val="Tabletext"/>
              <w:rPr>
                <w:rStyle w:val="PageNumber"/>
                <w:b w:val="0"/>
                <w:bCs w:val="0"/>
                <w:sz w:val="21"/>
              </w:rPr>
            </w:pPr>
            <w:r w:rsidRPr="00026CD6">
              <w:rPr>
                <w:b w:val="0"/>
                <w:bCs w:val="0"/>
              </w:rPr>
              <w:t>ACCO</w:t>
            </w:r>
          </w:p>
        </w:tc>
        <w:tc>
          <w:tcPr>
            <w:tcW w:w="6095" w:type="dxa"/>
            <w:shd w:val="clear" w:color="auto" w:fill="DBE5F1" w:themeFill="accent1" w:themeFillTint="33"/>
          </w:tcPr>
          <w:p w14:paraId="7F2F7272" w14:textId="4BC4F947" w:rsidR="00281C2F" w:rsidRPr="00281C2F" w:rsidRDefault="00281C2F" w:rsidP="00281C2F">
            <w:pPr>
              <w:pStyle w:val="Tabletext"/>
              <w:cnfStyle w:val="000000100000" w:firstRow="0" w:lastRow="0" w:firstColumn="0" w:lastColumn="0" w:oddVBand="0" w:evenVBand="0" w:oddHBand="1" w:evenHBand="0" w:firstRowFirstColumn="0" w:firstRowLastColumn="0" w:lastRowFirstColumn="0" w:lastRowLastColumn="0"/>
              <w:rPr>
                <w:rStyle w:val="PageNumber"/>
                <w:sz w:val="21"/>
              </w:rPr>
            </w:pPr>
            <w:r w:rsidRPr="00281C2F">
              <w:t xml:space="preserve">Aboriginal </w:t>
            </w:r>
            <w:r w:rsidR="00021345">
              <w:t>C</w:t>
            </w:r>
            <w:r w:rsidRPr="00281C2F">
              <w:t xml:space="preserve">ommunity </w:t>
            </w:r>
            <w:r w:rsidR="00021345">
              <w:t>C</w:t>
            </w:r>
            <w:r w:rsidRPr="00281C2F">
              <w:t xml:space="preserve">ontrolled </w:t>
            </w:r>
            <w:r w:rsidR="00021345">
              <w:t>O</w:t>
            </w:r>
            <w:r w:rsidRPr="00281C2F">
              <w:t>rganisation</w:t>
            </w:r>
          </w:p>
        </w:tc>
      </w:tr>
      <w:tr w:rsidR="00281C2F" w:rsidRPr="00281C2F" w14:paraId="286C0E72" w14:textId="77777777" w:rsidTr="67F2E2E4">
        <w:tc>
          <w:tcPr>
            <w:cnfStyle w:val="001000000000" w:firstRow="0" w:lastRow="0" w:firstColumn="1" w:lastColumn="0" w:oddVBand="0" w:evenVBand="0" w:oddHBand="0" w:evenHBand="0" w:firstRowFirstColumn="0" w:firstRowLastColumn="0" w:lastRowFirstColumn="0" w:lastRowLastColumn="0"/>
            <w:tcW w:w="2689" w:type="dxa"/>
          </w:tcPr>
          <w:p w14:paraId="5BE2D601" w14:textId="77777777" w:rsidR="00281C2F" w:rsidRPr="001E15F2" w:rsidRDefault="00281C2F" w:rsidP="00281C2F">
            <w:pPr>
              <w:pStyle w:val="Tabletext"/>
              <w:rPr>
                <w:rStyle w:val="PageNumber"/>
                <w:b w:val="0"/>
                <w:bCs w:val="0"/>
                <w:sz w:val="21"/>
              </w:rPr>
            </w:pPr>
            <w:bookmarkStart w:id="59" w:name="_Hlk148718042"/>
            <w:r w:rsidRPr="001E15F2">
              <w:rPr>
                <w:b w:val="0"/>
                <w:bCs w:val="0"/>
              </w:rPr>
              <w:t>ACRRM</w:t>
            </w:r>
          </w:p>
        </w:tc>
        <w:tc>
          <w:tcPr>
            <w:tcW w:w="6095" w:type="dxa"/>
          </w:tcPr>
          <w:p w14:paraId="2838DC66" w14:textId="77777777" w:rsidR="00281C2F" w:rsidRPr="00281C2F" w:rsidRDefault="00281C2F" w:rsidP="00281C2F">
            <w:pPr>
              <w:pStyle w:val="Tabletext"/>
              <w:cnfStyle w:val="000000000000" w:firstRow="0" w:lastRow="0" w:firstColumn="0" w:lastColumn="0" w:oddVBand="0" w:evenVBand="0" w:oddHBand="0" w:evenHBand="0" w:firstRowFirstColumn="0" w:firstRowLastColumn="0" w:lastRowFirstColumn="0" w:lastRowLastColumn="0"/>
              <w:rPr>
                <w:rStyle w:val="PageNumber"/>
                <w:sz w:val="21"/>
              </w:rPr>
            </w:pPr>
            <w:r w:rsidRPr="00281C2F">
              <w:t>Australian College of Rural and Remote Medicine</w:t>
            </w:r>
          </w:p>
        </w:tc>
      </w:tr>
      <w:tr w:rsidR="00281C2F" w:rsidRPr="00281C2F" w14:paraId="7AE18CDA" w14:textId="77777777" w:rsidTr="67F2E2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DBE5F1" w:themeFill="accent1" w:themeFillTint="33"/>
          </w:tcPr>
          <w:p w14:paraId="5472F9A3" w14:textId="77777777" w:rsidR="00281C2F" w:rsidRPr="001E15F2" w:rsidRDefault="00281C2F" w:rsidP="00281C2F">
            <w:pPr>
              <w:pStyle w:val="Tabletext"/>
              <w:rPr>
                <w:rStyle w:val="PageNumber"/>
                <w:b w:val="0"/>
                <w:bCs w:val="0"/>
                <w:sz w:val="21"/>
              </w:rPr>
            </w:pPr>
            <w:r w:rsidRPr="001E15F2">
              <w:rPr>
                <w:b w:val="0"/>
                <w:bCs w:val="0"/>
              </w:rPr>
              <w:t>AHLO</w:t>
            </w:r>
          </w:p>
        </w:tc>
        <w:tc>
          <w:tcPr>
            <w:tcW w:w="6095" w:type="dxa"/>
            <w:shd w:val="clear" w:color="auto" w:fill="DBE5F1" w:themeFill="accent1" w:themeFillTint="33"/>
          </w:tcPr>
          <w:p w14:paraId="59DFD454" w14:textId="77777777" w:rsidR="00281C2F" w:rsidRPr="00281C2F" w:rsidRDefault="00281C2F" w:rsidP="00281C2F">
            <w:pPr>
              <w:pStyle w:val="Tabletext"/>
              <w:cnfStyle w:val="000000100000" w:firstRow="0" w:lastRow="0" w:firstColumn="0" w:lastColumn="0" w:oddVBand="0" w:evenVBand="0" w:oddHBand="1" w:evenHBand="0" w:firstRowFirstColumn="0" w:firstRowLastColumn="0" w:lastRowFirstColumn="0" w:lastRowLastColumn="0"/>
              <w:rPr>
                <w:rStyle w:val="PageNumber"/>
                <w:sz w:val="21"/>
              </w:rPr>
            </w:pPr>
            <w:r w:rsidRPr="00281C2F">
              <w:t>Aboriginal Health Liaison Officer</w:t>
            </w:r>
          </w:p>
        </w:tc>
      </w:tr>
      <w:tr w:rsidR="00281C2F" w:rsidRPr="00281C2F" w14:paraId="40F9EB8E" w14:textId="77777777" w:rsidTr="67F2E2E4">
        <w:tc>
          <w:tcPr>
            <w:cnfStyle w:val="001000000000" w:firstRow="0" w:lastRow="0" w:firstColumn="1" w:lastColumn="0" w:oddVBand="0" w:evenVBand="0" w:oddHBand="0" w:evenHBand="0" w:firstRowFirstColumn="0" w:firstRowLastColumn="0" w:lastRowFirstColumn="0" w:lastRowLastColumn="0"/>
            <w:tcW w:w="2689" w:type="dxa"/>
          </w:tcPr>
          <w:p w14:paraId="39E58E71" w14:textId="77777777" w:rsidR="00281C2F" w:rsidRPr="001E15F2" w:rsidRDefault="00281C2F" w:rsidP="00281C2F">
            <w:pPr>
              <w:pStyle w:val="Tabletext"/>
              <w:rPr>
                <w:rStyle w:val="PageNumber"/>
                <w:b w:val="0"/>
                <w:bCs w:val="0"/>
                <w:sz w:val="21"/>
              </w:rPr>
            </w:pPr>
            <w:r w:rsidRPr="001E15F2">
              <w:rPr>
                <w:b w:val="0"/>
                <w:bCs w:val="0"/>
              </w:rPr>
              <w:t>ANZCA</w:t>
            </w:r>
          </w:p>
        </w:tc>
        <w:tc>
          <w:tcPr>
            <w:tcW w:w="6095" w:type="dxa"/>
          </w:tcPr>
          <w:p w14:paraId="369659A5" w14:textId="77777777" w:rsidR="00281C2F" w:rsidRPr="00281C2F" w:rsidRDefault="00281C2F" w:rsidP="00281C2F">
            <w:pPr>
              <w:pStyle w:val="Tabletext"/>
              <w:cnfStyle w:val="000000000000" w:firstRow="0" w:lastRow="0" w:firstColumn="0" w:lastColumn="0" w:oddVBand="0" w:evenVBand="0" w:oddHBand="0" w:evenHBand="0" w:firstRowFirstColumn="0" w:firstRowLastColumn="0" w:lastRowFirstColumn="0" w:lastRowLastColumn="0"/>
              <w:rPr>
                <w:rStyle w:val="PageNumber"/>
                <w:sz w:val="21"/>
              </w:rPr>
            </w:pPr>
            <w:r w:rsidRPr="00281C2F">
              <w:t>Australian and New Zealand College of Anaesthetists</w:t>
            </w:r>
          </w:p>
        </w:tc>
      </w:tr>
      <w:tr w:rsidR="00281C2F" w:rsidRPr="00281C2F" w14:paraId="0FCA9F03" w14:textId="77777777" w:rsidTr="67F2E2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DBE5F1" w:themeFill="accent1" w:themeFillTint="33"/>
          </w:tcPr>
          <w:p w14:paraId="4ECE6D8B" w14:textId="77777777" w:rsidR="00281C2F" w:rsidRPr="001E15F2" w:rsidRDefault="00281C2F" w:rsidP="00281C2F">
            <w:pPr>
              <w:pStyle w:val="Tabletext"/>
              <w:rPr>
                <w:rStyle w:val="PageNumber"/>
                <w:b w:val="0"/>
                <w:bCs w:val="0"/>
                <w:sz w:val="21"/>
              </w:rPr>
            </w:pPr>
            <w:r w:rsidRPr="001E15F2">
              <w:rPr>
                <w:b w:val="0"/>
                <w:bCs w:val="0"/>
              </w:rPr>
              <w:t>CICM</w:t>
            </w:r>
          </w:p>
        </w:tc>
        <w:tc>
          <w:tcPr>
            <w:tcW w:w="6095" w:type="dxa"/>
            <w:shd w:val="clear" w:color="auto" w:fill="DBE5F1" w:themeFill="accent1" w:themeFillTint="33"/>
          </w:tcPr>
          <w:p w14:paraId="604D47DC" w14:textId="77777777" w:rsidR="00281C2F" w:rsidRPr="00281C2F" w:rsidRDefault="00281C2F" w:rsidP="00281C2F">
            <w:pPr>
              <w:pStyle w:val="Tabletext"/>
              <w:cnfStyle w:val="000000100000" w:firstRow="0" w:lastRow="0" w:firstColumn="0" w:lastColumn="0" w:oddVBand="0" w:evenVBand="0" w:oddHBand="1" w:evenHBand="0" w:firstRowFirstColumn="0" w:firstRowLastColumn="0" w:lastRowFirstColumn="0" w:lastRowLastColumn="0"/>
              <w:rPr>
                <w:rStyle w:val="PageNumber"/>
                <w:sz w:val="21"/>
              </w:rPr>
            </w:pPr>
            <w:r w:rsidRPr="00281C2F">
              <w:t>College of Intensive Care Medicine</w:t>
            </w:r>
          </w:p>
        </w:tc>
      </w:tr>
      <w:tr w:rsidR="00281C2F" w:rsidRPr="00281C2F" w14:paraId="2B450991" w14:textId="77777777" w:rsidTr="67F2E2E4">
        <w:tc>
          <w:tcPr>
            <w:cnfStyle w:val="001000000000" w:firstRow="0" w:lastRow="0" w:firstColumn="1" w:lastColumn="0" w:oddVBand="0" w:evenVBand="0" w:oddHBand="0" w:evenHBand="0" w:firstRowFirstColumn="0" w:firstRowLastColumn="0" w:lastRowFirstColumn="0" w:lastRowLastColumn="0"/>
            <w:tcW w:w="2689" w:type="dxa"/>
          </w:tcPr>
          <w:p w14:paraId="6B42F2A1" w14:textId="77777777" w:rsidR="00281C2F" w:rsidRPr="001E15F2" w:rsidRDefault="00281C2F" w:rsidP="00281C2F">
            <w:pPr>
              <w:pStyle w:val="Tabletext"/>
              <w:rPr>
                <w:rStyle w:val="PageNumber"/>
                <w:b w:val="0"/>
                <w:bCs w:val="0"/>
                <w:sz w:val="21"/>
              </w:rPr>
            </w:pPr>
            <w:proofErr w:type="spellStart"/>
            <w:r w:rsidRPr="001E15F2">
              <w:rPr>
                <w:b w:val="0"/>
                <w:bCs w:val="0"/>
              </w:rPr>
              <w:t>DipRGA</w:t>
            </w:r>
            <w:proofErr w:type="spellEnd"/>
          </w:p>
        </w:tc>
        <w:tc>
          <w:tcPr>
            <w:tcW w:w="6095" w:type="dxa"/>
          </w:tcPr>
          <w:p w14:paraId="026301B4" w14:textId="77777777" w:rsidR="00281C2F" w:rsidRPr="00281C2F" w:rsidRDefault="00281C2F" w:rsidP="00281C2F">
            <w:pPr>
              <w:pStyle w:val="Tabletext"/>
              <w:cnfStyle w:val="000000000000" w:firstRow="0" w:lastRow="0" w:firstColumn="0" w:lastColumn="0" w:oddVBand="0" w:evenVBand="0" w:oddHBand="0" w:evenHBand="0" w:firstRowFirstColumn="0" w:firstRowLastColumn="0" w:lastRowFirstColumn="0" w:lastRowLastColumn="0"/>
              <w:rPr>
                <w:rStyle w:val="PageNumber"/>
                <w:sz w:val="21"/>
              </w:rPr>
            </w:pPr>
            <w:r w:rsidRPr="00281C2F">
              <w:t>Diploma of Rural Generalist Anaesthesia</w:t>
            </w:r>
          </w:p>
        </w:tc>
      </w:tr>
      <w:tr w:rsidR="00281C2F" w:rsidRPr="00281C2F" w14:paraId="1E77146D" w14:textId="77777777" w:rsidTr="67F2E2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DBE5F1" w:themeFill="accent1" w:themeFillTint="33"/>
          </w:tcPr>
          <w:p w14:paraId="128CDBD8" w14:textId="77777777" w:rsidR="00281C2F" w:rsidRPr="001E15F2" w:rsidRDefault="00281C2F" w:rsidP="00281C2F">
            <w:pPr>
              <w:pStyle w:val="Tabletext"/>
              <w:rPr>
                <w:rStyle w:val="PageNumber"/>
                <w:b w:val="0"/>
                <w:bCs w:val="0"/>
                <w:sz w:val="21"/>
              </w:rPr>
            </w:pPr>
            <w:r w:rsidRPr="001E15F2">
              <w:rPr>
                <w:b w:val="0"/>
                <w:bCs w:val="0"/>
              </w:rPr>
              <w:t>GEM</w:t>
            </w:r>
          </w:p>
        </w:tc>
        <w:tc>
          <w:tcPr>
            <w:tcW w:w="6095" w:type="dxa"/>
            <w:shd w:val="clear" w:color="auto" w:fill="DBE5F1" w:themeFill="accent1" w:themeFillTint="33"/>
          </w:tcPr>
          <w:p w14:paraId="40DAA19E" w14:textId="77777777" w:rsidR="00281C2F" w:rsidRPr="00281C2F" w:rsidRDefault="00281C2F" w:rsidP="00281C2F">
            <w:pPr>
              <w:pStyle w:val="Tabletext"/>
              <w:cnfStyle w:val="000000100000" w:firstRow="0" w:lastRow="0" w:firstColumn="0" w:lastColumn="0" w:oddVBand="0" w:evenVBand="0" w:oddHBand="1" w:evenHBand="0" w:firstRowFirstColumn="0" w:firstRowLastColumn="0" w:lastRowFirstColumn="0" w:lastRowLastColumn="0"/>
              <w:rPr>
                <w:rStyle w:val="PageNumber"/>
                <w:sz w:val="21"/>
              </w:rPr>
            </w:pPr>
            <w:r w:rsidRPr="00281C2F">
              <w:t>Geriatric Evaluation and Management</w:t>
            </w:r>
          </w:p>
        </w:tc>
      </w:tr>
      <w:tr w:rsidR="00281C2F" w:rsidRPr="00281C2F" w14:paraId="0C7AA498" w14:textId="77777777" w:rsidTr="67F2E2E4">
        <w:tc>
          <w:tcPr>
            <w:cnfStyle w:val="001000000000" w:firstRow="0" w:lastRow="0" w:firstColumn="1" w:lastColumn="0" w:oddVBand="0" w:evenVBand="0" w:oddHBand="0" w:evenHBand="0" w:firstRowFirstColumn="0" w:firstRowLastColumn="0" w:lastRowFirstColumn="0" w:lastRowLastColumn="0"/>
            <w:tcW w:w="2689" w:type="dxa"/>
          </w:tcPr>
          <w:p w14:paraId="59574DE5" w14:textId="77777777" w:rsidR="00281C2F" w:rsidRPr="001E15F2" w:rsidRDefault="00281C2F" w:rsidP="00281C2F">
            <w:pPr>
              <w:pStyle w:val="Tabletext"/>
              <w:rPr>
                <w:rStyle w:val="PageNumber"/>
                <w:b w:val="0"/>
                <w:bCs w:val="0"/>
                <w:sz w:val="21"/>
              </w:rPr>
            </w:pPr>
            <w:r w:rsidRPr="001E15F2">
              <w:rPr>
                <w:b w:val="0"/>
                <w:bCs w:val="0"/>
              </w:rPr>
              <w:t>ICT</w:t>
            </w:r>
          </w:p>
        </w:tc>
        <w:tc>
          <w:tcPr>
            <w:tcW w:w="6095" w:type="dxa"/>
          </w:tcPr>
          <w:p w14:paraId="05544228" w14:textId="77777777" w:rsidR="00281C2F" w:rsidRPr="00281C2F" w:rsidRDefault="00281C2F" w:rsidP="00281C2F">
            <w:pPr>
              <w:pStyle w:val="Tabletext"/>
              <w:cnfStyle w:val="000000000000" w:firstRow="0" w:lastRow="0" w:firstColumn="0" w:lastColumn="0" w:oddVBand="0" w:evenVBand="0" w:oddHBand="0" w:evenHBand="0" w:firstRowFirstColumn="0" w:firstRowLastColumn="0" w:lastRowFirstColumn="0" w:lastRowLastColumn="0"/>
              <w:rPr>
                <w:rStyle w:val="PageNumber"/>
                <w:sz w:val="21"/>
              </w:rPr>
            </w:pPr>
            <w:r w:rsidRPr="00281C2F">
              <w:t>Information and communications technology</w:t>
            </w:r>
          </w:p>
        </w:tc>
      </w:tr>
      <w:tr w:rsidR="00281C2F" w:rsidRPr="00281C2F" w14:paraId="02172392" w14:textId="77777777" w:rsidTr="67F2E2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DBE5F1" w:themeFill="accent1" w:themeFillTint="33"/>
          </w:tcPr>
          <w:p w14:paraId="58090733" w14:textId="77777777" w:rsidR="00281C2F" w:rsidRPr="001E15F2" w:rsidRDefault="00281C2F" w:rsidP="00281C2F">
            <w:pPr>
              <w:pStyle w:val="Tabletext"/>
              <w:rPr>
                <w:rStyle w:val="PageNumber"/>
                <w:b w:val="0"/>
                <w:bCs w:val="0"/>
                <w:sz w:val="21"/>
              </w:rPr>
            </w:pPr>
            <w:r w:rsidRPr="001E15F2">
              <w:rPr>
                <w:b w:val="0"/>
                <w:bCs w:val="0"/>
              </w:rPr>
              <w:t>NSQHS</w:t>
            </w:r>
          </w:p>
        </w:tc>
        <w:tc>
          <w:tcPr>
            <w:tcW w:w="6095" w:type="dxa"/>
            <w:shd w:val="clear" w:color="auto" w:fill="DBE5F1" w:themeFill="accent1" w:themeFillTint="33"/>
          </w:tcPr>
          <w:p w14:paraId="6D662144" w14:textId="77777777" w:rsidR="00281C2F" w:rsidRPr="00281C2F" w:rsidRDefault="00281C2F" w:rsidP="00281C2F">
            <w:pPr>
              <w:pStyle w:val="Tabletext"/>
              <w:cnfStyle w:val="000000100000" w:firstRow="0" w:lastRow="0" w:firstColumn="0" w:lastColumn="0" w:oddVBand="0" w:evenVBand="0" w:oddHBand="1" w:evenHBand="0" w:firstRowFirstColumn="0" w:firstRowLastColumn="0" w:lastRowFirstColumn="0" w:lastRowLastColumn="0"/>
              <w:rPr>
                <w:rStyle w:val="PageNumber"/>
                <w:sz w:val="21"/>
              </w:rPr>
            </w:pPr>
            <w:r w:rsidRPr="00281C2F">
              <w:t>National Safety and Quality Health Service</w:t>
            </w:r>
          </w:p>
        </w:tc>
      </w:tr>
      <w:tr w:rsidR="00281C2F" w:rsidRPr="00281C2F" w14:paraId="59D9A60B" w14:textId="77777777" w:rsidTr="67F2E2E4">
        <w:tc>
          <w:tcPr>
            <w:cnfStyle w:val="001000000000" w:firstRow="0" w:lastRow="0" w:firstColumn="1" w:lastColumn="0" w:oddVBand="0" w:evenVBand="0" w:oddHBand="0" w:evenHBand="0" w:firstRowFirstColumn="0" w:firstRowLastColumn="0" w:lastRowFirstColumn="0" w:lastRowLastColumn="0"/>
            <w:tcW w:w="2689" w:type="dxa"/>
          </w:tcPr>
          <w:p w14:paraId="4CBC40E0" w14:textId="77777777" w:rsidR="00281C2F" w:rsidRPr="001E15F2" w:rsidRDefault="00281C2F" w:rsidP="00281C2F">
            <w:pPr>
              <w:pStyle w:val="Tabletext"/>
              <w:rPr>
                <w:rStyle w:val="PageNumber"/>
                <w:b w:val="0"/>
                <w:bCs w:val="0"/>
                <w:sz w:val="21"/>
              </w:rPr>
            </w:pPr>
            <w:r w:rsidRPr="001E15F2">
              <w:rPr>
                <w:b w:val="0"/>
                <w:bCs w:val="0"/>
              </w:rPr>
              <w:t>RACGP</w:t>
            </w:r>
          </w:p>
        </w:tc>
        <w:tc>
          <w:tcPr>
            <w:tcW w:w="6095" w:type="dxa"/>
          </w:tcPr>
          <w:p w14:paraId="6D11AAFD" w14:textId="77777777" w:rsidR="00281C2F" w:rsidRPr="00281C2F" w:rsidRDefault="00281C2F" w:rsidP="00281C2F">
            <w:pPr>
              <w:pStyle w:val="Tabletext"/>
              <w:cnfStyle w:val="000000000000" w:firstRow="0" w:lastRow="0" w:firstColumn="0" w:lastColumn="0" w:oddVBand="0" w:evenVBand="0" w:oddHBand="0" w:evenHBand="0" w:firstRowFirstColumn="0" w:firstRowLastColumn="0" w:lastRowFirstColumn="0" w:lastRowLastColumn="0"/>
              <w:rPr>
                <w:rStyle w:val="PageNumber"/>
                <w:sz w:val="21"/>
              </w:rPr>
            </w:pPr>
            <w:r w:rsidRPr="00281C2F">
              <w:t>Royal Australian College of General Practitioners</w:t>
            </w:r>
          </w:p>
        </w:tc>
      </w:tr>
      <w:tr w:rsidR="00281C2F" w:rsidRPr="00281C2F" w14:paraId="2F32B386" w14:textId="77777777" w:rsidTr="67F2E2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DBE5F1" w:themeFill="accent1" w:themeFillTint="33"/>
          </w:tcPr>
          <w:p w14:paraId="0DC3D0D6" w14:textId="77777777" w:rsidR="00281C2F" w:rsidRPr="001E15F2" w:rsidRDefault="00281C2F" w:rsidP="00281C2F">
            <w:pPr>
              <w:pStyle w:val="Tabletext"/>
              <w:rPr>
                <w:rStyle w:val="PageNumber"/>
                <w:b w:val="0"/>
                <w:bCs w:val="0"/>
                <w:sz w:val="21"/>
              </w:rPr>
            </w:pPr>
            <w:r w:rsidRPr="001E15F2">
              <w:rPr>
                <w:b w:val="0"/>
                <w:bCs w:val="0"/>
              </w:rPr>
              <w:t>RACS</w:t>
            </w:r>
          </w:p>
        </w:tc>
        <w:tc>
          <w:tcPr>
            <w:tcW w:w="6095" w:type="dxa"/>
            <w:shd w:val="clear" w:color="auto" w:fill="DBE5F1" w:themeFill="accent1" w:themeFillTint="33"/>
          </w:tcPr>
          <w:p w14:paraId="2C2F573E" w14:textId="77777777" w:rsidR="00281C2F" w:rsidRPr="00281C2F" w:rsidRDefault="00281C2F" w:rsidP="00281C2F">
            <w:pPr>
              <w:pStyle w:val="Tabletext"/>
              <w:cnfStyle w:val="000000100000" w:firstRow="0" w:lastRow="0" w:firstColumn="0" w:lastColumn="0" w:oddVBand="0" w:evenVBand="0" w:oddHBand="1" w:evenHBand="0" w:firstRowFirstColumn="0" w:firstRowLastColumn="0" w:lastRowFirstColumn="0" w:lastRowLastColumn="0"/>
              <w:rPr>
                <w:rStyle w:val="PageNumber"/>
                <w:sz w:val="21"/>
              </w:rPr>
            </w:pPr>
            <w:r w:rsidRPr="00281C2F">
              <w:t>Royal Australasian College of Surgeons</w:t>
            </w:r>
          </w:p>
        </w:tc>
      </w:tr>
      <w:tr w:rsidR="00281C2F" w:rsidRPr="00281C2F" w14:paraId="74392060" w14:textId="77777777" w:rsidTr="67F2E2E4">
        <w:tc>
          <w:tcPr>
            <w:cnfStyle w:val="001000000000" w:firstRow="0" w:lastRow="0" w:firstColumn="1" w:lastColumn="0" w:oddVBand="0" w:evenVBand="0" w:oddHBand="0" w:evenHBand="0" w:firstRowFirstColumn="0" w:firstRowLastColumn="0" w:lastRowFirstColumn="0" w:lastRowLastColumn="0"/>
            <w:tcW w:w="2689" w:type="dxa"/>
          </w:tcPr>
          <w:p w14:paraId="471DF8E4" w14:textId="77777777" w:rsidR="00281C2F" w:rsidRPr="001E15F2" w:rsidRDefault="00281C2F" w:rsidP="00281C2F">
            <w:pPr>
              <w:pStyle w:val="Tabletext"/>
              <w:rPr>
                <w:rStyle w:val="PageNumber"/>
                <w:b w:val="0"/>
                <w:bCs w:val="0"/>
                <w:sz w:val="21"/>
              </w:rPr>
            </w:pPr>
            <w:r w:rsidRPr="001E15F2">
              <w:rPr>
                <w:b w:val="0"/>
                <w:bCs w:val="0"/>
              </w:rPr>
              <w:t>RANZCO</w:t>
            </w:r>
          </w:p>
        </w:tc>
        <w:tc>
          <w:tcPr>
            <w:tcW w:w="6095" w:type="dxa"/>
          </w:tcPr>
          <w:p w14:paraId="63E21B2B" w14:textId="77777777" w:rsidR="00281C2F" w:rsidRPr="00281C2F" w:rsidRDefault="00281C2F" w:rsidP="00281C2F">
            <w:pPr>
              <w:pStyle w:val="Tabletext"/>
              <w:cnfStyle w:val="000000000000" w:firstRow="0" w:lastRow="0" w:firstColumn="0" w:lastColumn="0" w:oddVBand="0" w:evenVBand="0" w:oddHBand="0" w:evenHBand="0" w:firstRowFirstColumn="0" w:firstRowLastColumn="0" w:lastRowFirstColumn="0" w:lastRowLastColumn="0"/>
              <w:rPr>
                <w:rStyle w:val="PageNumber"/>
                <w:sz w:val="21"/>
              </w:rPr>
            </w:pPr>
            <w:r w:rsidRPr="00281C2F">
              <w:t>Royal Australian and New Zealand College of Ophthalmologists</w:t>
            </w:r>
          </w:p>
        </w:tc>
      </w:tr>
      <w:tr w:rsidR="00281C2F" w:rsidRPr="00281C2F" w14:paraId="13C88FCC" w14:textId="77777777" w:rsidTr="67F2E2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DBE5F1" w:themeFill="accent1" w:themeFillTint="33"/>
          </w:tcPr>
          <w:p w14:paraId="4E9C0852" w14:textId="77777777" w:rsidR="00281C2F" w:rsidRPr="001E15F2" w:rsidRDefault="00281C2F" w:rsidP="00281C2F">
            <w:pPr>
              <w:pStyle w:val="Tabletext"/>
              <w:rPr>
                <w:rStyle w:val="PageNumber"/>
                <w:b w:val="0"/>
                <w:bCs w:val="0"/>
                <w:sz w:val="21"/>
              </w:rPr>
            </w:pPr>
            <w:r w:rsidRPr="001E15F2">
              <w:rPr>
                <w:b w:val="0"/>
                <w:bCs w:val="0"/>
              </w:rPr>
              <w:t>RANZCOG</w:t>
            </w:r>
          </w:p>
        </w:tc>
        <w:tc>
          <w:tcPr>
            <w:tcW w:w="6095" w:type="dxa"/>
            <w:shd w:val="clear" w:color="auto" w:fill="DBE5F1" w:themeFill="accent1" w:themeFillTint="33"/>
          </w:tcPr>
          <w:p w14:paraId="52F81EF5" w14:textId="77777777" w:rsidR="00281C2F" w:rsidRPr="00281C2F" w:rsidRDefault="00281C2F" w:rsidP="00281C2F">
            <w:pPr>
              <w:pStyle w:val="Tabletext"/>
              <w:cnfStyle w:val="000000100000" w:firstRow="0" w:lastRow="0" w:firstColumn="0" w:lastColumn="0" w:oddVBand="0" w:evenVBand="0" w:oddHBand="1" w:evenHBand="0" w:firstRowFirstColumn="0" w:firstRowLastColumn="0" w:lastRowFirstColumn="0" w:lastRowLastColumn="0"/>
              <w:rPr>
                <w:rStyle w:val="PageNumber"/>
                <w:sz w:val="21"/>
              </w:rPr>
            </w:pPr>
            <w:r w:rsidRPr="00281C2F">
              <w:t>Royal Australian and New Zealand College of Obstetricians and Gynaecologists</w:t>
            </w:r>
          </w:p>
        </w:tc>
      </w:tr>
      <w:tr w:rsidR="00281C2F" w:rsidRPr="00281C2F" w14:paraId="343CA157" w14:textId="77777777" w:rsidTr="67F2E2E4">
        <w:tc>
          <w:tcPr>
            <w:cnfStyle w:val="001000000000" w:firstRow="0" w:lastRow="0" w:firstColumn="1" w:lastColumn="0" w:oddVBand="0" w:evenVBand="0" w:oddHBand="0" w:evenHBand="0" w:firstRowFirstColumn="0" w:firstRowLastColumn="0" w:lastRowFirstColumn="0" w:lastRowLastColumn="0"/>
            <w:tcW w:w="2689" w:type="dxa"/>
          </w:tcPr>
          <w:p w14:paraId="10414314" w14:textId="77777777" w:rsidR="00281C2F" w:rsidRPr="001E15F2" w:rsidRDefault="00281C2F" w:rsidP="00281C2F">
            <w:pPr>
              <w:pStyle w:val="Tabletext"/>
              <w:rPr>
                <w:rStyle w:val="PageNumber"/>
                <w:b w:val="0"/>
                <w:bCs w:val="0"/>
                <w:sz w:val="21"/>
              </w:rPr>
            </w:pPr>
            <w:r w:rsidRPr="001E15F2">
              <w:rPr>
                <w:b w:val="0"/>
                <w:bCs w:val="0"/>
              </w:rPr>
              <w:t>SCV</w:t>
            </w:r>
          </w:p>
        </w:tc>
        <w:tc>
          <w:tcPr>
            <w:tcW w:w="6095" w:type="dxa"/>
          </w:tcPr>
          <w:p w14:paraId="32B7120F" w14:textId="77777777" w:rsidR="00281C2F" w:rsidRPr="00281C2F" w:rsidRDefault="00281C2F" w:rsidP="00281C2F">
            <w:pPr>
              <w:pStyle w:val="Tabletext"/>
              <w:cnfStyle w:val="000000000000" w:firstRow="0" w:lastRow="0" w:firstColumn="0" w:lastColumn="0" w:oddVBand="0" w:evenVBand="0" w:oddHBand="0" w:evenHBand="0" w:firstRowFirstColumn="0" w:firstRowLastColumn="0" w:lastRowFirstColumn="0" w:lastRowLastColumn="0"/>
              <w:rPr>
                <w:rStyle w:val="PageNumber"/>
                <w:sz w:val="21"/>
              </w:rPr>
            </w:pPr>
            <w:r w:rsidRPr="00281C2F">
              <w:t>Safer Care Victoria</w:t>
            </w:r>
          </w:p>
        </w:tc>
      </w:tr>
      <w:tr w:rsidR="00281C2F" w:rsidRPr="00281C2F" w14:paraId="732C16C5" w14:textId="77777777" w:rsidTr="67F2E2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DBE5F1" w:themeFill="accent1" w:themeFillTint="33"/>
          </w:tcPr>
          <w:p w14:paraId="150662EC" w14:textId="346AB54A" w:rsidR="00281C2F" w:rsidRPr="001E15F2" w:rsidRDefault="00281C2F" w:rsidP="67F2E2E4">
            <w:pPr>
              <w:pStyle w:val="Tabletext"/>
              <w:rPr>
                <w:rStyle w:val="PageNumber"/>
                <w:b w:val="0"/>
                <w:bCs w:val="0"/>
                <w:sz w:val="21"/>
                <w:szCs w:val="21"/>
              </w:rPr>
            </w:pPr>
            <w:r>
              <w:rPr>
                <w:b w:val="0"/>
                <w:bCs w:val="0"/>
              </w:rPr>
              <w:t>V</w:t>
            </w:r>
            <w:r w:rsidR="00731F9E">
              <w:rPr>
                <w:b w:val="0"/>
                <w:bCs w:val="0"/>
              </w:rPr>
              <w:t>P</w:t>
            </w:r>
            <w:r>
              <w:rPr>
                <w:b w:val="0"/>
                <w:bCs w:val="0"/>
              </w:rPr>
              <w:t>CC</w:t>
            </w:r>
          </w:p>
        </w:tc>
        <w:tc>
          <w:tcPr>
            <w:tcW w:w="6095" w:type="dxa"/>
            <w:shd w:val="clear" w:color="auto" w:fill="DBE5F1" w:themeFill="accent1" w:themeFillTint="33"/>
          </w:tcPr>
          <w:p w14:paraId="310DA2D2" w14:textId="591CF1EE" w:rsidR="00281C2F" w:rsidRPr="00281C2F" w:rsidRDefault="00281C2F" w:rsidP="67F2E2E4">
            <w:pPr>
              <w:pStyle w:val="Tabletext"/>
              <w:cnfStyle w:val="000000100000" w:firstRow="0" w:lastRow="0" w:firstColumn="0" w:lastColumn="0" w:oddVBand="0" w:evenVBand="0" w:oddHBand="1" w:evenHBand="0" w:firstRowFirstColumn="0" w:firstRowLastColumn="0" w:lastRowFirstColumn="0" w:lastRowLastColumn="0"/>
              <w:rPr>
                <w:rStyle w:val="PageNumber"/>
                <w:sz w:val="21"/>
                <w:szCs w:val="21"/>
              </w:rPr>
            </w:pPr>
            <w:r>
              <w:t>Victorian</w:t>
            </w:r>
            <w:r w:rsidR="00731F9E">
              <w:t xml:space="preserve"> Perioperative</w:t>
            </w:r>
            <w:r>
              <w:t xml:space="preserve"> Consultative Council </w:t>
            </w:r>
          </w:p>
        </w:tc>
      </w:tr>
      <w:bookmarkEnd w:id="59"/>
    </w:tbl>
    <w:p w14:paraId="7D728484" w14:textId="77777777" w:rsidR="00281C2F" w:rsidRPr="00281C2F" w:rsidRDefault="00281C2F" w:rsidP="00281C2F">
      <w:pPr>
        <w:pStyle w:val="Body"/>
        <w:rPr>
          <w:rStyle w:val="Heading1Char"/>
          <w:rFonts w:eastAsia="Times" w:cs="Times New Roman"/>
          <w:bCs w:val="0"/>
          <w:color w:val="auto"/>
          <w:kern w:val="0"/>
          <w:sz w:val="21"/>
          <w:szCs w:val="20"/>
        </w:rPr>
      </w:pPr>
      <w:r>
        <w:rPr>
          <w:rStyle w:val="Heading1Char"/>
          <w:sz w:val="36"/>
        </w:rPr>
        <w:br w:type="page"/>
      </w:r>
    </w:p>
    <w:p w14:paraId="2AF32EDA" w14:textId="77777777" w:rsidR="00440CA2" w:rsidRDefault="00281C2F" w:rsidP="00281C2F">
      <w:pPr>
        <w:pStyle w:val="DHHSbody"/>
        <w:rPr>
          <w:rStyle w:val="Heading1Char"/>
          <w:sz w:val="36"/>
        </w:rPr>
      </w:pPr>
      <w:bookmarkStart w:id="60" w:name="_Toc148718462"/>
      <w:bookmarkStart w:id="61" w:name="_Toc153792523"/>
      <w:r w:rsidRPr="00470209">
        <w:rPr>
          <w:rStyle w:val="Heading1Char"/>
          <w:sz w:val="36"/>
        </w:rPr>
        <w:t xml:space="preserve">Appendix </w:t>
      </w:r>
      <w:r>
        <w:rPr>
          <w:rStyle w:val="Heading1Char"/>
          <w:sz w:val="36"/>
        </w:rPr>
        <w:t>1.</w:t>
      </w:r>
      <w:bookmarkEnd w:id="61"/>
      <w:r w:rsidRPr="00470209">
        <w:rPr>
          <w:rStyle w:val="Heading1Char"/>
          <w:sz w:val="36"/>
        </w:rPr>
        <w:t xml:space="preserve"> </w:t>
      </w:r>
    </w:p>
    <w:p w14:paraId="2D52AD05" w14:textId="2A4EC548" w:rsidR="00281C2F" w:rsidRPr="00A63ED1" w:rsidRDefault="00281C2F" w:rsidP="00281C2F">
      <w:pPr>
        <w:pStyle w:val="DHHSbody"/>
      </w:pPr>
      <w:bookmarkStart w:id="62" w:name="_Toc153792524"/>
      <w:r w:rsidRPr="18DC4834">
        <w:rPr>
          <w:rStyle w:val="Heading1Char"/>
          <w:sz w:val="36"/>
          <w:szCs w:val="36"/>
        </w:rPr>
        <w:t>References and relevant ANZCA position statements</w:t>
      </w:r>
      <w:bookmarkEnd w:id="60"/>
      <w:bookmarkEnd w:id="62"/>
      <w:r w:rsidRPr="00A63ED1">
        <w:rPr>
          <w:vertAlign w:val="superscript"/>
        </w:rPr>
        <w:footnoteReference w:id="88"/>
      </w:r>
      <w:r w:rsidRPr="00A63ED1">
        <w:t>:</w:t>
      </w:r>
    </w:p>
    <w:p w14:paraId="57C47667" w14:textId="77777777" w:rsidR="00281C2F" w:rsidRPr="00A63ED1" w:rsidRDefault="00281C2F" w:rsidP="00281C2F">
      <w:pPr>
        <w:pStyle w:val="DHHSbody"/>
        <w:rPr>
          <w:i/>
        </w:rPr>
      </w:pPr>
      <w:r w:rsidRPr="00A63ED1">
        <w:t>PS06:</w:t>
      </w:r>
      <w:r w:rsidRPr="00E75404">
        <w:t xml:space="preserve"> The Anaesthesia Record. Recommendations on the Recording of an Episode of Anaesthesia Care.</w:t>
      </w:r>
      <w:r w:rsidRPr="00A63ED1">
        <w:t xml:space="preserve"> </w:t>
      </w:r>
    </w:p>
    <w:p w14:paraId="26FF223D" w14:textId="77777777" w:rsidR="00281C2F" w:rsidRPr="00A63ED1" w:rsidRDefault="00281C2F" w:rsidP="00281C2F">
      <w:pPr>
        <w:pStyle w:val="DHHSbody"/>
      </w:pPr>
      <w:r w:rsidRPr="00A63ED1">
        <w:t xml:space="preserve">PS08: </w:t>
      </w:r>
      <w:r w:rsidRPr="00A63ED1">
        <w:rPr>
          <w:i/>
        </w:rPr>
        <w:t>Statement on the Assistant for the Anaesthetist</w:t>
      </w:r>
      <w:r w:rsidRPr="00A63ED1">
        <w:t xml:space="preserve"> </w:t>
      </w:r>
    </w:p>
    <w:p w14:paraId="24D14951" w14:textId="77777777" w:rsidR="00281C2F" w:rsidRDefault="00281C2F" w:rsidP="00281C2F">
      <w:pPr>
        <w:pStyle w:val="DHHSbody"/>
        <w:rPr>
          <w:i/>
        </w:rPr>
      </w:pPr>
      <w:r w:rsidRPr="00A63ED1">
        <w:t xml:space="preserve">PS09: </w:t>
      </w:r>
      <w:r w:rsidRPr="00A63ED1">
        <w:rPr>
          <w:i/>
        </w:rPr>
        <w:t xml:space="preserve">Guidelines on Sedation and/or Analgesia for Diagnostic and Interventional Medical, Dental or Surgical Procedures </w:t>
      </w:r>
    </w:p>
    <w:p w14:paraId="0BF66306" w14:textId="77777777" w:rsidR="00281C2F" w:rsidRPr="00A63ED1" w:rsidRDefault="00281C2F" w:rsidP="00281C2F">
      <w:pPr>
        <w:pStyle w:val="DHHSbody"/>
        <w:rPr>
          <w:i/>
        </w:rPr>
      </w:pPr>
      <w:r>
        <w:rPr>
          <w:i/>
        </w:rPr>
        <w:t xml:space="preserve">PG09: </w:t>
      </w:r>
      <w:r>
        <w:t>Guideline on procedural sedation</w:t>
      </w:r>
    </w:p>
    <w:p w14:paraId="0641924F" w14:textId="77777777" w:rsidR="00281C2F" w:rsidRPr="00A63ED1" w:rsidRDefault="00281C2F" w:rsidP="00281C2F">
      <w:pPr>
        <w:pStyle w:val="DHHSbody"/>
        <w:rPr>
          <w:i/>
        </w:rPr>
      </w:pPr>
      <w:r w:rsidRPr="00A63ED1">
        <w:t xml:space="preserve">PS18: </w:t>
      </w:r>
      <w:r w:rsidRPr="00A63ED1">
        <w:rPr>
          <w:i/>
        </w:rPr>
        <w:t xml:space="preserve">Guidelines on Monitoring During Anaesthesia </w:t>
      </w:r>
    </w:p>
    <w:p w14:paraId="1C968BDC" w14:textId="77777777" w:rsidR="00281C2F" w:rsidRPr="00A63ED1" w:rsidRDefault="00281C2F" w:rsidP="00281C2F">
      <w:pPr>
        <w:pStyle w:val="DHHSbody"/>
        <w:rPr>
          <w:bCs/>
        </w:rPr>
      </w:pPr>
      <w:r w:rsidRPr="00A63ED1">
        <w:t xml:space="preserve">PS28: </w:t>
      </w:r>
      <w:r w:rsidRPr="00A63ED1">
        <w:rPr>
          <w:bCs/>
          <w:i/>
        </w:rPr>
        <w:t>Guidelines on Infection Control in Anaesthesia</w:t>
      </w:r>
      <w:r w:rsidRPr="00A63ED1">
        <w:rPr>
          <w:bCs/>
        </w:rPr>
        <w:t xml:space="preserve"> </w:t>
      </w:r>
    </w:p>
    <w:p w14:paraId="56804260" w14:textId="77777777" w:rsidR="00281C2F" w:rsidRDefault="00281C2F" w:rsidP="00281C2F">
      <w:pPr>
        <w:pStyle w:val="DHHSbody"/>
      </w:pPr>
      <w:r>
        <w:t>PG29(A) Guideline for the provision of anaesthesia care to children 2020</w:t>
      </w:r>
    </w:p>
    <w:p w14:paraId="117F3358" w14:textId="77777777" w:rsidR="00281C2F" w:rsidRPr="00A63ED1" w:rsidRDefault="00281C2F" w:rsidP="00281C2F">
      <w:pPr>
        <w:pStyle w:val="DHHSbody"/>
      </w:pPr>
      <w:r w:rsidRPr="00A63ED1">
        <w:t xml:space="preserve">PS31: </w:t>
      </w:r>
      <w:r w:rsidRPr="00A63ED1">
        <w:rPr>
          <w:bCs/>
          <w:i/>
        </w:rPr>
        <w:t>Guidelines on Checking Anaesthesia Delivery Systems</w:t>
      </w:r>
      <w:r w:rsidRPr="00A63ED1">
        <w:rPr>
          <w:b/>
          <w:bCs/>
        </w:rPr>
        <w:t xml:space="preserve"> </w:t>
      </w:r>
    </w:p>
    <w:p w14:paraId="57E181F9" w14:textId="77777777" w:rsidR="00281C2F" w:rsidRPr="00A63ED1" w:rsidRDefault="00281C2F" w:rsidP="00281C2F">
      <w:pPr>
        <w:pStyle w:val="DHHSbody"/>
      </w:pPr>
      <w:r w:rsidRPr="00A63ED1">
        <w:t xml:space="preserve">PS42: </w:t>
      </w:r>
      <w:r w:rsidRPr="00A63ED1">
        <w:rPr>
          <w:i/>
        </w:rPr>
        <w:t>Statement on Staffing of Accredited Departments of Anaesthesia</w:t>
      </w:r>
    </w:p>
    <w:p w14:paraId="0144007B" w14:textId="77777777" w:rsidR="00281C2F" w:rsidRPr="00A63ED1" w:rsidRDefault="00281C2F" w:rsidP="00281C2F">
      <w:pPr>
        <w:pStyle w:val="DHHSbody"/>
        <w:rPr>
          <w:b/>
          <w:bCs/>
        </w:rPr>
      </w:pPr>
      <w:r w:rsidRPr="00A63ED1">
        <w:t xml:space="preserve">PS55: </w:t>
      </w:r>
      <w:r w:rsidRPr="00A63ED1">
        <w:rPr>
          <w:bCs/>
          <w:i/>
        </w:rPr>
        <w:t>Recommendations on Minimum Facilities for Safe Administration of Anaesthesia in Operating Suites and Other Anaesthetising Locations</w:t>
      </w:r>
      <w:r w:rsidRPr="00A63ED1">
        <w:rPr>
          <w:b/>
          <w:bCs/>
        </w:rPr>
        <w:t xml:space="preserve"> </w:t>
      </w:r>
    </w:p>
    <w:p w14:paraId="28D32C0D" w14:textId="77777777" w:rsidR="00281C2F" w:rsidRPr="00A63ED1" w:rsidRDefault="00281C2F" w:rsidP="00281C2F">
      <w:pPr>
        <w:pStyle w:val="DHHSbody"/>
      </w:pPr>
      <w:r w:rsidRPr="00A63ED1">
        <w:t xml:space="preserve">PS56: </w:t>
      </w:r>
      <w:r w:rsidRPr="00A63ED1">
        <w:rPr>
          <w:bCs/>
          <w:i/>
        </w:rPr>
        <w:t>Guidelines on Equipment to Manage a Difficult Airway During Anaesthesia</w:t>
      </w:r>
      <w:r w:rsidRPr="00A63ED1">
        <w:rPr>
          <w:b/>
          <w:bCs/>
        </w:rPr>
        <w:t xml:space="preserve"> </w:t>
      </w:r>
    </w:p>
    <w:p w14:paraId="484DBF7F" w14:textId="77777777" w:rsidR="00281C2F" w:rsidRPr="00E1136E" w:rsidRDefault="00281C2F" w:rsidP="00281C2F">
      <w:pPr>
        <w:pStyle w:val="DHHSbody"/>
        <w:rPr>
          <w:b/>
          <w:bCs/>
        </w:rPr>
      </w:pPr>
      <w:r w:rsidRPr="00E1136E">
        <w:rPr>
          <w:b/>
          <w:bCs/>
        </w:rPr>
        <w:t>Further resources</w:t>
      </w:r>
    </w:p>
    <w:p w14:paraId="69B84922" w14:textId="0B582938" w:rsidR="00281C2F" w:rsidRPr="00A63ED1" w:rsidRDefault="002A039C" w:rsidP="00281C2F">
      <w:pPr>
        <w:pStyle w:val="DHHSbody"/>
      </w:pPr>
      <w:hyperlink r:id="rId65" w:history="1">
        <w:r w:rsidR="00281C2F" w:rsidRPr="00F35F2D">
          <w:rPr>
            <w:rStyle w:val="Hyperlink"/>
          </w:rPr>
          <w:t>Australian and New Zealand College of Anaesthetists (ANZCA), Guidelines, Standards and Safety and Quality</w:t>
        </w:r>
      </w:hyperlink>
      <w:r w:rsidR="00281C2F" w:rsidRPr="00A63ED1">
        <w:t xml:space="preserve">, </w:t>
      </w:r>
      <w:r w:rsidR="00281C2F">
        <w:t>&lt;</w:t>
      </w:r>
      <w:r w:rsidR="00574F51" w:rsidRPr="00574F51">
        <w:t>https://www.anzca.edu.au/safety-advocacy/standards-of-practice/policies,-statements,-and-guidelines</w:t>
      </w:r>
      <w:r w:rsidR="00574F51">
        <w:t>&gt;.</w:t>
      </w:r>
    </w:p>
    <w:p w14:paraId="5DDA855A" w14:textId="71BB8CB7" w:rsidR="00281C2F" w:rsidRPr="00A63ED1" w:rsidRDefault="002A039C" w:rsidP="00281C2F">
      <w:pPr>
        <w:pStyle w:val="DHHSbody"/>
        <w:rPr>
          <w:u w:val="single"/>
        </w:rPr>
      </w:pPr>
      <w:hyperlink r:id="rId66" w:history="1">
        <w:r w:rsidR="00281C2F" w:rsidRPr="00F35F2D">
          <w:rPr>
            <w:rStyle w:val="Hyperlink"/>
          </w:rPr>
          <w:t xml:space="preserve">Victorian </w:t>
        </w:r>
        <w:r w:rsidR="004D0938" w:rsidRPr="00F35F2D">
          <w:rPr>
            <w:rStyle w:val="Hyperlink"/>
          </w:rPr>
          <w:t xml:space="preserve">Perioperative </w:t>
        </w:r>
        <w:r w:rsidR="00281C2F" w:rsidRPr="00F35F2D">
          <w:rPr>
            <w:rStyle w:val="Hyperlink"/>
          </w:rPr>
          <w:t xml:space="preserve">Consultative Council </w:t>
        </w:r>
        <w:r w:rsidR="004D0938" w:rsidRPr="00F35F2D">
          <w:rPr>
            <w:rStyle w:val="Hyperlink"/>
          </w:rPr>
          <w:t>(VPCC)</w:t>
        </w:r>
      </w:hyperlink>
      <w:r w:rsidR="004D0938">
        <w:t xml:space="preserve"> </w:t>
      </w:r>
      <w:r w:rsidR="008429B3">
        <w:t>&lt;</w:t>
      </w:r>
      <w:r w:rsidR="00610BE7" w:rsidRPr="00610BE7">
        <w:t>https://www.safercare.vic.gov.au/about/vpcc</w:t>
      </w:r>
      <w:r w:rsidR="008429B3" w:rsidRPr="008429B3">
        <w:t>&gt;</w:t>
      </w:r>
    </w:p>
    <w:p w14:paraId="43D3912F" w14:textId="2CE3EC70" w:rsidR="00382126" w:rsidRPr="00A63ED1" w:rsidRDefault="002A039C" w:rsidP="00281C2F">
      <w:pPr>
        <w:pStyle w:val="DHHSbody"/>
      </w:pPr>
      <w:hyperlink r:id="rId67" w:history="1">
        <w:r w:rsidR="00382126" w:rsidRPr="00F35F2D">
          <w:rPr>
            <w:rStyle w:val="Hyperlink"/>
          </w:rPr>
          <w:t xml:space="preserve">Victorian </w:t>
        </w:r>
        <w:r w:rsidR="00292AE6" w:rsidRPr="00F35F2D">
          <w:rPr>
            <w:rStyle w:val="Hyperlink"/>
          </w:rPr>
          <w:t>Department of Health</w:t>
        </w:r>
        <w:r w:rsidR="00382126" w:rsidRPr="00F35F2D">
          <w:rPr>
            <w:rStyle w:val="Hyperlink"/>
          </w:rPr>
          <w:t>:</w:t>
        </w:r>
        <w:r w:rsidR="000B71A6" w:rsidRPr="00F35F2D">
          <w:rPr>
            <w:rStyle w:val="Hyperlink"/>
          </w:rPr>
          <w:t xml:space="preserve"> Planned Surgery Reform Blueprint</w:t>
        </w:r>
      </w:hyperlink>
      <w:r w:rsidR="000B71A6">
        <w:t xml:space="preserve"> &lt;</w:t>
      </w:r>
      <w:r w:rsidR="003518F7">
        <w:t xml:space="preserve">https://www.health.vic.gov.au/planned-surgery-reform-blueprint </w:t>
      </w:r>
      <w:r w:rsidR="001C1589">
        <w:t>&gt;</w:t>
      </w:r>
    </w:p>
    <w:p w14:paraId="1CE67CAF" w14:textId="0724D3AA" w:rsidR="00281C2F" w:rsidRPr="00A63ED1" w:rsidRDefault="002A039C" w:rsidP="00281C2F">
      <w:pPr>
        <w:pStyle w:val="DHHSbody"/>
      </w:pPr>
      <w:hyperlink r:id="rId68" w:history="1">
        <w:r w:rsidR="00281C2F" w:rsidRPr="00F35F2D">
          <w:rPr>
            <w:rStyle w:val="Hyperlink"/>
          </w:rPr>
          <w:t>NSQHS Standards</w:t>
        </w:r>
      </w:hyperlink>
      <w:r w:rsidR="00281C2F" w:rsidRPr="00A63ED1">
        <w:t xml:space="preserve">, </w:t>
      </w:r>
      <w:r w:rsidR="00281C2F">
        <w:t>&lt;</w:t>
      </w:r>
      <w:r w:rsidR="00281C2F" w:rsidRPr="00F818B0">
        <w:t>www.safetyandquality.gov.au/our-work/accreditation-and-the-nsqhs-standards</w:t>
      </w:r>
      <w:r w:rsidR="00281C2F">
        <w:t>&gt;.</w:t>
      </w:r>
    </w:p>
    <w:p w14:paraId="514A0DE1" w14:textId="784555DF" w:rsidR="00281C2F" w:rsidRPr="00A63ED1" w:rsidRDefault="002A039C" w:rsidP="00281C2F">
      <w:pPr>
        <w:pStyle w:val="DHHSbody"/>
      </w:pPr>
      <w:hyperlink r:id="rId69" w:history="1">
        <w:r w:rsidR="00281C2F" w:rsidRPr="00F35F2D">
          <w:rPr>
            <w:rStyle w:val="Hyperlink"/>
          </w:rPr>
          <w:t>Joint Consultative Committee on Anaesthesia (JCCA),</w:t>
        </w:r>
      </w:hyperlink>
      <w:r w:rsidR="00281C2F" w:rsidRPr="00A63ED1">
        <w:t xml:space="preserve"> </w:t>
      </w:r>
      <w:r w:rsidR="00281C2F">
        <w:t>&lt;w</w:t>
      </w:r>
      <w:r w:rsidR="00281C2F" w:rsidRPr="000A1777">
        <w:t>ww.racgp.org.au/yourracgp/organisation/committees/joint-consultative-committees/jcca/</w:t>
      </w:r>
      <w:r w:rsidR="00281C2F">
        <w:t>&gt;.</w:t>
      </w:r>
    </w:p>
    <w:p w14:paraId="21035572" w14:textId="4FBE2B38" w:rsidR="00281C2F" w:rsidRPr="00A63ED1" w:rsidRDefault="002A039C" w:rsidP="00281C2F">
      <w:pPr>
        <w:pStyle w:val="DHHSbody"/>
      </w:pPr>
      <w:hyperlink r:id="rId70" w:history="1">
        <w:r w:rsidR="00281C2F" w:rsidRPr="00F35F2D">
          <w:rPr>
            <w:rStyle w:val="Hyperlink"/>
          </w:rPr>
          <w:t>Australian Society of Anaesthetists, position statements and professional standards</w:t>
        </w:r>
      </w:hyperlink>
      <w:r w:rsidR="00281C2F" w:rsidRPr="00A63ED1">
        <w:t xml:space="preserve">, </w:t>
      </w:r>
      <w:r w:rsidR="00281C2F">
        <w:t>&lt;</w:t>
      </w:r>
      <w:r w:rsidR="00281C2F" w:rsidRPr="00F63733">
        <w:t>www.asa.org.au/</w:t>
      </w:r>
      <w:r w:rsidR="00281C2F">
        <w:t>&gt;.</w:t>
      </w:r>
      <w:r w:rsidR="00281C2F" w:rsidRPr="00A63ED1">
        <w:t xml:space="preserve"> </w:t>
      </w:r>
    </w:p>
    <w:p w14:paraId="17F1AEB0" w14:textId="7EFF7BDF" w:rsidR="00281C2F" w:rsidRPr="00A63ED1" w:rsidRDefault="002A039C" w:rsidP="009A3E81">
      <w:pPr>
        <w:pStyle w:val="DHHSbody"/>
      </w:pPr>
      <w:hyperlink r:id="rId71" w:history="1">
        <w:r w:rsidR="00281C2F" w:rsidRPr="00F35F2D">
          <w:rPr>
            <w:rStyle w:val="Hyperlink"/>
          </w:rPr>
          <w:t>AIWH National definitions for elective surgery urgency categories,</w:t>
        </w:r>
      </w:hyperlink>
      <w:r w:rsidR="00281C2F" w:rsidRPr="00A63ED1">
        <w:t xml:space="preserve"> </w:t>
      </w:r>
      <w:r w:rsidR="00281C2F">
        <w:t>&lt;</w:t>
      </w:r>
      <w:r w:rsidR="00281C2F" w:rsidRPr="00A63ED1">
        <w:t>https://www.aihw.gov.au/reports/hospitals/national-definitions-for-elective-surgery-urgency/</w:t>
      </w:r>
      <w:r w:rsidR="00B04270" w:rsidRPr="00B04270">
        <w:t>summary</w:t>
      </w:r>
      <w:r w:rsidR="00281C2F">
        <w:t>&gt;.</w:t>
      </w:r>
    </w:p>
    <w:p w14:paraId="2DC75939" w14:textId="6DE51C12" w:rsidR="00281C2F" w:rsidRPr="00A63ED1" w:rsidRDefault="002A039C" w:rsidP="00281C2F">
      <w:pPr>
        <w:pStyle w:val="DHHSbody"/>
      </w:pPr>
      <w:hyperlink r:id="rId72" w:history="1">
        <w:r w:rsidR="00281C2F" w:rsidRPr="009A3E81">
          <w:rPr>
            <w:rStyle w:val="Hyperlink"/>
          </w:rPr>
          <w:t>NSW Health,</w:t>
        </w:r>
      </w:hyperlink>
      <w:r w:rsidR="00281C2F" w:rsidRPr="00A63ED1">
        <w:t xml:space="preserve"> </w:t>
      </w:r>
      <w:r w:rsidR="00281C2F">
        <w:t>&lt;</w:t>
      </w:r>
      <w:r w:rsidR="00281C2F" w:rsidRPr="00350F36">
        <w:t>www.health.nsw.gov.au/services/Publications/guide-role-delineation-health-services.pdf</w:t>
      </w:r>
      <w:r w:rsidR="00281C2F">
        <w:t>&gt;.</w:t>
      </w:r>
    </w:p>
    <w:p w14:paraId="53B6BDE4" w14:textId="77777777" w:rsidR="00281C2F" w:rsidRDefault="00281C2F" w:rsidP="00281C2F">
      <w:pPr>
        <w:pStyle w:val="DHHSbody"/>
      </w:pPr>
      <w:r w:rsidRPr="00A63ED1">
        <w:t>Australian Commission for Safety and Quality in Healthcare 2017, 'National consensus statement: Essential elements for recognising and responding to acute physiological deterioration', Second Edition.</w:t>
      </w:r>
    </w:p>
    <w:p w14:paraId="249FBA08" w14:textId="77777777" w:rsidR="00281C2F" w:rsidRDefault="00281C2F" w:rsidP="00281C2F"/>
    <w:p w14:paraId="529538FF" w14:textId="77777777" w:rsidR="00EB4BC7" w:rsidRDefault="00EB4BC7" w:rsidP="00281C2F">
      <w:pPr>
        <w:pStyle w:val="Body"/>
      </w:pPr>
    </w:p>
    <w:sectPr w:rsidR="00EB4BC7" w:rsidSect="00E449CC">
      <w:headerReference w:type="even" r:id="rId73"/>
      <w:headerReference w:type="default" r:id="rId74"/>
      <w:footerReference w:type="even" r:id="rId75"/>
      <w:footerReference w:type="default" r:id="rId76"/>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301B5" w14:textId="77777777" w:rsidR="002A78F5" w:rsidRDefault="002A78F5">
      <w:r>
        <w:separator/>
      </w:r>
    </w:p>
    <w:p w14:paraId="2A853DA5" w14:textId="77777777" w:rsidR="002A78F5" w:rsidRDefault="002A78F5"/>
  </w:endnote>
  <w:endnote w:type="continuationSeparator" w:id="0">
    <w:p w14:paraId="4B4404A0" w14:textId="77777777" w:rsidR="002A78F5" w:rsidRDefault="002A78F5">
      <w:r>
        <w:continuationSeparator/>
      </w:r>
    </w:p>
    <w:p w14:paraId="0B72590D" w14:textId="77777777" w:rsidR="002A78F5" w:rsidRDefault="002A78F5"/>
  </w:endnote>
  <w:endnote w:type="continuationNotice" w:id="1">
    <w:p w14:paraId="6CAFB7E0" w14:textId="77777777" w:rsidR="002A78F5" w:rsidRDefault="002A78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Open Sans">
    <w:charset w:val="00"/>
    <w:family w:val="swiss"/>
    <w:pitch w:val="variable"/>
    <w:sig w:usb0="E00002EF" w:usb1="4000205B" w:usb2="00000028" w:usb3="00000000" w:csb0="0000019F" w:csb1="00000000"/>
  </w:font>
  <w:font w:name="Segoe Script">
    <w:panose1 w:val="030B0504020000000003"/>
    <w:charset w:val="00"/>
    <w:family w:val="script"/>
    <w:pitch w:val="variable"/>
    <w:sig w:usb0="0000028F"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IC SemiBold">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EEB24"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3FFAD216" wp14:editId="145A692A">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501EB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AD216"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39501EB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DCFB8" w14:textId="41D07FCE" w:rsidR="00431A70" w:rsidRDefault="00BA2E98">
    <w:pPr>
      <w:pStyle w:val="Footer"/>
    </w:pPr>
    <w:r>
      <w:rPr>
        <w:noProof/>
        <w:lang w:eastAsia="en-AU"/>
      </w:rPr>
      <mc:AlternateContent>
        <mc:Choice Requires="wps">
          <w:drawing>
            <wp:anchor distT="0" distB="0" distL="114300" distR="114300" simplePos="0" relativeHeight="251658246" behindDoc="0" locked="0" layoutInCell="0" allowOverlap="1" wp14:anchorId="76C3DFB8" wp14:editId="708428A5">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4F98EF" w14:textId="3863417D" w:rsidR="00BA2E98" w:rsidRPr="00BA2E98" w:rsidRDefault="00BA2E98" w:rsidP="00BA2E98">
                          <w:pPr>
                            <w:spacing w:after="0"/>
                            <w:jc w:val="center"/>
                            <w:rPr>
                              <w:rFonts w:ascii="Arial Black" w:hAnsi="Arial Black"/>
                              <w:color w:val="000000"/>
                              <w:sz w:val="20"/>
                            </w:rPr>
                          </w:pPr>
                          <w:r w:rsidRPr="00BA2E9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C3DFB8" id="_x0000_t202" coordsize="21600,21600" o:spt="202" path="m,l,21600r21600,l21600,xe">
              <v:stroke joinstyle="miter"/>
              <v:path gradientshapeok="t" o:connecttype="rect"/>
            </v:shapetype>
            <v:shape id="Text Box 1"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94F98EF" w14:textId="3863417D" w:rsidR="00BA2E98" w:rsidRPr="00BA2E98" w:rsidRDefault="00BA2E98" w:rsidP="00BA2E98">
                    <w:pPr>
                      <w:spacing w:after="0"/>
                      <w:jc w:val="center"/>
                      <w:rPr>
                        <w:rFonts w:ascii="Arial Black" w:hAnsi="Arial Black"/>
                        <w:color w:val="000000"/>
                        <w:sz w:val="20"/>
                      </w:rPr>
                    </w:pPr>
                    <w:r w:rsidRPr="00BA2E9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6B813B8F" wp14:editId="57D6CBD8">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F98E28"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B813B8F" id="Text Box 5" o:spid="_x0000_s1028"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62F98E28"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486E2" w14:textId="4FD15817" w:rsidR="00EB4BC7" w:rsidRDefault="00BA2E98">
    <w:pPr>
      <w:pStyle w:val="Footer"/>
    </w:pPr>
    <w:r>
      <w:rPr>
        <w:noProof/>
      </w:rPr>
      <mc:AlternateContent>
        <mc:Choice Requires="wps">
          <w:drawing>
            <wp:anchor distT="0" distB="0" distL="114300" distR="114300" simplePos="0" relativeHeight="251658247" behindDoc="0" locked="0" layoutInCell="0" allowOverlap="1" wp14:anchorId="2D2D52CF" wp14:editId="6F48A167">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ADB81E" w14:textId="73BC858A" w:rsidR="00BA2E98" w:rsidRPr="00BA2E98" w:rsidRDefault="00BA2E98" w:rsidP="00BA2E98">
                          <w:pPr>
                            <w:spacing w:after="0"/>
                            <w:jc w:val="center"/>
                            <w:rPr>
                              <w:rFonts w:ascii="Arial Black" w:hAnsi="Arial Black"/>
                              <w:color w:val="000000"/>
                              <w:sz w:val="20"/>
                            </w:rPr>
                          </w:pPr>
                          <w:r w:rsidRPr="00BA2E9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2D52CF" id="_x0000_t202" coordsize="21600,21600" o:spt="202" path="m,l,21600r21600,l21600,xe">
              <v:stroke joinstyle="miter"/>
              <v:path gradientshapeok="t" o:connecttype="rect"/>
            </v:shapetype>
            <v:shape id="Text Box 8"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5ADB81E" w14:textId="73BC858A" w:rsidR="00BA2E98" w:rsidRPr="00BA2E98" w:rsidRDefault="00BA2E98" w:rsidP="00BA2E98">
                    <w:pPr>
                      <w:spacing w:after="0"/>
                      <w:jc w:val="center"/>
                      <w:rPr>
                        <w:rFonts w:ascii="Arial Black" w:hAnsi="Arial Black"/>
                        <w:color w:val="000000"/>
                        <w:sz w:val="20"/>
                      </w:rPr>
                    </w:pPr>
                    <w:r w:rsidRPr="00BA2E98">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1" behindDoc="0" locked="0" layoutInCell="0" allowOverlap="1" wp14:anchorId="6656F0B6" wp14:editId="305D6EC1">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90043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656F0B6" id="Text Box 6" o:spid="_x0000_s1030"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2590043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F5EA5" w14:textId="77777777"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0B6EA687" wp14:editId="2EF7364D">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62FD8B"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6EA687" id="_x0000_t202" coordsize="21600,21600" o:spt="202" path="m,l,21600r21600,l21600,xe">
              <v:stroke joinstyle="miter"/>
              <v:path gradientshapeok="t" o:connecttype="rect"/>
            </v:shapetype>
            <v:shape id="Text Box 4" o:spid="_x0000_s1031"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0562FD8B"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40DEC" w14:textId="47A6063D" w:rsidR="00431A70" w:rsidRDefault="00BA2E98">
    <w:pPr>
      <w:pStyle w:val="Footer"/>
    </w:pPr>
    <w:r>
      <w:rPr>
        <w:noProof/>
        <w:lang w:eastAsia="en-AU"/>
      </w:rPr>
      <mc:AlternateContent>
        <mc:Choice Requires="wps">
          <w:drawing>
            <wp:anchor distT="0" distB="0" distL="114300" distR="114300" simplePos="0" relativeHeight="251658248" behindDoc="0" locked="0" layoutInCell="0" allowOverlap="1" wp14:anchorId="474A1FA3" wp14:editId="29B65E7A">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D06625" w14:textId="779D683D" w:rsidR="00BA2E98" w:rsidRPr="00BA2E98" w:rsidRDefault="00BA2E98" w:rsidP="00BA2E98">
                          <w:pPr>
                            <w:spacing w:after="0"/>
                            <w:jc w:val="center"/>
                            <w:rPr>
                              <w:rFonts w:ascii="Arial Black" w:hAnsi="Arial Black"/>
                              <w:color w:val="000000"/>
                              <w:sz w:val="20"/>
                            </w:rPr>
                          </w:pPr>
                          <w:r w:rsidRPr="00BA2E9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4A1FA3" id="_x0000_t202" coordsize="21600,21600" o:spt="202" path="m,l,21600r21600,l21600,xe">
              <v:stroke joinstyle="miter"/>
              <v:path gradientshapeok="t" o:connecttype="rect"/>
            </v:shapetype>
            <v:shape id="Text Box 9" o:spid="_x0000_s1032"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50D06625" w14:textId="779D683D" w:rsidR="00BA2E98" w:rsidRPr="00BA2E98" w:rsidRDefault="00BA2E98" w:rsidP="00BA2E98">
                    <w:pPr>
                      <w:spacing w:after="0"/>
                      <w:jc w:val="center"/>
                      <w:rPr>
                        <w:rFonts w:ascii="Arial Black" w:hAnsi="Arial Black"/>
                        <w:color w:val="000000"/>
                        <w:sz w:val="20"/>
                      </w:rPr>
                    </w:pPr>
                    <w:r w:rsidRPr="00BA2E98">
                      <w:rPr>
                        <w:rFonts w:ascii="Arial Black" w:hAnsi="Arial Black"/>
                        <w:color w:val="000000"/>
                        <w:sz w:val="20"/>
                      </w:rPr>
                      <w:t>OFFICIAL</w:t>
                    </w:r>
                  </w:p>
                </w:txbxContent>
              </v:textbox>
              <w10:wrap anchorx="page" anchory="page"/>
            </v:shape>
          </w:pict>
        </mc:Fallback>
      </mc:AlternateContent>
    </w:r>
    <w:r w:rsidR="008977D1">
      <w:rPr>
        <w:noProof/>
        <w:lang w:eastAsia="en-AU"/>
      </w:rPr>
      <mc:AlternateContent>
        <mc:Choice Requires="wps">
          <w:drawing>
            <wp:anchor distT="0" distB="0" distL="114300" distR="114300" simplePos="0" relativeHeight="251658245" behindDoc="0" locked="0" layoutInCell="0" allowOverlap="1" wp14:anchorId="5CEAF6B9" wp14:editId="3D07ED60">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AF74D9"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CEAF6B9" id="Text Box 2" o:spid="_x0000_s1033"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02AF74D9"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742A515E" wp14:editId="168066A8">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A3643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42A515E" id="Text Box 11" o:spid="_x0000_s1034"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HP5B6hgCAAArBAAADgAAAAAAAAAAAAAAAAAuAgAAZHJzL2Uyb0RvYy54bWxQSwECLQAU&#10;AAYACAAAACEAL5BIl+AAAAALAQAADwAAAAAAAAAAAAAAAAByBAAAZHJzL2Rvd25yZXYueG1sUEsF&#10;BgAAAAAEAAQA8wAAAH8FAAAAAA==&#10;" o:allowincell="f" filled="f" stroked="f" strokeweight=".5pt">
              <v:textbox inset=",0,,0">
                <w:txbxContent>
                  <w:p w14:paraId="62A3643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A6867" w14:textId="77777777" w:rsidR="002A78F5" w:rsidRDefault="002A78F5" w:rsidP="00207717">
      <w:pPr>
        <w:spacing w:before="120"/>
      </w:pPr>
      <w:r>
        <w:separator/>
      </w:r>
    </w:p>
  </w:footnote>
  <w:footnote w:type="continuationSeparator" w:id="0">
    <w:p w14:paraId="4F4179ED" w14:textId="77777777" w:rsidR="002A78F5" w:rsidRDefault="002A78F5">
      <w:r>
        <w:continuationSeparator/>
      </w:r>
    </w:p>
    <w:p w14:paraId="1DEF5F87" w14:textId="77777777" w:rsidR="002A78F5" w:rsidRDefault="002A78F5"/>
  </w:footnote>
  <w:footnote w:type="continuationNotice" w:id="1">
    <w:p w14:paraId="763D58F1" w14:textId="77777777" w:rsidR="002A78F5" w:rsidRDefault="002A78F5">
      <w:pPr>
        <w:spacing w:after="0" w:line="240" w:lineRule="auto"/>
      </w:pPr>
    </w:p>
  </w:footnote>
  <w:footnote w:id="2">
    <w:p w14:paraId="6A61BEE7" w14:textId="29413EDE" w:rsidR="00281C2F" w:rsidRPr="008265B5" w:rsidRDefault="00281C2F" w:rsidP="00281C2F">
      <w:pPr>
        <w:pStyle w:val="FootnoteText"/>
        <w:rPr>
          <w:sz w:val="20"/>
          <w:szCs w:val="18"/>
        </w:rPr>
      </w:pPr>
      <w:r>
        <w:rPr>
          <w:rStyle w:val="FootnoteReference"/>
        </w:rPr>
        <w:footnoteRef/>
      </w:r>
      <w:r>
        <w:t xml:space="preserve"> </w:t>
      </w:r>
      <w:hyperlink r:id="rId1" w:history="1">
        <w:r w:rsidRPr="00CE1C59">
          <w:rPr>
            <w:rStyle w:val="Hyperlink"/>
            <w:lang w:eastAsia="en-AU"/>
          </w:rPr>
          <w:t>Victorian Perioperative Consultative Council 2021,</w:t>
        </w:r>
        <w:r w:rsidRPr="00CE1C59">
          <w:rPr>
            <w:rStyle w:val="Hyperlink"/>
            <w:i/>
            <w:iCs/>
            <w:lang w:eastAsia="en-AU"/>
          </w:rPr>
          <w:t xml:space="preserve"> Annual report 2021: Improving care before, during and after surgery</w:t>
        </w:r>
      </w:hyperlink>
      <w:r w:rsidRPr="008265B5">
        <w:rPr>
          <w:lang w:eastAsia="en-AU"/>
        </w:rPr>
        <w:t xml:space="preserve"> </w:t>
      </w:r>
      <w:r>
        <w:rPr>
          <w:lang w:eastAsia="en-AU"/>
        </w:rPr>
        <w:t>&lt;</w:t>
      </w:r>
      <w:r w:rsidRPr="008265B5">
        <w:rPr>
          <w:lang w:eastAsia="en-AU"/>
        </w:rPr>
        <w:t>https://www.safercare.vic.gov.au/publications/victorianperioperative-consultative-council-</w:t>
      </w:r>
      <w:r>
        <w:rPr>
          <w:lang w:eastAsia="en-AU"/>
        </w:rPr>
        <w:t>a</w:t>
      </w:r>
      <w:r w:rsidRPr="008265B5">
        <w:rPr>
          <w:lang w:eastAsia="en-AU"/>
        </w:rPr>
        <w:t>nnualreport-2021</w:t>
      </w:r>
      <w:r>
        <w:rPr>
          <w:lang w:eastAsia="en-AU"/>
        </w:rPr>
        <w:t>&gt;.</w:t>
      </w:r>
    </w:p>
    <w:p w14:paraId="42E59549" w14:textId="77777777" w:rsidR="00281C2F" w:rsidRDefault="00281C2F" w:rsidP="00281C2F">
      <w:pPr>
        <w:pStyle w:val="FootnoteText"/>
      </w:pPr>
    </w:p>
  </w:footnote>
  <w:footnote w:id="3">
    <w:p w14:paraId="32A50762" w14:textId="03937711" w:rsidR="00EC6201" w:rsidRPr="00E704EB" w:rsidRDefault="00EC6201" w:rsidP="00E704EB">
      <w:pPr>
        <w:pStyle w:val="Bullet1"/>
        <w:numPr>
          <w:ilvl w:val="0"/>
          <w:numId w:val="0"/>
        </w:numPr>
        <w:rPr>
          <w:color w:val="004C97"/>
          <w:u w:val="dotted"/>
        </w:rPr>
      </w:pPr>
      <w:r>
        <w:rPr>
          <w:rStyle w:val="FootnoteReference"/>
        </w:rPr>
        <w:footnoteRef/>
      </w:r>
      <w:r>
        <w:t xml:space="preserve"> </w:t>
      </w:r>
      <w:hyperlink r:id="rId2" w:history="1">
        <w:r w:rsidR="0043135B" w:rsidRPr="00266EBE">
          <w:rPr>
            <w:rStyle w:val="Hyperlink"/>
            <w:rFonts w:eastAsia="MS Gothic" w:cs="Arial"/>
            <w:sz w:val="18"/>
            <w:szCs w:val="16"/>
          </w:rPr>
          <w:t>Service Capability Framework – A guide for Victorian health services providing primary treatment and shared care to children and adolescents with cancer</w:t>
        </w:r>
      </w:hyperlink>
      <w:r w:rsidR="0043135B" w:rsidRPr="00096068">
        <w:rPr>
          <w:rFonts w:eastAsia="MS Gothic" w:cs="Arial"/>
          <w:sz w:val="18"/>
          <w:szCs w:val="16"/>
        </w:rPr>
        <w:t xml:space="preserve"> </w:t>
      </w:r>
      <w:r w:rsidR="00096068" w:rsidRPr="00096068">
        <w:rPr>
          <w:rFonts w:eastAsia="MS Gothic" w:cs="Arial"/>
          <w:sz w:val="18"/>
          <w:szCs w:val="16"/>
        </w:rPr>
        <w:t>&lt;https://www.vics.org.au/pics-resources&gt;.</w:t>
      </w:r>
      <w:r w:rsidR="008F183C">
        <w:rPr>
          <w:rStyle w:val="Hyperlink"/>
        </w:rPr>
        <w:t xml:space="preserve"> </w:t>
      </w:r>
    </w:p>
  </w:footnote>
  <w:footnote w:id="4">
    <w:p w14:paraId="7C9CE489" w14:textId="45C75A2D" w:rsidR="00281C2F" w:rsidRDefault="00281C2F" w:rsidP="00281C2F">
      <w:pPr>
        <w:pStyle w:val="FootnoteText"/>
      </w:pPr>
      <w:r>
        <w:rPr>
          <w:rStyle w:val="FootnoteReference"/>
        </w:rPr>
        <w:footnoteRef/>
      </w:r>
      <w:r>
        <w:t xml:space="preserve"> </w:t>
      </w:r>
      <w:hyperlink r:id="rId3" w:history="1">
        <w:r w:rsidRPr="005578C3">
          <w:rPr>
            <w:rStyle w:val="Hyperlink"/>
          </w:rPr>
          <w:t>The NSQHS Standards</w:t>
        </w:r>
      </w:hyperlink>
      <w:r>
        <w:t xml:space="preserve"> &lt;</w:t>
      </w:r>
      <w:r w:rsidRPr="00925C6A">
        <w:t>https://www.safetyandquality.gov.au/standards/nsqhs-standards</w:t>
      </w:r>
      <w:r>
        <w:t>&gt;</w:t>
      </w:r>
      <w:r w:rsidRPr="00DB35C6">
        <w:t>.</w:t>
      </w:r>
    </w:p>
  </w:footnote>
  <w:footnote w:id="5">
    <w:p w14:paraId="29F865DD" w14:textId="422445C8" w:rsidR="00281C2F" w:rsidRDefault="00281C2F" w:rsidP="00281C2F">
      <w:pPr>
        <w:pStyle w:val="FootnoteText"/>
      </w:pPr>
      <w:r>
        <w:rPr>
          <w:rStyle w:val="FootnoteReference"/>
        </w:rPr>
        <w:footnoteRef/>
      </w:r>
      <w:r>
        <w:t xml:space="preserve"> </w:t>
      </w:r>
      <w:hyperlink r:id="rId4" w:anchor=":~:text=The%20purpose%20of%20the%20system%20is%20to%20assess,it%20can%20be%20helpful%20in%20predicting%20perioperative%20risks" w:history="1">
        <w:r w:rsidRPr="005578C3">
          <w:rPr>
            <w:rStyle w:val="Hyperlink"/>
          </w:rPr>
          <w:t xml:space="preserve">American Society of Anesthesiologists, </w:t>
        </w:r>
        <w:r w:rsidRPr="005578C3">
          <w:rPr>
            <w:rStyle w:val="Hyperlink"/>
            <w:i/>
            <w:iCs/>
          </w:rPr>
          <w:t>Statement on ASA Physical Status Classification System</w:t>
        </w:r>
      </w:hyperlink>
      <w:r>
        <w:t xml:space="preserve"> &lt;</w:t>
      </w:r>
      <w:r w:rsidRPr="003F7A4E">
        <w:t>https://www.asahq.org/standards-and-practice-parameters/statement-on-asa-physical-status-classification-system#:~:text=The%20purpose%20of%20the%20system%20is%20to%20assess,it%20can%20be%20helpful%20in%20predicting%20perioperative%20risks</w:t>
      </w:r>
      <w:r>
        <w:t>&gt;.</w:t>
      </w:r>
    </w:p>
  </w:footnote>
  <w:footnote w:id="6">
    <w:p w14:paraId="3968A022" w14:textId="1563B770" w:rsidR="00281C2F" w:rsidRDefault="00281C2F" w:rsidP="00281C2F">
      <w:pPr>
        <w:pStyle w:val="FootnoteText"/>
      </w:pPr>
      <w:r>
        <w:rPr>
          <w:rStyle w:val="FootnoteReference"/>
        </w:rPr>
        <w:footnoteRef/>
      </w:r>
      <w:r>
        <w:t xml:space="preserve"> </w:t>
      </w:r>
      <w:hyperlink r:id="rId5" w:history="1">
        <w:r w:rsidRPr="005578C3">
          <w:rPr>
            <w:rStyle w:val="Hyperlink"/>
          </w:rPr>
          <w:t>Victorian Perioperative Consultative Council annual report 2021</w:t>
        </w:r>
      </w:hyperlink>
      <w:r>
        <w:t xml:space="preserve"> &lt;h</w:t>
      </w:r>
      <w:r w:rsidRPr="00E56C6B">
        <w:t>ttps://www.safercare.vic.gov.au/publications/victorian-perioperative-consultative-council-annual-report-2021</w:t>
      </w:r>
      <w:r>
        <w:t xml:space="preserve">&gt;. </w:t>
      </w:r>
    </w:p>
  </w:footnote>
  <w:footnote w:id="7">
    <w:p w14:paraId="7DD411D0" w14:textId="681D1840" w:rsidR="00281C2F" w:rsidRDefault="00281C2F" w:rsidP="00281C2F">
      <w:pPr>
        <w:pStyle w:val="FootnoteText"/>
      </w:pPr>
      <w:r>
        <w:rPr>
          <w:rStyle w:val="FootnoteReference"/>
        </w:rPr>
        <w:footnoteRef/>
      </w:r>
      <w:r>
        <w:t xml:space="preserve"> </w:t>
      </w:r>
      <w:hyperlink r:id="rId6" w:history="1">
        <w:r w:rsidRPr="005578C3">
          <w:rPr>
            <w:rStyle w:val="Hyperlink"/>
          </w:rPr>
          <w:t>Victorian Audit of Surgical Mortality annual report 2016–2021</w:t>
        </w:r>
      </w:hyperlink>
      <w:r>
        <w:t xml:space="preserve"> &lt;</w:t>
      </w:r>
      <w:r w:rsidRPr="00066315">
        <w:t>https://www.safercare.vic.gov.au/publications/victorian-audit-of-surgical-mortality-annual-report-2016-21</w:t>
      </w:r>
      <w:r>
        <w:t>&gt;.</w:t>
      </w:r>
      <w:r w:rsidDel="00EF7B09">
        <w:t xml:space="preserve"> </w:t>
      </w:r>
    </w:p>
  </w:footnote>
  <w:footnote w:id="8">
    <w:p w14:paraId="4BBC541E" w14:textId="1C58C9ED" w:rsidR="00281C2F" w:rsidRDefault="00281C2F" w:rsidP="00281C2F">
      <w:pPr>
        <w:pStyle w:val="FootnoteText"/>
      </w:pPr>
      <w:r>
        <w:rPr>
          <w:rStyle w:val="FootnoteReference"/>
        </w:rPr>
        <w:footnoteRef/>
      </w:r>
      <w:r>
        <w:t xml:space="preserve"> </w:t>
      </w:r>
      <w:hyperlink r:id="rId7" w:history="1">
        <w:r w:rsidRPr="005578C3">
          <w:rPr>
            <w:rStyle w:val="Hyperlink"/>
          </w:rPr>
          <w:t>Policy and guideline: Adverse patient safety events</w:t>
        </w:r>
      </w:hyperlink>
      <w:r>
        <w:t xml:space="preserve"> &lt;</w:t>
      </w:r>
      <w:r w:rsidRPr="00F12F08">
        <w:t>https://www.safercare.vic.gov.au/publications/policy-adverse-patient-safety-events</w:t>
      </w:r>
      <w:r>
        <w:t xml:space="preserve">&gt;. </w:t>
      </w:r>
    </w:p>
  </w:footnote>
  <w:footnote w:id="9">
    <w:p w14:paraId="5B404F85" w14:textId="39C0E44F" w:rsidR="005E308C" w:rsidRDefault="00281C2F" w:rsidP="00281C2F">
      <w:pPr>
        <w:pStyle w:val="FootnoteText"/>
      </w:pPr>
      <w:r>
        <w:rPr>
          <w:rStyle w:val="FootnoteReference"/>
        </w:rPr>
        <w:footnoteRef/>
      </w:r>
      <w:r>
        <w:t xml:space="preserve"> </w:t>
      </w:r>
      <w:hyperlink r:id="rId8" w:history="1">
        <w:r w:rsidR="005E308C" w:rsidRPr="00E010BB">
          <w:rPr>
            <w:rStyle w:val="Hyperlink"/>
          </w:rPr>
          <w:t>Adverse Patient Safety Event policy</w:t>
        </w:r>
      </w:hyperlink>
      <w:r w:rsidR="005E308C">
        <w:t xml:space="preserve"> </w:t>
      </w:r>
    </w:p>
    <w:p w14:paraId="12F3F0F9" w14:textId="4D377B14" w:rsidR="00281C2F" w:rsidRDefault="005E308C" w:rsidP="00281C2F">
      <w:pPr>
        <w:pStyle w:val="FootnoteText"/>
      </w:pPr>
      <w:r>
        <w:t>&lt;</w:t>
      </w:r>
      <w:r w:rsidRPr="00F12F08">
        <w:t>https://www.safercare.vic.gov.au/publications/policy-adverse-patient-safety-events</w:t>
      </w:r>
      <w:r>
        <w:t>&gt;.</w:t>
      </w:r>
    </w:p>
  </w:footnote>
  <w:footnote w:id="10">
    <w:p w14:paraId="33702D6A" w14:textId="59E3CB3A" w:rsidR="00281C2F" w:rsidRDefault="00281C2F" w:rsidP="00281C2F">
      <w:pPr>
        <w:pStyle w:val="FootnoteText"/>
      </w:pPr>
      <w:r>
        <w:rPr>
          <w:rStyle w:val="FootnoteReference"/>
        </w:rPr>
        <w:footnoteRef/>
      </w:r>
      <w:r>
        <w:t xml:space="preserve"> </w:t>
      </w:r>
      <w:hyperlink r:id="rId9" w:history="1">
        <w:r w:rsidRPr="00E010BB">
          <w:rPr>
            <w:rStyle w:val="Hyperlink"/>
          </w:rPr>
          <w:t>Victorian Perioperative Consultative Council annual report 2021</w:t>
        </w:r>
      </w:hyperlink>
      <w:r>
        <w:t xml:space="preserve"> &lt;h</w:t>
      </w:r>
      <w:r w:rsidRPr="00E56C6B">
        <w:t>ttps://www.safercare.vic.gov.au/publications/victorian-perioperative-consultative-council-annual-report-2021</w:t>
      </w:r>
      <w:r>
        <w:t>&gt;.</w:t>
      </w:r>
    </w:p>
  </w:footnote>
  <w:footnote w:id="11">
    <w:p w14:paraId="718B14BF" w14:textId="35F70439" w:rsidR="00281C2F" w:rsidRDefault="00281C2F" w:rsidP="00281C2F">
      <w:pPr>
        <w:pStyle w:val="FootnoteText"/>
      </w:pPr>
      <w:r>
        <w:rPr>
          <w:rStyle w:val="FootnoteReference"/>
        </w:rPr>
        <w:footnoteRef/>
      </w:r>
      <w:r>
        <w:t xml:space="preserve"> </w:t>
      </w:r>
      <w:hyperlink r:id="rId10" w:history="1">
        <w:r w:rsidRPr="00E010BB">
          <w:rPr>
            <w:rStyle w:val="Hyperlink"/>
          </w:rPr>
          <w:t>Perioperative harm or death</w:t>
        </w:r>
      </w:hyperlink>
      <w:r>
        <w:t xml:space="preserve"> &lt;</w:t>
      </w:r>
      <w:r w:rsidRPr="00E20A5E">
        <w:t>https://www.safercare.vic.gov.au/notify-us/perioperative-harm-or-death</w:t>
      </w:r>
      <w:r>
        <w:t>&gt;.</w:t>
      </w:r>
      <w:r w:rsidDel="00FA6E8A">
        <w:t xml:space="preserve"> </w:t>
      </w:r>
    </w:p>
  </w:footnote>
  <w:footnote w:id="12">
    <w:p w14:paraId="7FA7CA09" w14:textId="1BC35529" w:rsidR="00281C2F" w:rsidRDefault="00281C2F" w:rsidP="00281C2F">
      <w:pPr>
        <w:pStyle w:val="FootnoteText"/>
      </w:pPr>
      <w:r>
        <w:rPr>
          <w:rStyle w:val="FootnoteReference"/>
        </w:rPr>
        <w:footnoteRef/>
      </w:r>
      <w:r>
        <w:t xml:space="preserve"> </w:t>
      </w:r>
      <w:hyperlink r:id="rId11" w:history="1">
        <w:r w:rsidRPr="00E010BB">
          <w:rPr>
            <w:rStyle w:val="Hyperlink"/>
          </w:rPr>
          <w:t>Sentinel events</w:t>
        </w:r>
      </w:hyperlink>
      <w:r>
        <w:t xml:space="preserve"> &lt;</w:t>
      </w:r>
      <w:r w:rsidRPr="0093148F">
        <w:t>https://www.safercare.vic.gov.au/notify-us/sentinel-events</w:t>
      </w:r>
      <w:r>
        <w:t>&gt;.</w:t>
      </w:r>
      <w:r w:rsidDel="00FA6E8A">
        <w:t xml:space="preserve"> </w:t>
      </w:r>
    </w:p>
  </w:footnote>
  <w:footnote w:id="13">
    <w:p w14:paraId="62FEB5C7" w14:textId="60726092" w:rsidR="00281C2F" w:rsidRDefault="00281C2F" w:rsidP="00281C2F">
      <w:pPr>
        <w:pStyle w:val="FootnoteText"/>
      </w:pPr>
      <w:r>
        <w:rPr>
          <w:rStyle w:val="FootnoteReference"/>
        </w:rPr>
        <w:footnoteRef/>
      </w:r>
      <w:r>
        <w:t xml:space="preserve"> </w:t>
      </w:r>
      <w:hyperlink r:id="rId12" w:history="1">
        <w:r w:rsidRPr="002C63C2">
          <w:rPr>
            <w:rStyle w:val="Hyperlink"/>
          </w:rPr>
          <w:t>Clinical governance framework</w:t>
        </w:r>
      </w:hyperlink>
      <w:r>
        <w:t xml:space="preserve"> &lt;</w:t>
      </w:r>
      <w:r w:rsidRPr="009347F4">
        <w:t>https://www.safercare.vic.gov.au/publications/clinical-governance-framework</w:t>
      </w:r>
      <w:r>
        <w:t>&gt;.</w:t>
      </w:r>
      <w:r w:rsidDel="00FA6E8A">
        <w:t xml:space="preserve"> </w:t>
      </w:r>
    </w:p>
  </w:footnote>
  <w:footnote w:id="14">
    <w:p w14:paraId="60906C88" w14:textId="767D8C89" w:rsidR="00281C2F" w:rsidRDefault="00281C2F" w:rsidP="00281C2F">
      <w:pPr>
        <w:pStyle w:val="FootnoteText"/>
      </w:pPr>
      <w:r>
        <w:rPr>
          <w:rStyle w:val="FootnoteReference"/>
        </w:rPr>
        <w:footnoteRef/>
      </w:r>
      <w:r>
        <w:t xml:space="preserve"> </w:t>
      </w:r>
      <w:hyperlink r:id="rId13" w:history="1">
        <w:r w:rsidRPr="002C63C2">
          <w:rPr>
            <w:rStyle w:val="Hyperlink"/>
          </w:rPr>
          <w:t>Elective surgery access policy</w:t>
        </w:r>
      </w:hyperlink>
      <w:r>
        <w:t xml:space="preserve"> &lt;</w:t>
      </w:r>
      <w:r w:rsidRPr="00843385">
        <w:t>https://www.health.vic.gov.au/publications/elective-surgery-access-policy</w:t>
      </w:r>
      <w:r>
        <w:t>&gt;.</w:t>
      </w:r>
      <w:r w:rsidDel="00CA6C8C">
        <w:t xml:space="preserve"> </w:t>
      </w:r>
    </w:p>
  </w:footnote>
  <w:footnote w:id="15">
    <w:p w14:paraId="1FA0840F" w14:textId="53A7AA54" w:rsidR="00281C2F" w:rsidRDefault="00281C2F" w:rsidP="00281C2F">
      <w:pPr>
        <w:pStyle w:val="FootnoteText"/>
      </w:pPr>
      <w:r>
        <w:rPr>
          <w:rStyle w:val="FootnoteReference"/>
        </w:rPr>
        <w:footnoteRef/>
      </w:r>
      <w:r>
        <w:t xml:space="preserve"> </w:t>
      </w:r>
      <w:hyperlink r:id="rId14" w:history="1">
        <w:r w:rsidRPr="002C63C2">
          <w:rPr>
            <w:rStyle w:val="Hyperlink"/>
          </w:rPr>
          <w:t>About Child Safe Standards</w:t>
        </w:r>
      </w:hyperlink>
      <w:r>
        <w:t xml:space="preserve"> &lt;</w:t>
      </w:r>
      <w:r w:rsidRPr="00B11536">
        <w:t>https://www.vic.gov.au/about-child-safe-standards</w:t>
      </w:r>
      <w:r>
        <w:t xml:space="preserve">&gt;. </w:t>
      </w:r>
    </w:p>
  </w:footnote>
  <w:footnote w:id="16">
    <w:p w14:paraId="6BF70771" w14:textId="07B4B7F8" w:rsidR="00281C2F" w:rsidRDefault="00281C2F" w:rsidP="00281C2F">
      <w:pPr>
        <w:pStyle w:val="FootnoteText"/>
      </w:pPr>
      <w:r>
        <w:rPr>
          <w:rStyle w:val="FootnoteReference"/>
        </w:rPr>
        <w:footnoteRef/>
      </w:r>
      <w:r>
        <w:t xml:space="preserve"> </w:t>
      </w:r>
      <w:hyperlink r:id="rId15" w:history="1">
        <w:r w:rsidRPr="002C63C2">
          <w:rPr>
            <w:rStyle w:val="Hyperlink"/>
          </w:rPr>
          <w:t>Credentialing and scope of clinical practice for senior medical practitioners policy</w:t>
        </w:r>
      </w:hyperlink>
      <w:r>
        <w:t xml:space="preserve"> &lt;</w:t>
      </w:r>
      <w:r w:rsidRPr="003971C3">
        <w:t>https://www.safercare.vic.gov.au/publications/credentialing-and-scope-of-clinical-practice-for-senior-medical-practitioners-policy</w:t>
      </w:r>
      <w:r>
        <w:t xml:space="preserve">&gt;. </w:t>
      </w:r>
    </w:p>
  </w:footnote>
  <w:footnote w:id="17">
    <w:p w14:paraId="7EE56BA3" w14:textId="17C550AD" w:rsidR="00281C2F" w:rsidRPr="005C7F1E" w:rsidRDefault="00281C2F" w:rsidP="00281C2F">
      <w:pPr>
        <w:pStyle w:val="FootnoteText"/>
      </w:pPr>
      <w:r w:rsidRPr="005C7F1E">
        <w:rPr>
          <w:rStyle w:val="FootnoteReference"/>
        </w:rPr>
        <w:footnoteRef/>
      </w:r>
      <w:r w:rsidRPr="005C7F1E">
        <w:t xml:space="preserve"> </w:t>
      </w:r>
      <w:hyperlink r:id="rId16" w:history="1">
        <w:r w:rsidRPr="002C63C2">
          <w:rPr>
            <w:rStyle w:val="Hyperlink"/>
          </w:rPr>
          <w:t xml:space="preserve">Department of Health, </w:t>
        </w:r>
        <w:r w:rsidRPr="002C63C2">
          <w:rPr>
            <w:rStyle w:val="Hyperlink"/>
            <w:i/>
          </w:rPr>
          <w:t>Safe Patient Care (Nurse to Patient and Midwife to Patient Ratios) Act 2015</w:t>
        </w:r>
        <w:r w:rsidRPr="002C63C2">
          <w:rPr>
            <w:rStyle w:val="Hyperlink"/>
          </w:rPr>
          <w:t>,</w:t>
        </w:r>
      </w:hyperlink>
      <w:r w:rsidRPr="005C7F1E">
        <w:t xml:space="preserve"> </w:t>
      </w:r>
      <w:r>
        <w:t>&lt;</w:t>
      </w:r>
      <w:r w:rsidRPr="00D470F4">
        <w:t>https://www.health.vic.gov.au/nursing-and-midwifery/</w:t>
      </w:r>
      <w:r w:rsidR="00117F7A" w:rsidRPr="00117F7A">
        <w:t>nursing-and-midwifery-legislation-and-regulation</w:t>
      </w:r>
      <w:r>
        <w:t>&gt;.</w:t>
      </w:r>
      <w:r w:rsidRPr="00D470F4">
        <w:t xml:space="preserve"> </w:t>
      </w:r>
    </w:p>
  </w:footnote>
  <w:footnote w:id="18">
    <w:p w14:paraId="425F5A81" w14:textId="6B9309A6" w:rsidR="00281C2F" w:rsidRPr="00CC0553" w:rsidRDefault="00281C2F" w:rsidP="00281C2F">
      <w:pPr>
        <w:pStyle w:val="FootnoteText"/>
        <w:rPr>
          <w:szCs w:val="18"/>
        </w:rPr>
      </w:pPr>
      <w:r w:rsidRPr="00CC0553">
        <w:rPr>
          <w:rStyle w:val="FootnoteReference"/>
          <w:szCs w:val="18"/>
        </w:rPr>
        <w:footnoteRef/>
      </w:r>
      <w:r w:rsidRPr="00CC0553">
        <w:rPr>
          <w:szCs w:val="18"/>
        </w:rPr>
        <w:t xml:space="preserve"> </w:t>
      </w:r>
      <w:hyperlink r:id="rId17" w:history="1">
        <w:r w:rsidRPr="00484F5A">
          <w:rPr>
            <w:rStyle w:val="Hyperlink"/>
            <w:i/>
            <w:szCs w:val="18"/>
          </w:rPr>
          <w:t>Nurses and midwives (Victorian Public Sector)(Single Interest Employers) enterprise agreement 2020–2024</w:t>
        </w:r>
      </w:hyperlink>
      <w:r w:rsidRPr="00CC0553">
        <w:rPr>
          <w:szCs w:val="18"/>
        </w:rPr>
        <w:t xml:space="preserve"> &lt;https://www.anmfvic.asn.au/~/media/files/anmf/eba%202020/campaign%20updates/200120-NandM-EBA-master-clean.pdf&gt;</w:t>
      </w:r>
      <w:r>
        <w:rPr>
          <w:szCs w:val="18"/>
        </w:rPr>
        <w:t>.</w:t>
      </w:r>
    </w:p>
  </w:footnote>
  <w:footnote w:id="19">
    <w:p w14:paraId="5F1FDE4E" w14:textId="303B0D30" w:rsidR="00281C2F" w:rsidRPr="00CC0553" w:rsidRDefault="00281C2F" w:rsidP="00281C2F">
      <w:pPr>
        <w:pStyle w:val="FootnoteText"/>
        <w:rPr>
          <w:szCs w:val="18"/>
        </w:rPr>
      </w:pPr>
      <w:r w:rsidRPr="00CC0553">
        <w:rPr>
          <w:rStyle w:val="FootnoteReference"/>
          <w:szCs w:val="18"/>
        </w:rPr>
        <w:footnoteRef/>
      </w:r>
      <w:r w:rsidRPr="00CC0553">
        <w:rPr>
          <w:szCs w:val="18"/>
        </w:rPr>
        <w:t xml:space="preserve"> </w:t>
      </w:r>
      <w:hyperlink r:id="rId18" w:history="1">
        <w:r w:rsidRPr="00E363EE">
          <w:rPr>
            <w:rStyle w:val="Hyperlink"/>
            <w:szCs w:val="18"/>
          </w:rPr>
          <w:t>Australian and New Zealand College of Anaesthetists (ANZCA): Anaesthesia in Children</w:t>
        </w:r>
      </w:hyperlink>
      <w:r w:rsidRPr="00CC0553">
        <w:rPr>
          <w:szCs w:val="18"/>
        </w:rPr>
        <w:t xml:space="preserve"> &lt;https://www.anzca.edu.au/resources/professional-documents/guidelines/ps29-guideline-for-the-provision-of-anaesthesia-ca&gt;.</w:t>
      </w:r>
    </w:p>
  </w:footnote>
  <w:footnote w:id="20">
    <w:p w14:paraId="64A02F33" w14:textId="7DA52848" w:rsidR="00281C2F" w:rsidRPr="00CC0553" w:rsidRDefault="00281C2F" w:rsidP="00281C2F">
      <w:pPr>
        <w:pStyle w:val="FootnoteText"/>
        <w:rPr>
          <w:szCs w:val="18"/>
        </w:rPr>
      </w:pPr>
      <w:r w:rsidRPr="00CC0553">
        <w:rPr>
          <w:rStyle w:val="FootnoteReference"/>
          <w:szCs w:val="18"/>
        </w:rPr>
        <w:footnoteRef/>
      </w:r>
      <w:r w:rsidRPr="00CC0553">
        <w:rPr>
          <w:szCs w:val="18"/>
        </w:rPr>
        <w:t xml:space="preserve"> </w:t>
      </w:r>
      <w:hyperlink r:id="rId19" w:history="1">
        <w:r w:rsidRPr="00E363EE">
          <w:rPr>
            <w:rStyle w:val="Hyperlink"/>
            <w:szCs w:val="18"/>
          </w:rPr>
          <w:t>Australian College of Perioperative Nurses (ACORN) Standards</w:t>
        </w:r>
      </w:hyperlink>
      <w:r w:rsidRPr="00CC0553">
        <w:rPr>
          <w:szCs w:val="18"/>
        </w:rPr>
        <w:t xml:space="preserve"> &lt;https://www.acorn.org.au/view-acorn-standards&gt;.</w:t>
      </w:r>
    </w:p>
  </w:footnote>
  <w:footnote w:id="21">
    <w:p w14:paraId="703FA1B3" w14:textId="0613191F" w:rsidR="00281C2F" w:rsidRPr="00CC0553" w:rsidRDefault="00281C2F" w:rsidP="00281C2F">
      <w:pPr>
        <w:pStyle w:val="FootnoteText"/>
        <w:rPr>
          <w:szCs w:val="18"/>
        </w:rPr>
      </w:pPr>
      <w:r w:rsidRPr="00CC0553">
        <w:rPr>
          <w:rStyle w:val="FootnoteReference"/>
          <w:szCs w:val="18"/>
        </w:rPr>
        <w:footnoteRef/>
      </w:r>
      <w:r w:rsidRPr="00CC0553">
        <w:rPr>
          <w:szCs w:val="18"/>
        </w:rPr>
        <w:t xml:space="preserve"> </w:t>
      </w:r>
      <w:hyperlink r:id="rId20" w:history="1">
        <w:r w:rsidRPr="004C7D6B">
          <w:rPr>
            <w:rStyle w:val="Hyperlink"/>
            <w:szCs w:val="18"/>
          </w:rPr>
          <w:t>Aboriginal and Torres Strait Islander cultural safety framework</w:t>
        </w:r>
      </w:hyperlink>
      <w:r w:rsidRPr="00CC0553">
        <w:rPr>
          <w:szCs w:val="18"/>
        </w:rPr>
        <w:t xml:space="preserve"> &lt;https://www.health.vic.gov.au/</w:t>
      </w:r>
      <w:r w:rsidR="00F77F75" w:rsidRPr="00F77F75">
        <w:rPr>
          <w:szCs w:val="18"/>
        </w:rPr>
        <w:t>publications</w:t>
      </w:r>
      <w:r w:rsidRPr="00CC0553">
        <w:rPr>
          <w:szCs w:val="18"/>
        </w:rPr>
        <w:t>/aboriginal-and-torres-strait-islander-cultural-safety</w:t>
      </w:r>
      <w:r w:rsidR="00F77F75" w:rsidRPr="00F77F75">
        <w:rPr>
          <w:szCs w:val="18"/>
        </w:rPr>
        <w:t>-framework-part-1</w:t>
      </w:r>
      <w:r w:rsidRPr="00CC0553">
        <w:rPr>
          <w:szCs w:val="18"/>
        </w:rPr>
        <w:t xml:space="preserve">&gt;. </w:t>
      </w:r>
    </w:p>
  </w:footnote>
  <w:footnote w:id="22">
    <w:p w14:paraId="542B38A0" w14:textId="23D975BF" w:rsidR="00281C2F" w:rsidRPr="00CC0553" w:rsidRDefault="00281C2F" w:rsidP="00281C2F">
      <w:pPr>
        <w:pStyle w:val="FootnoteText"/>
        <w:rPr>
          <w:szCs w:val="18"/>
        </w:rPr>
      </w:pPr>
      <w:r w:rsidRPr="00CC0553">
        <w:rPr>
          <w:rStyle w:val="FootnoteReference"/>
          <w:szCs w:val="18"/>
        </w:rPr>
        <w:footnoteRef/>
      </w:r>
      <w:r w:rsidRPr="00CC0553">
        <w:rPr>
          <w:szCs w:val="18"/>
        </w:rPr>
        <w:t xml:space="preserve"> </w:t>
      </w:r>
      <w:hyperlink r:id="rId21" w:history="1">
        <w:r w:rsidRPr="00584C62">
          <w:rPr>
            <w:rStyle w:val="Hyperlink"/>
            <w:szCs w:val="18"/>
          </w:rPr>
          <w:t>Aboriginal cultural safety fixed grant guidelines – Cultural safety planning and reporting 2021–22</w:t>
        </w:r>
      </w:hyperlink>
      <w:r w:rsidRPr="00CC0553">
        <w:rPr>
          <w:szCs w:val="18"/>
        </w:rPr>
        <w:t xml:space="preserve"> &lt;</w:t>
      </w:r>
      <w:r w:rsidR="00DF4F34" w:rsidRPr="00DF4F34">
        <w:t>https://www.health.vic.gov.au/publications/aboriginal-cultural-safety-fixed-grant-guidelines-cultural-safety-planning-and</w:t>
      </w:r>
      <w:r w:rsidRPr="00CC0553">
        <w:rPr>
          <w:szCs w:val="18"/>
        </w:rPr>
        <w:t xml:space="preserve">&gt;. </w:t>
      </w:r>
    </w:p>
  </w:footnote>
  <w:footnote w:id="23">
    <w:p w14:paraId="192841D9" w14:textId="4A9C0E96" w:rsidR="00281C2F" w:rsidRPr="00CC0553" w:rsidRDefault="00281C2F" w:rsidP="00281C2F">
      <w:pPr>
        <w:pStyle w:val="FootnoteText"/>
        <w:rPr>
          <w:szCs w:val="18"/>
        </w:rPr>
      </w:pPr>
      <w:r w:rsidRPr="00CC0553">
        <w:rPr>
          <w:rStyle w:val="FootnoteReference"/>
          <w:szCs w:val="18"/>
        </w:rPr>
        <w:footnoteRef/>
      </w:r>
      <w:r w:rsidRPr="00CC0553">
        <w:rPr>
          <w:szCs w:val="18"/>
        </w:rPr>
        <w:t xml:space="preserve"> </w:t>
      </w:r>
      <w:hyperlink r:id="rId22" w:history="1">
        <w:r w:rsidRPr="00584C62">
          <w:rPr>
            <w:rStyle w:val="Hyperlink"/>
            <w:szCs w:val="18"/>
          </w:rPr>
          <w:t>Australian Charter of Healthcare Rights</w:t>
        </w:r>
      </w:hyperlink>
      <w:r w:rsidRPr="00CC0553">
        <w:rPr>
          <w:szCs w:val="18"/>
        </w:rPr>
        <w:t xml:space="preserve"> &lt;https://www.safetyandquality.gov.au/our-work/partnering-consumers/australian-charter-healthcare-rights&gt;.</w:t>
      </w:r>
    </w:p>
  </w:footnote>
  <w:footnote w:id="24">
    <w:p w14:paraId="3872CEA4" w14:textId="421F0E12" w:rsidR="00281C2F" w:rsidRPr="00CC0553" w:rsidRDefault="00281C2F" w:rsidP="00281C2F">
      <w:pPr>
        <w:pStyle w:val="FootnoteText"/>
        <w:rPr>
          <w:szCs w:val="18"/>
        </w:rPr>
      </w:pPr>
      <w:r w:rsidRPr="00CC0553">
        <w:rPr>
          <w:rStyle w:val="FootnoteReference"/>
          <w:szCs w:val="18"/>
        </w:rPr>
        <w:footnoteRef/>
      </w:r>
      <w:r w:rsidRPr="00CC0553">
        <w:rPr>
          <w:szCs w:val="18"/>
        </w:rPr>
        <w:t xml:space="preserve"> </w:t>
      </w:r>
      <w:hyperlink r:id="rId23" w:history="1">
        <w:r w:rsidRPr="009A3CD4">
          <w:rPr>
            <w:rStyle w:val="Hyperlink"/>
            <w:szCs w:val="18"/>
          </w:rPr>
          <w:t>The Charter of Human Rights and Responsibilities</w:t>
        </w:r>
      </w:hyperlink>
      <w:r w:rsidRPr="00CC0553">
        <w:rPr>
          <w:szCs w:val="18"/>
        </w:rPr>
        <w:t xml:space="preserve"> &lt;https://www.humanrights.vic.gov.au/legal-and-policy/victorias-human-rights-laws/the-charter/&gt;.</w:t>
      </w:r>
    </w:p>
  </w:footnote>
  <w:footnote w:id="25">
    <w:p w14:paraId="276E34E2" w14:textId="7056A4DE" w:rsidR="00281C2F" w:rsidRDefault="00281C2F" w:rsidP="00281C2F">
      <w:pPr>
        <w:pStyle w:val="FootnoteText"/>
      </w:pPr>
      <w:r>
        <w:rPr>
          <w:rStyle w:val="FootnoteReference"/>
        </w:rPr>
        <w:footnoteRef/>
      </w:r>
      <w:r>
        <w:t xml:space="preserve"> </w:t>
      </w:r>
      <w:hyperlink r:id="rId24" w:history="1">
        <w:r w:rsidRPr="009A3CD4">
          <w:rPr>
            <w:rStyle w:val="Hyperlink"/>
          </w:rPr>
          <w:t>Partnering with Consumers Standard</w:t>
        </w:r>
      </w:hyperlink>
      <w:r>
        <w:t xml:space="preserve"> &lt;</w:t>
      </w:r>
      <w:r w:rsidRPr="00B22896">
        <w:t>https://www.safetyandquality.gov.au/standards/nsqhs-standards/partnering-consumers-standard</w:t>
      </w:r>
      <w:r>
        <w:t xml:space="preserve">&gt;. </w:t>
      </w:r>
    </w:p>
  </w:footnote>
  <w:footnote w:id="26">
    <w:p w14:paraId="49EF8AA2" w14:textId="66FA66A2" w:rsidR="00281C2F" w:rsidRDefault="00281C2F" w:rsidP="00281C2F">
      <w:pPr>
        <w:pStyle w:val="FootnoteText"/>
      </w:pPr>
      <w:r>
        <w:rPr>
          <w:rStyle w:val="FootnoteReference"/>
        </w:rPr>
        <w:footnoteRef/>
      </w:r>
      <w:r>
        <w:t xml:space="preserve"> </w:t>
      </w:r>
      <w:hyperlink r:id="rId25" w:history="1">
        <w:r w:rsidRPr="009A3CD4">
          <w:rPr>
            <w:rStyle w:val="Hyperlink"/>
          </w:rPr>
          <w:t>PS26(A) Position statement on informed consent for anaesthesia or sedation 2021</w:t>
        </w:r>
      </w:hyperlink>
      <w:r>
        <w:t xml:space="preserve"> &lt;</w:t>
      </w:r>
      <w:r w:rsidRPr="00BB7FC0">
        <w:t>https://www.anzca.edu.au/resources/professional-documents/standards-(1)/ps26-statement-on-informed-consent-for-anaesthesia</w:t>
      </w:r>
      <w:r>
        <w:t xml:space="preserve">&gt;. </w:t>
      </w:r>
    </w:p>
  </w:footnote>
  <w:footnote w:id="27">
    <w:p w14:paraId="05A63C1A" w14:textId="081F9530" w:rsidR="00281C2F" w:rsidRDefault="00281C2F" w:rsidP="00281C2F">
      <w:pPr>
        <w:pStyle w:val="FootnoteText"/>
      </w:pPr>
      <w:r>
        <w:rPr>
          <w:rStyle w:val="FootnoteReference"/>
        </w:rPr>
        <w:footnoteRef/>
      </w:r>
      <w:r>
        <w:t xml:space="preserve"> </w:t>
      </w:r>
      <w:hyperlink r:id="rId26" w:history="1">
        <w:r w:rsidRPr="009A3CD4">
          <w:rPr>
            <w:rStyle w:val="Hyperlink"/>
          </w:rPr>
          <w:t>Department of Health’s Language services policy and guidelines</w:t>
        </w:r>
      </w:hyperlink>
      <w:r>
        <w:t xml:space="preserve"> &lt;</w:t>
      </w:r>
      <w:r w:rsidRPr="00061535">
        <w:t>https://www.health.vic.gov.au/publications/language-services-policy</w:t>
      </w:r>
      <w:r>
        <w:t xml:space="preserve">&gt;. </w:t>
      </w:r>
    </w:p>
  </w:footnote>
  <w:footnote w:id="28">
    <w:p w14:paraId="555C5D5A" w14:textId="11FFCB50" w:rsidR="00281C2F" w:rsidRDefault="00281C2F" w:rsidP="00281C2F">
      <w:pPr>
        <w:pStyle w:val="FootnoteText"/>
      </w:pPr>
      <w:r>
        <w:rPr>
          <w:rStyle w:val="FootnoteReference"/>
        </w:rPr>
        <w:footnoteRef/>
      </w:r>
      <w:r>
        <w:t xml:space="preserve"> </w:t>
      </w:r>
      <w:hyperlink r:id="rId27" w:history="1">
        <w:r w:rsidRPr="009A3CD4">
          <w:rPr>
            <w:rStyle w:val="Hyperlink"/>
          </w:rPr>
          <w:t>Policy and Funding Guidelines for health services</w:t>
        </w:r>
      </w:hyperlink>
      <w:r w:rsidRPr="001F6EA7">
        <w:t xml:space="preserve"> </w:t>
      </w:r>
      <w:r>
        <w:t>&lt;</w:t>
      </w:r>
      <w:r w:rsidRPr="00450B77">
        <w:t>https://www.health.vic.gov.au/policy-and-funding-guidelines-for-health-services</w:t>
      </w:r>
      <w:r>
        <w:t>&gt;.</w:t>
      </w:r>
    </w:p>
  </w:footnote>
  <w:footnote w:id="29">
    <w:p w14:paraId="53763078" w14:textId="14598194" w:rsidR="00281C2F" w:rsidRDefault="00281C2F" w:rsidP="00281C2F">
      <w:pPr>
        <w:pStyle w:val="FootnoteText"/>
      </w:pPr>
      <w:r>
        <w:rPr>
          <w:rStyle w:val="FootnoteReference"/>
        </w:rPr>
        <w:footnoteRef/>
      </w:r>
      <w:r>
        <w:t xml:space="preserve"> </w:t>
      </w:r>
      <w:hyperlink r:id="rId28" w:history="1">
        <w:r w:rsidRPr="009A3CD4">
          <w:rPr>
            <w:rStyle w:val="Hyperlink"/>
          </w:rPr>
          <w:t>Hospital access for people seeking asylum</w:t>
        </w:r>
      </w:hyperlink>
      <w:r w:rsidRPr="00B856EC">
        <w:t xml:space="preserve"> </w:t>
      </w:r>
      <w:r>
        <w:t>&lt;</w:t>
      </w:r>
      <w:r w:rsidRPr="00B45619">
        <w:t>https://www.health.vic.gov.au/publications/hospital-access-for-people-seeking-asylum</w:t>
      </w:r>
      <w:r>
        <w:t>&gt;.</w:t>
      </w:r>
    </w:p>
  </w:footnote>
  <w:footnote w:id="30">
    <w:p w14:paraId="782E3F36" w14:textId="31287F5A" w:rsidR="00281C2F" w:rsidRDefault="00281C2F" w:rsidP="00281C2F">
      <w:pPr>
        <w:pStyle w:val="FootnoteText"/>
      </w:pPr>
      <w:r>
        <w:rPr>
          <w:rStyle w:val="FootnoteReference"/>
        </w:rPr>
        <w:footnoteRef/>
      </w:r>
      <w:r>
        <w:t xml:space="preserve"> </w:t>
      </w:r>
      <w:hyperlink r:id="rId29" w:history="1">
        <w:r w:rsidRPr="009A3CD4">
          <w:rPr>
            <w:rStyle w:val="Hyperlink"/>
          </w:rPr>
          <w:t>SCV Partnering in healthcare framework</w:t>
        </w:r>
      </w:hyperlink>
      <w:r>
        <w:t xml:space="preserve"> &lt;</w:t>
      </w:r>
      <w:r w:rsidRPr="00A94B2D">
        <w:t>https://www.safercare.vic.gov.au/publications/partnering-in-healthcare</w:t>
      </w:r>
      <w:r>
        <w:t>&gt;.</w:t>
      </w:r>
    </w:p>
  </w:footnote>
  <w:footnote w:id="31">
    <w:p w14:paraId="213BEFBB" w14:textId="1F99949B" w:rsidR="00281C2F" w:rsidRDefault="00281C2F" w:rsidP="00281C2F">
      <w:pPr>
        <w:pStyle w:val="FootnoteText"/>
      </w:pPr>
      <w:r>
        <w:rPr>
          <w:rStyle w:val="FootnoteReference"/>
        </w:rPr>
        <w:footnoteRef/>
      </w:r>
      <w:r>
        <w:t xml:space="preserve"> </w:t>
      </w:r>
      <w:hyperlink r:id="rId30" w:history="1">
        <w:r w:rsidRPr="009A3CD4">
          <w:rPr>
            <w:rStyle w:val="Hyperlink"/>
          </w:rPr>
          <w:t>Action 1.25 Safety and quality roles and responsibilities</w:t>
        </w:r>
      </w:hyperlink>
      <w:r>
        <w:t xml:space="preserve"> &lt;</w:t>
      </w:r>
      <w:r w:rsidRPr="00B33602">
        <w:t>https://www.safetyandquality.gov.au/standards/nsqhs-standards/clinical-governance-standard/clinical-performance-and-effectiveness/action-125</w:t>
      </w:r>
      <w:r>
        <w:t xml:space="preserve">&gt;. </w:t>
      </w:r>
    </w:p>
  </w:footnote>
  <w:footnote w:id="32">
    <w:p w14:paraId="1368AF2E" w14:textId="65A251D3" w:rsidR="00281C2F" w:rsidRDefault="00281C2F" w:rsidP="00281C2F">
      <w:pPr>
        <w:pStyle w:val="FootnoteText"/>
      </w:pPr>
      <w:r>
        <w:rPr>
          <w:rStyle w:val="FootnoteReference"/>
        </w:rPr>
        <w:footnoteRef/>
      </w:r>
      <w:r>
        <w:t xml:space="preserve"> </w:t>
      </w:r>
      <w:hyperlink r:id="rId31" w:history="1">
        <w:r w:rsidRPr="009A3CD4">
          <w:rPr>
            <w:rStyle w:val="Hyperlink"/>
          </w:rPr>
          <w:t>VHIMS MDS</w:t>
        </w:r>
      </w:hyperlink>
      <w:r w:rsidRPr="00A575C0">
        <w:t xml:space="preserve"> </w:t>
      </w:r>
      <w:r>
        <w:t>&lt;</w:t>
      </w:r>
      <w:r w:rsidRPr="003321F8">
        <w:t>https://www.health.vic.gov.au/publications/victorian-health-incident-management-system-minimum-dataset</w:t>
      </w:r>
      <w:r>
        <w:t xml:space="preserve">&gt;. </w:t>
      </w:r>
    </w:p>
  </w:footnote>
  <w:footnote w:id="33">
    <w:p w14:paraId="32152DCF" w14:textId="61B33175" w:rsidR="00281C2F" w:rsidRDefault="00281C2F" w:rsidP="00281C2F">
      <w:pPr>
        <w:pStyle w:val="FootnoteText"/>
      </w:pPr>
      <w:r>
        <w:rPr>
          <w:rStyle w:val="FootnoteReference"/>
        </w:rPr>
        <w:footnoteRef/>
      </w:r>
      <w:r>
        <w:t xml:space="preserve"> </w:t>
      </w:r>
      <w:hyperlink r:id="rId32" w:history="1">
        <w:r w:rsidRPr="009A3CD4">
          <w:rPr>
            <w:rStyle w:val="Hyperlink"/>
          </w:rPr>
          <w:t>Adverse event review and response</w:t>
        </w:r>
      </w:hyperlink>
      <w:r w:rsidRPr="000D214C">
        <w:t xml:space="preserve"> </w:t>
      </w:r>
      <w:r>
        <w:t>&lt;</w:t>
      </w:r>
      <w:r w:rsidRPr="00212DB2">
        <w:t>https://www.safercare.vic.gov.au/support-and-training/review-and-response</w:t>
      </w:r>
      <w:r>
        <w:t>&gt;.</w:t>
      </w:r>
    </w:p>
  </w:footnote>
  <w:footnote w:id="34">
    <w:p w14:paraId="718B3D95" w14:textId="1C78A881" w:rsidR="00281C2F" w:rsidRDefault="00281C2F" w:rsidP="00281C2F">
      <w:pPr>
        <w:pStyle w:val="FootnoteText"/>
      </w:pPr>
      <w:r>
        <w:rPr>
          <w:rStyle w:val="FootnoteReference"/>
        </w:rPr>
        <w:footnoteRef/>
      </w:r>
      <w:r>
        <w:t xml:space="preserve"> </w:t>
      </w:r>
      <w:bookmarkStart w:id="37" w:name="_Hlk149141255"/>
      <w:r w:rsidR="009A3CD4">
        <w:fldChar w:fldCharType="begin"/>
      </w:r>
      <w:r w:rsidR="009A3CD4">
        <w:instrText xml:space="preserve"> HYPERLINK "https://www.safetyandquality.gov.au/standards/nsqhs-standards/clinical-governance-standard/clinical-performance-and-effectiveness/action-128" </w:instrText>
      </w:r>
      <w:r w:rsidR="009A3CD4">
        <w:fldChar w:fldCharType="separate"/>
      </w:r>
      <w:r w:rsidRPr="009A3CD4">
        <w:rPr>
          <w:rStyle w:val="Hyperlink"/>
        </w:rPr>
        <w:t>Action 1.28 Variation in clinical practice and health outcomes</w:t>
      </w:r>
      <w:r w:rsidR="009A3CD4">
        <w:fldChar w:fldCharType="end"/>
      </w:r>
      <w:r>
        <w:t xml:space="preserve"> </w:t>
      </w:r>
      <w:bookmarkEnd w:id="37"/>
      <w:r>
        <w:t>&lt;</w:t>
      </w:r>
      <w:r w:rsidR="00331E4B" w:rsidRPr="00331E4B">
        <w:t>https://www.safetyandquality.gov.au/standards/nsqhs-standards/clinical-governance-standard/clinical-performance-and-effectiveness/action-128</w:t>
      </w:r>
      <w:r w:rsidR="00331E4B">
        <w:t>&gt;</w:t>
      </w:r>
      <w:r w:rsidR="00D76A62">
        <w:t>.</w:t>
      </w:r>
    </w:p>
  </w:footnote>
  <w:footnote w:id="35">
    <w:p w14:paraId="05C65FBD" w14:textId="580732F2" w:rsidR="00281C2F" w:rsidRDefault="00281C2F" w:rsidP="00281C2F">
      <w:pPr>
        <w:pStyle w:val="FootnoteText"/>
      </w:pPr>
      <w:r>
        <w:rPr>
          <w:rStyle w:val="FootnoteReference"/>
        </w:rPr>
        <w:footnoteRef/>
      </w:r>
      <w:r>
        <w:t xml:space="preserve"> </w:t>
      </w:r>
      <w:hyperlink r:id="rId33" w:history="1">
        <w:r w:rsidRPr="009A3CD4">
          <w:rPr>
            <w:rStyle w:val="Hyperlink"/>
          </w:rPr>
          <w:t>Action 6.07 Clinical handover</w:t>
        </w:r>
      </w:hyperlink>
      <w:r>
        <w:t xml:space="preserve"> &lt;</w:t>
      </w:r>
      <w:r w:rsidRPr="00752D24">
        <w:t>https://www.safetyandquality.gov.au/standards/nsqhs-standards/communicating-safety-standard/communication-clinical-handover/action-607</w:t>
      </w:r>
      <w:r>
        <w:t>&gt;.</w:t>
      </w:r>
    </w:p>
  </w:footnote>
  <w:footnote w:id="36">
    <w:p w14:paraId="0E9812B2" w14:textId="7D6C27C2" w:rsidR="18DC4834" w:rsidRDefault="18DC4834" w:rsidP="005007E3">
      <w:pPr>
        <w:pStyle w:val="FootnoteText"/>
      </w:pPr>
      <w:r w:rsidRPr="18DC4834">
        <w:rPr>
          <w:rStyle w:val="FootnoteReference"/>
        </w:rPr>
        <w:footnoteRef/>
      </w:r>
      <w:r>
        <w:t xml:space="preserve"> </w:t>
      </w:r>
      <w:hyperlink r:id="rId34" w:history="1">
        <w:r w:rsidRPr="009A3CD4">
          <w:rPr>
            <w:rStyle w:val="Hyperlink"/>
          </w:rPr>
          <w:t xml:space="preserve">Department of Health </w:t>
        </w:r>
        <w:r w:rsidRPr="009A3CD4">
          <w:rPr>
            <w:rStyle w:val="Hyperlink"/>
            <w:i/>
            <w:iCs/>
          </w:rPr>
          <w:t>Planned Surgery Access Policy</w:t>
        </w:r>
        <w:r w:rsidRPr="009A3CD4">
          <w:rPr>
            <w:rStyle w:val="Hyperlink"/>
          </w:rPr>
          <w:t xml:space="preserve"> 2024</w:t>
        </w:r>
      </w:hyperlink>
      <w:r>
        <w:t xml:space="preserve"> &lt;https://www.health.vic.gov.au/patient-care/surgical-services-policies-and-guides</w:t>
      </w:r>
      <w:r w:rsidR="009F5863">
        <w:t>&gt;</w:t>
      </w:r>
    </w:p>
  </w:footnote>
  <w:footnote w:id="37">
    <w:p w14:paraId="26538AA3" w14:textId="5EBE1626" w:rsidR="00281C2F" w:rsidRDefault="00281C2F" w:rsidP="00281C2F">
      <w:pPr>
        <w:pStyle w:val="FootnoteText"/>
      </w:pPr>
      <w:r>
        <w:rPr>
          <w:rStyle w:val="FootnoteReference"/>
        </w:rPr>
        <w:footnoteRef/>
      </w:r>
      <w:r>
        <w:t xml:space="preserve"> </w:t>
      </w:r>
      <w:hyperlink r:id="rId35" w:history="1">
        <w:r w:rsidR="001D74FA" w:rsidRPr="009A3CD4">
          <w:rPr>
            <w:rStyle w:val="Hyperlink"/>
          </w:rPr>
          <w:t>Advisory AS18/07: Reprocessing of reusable medical devices in health service organisations</w:t>
        </w:r>
      </w:hyperlink>
      <w:r w:rsidR="001D74FA">
        <w:t xml:space="preserve"> &lt;</w:t>
      </w:r>
      <w:r w:rsidR="00950487" w:rsidRPr="00950487">
        <w:t>https://www.safetyandquality.gov.au/standards/nsqhs-standards/assessment-nsqhs-standards/nsqhs-standards-advisories/advisory-as1807-reprocessing-reusable-medical-devices-health-service-organisations</w:t>
      </w:r>
      <w:r w:rsidR="00950487">
        <w:t>&gt;</w:t>
      </w:r>
      <w:r>
        <w:t xml:space="preserve">.  </w:t>
      </w:r>
    </w:p>
  </w:footnote>
  <w:footnote w:id="38">
    <w:p w14:paraId="1519E966" w14:textId="36FA67DE" w:rsidR="00281C2F" w:rsidRPr="00E1136E" w:rsidRDefault="00281C2F" w:rsidP="00281C2F">
      <w:pPr>
        <w:pStyle w:val="FootnoteText"/>
      </w:pPr>
      <w:r w:rsidRPr="00F425FE">
        <w:rPr>
          <w:rStyle w:val="FootnoteReference"/>
        </w:rPr>
        <w:footnoteRef/>
      </w:r>
      <w:r w:rsidRPr="00F425FE">
        <w:t xml:space="preserve"> </w:t>
      </w:r>
      <w:hyperlink r:id="rId36" w:history="1">
        <w:r w:rsidRPr="009A3CD4">
          <w:rPr>
            <w:rStyle w:val="Hyperlink"/>
          </w:rPr>
          <w:t>Recognising and Responding to Acute Deterioration Standard</w:t>
        </w:r>
      </w:hyperlink>
      <w:r w:rsidRPr="00F425FE">
        <w:t xml:space="preserve"> &lt;https://www.safetyandquality.gov.au/standards/nsqhs-standards/recognising-and-responding-acute-deterioration-standard&gt;</w:t>
      </w:r>
      <w:r w:rsidRPr="00E1136E">
        <w:t>.</w:t>
      </w:r>
    </w:p>
  </w:footnote>
  <w:footnote w:id="39">
    <w:p w14:paraId="1E1BB444" w14:textId="77777777" w:rsidR="00281C2F" w:rsidRPr="00E1136E" w:rsidRDefault="00281C2F" w:rsidP="00281C2F">
      <w:pPr>
        <w:pStyle w:val="FootnoteText"/>
      </w:pPr>
      <w:r w:rsidRPr="00F425FE">
        <w:rPr>
          <w:rStyle w:val="FootnoteReference"/>
        </w:rPr>
        <w:footnoteRef/>
      </w:r>
      <w:r w:rsidRPr="00F425FE">
        <w:t xml:space="preserve"> </w:t>
      </w:r>
      <w:r w:rsidRPr="00E1136E">
        <w:t xml:space="preserve">Australian Standard 4083-2010, AS3745 Planning for emergencies in facilities. </w:t>
      </w:r>
    </w:p>
  </w:footnote>
  <w:footnote w:id="40">
    <w:p w14:paraId="27DF4FC0" w14:textId="63D600EF" w:rsidR="00281C2F" w:rsidRPr="00F425FE" w:rsidRDefault="00281C2F" w:rsidP="00281C2F">
      <w:pPr>
        <w:pStyle w:val="FootnoteText"/>
      </w:pPr>
      <w:r w:rsidRPr="00F425FE">
        <w:rPr>
          <w:rStyle w:val="FootnoteReference"/>
        </w:rPr>
        <w:footnoteRef/>
      </w:r>
      <w:r w:rsidRPr="00F425FE">
        <w:t xml:space="preserve"> </w:t>
      </w:r>
      <w:hyperlink r:id="rId37" w:history="1">
        <w:r w:rsidRPr="00260388">
          <w:rPr>
            <w:rStyle w:val="Hyperlink"/>
          </w:rPr>
          <w:t xml:space="preserve">Australian Commission on Safety and Quality in Health Care 2017, </w:t>
        </w:r>
        <w:r w:rsidRPr="00260388">
          <w:rPr>
            <w:rStyle w:val="Hyperlink"/>
            <w:i/>
            <w:iCs/>
          </w:rPr>
          <w:t>National consensus statement: essential elements for recognising and responding to acute physiological deterioration</w:t>
        </w:r>
        <w:r w:rsidRPr="00260388">
          <w:rPr>
            <w:rStyle w:val="Hyperlink"/>
          </w:rPr>
          <w:t>, second edition</w:t>
        </w:r>
      </w:hyperlink>
      <w:r w:rsidRPr="00E1136E">
        <w:t xml:space="preserve"> &lt;https://www.safetyandquality.gov.au/our-work/recognising-and-responding-deterioration/recognising-and-responding-acute-physiological-deterioration/national-consensus-statement-essential-elements-recognising-and-responding-acute-physiological-deterioration&gt;.</w:t>
      </w:r>
    </w:p>
  </w:footnote>
  <w:footnote w:id="41">
    <w:p w14:paraId="3D033152" w14:textId="518C8FF2" w:rsidR="00281C2F" w:rsidRPr="00F425FE" w:rsidRDefault="00281C2F" w:rsidP="00281C2F">
      <w:pPr>
        <w:pStyle w:val="FootnoteText"/>
      </w:pPr>
      <w:r w:rsidRPr="00E1136E">
        <w:rPr>
          <w:rStyle w:val="FootnoteReference"/>
        </w:rPr>
        <w:footnoteRef/>
      </w:r>
      <w:r w:rsidRPr="00F425FE">
        <w:t xml:space="preserve"> </w:t>
      </w:r>
      <w:hyperlink r:id="rId38" w:history="1">
        <w:r w:rsidRPr="00260388">
          <w:rPr>
            <w:rStyle w:val="Hyperlink"/>
          </w:rPr>
          <w:t>NATA accreditation</w:t>
        </w:r>
      </w:hyperlink>
      <w:r w:rsidRPr="00F425FE">
        <w:t xml:space="preserve"> &lt;https://www.nata.com.au&gt;.</w:t>
      </w:r>
    </w:p>
  </w:footnote>
  <w:footnote w:id="42">
    <w:p w14:paraId="3E87F5F3" w14:textId="19296AD7" w:rsidR="00281C2F" w:rsidRPr="00F425FE" w:rsidRDefault="00281C2F" w:rsidP="00281C2F">
      <w:pPr>
        <w:pStyle w:val="FootnoteText"/>
      </w:pPr>
      <w:r w:rsidRPr="00E1136E">
        <w:rPr>
          <w:rStyle w:val="FootnoteReference"/>
        </w:rPr>
        <w:footnoteRef/>
      </w:r>
      <w:r w:rsidRPr="00F425FE">
        <w:t xml:space="preserve"> </w:t>
      </w:r>
      <w:hyperlink r:id="rId39" w:history="1">
        <w:r w:rsidRPr="00260388">
          <w:rPr>
            <w:rStyle w:val="Hyperlink"/>
          </w:rPr>
          <w:t>NHQHS Blood Management Standard</w:t>
        </w:r>
      </w:hyperlink>
      <w:r w:rsidRPr="00F425FE">
        <w:t xml:space="preserve"> &lt;https://www.safetyandquality.gov.au/standards/nsqhs-standards/blood-management-standard&gt;.</w:t>
      </w:r>
    </w:p>
  </w:footnote>
  <w:footnote w:id="43">
    <w:p w14:paraId="00F338FB" w14:textId="74BC7585" w:rsidR="00281C2F" w:rsidRPr="00F425FE" w:rsidRDefault="00281C2F" w:rsidP="00281C2F">
      <w:pPr>
        <w:pStyle w:val="FootnoteText"/>
      </w:pPr>
      <w:r w:rsidRPr="00E1136E">
        <w:rPr>
          <w:rStyle w:val="FootnoteReference"/>
        </w:rPr>
        <w:footnoteRef/>
      </w:r>
      <w:r w:rsidRPr="00F425FE">
        <w:t xml:space="preserve"> </w:t>
      </w:r>
      <w:hyperlink r:id="rId40" w:history="1">
        <w:r w:rsidRPr="00260388">
          <w:rPr>
            <w:rStyle w:val="Hyperlink"/>
          </w:rPr>
          <w:t>NHQHS Medication Safety Standard</w:t>
        </w:r>
      </w:hyperlink>
      <w:r w:rsidRPr="00F425FE">
        <w:t xml:space="preserve"> &lt;https://www.safetyandquality.gov.au/standards/nsqhs-standards/medication-safety-standard&gt;. </w:t>
      </w:r>
    </w:p>
  </w:footnote>
  <w:footnote w:id="44">
    <w:p w14:paraId="0DDDB686" w14:textId="6F0224D4" w:rsidR="00281C2F" w:rsidRDefault="00281C2F" w:rsidP="00281C2F">
      <w:pPr>
        <w:pStyle w:val="FootnoteText"/>
      </w:pPr>
      <w:r>
        <w:rPr>
          <w:rStyle w:val="FootnoteReference"/>
        </w:rPr>
        <w:footnoteRef/>
      </w:r>
      <w:r>
        <w:t xml:space="preserve"> </w:t>
      </w:r>
      <w:hyperlink r:id="rId41" w:history="1">
        <w:r w:rsidRPr="009645EF">
          <w:rPr>
            <w:rStyle w:val="Hyperlink"/>
          </w:rPr>
          <w:t>ASA Classification</w:t>
        </w:r>
      </w:hyperlink>
      <w:r>
        <w:t xml:space="preserve"> &lt;</w:t>
      </w:r>
      <w:r w:rsidRPr="00A02F44">
        <w:t>https://www.asahq.org/standards-and-practice-parameters/statement-on-asa-physical-status-classification-system</w:t>
      </w:r>
      <w:r>
        <w:t xml:space="preserve">&gt; </w:t>
      </w:r>
    </w:p>
  </w:footnote>
  <w:footnote w:id="45">
    <w:p w14:paraId="0DAFF525" w14:textId="27A734D2" w:rsidR="00281C2F" w:rsidRDefault="00281C2F" w:rsidP="00281C2F">
      <w:pPr>
        <w:pStyle w:val="FootnoteText"/>
      </w:pPr>
      <w:r>
        <w:rPr>
          <w:rStyle w:val="FootnoteReference"/>
        </w:rPr>
        <w:footnoteRef/>
      </w:r>
      <w:r>
        <w:t xml:space="preserve"> </w:t>
      </w:r>
      <w:hyperlink r:id="rId42" w:history="1">
        <w:r w:rsidRPr="009645EF">
          <w:rPr>
            <w:rStyle w:val="Hyperlink"/>
          </w:rPr>
          <w:t>Statewide referral criteria for specialist clinics - About</w:t>
        </w:r>
      </w:hyperlink>
      <w:r>
        <w:t xml:space="preserve"> &lt;</w:t>
      </w:r>
      <w:r w:rsidRPr="003673B3">
        <w:t>https://src.health.vic.gov.au/about</w:t>
      </w:r>
      <w:r>
        <w:t>&gt;</w:t>
      </w:r>
      <w:r w:rsidR="00710B90">
        <w:t>.</w:t>
      </w:r>
      <w:r>
        <w:t xml:space="preserve"> </w:t>
      </w:r>
    </w:p>
  </w:footnote>
  <w:footnote w:id="46">
    <w:p w14:paraId="325C4FD7" w14:textId="7550E17E" w:rsidR="00281C2F" w:rsidRDefault="00281C2F" w:rsidP="00281C2F">
      <w:pPr>
        <w:pStyle w:val="FootnoteText"/>
      </w:pPr>
      <w:r>
        <w:rPr>
          <w:rStyle w:val="FootnoteReference"/>
        </w:rPr>
        <w:footnoteRef/>
      </w:r>
      <w:r>
        <w:t xml:space="preserve"> </w:t>
      </w:r>
      <w:hyperlink r:id="rId43" w:history="1">
        <w:r w:rsidRPr="009645EF">
          <w:rPr>
            <w:rStyle w:val="Hyperlink"/>
          </w:rPr>
          <w:t>Statewide referral criteria for specialist clinics – Specialties</w:t>
        </w:r>
      </w:hyperlink>
      <w:r>
        <w:t xml:space="preserve"> &lt;</w:t>
      </w:r>
      <w:r w:rsidRPr="00A7625D">
        <w:t>https://src.health.vic.gov.au/specialities</w:t>
      </w:r>
      <w:r>
        <w:t>&gt;</w:t>
      </w:r>
      <w:r w:rsidR="00710B90">
        <w:t>.</w:t>
      </w:r>
      <w:r>
        <w:t xml:space="preserve"> </w:t>
      </w:r>
    </w:p>
  </w:footnote>
  <w:footnote w:id="47">
    <w:p w14:paraId="1A6FC090" w14:textId="62ABA458" w:rsidR="00281C2F" w:rsidRDefault="00281C2F" w:rsidP="00281C2F">
      <w:pPr>
        <w:pStyle w:val="FootnoteText"/>
      </w:pPr>
      <w:r>
        <w:rPr>
          <w:rStyle w:val="FootnoteReference"/>
        </w:rPr>
        <w:footnoteRef/>
      </w:r>
      <w:r>
        <w:t xml:space="preserve"> </w:t>
      </w:r>
      <w:hyperlink r:id="rId44" w:history="1">
        <w:r w:rsidRPr="009645EF">
          <w:rPr>
            <w:rStyle w:val="Hyperlink"/>
          </w:rPr>
          <w:t>PS08(A) – Statement on the Assistant for the Anaesthetist 2016</w:t>
        </w:r>
      </w:hyperlink>
      <w:r>
        <w:t xml:space="preserve"> &lt;</w:t>
      </w:r>
      <w:r w:rsidRPr="005823BE">
        <w:t>https://www.anzca.edu.au/</w:t>
      </w:r>
      <w:r w:rsidR="00517484" w:rsidRPr="00517484">
        <w:t>safety-advocacy</w:t>
      </w:r>
      <w:r w:rsidRPr="005823BE">
        <w:t>/standards</w:t>
      </w:r>
      <w:r w:rsidR="00517484" w:rsidRPr="00517484">
        <w:t>-of-practice/policies,-statements,-and-guidelines</w:t>
      </w:r>
      <w:r>
        <w:t>&gt;.</w:t>
      </w:r>
    </w:p>
  </w:footnote>
  <w:footnote w:id="48">
    <w:p w14:paraId="4C3B2127" w14:textId="48596836" w:rsidR="00281C2F" w:rsidRDefault="00281C2F" w:rsidP="00281C2F">
      <w:pPr>
        <w:pStyle w:val="FootnoteText"/>
      </w:pPr>
      <w:r w:rsidRPr="00635355">
        <w:rPr>
          <w:rStyle w:val="FootnoteReference"/>
        </w:rPr>
        <w:footnoteRef/>
      </w:r>
      <w:r w:rsidRPr="00635355">
        <w:t xml:space="preserve"> </w:t>
      </w:r>
      <w:hyperlink r:id="rId45" w:history="1">
        <w:r w:rsidRPr="009645EF">
          <w:rPr>
            <w:rStyle w:val="Hyperlink"/>
          </w:rPr>
          <w:t>PG09 Guideline on procedural sedation: Background Paper 2022</w:t>
        </w:r>
      </w:hyperlink>
      <w:r w:rsidRPr="00AB771D">
        <w:t xml:space="preserve"> </w:t>
      </w:r>
      <w:r>
        <w:t>&lt;</w:t>
      </w:r>
      <w:r w:rsidRPr="00B04CFC">
        <w:t>https://www.anzca.edu.au/</w:t>
      </w:r>
      <w:r w:rsidR="003531FC" w:rsidRPr="003531FC">
        <w:t>safety-advocacy/standards-of-practice/policies,-statements,-and-guidelines</w:t>
      </w:r>
      <w:r>
        <w:t>&gt;.</w:t>
      </w:r>
    </w:p>
  </w:footnote>
  <w:footnote w:id="49">
    <w:p w14:paraId="1373A648" w14:textId="05E0B612" w:rsidR="00281C2F" w:rsidRDefault="00281C2F" w:rsidP="00281C2F">
      <w:pPr>
        <w:pStyle w:val="FootnoteText"/>
      </w:pPr>
      <w:r>
        <w:rPr>
          <w:rStyle w:val="FootnoteReference"/>
        </w:rPr>
        <w:footnoteRef/>
      </w:r>
      <w:r>
        <w:t xml:space="preserve"> </w:t>
      </w:r>
      <w:hyperlink r:id="rId46" w:history="1">
        <w:r w:rsidRPr="009645EF">
          <w:rPr>
            <w:rStyle w:val="Hyperlink"/>
          </w:rPr>
          <w:t>2023 Professional Practice Standards for Perioperative Nurses (ACORN Standards)</w:t>
        </w:r>
      </w:hyperlink>
      <w:r>
        <w:t xml:space="preserve"> &lt;</w:t>
      </w:r>
      <w:r w:rsidRPr="003368F6">
        <w:t>https://www.acorn.org.au/standards/</w:t>
      </w:r>
      <w:r>
        <w:t>&gt;.</w:t>
      </w:r>
    </w:p>
  </w:footnote>
  <w:footnote w:id="50">
    <w:p w14:paraId="56BED080" w14:textId="53606110" w:rsidR="00281C2F" w:rsidRDefault="00281C2F" w:rsidP="00281C2F">
      <w:pPr>
        <w:pStyle w:val="FootnoteText"/>
      </w:pPr>
      <w:r>
        <w:rPr>
          <w:rStyle w:val="FootnoteReference"/>
        </w:rPr>
        <w:footnoteRef/>
      </w:r>
      <w:hyperlink r:id="rId47" w:history="1">
        <w:r w:rsidRPr="009645EF">
          <w:rPr>
            <w:rStyle w:val="Hyperlink"/>
          </w:rPr>
          <w:t>ANZCA Minimum safe facilities</w:t>
        </w:r>
      </w:hyperlink>
      <w:r>
        <w:t xml:space="preserve"> &lt;</w:t>
      </w:r>
      <w:r w:rsidRPr="006B68CE">
        <w:t>https://www.anzca.edu.au/</w:t>
      </w:r>
      <w:r w:rsidR="00A12098" w:rsidRPr="00A12098">
        <w:t>safety-advocacy</w:t>
      </w:r>
      <w:r w:rsidRPr="006B68CE">
        <w:t>/standards</w:t>
      </w:r>
      <w:r w:rsidR="00A12098" w:rsidRPr="00A12098">
        <w:t>-of-practice/policies,-statements,-and-guidelines</w:t>
      </w:r>
      <w:r>
        <w:t>&gt;.</w:t>
      </w:r>
    </w:p>
  </w:footnote>
  <w:footnote w:id="51">
    <w:p w14:paraId="7151AF1D" w14:textId="2EE643F0" w:rsidR="00281C2F" w:rsidRDefault="00281C2F" w:rsidP="00281C2F">
      <w:pPr>
        <w:pStyle w:val="FootnoteText"/>
      </w:pPr>
      <w:r>
        <w:rPr>
          <w:rStyle w:val="FootnoteReference"/>
        </w:rPr>
        <w:footnoteRef/>
      </w:r>
      <w:r>
        <w:t xml:space="preserve"> </w:t>
      </w:r>
      <w:hyperlink r:id="rId48" w:history="1">
        <w:r w:rsidRPr="009645EF">
          <w:rPr>
            <w:rStyle w:val="Hyperlink"/>
          </w:rPr>
          <w:t>ANZCA Guideline on monitoring during anaesthesia 2017</w:t>
        </w:r>
      </w:hyperlink>
      <w:r>
        <w:t xml:space="preserve"> &lt;</w:t>
      </w:r>
      <w:r w:rsidR="002A3D14" w:rsidRPr="002A3D14">
        <w:t>https://www.anzca.edu.au/safety-advocacy/standards-of-practice/policies,-statements,-and-guidelines</w:t>
      </w:r>
      <w:r>
        <w:t xml:space="preserve">&gt;. </w:t>
      </w:r>
    </w:p>
  </w:footnote>
  <w:footnote w:id="52">
    <w:p w14:paraId="65B7EBF6" w14:textId="7F64E0D3" w:rsidR="00281C2F" w:rsidRDefault="00281C2F" w:rsidP="00281C2F">
      <w:pPr>
        <w:pStyle w:val="FootnoteText"/>
      </w:pPr>
      <w:r>
        <w:rPr>
          <w:rStyle w:val="FootnoteReference"/>
        </w:rPr>
        <w:footnoteRef/>
      </w:r>
      <w:r>
        <w:t xml:space="preserve"> </w:t>
      </w:r>
      <w:hyperlink r:id="rId49" w:history="1">
        <w:r w:rsidRPr="009645EF">
          <w:rPr>
            <w:rStyle w:val="Hyperlink"/>
          </w:rPr>
          <w:t>ANZCA Anaesthesia machine safety</w:t>
        </w:r>
      </w:hyperlink>
      <w:r>
        <w:t xml:space="preserve"> &lt;</w:t>
      </w:r>
      <w:r w:rsidR="002A3D14" w:rsidRPr="002A3D14">
        <w:t>https://www.anzca.edu.au/safety-advocacy/standards-of-practice/policies,-statements,-and-guidelines</w:t>
      </w:r>
      <w:r>
        <w:t>&gt;.</w:t>
      </w:r>
    </w:p>
  </w:footnote>
  <w:footnote w:id="53">
    <w:p w14:paraId="5BE42318" w14:textId="436FFB4B" w:rsidR="00281C2F" w:rsidRDefault="00281C2F" w:rsidP="00281C2F">
      <w:pPr>
        <w:pStyle w:val="FootnoteText"/>
      </w:pPr>
      <w:r>
        <w:rPr>
          <w:rStyle w:val="FootnoteReference"/>
        </w:rPr>
        <w:footnoteRef/>
      </w:r>
      <w:r>
        <w:t xml:space="preserve"> </w:t>
      </w:r>
      <w:hyperlink r:id="rId50" w:history="1">
        <w:r w:rsidRPr="009645EF">
          <w:rPr>
            <w:rStyle w:val="Hyperlink"/>
          </w:rPr>
          <w:t>ANZCA Checking anaesthesia delivery systems</w:t>
        </w:r>
      </w:hyperlink>
      <w:r>
        <w:t xml:space="preserve"> &lt;</w:t>
      </w:r>
      <w:r w:rsidRPr="00922E50">
        <w:t>https://www.anzca.edu.au/</w:t>
      </w:r>
      <w:r w:rsidR="00112743" w:rsidRPr="00112743">
        <w:t>safety-advocacy/standards-of-practice/policies,-statements,-and-</w:t>
      </w:r>
      <w:r w:rsidRPr="00922E50">
        <w:t>guidelines</w:t>
      </w:r>
      <w:r>
        <w:t>&gt;.</w:t>
      </w:r>
    </w:p>
  </w:footnote>
  <w:footnote w:id="54">
    <w:p w14:paraId="5A232AAE" w14:textId="33A3A972" w:rsidR="00281C2F" w:rsidRDefault="00281C2F" w:rsidP="00281C2F">
      <w:pPr>
        <w:pStyle w:val="FootnoteText"/>
      </w:pPr>
      <w:r>
        <w:rPr>
          <w:rStyle w:val="FootnoteReference"/>
        </w:rPr>
        <w:footnoteRef/>
      </w:r>
      <w:r>
        <w:t xml:space="preserve"> </w:t>
      </w:r>
      <w:hyperlink r:id="rId51" w:history="1">
        <w:r w:rsidRPr="00396EDE">
          <w:rPr>
            <w:rStyle w:val="Hyperlink"/>
          </w:rPr>
          <w:t>ANZCA Difficult airway equipment</w:t>
        </w:r>
      </w:hyperlink>
      <w:r>
        <w:t xml:space="preserve"> &lt;</w:t>
      </w:r>
      <w:r w:rsidRPr="004707AA">
        <w:t>https://www.anzca.edu.au/</w:t>
      </w:r>
      <w:r w:rsidR="00C93E33" w:rsidRPr="00C93E33">
        <w:t>safety-advocacy/standards-of-practice/policies,-statements,-and-</w:t>
      </w:r>
      <w:r w:rsidRPr="004707AA">
        <w:t>guidelines</w:t>
      </w:r>
      <w:r>
        <w:t xml:space="preserve">&gt;. </w:t>
      </w:r>
    </w:p>
  </w:footnote>
  <w:footnote w:id="55">
    <w:p w14:paraId="122942AF" w14:textId="1F0823D0" w:rsidR="00281C2F" w:rsidRDefault="00281C2F" w:rsidP="00281C2F">
      <w:pPr>
        <w:pStyle w:val="FootnoteText"/>
      </w:pPr>
      <w:r>
        <w:rPr>
          <w:rStyle w:val="FootnoteReference"/>
        </w:rPr>
        <w:footnoteRef/>
      </w:r>
      <w:r>
        <w:t xml:space="preserve"> </w:t>
      </w:r>
      <w:hyperlink r:id="rId52" w:history="1">
        <w:r w:rsidRPr="00396EDE">
          <w:rPr>
            <w:rStyle w:val="Hyperlink"/>
          </w:rPr>
          <w:t>Virtual Care Operational Framework</w:t>
        </w:r>
      </w:hyperlink>
      <w:r>
        <w:t xml:space="preserve"> &lt;</w:t>
      </w:r>
      <w:r w:rsidRPr="0059467F">
        <w:t>https://www.health.vic.gov.au/virtual-care-operational-framework/virtual-care-operating-framework</w:t>
      </w:r>
      <w:r>
        <w:t xml:space="preserve">&gt;. </w:t>
      </w:r>
    </w:p>
  </w:footnote>
  <w:footnote w:id="56">
    <w:p w14:paraId="53EFF583" w14:textId="06AE9CAF" w:rsidR="00281C2F" w:rsidRDefault="00281C2F" w:rsidP="00281C2F">
      <w:pPr>
        <w:pStyle w:val="FootnoteText"/>
      </w:pPr>
      <w:r>
        <w:rPr>
          <w:rStyle w:val="FootnoteReference"/>
        </w:rPr>
        <w:footnoteRef/>
      </w:r>
      <w:r>
        <w:t xml:space="preserve"> </w:t>
      </w:r>
      <w:hyperlink r:id="rId53" w:history="1">
        <w:r w:rsidRPr="00396EDE">
          <w:rPr>
            <w:rStyle w:val="Hyperlink"/>
          </w:rPr>
          <w:t>Health Planning Units (Operating Unit)</w:t>
        </w:r>
      </w:hyperlink>
      <w:r>
        <w:t xml:space="preserve"> &lt;</w:t>
      </w:r>
      <w:r w:rsidRPr="000B5811">
        <w:t>https://</w:t>
      </w:r>
      <w:r w:rsidR="00BB55D7" w:rsidRPr="00BB55D7">
        <w:t>www.healthfacilityguidelines.</w:t>
      </w:r>
      <w:r w:rsidRPr="000B5811">
        <w:t>com</w:t>
      </w:r>
      <w:r w:rsidR="00BB55D7" w:rsidRPr="00BB55D7">
        <w:t>.</w:t>
      </w:r>
      <w:r>
        <w:t>a</w:t>
      </w:r>
      <w:r w:rsidRPr="000B5811">
        <w:t>u</w:t>
      </w:r>
      <w:r w:rsidR="00BB55D7" w:rsidRPr="00BB55D7">
        <w:t>/health-planning-units</w:t>
      </w:r>
      <w:r>
        <w:t>&gt;.</w:t>
      </w:r>
    </w:p>
  </w:footnote>
  <w:footnote w:id="57">
    <w:p w14:paraId="37AA766F" w14:textId="49BBFD77" w:rsidR="00281C2F" w:rsidRDefault="00281C2F" w:rsidP="00281C2F">
      <w:pPr>
        <w:pStyle w:val="FootnoteText"/>
      </w:pPr>
      <w:r>
        <w:rPr>
          <w:rStyle w:val="FootnoteReference"/>
        </w:rPr>
        <w:footnoteRef/>
      </w:r>
      <w:r>
        <w:t xml:space="preserve"> </w:t>
      </w:r>
      <w:hyperlink r:id="rId54" w:history="1">
        <w:r w:rsidRPr="00396EDE">
          <w:rPr>
            <w:rStyle w:val="Hyperlink"/>
          </w:rPr>
          <w:t>Health Planning Units (Day Surgery/Procedure Unit)</w:t>
        </w:r>
      </w:hyperlink>
      <w:r>
        <w:t xml:space="preserve"> &lt;</w:t>
      </w:r>
      <w:r w:rsidR="00163816" w:rsidRPr="00163816">
        <w:t>https://www.healthfacilityguidelines.com.au/health-planning-units</w:t>
      </w:r>
      <w:r>
        <w:t>&gt;.</w:t>
      </w:r>
    </w:p>
  </w:footnote>
  <w:footnote w:id="58">
    <w:p w14:paraId="218E63FB" w14:textId="24D11ABC" w:rsidR="00281C2F" w:rsidRDefault="00281C2F" w:rsidP="00281C2F">
      <w:pPr>
        <w:pStyle w:val="FootnoteText"/>
      </w:pPr>
      <w:r>
        <w:rPr>
          <w:rStyle w:val="FootnoteReference"/>
        </w:rPr>
        <w:footnoteRef/>
      </w:r>
      <w:r>
        <w:t xml:space="preserve"> </w:t>
      </w:r>
      <w:hyperlink r:id="rId55" w:history="1">
        <w:r w:rsidRPr="00396EDE">
          <w:rPr>
            <w:rStyle w:val="Hyperlink"/>
          </w:rPr>
          <w:t>ANZCA PACU</w:t>
        </w:r>
      </w:hyperlink>
      <w:r>
        <w:t xml:space="preserve"> &lt;</w:t>
      </w:r>
      <w:r w:rsidR="001C65F7" w:rsidRPr="001C65F7">
        <w:t>https://www.anzca.edu.au/safety-advocacy/standards-of-practice/policies,-statements,-and-guidelines</w:t>
      </w:r>
      <w:r>
        <w:t>&gt;.</w:t>
      </w:r>
    </w:p>
  </w:footnote>
  <w:footnote w:id="59">
    <w:p w14:paraId="6E9E5DFC" w14:textId="218D37E7" w:rsidR="00281C2F" w:rsidRDefault="00281C2F" w:rsidP="00281C2F">
      <w:pPr>
        <w:pStyle w:val="FootnoteText"/>
      </w:pPr>
      <w:r>
        <w:rPr>
          <w:rStyle w:val="FootnoteReference"/>
        </w:rPr>
        <w:footnoteRef/>
      </w:r>
      <w:r>
        <w:t xml:space="preserve"> </w:t>
      </w:r>
      <w:hyperlink r:id="rId56" w:history="1">
        <w:r w:rsidRPr="00396EDE">
          <w:rPr>
            <w:rStyle w:val="Hyperlink"/>
          </w:rPr>
          <w:t>Health Planning Units</w:t>
        </w:r>
      </w:hyperlink>
      <w:r>
        <w:t xml:space="preserve"> &lt;</w:t>
      </w:r>
      <w:r w:rsidRPr="002D3231">
        <w:t>https://healthfacilityguidelines.com.au/health-planning-units</w:t>
      </w:r>
      <w:r>
        <w:t xml:space="preserve">&gt;. </w:t>
      </w:r>
    </w:p>
  </w:footnote>
  <w:footnote w:id="60">
    <w:p w14:paraId="4C888987" w14:textId="439BA33F" w:rsidR="00281C2F" w:rsidRDefault="00281C2F" w:rsidP="00281C2F">
      <w:pPr>
        <w:pStyle w:val="FootnoteText"/>
      </w:pPr>
      <w:r>
        <w:rPr>
          <w:rStyle w:val="FootnoteReference"/>
        </w:rPr>
        <w:footnoteRef/>
      </w:r>
      <w:r>
        <w:t xml:space="preserve"> </w:t>
      </w:r>
      <w:hyperlink r:id="rId57" w:history="1">
        <w:r w:rsidRPr="00396EDE">
          <w:rPr>
            <w:rStyle w:val="Hyperlink"/>
          </w:rPr>
          <w:t>ANZCA PS37 Local Anaesthesia</w:t>
        </w:r>
      </w:hyperlink>
      <w:r>
        <w:t xml:space="preserve"> &lt;</w:t>
      </w:r>
      <w:r w:rsidR="00B045FE" w:rsidRPr="00B045FE">
        <w:t>https://www.anzca.edu.au/safety-advocacy/standards-of-practice/policies,-statements,-and-guidelines</w:t>
      </w:r>
      <w:r>
        <w:t>&gt;.</w:t>
      </w:r>
    </w:p>
  </w:footnote>
  <w:footnote w:id="61">
    <w:p w14:paraId="2D10D8FC" w14:textId="45E5D1D7" w:rsidR="00281C2F" w:rsidRDefault="00281C2F" w:rsidP="00281C2F">
      <w:pPr>
        <w:pStyle w:val="FootnoteText"/>
      </w:pPr>
      <w:r>
        <w:rPr>
          <w:rStyle w:val="FootnoteReference"/>
        </w:rPr>
        <w:footnoteRef/>
      </w:r>
      <w:r>
        <w:t xml:space="preserve"> </w:t>
      </w:r>
      <w:hyperlink r:id="rId58" w:history="1">
        <w:r w:rsidRPr="00396EDE">
          <w:rPr>
            <w:rStyle w:val="Hyperlink"/>
          </w:rPr>
          <w:t>ANZCA PS08: Assistant for anaesthetist BP</w:t>
        </w:r>
      </w:hyperlink>
      <w:r>
        <w:t xml:space="preserve"> &lt;</w:t>
      </w:r>
      <w:r w:rsidR="00EE25A9" w:rsidRPr="00EE25A9">
        <w:t>https://www.anzca.edu.au/safety-advocacy/standards-of-practice/policies,-statements,-and-guidelines</w:t>
      </w:r>
      <w:r>
        <w:t>&gt;.</w:t>
      </w:r>
    </w:p>
  </w:footnote>
  <w:footnote w:id="62">
    <w:p w14:paraId="7A610652" w14:textId="77777777" w:rsidR="00281C2F" w:rsidRDefault="00281C2F" w:rsidP="00281C2F">
      <w:pPr>
        <w:pStyle w:val="FootnoteText"/>
      </w:pPr>
      <w:r>
        <w:rPr>
          <w:rStyle w:val="FootnoteReference"/>
        </w:rPr>
        <w:footnoteRef/>
      </w:r>
      <w:r>
        <w:t xml:space="preserve"> Including nurse practitioners, a nurse consultant in stomal care, continence, wound management, and a nurse endoscopist/cystoscopist. </w:t>
      </w:r>
    </w:p>
  </w:footnote>
  <w:footnote w:id="63">
    <w:p w14:paraId="773C82A1" w14:textId="422D2341" w:rsidR="00281C2F" w:rsidRDefault="00281C2F" w:rsidP="00281C2F">
      <w:pPr>
        <w:pStyle w:val="FootnoteText"/>
      </w:pPr>
      <w:r>
        <w:rPr>
          <w:rStyle w:val="FootnoteReference"/>
        </w:rPr>
        <w:footnoteRef/>
      </w:r>
      <w:r>
        <w:t xml:space="preserve"> </w:t>
      </w:r>
      <w:hyperlink r:id="rId59" w:anchor="Policies" w:history="1">
        <w:r w:rsidRPr="00396EDE">
          <w:rPr>
            <w:rStyle w:val="Hyperlink"/>
          </w:rPr>
          <w:t>Minimum Standards for ICUs</w:t>
        </w:r>
      </w:hyperlink>
      <w:r>
        <w:t xml:space="preserve"> &lt;</w:t>
      </w:r>
      <w:r w:rsidR="00D15C2B" w:rsidRPr="00D15C2B">
        <w:t>https://www.cicm.org.au/Resources/Professional-Documents#Policies</w:t>
      </w:r>
      <w:r>
        <w:t>&gt;.</w:t>
      </w:r>
    </w:p>
  </w:footnote>
  <w:footnote w:id="64">
    <w:p w14:paraId="676C4AA7" w14:textId="35330E69" w:rsidR="00281C2F" w:rsidRDefault="00281C2F" w:rsidP="00281C2F">
      <w:pPr>
        <w:pStyle w:val="FootnoteText"/>
      </w:pPr>
      <w:r>
        <w:rPr>
          <w:rStyle w:val="FootnoteReference"/>
        </w:rPr>
        <w:footnoteRef/>
      </w:r>
      <w:r>
        <w:t xml:space="preserve"> </w:t>
      </w:r>
      <w:hyperlink r:id="rId60" w:history="1">
        <w:r w:rsidRPr="00396EDE">
          <w:rPr>
            <w:rStyle w:val="Hyperlink"/>
          </w:rPr>
          <w:t>ANZCA Pre-anaesthesia consultation</w:t>
        </w:r>
      </w:hyperlink>
      <w:r>
        <w:t xml:space="preserve"> &lt;</w:t>
      </w:r>
      <w:r w:rsidR="00B90B84" w:rsidRPr="00B90B84">
        <w:t>https://www.anzca.edu.au/safety-advocacy/standards-of-practice/policies,-statements,-and-guidelines</w:t>
      </w:r>
      <w:r>
        <w:t>&gt;.</w:t>
      </w:r>
    </w:p>
  </w:footnote>
  <w:footnote w:id="65">
    <w:p w14:paraId="4078E5B9" w14:textId="63365878" w:rsidR="00281C2F" w:rsidRDefault="00281C2F" w:rsidP="00281C2F">
      <w:pPr>
        <w:pStyle w:val="FootnoteText"/>
      </w:pPr>
      <w:r>
        <w:rPr>
          <w:rStyle w:val="FootnoteReference"/>
        </w:rPr>
        <w:footnoteRef/>
      </w:r>
      <w:r>
        <w:t xml:space="preserve"> </w:t>
      </w:r>
      <w:hyperlink r:id="rId61" w:history="1">
        <w:r w:rsidRPr="00396EDE">
          <w:rPr>
            <w:rStyle w:val="Hyperlink"/>
          </w:rPr>
          <w:t>ANZCA PS37: Local Anaesthesia</w:t>
        </w:r>
      </w:hyperlink>
      <w:r>
        <w:t xml:space="preserve"> &lt;</w:t>
      </w:r>
      <w:r w:rsidR="00E70207" w:rsidRPr="00E70207">
        <w:t>https://www.anzca.edu.au/safety-advocacy/standards-of-practice/policies,-statements,-and-guidelines</w:t>
      </w:r>
      <w:r>
        <w:t>&gt;.</w:t>
      </w:r>
    </w:p>
  </w:footnote>
  <w:footnote w:id="66">
    <w:p w14:paraId="7911CA1D" w14:textId="75035B98" w:rsidR="00281C2F" w:rsidRDefault="00281C2F" w:rsidP="00281C2F">
      <w:pPr>
        <w:pStyle w:val="FootnoteText"/>
      </w:pPr>
      <w:r>
        <w:rPr>
          <w:rStyle w:val="FootnoteReference"/>
        </w:rPr>
        <w:footnoteRef/>
      </w:r>
      <w:r>
        <w:t xml:space="preserve"> </w:t>
      </w:r>
      <w:hyperlink r:id="rId62" w:history="1">
        <w:r w:rsidRPr="00396EDE">
          <w:rPr>
            <w:rStyle w:val="Hyperlink"/>
          </w:rPr>
          <w:t>ANZCA PS08: Assistant for anaesthetist</w:t>
        </w:r>
      </w:hyperlink>
      <w:r>
        <w:t xml:space="preserve"> &lt;</w:t>
      </w:r>
      <w:r w:rsidR="00C10EFF" w:rsidRPr="00C10EFF">
        <w:t>https://www.anzca.edu.au/safety-advocacy/standards-of-practice/policies,-statements,-and-guidelines</w:t>
      </w:r>
      <w:r>
        <w:t>&gt;.</w:t>
      </w:r>
    </w:p>
  </w:footnote>
  <w:footnote w:id="67">
    <w:p w14:paraId="3A83A78E" w14:textId="568F62DC" w:rsidR="00281C2F" w:rsidRDefault="00281C2F" w:rsidP="00281C2F">
      <w:pPr>
        <w:pStyle w:val="FootnoteText"/>
      </w:pPr>
      <w:r>
        <w:rPr>
          <w:rStyle w:val="FootnoteReference"/>
        </w:rPr>
        <w:footnoteRef/>
      </w:r>
      <w:r>
        <w:t xml:space="preserve"> </w:t>
      </w:r>
      <w:hyperlink r:id="rId63" w:history="1">
        <w:r w:rsidRPr="00396EDE">
          <w:rPr>
            <w:rStyle w:val="Hyperlink"/>
          </w:rPr>
          <w:t>ANZCA Assistant for anaesthetist</w:t>
        </w:r>
      </w:hyperlink>
      <w:r>
        <w:t xml:space="preserve"> &lt;</w:t>
      </w:r>
      <w:r w:rsidR="009F7ECB" w:rsidRPr="009F7ECB">
        <w:t>https://www.anzca.edu.au/safety-advocacy/standards-of-practice/policies,-statements,-and-guidelines</w:t>
      </w:r>
      <w:r>
        <w:t>&gt;</w:t>
      </w:r>
    </w:p>
  </w:footnote>
  <w:footnote w:id="68">
    <w:p w14:paraId="67BFD783" w14:textId="6AF9703C" w:rsidR="00281C2F" w:rsidRDefault="00281C2F" w:rsidP="00281C2F">
      <w:pPr>
        <w:pStyle w:val="FootnoteText"/>
      </w:pPr>
      <w:r>
        <w:rPr>
          <w:rStyle w:val="FootnoteReference"/>
        </w:rPr>
        <w:footnoteRef/>
      </w:r>
      <w:r>
        <w:t xml:space="preserve"> </w:t>
      </w:r>
      <w:hyperlink r:id="rId64" w:history="1">
        <w:r w:rsidRPr="00396EDE">
          <w:rPr>
            <w:rStyle w:val="Hyperlink"/>
          </w:rPr>
          <w:t>ANZCA Anaesthesia in children</w:t>
        </w:r>
      </w:hyperlink>
      <w:r>
        <w:t xml:space="preserve"> &lt;</w:t>
      </w:r>
      <w:r w:rsidR="00592DBE" w:rsidRPr="00592DBE">
        <w:t>https://www.anzca.edu.au/safety-advocacy/standards-of-practice/policies,-statements,-and-guidelines</w:t>
      </w:r>
      <w:r>
        <w:t>&gt;</w:t>
      </w:r>
    </w:p>
  </w:footnote>
  <w:footnote w:id="69">
    <w:p w14:paraId="45BBB021" w14:textId="4E23D8AF" w:rsidR="00281C2F" w:rsidRDefault="00281C2F" w:rsidP="00281C2F">
      <w:pPr>
        <w:pStyle w:val="FootnoteText"/>
      </w:pPr>
      <w:r>
        <w:rPr>
          <w:rStyle w:val="FootnoteReference"/>
        </w:rPr>
        <w:footnoteRef/>
      </w:r>
      <w:r>
        <w:t xml:space="preserve"> </w:t>
      </w:r>
      <w:hyperlink r:id="rId65" w:anchor="Policies" w:history="1">
        <w:r w:rsidRPr="00396EDE">
          <w:rPr>
            <w:rStyle w:val="Hyperlink"/>
          </w:rPr>
          <w:t>College of Intensive Care Medicine of Australia and New Zealand</w:t>
        </w:r>
      </w:hyperlink>
      <w:r>
        <w:t xml:space="preserve"> &lt;</w:t>
      </w:r>
      <w:r w:rsidR="00DE5ED0" w:rsidRPr="00DE5ED0">
        <w:t>https://www.cicm.org.au/Resources/Professional-Documents#Policies</w:t>
      </w:r>
      <w:r>
        <w:t>&gt;</w:t>
      </w:r>
    </w:p>
  </w:footnote>
  <w:footnote w:id="70">
    <w:p w14:paraId="4C60BF46" w14:textId="611ECDEC" w:rsidR="00281C2F" w:rsidRDefault="00281C2F" w:rsidP="00281C2F">
      <w:pPr>
        <w:pStyle w:val="FootnoteText"/>
      </w:pPr>
      <w:r>
        <w:rPr>
          <w:rStyle w:val="FootnoteReference"/>
        </w:rPr>
        <w:footnoteRef/>
      </w:r>
      <w:r>
        <w:t xml:space="preserve"> </w:t>
      </w:r>
      <w:hyperlink r:id="rId66" w:anchor="Policies" w:history="1">
        <w:r w:rsidRPr="00396EDE">
          <w:rPr>
            <w:rStyle w:val="Hyperlink"/>
          </w:rPr>
          <w:t>College of Intensive Care Medicine. Minimum standards for intensive care unit based rapid response systems. 2017</w:t>
        </w:r>
      </w:hyperlink>
      <w:r>
        <w:t xml:space="preserve"> &lt;</w:t>
      </w:r>
      <w:r w:rsidR="001B4318" w:rsidRPr="001B4318">
        <w:t>https://www.cicm.org.au/Resources/Professional-Documents#Policies</w:t>
      </w:r>
      <w:r>
        <w:t>&gt;</w:t>
      </w:r>
    </w:p>
  </w:footnote>
  <w:footnote w:id="71">
    <w:p w14:paraId="7ED8B4CB" w14:textId="4F4541EC" w:rsidR="00584C90" w:rsidRDefault="00584C90">
      <w:pPr>
        <w:pStyle w:val="FootnoteText"/>
      </w:pPr>
      <w:r>
        <w:rPr>
          <w:rStyle w:val="FootnoteReference"/>
        </w:rPr>
        <w:footnoteRef/>
      </w:r>
      <w:r>
        <w:t xml:space="preserve"> </w:t>
      </w:r>
      <w:hyperlink r:id="rId67" w:history="1">
        <w:r w:rsidR="00524088" w:rsidRPr="00396EDE">
          <w:rPr>
            <w:rStyle w:val="Hyperlink"/>
          </w:rPr>
          <w:t>Department of Health</w:t>
        </w:r>
        <w:r w:rsidR="00870FD7" w:rsidRPr="00396EDE">
          <w:rPr>
            <w:rStyle w:val="Hyperlink"/>
          </w:rPr>
          <w:t xml:space="preserve"> Planned Surgery Access Policy</w:t>
        </w:r>
        <w:r w:rsidR="00524088" w:rsidRPr="00396EDE">
          <w:rPr>
            <w:rStyle w:val="Hyperlink"/>
          </w:rPr>
          <w:t> 2024</w:t>
        </w:r>
      </w:hyperlink>
      <w:r w:rsidR="00870FD7" w:rsidRPr="00344D6F">
        <w:t xml:space="preserve"> &lt;</w:t>
      </w:r>
      <w:r w:rsidR="005C4F9A" w:rsidRPr="00344D6F">
        <w:t>https://www.health.vic.gov.au/patient-care/surgical-services-policies-and-guides&gt;</w:t>
      </w:r>
    </w:p>
  </w:footnote>
  <w:footnote w:id="72">
    <w:p w14:paraId="3696BFBD" w14:textId="5FB2CE6A" w:rsidR="00281C2F" w:rsidRDefault="00281C2F" w:rsidP="00281C2F">
      <w:pPr>
        <w:pStyle w:val="FootnoteText"/>
      </w:pPr>
      <w:r>
        <w:rPr>
          <w:rStyle w:val="FootnoteReference"/>
        </w:rPr>
        <w:footnoteRef/>
      </w:r>
      <w:r>
        <w:t xml:space="preserve"> </w:t>
      </w:r>
      <w:hyperlink r:id="rId68" w:history="1">
        <w:r w:rsidRPr="00396EDE">
          <w:rPr>
            <w:rStyle w:val="Hyperlink"/>
            <w:szCs w:val="18"/>
          </w:rPr>
          <w:t>ANZCA – Assistant for anaesthetist</w:t>
        </w:r>
      </w:hyperlink>
      <w:r>
        <w:rPr>
          <w:szCs w:val="18"/>
        </w:rPr>
        <w:t xml:space="preserve"> &lt;</w:t>
      </w:r>
      <w:r w:rsidR="000545BE" w:rsidRPr="000545BE">
        <w:rPr>
          <w:szCs w:val="18"/>
        </w:rPr>
        <w:t>https://www.anzca.edu.au/safety-advocacy/standards-of-practice/policies,-statements,-and-guidelines</w:t>
      </w:r>
      <w:r w:rsidRPr="00005EFF">
        <w:rPr>
          <w:szCs w:val="18"/>
        </w:rPr>
        <w:t>&gt;</w:t>
      </w:r>
      <w:r>
        <w:rPr>
          <w:rFonts w:ascii="Calibri" w:hAnsi="Calibri" w:cs="Calibri"/>
          <w:szCs w:val="18"/>
        </w:rPr>
        <w:t>.</w:t>
      </w:r>
    </w:p>
  </w:footnote>
  <w:footnote w:id="73">
    <w:p w14:paraId="5046914C" w14:textId="34B2B7E0" w:rsidR="00281C2F" w:rsidRDefault="00281C2F" w:rsidP="00281C2F">
      <w:pPr>
        <w:pStyle w:val="FootnoteText"/>
      </w:pPr>
      <w:r>
        <w:rPr>
          <w:rStyle w:val="FootnoteReference"/>
        </w:rPr>
        <w:footnoteRef/>
      </w:r>
      <w:r>
        <w:t xml:space="preserve"> </w:t>
      </w:r>
      <w:hyperlink r:id="rId69" w:history="1">
        <w:r w:rsidRPr="00396EDE">
          <w:rPr>
            <w:rStyle w:val="Hyperlink"/>
          </w:rPr>
          <w:t>Credentialing and scope of clinical practice</w:t>
        </w:r>
      </w:hyperlink>
      <w:r>
        <w:t xml:space="preserve"> &lt;</w:t>
      </w:r>
      <w:r w:rsidRPr="001C041B">
        <w:t>https://www.safercare.vic.gov.au/publications/credentialing-and-scope-of-clinical-practice-for-senior-medical-practitioners-policy</w:t>
      </w:r>
      <w:r>
        <w:t>&gt;</w:t>
      </w:r>
    </w:p>
  </w:footnote>
  <w:footnote w:id="74">
    <w:p w14:paraId="3E40F012" w14:textId="43181873" w:rsidR="00281C2F" w:rsidRDefault="00281C2F" w:rsidP="00281C2F">
      <w:pPr>
        <w:pStyle w:val="FootnoteText"/>
      </w:pPr>
      <w:r>
        <w:rPr>
          <w:rStyle w:val="FootnoteReference"/>
        </w:rPr>
        <w:footnoteRef/>
      </w:r>
      <w:r>
        <w:t xml:space="preserve"> </w:t>
      </w:r>
      <w:hyperlink r:id="rId70" w:history="1">
        <w:r w:rsidRPr="00396EDE">
          <w:rPr>
            <w:rStyle w:val="Hyperlink"/>
          </w:rPr>
          <w:t>Centre for Culture, Ethnicity and Health 2012, A Framework for Cultural Competence, Centre for Culture, Ethnicity and Health, North Richmond</w:t>
        </w:r>
      </w:hyperlink>
      <w:r w:rsidRPr="00546B69">
        <w:t xml:space="preserve"> </w:t>
      </w:r>
      <w:r>
        <w:t>&lt;</w:t>
      </w:r>
      <w:r w:rsidRPr="00546B69">
        <w:t>https://www.ceh.org.au/wp-content/uploads/2015/12/CC1_A-framework-for-cultural-competence.pdf</w:t>
      </w:r>
      <w:r>
        <w:t>&gt;.</w:t>
      </w:r>
    </w:p>
  </w:footnote>
  <w:footnote w:id="75">
    <w:p w14:paraId="5C46A5C0" w14:textId="1A814A9B" w:rsidR="00281C2F" w:rsidRPr="00120671" w:rsidRDefault="00281C2F" w:rsidP="00281C2F">
      <w:pPr>
        <w:pStyle w:val="FootnoteText"/>
        <w:rPr>
          <w:rFonts w:eastAsia="Times New Roman"/>
          <w:color w:val="000000" w:themeColor="text1"/>
          <w:szCs w:val="18"/>
          <w:lang w:eastAsia="en-AU"/>
        </w:rPr>
      </w:pPr>
      <w:r>
        <w:rPr>
          <w:rStyle w:val="FootnoteReference"/>
        </w:rPr>
        <w:footnoteRef/>
      </w:r>
      <w:r>
        <w:t xml:space="preserve"> </w:t>
      </w:r>
      <w:hyperlink r:id="rId71" w:history="1">
        <w:r w:rsidRPr="00396EDE">
          <w:rPr>
            <w:rStyle w:val="Hyperlink"/>
            <w:rFonts w:eastAsia="Times New Roman"/>
            <w:szCs w:val="18"/>
            <w:lang w:eastAsia="en-AU"/>
          </w:rPr>
          <w:t xml:space="preserve">RACS position paper </w:t>
        </w:r>
        <w:r w:rsidRPr="00396EDE">
          <w:rPr>
            <w:rStyle w:val="Hyperlink"/>
            <w:rFonts w:eastAsia="Times New Roman"/>
            <w:i/>
            <w:iCs/>
            <w:szCs w:val="18"/>
            <w:lang w:eastAsia="en-AU"/>
          </w:rPr>
          <w:t>Day surgery in Australia 2017</w:t>
        </w:r>
      </w:hyperlink>
      <w:r>
        <w:rPr>
          <w:color w:val="000000" w:themeColor="text1"/>
          <w:sz w:val="20"/>
          <w:szCs w:val="20"/>
          <w:lang w:eastAsia="en-AU"/>
        </w:rPr>
        <w:t xml:space="preserve"> </w:t>
      </w:r>
      <w:r w:rsidRPr="00120671">
        <w:rPr>
          <w:rFonts w:eastAsia="Times New Roman"/>
          <w:color w:val="000000" w:themeColor="text1"/>
          <w:szCs w:val="18"/>
          <w:lang w:eastAsia="en-AU"/>
        </w:rPr>
        <w:t>&lt;</w:t>
      </w:r>
      <w:r w:rsidRPr="00820844">
        <w:rPr>
          <w:rFonts w:eastAsia="Times New Roman"/>
          <w:color w:val="000000" w:themeColor="text1"/>
          <w:szCs w:val="18"/>
          <w:lang w:eastAsia="en-AU"/>
        </w:rPr>
        <w:t>https://www.surgeons.org/about-racs/position-papers/day-surgery-in-australia-2017</w:t>
      </w:r>
      <w:r w:rsidRPr="00120671">
        <w:rPr>
          <w:rFonts w:eastAsia="Times New Roman"/>
          <w:color w:val="000000" w:themeColor="text1"/>
          <w:szCs w:val="18"/>
          <w:lang w:eastAsia="en-AU"/>
        </w:rPr>
        <w:t>&gt;</w:t>
      </w:r>
      <w:r>
        <w:rPr>
          <w:rFonts w:eastAsia="Times New Roman"/>
          <w:color w:val="000000" w:themeColor="text1"/>
          <w:szCs w:val="18"/>
          <w:lang w:eastAsia="en-AU"/>
        </w:rPr>
        <w:t>.</w:t>
      </w:r>
    </w:p>
  </w:footnote>
  <w:footnote w:id="76">
    <w:p w14:paraId="1D518DF8" w14:textId="7F6C8D53" w:rsidR="00281C2F" w:rsidRDefault="00281C2F" w:rsidP="00281C2F">
      <w:pPr>
        <w:pStyle w:val="FootnoteText"/>
      </w:pPr>
      <w:r>
        <w:rPr>
          <w:rStyle w:val="FootnoteReference"/>
        </w:rPr>
        <w:footnoteRef/>
      </w:r>
      <w:r>
        <w:t xml:space="preserve"> </w:t>
      </w:r>
      <w:hyperlink r:id="rId72" w:history="1">
        <w:r w:rsidRPr="00396EDE">
          <w:rPr>
            <w:rStyle w:val="Hyperlink"/>
          </w:rPr>
          <w:t>ANZCA – Day stay patients</w:t>
        </w:r>
      </w:hyperlink>
      <w:r>
        <w:t xml:space="preserve"> &lt;</w:t>
      </w:r>
      <w:r w:rsidRPr="00EE52DA">
        <w:t>https://www.anzca.edu.au/resources/professional-documents/guidelines/ps15-guidelines-for-the-perioperative-care-of-pati</w:t>
      </w:r>
      <w:r>
        <w:t>&gt;.</w:t>
      </w:r>
    </w:p>
  </w:footnote>
  <w:footnote w:id="77">
    <w:p w14:paraId="5CC0270D" w14:textId="14912229" w:rsidR="00281C2F" w:rsidRDefault="00281C2F" w:rsidP="00281C2F">
      <w:pPr>
        <w:pStyle w:val="FootnoteText"/>
      </w:pPr>
      <w:r>
        <w:rPr>
          <w:rStyle w:val="FootnoteReference"/>
        </w:rPr>
        <w:footnoteRef/>
      </w:r>
      <w:r>
        <w:t xml:space="preserve"> </w:t>
      </w:r>
      <w:hyperlink r:id="rId73" w:history="1">
        <w:r w:rsidRPr="00396EDE">
          <w:rPr>
            <w:rStyle w:val="Hyperlink"/>
          </w:rPr>
          <w:t>Health Services Act 1988</w:t>
        </w:r>
      </w:hyperlink>
      <w:r>
        <w:t xml:space="preserve"> &lt;</w:t>
      </w:r>
      <w:r w:rsidRPr="00B04583">
        <w:t>https://www.legislation.vic.gov.au/in-force/acts/health-services-act-1988/167</w:t>
      </w:r>
      <w:r>
        <w:t>&gt;.</w:t>
      </w:r>
    </w:p>
  </w:footnote>
  <w:footnote w:id="78">
    <w:p w14:paraId="52A71442" w14:textId="5F8F5985" w:rsidR="00281C2F" w:rsidRDefault="00281C2F" w:rsidP="00281C2F">
      <w:pPr>
        <w:pStyle w:val="FootnoteText"/>
      </w:pPr>
      <w:r>
        <w:rPr>
          <w:rStyle w:val="FootnoteReference"/>
        </w:rPr>
        <w:footnoteRef/>
      </w:r>
      <w:r>
        <w:t xml:space="preserve"> </w:t>
      </w:r>
      <w:hyperlink r:id="rId74" w:history="1">
        <w:r w:rsidRPr="00396EDE">
          <w:rPr>
            <w:rStyle w:val="Hyperlink"/>
          </w:rPr>
          <w:t>Preventing and Controlling Infections Standard</w:t>
        </w:r>
      </w:hyperlink>
      <w:r>
        <w:t xml:space="preserve"> &lt;</w:t>
      </w:r>
      <w:r w:rsidRPr="00436DE8">
        <w:t>https://www.safetyandquality.gov.au/standards/nsqhs-standards/preventing-and-controlling-infections-standard</w:t>
      </w:r>
      <w:r>
        <w:t>&gt;.</w:t>
      </w:r>
    </w:p>
  </w:footnote>
  <w:footnote w:id="79">
    <w:p w14:paraId="6EC10F73" w14:textId="47EEC46C" w:rsidR="00281C2F" w:rsidRDefault="00281C2F" w:rsidP="00281C2F">
      <w:pPr>
        <w:pStyle w:val="FootnoteText"/>
      </w:pPr>
      <w:r>
        <w:rPr>
          <w:rStyle w:val="FootnoteReference"/>
        </w:rPr>
        <w:footnoteRef/>
      </w:r>
      <w:r>
        <w:t xml:space="preserve"> </w:t>
      </w:r>
      <w:hyperlink r:id="rId75" w:history="1">
        <w:r w:rsidRPr="00396EDE">
          <w:rPr>
            <w:rStyle w:val="Hyperlink"/>
          </w:rPr>
          <w:t>Medical Specialties and Specialty Fields</w:t>
        </w:r>
      </w:hyperlink>
      <w:r>
        <w:t xml:space="preserve"> &lt;</w:t>
      </w:r>
      <w:r w:rsidRPr="00966A7B">
        <w:t>https://www.medicalboard.gov.au/registration/types/specialist-registration/medical-specialties-and-specialty-fields.aspx</w:t>
      </w:r>
      <w:r>
        <w:t>&gt;.</w:t>
      </w:r>
    </w:p>
  </w:footnote>
  <w:footnote w:id="80">
    <w:p w14:paraId="7F7AA90F" w14:textId="5102E322" w:rsidR="00281C2F" w:rsidRDefault="00281C2F" w:rsidP="00281C2F">
      <w:pPr>
        <w:pStyle w:val="FootnoteText"/>
      </w:pPr>
      <w:r>
        <w:rPr>
          <w:rStyle w:val="FootnoteReference"/>
        </w:rPr>
        <w:footnoteRef/>
      </w:r>
      <w:r>
        <w:t xml:space="preserve"> </w:t>
      </w:r>
      <w:hyperlink r:id="rId76" w:history="1">
        <w:r w:rsidRPr="00396EDE">
          <w:rPr>
            <w:rStyle w:val="Hyperlink"/>
          </w:rPr>
          <w:t>Credentialing and scope of clinical practice for senior medical practitioners policy, Safer Care Victoria</w:t>
        </w:r>
      </w:hyperlink>
      <w:r>
        <w:t xml:space="preserve"> &lt;</w:t>
      </w:r>
      <w:r w:rsidRPr="00B93011">
        <w:t>https://www.safercare.vic.gov.au/</w:t>
      </w:r>
      <w:r w:rsidR="00AA19F7">
        <w:t>best-practice-improvement/</w:t>
      </w:r>
      <w:r w:rsidRPr="00B93011">
        <w:t>publications/credentialing-and-scope-of-clinical-practice-for-senior-medical-practitioners-policy</w:t>
      </w:r>
      <w:r>
        <w:t xml:space="preserve">&gt;. </w:t>
      </w:r>
    </w:p>
  </w:footnote>
  <w:footnote w:id="81">
    <w:p w14:paraId="1FB48F13" w14:textId="4B641D66" w:rsidR="00281C2F" w:rsidRDefault="00281C2F" w:rsidP="00281C2F">
      <w:pPr>
        <w:pStyle w:val="FootnoteText"/>
      </w:pPr>
      <w:r>
        <w:rPr>
          <w:rStyle w:val="FootnoteReference"/>
        </w:rPr>
        <w:footnoteRef/>
      </w:r>
      <w:r>
        <w:t xml:space="preserve"> </w:t>
      </w:r>
      <w:hyperlink r:id="rId77" w:history="1">
        <w:r w:rsidRPr="00396EDE">
          <w:rPr>
            <w:rStyle w:val="Hyperlink"/>
          </w:rPr>
          <w:t>Glossary</w:t>
        </w:r>
      </w:hyperlink>
      <w:r>
        <w:t xml:space="preserve"> &lt;</w:t>
      </w:r>
      <w:r w:rsidRPr="007005A9">
        <w:t>https://www.aihw.gov.au/reports-data/myhospitals/content/glossary</w:t>
      </w:r>
      <w:r>
        <w:t>&gt;.</w:t>
      </w:r>
    </w:p>
  </w:footnote>
  <w:footnote w:id="82">
    <w:p w14:paraId="6CE191A8" w14:textId="2FD873A3" w:rsidR="00281C2F" w:rsidRDefault="00281C2F" w:rsidP="00281C2F">
      <w:pPr>
        <w:pStyle w:val="FootnoteText"/>
        <w:rPr>
          <w:iCs/>
        </w:rPr>
      </w:pPr>
      <w:r>
        <w:rPr>
          <w:rStyle w:val="FootnoteReference"/>
        </w:rPr>
        <w:footnoteRef/>
      </w:r>
      <w:r>
        <w:t xml:space="preserve"> </w:t>
      </w:r>
      <w:hyperlink r:id="rId78" w:history="1">
        <w:r w:rsidRPr="00396EDE">
          <w:rPr>
            <w:rStyle w:val="Hyperlink"/>
          </w:rPr>
          <w:t>RACS position paper Day surgery in Australia 2017</w:t>
        </w:r>
      </w:hyperlink>
      <w:r>
        <w:t xml:space="preserve"> &lt;</w:t>
      </w:r>
      <w:r w:rsidRPr="003E5AD3">
        <w:t>https://www.surgeons.org/about-racs/position-papers/day-surgery-in-australia-2017</w:t>
      </w:r>
      <w:r>
        <w:t>&gt;.</w:t>
      </w:r>
    </w:p>
  </w:footnote>
  <w:footnote w:id="83">
    <w:p w14:paraId="249DDE5B" w14:textId="2E00BBF0" w:rsidR="00281C2F" w:rsidRDefault="00281C2F" w:rsidP="00281C2F">
      <w:pPr>
        <w:pStyle w:val="FootnoteText"/>
      </w:pPr>
      <w:r>
        <w:rPr>
          <w:rStyle w:val="FootnoteReference"/>
        </w:rPr>
        <w:footnoteRef/>
      </w:r>
      <w:r>
        <w:t xml:space="preserve"> </w:t>
      </w:r>
      <w:hyperlink r:id="rId79" w:history="1">
        <w:r w:rsidRPr="00396EDE">
          <w:rPr>
            <w:rStyle w:val="Hyperlink"/>
            <w:rFonts w:eastAsia="Times New Roman"/>
            <w:szCs w:val="18"/>
            <w:lang w:eastAsia="en-AU"/>
          </w:rPr>
          <w:t>Outreach surgery in regional rural and remote Australia and New Zealand 2015</w:t>
        </w:r>
      </w:hyperlink>
      <w:r>
        <w:rPr>
          <w:color w:val="000000" w:themeColor="text1"/>
          <w:szCs w:val="18"/>
          <w:lang w:eastAsia="en-AU"/>
        </w:rPr>
        <w:t xml:space="preserve"> &lt;</w:t>
      </w:r>
      <w:r w:rsidRPr="003F3C47">
        <w:rPr>
          <w:color w:val="000000" w:themeColor="text1"/>
          <w:szCs w:val="18"/>
          <w:lang w:eastAsia="en-AU"/>
        </w:rPr>
        <w:t>https://www.surgeons.org/about-racs/position-papers/outreach-surgery-in-regional-rural-and-remote-australia-and-new-zealand-2015</w:t>
      </w:r>
      <w:r>
        <w:rPr>
          <w:color w:val="000000" w:themeColor="text1"/>
          <w:szCs w:val="18"/>
          <w:lang w:eastAsia="en-AU"/>
        </w:rPr>
        <w:t>&gt;.</w:t>
      </w:r>
    </w:p>
  </w:footnote>
  <w:footnote w:id="84">
    <w:p w14:paraId="57681A81" w14:textId="508AD555" w:rsidR="00281C2F" w:rsidRDefault="00281C2F" w:rsidP="00281C2F">
      <w:pPr>
        <w:pStyle w:val="FootnoteText"/>
      </w:pPr>
      <w:r>
        <w:rPr>
          <w:rStyle w:val="FootnoteReference"/>
        </w:rPr>
        <w:footnoteRef/>
      </w:r>
      <w:r>
        <w:t xml:space="preserve"> </w:t>
      </w:r>
      <w:hyperlink r:id="rId80" w:history="1">
        <w:r w:rsidRPr="00396EDE">
          <w:rPr>
            <w:rStyle w:val="Hyperlink"/>
          </w:rPr>
          <w:t>Victorian Perioperative Consultative Council annual report 2021</w:t>
        </w:r>
      </w:hyperlink>
      <w:r>
        <w:t xml:space="preserve"> &lt;h</w:t>
      </w:r>
      <w:r w:rsidRPr="00DF0964">
        <w:t>ttps://www.safercare.vic.gov.au/</w:t>
      </w:r>
      <w:r w:rsidR="008048FD">
        <w:t>best-practice</w:t>
      </w:r>
      <w:r w:rsidR="00C6675D">
        <w:t>-improvement/</w:t>
      </w:r>
      <w:r w:rsidRPr="00DF0964">
        <w:t>publications/victorian-perioperative-consultative-council-annual-report-2021</w:t>
      </w:r>
      <w:r>
        <w:t>&gt;.</w:t>
      </w:r>
    </w:p>
  </w:footnote>
  <w:footnote w:id="85">
    <w:p w14:paraId="4FCDB1B6" w14:textId="066E3A04" w:rsidR="00281C2F" w:rsidRDefault="00281C2F" w:rsidP="00281C2F">
      <w:pPr>
        <w:pStyle w:val="FootnoteText"/>
      </w:pPr>
      <w:r>
        <w:rPr>
          <w:rStyle w:val="FootnoteReference"/>
        </w:rPr>
        <w:footnoteRef/>
      </w:r>
      <w:r>
        <w:t xml:space="preserve"> </w:t>
      </w:r>
      <w:hyperlink r:id="rId81" w:history="1">
        <w:r w:rsidRPr="00396EDE">
          <w:rPr>
            <w:rStyle w:val="Hyperlink"/>
          </w:rPr>
          <w:t>Australian Health Facility Guidelines, Day Surgery/Procedure Unit</w:t>
        </w:r>
      </w:hyperlink>
      <w:r>
        <w:t xml:space="preserve"> &lt;</w:t>
      </w:r>
      <w:r w:rsidRPr="00CC3407">
        <w:t>https://www.healthfacilityguidelines.com.au/hpu/day-surgery-procedure-unit-2</w:t>
      </w:r>
      <w:r>
        <w:t>&gt;.</w:t>
      </w:r>
    </w:p>
  </w:footnote>
  <w:footnote w:id="86">
    <w:p w14:paraId="21276DB5" w14:textId="17572628" w:rsidR="00281C2F" w:rsidRDefault="00281C2F" w:rsidP="00281C2F">
      <w:pPr>
        <w:pStyle w:val="FootnoteText"/>
      </w:pPr>
      <w:r>
        <w:rPr>
          <w:rStyle w:val="FootnoteReference"/>
        </w:rPr>
        <w:footnoteRef/>
      </w:r>
      <w:r>
        <w:t xml:space="preserve"> </w:t>
      </w:r>
      <w:hyperlink r:id="rId82" w:history="1">
        <w:r w:rsidRPr="00396EDE">
          <w:rPr>
            <w:rStyle w:val="Hyperlink"/>
          </w:rPr>
          <w:t>Credentialing and scope of clinical practice for senior medical practitioners policy, Safer Care Victoria</w:t>
        </w:r>
      </w:hyperlink>
      <w:r>
        <w:t xml:space="preserve"> &lt;</w:t>
      </w:r>
      <w:r w:rsidRPr="00DC2DC5">
        <w:t>https://www.safercare.vic.gov.au/publications/credentialing-and-scope-of-clinical-practice-for-senior-medical-practitioners-policy</w:t>
      </w:r>
      <w:r>
        <w:t>&gt;.</w:t>
      </w:r>
    </w:p>
  </w:footnote>
  <w:footnote w:id="87">
    <w:p w14:paraId="00A88363" w14:textId="2AA00182" w:rsidR="00281C2F" w:rsidRDefault="00281C2F" w:rsidP="00281C2F">
      <w:pPr>
        <w:pStyle w:val="FootnoteText"/>
      </w:pPr>
      <w:r>
        <w:rPr>
          <w:rStyle w:val="FootnoteReference"/>
        </w:rPr>
        <w:footnoteRef/>
      </w:r>
      <w:r>
        <w:t xml:space="preserve"> </w:t>
      </w:r>
      <w:hyperlink r:id="rId83" w:history="1">
        <w:r w:rsidRPr="00396EDE">
          <w:rPr>
            <w:rStyle w:val="Hyperlink"/>
          </w:rPr>
          <w:t>Victorian virtual care strategy</w:t>
        </w:r>
      </w:hyperlink>
      <w:r>
        <w:t xml:space="preserve"> &lt;</w:t>
      </w:r>
      <w:r w:rsidRPr="005E07D4">
        <w:t>https://www.health.vic.gov.au/victorian-virtual-care-strategy/</w:t>
      </w:r>
      <w:r>
        <w:t xml:space="preserve">&gt;. </w:t>
      </w:r>
    </w:p>
  </w:footnote>
  <w:footnote w:id="88">
    <w:p w14:paraId="5BC51D24" w14:textId="1204DB78" w:rsidR="00281C2F" w:rsidRDefault="00281C2F" w:rsidP="00281C2F">
      <w:pPr>
        <w:pStyle w:val="FootnoteText"/>
      </w:pPr>
      <w:r>
        <w:rPr>
          <w:rStyle w:val="FootnoteReference"/>
        </w:rPr>
        <w:footnoteRef/>
      </w:r>
      <w:r>
        <w:t xml:space="preserve"> </w:t>
      </w:r>
      <w:hyperlink r:id="rId84" w:history="1">
        <w:r w:rsidRPr="005B23CB">
          <w:rPr>
            <w:rStyle w:val="Hyperlink"/>
          </w:rPr>
          <w:t xml:space="preserve">ANZCA </w:t>
        </w:r>
        <w:r w:rsidR="001E15F2" w:rsidRPr="005B23CB">
          <w:rPr>
            <w:rStyle w:val="Hyperlink"/>
          </w:rPr>
          <w:t>–</w:t>
        </w:r>
        <w:r w:rsidRPr="005B23CB">
          <w:rPr>
            <w:rStyle w:val="Hyperlink"/>
          </w:rPr>
          <w:t xml:space="preserve"> Professional documents</w:t>
        </w:r>
      </w:hyperlink>
      <w:r>
        <w:t xml:space="preserve"> </w:t>
      </w:r>
      <w:r w:rsidR="001E15F2">
        <w:t>a</w:t>
      </w:r>
      <w:r>
        <w:t>ccessible at &lt;</w:t>
      </w:r>
      <w:r w:rsidRPr="00AF58CC">
        <w:t>http://www.anzca.edu.au/resources/professional-documents</w:t>
      </w:r>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225A1" w14:textId="77777777" w:rsidR="00EF2E97" w:rsidRDefault="00EF2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E00AB" w14:textId="77777777" w:rsidR="00EF2E97" w:rsidRDefault="00EF2E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D3C4C" w14:textId="77777777" w:rsidR="00EF2E97" w:rsidRDefault="00EF2E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ECBBC"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47F22" w14:textId="16C95EE4" w:rsidR="00562811" w:rsidRPr="0051568D" w:rsidRDefault="00D20AC6" w:rsidP="0017674D">
    <w:pPr>
      <w:pStyle w:val="Header"/>
    </w:pPr>
    <w:r w:rsidRPr="00D20AC6">
      <w:t xml:space="preserve">Perioperative service capability </w:t>
    </w:r>
    <w:r w:rsidRPr="0022729A">
      <w:t>framework</w:t>
    </w:r>
    <w:r w:rsidR="00562811" w:rsidRPr="00BC7559">
      <w:ptab w:relativeTo="margin" w:alignment="right" w:leader="none"/>
    </w:r>
    <w:r w:rsidR="00562811" w:rsidRPr="00BC7559">
      <w:rPr>
        <w:b w:val="0"/>
      </w:rPr>
      <w:fldChar w:fldCharType="begin"/>
    </w:r>
    <w:r w:rsidR="00562811" w:rsidRPr="008A389B">
      <w:rPr>
        <w:bCs/>
      </w:rPr>
      <w:instrText xml:space="preserve"> PAGE </w:instrText>
    </w:r>
    <w:r w:rsidR="00562811" w:rsidRPr="00BC7559">
      <w:rPr>
        <w:b w:val="0"/>
      </w:rPr>
      <w:fldChar w:fldCharType="separate"/>
    </w:r>
    <w:r w:rsidR="00562811" w:rsidRPr="008A389B">
      <w:rPr>
        <w:bCs/>
      </w:rPr>
      <w:t>2</w:t>
    </w:r>
    <w:r w:rsidR="00562811" w:rsidRPr="00BC7559">
      <w:rPr>
        <w:b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F167765"/>
    <w:multiLevelType w:val="multilevel"/>
    <w:tmpl w:val="50460AFC"/>
    <w:styleLink w:val="AppendixHeadingmaster"/>
    <w:lvl w:ilvl="0">
      <w:start w:val="1"/>
      <w:numFmt w:val="upperLetter"/>
      <w:lvlText w:val="Appendix %1"/>
      <w:lvlJc w:val="left"/>
      <w:pPr>
        <w:ind w:left="2268" w:hanging="2268"/>
      </w:pPr>
      <w:rPr>
        <w:rFonts w:ascii="Bahnschrift" w:hAnsi="Bahnschrift" w:hint="default"/>
        <w:b w:val="0"/>
        <w:i w:val="0"/>
        <w:color w:val="00AED9"/>
        <w:sz w:val="40"/>
      </w:rPr>
    </w:lvl>
    <w:lvl w:ilvl="1">
      <w:start w:val="1"/>
      <w:numFmt w:val="decimal"/>
      <w:lvlText w:val="%1.%2."/>
      <w:lvlJc w:val="left"/>
      <w:pPr>
        <w:ind w:left="1021" w:hanging="1021"/>
      </w:pPr>
      <w:rPr>
        <w:rFonts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A753D77"/>
    <w:multiLevelType w:val="multilevel"/>
    <w:tmpl w:val="950EDC7C"/>
    <w:styleLink w:val="Headingsmaster"/>
    <w:lvl w:ilvl="0">
      <w:start w:val="1"/>
      <w:numFmt w:val="upperRoman"/>
      <w:lvlText w:val="Part %1."/>
      <w:lvlJc w:val="left"/>
      <w:pPr>
        <w:ind w:left="1429" w:hanging="1429"/>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082FEE"/>
    <w:multiLevelType w:val="multilevel"/>
    <w:tmpl w:val="904AEB3A"/>
    <w:styleLink w:val="TableListNumbermaster"/>
    <w:lvl w:ilvl="0">
      <w:start w:val="1"/>
      <w:numFmt w:val="decimal"/>
      <w:pStyle w:val="TableListNumber"/>
      <w:lvlText w:val="%1."/>
      <w:lvlJc w:val="left"/>
      <w:pPr>
        <w:ind w:left="360" w:hanging="360"/>
      </w:pPr>
      <w:rPr>
        <w:rFonts w:hint="default"/>
        <w:color w:val="auto"/>
      </w:rPr>
    </w:lvl>
    <w:lvl w:ilvl="1">
      <w:start w:val="1"/>
      <w:numFmt w:val="lowerLetter"/>
      <w:pStyle w:val="TableListNumber2"/>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42839DB"/>
    <w:multiLevelType w:val="multilevel"/>
    <w:tmpl w:val="A1224394"/>
    <w:styleLink w:val="ListLegalmaster"/>
    <w:lvl w:ilvl="0">
      <w:start w:val="1"/>
      <w:numFmt w:val="decimal"/>
      <w:lvlText w:val="%1."/>
      <w:lvlJc w:val="left"/>
      <w:pPr>
        <w:ind w:left="357" w:hanging="357"/>
      </w:pPr>
      <w:rPr>
        <w:rFonts w:ascii="Arial" w:hAnsi="Arial" w:hint="default"/>
        <w:b w:val="0"/>
        <w:i w:val="0"/>
        <w:color w:val="auto"/>
        <w:sz w:val="20"/>
      </w:rPr>
    </w:lvl>
    <w:lvl w:ilvl="1">
      <w:start w:val="1"/>
      <w:numFmt w:val="lowerLetter"/>
      <w:lvlText w:val="(%2)"/>
      <w:lvlJc w:val="left"/>
      <w:pPr>
        <w:tabs>
          <w:tab w:val="num" w:pos="720"/>
        </w:tabs>
        <w:ind w:left="714" w:hanging="357"/>
      </w:pPr>
      <w:rPr>
        <w:rFonts w:ascii="Arial" w:hAnsi="Arial" w:hint="default"/>
        <w:b w:val="0"/>
        <w:i w:val="0"/>
        <w:color w:val="auto"/>
        <w:sz w:val="20"/>
      </w:rPr>
    </w:lvl>
    <w:lvl w:ilvl="2">
      <w:start w:val="1"/>
      <w:numFmt w:val="lowerRoman"/>
      <w:lvlText w:val="(%3)"/>
      <w:lvlJc w:val="left"/>
      <w:pPr>
        <w:ind w:left="1435" w:hanging="721"/>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7A5E39"/>
    <w:multiLevelType w:val="multilevel"/>
    <w:tmpl w:val="BE14BAF4"/>
    <w:styleLink w:val="ListRecommendationmaster"/>
    <w:lvl w:ilvl="0">
      <w:start w:val="1"/>
      <w:numFmt w:val="decimal"/>
      <w:lvlText w:val="Recommendation %1: "/>
      <w:lvlJc w:val="left"/>
      <w:pPr>
        <w:ind w:left="2143" w:hanging="214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D9328E2"/>
    <w:multiLevelType w:val="multilevel"/>
    <w:tmpl w:val="28F46D40"/>
    <w:styleLink w:val="ListNumbermaster"/>
    <w:lvl w:ilvl="0">
      <w:start w:val="1"/>
      <w:numFmt w:val="decimal"/>
      <w:lvlText w:val="%1."/>
      <w:lvlJc w:val="left"/>
      <w:pPr>
        <w:ind w:left="360" w:hanging="360"/>
      </w:pPr>
      <w:rPr>
        <w:rFonts w:ascii="Arial" w:hAnsi="Arial" w:hint="default"/>
        <w:color w:val="auto"/>
        <w:sz w:val="20"/>
      </w:rPr>
    </w:lvl>
    <w:lvl w:ilvl="1">
      <w:start w:val="1"/>
      <w:numFmt w:val="lowerLetter"/>
      <w:lvlText w:val="%2."/>
      <w:lvlJc w:val="left"/>
      <w:pPr>
        <w:ind w:left="720" w:hanging="360"/>
      </w:pPr>
      <w:rPr>
        <w:rFonts w:ascii="Arial" w:hAnsi="Arial" w:hint="default"/>
        <w:color w:val="auto"/>
        <w:sz w:val="20"/>
      </w:rPr>
    </w:lvl>
    <w:lvl w:ilvl="2">
      <w:start w:val="1"/>
      <w:numFmt w:val="lowerRoman"/>
      <w:lvlText w:val="%3."/>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7A51FC2"/>
    <w:multiLevelType w:val="multilevel"/>
    <w:tmpl w:val="49B89FF0"/>
    <w:styleLink w:val="TableListBulletmaster"/>
    <w:lvl w:ilvl="0">
      <w:start w:val="1"/>
      <w:numFmt w:val="bullet"/>
      <w:pStyle w:val="TableListBullet"/>
      <w:lvlText w:val=""/>
      <w:lvlJc w:val="left"/>
      <w:pPr>
        <w:ind w:left="340" w:hanging="283"/>
      </w:pPr>
      <w:rPr>
        <w:rFonts w:ascii="Symbol" w:hAnsi="Symbol" w:hint="default"/>
        <w:color w:val="auto"/>
      </w:rPr>
    </w:lvl>
    <w:lvl w:ilvl="1">
      <w:start w:val="1"/>
      <w:numFmt w:val="bullet"/>
      <w:pStyle w:val="TableListBullet2"/>
      <w:lvlText w:val=""/>
      <w:lvlJc w:val="left"/>
      <w:pPr>
        <w:ind w:left="567" w:hanging="227"/>
      </w:pPr>
      <w:rPr>
        <w:rFonts w:ascii="Wingdings" w:hAnsi="Wingding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48E6CBA"/>
    <w:multiLevelType w:val="multilevel"/>
    <w:tmpl w:val="D706B8EC"/>
    <w:styleLink w:val="ListBulletmaster"/>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
      <w:lvlJc w:val="left"/>
      <w:pPr>
        <w:ind w:left="714" w:hanging="357"/>
      </w:pPr>
      <w:rPr>
        <w:rFonts w:ascii="Wingdings" w:hAnsi="Wingdings" w:hint="default"/>
        <w:color w:val="auto"/>
      </w:rPr>
    </w:lvl>
    <w:lvl w:ilvl="2">
      <w:start w:val="1"/>
      <w:numFmt w:val="bullet"/>
      <w:pStyle w:val="ListBullet3"/>
      <w:lvlText w:val=""/>
      <w:lvlJc w:val="left"/>
      <w:pPr>
        <w:ind w:left="1072" w:hanging="358"/>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600F40"/>
    <w:multiLevelType w:val="multilevel"/>
    <w:tmpl w:val="9F46B8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03279720">
    <w:abstractNumId w:val="7"/>
  </w:num>
  <w:num w:numId="2" w16cid:durableId="16204150">
    <w:abstractNumId w:val="11"/>
  </w:num>
  <w:num w:numId="3" w16cid:durableId="1314679561">
    <w:abstractNumId w:val="10"/>
  </w:num>
  <w:num w:numId="4" w16cid:durableId="2088727143">
    <w:abstractNumId w:val="13"/>
  </w:num>
  <w:num w:numId="5" w16cid:durableId="1033190795">
    <w:abstractNumId w:val="8"/>
  </w:num>
  <w:num w:numId="6" w16cid:durableId="725223904">
    <w:abstractNumId w:val="0"/>
  </w:num>
  <w:num w:numId="7" w16cid:durableId="994916636">
    <w:abstractNumId w:val="11"/>
    <w:lvlOverride w:ilvl="0">
      <w:lvl w:ilvl="0">
        <w:start w:val="1"/>
        <w:numFmt w:val="bullet"/>
        <w:pStyle w:val="Bullet1"/>
        <w:lvlText w:val="•"/>
        <w:lvlJc w:val="left"/>
        <w:pPr>
          <w:ind w:left="284" w:hanging="284"/>
        </w:pPr>
        <w:rPr>
          <w:color w:val="auto"/>
        </w:rPr>
      </w:lvl>
    </w:lvlOverride>
    <w:lvlOverride w:ilvl="1">
      <w:lvl w:ilvl="1">
        <w:start w:val="1"/>
        <w:numFmt w:val="bullet"/>
        <w:pStyle w:val="Bullet2"/>
        <w:lvlText w:val="o"/>
        <w:lvlJc w:val="left"/>
        <w:pPr>
          <w:ind w:left="1440" w:hanging="360"/>
        </w:pPr>
        <w:rPr>
          <w:rFonts w:ascii="Courier New" w:hAnsi="Courier New" w:cs="Courier New" w:hint="default"/>
        </w:rPr>
      </w:lvl>
    </w:lvlOverride>
    <w:lvlOverride w:ilvl="2">
      <w:lvl w:ilvl="2" w:tentative="1">
        <w:start w:val="1"/>
        <w:numFmt w:val="bullet"/>
        <w:lvlText w:val=""/>
        <w:lvlJc w:val="left"/>
        <w:pPr>
          <w:ind w:left="2160" w:hanging="360"/>
        </w:pPr>
        <w:rPr>
          <w:rFonts w:ascii="Wingdings" w:hAnsi="Wingdings" w:hint="default"/>
        </w:rPr>
      </w:lvl>
    </w:lvlOverride>
    <w:lvlOverride w:ilvl="3">
      <w:lvl w:ilvl="3" w:tentative="1">
        <w:start w:val="1"/>
        <w:numFmt w:val="bullet"/>
        <w:lvlText w:val=""/>
        <w:lvlJc w:val="left"/>
        <w:pPr>
          <w:ind w:left="2880" w:hanging="360"/>
        </w:pPr>
        <w:rPr>
          <w:rFonts w:ascii="Symbol" w:hAnsi="Symbol" w:hint="default"/>
        </w:rPr>
      </w:lvl>
    </w:lvlOverride>
    <w:lvlOverride w:ilvl="4">
      <w:lvl w:ilvl="4" w:tentative="1">
        <w:start w:val="1"/>
        <w:numFmt w:val="bullet"/>
        <w:lvlText w:val="o"/>
        <w:lvlJc w:val="left"/>
        <w:pPr>
          <w:ind w:left="3600" w:hanging="360"/>
        </w:pPr>
        <w:rPr>
          <w:rFonts w:ascii="Courier New" w:hAnsi="Courier New" w:cs="Courier New" w:hint="default"/>
        </w:rPr>
      </w:lvl>
    </w:lvlOverride>
    <w:lvlOverride w:ilvl="5">
      <w:lvl w:ilvl="5" w:tentative="1">
        <w:start w:val="1"/>
        <w:numFmt w:val="bullet"/>
        <w:lvlText w:val=""/>
        <w:lvlJc w:val="left"/>
        <w:pPr>
          <w:ind w:left="4320" w:hanging="360"/>
        </w:pPr>
        <w:rPr>
          <w:rFonts w:ascii="Wingdings" w:hAnsi="Wingdings" w:hint="default"/>
        </w:rPr>
      </w:lvl>
    </w:lvlOverride>
    <w:lvlOverride w:ilvl="6">
      <w:lvl w:ilvl="6" w:tentative="1">
        <w:start w:val="1"/>
        <w:numFmt w:val="bullet"/>
        <w:lvlText w:val=""/>
        <w:lvlJc w:val="left"/>
        <w:pPr>
          <w:ind w:left="5040" w:hanging="360"/>
        </w:pPr>
        <w:rPr>
          <w:rFonts w:ascii="Symbol" w:hAnsi="Symbol" w:hint="default"/>
        </w:rPr>
      </w:lvl>
    </w:lvlOverride>
    <w:lvlOverride w:ilvl="7">
      <w:lvl w:ilvl="7" w:tentative="1">
        <w:start w:val="1"/>
        <w:numFmt w:val="bullet"/>
        <w:lvlText w:val="o"/>
        <w:lvlJc w:val="left"/>
        <w:pPr>
          <w:ind w:left="5760" w:hanging="360"/>
        </w:pPr>
        <w:rPr>
          <w:rFonts w:ascii="Courier New" w:hAnsi="Courier New" w:cs="Courier New" w:hint="default"/>
        </w:rPr>
      </w:lvl>
    </w:lvlOverride>
    <w:lvlOverride w:ilvl="8">
      <w:lvl w:ilvl="8" w:tentative="1">
        <w:start w:val="1"/>
        <w:numFmt w:val="bullet"/>
        <w:lvlText w:val=""/>
        <w:lvlJc w:val="left"/>
        <w:pPr>
          <w:ind w:left="6480" w:hanging="360"/>
        </w:pPr>
        <w:rPr>
          <w:rFonts w:ascii="Wingdings" w:hAnsi="Wingdings" w:hint="default"/>
        </w:rPr>
      </w:lvl>
    </w:lvlOverride>
  </w:num>
  <w:num w:numId="8" w16cid:durableId="572131472">
    <w:abstractNumId w:val="14"/>
  </w:num>
  <w:num w:numId="9" w16cid:durableId="711609526">
    <w:abstractNumId w:val="6"/>
  </w:num>
  <w:num w:numId="10" w16cid:durableId="1252084877">
    <w:abstractNumId w:val="12"/>
  </w:num>
  <w:num w:numId="11" w16cid:durableId="2037461763">
    <w:abstractNumId w:val="3"/>
  </w:num>
  <w:num w:numId="12" w16cid:durableId="1672371331">
    <w:abstractNumId w:val="1"/>
  </w:num>
  <w:num w:numId="13" w16cid:durableId="1444035132">
    <w:abstractNumId w:val="2"/>
  </w:num>
  <w:num w:numId="14" w16cid:durableId="1644694089">
    <w:abstractNumId w:val="9"/>
  </w:num>
  <w:num w:numId="15" w16cid:durableId="847601369">
    <w:abstractNumId w:val="4"/>
  </w:num>
  <w:num w:numId="16" w16cid:durableId="290406184">
    <w:abstractNumId w:val="5"/>
  </w:num>
  <w:num w:numId="17" w16cid:durableId="476460057">
    <w:abstractNumId w:val="10"/>
  </w:num>
  <w:num w:numId="18" w16cid:durableId="1627815367">
    <w:abstractNumId w:val="10"/>
  </w:num>
  <w:num w:numId="19" w16cid:durableId="1080905112">
    <w:abstractNumId w:val="10"/>
  </w:num>
  <w:num w:numId="20" w16cid:durableId="2122456495">
    <w:abstractNumId w:val="10"/>
  </w:num>
  <w:num w:numId="21" w16cid:durableId="1742486764">
    <w:abstractNumId w:val="10"/>
  </w:num>
  <w:num w:numId="22" w16cid:durableId="346367322">
    <w:abstractNumId w:val="10"/>
  </w:num>
  <w:num w:numId="23" w16cid:durableId="2109882542">
    <w:abstractNumId w:val="10"/>
  </w:num>
  <w:num w:numId="24" w16cid:durableId="1009285722">
    <w:abstractNumId w:val="10"/>
  </w:num>
  <w:num w:numId="25" w16cid:durableId="142221286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65"/>
    <w:rsid w:val="00000719"/>
    <w:rsid w:val="00002D68"/>
    <w:rsid w:val="000033F7"/>
    <w:rsid w:val="00003403"/>
    <w:rsid w:val="00004293"/>
    <w:rsid w:val="00004ECC"/>
    <w:rsid w:val="00005347"/>
    <w:rsid w:val="00005EFF"/>
    <w:rsid w:val="00006157"/>
    <w:rsid w:val="000072B6"/>
    <w:rsid w:val="00007A40"/>
    <w:rsid w:val="0001021B"/>
    <w:rsid w:val="00011D89"/>
    <w:rsid w:val="000154FD"/>
    <w:rsid w:val="000155B0"/>
    <w:rsid w:val="00021345"/>
    <w:rsid w:val="00022271"/>
    <w:rsid w:val="000235E8"/>
    <w:rsid w:val="00024D89"/>
    <w:rsid w:val="000250B6"/>
    <w:rsid w:val="00025502"/>
    <w:rsid w:val="00026CD6"/>
    <w:rsid w:val="00030CDD"/>
    <w:rsid w:val="00033D81"/>
    <w:rsid w:val="00033DC9"/>
    <w:rsid w:val="00037366"/>
    <w:rsid w:val="00041BF0"/>
    <w:rsid w:val="00042C8A"/>
    <w:rsid w:val="0004536B"/>
    <w:rsid w:val="00046B68"/>
    <w:rsid w:val="0005183C"/>
    <w:rsid w:val="000527DD"/>
    <w:rsid w:val="00053CDC"/>
    <w:rsid w:val="000545BE"/>
    <w:rsid w:val="00055487"/>
    <w:rsid w:val="0005612A"/>
    <w:rsid w:val="00056350"/>
    <w:rsid w:val="00056E70"/>
    <w:rsid w:val="00056EC4"/>
    <w:rsid w:val="000578B2"/>
    <w:rsid w:val="00060959"/>
    <w:rsid w:val="00060C8F"/>
    <w:rsid w:val="00061320"/>
    <w:rsid w:val="0006298A"/>
    <w:rsid w:val="00065E4C"/>
    <w:rsid w:val="000663CD"/>
    <w:rsid w:val="000663D4"/>
    <w:rsid w:val="00071A6E"/>
    <w:rsid w:val="000733FE"/>
    <w:rsid w:val="00073DAB"/>
    <w:rsid w:val="00074219"/>
    <w:rsid w:val="00074ED5"/>
    <w:rsid w:val="000753D0"/>
    <w:rsid w:val="0008204A"/>
    <w:rsid w:val="0008360F"/>
    <w:rsid w:val="00084814"/>
    <w:rsid w:val="0008508E"/>
    <w:rsid w:val="00087711"/>
    <w:rsid w:val="00087951"/>
    <w:rsid w:val="0009113B"/>
    <w:rsid w:val="0009233C"/>
    <w:rsid w:val="00093402"/>
    <w:rsid w:val="00094DA3"/>
    <w:rsid w:val="00096068"/>
    <w:rsid w:val="00096CD1"/>
    <w:rsid w:val="00096DD4"/>
    <w:rsid w:val="000A012C"/>
    <w:rsid w:val="000A0EB9"/>
    <w:rsid w:val="000A102F"/>
    <w:rsid w:val="000A186C"/>
    <w:rsid w:val="000A1EA4"/>
    <w:rsid w:val="000A2476"/>
    <w:rsid w:val="000A343A"/>
    <w:rsid w:val="000A380F"/>
    <w:rsid w:val="000A4E4B"/>
    <w:rsid w:val="000A4F17"/>
    <w:rsid w:val="000A641A"/>
    <w:rsid w:val="000A6D69"/>
    <w:rsid w:val="000B0BAC"/>
    <w:rsid w:val="000B32D9"/>
    <w:rsid w:val="000B3EDB"/>
    <w:rsid w:val="000B543D"/>
    <w:rsid w:val="000B55F9"/>
    <w:rsid w:val="000B5BF7"/>
    <w:rsid w:val="000B6BC8"/>
    <w:rsid w:val="000B71A6"/>
    <w:rsid w:val="000C0303"/>
    <w:rsid w:val="000C42EA"/>
    <w:rsid w:val="000C4546"/>
    <w:rsid w:val="000C7505"/>
    <w:rsid w:val="000D1242"/>
    <w:rsid w:val="000D2ABA"/>
    <w:rsid w:val="000D2ED2"/>
    <w:rsid w:val="000E0970"/>
    <w:rsid w:val="000E3CC7"/>
    <w:rsid w:val="000E42D8"/>
    <w:rsid w:val="000E6BD4"/>
    <w:rsid w:val="000E6D6D"/>
    <w:rsid w:val="000F0019"/>
    <w:rsid w:val="000F1F1E"/>
    <w:rsid w:val="000F2259"/>
    <w:rsid w:val="000F2358"/>
    <w:rsid w:val="000F2DDA"/>
    <w:rsid w:val="000F2EA0"/>
    <w:rsid w:val="000F5213"/>
    <w:rsid w:val="000F7202"/>
    <w:rsid w:val="000F7901"/>
    <w:rsid w:val="00101001"/>
    <w:rsid w:val="00103276"/>
    <w:rsid w:val="0010392D"/>
    <w:rsid w:val="0010447F"/>
    <w:rsid w:val="00104FE3"/>
    <w:rsid w:val="0010714F"/>
    <w:rsid w:val="00110CA1"/>
    <w:rsid w:val="001120C5"/>
    <w:rsid w:val="00112743"/>
    <w:rsid w:val="00116E62"/>
    <w:rsid w:val="001176ED"/>
    <w:rsid w:val="00117F7A"/>
    <w:rsid w:val="00120BD3"/>
    <w:rsid w:val="00122FEA"/>
    <w:rsid w:val="001232BD"/>
    <w:rsid w:val="0012362E"/>
    <w:rsid w:val="001236DC"/>
    <w:rsid w:val="00124ED5"/>
    <w:rsid w:val="00125D38"/>
    <w:rsid w:val="001266F1"/>
    <w:rsid w:val="001276FA"/>
    <w:rsid w:val="001447B3"/>
    <w:rsid w:val="00147D55"/>
    <w:rsid w:val="00152073"/>
    <w:rsid w:val="00152329"/>
    <w:rsid w:val="00152866"/>
    <w:rsid w:val="00154A10"/>
    <w:rsid w:val="00156598"/>
    <w:rsid w:val="00156DB1"/>
    <w:rsid w:val="00160181"/>
    <w:rsid w:val="0016155A"/>
    <w:rsid w:val="00161939"/>
    <w:rsid w:val="00161AA0"/>
    <w:rsid w:val="00161D2E"/>
    <w:rsid w:val="00161F3E"/>
    <w:rsid w:val="00162093"/>
    <w:rsid w:val="00162CA9"/>
    <w:rsid w:val="00163816"/>
    <w:rsid w:val="00165459"/>
    <w:rsid w:val="00165A57"/>
    <w:rsid w:val="00165EB9"/>
    <w:rsid w:val="001712C2"/>
    <w:rsid w:val="00171443"/>
    <w:rsid w:val="00172BAF"/>
    <w:rsid w:val="00173467"/>
    <w:rsid w:val="0017674D"/>
    <w:rsid w:val="001771DD"/>
    <w:rsid w:val="00177995"/>
    <w:rsid w:val="00177A8C"/>
    <w:rsid w:val="00180614"/>
    <w:rsid w:val="0018244E"/>
    <w:rsid w:val="00186B33"/>
    <w:rsid w:val="00187C23"/>
    <w:rsid w:val="00192F9D"/>
    <w:rsid w:val="00196EB8"/>
    <w:rsid w:val="00196EFB"/>
    <w:rsid w:val="001979FF"/>
    <w:rsid w:val="00197B17"/>
    <w:rsid w:val="001A1950"/>
    <w:rsid w:val="001A1C54"/>
    <w:rsid w:val="001A32E2"/>
    <w:rsid w:val="001A384E"/>
    <w:rsid w:val="001A3ACE"/>
    <w:rsid w:val="001A3FE8"/>
    <w:rsid w:val="001A6272"/>
    <w:rsid w:val="001A799C"/>
    <w:rsid w:val="001B058F"/>
    <w:rsid w:val="001B4318"/>
    <w:rsid w:val="001B5CF5"/>
    <w:rsid w:val="001B6B96"/>
    <w:rsid w:val="001B738B"/>
    <w:rsid w:val="001C07EA"/>
    <w:rsid w:val="001C09DB"/>
    <w:rsid w:val="001C1589"/>
    <w:rsid w:val="001C277E"/>
    <w:rsid w:val="001C27CB"/>
    <w:rsid w:val="001C2A72"/>
    <w:rsid w:val="001C31B7"/>
    <w:rsid w:val="001C4432"/>
    <w:rsid w:val="001C5B93"/>
    <w:rsid w:val="001C65F7"/>
    <w:rsid w:val="001D0B75"/>
    <w:rsid w:val="001D17D3"/>
    <w:rsid w:val="001D258B"/>
    <w:rsid w:val="001D2C94"/>
    <w:rsid w:val="001D39A5"/>
    <w:rsid w:val="001D3C09"/>
    <w:rsid w:val="001D44E8"/>
    <w:rsid w:val="001D58B7"/>
    <w:rsid w:val="001D60EC"/>
    <w:rsid w:val="001D6F59"/>
    <w:rsid w:val="001D74FA"/>
    <w:rsid w:val="001E15F2"/>
    <w:rsid w:val="001E3565"/>
    <w:rsid w:val="001E44DF"/>
    <w:rsid w:val="001E5FEB"/>
    <w:rsid w:val="001E68A5"/>
    <w:rsid w:val="001E6BB0"/>
    <w:rsid w:val="001E7282"/>
    <w:rsid w:val="001F3826"/>
    <w:rsid w:val="001F527D"/>
    <w:rsid w:val="001F577F"/>
    <w:rsid w:val="001F6813"/>
    <w:rsid w:val="001F6E46"/>
    <w:rsid w:val="001F7921"/>
    <w:rsid w:val="001F7C91"/>
    <w:rsid w:val="002033B7"/>
    <w:rsid w:val="00203513"/>
    <w:rsid w:val="002035E5"/>
    <w:rsid w:val="00206463"/>
    <w:rsid w:val="00206F2F"/>
    <w:rsid w:val="00207717"/>
    <w:rsid w:val="0021053D"/>
    <w:rsid w:val="00210A92"/>
    <w:rsid w:val="00212B95"/>
    <w:rsid w:val="00215CC8"/>
    <w:rsid w:val="00215FD0"/>
    <w:rsid w:val="00216C03"/>
    <w:rsid w:val="00220A1A"/>
    <w:rsid w:val="00220C04"/>
    <w:rsid w:val="0022278D"/>
    <w:rsid w:val="00225D92"/>
    <w:rsid w:val="0022701F"/>
    <w:rsid w:val="0022729A"/>
    <w:rsid w:val="00227C68"/>
    <w:rsid w:val="002326EE"/>
    <w:rsid w:val="002333F5"/>
    <w:rsid w:val="00233724"/>
    <w:rsid w:val="002337D1"/>
    <w:rsid w:val="00233F35"/>
    <w:rsid w:val="00234EB7"/>
    <w:rsid w:val="002365B4"/>
    <w:rsid w:val="00243010"/>
    <w:rsid w:val="002432E1"/>
    <w:rsid w:val="0024553F"/>
    <w:rsid w:val="00245BED"/>
    <w:rsid w:val="00246207"/>
    <w:rsid w:val="00246C5E"/>
    <w:rsid w:val="00247446"/>
    <w:rsid w:val="00250960"/>
    <w:rsid w:val="00251343"/>
    <w:rsid w:val="00252381"/>
    <w:rsid w:val="00253124"/>
    <w:rsid w:val="002536A4"/>
    <w:rsid w:val="00253A84"/>
    <w:rsid w:val="00254ECF"/>
    <w:rsid w:val="00254F58"/>
    <w:rsid w:val="00260388"/>
    <w:rsid w:val="00261804"/>
    <w:rsid w:val="002620BC"/>
    <w:rsid w:val="00262802"/>
    <w:rsid w:val="00263976"/>
    <w:rsid w:val="00263A90"/>
    <w:rsid w:val="0026408B"/>
    <w:rsid w:val="00266EBE"/>
    <w:rsid w:val="00267C3E"/>
    <w:rsid w:val="002709BB"/>
    <w:rsid w:val="0027131C"/>
    <w:rsid w:val="00273BAC"/>
    <w:rsid w:val="002763B3"/>
    <w:rsid w:val="00276824"/>
    <w:rsid w:val="002770F2"/>
    <w:rsid w:val="002802E3"/>
    <w:rsid w:val="00281C2F"/>
    <w:rsid w:val="0028213D"/>
    <w:rsid w:val="002862F1"/>
    <w:rsid w:val="00291373"/>
    <w:rsid w:val="00291E7E"/>
    <w:rsid w:val="00292AE6"/>
    <w:rsid w:val="0029597D"/>
    <w:rsid w:val="002962C3"/>
    <w:rsid w:val="0029752B"/>
    <w:rsid w:val="002A010C"/>
    <w:rsid w:val="002A0A9C"/>
    <w:rsid w:val="002A3D14"/>
    <w:rsid w:val="002A483C"/>
    <w:rsid w:val="002A78F5"/>
    <w:rsid w:val="002B072C"/>
    <w:rsid w:val="002B0AB0"/>
    <w:rsid w:val="002B0C7C"/>
    <w:rsid w:val="002B1729"/>
    <w:rsid w:val="002B25DB"/>
    <w:rsid w:val="002B36C7"/>
    <w:rsid w:val="002B4DD4"/>
    <w:rsid w:val="002B5277"/>
    <w:rsid w:val="002B5375"/>
    <w:rsid w:val="002B77C1"/>
    <w:rsid w:val="002C03B7"/>
    <w:rsid w:val="002C0ED7"/>
    <w:rsid w:val="002C2728"/>
    <w:rsid w:val="002C304D"/>
    <w:rsid w:val="002C5B7C"/>
    <w:rsid w:val="002C6218"/>
    <w:rsid w:val="002C63C2"/>
    <w:rsid w:val="002D1E0D"/>
    <w:rsid w:val="002D5006"/>
    <w:rsid w:val="002D7C61"/>
    <w:rsid w:val="002E01D0"/>
    <w:rsid w:val="002E161D"/>
    <w:rsid w:val="002E19C4"/>
    <w:rsid w:val="002E25A7"/>
    <w:rsid w:val="002E28A2"/>
    <w:rsid w:val="002E3100"/>
    <w:rsid w:val="002E3376"/>
    <w:rsid w:val="002E4FFE"/>
    <w:rsid w:val="002E5E08"/>
    <w:rsid w:val="002E6C95"/>
    <w:rsid w:val="002E7C36"/>
    <w:rsid w:val="002F1725"/>
    <w:rsid w:val="002F3D32"/>
    <w:rsid w:val="002F5F31"/>
    <w:rsid w:val="002F5F46"/>
    <w:rsid w:val="00300648"/>
    <w:rsid w:val="00302216"/>
    <w:rsid w:val="003023E5"/>
    <w:rsid w:val="00303303"/>
    <w:rsid w:val="00303B09"/>
    <w:rsid w:val="00303E53"/>
    <w:rsid w:val="00304513"/>
    <w:rsid w:val="00304515"/>
    <w:rsid w:val="00305BDE"/>
    <w:rsid w:val="00305CC1"/>
    <w:rsid w:val="00306E5F"/>
    <w:rsid w:val="003070CE"/>
    <w:rsid w:val="00307E14"/>
    <w:rsid w:val="00310E75"/>
    <w:rsid w:val="00314054"/>
    <w:rsid w:val="00316F27"/>
    <w:rsid w:val="003214F1"/>
    <w:rsid w:val="00321EBD"/>
    <w:rsid w:val="0032274F"/>
    <w:rsid w:val="00322E4B"/>
    <w:rsid w:val="00327870"/>
    <w:rsid w:val="00327E87"/>
    <w:rsid w:val="00331E4B"/>
    <w:rsid w:val="0033259D"/>
    <w:rsid w:val="003333D2"/>
    <w:rsid w:val="00333F50"/>
    <w:rsid w:val="00334686"/>
    <w:rsid w:val="00337339"/>
    <w:rsid w:val="00340345"/>
    <w:rsid w:val="003406C6"/>
    <w:rsid w:val="003418CC"/>
    <w:rsid w:val="003434EE"/>
    <w:rsid w:val="00344D6F"/>
    <w:rsid w:val="003459BD"/>
    <w:rsid w:val="00350D38"/>
    <w:rsid w:val="003518F7"/>
    <w:rsid w:val="00351B36"/>
    <w:rsid w:val="003531FC"/>
    <w:rsid w:val="00355CB3"/>
    <w:rsid w:val="00357B4E"/>
    <w:rsid w:val="00361A35"/>
    <w:rsid w:val="003628B0"/>
    <w:rsid w:val="00362E41"/>
    <w:rsid w:val="003631F0"/>
    <w:rsid w:val="003703A2"/>
    <w:rsid w:val="00370A64"/>
    <w:rsid w:val="003713E5"/>
    <w:rsid w:val="003716FD"/>
    <w:rsid w:val="0037204B"/>
    <w:rsid w:val="003744CF"/>
    <w:rsid w:val="00374717"/>
    <w:rsid w:val="0037676C"/>
    <w:rsid w:val="00376E73"/>
    <w:rsid w:val="00381043"/>
    <w:rsid w:val="00382126"/>
    <w:rsid w:val="00382249"/>
    <w:rsid w:val="003829E5"/>
    <w:rsid w:val="003833A6"/>
    <w:rsid w:val="00384305"/>
    <w:rsid w:val="00386109"/>
    <w:rsid w:val="00386944"/>
    <w:rsid w:val="003956CC"/>
    <w:rsid w:val="00395C9A"/>
    <w:rsid w:val="00396EDE"/>
    <w:rsid w:val="003A0853"/>
    <w:rsid w:val="003A2976"/>
    <w:rsid w:val="003A2B87"/>
    <w:rsid w:val="003A56A7"/>
    <w:rsid w:val="003A6B67"/>
    <w:rsid w:val="003B13B6"/>
    <w:rsid w:val="003B14C3"/>
    <w:rsid w:val="003B1568"/>
    <w:rsid w:val="003B15E6"/>
    <w:rsid w:val="003B22EF"/>
    <w:rsid w:val="003B32E1"/>
    <w:rsid w:val="003B408A"/>
    <w:rsid w:val="003B672C"/>
    <w:rsid w:val="003B6AAE"/>
    <w:rsid w:val="003C08A2"/>
    <w:rsid w:val="003C2045"/>
    <w:rsid w:val="003C43A1"/>
    <w:rsid w:val="003C4FC0"/>
    <w:rsid w:val="003C55F4"/>
    <w:rsid w:val="003C7897"/>
    <w:rsid w:val="003C7A3F"/>
    <w:rsid w:val="003D2766"/>
    <w:rsid w:val="003D2A74"/>
    <w:rsid w:val="003D3D88"/>
    <w:rsid w:val="003D3E8F"/>
    <w:rsid w:val="003D6475"/>
    <w:rsid w:val="003D6EB0"/>
    <w:rsid w:val="003D6EE6"/>
    <w:rsid w:val="003E31D7"/>
    <w:rsid w:val="003E375C"/>
    <w:rsid w:val="003E4086"/>
    <w:rsid w:val="003E5B4B"/>
    <w:rsid w:val="003E639E"/>
    <w:rsid w:val="003E71E5"/>
    <w:rsid w:val="003E77A8"/>
    <w:rsid w:val="003F0167"/>
    <w:rsid w:val="003F0445"/>
    <w:rsid w:val="003F0CF0"/>
    <w:rsid w:val="003F14B1"/>
    <w:rsid w:val="003F2B20"/>
    <w:rsid w:val="003F3289"/>
    <w:rsid w:val="003F3C62"/>
    <w:rsid w:val="003F5CB9"/>
    <w:rsid w:val="004013C7"/>
    <w:rsid w:val="00401FCF"/>
    <w:rsid w:val="00402F5D"/>
    <w:rsid w:val="004055DC"/>
    <w:rsid w:val="00406285"/>
    <w:rsid w:val="00407472"/>
    <w:rsid w:val="004115A2"/>
    <w:rsid w:val="00412985"/>
    <w:rsid w:val="00413029"/>
    <w:rsid w:val="004148F9"/>
    <w:rsid w:val="0041678F"/>
    <w:rsid w:val="0042084E"/>
    <w:rsid w:val="00421EEF"/>
    <w:rsid w:val="00422C2D"/>
    <w:rsid w:val="00423754"/>
    <w:rsid w:val="00424D65"/>
    <w:rsid w:val="00427EE8"/>
    <w:rsid w:val="00430393"/>
    <w:rsid w:val="0043135B"/>
    <w:rsid w:val="00431806"/>
    <w:rsid w:val="00431A70"/>
    <w:rsid w:val="00431F42"/>
    <w:rsid w:val="004369C0"/>
    <w:rsid w:val="00436DDC"/>
    <w:rsid w:val="00440CA2"/>
    <w:rsid w:val="00442C6C"/>
    <w:rsid w:val="00443CBE"/>
    <w:rsid w:val="00443E8A"/>
    <w:rsid w:val="004441BC"/>
    <w:rsid w:val="00444D46"/>
    <w:rsid w:val="00445230"/>
    <w:rsid w:val="004468B4"/>
    <w:rsid w:val="00446D86"/>
    <w:rsid w:val="0045230A"/>
    <w:rsid w:val="00454A7D"/>
    <w:rsid w:val="00454AD0"/>
    <w:rsid w:val="00457337"/>
    <w:rsid w:val="00462E3D"/>
    <w:rsid w:val="00464254"/>
    <w:rsid w:val="00466E79"/>
    <w:rsid w:val="00470D7D"/>
    <w:rsid w:val="0047188E"/>
    <w:rsid w:val="0047218E"/>
    <w:rsid w:val="0047372D"/>
    <w:rsid w:val="00473BA3"/>
    <w:rsid w:val="004743DD"/>
    <w:rsid w:val="00474CEA"/>
    <w:rsid w:val="00476D57"/>
    <w:rsid w:val="00477337"/>
    <w:rsid w:val="00483756"/>
    <w:rsid w:val="00483968"/>
    <w:rsid w:val="004841BE"/>
    <w:rsid w:val="00484F5A"/>
    <w:rsid w:val="00484F86"/>
    <w:rsid w:val="00490014"/>
    <w:rsid w:val="00490746"/>
    <w:rsid w:val="00490852"/>
    <w:rsid w:val="00491C9C"/>
    <w:rsid w:val="00492732"/>
    <w:rsid w:val="00492F30"/>
    <w:rsid w:val="004946F4"/>
    <w:rsid w:val="0049487E"/>
    <w:rsid w:val="004A0BCA"/>
    <w:rsid w:val="004A1545"/>
    <w:rsid w:val="004A160D"/>
    <w:rsid w:val="004A3E81"/>
    <w:rsid w:val="004A4195"/>
    <w:rsid w:val="004A56E8"/>
    <w:rsid w:val="004A5C62"/>
    <w:rsid w:val="004A5CE5"/>
    <w:rsid w:val="004A707D"/>
    <w:rsid w:val="004B0974"/>
    <w:rsid w:val="004B23FC"/>
    <w:rsid w:val="004B4185"/>
    <w:rsid w:val="004B5988"/>
    <w:rsid w:val="004B6B9A"/>
    <w:rsid w:val="004B6D7E"/>
    <w:rsid w:val="004C0B96"/>
    <w:rsid w:val="004C5541"/>
    <w:rsid w:val="004C6EEE"/>
    <w:rsid w:val="004C702B"/>
    <w:rsid w:val="004C7D6B"/>
    <w:rsid w:val="004D0033"/>
    <w:rsid w:val="004D016B"/>
    <w:rsid w:val="004D0938"/>
    <w:rsid w:val="004D1B22"/>
    <w:rsid w:val="004D23CC"/>
    <w:rsid w:val="004D36F2"/>
    <w:rsid w:val="004E0CAB"/>
    <w:rsid w:val="004E1106"/>
    <w:rsid w:val="004E1300"/>
    <w:rsid w:val="004E138F"/>
    <w:rsid w:val="004E3E09"/>
    <w:rsid w:val="004E4649"/>
    <w:rsid w:val="004E48B8"/>
    <w:rsid w:val="004E5C2B"/>
    <w:rsid w:val="004E645C"/>
    <w:rsid w:val="004E6507"/>
    <w:rsid w:val="004F00DD"/>
    <w:rsid w:val="004F07A8"/>
    <w:rsid w:val="004F2133"/>
    <w:rsid w:val="004F4851"/>
    <w:rsid w:val="004F5398"/>
    <w:rsid w:val="004F55F1"/>
    <w:rsid w:val="004F6120"/>
    <w:rsid w:val="004F6936"/>
    <w:rsid w:val="004F6AFB"/>
    <w:rsid w:val="004F7E25"/>
    <w:rsid w:val="005001D2"/>
    <w:rsid w:val="005007E3"/>
    <w:rsid w:val="00503DC6"/>
    <w:rsid w:val="00506F5D"/>
    <w:rsid w:val="00510200"/>
    <w:rsid w:val="005109D5"/>
    <w:rsid w:val="00510C37"/>
    <w:rsid w:val="005126D0"/>
    <w:rsid w:val="00514667"/>
    <w:rsid w:val="00514B7E"/>
    <w:rsid w:val="0051568D"/>
    <w:rsid w:val="00517484"/>
    <w:rsid w:val="00524088"/>
    <w:rsid w:val="00526AC7"/>
    <w:rsid w:val="00526C15"/>
    <w:rsid w:val="005278F2"/>
    <w:rsid w:val="00534A5B"/>
    <w:rsid w:val="00534FDB"/>
    <w:rsid w:val="00535F8D"/>
    <w:rsid w:val="00536499"/>
    <w:rsid w:val="00542A03"/>
    <w:rsid w:val="00543903"/>
    <w:rsid w:val="00543BCC"/>
    <w:rsid w:val="00543F11"/>
    <w:rsid w:val="00544135"/>
    <w:rsid w:val="00546305"/>
    <w:rsid w:val="00547A95"/>
    <w:rsid w:val="005503FF"/>
    <w:rsid w:val="0055119B"/>
    <w:rsid w:val="0055129E"/>
    <w:rsid w:val="00551430"/>
    <w:rsid w:val="0055410B"/>
    <w:rsid w:val="005541A7"/>
    <w:rsid w:val="00555877"/>
    <w:rsid w:val="00556BEB"/>
    <w:rsid w:val="005578C3"/>
    <w:rsid w:val="00561202"/>
    <w:rsid w:val="00562507"/>
    <w:rsid w:val="00562811"/>
    <w:rsid w:val="00572031"/>
    <w:rsid w:val="00572282"/>
    <w:rsid w:val="00573CE3"/>
    <w:rsid w:val="00574F51"/>
    <w:rsid w:val="00575D9B"/>
    <w:rsid w:val="00576E84"/>
    <w:rsid w:val="00580394"/>
    <w:rsid w:val="005809CD"/>
    <w:rsid w:val="00581808"/>
    <w:rsid w:val="0058288D"/>
    <w:rsid w:val="00582B8C"/>
    <w:rsid w:val="00584C62"/>
    <w:rsid w:val="00584C90"/>
    <w:rsid w:val="00584D1A"/>
    <w:rsid w:val="0058757E"/>
    <w:rsid w:val="00592DBE"/>
    <w:rsid w:val="00593A85"/>
    <w:rsid w:val="00593FB4"/>
    <w:rsid w:val="00596568"/>
    <w:rsid w:val="00596A4B"/>
    <w:rsid w:val="00597507"/>
    <w:rsid w:val="005A479D"/>
    <w:rsid w:val="005B1C6D"/>
    <w:rsid w:val="005B21B6"/>
    <w:rsid w:val="005B23CB"/>
    <w:rsid w:val="005B3A08"/>
    <w:rsid w:val="005B46DB"/>
    <w:rsid w:val="005B6A2C"/>
    <w:rsid w:val="005B7A63"/>
    <w:rsid w:val="005C0479"/>
    <w:rsid w:val="005C0955"/>
    <w:rsid w:val="005C2920"/>
    <w:rsid w:val="005C29AD"/>
    <w:rsid w:val="005C2C40"/>
    <w:rsid w:val="005C49DA"/>
    <w:rsid w:val="005C4A08"/>
    <w:rsid w:val="005C4F9A"/>
    <w:rsid w:val="005C50F3"/>
    <w:rsid w:val="005C51F5"/>
    <w:rsid w:val="005C54B5"/>
    <w:rsid w:val="005C5D80"/>
    <w:rsid w:val="005C5D91"/>
    <w:rsid w:val="005C78FD"/>
    <w:rsid w:val="005D07B8"/>
    <w:rsid w:val="005D6597"/>
    <w:rsid w:val="005D6CD7"/>
    <w:rsid w:val="005D71DE"/>
    <w:rsid w:val="005E14E7"/>
    <w:rsid w:val="005E26A3"/>
    <w:rsid w:val="005E2ECB"/>
    <w:rsid w:val="005E308C"/>
    <w:rsid w:val="005E4261"/>
    <w:rsid w:val="005E447E"/>
    <w:rsid w:val="005E4FD1"/>
    <w:rsid w:val="005F0775"/>
    <w:rsid w:val="005F0CF5"/>
    <w:rsid w:val="005F135E"/>
    <w:rsid w:val="005F21EB"/>
    <w:rsid w:val="005F424B"/>
    <w:rsid w:val="005F612D"/>
    <w:rsid w:val="005F63E9"/>
    <w:rsid w:val="005F64CF"/>
    <w:rsid w:val="005F7EA9"/>
    <w:rsid w:val="006041AD"/>
    <w:rsid w:val="00605908"/>
    <w:rsid w:val="0060623B"/>
    <w:rsid w:val="00607850"/>
    <w:rsid w:val="00607EF7"/>
    <w:rsid w:val="00610BE7"/>
    <w:rsid w:val="00610D7C"/>
    <w:rsid w:val="00611DAC"/>
    <w:rsid w:val="00613414"/>
    <w:rsid w:val="0061597D"/>
    <w:rsid w:val="00616276"/>
    <w:rsid w:val="00620154"/>
    <w:rsid w:val="0062408D"/>
    <w:rsid w:val="006240CC"/>
    <w:rsid w:val="00624940"/>
    <w:rsid w:val="006254F8"/>
    <w:rsid w:val="00627575"/>
    <w:rsid w:val="00627DA7"/>
    <w:rsid w:val="0063067B"/>
    <w:rsid w:val="00630DA4"/>
    <w:rsid w:val="00631CD4"/>
    <w:rsid w:val="00632597"/>
    <w:rsid w:val="00632DC7"/>
    <w:rsid w:val="00633BC8"/>
    <w:rsid w:val="00634D13"/>
    <w:rsid w:val="006358B4"/>
    <w:rsid w:val="00641724"/>
    <w:rsid w:val="006419AA"/>
    <w:rsid w:val="00642CD1"/>
    <w:rsid w:val="00644B1F"/>
    <w:rsid w:val="00644B7E"/>
    <w:rsid w:val="006454E6"/>
    <w:rsid w:val="00646235"/>
    <w:rsid w:val="00646253"/>
    <w:rsid w:val="00646A68"/>
    <w:rsid w:val="006505BD"/>
    <w:rsid w:val="00650858"/>
    <w:rsid w:val="006508C4"/>
    <w:rsid w:val="006508EA"/>
    <w:rsid w:val="0065092E"/>
    <w:rsid w:val="006557A7"/>
    <w:rsid w:val="00656290"/>
    <w:rsid w:val="006601C9"/>
    <w:rsid w:val="006608D8"/>
    <w:rsid w:val="00660BDB"/>
    <w:rsid w:val="006621D7"/>
    <w:rsid w:val="0066302A"/>
    <w:rsid w:val="00664095"/>
    <w:rsid w:val="00664719"/>
    <w:rsid w:val="006673E7"/>
    <w:rsid w:val="00667770"/>
    <w:rsid w:val="00670597"/>
    <w:rsid w:val="006706D0"/>
    <w:rsid w:val="00672685"/>
    <w:rsid w:val="00672828"/>
    <w:rsid w:val="006741B9"/>
    <w:rsid w:val="00677574"/>
    <w:rsid w:val="006812ED"/>
    <w:rsid w:val="006834C0"/>
    <w:rsid w:val="00683878"/>
    <w:rsid w:val="00684380"/>
    <w:rsid w:val="0068454C"/>
    <w:rsid w:val="0068760E"/>
    <w:rsid w:val="00691B62"/>
    <w:rsid w:val="006933B5"/>
    <w:rsid w:val="00693D14"/>
    <w:rsid w:val="00696F27"/>
    <w:rsid w:val="00697E12"/>
    <w:rsid w:val="006A0E7E"/>
    <w:rsid w:val="006A18C2"/>
    <w:rsid w:val="006A3383"/>
    <w:rsid w:val="006A4FC5"/>
    <w:rsid w:val="006A509F"/>
    <w:rsid w:val="006A5F4A"/>
    <w:rsid w:val="006B077C"/>
    <w:rsid w:val="006B6803"/>
    <w:rsid w:val="006C22C6"/>
    <w:rsid w:val="006C5756"/>
    <w:rsid w:val="006C737A"/>
    <w:rsid w:val="006D010C"/>
    <w:rsid w:val="006D0F16"/>
    <w:rsid w:val="006D2A3F"/>
    <w:rsid w:val="006D2FBC"/>
    <w:rsid w:val="006D3C75"/>
    <w:rsid w:val="006D6E34"/>
    <w:rsid w:val="006E0585"/>
    <w:rsid w:val="006E138B"/>
    <w:rsid w:val="006E1867"/>
    <w:rsid w:val="006E3D4B"/>
    <w:rsid w:val="006E4B10"/>
    <w:rsid w:val="006F0330"/>
    <w:rsid w:val="006F1B22"/>
    <w:rsid w:val="006F1FDC"/>
    <w:rsid w:val="006F32BD"/>
    <w:rsid w:val="006F4472"/>
    <w:rsid w:val="006F6B8C"/>
    <w:rsid w:val="007013EF"/>
    <w:rsid w:val="007055BD"/>
    <w:rsid w:val="007066CA"/>
    <w:rsid w:val="00706DC1"/>
    <w:rsid w:val="00710B90"/>
    <w:rsid w:val="00711D8C"/>
    <w:rsid w:val="00712A65"/>
    <w:rsid w:val="007173CA"/>
    <w:rsid w:val="007216AA"/>
    <w:rsid w:val="00721AB5"/>
    <w:rsid w:val="00721CFB"/>
    <w:rsid w:val="00721DEF"/>
    <w:rsid w:val="00724A43"/>
    <w:rsid w:val="0072578A"/>
    <w:rsid w:val="00726E7C"/>
    <w:rsid w:val="007273AC"/>
    <w:rsid w:val="00731053"/>
    <w:rsid w:val="00731466"/>
    <w:rsid w:val="00731AD4"/>
    <w:rsid w:val="00731F9E"/>
    <w:rsid w:val="007320D5"/>
    <w:rsid w:val="0073249D"/>
    <w:rsid w:val="007346E4"/>
    <w:rsid w:val="00735564"/>
    <w:rsid w:val="00740F22"/>
    <w:rsid w:val="007416CC"/>
    <w:rsid w:val="00741CF0"/>
    <w:rsid w:val="00741F1A"/>
    <w:rsid w:val="007447DA"/>
    <w:rsid w:val="007450F8"/>
    <w:rsid w:val="0074696E"/>
    <w:rsid w:val="00750135"/>
    <w:rsid w:val="00750EC2"/>
    <w:rsid w:val="00752B28"/>
    <w:rsid w:val="007536BC"/>
    <w:rsid w:val="007541A9"/>
    <w:rsid w:val="00754E36"/>
    <w:rsid w:val="007606CB"/>
    <w:rsid w:val="00761D48"/>
    <w:rsid w:val="007622D4"/>
    <w:rsid w:val="00763139"/>
    <w:rsid w:val="00770163"/>
    <w:rsid w:val="007709F8"/>
    <w:rsid w:val="00770F37"/>
    <w:rsid w:val="007711A0"/>
    <w:rsid w:val="00772D5E"/>
    <w:rsid w:val="00772E41"/>
    <w:rsid w:val="0077308D"/>
    <w:rsid w:val="00774110"/>
    <w:rsid w:val="0077463E"/>
    <w:rsid w:val="00775DED"/>
    <w:rsid w:val="00776928"/>
    <w:rsid w:val="00776D56"/>
    <w:rsid w:val="00776E0F"/>
    <w:rsid w:val="007774B1"/>
    <w:rsid w:val="00777BE1"/>
    <w:rsid w:val="0078154E"/>
    <w:rsid w:val="00782222"/>
    <w:rsid w:val="00783145"/>
    <w:rsid w:val="007833D8"/>
    <w:rsid w:val="00783DCB"/>
    <w:rsid w:val="00785677"/>
    <w:rsid w:val="00786F16"/>
    <w:rsid w:val="00791BD7"/>
    <w:rsid w:val="007933F7"/>
    <w:rsid w:val="007939BE"/>
    <w:rsid w:val="00796E20"/>
    <w:rsid w:val="00797C32"/>
    <w:rsid w:val="007A0E43"/>
    <w:rsid w:val="007A11E8"/>
    <w:rsid w:val="007A2D13"/>
    <w:rsid w:val="007A4F02"/>
    <w:rsid w:val="007B0914"/>
    <w:rsid w:val="007B0BC6"/>
    <w:rsid w:val="007B1374"/>
    <w:rsid w:val="007B185C"/>
    <w:rsid w:val="007B2739"/>
    <w:rsid w:val="007B2757"/>
    <w:rsid w:val="007B32E5"/>
    <w:rsid w:val="007B3DB9"/>
    <w:rsid w:val="007B589F"/>
    <w:rsid w:val="007B5D08"/>
    <w:rsid w:val="007B6186"/>
    <w:rsid w:val="007B73BC"/>
    <w:rsid w:val="007B7E72"/>
    <w:rsid w:val="007C1838"/>
    <w:rsid w:val="007C20B9"/>
    <w:rsid w:val="007C4FA9"/>
    <w:rsid w:val="007C7301"/>
    <w:rsid w:val="007C7859"/>
    <w:rsid w:val="007C7F28"/>
    <w:rsid w:val="007D1466"/>
    <w:rsid w:val="007D2BDE"/>
    <w:rsid w:val="007D2FB6"/>
    <w:rsid w:val="007D49EB"/>
    <w:rsid w:val="007D5E1C"/>
    <w:rsid w:val="007E0DE2"/>
    <w:rsid w:val="007E19E7"/>
    <w:rsid w:val="007E3667"/>
    <w:rsid w:val="007E3B98"/>
    <w:rsid w:val="007E417A"/>
    <w:rsid w:val="007E548D"/>
    <w:rsid w:val="007F2697"/>
    <w:rsid w:val="007F31B6"/>
    <w:rsid w:val="007F546C"/>
    <w:rsid w:val="007F55FF"/>
    <w:rsid w:val="007F625F"/>
    <w:rsid w:val="007F665E"/>
    <w:rsid w:val="00800412"/>
    <w:rsid w:val="008011A0"/>
    <w:rsid w:val="008048FD"/>
    <w:rsid w:val="0080587B"/>
    <w:rsid w:val="00805A36"/>
    <w:rsid w:val="00805F55"/>
    <w:rsid w:val="00806468"/>
    <w:rsid w:val="008065CD"/>
    <w:rsid w:val="008119CA"/>
    <w:rsid w:val="00812E4E"/>
    <w:rsid w:val="008130C4"/>
    <w:rsid w:val="00813F96"/>
    <w:rsid w:val="0081418D"/>
    <w:rsid w:val="008155F0"/>
    <w:rsid w:val="00816735"/>
    <w:rsid w:val="00820141"/>
    <w:rsid w:val="0082068E"/>
    <w:rsid w:val="00820E0C"/>
    <w:rsid w:val="00823275"/>
    <w:rsid w:val="0082366F"/>
    <w:rsid w:val="00826497"/>
    <w:rsid w:val="008275FD"/>
    <w:rsid w:val="008279E3"/>
    <w:rsid w:val="00831724"/>
    <w:rsid w:val="00832847"/>
    <w:rsid w:val="008338A2"/>
    <w:rsid w:val="008340E8"/>
    <w:rsid w:val="00841AA9"/>
    <w:rsid w:val="008429B3"/>
    <w:rsid w:val="00845138"/>
    <w:rsid w:val="008474FE"/>
    <w:rsid w:val="00851A55"/>
    <w:rsid w:val="0085249B"/>
    <w:rsid w:val="00853EE4"/>
    <w:rsid w:val="00855535"/>
    <w:rsid w:val="0085691C"/>
    <w:rsid w:val="00857C5A"/>
    <w:rsid w:val="0086255E"/>
    <w:rsid w:val="008633F0"/>
    <w:rsid w:val="0086685E"/>
    <w:rsid w:val="0086756C"/>
    <w:rsid w:val="00867C10"/>
    <w:rsid w:val="00867D9D"/>
    <w:rsid w:val="00870FD7"/>
    <w:rsid w:val="00872E0A"/>
    <w:rsid w:val="00872ED6"/>
    <w:rsid w:val="00873594"/>
    <w:rsid w:val="00875285"/>
    <w:rsid w:val="00876D54"/>
    <w:rsid w:val="008822B7"/>
    <w:rsid w:val="00883EF9"/>
    <w:rsid w:val="00884B62"/>
    <w:rsid w:val="008851D2"/>
    <w:rsid w:val="0088529C"/>
    <w:rsid w:val="0088669C"/>
    <w:rsid w:val="00887303"/>
    <w:rsid w:val="00887903"/>
    <w:rsid w:val="00887C22"/>
    <w:rsid w:val="008913E8"/>
    <w:rsid w:val="0089270A"/>
    <w:rsid w:val="008929F1"/>
    <w:rsid w:val="00893AF6"/>
    <w:rsid w:val="00894BC4"/>
    <w:rsid w:val="008962E9"/>
    <w:rsid w:val="00896890"/>
    <w:rsid w:val="008977D1"/>
    <w:rsid w:val="008A28A8"/>
    <w:rsid w:val="008A389B"/>
    <w:rsid w:val="008A4946"/>
    <w:rsid w:val="008A54AC"/>
    <w:rsid w:val="008A5B32"/>
    <w:rsid w:val="008A7549"/>
    <w:rsid w:val="008A76A3"/>
    <w:rsid w:val="008B2029"/>
    <w:rsid w:val="008B2EE4"/>
    <w:rsid w:val="008B3821"/>
    <w:rsid w:val="008B4D3D"/>
    <w:rsid w:val="008B57C7"/>
    <w:rsid w:val="008B7D64"/>
    <w:rsid w:val="008C2F92"/>
    <w:rsid w:val="008C3546"/>
    <w:rsid w:val="008C589D"/>
    <w:rsid w:val="008C6D51"/>
    <w:rsid w:val="008C777F"/>
    <w:rsid w:val="008D130A"/>
    <w:rsid w:val="008D2846"/>
    <w:rsid w:val="008D4236"/>
    <w:rsid w:val="008D462F"/>
    <w:rsid w:val="008D4CA6"/>
    <w:rsid w:val="008D6DCF"/>
    <w:rsid w:val="008E207F"/>
    <w:rsid w:val="008E4376"/>
    <w:rsid w:val="008E713A"/>
    <w:rsid w:val="008E7A0A"/>
    <w:rsid w:val="008E7B49"/>
    <w:rsid w:val="008F183C"/>
    <w:rsid w:val="008F19FB"/>
    <w:rsid w:val="008F59F6"/>
    <w:rsid w:val="00900719"/>
    <w:rsid w:val="009017AC"/>
    <w:rsid w:val="00901E3B"/>
    <w:rsid w:val="00902A9A"/>
    <w:rsid w:val="00904164"/>
    <w:rsid w:val="00904A1C"/>
    <w:rsid w:val="00905030"/>
    <w:rsid w:val="00906490"/>
    <w:rsid w:val="00906527"/>
    <w:rsid w:val="009111B2"/>
    <w:rsid w:val="00912B6E"/>
    <w:rsid w:val="009151F5"/>
    <w:rsid w:val="00917056"/>
    <w:rsid w:val="009227AF"/>
    <w:rsid w:val="00923186"/>
    <w:rsid w:val="00923700"/>
    <w:rsid w:val="00923F30"/>
    <w:rsid w:val="00924AE1"/>
    <w:rsid w:val="00924C64"/>
    <w:rsid w:val="009269B1"/>
    <w:rsid w:val="0092724D"/>
    <w:rsid w:val="009272B3"/>
    <w:rsid w:val="00927D95"/>
    <w:rsid w:val="009315BE"/>
    <w:rsid w:val="009326DD"/>
    <w:rsid w:val="00932E3D"/>
    <w:rsid w:val="0093338F"/>
    <w:rsid w:val="00937BD9"/>
    <w:rsid w:val="00943477"/>
    <w:rsid w:val="00950487"/>
    <w:rsid w:val="00950E2C"/>
    <w:rsid w:val="00951D50"/>
    <w:rsid w:val="009525EB"/>
    <w:rsid w:val="0095470B"/>
    <w:rsid w:val="00954794"/>
    <w:rsid w:val="00954874"/>
    <w:rsid w:val="0095615A"/>
    <w:rsid w:val="009564AD"/>
    <w:rsid w:val="00961400"/>
    <w:rsid w:val="00963646"/>
    <w:rsid w:val="009645EF"/>
    <w:rsid w:val="00964D6D"/>
    <w:rsid w:val="0096632D"/>
    <w:rsid w:val="00967124"/>
    <w:rsid w:val="009702A2"/>
    <w:rsid w:val="0097166C"/>
    <w:rsid w:val="009718C7"/>
    <w:rsid w:val="00971EA1"/>
    <w:rsid w:val="009749EE"/>
    <w:rsid w:val="0097559F"/>
    <w:rsid w:val="00975B68"/>
    <w:rsid w:val="009761EA"/>
    <w:rsid w:val="009771D8"/>
    <w:rsid w:val="0097754E"/>
    <w:rsid w:val="0097761E"/>
    <w:rsid w:val="00980FFB"/>
    <w:rsid w:val="00982454"/>
    <w:rsid w:val="00982CF0"/>
    <w:rsid w:val="00982D38"/>
    <w:rsid w:val="009853E1"/>
    <w:rsid w:val="00986E6B"/>
    <w:rsid w:val="00990032"/>
    <w:rsid w:val="00990B19"/>
    <w:rsid w:val="0099153B"/>
    <w:rsid w:val="00991769"/>
    <w:rsid w:val="0099232C"/>
    <w:rsid w:val="009923F5"/>
    <w:rsid w:val="00994386"/>
    <w:rsid w:val="009A032D"/>
    <w:rsid w:val="009A10CE"/>
    <w:rsid w:val="009A13D8"/>
    <w:rsid w:val="009A20AC"/>
    <w:rsid w:val="009A25BF"/>
    <w:rsid w:val="009A279E"/>
    <w:rsid w:val="009A3015"/>
    <w:rsid w:val="009A3490"/>
    <w:rsid w:val="009A3CD4"/>
    <w:rsid w:val="009A3E81"/>
    <w:rsid w:val="009A46FB"/>
    <w:rsid w:val="009A5AA8"/>
    <w:rsid w:val="009A6EC5"/>
    <w:rsid w:val="009B00B6"/>
    <w:rsid w:val="009B0A6F"/>
    <w:rsid w:val="009B0A94"/>
    <w:rsid w:val="009B0C62"/>
    <w:rsid w:val="009B2AE8"/>
    <w:rsid w:val="009B54EB"/>
    <w:rsid w:val="009B5622"/>
    <w:rsid w:val="009B59E9"/>
    <w:rsid w:val="009B6C62"/>
    <w:rsid w:val="009B70AA"/>
    <w:rsid w:val="009C245E"/>
    <w:rsid w:val="009C5270"/>
    <w:rsid w:val="009C5E77"/>
    <w:rsid w:val="009C61A9"/>
    <w:rsid w:val="009C6205"/>
    <w:rsid w:val="009C7A7E"/>
    <w:rsid w:val="009D02E8"/>
    <w:rsid w:val="009D2200"/>
    <w:rsid w:val="009D51D0"/>
    <w:rsid w:val="009D70A4"/>
    <w:rsid w:val="009D7B14"/>
    <w:rsid w:val="009E02ED"/>
    <w:rsid w:val="009E08D1"/>
    <w:rsid w:val="009E0D96"/>
    <w:rsid w:val="009E0E63"/>
    <w:rsid w:val="009E1B95"/>
    <w:rsid w:val="009E3B1E"/>
    <w:rsid w:val="009E3C8C"/>
    <w:rsid w:val="009E496F"/>
    <w:rsid w:val="009E4B0D"/>
    <w:rsid w:val="009E5250"/>
    <w:rsid w:val="009E7A69"/>
    <w:rsid w:val="009E7E2C"/>
    <w:rsid w:val="009E7F92"/>
    <w:rsid w:val="009F02A3"/>
    <w:rsid w:val="009F2182"/>
    <w:rsid w:val="009F2E68"/>
    <w:rsid w:val="009F2F27"/>
    <w:rsid w:val="009F3060"/>
    <w:rsid w:val="009F34AA"/>
    <w:rsid w:val="009F4AA4"/>
    <w:rsid w:val="009F5863"/>
    <w:rsid w:val="009F6BCB"/>
    <w:rsid w:val="009F7B78"/>
    <w:rsid w:val="009F7ECB"/>
    <w:rsid w:val="00A0057A"/>
    <w:rsid w:val="00A021A7"/>
    <w:rsid w:val="00A02FA1"/>
    <w:rsid w:val="00A04CCE"/>
    <w:rsid w:val="00A07421"/>
    <w:rsid w:val="00A0776B"/>
    <w:rsid w:val="00A10FB9"/>
    <w:rsid w:val="00A11421"/>
    <w:rsid w:val="00A12098"/>
    <w:rsid w:val="00A12824"/>
    <w:rsid w:val="00A12FB0"/>
    <w:rsid w:val="00A130D0"/>
    <w:rsid w:val="00A1389F"/>
    <w:rsid w:val="00A13B7A"/>
    <w:rsid w:val="00A15799"/>
    <w:rsid w:val="00A157B1"/>
    <w:rsid w:val="00A16143"/>
    <w:rsid w:val="00A16404"/>
    <w:rsid w:val="00A22229"/>
    <w:rsid w:val="00A2262A"/>
    <w:rsid w:val="00A23D31"/>
    <w:rsid w:val="00A24442"/>
    <w:rsid w:val="00A24ADA"/>
    <w:rsid w:val="00A277F2"/>
    <w:rsid w:val="00A27990"/>
    <w:rsid w:val="00A32577"/>
    <w:rsid w:val="00A330BB"/>
    <w:rsid w:val="00A446F5"/>
    <w:rsid w:val="00A44882"/>
    <w:rsid w:val="00A45125"/>
    <w:rsid w:val="00A54715"/>
    <w:rsid w:val="00A54EA8"/>
    <w:rsid w:val="00A5625C"/>
    <w:rsid w:val="00A6061C"/>
    <w:rsid w:val="00A62D44"/>
    <w:rsid w:val="00A67263"/>
    <w:rsid w:val="00A678BF"/>
    <w:rsid w:val="00A70EFC"/>
    <w:rsid w:val="00A7161C"/>
    <w:rsid w:val="00A71CE4"/>
    <w:rsid w:val="00A736A6"/>
    <w:rsid w:val="00A761A2"/>
    <w:rsid w:val="00A77AA3"/>
    <w:rsid w:val="00A77E0C"/>
    <w:rsid w:val="00A8236D"/>
    <w:rsid w:val="00A854EB"/>
    <w:rsid w:val="00A872E5"/>
    <w:rsid w:val="00A879EA"/>
    <w:rsid w:val="00A91406"/>
    <w:rsid w:val="00A92D79"/>
    <w:rsid w:val="00A96E65"/>
    <w:rsid w:val="00A96ECE"/>
    <w:rsid w:val="00A97BFD"/>
    <w:rsid w:val="00A97C72"/>
    <w:rsid w:val="00AA19F7"/>
    <w:rsid w:val="00AA310B"/>
    <w:rsid w:val="00AA63D4"/>
    <w:rsid w:val="00AB06E8"/>
    <w:rsid w:val="00AB1CD3"/>
    <w:rsid w:val="00AB352F"/>
    <w:rsid w:val="00AB51D2"/>
    <w:rsid w:val="00AC0D07"/>
    <w:rsid w:val="00AC274B"/>
    <w:rsid w:val="00AC4764"/>
    <w:rsid w:val="00AC6D36"/>
    <w:rsid w:val="00AC7D76"/>
    <w:rsid w:val="00AD0CBA"/>
    <w:rsid w:val="00AD18D4"/>
    <w:rsid w:val="00AD26E2"/>
    <w:rsid w:val="00AD784C"/>
    <w:rsid w:val="00AE0467"/>
    <w:rsid w:val="00AE126A"/>
    <w:rsid w:val="00AE1BAE"/>
    <w:rsid w:val="00AE3005"/>
    <w:rsid w:val="00AE3BD5"/>
    <w:rsid w:val="00AE59A0"/>
    <w:rsid w:val="00AE6DAC"/>
    <w:rsid w:val="00AF05CE"/>
    <w:rsid w:val="00AF0C57"/>
    <w:rsid w:val="00AF2010"/>
    <w:rsid w:val="00AF26F3"/>
    <w:rsid w:val="00AF5F04"/>
    <w:rsid w:val="00AF67F1"/>
    <w:rsid w:val="00AF729E"/>
    <w:rsid w:val="00B000A3"/>
    <w:rsid w:val="00B00672"/>
    <w:rsid w:val="00B01B4D"/>
    <w:rsid w:val="00B01FB3"/>
    <w:rsid w:val="00B02AB5"/>
    <w:rsid w:val="00B04270"/>
    <w:rsid w:val="00B04489"/>
    <w:rsid w:val="00B045FE"/>
    <w:rsid w:val="00B06571"/>
    <w:rsid w:val="00B068BA"/>
    <w:rsid w:val="00B07217"/>
    <w:rsid w:val="00B12928"/>
    <w:rsid w:val="00B13851"/>
    <w:rsid w:val="00B13B1C"/>
    <w:rsid w:val="00B14B5F"/>
    <w:rsid w:val="00B15E37"/>
    <w:rsid w:val="00B17511"/>
    <w:rsid w:val="00B17E33"/>
    <w:rsid w:val="00B21F90"/>
    <w:rsid w:val="00B22291"/>
    <w:rsid w:val="00B23F9A"/>
    <w:rsid w:val="00B2417B"/>
    <w:rsid w:val="00B24E6F"/>
    <w:rsid w:val="00B26CB5"/>
    <w:rsid w:val="00B2752E"/>
    <w:rsid w:val="00B307CC"/>
    <w:rsid w:val="00B326B7"/>
    <w:rsid w:val="00B33C65"/>
    <w:rsid w:val="00B3588E"/>
    <w:rsid w:val="00B362EE"/>
    <w:rsid w:val="00B36523"/>
    <w:rsid w:val="00B4198F"/>
    <w:rsid w:val="00B41F3D"/>
    <w:rsid w:val="00B4295C"/>
    <w:rsid w:val="00B431E8"/>
    <w:rsid w:val="00B45141"/>
    <w:rsid w:val="00B47F5C"/>
    <w:rsid w:val="00B519CD"/>
    <w:rsid w:val="00B52386"/>
    <w:rsid w:val="00B5273A"/>
    <w:rsid w:val="00B53DA9"/>
    <w:rsid w:val="00B57329"/>
    <w:rsid w:val="00B60E61"/>
    <w:rsid w:val="00B62B50"/>
    <w:rsid w:val="00B62FED"/>
    <w:rsid w:val="00B634F2"/>
    <w:rsid w:val="00B635B7"/>
    <w:rsid w:val="00B63AE8"/>
    <w:rsid w:val="00B63E77"/>
    <w:rsid w:val="00B65950"/>
    <w:rsid w:val="00B66D83"/>
    <w:rsid w:val="00B66FB5"/>
    <w:rsid w:val="00B672C0"/>
    <w:rsid w:val="00B676FD"/>
    <w:rsid w:val="00B678B6"/>
    <w:rsid w:val="00B75646"/>
    <w:rsid w:val="00B7629E"/>
    <w:rsid w:val="00B769A9"/>
    <w:rsid w:val="00B81517"/>
    <w:rsid w:val="00B90729"/>
    <w:rsid w:val="00B907DA"/>
    <w:rsid w:val="00B90B09"/>
    <w:rsid w:val="00B90B84"/>
    <w:rsid w:val="00B94C5E"/>
    <w:rsid w:val="00B950BC"/>
    <w:rsid w:val="00B9714C"/>
    <w:rsid w:val="00B977B2"/>
    <w:rsid w:val="00BA02E1"/>
    <w:rsid w:val="00BA26F6"/>
    <w:rsid w:val="00BA29AD"/>
    <w:rsid w:val="00BA2E98"/>
    <w:rsid w:val="00BA33CF"/>
    <w:rsid w:val="00BA3F8D"/>
    <w:rsid w:val="00BB52C4"/>
    <w:rsid w:val="00BB55D7"/>
    <w:rsid w:val="00BB6B39"/>
    <w:rsid w:val="00BB74AC"/>
    <w:rsid w:val="00BB7A10"/>
    <w:rsid w:val="00BC412E"/>
    <w:rsid w:val="00BC5BC1"/>
    <w:rsid w:val="00BC60BE"/>
    <w:rsid w:val="00BC7468"/>
    <w:rsid w:val="00BC7559"/>
    <w:rsid w:val="00BC7D4F"/>
    <w:rsid w:val="00BC7DF6"/>
    <w:rsid w:val="00BC7ED7"/>
    <w:rsid w:val="00BD102D"/>
    <w:rsid w:val="00BD1923"/>
    <w:rsid w:val="00BD2850"/>
    <w:rsid w:val="00BD3B44"/>
    <w:rsid w:val="00BD4E87"/>
    <w:rsid w:val="00BD55F2"/>
    <w:rsid w:val="00BD7AFC"/>
    <w:rsid w:val="00BE067E"/>
    <w:rsid w:val="00BE28D2"/>
    <w:rsid w:val="00BE4023"/>
    <w:rsid w:val="00BE49AC"/>
    <w:rsid w:val="00BE4A64"/>
    <w:rsid w:val="00BE5E43"/>
    <w:rsid w:val="00BE7674"/>
    <w:rsid w:val="00BE79E0"/>
    <w:rsid w:val="00BF2BBA"/>
    <w:rsid w:val="00BF557D"/>
    <w:rsid w:val="00BF658D"/>
    <w:rsid w:val="00BF7F58"/>
    <w:rsid w:val="00C01381"/>
    <w:rsid w:val="00C016C3"/>
    <w:rsid w:val="00C01AB1"/>
    <w:rsid w:val="00C026A0"/>
    <w:rsid w:val="00C041D8"/>
    <w:rsid w:val="00C06137"/>
    <w:rsid w:val="00C0667F"/>
    <w:rsid w:val="00C06929"/>
    <w:rsid w:val="00C079B8"/>
    <w:rsid w:val="00C10037"/>
    <w:rsid w:val="00C10E00"/>
    <w:rsid w:val="00C10EFF"/>
    <w:rsid w:val="00C115E1"/>
    <w:rsid w:val="00C123EA"/>
    <w:rsid w:val="00C12A49"/>
    <w:rsid w:val="00C133EE"/>
    <w:rsid w:val="00C149D0"/>
    <w:rsid w:val="00C26588"/>
    <w:rsid w:val="00C27DE9"/>
    <w:rsid w:val="00C32989"/>
    <w:rsid w:val="00C3336E"/>
    <w:rsid w:val="00C33388"/>
    <w:rsid w:val="00C35484"/>
    <w:rsid w:val="00C364C2"/>
    <w:rsid w:val="00C4173A"/>
    <w:rsid w:val="00C42C96"/>
    <w:rsid w:val="00C4474C"/>
    <w:rsid w:val="00C50DED"/>
    <w:rsid w:val="00C51C86"/>
    <w:rsid w:val="00C52217"/>
    <w:rsid w:val="00C5523D"/>
    <w:rsid w:val="00C602FF"/>
    <w:rsid w:val="00C60411"/>
    <w:rsid w:val="00C61174"/>
    <w:rsid w:val="00C61292"/>
    <w:rsid w:val="00C6148F"/>
    <w:rsid w:val="00C621B1"/>
    <w:rsid w:val="00C62F7A"/>
    <w:rsid w:val="00C63B9C"/>
    <w:rsid w:val="00C6675D"/>
    <w:rsid w:val="00C6682F"/>
    <w:rsid w:val="00C66C41"/>
    <w:rsid w:val="00C67BF4"/>
    <w:rsid w:val="00C67E23"/>
    <w:rsid w:val="00C71210"/>
    <w:rsid w:val="00C7238E"/>
    <w:rsid w:val="00C7275E"/>
    <w:rsid w:val="00C731AF"/>
    <w:rsid w:val="00C74C5D"/>
    <w:rsid w:val="00C7626F"/>
    <w:rsid w:val="00C7659D"/>
    <w:rsid w:val="00C843D3"/>
    <w:rsid w:val="00C84740"/>
    <w:rsid w:val="00C851D3"/>
    <w:rsid w:val="00C85AC8"/>
    <w:rsid w:val="00C85ED3"/>
    <w:rsid w:val="00C863C4"/>
    <w:rsid w:val="00C90DAB"/>
    <w:rsid w:val="00C920EA"/>
    <w:rsid w:val="00C9293D"/>
    <w:rsid w:val="00C9326F"/>
    <w:rsid w:val="00C93C3E"/>
    <w:rsid w:val="00C93E33"/>
    <w:rsid w:val="00CA12E3"/>
    <w:rsid w:val="00CA1341"/>
    <w:rsid w:val="00CA1476"/>
    <w:rsid w:val="00CA6611"/>
    <w:rsid w:val="00CA6AE6"/>
    <w:rsid w:val="00CA782F"/>
    <w:rsid w:val="00CB187B"/>
    <w:rsid w:val="00CB2835"/>
    <w:rsid w:val="00CB3285"/>
    <w:rsid w:val="00CB4500"/>
    <w:rsid w:val="00CC0C72"/>
    <w:rsid w:val="00CC1EC0"/>
    <w:rsid w:val="00CC2BFD"/>
    <w:rsid w:val="00CC37AC"/>
    <w:rsid w:val="00CC39B1"/>
    <w:rsid w:val="00CC6F40"/>
    <w:rsid w:val="00CC7625"/>
    <w:rsid w:val="00CD3476"/>
    <w:rsid w:val="00CD3D65"/>
    <w:rsid w:val="00CD64DF"/>
    <w:rsid w:val="00CD69D7"/>
    <w:rsid w:val="00CE1C59"/>
    <w:rsid w:val="00CE225F"/>
    <w:rsid w:val="00CE38CD"/>
    <w:rsid w:val="00CE5A7A"/>
    <w:rsid w:val="00CF079F"/>
    <w:rsid w:val="00CF09F0"/>
    <w:rsid w:val="00CF29E7"/>
    <w:rsid w:val="00CF2F50"/>
    <w:rsid w:val="00CF32FB"/>
    <w:rsid w:val="00CF3E2A"/>
    <w:rsid w:val="00CF6198"/>
    <w:rsid w:val="00D02919"/>
    <w:rsid w:val="00D04804"/>
    <w:rsid w:val="00D0498C"/>
    <w:rsid w:val="00D04C61"/>
    <w:rsid w:val="00D05B8D"/>
    <w:rsid w:val="00D05B9B"/>
    <w:rsid w:val="00D065A2"/>
    <w:rsid w:val="00D079AA"/>
    <w:rsid w:val="00D07F00"/>
    <w:rsid w:val="00D10AE3"/>
    <w:rsid w:val="00D11063"/>
    <w:rsid w:val="00D1130F"/>
    <w:rsid w:val="00D14B70"/>
    <w:rsid w:val="00D15B99"/>
    <w:rsid w:val="00D15C2B"/>
    <w:rsid w:val="00D16EBD"/>
    <w:rsid w:val="00D17B72"/>
    <w:rsid w:val="00D202A7"/>
    <w:rsid w:val="00D20AC6"/>
    <w:rsid w:val="00D23DE0"/>
    <w:rsid w:val="00D24A41"/>
    <w:rsid w:val="00D30DC5"/>
    <w:rsid w:val="00D3185C"/>
    <w:rsid w:val="00D31F6F"/>
    <w:rsid w:val="00D3205F"/>
    <w:rsid w:val="00D3318E"/>
    <w:rsid w:val="00D33E72"/>
    <w:rsid w:val="00D3532F"/>
    <w:rsid w:val="00D35BD6"/>
    <w:rsid w:val="00D361B5"/>
    <w:rsid w:val="00D411A2"/>
    <w:rsid w:val="00D41A8B"/>
    <w:rsid w:val="00D4275D"/>
    <w:rsid w:val="00D42939"/>
    <w:rsid w:val="00D4339D"/>
    <w:rsid w:val="00D440F4"/>
    <w:rsid w:val="00D455D4"/>
    <w:rsid w:val="00D45BB4"/>
    <w:rsid w:val="00D4606D"/>
    <w:rsid w:val="00D50B9C"/>
    <w:rsid w:val="00D513AF"/>
    <w:rsid w:val="00D52D73"/>
    <w:rsid w:val="00D52E58"/>
    <w:rsid w:val="00D5335F"/>
    <w:rsid w:val="00D53A9B"/>
    <w:rsid w:val="00D55E18"/>
    <w:rsid w:val="00D56B20"/>
    <w:rsid w:val="00D56BD9"/>
    <w:rsid w:val="00D578B3"/>
    <w:rsid w:val="00D618F4"/>
    <w:rsid w:val="00D633FA"/>
    <w:rsid w:val="00D63636"/>
    <w:rsid w:val="00D64B64"/>
    <w:rsid w:val="00D6564F"/>
    <w:rsid w:val="00D714CC"/>
    <w:rsid w:val="00D718C6"/>
    <w:rsid w:val="00D749E4"/>
    <w:rsid w:val="00D75EA7"/>
    <w:rsid w:val="00D76A62"/>
    <w:rsid w:val="00D76ECC"/>
    <w:rsid w:val="00D81ADF"/>
    <w:rsid w:val="00D81F21"/>
    <w:rsid w:val="00D8455D"/>
    <w:rsid w:val="00D864F2"/>
    <w:rsid w:val="00D86F5A"/>
    <w:rsid w:val="00D873C5"/>
    <w:rsid w:val="00D943F8"/>
    <w:rsid w:val="00D95288"/>
    <w:rsid w:val="00D95470"/>
    <w:rsid w:val="00D96B55"/>
    <w:rsid w:val="00DA2619"/>
    <w:rsid w:val="00DA4239"/>
    <w:rsid w:val="00DA588C"/>
    <w:rsid w:val="00DA65DE"/>
    <w:rsid w:val="00DA6D7F"/>
    <w:rsid w:val="00DA6E98"/>
    <w:rsid w:val="00DA7C7C"/>
    <w:rsid w:val="00DB0B61"/>
    <w:rsid w:val="00DB1474"/>
    <w:rsid w:val="00DB2962"/>
    <w:rsid w:val="00DB4D81"/>
    <w:rsid w:val="00DB52FB"/>
    <w:rsid w:val="00DC013B"/>
    <w:rsid w:val="00DC090B"/>
    <w:rsid w:val="00DC15D2"/>
    <w:rsid w:val="00DC1679"/>
    <w:rsid w:val="00DC219B"/>
    <w:rsid w:val="00DC2CF1"/>
    <w:rsid w:val="00DC2DC7"/>
    <w:rsid w:val="00DC2EA0"/>
    <w:rsid w:val="00DC3A7C"/>
    <w:rsid w:val="00DC4FCF"/>
    <w:rsid w:val="00DC50E0"/>
    <w:rsid w:val="00DC6386"/>
    <w:rsid w:val="00DD1130"/>
    <w:rsid w:val="00DD1951"/>
    <w:rsid w:val="00DD2B5F"/>
    <w:rsid w:val="00DD45EC"/>
    <w:rsid w:val="00DD487D"/>
    <w:rsid w:val="00DD4E83"/>
    <w:rsid w:val="00DD5DD5"/>
    <w:rsid w:val="00DD6628"/>
    <w:rsid w:val="00DD6945"/>
    <w:rsid w:val="00DE2D04"/>
    <w:rsid w:val="00DE3250"/>
    <w:rsid w:val="00DE3E79"/>
    <w:rsid w:val="00DE5C11"/>
    <w:rsid w:val="00DE5ED0"/>
    <w:rsid w:val="00DE6028"/>
    <w:rsid w:val="00DE6C85"/>
    <w:rsid w:val="00DE6FB3"/>
    <w:rsid w:val="00DE78A3"/>
    <w:rsid w:val="00DF0A6E"/>
    <w:rsid w:val="00DF1A71"/>
    <w:rsid w:val="00DF4F34"/>
    <w:rsid w:val="00DF50FC"/>
    <w:rsid w:val="00DF545A"/>
    <w:rsid w:val="00DF68C7"/>
    <w:rsid w:val="00DF731A"/>
    <w:rsid w:val="00E010BB"/>
    <w:rsid w:val="00E01181"/>
    <w:rsid w:val="00E016E8"/>
    <w:rsid w:val="00E06B75"/>
    <w:rsid w:val="00E07BD3"/>
    <w:rsid w:val="00E11332"/>
    <w:rsid w:val="00E11352"/>
    <w:rsid w:val="00E1386B"/>
    <w:rsid w:val="00E1532B"/>
    <w:rsid w:val="00E170DC"/>
    <w:rsid w:val="00E17546"/>
    <w:rsid w:val="00E210B5"/>
    <w:rsid w:val="00E23E1C"/>
    <w:rsid w:val="00E25FC5"/>
    <w:rsid w:val="00E261B3"/>
    <w:rsid w:val="00E26818"/>
    <w:rsid w:val="00E268DB"/>
    <w:rsid w:val="00E27FFC"/>
    <w:rsid w:val="00E3034E"/>
    <w:rsid w:val="00E30B15"/>
    <w:rsid w:val="00E32696"/>
    <w:rsid w:val="00E33237"/>
    <w:rsid w:val="00E34FF3"/>
    <w:rsid w:val="00E363EE"/>
    <w:rsid w:val="00E40181"/>
    <w:rsid w:val="00E41587"/>
    <w:rsid w:val="00E42B39"/>
    <w:rsid w:val="00E449CC"/>
    <w:rsid w:val="00E47ADB"/>
    <w:rsid w:val="00E47B9F"/>
    <w:rsid w:val="00E521FD"/>
    <w:rsid w:val="00E52213"/>
    <w:rsid w:val="00E54950"/>
    <w:rsid w:val="00E55AA0"/>
    <w:rsid w:val="00E55FB3"/>
    <w:rsid w:val="00E56A01"/>
    <w:rsid w:val="00E629A1"/>
    <w:rsid w:val="00E6794C"/>
    <w:rsid w:val="00E70207"/>
    <w:rsid w:val="00E704EB"/>
    <w:rsid w:val="00E71591"/>
    <w:rsid w:val="00E71CEB"/>
    <w:rsid w:val="00E7391D"/>
    <w:rsid w:val="00E7474F"/>
    <w:rsid w:val="00E7512D"/>
    <w:rsid w:val="00E75370"/>
    <w:rsid w:val="00E770A1"/>
    <w:rsid w:val="00E80DE3"/>
    <w:rsid w:val="00E80DEB"/>
    <w:rsid w:val="00E82C55"/>
    <w:rsid w:val="00E83331"/>
    <w:rsid w:val="00E8787E"/>
    <w:rsid w:val="00E9042A"/>
    <w:rsid w:val="00E91D03"/>
    <w:rsid w:val="00E91F9F"/>
    <w:rsid w:val="00E92AC3"/>
    <w:rsid w:val="00E95993"/>
    <w:rsid w:val="00E974A5"/>
    <w:rsid w:val="00EA1812"/>
    <w:rsid w:val="00EA1AA2"/>
    <w:rsid w:val="00EA2F6A"/>
    <w:rsid w:val="00EA6BA9"/>
    <w:rsid w:val="00EB00E0"/>
    <w:rsid w:val="00EB05D5"/>
    <w:rsid w:val="00EB1E8D"/>
    <w:rsid w:val="00EB4BC7"/>
    <w:rsid w:val="00EB56B9"/>
    <w:rsid w:val="00EC059F"/>
    <w:rsid w:val="00EC1F24"/>
    <w:rsid w:val="00EC2213"/>
    <w:rsid w:val="00EC22F6"/>
    <w:rsid w:val="00EC3DB9"/>
    <w:rsid w:val="00EC6201"/>
    <w:rsid w:val="00ED472C"/>
    <w:rsid w:val="00ED5B9B"/>
    <w:rsid w:val="00ED6BAD"/>
    <w:rsid w:val="00ED7447"/>
    <w:rsid w:val="00ED7762"/>
    <w:rsid w:val="00ED79A6"/>
    <w:rsid w:val="00EE00D6"/>
    <w:rsid w:val="00EE11E7"/>
    <w:rsid w:val="00EE1488"/>
    <w:rsid w:val="00EE25A9"/>
    <w:rsid w:val="00EE29AD"/>
    <w:rsid w:val="00EE3E24"/>
    <w:rsid w:val="00EE4D5D"/>
    <w:rsid w:val="00EE5131"/>
    <w:rsid w:val="00EE68E1"/>
    <w:rsid w:val="00EF109B"/>
    <w:rsid w:val="00EF201C"/>
    <w:rsid w:val="00EF2C72"/>
    <w:rsid w:val="00EF2E97"/>
    <w:rsid w:val="00EF36AF"/>
    <w:rsid w:val="00EF56C3"/>
    <w:rsid w:val="00EF59A3"/>
    <w:rsid w:val="00EF6675"/>
    <w:rsid w:val="00EF750F"/>
    <w:rsid w:val="00F00023"/>
    <w:rsid w:val="00F0063D"/>
    <w:rsid w:val="00F00F9C"/>
    <w:rsid w:val="00F01E5F"/>
    <w:rsid w:val="00F024F3"/>
    <w:rsid w:val="00F02ABA"/>
    <w:rsid w:val="00F0437A"/>
    <w:rsid w:val="00F04F32"/>
    <w:rsid w:val="00F0523F"/>
    <w:rsid w:val="00F05E7F"/>
    <w:rsid w:val="00F101B8"/>
    <w:rsid w:val="00F10711"/>
    <w:rsid w:val="00F11037"/>
    <w:rsid w:val="00F11E43"/>
    <w:rsid w:val="00F12D61"/>
    <w:rsid w:val="00F13597"/>
    <w:rsid w:val="00F13909"/>
    <w:rsid w:val="00F16F1B"/>
    <w:rsid w:val="00F250A9"/>
    <w:rsid w:val="00F255B7"/>
    <w:rsid w:val="00F267AF"/>
    <w:rsid w:val="00F307C0"/>
    <w:rsid w:val="00F30CD6"/>
    <w:rsid w:val="00F30FF4"/>
    <w:rsid w:val="00F3122E"/>
    <w:rsid w:val="00F32368"/>
    <w:rsid w:val="00F32AAA"/>
    <w:rsid w:val="00F331AD"/>
    <w:rsid w:val="00F35287"/>
    <w:rsid w:val="00F35F2D"/>
    <w:rsid w:val="00F367FE"/>
    <w:rsid w:val="00F40A70"/>
    <w:rsid w:val="00F43A37"/>
    <w:rsid w:val="00F4641B"/>
    <w:rsid w:val="00F46EB8"/>
    <w:rsid w:val="00F50CD1"/>
    <w:rsid w:val="00F511E4"/>
    <w:rsid w:val="00F52D09"/>
    <w:rsid w:val="00F52E08"/>
    <w:rsid w:val="00F53A66"/>
    <w:rsid w:val="00F5462D"/>
    <w:rsid w:val="00F55B21"/>
    <w:rsid w:val="00F55EB7"/>
    <w:rsid w:val="00F56EF6"/>
    <w:rsid w:val="00F57904"/>
    <w:rsid w:val="00F60082"/>
    <w:rsid w:val="00F6135C"/>
    <w:rsid w:val="00F61A9F"/>
    <w:rsid w:val="00F61B5F"/>
    <w:rsid w:val="00F61EC5"/>
    <w:rsid w:val="00F64696"/>
    <w:rsid w:val="00F65AA9"/>
    <w:rsid w:val="00F6715B"/>
    <w:rsid w:val="00F6768F"/>
    <w:rsid w:val="00F72C2C"/>
    <w:rsid w:val="00F741F2"/>
    <w:rsid w:val="00F768C3"/>
    <w:rsid w:val="00F76CAB"/>
    <w:rsid w:val="00F772C6"/>
    <w:rsid w:val="00F77F75"/>
    <w:rsid w:val="00F815B5"/>
    <w:rsid w:val="00F81828"/>
    <w:rsid w:val="00F85195"/>
    <w:rsid w:val="00F8576F"/>
    <w:rsid w:val="00F868E3"/>
    <w:rsid w:val="00F9089C"/>
    <w:rsid w:val="00F93240"/>
    <w:rsid w:val="00F938BA"/>
    <w:rsid w:val="00F96095"/>
    <w:rsid w:val="00F96715"/>
    <w:rsid w:val="00F97919"/>
    <w:rsid w:val="00FA2C46"/>
    <w:rsid w:val="00FA3525"/>
    <w:rsid w:val="00FA5A53"/>
    <w:rsid w:val="00FA628C"/>
    <w:rsid w:val="00FB1F6E"/>
    <w:rsid w:val="00FB4769"/>
    <w:rsid w:val="00FB4CDA"/>
    <w:rsid w:val="00FB6481"/>
    <w:rsid w:val="00FB6D36"/>
    <w:rsid w:val="00FC0965"/>
    <w:rsid w:val="00FC0F81"/>
    <w:rsid w:val="00FC0FA3"/>
    <w:rsid w:val="00FC252F"/>
    <w:rsid w:val="00FC254D"/>
    <w:rsid w:val="00FC2611"/>
    <w:rsid w:val="00FC395C"/>
    <w:rsid w:val="00FC4543"/>
    <w:rsid w:val="00FC5E8E"/>
    <w:rsid w:val="00FC602E"/>
    <w:rsid w:val="00FD3766"/>
    <w:rsid w:val="00FD3D05"/>
    <w:rsid w:val="00FD4085"/>
    <w:rsid w:val="00FD47C4"/>
    <w:rsid w:val="00FD7520"/>
    <w:rsid w:val="00FE2DCF"/>
    <w:rsid w:val="00FE3FA7"/>
    <w:rsid w:val="00FE4081"/>
    <w:rsid w:val="00FE4CB3"/>
    <w:rsid w:val="00FE5636"/>
    <w:rsid w:val="00FE56A3"/>
    <w:rsid w:val="00FF2A4E"/>
    <w:rsid w:val="00FF2FCE"/>
    <w:rsid w:val="00FF4F7D"/>
    <w:rsid w:val="00FF6380"/>
    <w:rsid w:val="00FF6D9D"/>
    <w:rsid w:val="00FF7620"/>
    <w:rsid w:val="00FF7DD5"/>
    <w:rsid w:val="04FEBBE0"/>
    <w:rsid w:val="104BF93B"/>
    <w:rsid w:val="18DC4834"/>
    <w:rsid w:val="22C5AC82"/>
    <w:rsid w:val="24AD46F5"/>
    <w:rsid w:val="2AC4BB28"/>
    <w:rsid w:val="2C01557C"/>
    <w:rsid w:val="3684E38F"/>
    <w:rsid w:val="38BFC1A2"/>
    <w:rsid w:val="4026B6D3"/>
    <w:rsid w:val="42C6B773"/>
    <w:rsid w:val="45B4AE4E"/>
    <w:rsid w:val="50390AB3"/>
    <w:rsid w:val="52735DA7"/>
    <w:rsid w:val="5A92EA4C"/>
    <w:rsid w:val="63B58C0A"/>
    <w:rsid w:val="63C79F94"/>
    <w:rsid w:val="67F2E2E4"/>
    <w:rsid w:val="6CC9D52E"/>
    <w:rsid w:val="6F88C3E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1A47B1"/>
  <w15:docId w15:val="{7A28045B-49AA-4147-9F6E-669A4960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5" w:unhideWhenUsed="1" w:qFormat="1"/>
    <w:lsdException w:name="List Number 3" w:semiHidden="1" w:uiPriority="5"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23"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uiPriority="60"/>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18"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ED79A6"/>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paragraph" w:styleId="Heading6">
    <w:name w:val="heading 6"/>
    <w:basedOn w:val="Normal"/>
    <w:next w:val="Normal"/>
    <w:link w:val="Heading6Char"/>
    <w:uiPriority w:val="9"/>
    <w:unhideWhenUsed/>
    <w:qFormat/>
    <w:rsid w:val="00281C2F"/>
    <w:pPr>
      <w:spacing w:before="240"/>
      <w:outlineLvl w:val="5"/>
    </w:pPr>
    <w:rPr>
      <w:rFonts w:ascii="Tahoma" w:hAnsi="Tahoma"/>
      <w:b/>
      <w:i/>
      <w:color w:val="948A54" w:themeColor="background2" w:themeShade="80"/>
      <w:sz w:val="18"/>
      <w:szCs w:val="22"/>
    </w:rPr>
  </w:style>
  <w:style w:type="paragraph" w:styleId="Heading7">
    <w:name w:val="heading 7"/>
    <w:basedOn w:val="Normal"/>
    <w:next w:val="Normal"/>
    <w:link w:val="Heading7Char"/>
    <w:uiPriority w:val="9"/>
    <w:unhideWhenUsed/>
    <w:qFormat/>
    <w:rsid w:val="00281C2F"/>
    <w:pPr>
      <w:keepNext/>
      <w:keepLines/>
      <w:spacing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281C2F"/>
    <w:pPr>
      <w:keepNext/>
      <w:keepLines/>
      <w:spacing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D79A6"/>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8"/>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D79A6"/>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ED79A6"/>
    <w:pPr>
      <w:spacing w:line="320" w:lineRule="atLeast"/>
    </w:pPr>
    <w:rPr>
      <w:color w:val="201547"/>
      <w:sz w:val="24"/>
    </w:rPr>
  </w:style>
  <w:style w:type="character" w:customStyle="1" w:styleId="ui-provider">
    <w:name w:val="ui-provider"/>
    <w:basedOn w:val="DefaultParagraphFont"/>
    <w:rsid w:val="00281C2F"/>
  </w:style>
  <w:style w:type="paragraph" w:customStyle="1" w:styleId="DHHSbody">
    <w:name w:val="DHHS body"/>
    <w:link w:val="DHHSbodyChar"/>
    <w:qFormat/>
    <w:rsid w:val="00281C2F"/>
    <w:pPr>
      <w:spacing w:after="120" w:line="270" w:lineRule="atLeast"/>
    </w:pPr>
    <w:rPr>
      <w:rFonts w:ascii="Arial" w:eastAsia="Times" w:hAnsi="Arial"/>
      <w:lang w:eastAsia="en-US"/>
    </w:rPr>
  </w:style>
  <w:style w:type="character" w:customStyle="1" w:styleId="DHHSbodyChar">
    <w:name w:val="DHHS body Char"/>
    <w:link w:val="DHHSbody"/>
    <w:rsid w:val="00281C2F"/>
    <w:rPr>
      <w:rFonts w:ascii="Arial" w:eastAsia="Times" w:hAnsi="Arial"/>
      <w:lang w:eastAsia="en-US"/>
    </w:rPr>
  </w:style>
  <w:style w:type="table" w:customStyle="1" w:styleId="GridTable4-Accent21">
    <w:name w:val="Grid Table 4 - Accent 21"/>
    <w:basedOn w:val="TableNormal"/>
    <w:uiPriority w:val="49"/>
    <w:rsid w:val="00281C2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6">
    <w:name w:val="Grid Table 4 Accent 6"/>
    <w:basedOn w:val="TableNormal"/>
    <w:uiPriority w:val="49"/>
    <w:rsid w:val="00281C2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Accent6">
    <w:name w:val="Grid Table 3 Accent 6"/>
    <w:basedOn w:val="TableNormal"/>
    <w:uiPriority w:val="48"/>
    <w:rsid w:val="00281C2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3-Accent6">
    <w:name w:val="List Table 3 Accent 6"/>
    <w:basedOn w:val="TableNormal"/>
    <w:uiPriority w:val="48"/>
    <w:rsid w:val="00281C2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6">
    <w:name w:val="List Table 4 Accent 6"/>
    <w:basedOn w:val="TableNormal"/>
    <w:uiPriority w:val="49"/>
    <w:rsid w:val="00281C2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eading6Char">
    <w:name w:val="Heading 6 Char"/>
    <w:basedOn w:val="DefaultParagraphFont"/>
    <w:link w:val="Heading6"/>
    <w:uiPriority w:val="9"/>
    <w:rsid w:val="00281C2F"/>
    <w:rPr>
      <w:rFonts w:ascii="Tahoma" w:hAnsi="Tahoma"/>
      <w:b/>
      <w:i/>
      <w:color w:val="948A54" w:themeColor="background2" w:themeShade="80"/>
      <w:sz w:val="18"/>
      <w:szCs w:val="22"/>
      <w:lang w:eastAsia="en-US"/>
    </w:rPr>
  </w:style>
  <w:style w:type="character" w:customStyle="1" w:styleId="Heading7Char">
    <w:name w:val="Heading 7 Char"/>
    <w:basedOn w:val="DefaultParagraphFont"/>
    <w:link w:val="Heading7"/>
    <w:uiPriority w:val="9"/>
    <w:rsid w:val="00281C2F"/>
    <w:rPr>
      <w:rFonts w:asciiTheme="majorHAnsi" w:eastAsiaTheme="majorEastAsia" w:hAnsiTheme="majorHAnsi" w:cstheme="majorBidi"/>
      <w:i/>
      <w:iCs/>
      <w:color w:val="243F60" w:themeColor="accent1" w:themeShade="7F"/>
      <w:sz w:val="21"/>
      <w:lang w:eastAsia="en-US"/>
    </w:rPr>
  </w:style>
  <w:style w:type="character" w:customStyle="1" w:styleId="Heading8Char">
    <w:name w:val="Heading 8 Char"/>
    <w:basedOn w:val="DefaultParagraphFont"/>
    <w:link w:val="Heading8"/>
    <w:uiPriority w:val="9"/>
    <w:rsid w:val="00281C2F"/>
    <w:rPr>
      <w:rFonts w:asciiTheme="majorHAnsi" w:eastAsiaTheme="majorEastAsia" w:hAnsiTheme="majorHAnsi" w:cstheme="majorBidi"/>
      <w:color w:val="272727" w:themeColor="text1" w:themeTint="D8"/>
      <w:sz w:val="21"/>
      <w:szCs w:val="21"/>
      <w:lang w:eastAsia="en-US"/>
    </w:rPr>
  </w:style>
  <w:style w:type="numbering" w:customStyle="1" w:styleId="ListBulletmaster">
    <w:name w:val="List Bullet (master)"/>
    <w:rsid w:val="00281C2F"/>
    <w:pPr>
      <w:numPr>
        <w:numId w:val="8"/>
      </w:numPr>
    </w:pPr>
  </w:style>
  <w:style w:type="numbering" w:customStyle="1" w:styleId="ListNumbermaster">
    <w:name w:val="List Number (master)"/>
    <w:rsid w:val="00281C2F"/>
    <w:pPr>
      <w:numPr>
        <w:numId w:val="9"/>
      </w:numPr>
    </w:pPr>
  </w:style>
  <w:style w:type="paragraph" w:customStyle="1" w:styleId="TableHeading1">
    <w:name w:val="Table Heading 1"/>
    <w:basedOn w:val="Normal"/>
    <w:uiPriority w:val="13"/>
    <w:qFormat/>
    <w:rsid w:val="00281C2F"/>
    <w:pPr>
      <w:spacing w:before="80" w:after="80" w:line="180" w:lineRule="atLeast"/>
    </w:pPr>
    <w:rPr>
      <w:rFonts w:ascii="Bahnschrift SemiBold" w:hAnsi="Bahnschrift SemiBold"/>
      <w:bCs/>
      <w:color w:val="00AED9"/>
      <w:sz w:val="18"/>
      <w:szCs w:val="24"/>
      <w:lang w:eastAsia="en-GB"/>
    </w:rPr>
  </w:style>
  <w:style w:type="paragraph" w:customStyle="1" w:styleId="TableListBullet">
    <w:name w:val="Table List Bullet"/>
    <w:basedOn w:val="Normal"/>
    <w:uiPriority w:val="16"/>
    <w:qFormat/>
    <w:rsid w:val="00281C2F"/>
    <w:pPr>
      <w:numPr>
        <w:numId w:val="10"/>
      </w:numPr>
      <w:spacing w:before="80" w:after="80" w:line="180" w:lineRule="atLeast"/>
    </w:pPr>
    <w:rPr>
      <w:bCs/>
      <w:sz w:val="18"/>
      <w:szCs w:val="24"/>
      <w:lang w:eastAsia="en-GB"/>
    </w:rPr>
  </w:style>
  <w:style w:type="numbering" w:customStyle="1" w:styleId="TableListBulletmaster">
    <w:name w:val="Table List Bullet (master)"/>
    <w:rsid w:val="00281C2F"/>
    <w:pPr>
      <w:numPr>
        <w:numId w:val="10"/>
      </w:numPr>
    </w:pPr>
  </w:style>
  <w:style w:type="paragraph" w:customStyle="1" w:styleId="TableListBullet2">
    <w:name w:val="Table List Bullet 2"/>
    <w:basedOn w:val="TableListBullet"/>
    <w:uiPriority w:val="16"/>
    <w:qFormat/>
    <w:rsid w:val="00281C2F"/>
    <w:pPr>
      <w:numPr>
        <w:ilvl w:val="1"/>
      </w:numPr>
    </w:pPr>
  </w:style>
  <w:style w:type="paragraph" w:customStyle="1" w:styleId="TableListNumber">
    <w:name w:val="Table List Number"/>
    <w:basedOn w:val="Normal"/>
    <w:uiPriority w:val="16"/>
    <w:qFormat/>
    <w:rsid w:val="00281C2F"/>
    <w:pPr>
      <w:numPr>
        <w:numId w:val="11"/>
      </w:numPr>
      <w:spacing w:before="80" w:after="80" w:line="180" w:lineRule="atLeast"/>
    </w:pPr>
    <w:rPr>
      <w:bCs/>
      <w:sz w:val="18"/>
      <w:szCs w:val="24"/>
      <w:lang w:eastAsia="en-GB"/>
    </w:rPr>
  </w:style>
  <w:style w:type="numbering" w:customStyle="1" w:styleId="TableListNumbermaster">
    <w:name w:val="Table List Number (master)"/>
    <w:rsid w:val="00281C2F"/>
    <w:pPr>
      <w:numPr>
        <w:numId w:val="11"/>
      </w:numPr>
    </w:pPr>
  </w:style>
  <w:style w:type="paragraph" w:customStyle="1" w:styleId="TableListNumber2">
    <w:name w:val="Table List Number 2"/>
    <w:basedOn w:val="TableListNumber"/>
    <w:uiPriority w:val="16"/>
    <w:qFormat/>
    <w:rsid w:val="00281C2F"/>
    <w:pPr>
      <w:numPr>
        <w:ilvl w:val="1"/>
      </w:numPr>
    </w:pPr>
  </w:style>
  <w:style w:type="paragraph" w:customStyle="1" w:styleId="TableBodyText">
    <w:name w:val="Table Body Text"/>
    <w:basedOn w:val="Normal"/>
    <w:uiPriority w:val="14"/>
    <w:qFormat/>
    <w:rsid w:val="00281C2F"/>
    <w:pPr>
      <w:spacing w:before="80" w:after="80" w:line="180" w:lineRule="atLeast"/>
    </w:pPr>
    <w:rPr>
      <w:bCs/>
      <w:sz w:val="18"/>
      <w:szCs w:val="24"/>
      <w:lang w:eastAsia="en-GB"/>
    </w:rPr>
  </w:style>
  <w:style w:type="paragraph" w:customStyle="1" w:styleId="TableBodyTextsmall">
    <w:name w:val="Table Body Text (small)"/>
    <w:basedOn w:val="TableBodyText"/>
    <w:uiPriority w:val="17"/>
    <w:qFormat/>
    <w:rsid w:val="00281C2F"/>
    <w:pPr>
      <w:spacing w:before="40" w:after="40" w:line="100" w:lineRule="atLeast"/>
    </w:pPr>
    <w:rPr>
      <w:sz w:val="15"/>
    </w:rPr>
  </w:style>
  <w:style w:type="character" w:customStyle="1" w:styleId="Characterbold">
    <w:name w:val="Character (bold)"/>
    <w:basedOn w:val="DefaultParagraphFont"/>
    <w:uiPriority w:val="2"/>
    <w:qFormat/>
    <w:rsid w:val="00281C2F"/>
    <w:rPr>
      <w:rFonts w:ascii="Bahnschrift SemiBold" w:hAnsi="Bahnschrift SemiBold"/>
      <w:b w:val="0"/>
      <w:lang w:val="en-AU"/>
    </w:rPr>
  </w:style>
  <w:style w:type="character" w:customStyle="1" w:styleId="Characteritalic">
    <w:name w:val="Character (italic)"/>
    <w:basedOn w:val="DefaultParagraphFont"/>
    <w:uiPriority w:val="2"/>
    <w:qFormat/>
    <w:rsid w:val="00281C2F"/>
    <w:rPr>
      <w:i/>
      <w:lang w:val="en-AU"/>
    </w:rPr>
  </w:style>
  <w:style w:type="character" w:customStyle="1" w:styleId="Charactersubscript">
    <w:name w:val="Character (subscript)"/>
    <w:basedOn w:val="DefaultParagraphFont"/>
    <w:uiPriority w:val="3"/>
    <w:qFormat/>
    <w:rsid w:val="00281C2F"/>
    <w:rPr>
      <w:vertAlign w:val="subscript"/>
      <w:lang w:val="en-AU"/>
    </w:rPr>
  </w:style>
  <w:style w:type="character" w:customStyle="1" w:styleId="Charactersuperscript">
    <w:name w:val="Character (superscript)"/>
    <w:basedOn w:val="DefaultParagraphFont"/>
    <w:uiPriority w:val="3"/>
    <w:qFormat/>
    <w:rsid w:val="00281C2F"/>
    <w:rPr>
      <w:vertAlign w:val="superscript"/>
      <w:lang w:val="en-AU"/>
    </w:rPr>
  </w:style>
  <w:style w:type="character" w:customStyle="1" w:styleId="Characterunderline">
    <w:name w:val="Character (underline)"/>
    <w:basedOn w:val="DefaultParagraphFont"/>
    <w:uiPriority w:val="2"/>
    <w:qFormat/>
    <w:rsid w:val="00281C2F"/>
    <w:rPr>
      <w:u w:val="single"/>
      <w:lang w:val="en-AU"/>
    </w:rPr>
  </w:style>
  <w:style w:type="paragraph" w:customStyle="1" w:styleId="AppendixHeading1">
    <w:name w:val="Appendix Heading 1"/>
    <w:basedOn w:val="Heading1"/>
    <w:next w:val="BodyText"/>
    <w:uiPriority w:val="11"/>
    <w:qFormat/>
    <w:rsid w:val="00281C2F"/>
    <w:pPr>
      <w:keepNext w:val="0"/>
      <w:tabs>
        <w:tab w:val="left" w:pos="2268"/>
      </w:tabs>
      <w:suppressAutoHyphens/>
      <w:ind w:left="2268" w:hanging="2268"/>
    </w:pPr>
    <w:rPr>
      <w:rFonts w:eastAsia="Times New Roman"/>
      <w:szCs w:val="30"/>
    </w:rPr>
  </w:style>
  <w:style w:type="paragraph" w:styleId="BodyText">
    <w:name w:val="Body Text"/>
    <w:basedOn w:val="Normal"/>
    <w:link w:val="BodyTextChar"/>
    <w:uiPriority w:val="99"/>
    <w:unhideWhenUsed/>
    <w:rsid w:val="00281C2F"/>
  </w:style>
  <w:style w:type="character" w:customStyle="1" w:styleId="BodyTextChar">
    <w:name w:val="Body Text Char"/>
    <w:basedOn w:val="DefaultParagraphFont"/>
    <w:link w:val="BodyText"/>
    <w:uiPriority w:val="99"/>
    <w:rsid w:val="00281C2F"/>
    <w:rPr>
      <w:rFonts w:ascii="Arial" w:hAnsi="Arial"/>
      <w:sz w:val="21"/>
      <w:lang w:eastAsia="en-US"/>
    </w:rPr>
  </w:style>
  <w:style w:type="numbering" w:customStyle="1" w:styleId="AppendixHeadingmaster">
    <w:name w:val="Appendix Heading (master)"/>
    <w:uiPriority w:val="99"/>
    <w:rsid w:val="00281C2F"/>
    <w:pPr>
      <w:numPr>
        <w:numId w:val="12"/>
      </w:numPr>
    </w:pPr>
  </w:style>
  <w:style w:type="paragraph" w:customStyle="1" w:styleId="AppendixHeading2">
    <w:name w:val="Appendix Heading 2"/>
    <w:basedOn w:val="AppendixHeading1"/>
    <w:next w:val="BodyText"/>
    <w:uiPriority w:val="11"/>
    <w:qFormat/>
    <w:rsid w:val="00281C2F"/>
  </w:style>
  <w:style w:type="paragraph" w:customStyle="1" w:styleId="AppendixHeading3">
    <w:name w:val="Appendix Heading 3"/>
    <w:basedOn w:val="Heading1"/>
    <w:next w:val="BodyText"/>
    <w:uiPriority w:val="11"/>
    <w:semiHidden/>
    <w:rsid w:val="00281C2F"/>
    <w:pPr>
      <w:suppressAutoHyphens/>
      <w:spacing w:after="120" w:line="312" w:lineRule="auto"/>
    </w:pPr>
    <w:rPr>
      <w:rFonts w:eastAsia="Times New Roman"/>
      <w:b/>
      <w:color w:val="0C9FCD"/>
      <w:sz w:val="26"/>
      <w:szCs w:val="30"/>
    </w:rPr>
  </w:style>
  <w:style w:type="paragraph" w:customStyle="1" w:styleId="Heading1non-numbered">
    <w:name w:val="Heading 1 (non-numbered)"/>
    <w:basedOn w:val="Heading1"/>
    <w:next w:val="BodyText"/>
    <w:uiPriority w:val="10"/>
    <w:qFormat/>
    <w:rsid w:val="00281C2F"/>
    <w:rPr>
      <w:rFonts w:eastAsia="Times New Roman"/>
    </w:rPr>
  </w:style>
  <w:style w:type="numbering" w:customStyle="1" w:styleId="Headingsmaster">
    <w:name w:val="Headings (master)"/>
    <w:uiPriority w:val="99"/>
    <w:rsid w:val="00281C2F"/>
    <w:pPr>
      <w:numPr>
        <w:numId w:val="13"/>
      </w:numPr>
    </w:pPr>
  </w:style>
  <w:style w:type="paragraph" w:customStyle="1" w:styleId="Image">
    <w:name w:val="Image"/>
    <w:basedOn w:val="Normal"/>
    <w:next w:val="BodyText"/>
    <w:uiPriority w:val="19"/>
    <w:qFormat/>
    <w:rsid w:val="00281C2F"/>
    <w:pPr>
      <w:spacing w:before="120" w:line="260" w:lineRule="atLeast"/>
    </w:pPr>
    <w:rPr>
      <w:szCs w:val="24"/>
      <w:lang w:eastAsia="en-AU"/>
    </w:rPr>
  </w:style>
  <w:style w:type="paragraph" w:customStyle="1" w:styleId="InstructionalText">
    <w:name w:val="Instructional Text"/>
    <w:basedOn w:val="Normal"/>
    <w:uiPriority w:val="40"/>
    <w:semiHidden/>
    <w:rsid w:val="00281C2F"/>
    <w:pPr>
      <w:spacing w:after="80" w:line="288" w:lineRule="auto"/>
    </w:pPr>
    <w:rPr>
      <w:vanish/>
      <w:color w:val="FF0000"/>
      <w:sz w:val="16"/>
      <w:szCs w:val="24"/>
      <w:lang w:eastAsia="en-GB"/>
    </w:rPr>
  </w:style>
  <w:style w:type="paragraph" w:customStyle="1" w:styleId="TableNote">
    <w:name w:val="Table Note"/>
    <w:basedOn w:val="TableBodyText"/>
    <w:next w:val="BodyText"/>
    <w:uiPriority w:val="17"/>
    <w:qFormat/>
    <w:rsid w:val="00281C2F"/>
    <w:pPr>
      <w:spacing w:line="200" w:lineRule="atLeast"/>
    </w:pPr>
    <w:rPr>
      <w:sz w:val="17"/>
    </w:rPr>
  </w:style>
  <w:style w:type="paragraph" w:customStyle="1" w:styleId="TableBodyTextrightalign">
    <w:name w:val="Table Body Text (right align)"/>
    <w:basedOn w:val="TableBodyText"/>
    <w:uiPriority w:val="17"/>
    <w:qFormat/>
    <w:rsid w:val="00281C2F"/>
    <w:pPr>
      <w:jc w:val="right"/>
    </w:pPr>
  </w:style>
  <w:style w:type="numbering" w:customStyle="1" w:styleId="ListAlphanumericmaster">
    <w:name w:val="List Alphanumeric (master)"/>
    <w:uiPriority w:val="99"/>
    <w:rsid w:val="00281C2F"/>
    <w:pPr>
      <w:numPr>
        <w:numId w:val="14"/>
      </w:numPr>
    </w:pPr>
  </w:style>
  <w:style w:type="paragraph" w:customStyle="1" w:styleId="Footerlandscape">
    <w:name w:val="Footer (landscape)"/>
    <w:basedOn w:val="Footer"/>
    <w:uiPriority w:val="24"/>
    <w:rsid w:val="00281C2F"/>
  </w:style>
  <w:style w:type="character" w:customStyle="1" w:styleId="FooterChar">
    <w:name w:val="Footer Char"/>
    <w:basedOn w:val="DefaultParagraphFont"/>
    <w:link w:val="Footer"/>
    <w:uiPriority w:val="99"/>
    <w:rsid w:val="00281C2F"/>
    <w:rPr>
      <w:rFonts w:ascii="Arial" w:hAnsi="Arial" w:cs="Arial"/>
      <w:szCs w:val="18"/>
      <w:lang w:eastAsia="en-US"/>
    </w:rPr>
  </w:style>
  <w:style w:type="paragraph" w:customStyle="1" w:styleId="Headerlandscape">
    <w:name w:val="Header (landscape)"/>
    <w:basedOn w:val="Header"/>
    <w:uiPriority w:val="24"/>
    <w:semiHidden/>
    <w:rsid w:val="00281C2F"/>
    <w:pPr>
      <w:tabs>
        <w:tab w:val="right" w:pos="13608"/>
      </w:tabs>
    </w:pPr>
  </w:style>
  <w:style w:type="character" w:customStyle="1" w:styleId="HeaderChar">
    <w:name w:val="Header Char"/>
    <w:basedOn w:val="DefaultParagraphFont"/>
    <w:link w:val="Header"/>
    <w:uiPriority w:val="98"/>
    <w:rsid w:val="00281C2F"/>
    <w:rPr>
      <w:rFonts w:ascii="Arial" w:hAnsi="Arial" w:cs="Arial"/>
      <w:b/>
      <w:color w:val="53565A"/>
      <w:sz w:val="18"/>
      <w:szCs w:val="18"/>
      <w:lang w:eastAsia="en-US"/>
    </w:rPr>
  </w:style>
  <w:style w:type="paragraph" w:customStyle="1" w:styleId="ListLegal">
    <w:name w:val="List Legal"/>
    <w:basedOn w:val="ListNumber"/>
    <w:uiPriority w:val="8"/>
    <w:semiHidden/>
    <w:qFormat/>
    <w:rsid w:val="00281C2F"/>
    <w:pPr>
      <w:ind w:left="357" w:hanging="357"/>
    </w:pPr>
  </w:style>
  <w:style w:type="paragraph" w:styleId="ListNumber">
    <w:name w:val="List Number"/>
    <w:basedOn w:val="Normal"/>
    <w:uiPriority w:val="5"/>
    <w:qFormat/>
    <w:rsid w:val="00281C2F"/>
    <w:pPr>
      <w:spacing w:before="120" w:line="260" w:lineRule="atLeast"/>
      <w:ind w:left="360" w:hanging="360"/>
    </w:pPr>
    <w:rPr>
      <w:szCs w:val="24"/>
      <w:lang w:eastAsia="en-GB"/>
    </w:rPr>
  </w:style>
  <w:style w:type="numbering" w:customStyle="1" w:styleId="ListLegalmaster">
    <w:name w:val="List Legal (master)"/>
    <w:uiPriority w:val="99"/>
    <w:rsid w:val="00281C2F"/>
    <w:pPr>
      <w:numPr>
        <w:numId w:val="15"/>
      </w:numPr>
    </w:pPr>
  </w:style>
  <w:style w:type="paragraph" w:customStyle="1" w:styleId="ListLegal2">
    <w:name w:val="List Legal 2"/>
    <w:basedOn w:val="ListNumber2"/>
    <w:uiPriority w:val="8"/>
    <w:semiHidden/>
    <w:qFormat/>
    <w:rsid w:val="00281C2F"/>
    <w:pPr>
      <w:tabs>
        <w:tab w:val="num" w:pos="720"/>
        <w:tab w:val="left" w:pos="1077"/>
      </w:tabs>
      <w:ind w:left="714" w:hanging="357"/>
    </w:pPr>
  </w:style>
  <w:style w:type="paragraph" w:styleId="ListNumber2">
    <w:name w:val="List Number 2"/>
    <w:basedOn w:val="Normal"/>
    <w:uiPriority w:val="5"/>
    <w:qFormat/>
    <w:rsid w:val="00281C2F"/>
    <w:pPr>
      <w:spacing w:before="120" w:line="260" w:lineRule="atLeast"/>
      <w:ind w:left="720" w:hanging="360"/>
    </w:pPr>
    <w:rPr>
      <w:szCs w:val="24"/>
      <w:lang w:eastAsia="en-GB"/>
    </w:rPr>
  </w:style>
  <w:style w:type="paragraph" w:customStyle="1" w:styleId="ListLegal3">
    <w:name w:val="List Legal 3"/>
    <w:basedOn w:val="ListLegal2"/>
    <w:uiPriority w:val="8"/>
    <w:semiHidden/>
    <w:qFormat/>
    <w:rsid w:val="00281C2F"/>
    <w:pPr>
      <w:tabs>
        <w:tab w:val="clear" w:pos="720"/>
        <w:tab w:val="clear" w:pos="1077"/>
        <w:tab w:val="left" w:pos="1435"/>
      </w:tabs>
      <w:ind w:left="1435" w:hanging="721"/>
    </w:pPr>
  </w:style>
  <w:style w:type="paragraph" w:customStyle="1" w:styleId="DocumentDetails">
    <w:name w:val="Document Details"/>
    <w:basedOn w:val="Normal"/>
    <w:next w:val="BodyText"/>
    <w:uiPriority w:val="24"/>
    <w:rsid w:val="00281C2F"/>
    <w:pPr>
      <w:spacing w:before="400" w:after="400"/>
    </w:pPr>
    <w:rPr>
      <w:rFonts w:ascii="Bahnschrift" w:hAnsi="Bahnschrift"/>
      <w:color w:val="047EBC"/>
      <w:sz w:val="28"/>
    </w:rPr>
  </w:style>
  <w:style w:type="paragraph" w:customStyle="1" w:styleId="SingleSpace">
    <w:name w:val="Single Space"/>
    <w:basedOn w:val="BodyText"/>
    <w:uiPriority w:val="21"/>
    <w:rsid w:val="00281C2F"/>
    <w:pPr>
      <w:spacing w:after="0" w:line="240" w:lineRule="auto"/>
    </w:pPr>
    <w:rPr>
      <w:sz w:val="2"/>
    </w:rPr>
  </w:style>
  <w:style w:type="character" w:customStyle="1" w:styleId="Characteryellowhighlight">
    <w:name w:val="Character (yellow highlight)"/>
    <w:basedOn w:val="DefaultParagraphFont"/>
    <w:uiPriority w:val="2"/>
    <w:qFormat/>
    <w:rsid w:val="00281C2F"/>
    <w:rPr>
      <w:bdr w:val="none" w:sz="0" w:space="0" w:color="auto"/>
      <w:shd w:val="clear" w:color="auto" w:fill="FFFF00"/>
      <w:lang w:val="en-AU"/>
    </w:rPr>
  </w:style>
  <w:style w:type="paragraph" w:customStyle="1" w:styleId="BodyTextindent">
    <w:name w:val="Body Text (indent)"/>
    <w:basedOn w:val="BodyText"/>
    <w:qFormat/>
    <w:rsid w:val="00281C2F"/>
    <w:pPr>
      <w:ind w:left="357"/>
    </w:pPr>
  </w:style>
  <w:style w:type="paragraph" w:customStyle="1" w:styleId="BodyTextindent2">
    <w:name w:val="Body Text (indent 2)"/>
    <w:basedOn w:val="BodyText"/>
    <w:uiPriority w:val="1"/>
    <w:qFormat/>
    <w:rsid w:val="00281C2F"/>
    <w:pPr>
      <w:ind w:left="714"/>
    </w:pPr>
  </w:style>
  <w:style w:type="paragraph" w:customStyle="1" w:styleId="BodyTextindent3">
    <w:name w:val="Body Text (indent 3)"/>
    <w:basedOn w:val="BodyText"/>
    <w:uiPriority w:val="1"/>
    <w:qFormat/>
    <w:rsid w:val="00281C2F"/>
    <w:pPr>
      <w:ind w:left="1077"/>
    </w:pPr>
  </w:style>
  <w:style w:type="character" w:customStyle="1" w:styleId="Charactersourcecode">
    <w:name w:val="Character (source code)"/>
    <w:basedOn w:val="DefaultParagraphFont"/>
    <w:uiPriority w:val="3"/>
    <w:semiHidden/>
    <w:qFormat/>
    <w:rsid w:val="00281C2F"/>
    <w:rPr>
      <w:rFonts w:ascii="Courier New" w:hAnsi="Courier New"/>
    </w:rPr>
  </w:style>
  <w:style w:type="paragraph" w:customStyle="1" w:styleId="EndNoteBibliography">
    <w:name w:val="EndNote Bibliography"/>
    <w:basedOn w:val="BodyText"/>
    <w:link w:val="EndNoteBibliographyChar"/>
    <w:rsid w:val="00281C2F"/>
    <w:pPr>
      <w:ind w:left="720" w:hanging="720"/>
    </w:pPr>
    <w:rPr>
      <w:rFonts w:cs="Calibri"/>
      <w:noProof/>
    </w:rPr>
  </w:style>
  <w:style w:type="character" w:customStyle="1" w:styleId="EndNoteBibliographyChar">
    <w:name w:val="EndNote Bibliography Char"/>
    <w:basedOn w:val="BodyTextChar"/>
    <w:link w:val="EndNoteBibliography"/>
    <w:rsid w:val="00281C2F"/>
    <w:rPr>
      <w:rFonts w:ascii="Arial" w:hAnsi="Arial" w:cs="Calibri"/>
      <w:noProof/>
      <w:sz w:val="21"/>
      <w:lang w:eastAsia="en-US"/>
    </w:rPr>
  </w:style>
  <w:style w:type="paragraph" w:customStyle="1" w:styleId="EndNoteBibliographyTitle">
    <w:name w:val="EndNote Bibliography Title"/>
    <w:basedOn w:val="Heading1"/>
    <w:next w:val="EndNoteBibliography"/>
    <w:link w:val="EndNoteBibliographyTitleChar4"/>
    <w:uiPriority w:val="23"/>
    <w:semiHidden/>
    <w:rsid w:val="00281C2F"/>
    <w:pPr>
      <w:spacing w:before="120" w:after="120"/>
    </w:pPr>
    <w:rPr>
      <w:rFonts w:eastAsia="Times New Roman" w:cs="Calibri"/>
      <w:i/>
      <w:noProof/>
      <w:sz w:val="21"/>
    </w:rPr>
  </w:style>
  <w:style w:type="character" w:customStyle="1" w:styleId="EndNoteBibliographyTitleChar4">
    <w:name w:val="EndNote Bibliography Title Char4"/>
    <w:basedOn w:val="BodyTextChar"/>
    <w:link w:val="EndNoteBibliographyTitle"/>
    <w:uiPriority w:val="23"/>
    <w:semiHidden/>
    <w:rsid w:val="00281C2F"/>
    <w:rPr>
      <w:rFonts w:ascii="Arial" w:hAnsi="Arial" w:cs="Calibri"/>
      <w:bCs/>
      <w:i/>
      <w:noProof/>
      <w:color w:val="201547"/>
      <w:kern w:val="32"/>
      <w:sz w:val="21"/>
      <w:szCs w:val="44"/>
      <w:lang w:eastAsia="en-US"/>
    </w:rPr>
  </w:style>
  <w:style w:type="paragraph" w:customStyle="1" w:styleId="BodyTextindent4">
    <w:name w:val="Body Text (indent 4)"/>
    <w:basedOn w:val="BodyText"/>
    <w:uiPriority w:val="1"/>
    <w:qFormat/>
    <w:rsid w:val="00281C2F"/>
    <w:pPr>
      <w:ind w:left="1435"/>
    </w:pPr>
  </w:style>
  <w:style w:type="table" w:customStyle="1" w:styleId="CustomTabledetailed">
    <w:name w:val="Custom Table (detailed)"/>
    <w:basedOn w:val="TableNormal"/>
    <w:uiPriority w:val="99"/>
    <w:rsid w:val="00281C2F"/>
    <w:rPr>
      <w:rFonts w:ascii="Arial" w:hAnsi="Arial" w:cstheme="minorBidi"/>
      <w:sz w:val="18"/>
      <w:lang w:val="en-US" w:eastAsia="en-US"/>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rPr>
      <w:cantSplit/>
    </w:trPr>
    <w:tblStylePr w:type="firstRow">
      <w:rPr>
        <w:b w:val="0"/>
        <w:color w:val="FFFFFF" w:themeColor="background1"/>
      </w:rPr>
      <w:tblPr/>
      <w:trPr>
        <w:cantSplit w:val="0"/>
        <w:tblHeader/>
      </w:trPr>
      <w:tcPr>
        <w:shd w:val="clear" w:color="auto" w:fill="808080" w:themeFill="background1" w:themeFillShade="80"/>
      </w:tcPr>
    </w:tblStylePr>
    <w:tblStylePr w:type="lastRow">
      <w:tblPr/>
      <w:tcPr>
        <w:shd w:val="clear" w:color="auto" w:fill="D9D9D9" w:themeFill="background1" w:themeFillShade="D9"/>
      </w:tcPr>
    </w:tblStylePr>
    <w:tblStylePr w:type="firstCol">
      <w:rPr>
        <w:b w:val="0"/>
        <w:color w:val="FFFFFF" w:themeColor="background1"/>
      </w:rPr>
      <w:tblPr/>
      <w:tcPr>
        <w:shd w:val="clear" w:color="auto" w:fill="808080" w:themeFill="background1" w:themeFillShade="80"/>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CustomTablebasic">
    <w:name w:val="Custom Table (basic)"/>
    <w:basedOn w:val="TableNormal"/>
    <w:uiPriority w:val="99"/>
    <w:rsid w:val="00281C2F"/>
    <w:rPr>
      <w:rFonts w:ascii="Arial" w:hAnsi="Arial" w:cstheme="minorBidi"/>
      <w:sz w:val="18"/>
      <w:lang w:val="en-US" w:eastAsia="en-US"/>
    </w:rPr>
    <w:tblPr>
      <w:tblStyleRowBandSize w:val="1"/>
      <w:tblStyleColBandSize w:val="1"/>
      <w:tblBorders>
        <w:top w:val="single" w:sz="4" w:space="0" w:color="00AED9"/>
        <w:bottom w:val="single" w:sz="4" w:space="0" w:color="00AED9"/>
        <w:insideH w:val="single" w:sz="4" w:space="0" w:color="00AED9"/>
      </w:tblBorders>
    </w:tblPr>
    <w:trPr>
      <w:cantSplit/>
    </w:trPr>
    <w:tblStylePr w:type="firstRow">
      <w:rPr>
        <w:b w:val="0"/>
        <w:color w:val="00AED9"/>
      </w:rPr>
      <w:tblPr/>
      <w:tcPr>
        <w:tcBorders>
          <w:top w:val="single" w:sz="12" w:space="0" w:color="00AED9"/>
          <w:left w:val="nil"/>
          <w:bottom w:val="single" w:sz="12" w:space="0" w:color="00AED9"/>
          <w:right w:val="nil"/>
          <w:insideH w:val="nil"/>
          <w:insideV w:val="nil"/>
          <w:tl2br w:val="nil"/>
          <w:tr2bl w:val="nil"/>
        </w:tcBorders>
      </w:tcPr>
    </w:tblStylePr>
    <w:tblStylePr w:type="firstCol">
      <w:rPr>
        <w:b w:val="0"/>
        <w:color w:val="auto"/>
      </w:rPr>
    </w:tblStylePr>
  </w:style>
  <w:style w:type="table" w:customStyle="1" w:styleId="CustomTablestandard">
    <w:name w:val="Custom Table (standard)"/>
    <w:basedOn w:val="TableNormal"/>
    <w:uiPriority w:val="99"/>
    <w:rsid w:val="00281C2F"/>
    <w:rPr>
      <w:rFonts w:ascii="Bahnschrift Light" w:hAnsi="Bahnschrift Light" w:cstheme="minorBidi"/>
      <w:sz w:val="18"/>
      <w:lang w:val="en-US" w:eastAsia="en-US"/>
    </w:rPr>
    <w:tblPr>
      <w:tblBorders>
        <w:top w:val="single" w:sz="4" w:space="0" w:color="00AED9"/>
        <w:left w:val="single" w:sz="4" w:space="0" w:color="00AED9"/>
        <w:bottom w:val="single" w:sz="4" w:space="0" w:color="00AED9"/>
        <w:right w:val="single" w:sz="4" w:space="0" w:color="00AED9"/>
        <w:insideH w:val="single" w:sz="4" w:space="0" w:color="00AED9"/>
        <w:insideV w:val="single" w:sz="4" w:space="0" w:color="00AED9"/>
      </w:tblBorders>
    </w:tblPr>
    <w:trPr>
      <w:cantSplit/>
    </w:trPr>
    <w:tblStylePr w:type="firstRow">
      <w:rPr>
        <w:rFonts w:ascii="Open Sans" w:hAnsi="Open Sans"/>
        <w:b w:val="0"/>
        <w:color w:val="000000" w:themeColor="text1"/>
      </w:rPr>
      <w:tblPr/>
      <w:tcPr>
        <w:shd w:val="clear" w:color="auto" w:fill="F2F2F2" w:themeFill="background1" w:themeFillShade="F2"/>
      </w:tcPr>
    </w:tblStylePr>
  </w:style>
  <w:style w:type="table" w:customStyle="1" w:styleId="CustomTableplaceholder">
    <w:name w:val="Custom Table (placeholder)"/>
    <w:basedOn w:val="TableNormal"/>
    <w:uiPriority w:val="99"/>
    <w:rsid w:val="00281C2F"/>
    <w:rPr>
      <w:rFonts w:ascii="Arial" w:hAnsi="Arial" w:cstheme="minorBidi"/>
      <w:lang w:val="en-US" w:eastAsia="en-US"/>
    </w:rPr>
    <w:tblPr/>
  </w:style>
  <w:style w:type="character" w:customStyle="1" w:styleId="CharacterCEScyan">
    <w:name w:val="Character (CES cyan)"/>
    <w:basedOn w:val="DefaultParagraphFont"/>
    <w:uiPriority w:val="3"/>
    <w:qFormat/>
    <w:rsid w:val="00281C2F"/>
    <w:rPr>
      <w:color w:val="00AED9"/>
    </w:rPr>
  </w:style>
  <w:style w:type="character" w:customStyle="1" w:styleId="Icon">
    <w:name w:val="Icon"/>
    <w:basedOn w:val="DefaultParagraphFont"/>
    <w:uiPriority w:val="19"/>
    <w:qFormat/>
    <w:rsid w:val="00281C2F"/>
    <w:rPr>
      <w:b w:val="0"/>
      <w:sz w:val="32"/>
      <w:lang w:eastAsia="en-AU"/>
    </w:rPr>
  </w:style>
  <w:style w:type="paragraph" w:customStyle="1" w:styleId="ListRecommendation">
    <w:name w:val="List Recommendation"/>
    <w:basedOn w:val="BodyText"/>
    <w:next w:val="BodyText"/>
    <w:uiPriority w:val="8"/>
    <w:qFormat/>
    <w:rsid w:val="00281C2F"/>
    <w:pPr>
      <w:ind w:left="2143" w:hanging="2143"/>
    </w:pPr>
    <w:rPr>
      <w:rFonts w:ascii="Bahnschrift SemiBold" w:hAnsi="Bahnschrift SemiBold"/>
    </w:rPr>
  </w:style>
  <w:style w:type="numbering" w:customStyle="1" w:styleId="ListRecommendationmaster">
    <w:name w:val="List Recommendation (master)"/>
    <w:uiPriority w:val="99"/>
    <w:rsid w:val="00281C2F"/>
    <w:pPr>
      <w:numPr>
        <w:numId w:val="16"/>
      </w:numPr>
    </w:pPr>
  </w:style>
  <w:style w:type="paragraph" w:styleId="Caption">
    <w:name w:val="caption"/>
    <w:basedOn w:val="Normal"/>
    <w:next w:val="Normal"/>
    <w:uiPriority w:val="35"/>
    <w:unhideWhenUsed/>
    <w:qFormat/>
    <w:rsid w:val="00281C2F"/>
    <w:pPr>
      <w:spacing w:after="200" w:line="240" w:lineRule="auto"/>
    </w:pPr>
    <w:rPr>
      <w:i/>
      <w:iCs/>
      <w:color w:val="1F497D" w:themeColor="text2"/>
      <w:sz w:val="18"/>
      <w:szCs w:val="18"/>
    </w:rPr>
  </w:style>
  <w:style w:type="paragraph" w:styleId="TableofFigures">
    <w:name w:val="table of figures"/>
    <w:basedOn w:val="Normal"/>
    <w:next w:val="Normal"/>
    <w:uiPriority w:val="99"/>
    <w:rsid w:val="00281C2F"/>
    <w:pPr>
      <w:spacing w:after="100"/>
      <w:ind w:right="851"/>
    </w:pPr>
  </w:style>
  <w:style w:type="paragraph" w:styleId="ListBullet">
    <w:name w:val="List Bullet"/>
    <w:basedOn w:val="Normal"/>
    <w:uiPriority w:val="99"/>
    <w:qFormat/>
    <w:rsid w:val="00281C2F"/>
    <w:pPr>
      <w:numPr>
        <w:numId w:val="8"/>
      </w:numPr>
      <w:spacing w:before="120" w:line="260" w:lineRule="atLeast"/>
    </w:pPr>
    <w:rPr>
      <w:szCs w:val="24"/>
      <w:lang w:eastAsia="en-GB"/>
    </w:rPr>
  </w:style>
  <w:style w:type="paragraph" w:styleId="ListBullet2">
    <w:name w:val="List Bullet 2"/>
    <w:basedOn w:val="Normal"/>
    <w:uiPriority w:val="4"/>
    <w:qFormat/>
    <w:rsid w:val="00281C2F"/>
    <w:pPr>
      <w:numPr>
        <w:ilvl w:val="1"/>
        <w:numId w:val="8"/>
      </w:numPr>
      <w:spacing w:before="120" w:line="260" w:lineRule="atLeast"/>
    </w:pPr>
    <w:rPr>
      <w:szCs w:val="24"/>
      <w:lang w:eastAsia="en-GB"/>
    </w:rPr>
  </w:style>
  <w:style w:type="paragraph" w:styleId="ListBullet3">
    <w:name w:val="List Bullet 3"/>
    <w:basedOn w:val="Normal"/>
    <w:uiPriority w:val="4"/>
    <w:qFormat/>
    <w:rsid w:val="00281C2F"/>
    <w:pPr>
      <w:numPr>
        <w:ilvl w:val="2"/>
        <w:numId w:val="8"/>
      </w:numPr>
      <w:spacing w:before="120" w:line="260" w:lineRule="atLeast"/>
    </w:pPr>
    <w:rPr>
      <w:szCs w:val="24"/>
      <w:lang w:eastAsia="en-GB"/>
    </w:rPr>
  </w:style>
  <w:style w:type="paragraph" w:styleId="ListNumber3">
    <w:name w:val="List Number 3"/>
    <w:basedOn w:val="Normal"/>
    <w:uiPriority w:val="5"/>
    <w:qFormat/>
    <w:rsid w:val="00281C2F"/>
    <w:pPr>
      <w:spacing w:before="120" w:line="260" w:lineRule="atLeast"/>
      <w:ind w:left="1080" w:hanging="360"/>
    </w:pPr>
    <w:rPr>
      <w:szCs w:val="24"/>
      <w:lang w:eastAsia="en-GB"/>
    </w:rPr>
  </w:style>
  <w:style w:type="paragraph" w:styleId="ListNumber4">
    <w:name w:val="List Number 4"/>
    <w:basedOn w:val="Normal"/>
    <w:uiPriority w:val="99"/>
    <w:semiHidden/>
    <w:rsid w:val="00281C2F"/>
    <w:pPr>
      <w:tabs>
        <w:tab w:val="num" w:pos="1209"/>
      </w:tabs>
      <w:spacing w:after="170" w:line="240" w:lineRule="atLeast"/>
      <w:ind w:left="1209" w:hanging="360"/>
      <w:contextualSpacing/>
    </w:pPr>
    <w:rPr>
      <w:rFonts w:ascii="Verdana" w:hAnsi="Verdana"/>
      <w:sz w:val="18"/>
      <w:szCs w:val="18"/>
    </w:rPr>
  </w:style>
  <w:style w:type="paragraph" w:styleId="Signature">
    <w:name w:val="Signature"/>
    <w:basedOn w:val="Normal"/>
    <w:link w:val="SignatureChar"/>
    <w:uiPriority w:val="23"/>
    <w:semiHidden/>
    <w:rsid w:val="00281C2F"/>
    <w:pPr>
      <w:spacing w:before="360" w:after="360"/>
    </w:pPr>
    <w:rPr>
      <w:rFonts w:ascii="Segoe Script" w:hAnsi="Segoe Script"/>
      <w:color w:val="548DD4" w:themeColor="text2" w:themeTint="99"/>
      <w:sz w:val="24"/>
    </w:rPr>
  </w:style>
  <w:style w:type="character" w:customStyle="1" w:styleId="SignatureChar">
    <w:name w:val="Signature Char"/>
    <w:basedOn w:val="DefaultParagraphFont"/>
    <w:link w:val="Signature"/>
    <w:uiPriority w:val="23"/>
    <w:semiHidden/>
    <w:rsid w:val="00281C2F"/>
    <w:rPr>
      <w:rFonts w:ascii="Segoe Script" w:hAnsi="Segoe Script"/>
      <w:color w:val="548DD4" w:themeColor="text2" w:themeTint="99"/>
      <w:sz w:val="24"/>
      <w:lang w:eastAsia="en-US"/>
    </w:rPr>
  </w:style>
  <w:style w:type="character" w:styleId="Emphasis">
    <w:name w:val="Emphasis"/>
    <w:basedOn w:val="DefaultParagraphFont"/>
    <w:uiPriority w:val="99"/>
    <w:qFormat/>
    <w:rsid w:val="00281C2F"/>
    <w:rPr>
      <w:i/>
      <w:iCs/>
    </w:rPr>
  </w:style>
  <w:style w:type="paragraph" w:styleId="PlainText">
    <w:name w:val="Plain Text"/>
    <w:basedOn w:val="Normal"/>
    <w:link w:val="PlainTextChar"/>
    <w:uiPriority w:val="99"/>
    <w:semiHidden/>
    <w:rsid w:val="00281C2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1C2F"/>
    <w:rPr>
      <w:rFonts w:ascii="Consolas" w:hAnsi="Consolas"/>
      <w:sz w:val="21"/>
      <w:szCs w:val="21"/>
      <w:lang w:eastAsia="en-US"/>
    </w:rPr>
  </w:style>
  <w:style w:type="paragraph" w:styleId="NormalWeb">
    <w:name w:val="Normal (Web)"/>
    <w:basedOn w:val="Normal"/>
    <w:uiPriority w:val="99"/>
    <w:unhideWhenUsed/>
    <w:rsid w:val="00281C2F"/>
    <w:pPr>
      <w:spacing w:before="100" w:beforeAutospacing="1" w:after="100" w:afterAutospacing="1" w:line="240" w:lineRule="auto"/>
    </w:pPr>
    <w:rPr>
      <w:rFonts w:ascii="Times New Roman" w:hAnsi="Times New Roman"/>
      <w:sz w:val="24"/>
      <w:szCs w:val="24"/>
      <w:lang w:eastAsia="en-AU"/>
    </w:rPr>
  </w:style>
  <w:style w:type="character" w:styleId="PlaceholderText">
    <w:name w:val="Placeholder Text"/>
    <w:basedOn w:val="DefaultParagraphFont"/>
    <w:uiPriority w:val="99"/>
    <w:rsid w:val="00281C2F"/>
    <w:rPr>
      <w:color w:val="C00000"/>
    </w:rPr>
  </w:style>
  <w:style w:type="paragraph" w:styleId="NoSpacing">
    <w:name w:val="No Spacing"/>
    <w:uiPriority w:val="99"/>
    <w:qFormat/>
    <w:rsid w:val="00281C2F"/>
    <w:rPr>
      <w:rFonts w:ascii="Arial" w:hAnsi="Arial"/>
      <w:sz w:val="2"/>
      <w:szCs w:val="24"/>
      <w:lang w:eastAsia="en-GB"/>
    </w:rPr>
  </w:style>
  <w:style w:type="table" w:styleId="LightShading">
    <w:name w:val="Light Shading"/>
    <w:basedOn w:val="TableNormal"/>
    <w:uiPriority w:val="60"/>
    <w:rsid w:val="00281C2F"/>
    <w:rPr>
      <w:rFonts w:asciiTheme="minorHAnsi" w:hAnsiTheme="minorHAnsi" w:cstheme="minorBidi"/>
      <w:color w:val="000000" w:themeColor="text1" w:themeShade="BF"/>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81C2F"/>
    <w:rPr>
      <w:rFonts w:asciiTheme="minorHAnsi" w:hAnsiTheme="minorHAnsi" w:cstheme="minorBidi"/>
      <w:color w:val="365F91" w:themeColor="accent1" w:themeShade="BF"/>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281C2F"/>
    <w:pPr>
      <w:ind w:left="720"/>
      <w:contextualSpacing/>
    </w:pPr>
  </w:style>
  <w:style w:type="paragraph" w:styleId="Quote">
    <w:name w:val="Quote"/>
    <w:basedOn w:val="Normal"/>
    <w:link w:val="QuoteChar"/>
    <w:uiPriority w:val="18"/>
    <w:qFormat/>
    <w:rsid w:val="00281C2F"/>
    <w:pPr>
      <w:spacing w:before="120" w:line="260" w:lineRule="atLeast"/>
      <w:ind w:left="1021" w:right="1021"/>
    </w:pPr>
    <w:rPr>
      <w:i/>
      <w:iCs/>
    </w:rPr>
  </w:style>
  <w:style w:type="character" w:customStyle="1" w:styleId="QuoteChar">
    <w:name w:val="Quote Char"/>
    <w:basedOn w:val="DefaultParagraphFont"/>
    <w:link w:val="Quote"/>
    <w:uiPriority w:val="18"/>
    <w:rsid w:val="00281C2F"/>
    <w:rPr>
      <w:rFonts w:ascii="Arial" w:hAnsi="Arial"/>
      <w:i/>
      <w:iCs/>
      <w:sz w:val="21"/>
      <w:lang w:eastAsia="en-US"/>
    </w:rPr>
  </w:style>
  <w:style w:type="paragraph" w:styleId="TOCHeading">
    <w:name w:val="TOC Heading"/>
    <w:basedOn w:val="Heading1"/>
    <w:next w:val="Normal"/>
    <w:uiPriority w:val="39"/>
    <w:qFormat/>
    <w:rsid w:val="00281C2F"/>
    <w:pPr>
      <w:outlineLvl w:val="9"/>
    </w:pPr>
    <w:rPr>
      <w:rFonts w:cstheme="majorBidi"/>
      <w:szCs w:val="28"/>
    </w:rPr>
  </w:style>
  <w:style w:type="table" w:styleId="GridTable1Light">
    <w:name w:val="Grid Table 1 Light"/>
    <w:basedOn w:val="TableNormal"/>
    <w:uiPriority w:val="46"/>
    <w:rsid w:val="00281C2F"/>
    <w:rPr>
      <w:rFonts w:asciiTheme="minorHAnsi" w:hAnsiTheme="minorHAnsi" w:cstheme="minorBidi"/>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81C2F"/>
    <w:rPr>
      <w:rFonts w:asciiTheme="minorHAnsi" w:hAnsiTheme="minorHAnsi" w:cstheme="minorBidi"/>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81C2F"/>
    <w:rPr>
      <w:rFonts w:asciiTheme="minorHAnsi" w:hAnsiTheme="minorHAnsi" w:cstheme="minorBidi"/>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281C2F"/>
    <w:rPr>
      <w:color w:val="2B579A"/>
      <w:shd w:val="clear" w:color="auto" w:fill="E1DFDD"/>
    </w:rPr>
  </w:style>
  <w:style w:type="paragraph" w:customStyle="1" w:styleId="Default">
    <w:name w:val="Default"/>
    <w:rsid w:val="00281C2F"/>
    <w:pPr>
      <w:autoSpaceDE w:val="0"/>
      <w:autoSpaceDN w:val="0"/>
      <w:adjustRightInd w:val="0"/>
    </w:pPr>
    <w:rPr>
      <w:rFonts w:ascii="Segoe UI" w:hAnsi="Segoe UI" w:cs="Segoe UI"/>
      <w:color w:val="000000"/>
      <w:sz w:val="24"/>
      <w:szCs w:val="24"/>
    </w:rPr>
  </w:style>
  <w:style w:type="table" w:customStyle="1" w:styleId="DHV">
    <w:name w:val="DHV"/>
    <w:basedOn w:val="TableNormal"/>
    <w:uiPriority w:val="99"/>
    <w:rsid w:val="00281C2F"/>
    <w:rPr>
      <w:rFonts w:ascii="Calibri" w:eastAsia="Calibri" w:hAnsi="Calibri" w:cs="Calibri"/>
    </w:rPr>
    <w:tblPr>
      <w:tblStyleRowBandSize w:val="1"/>
      <w:tblBorders>
        <w:top w:val="single" w:sz="4" w:space="0" w:color="C63663"/>
        <w:left w:val="single" w:sz="4" w:space="0" w:color="C63663"/>
        <w:bottom w:val="single" w:sz="4" w:space="0" w:color="C63663"/>
        <w:right w:val="single" w:sz="4" w:space="0" w:color="C63663"/>
        <w:insideH w:val="single" w:sz="4" w:space="0" w:color="C63663"/>
        <w:insideV w:val="single" w:sz="4" w:space="0" w:color="C63663"/>
      </w:tblBorders>
    </w:tblPr>
    <w:tcPr>
      <w:shd w:val="clear" w:color="auto" w:fill="auto"/>
    </w:tcPr>
    <w:tblStylePr w:type="firstRow">
      <w:tblPr/>
      <w:tcPr>
        <w:shd w:val="clear" w:color="auto" w:fill="C63663"/>
      </w:tcPr>
    </w:tblStylePr>
    <w:tblStylePr w:type="band1Horz">
      <w:tblPr/>
      <w:tcPr>
        <w:shd w:val="clear" w:color="auto" w:fill="F4D8E1"/>
      </w:tcPr>
    </w:tblStylePr>
  </w:style>
  <w:style w:type="paragraph" w:customStyle="1" w:styleId="DPCquotebullet">
    <w:name w:val="DPC quote bullet"/>
    <w:basedOn w:val="Normal"/>
    <w:rsid w:val="00281C2F"/>
    <w:pPr>
      <w:spacing w:after="160" w:line="300" w:lineRule="atLeast"/>
      <w:ind w:left="680" w:hanging="283"/>
    </w:pPr>
    <w:rPr>
      <w:rFonts w:asciiTheme="minorHAnsi" w:eastAsia="Times" w:hAnsiTheme="minorHAnsi" w:cs="Arial"/>
      <w:color w:val="000000" w:themeColor="text1"/>
      <w:sz w:val="22"/>
      <w:szCs w:val="18"/>
    </w:rPr>
  </w:style>
  <w:style w:type="character" w:customStyle="1" w:styleId="eop">
    <w:name w:val="eop"/>
    <w:basedOn w:val="DefaultParagraphFont"/>
    <w:rsid w:val="00281C2F"/>
  </w:style>
  <w:style w:type="table" w:styleId="ListTable3">
    <w:name w:val="List Table 3"/>
    <w:basedOn w:val="TableNormal"/>
    <w:uiPriority w:val="48"/>
    <w:rsid w:val="00281C2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2">
    <w:name w:val="List Table 3 Accent 2"/>
    <w:basedOn w:val="TableNormal"/>
    <w:uiPriority w:val="48"/>
    <w:rsid w:val="00281C2F"/>
    <w:rPr>
      <w:rFonts w:ascii="Calibri" w:eastAsia="Calibri" w:hAnsi="Calibri" w:cs="Calibri"/>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customStyle="1" w:styleId="MHRCbulletafternumbers2">
    <w:name w:val="MHRC bullet after numbers 2"/>
    <w:basedOn w:val="Normal"/>
    <w:rsid w:val="00281C2F"/>
    <w:pPr>
      <w:spacing w:line="270" w:lineRule="atLeast"/>
      <w:ind w:left="1077" w:hanging="283"/>
    </w:pPr>
    <w:rPr>
      <w:rFonts w:eastAsia="Times"/>
      <w:sz w:val="20"/>
    </w:rPr>
  </w:style>
  <w:style w:type="paragraph" w:customStyle="1" w:styleId="MHRCnumberdigit">
    <w:name w:val="MHRC number digit"/>
    <w:basedOn w:val="Normal"/>
    <w:uiPriority w:val="2"/>
    <w:rsid w:val="00281C2F"/>
    <w:pPr>
      <w:tabs>
        <w:tab w:val="num" w:pos="397"/>
      </w:tabs>
      <w:spacing w:line="270" w:lineRule="atLeast"/>
      <w:ind w:left="397" w:hanging="397"/>
    </w:pPr>
    <w:rPr>
      <w:rFonts w:eastAsia="Times"/>
      <w:sz w:val="20"/>
    </w:rPr>
  </w:style>
  <w:style w:type="paragraph" w:customStyle="1" w:styleId="MHRCnumberloweralphaindent">
    <w:name w:val="MHRC number lower alpha indent"/>
    <w:basedOn w:val="Normal"/>
    <w:rsid w:val="00281C2F"/>
    <w:pPr>
      <w:tabs>
        <w:tab w:val="num" w:pos="794"/>
      </w:tabs>
      <w:spacing w:line="270" w:lineRule="atLeast"/>
      <w:ind w:left="794" w:hanging="397"/>
    </w:pPr>
    <w:rPr>
      <w:rFonts w:eastAsia="Times"/>
      <w:sz w:val="20"/>
    </w:rPr>
  </w:style>
  <w:style w:type="character" w:customStyle="1" w:styleId="normaltextrun">
    <w:name w:val="normaltextrun"/>
    <w:basedOn w:val="DefaultParagraphFont"/>
    <w:rsid w:val="00281C2F"/>
  </w:style>
  <w:style w:type="paragraph" w:customStyle="1" w:styleId="paragraph">
    <w:name w:val="paragraph"/>
    <w:basedOn w:val="Normal"/>
    <w:rsid w:val="00281C2F"/>
    <w:pPr>
      <w:spacing w:before="100" w:beforeAutospacing="1" w:after="100" w:afterAutospacing="1" w:line="240" w:lineRule="auto"/>
    </w:pPr>
    <w:rPr>
      <w:rFonts w:ascii="Times New Roman" w:hAnsi="Times New Roman"/>
      <w:sz w:val="24"/>
      <w:szCs w:val="24"/>
      <w:lang w:eastAsia="en-AU"/>
    </w:rPr>
  </w:style>
  <w:style w:type="paragraph" w:customStyle="1" w:styleId="TableNText">
    <w:name w:val="Table N Text"/>
    <w:basedOn w:val="Normal"/>
    <w:link w:val="TableNTextChar"/>
    <w:uiPriority w:val="2"/>
    <w:qFormat/>
    <w:rsid w:val="00281C2F"/>
    <w:pPr>
      <w:spacing w:before="60" w:after="60"/>
    </w:pPr>
    <w:rPr>
      <w:sz w:val="17"/>
    </w:rPr>
  </w:style>
  <w:style w:type="character" w:customStyle="1" w:styleId="TableNTextChar">
    <w:name w:val="Table N Text Char"/>
    <w:basedOn w:val="DefaultParagraphFont"/>
    <w:link w:val="TableNText"/>
    <w:uiPriority w:val="2"/>
    <w:rsid w:val="00281C2F"/>
    <w:rPr>
      <w:rFonts w:ascii="Arial" w:hAnsi="Arial"/>
      <w:sz w:val="17"/>
      <w:lang w:eastAsia="en-US"/>
    </w:rPr>
  </w:style>
  <w:style w:type="paragraph" w:customStyle="1" w:styleId="xmsolistparagraph">
    <w:name w:val="x_msolistparagraph"/>
    <w:basedOn w:val="Normal"/>
    <w:rsid w:val="00281C2F"/>
    <w:pPr>
      <w:spacing w:after="0" w:line="240" w:lineRule="auto"/>
      <w:ind w:left="720"/>
    </w:pPr>
    <w:rPr>
      <w:rFonts w:ascii="Calibri" w:eastAsiaTheme="minorEastAsia" w:hAnsi="Calibri" w:cs="Calibri"/>
      <w:sz w:val="22"/>
      <w:szCs w:val="22"/>
      <w:lang w:eastAsia="zh-CN"/>
    </w:rPr>
  </w:style>
  <w:style w:type="paragraph" w:customStyle="1" w:styleId="DHHSbullet1">
    <w:name w:val="DHHS bullet 1"/>
    <w:basedOn w:val="DHHSbody"/>
    <w:qFormat/>
    <w:rsid w:val="00281C2F"/>
    <w:pPr>
      <w:tabs>
        <w:tab w:val="num" w:pos="397"/>
      </w:tabs>
      <w:spacing w:after="40"/>
      <w:ind w:left="397" w:hanging="397"/>
    </w:pPr>
  </w:style>
  <w:style w:type="paragraph" w:customStyle="1" w:styleId="TableandfigurelabelHeadings">
    <w:name w:val="Table and figure label (Headings)"/>
    <w:basedOn w:val="Normal"/>
    <w:uiPriority w:val="99"/>
    <w:rsid w:val="002337D1"/>
    <w:pPr>
      <w:keepLine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13" w:after="113" w:line="270" w:lineRule="atLeast"/>
      <w:textAlignment w:val="center"/>
    </w:pPr>
    <w:rPr>
      <w:rFonts w:ascii="VIC SemiBold" w:hAnsi="VIC SemiBold" w:cs="VIC SemiBold"/>
      <w:b/>
      <w:bCs/>
      <w:color w:val="333740"/>
      <w:sz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982812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sahq.org/standards-and-practice-parameters/statement-on-asa-physical-status-classification-system" TargetMode="External"/><Relationship Id="rId21" Type="http://schemas.openxmlformats.org/officeDocument/2006/relationships/hyperlink" Target="https://www.health.vic.gov.au/patient-care/capability-frameworks-for-maternity-and-newborn-care-in-victoria" TargetMode="External"/><Relationship Id="rId42" Type="http://schemas.openxmlformats.org/officeDocument/2006/relationships/hyperlink" Target="https://www.safetyandquality.gov.au/standards/nsqhs-standards/blood-management-standard" TargetMode="External"/><Relationship Id="rId47" Type="http://schemas.openxmlformats.org/officeDocument/2006/relationships/hyperlink" Target="https://www.anzca.edu.au/safety-advocacy/standards-of-practice/policies,-statements,-and-guidelines" TargetMode="External"/><Relationship Id="rId63" Type="http://schemas.openxmlformats.org/officeDocument/2006/relationships/hyperlink" Target="https://www.legislation.vic.gov.au/in-force/acts/health-services-act-1988/167" TargetMode="External"/><Relationship Id="rId68" Type="http://schemas.openxmlformats.org/officeDocument/2006/relationships/hyperlink" Target="http://www.safetyandquality.gov.au/our-work/accreditation-and-the-nsqhs-standards" TargetMode="External"/><Relationship Id="rId16" Type="http://schemas.openxmlformats.org/officeDocument/2006/relationships/header" Target="header3.xml"/><Relationship Id="rId11" Type="http://schemas.openxmlformats.org/officeDocument/2006/relationships/image" Target="media/image1.jpg"/><Relationship Id="rId24" Type="http://schemas.openxmlformats.org/officeDocument/2006/relationships/hyperlink" Target="https://www.health.vic.gov.au/health-system-design-planning/perioperative-service-capability-framework-for-victoria" TargetMode="External"/><Relationship Id="rId32" Type="http://schemas.openxmlformats.org/officeDocument/2006/relationships/hyperlink" Target="https://www.humanrights.vic.gov.au/legal-and-policy/victorias-human-rights-laws/the-charter/" TargetMode="External"/><Relationship Id="rId37" Type="http://schemas.openxmlformats.org/officeDocument/2006/relationships/hyperlink" Target="https://www.health.vic.gov.au/publications/hospital-access-for-people-seeking-asylum" TargetMode="External"/><Relationship Id="rId40" Type="http://schemas.openxmlformats.org/officeDocument/2006/relationships/hyperlink" Target="https://www.safercare.vic.gov.au/support-and-training/review-and-response" TargetMode="External"/><Relationship Id="rId45" Type="http://schemas.openxmlformats.org/officeDocument/2006/relationships/hyperlink" Target="https://www.anzca.edu.au/safety-advocacy/standards-of-practice/policies,-statements,-and-guidelines" TargetMode="External"/><Relationship Id="rId53" Type="http://schemas.openxmlformats.org/officeDocument/2006/relationships/hyperlink" Target="https://www.anzca.edu.au/safety-advocacy/standards-of-practice/policies,-statements,-and-guidelines" TargetMode="External"/><Relationship Id="rId58" Type="http://schemas.openxmlformats.org/officeDocument/2006/relationships/hyperlink" Target="https://www.anzca.edu.au/safety-advocacy/standards-of-practice/policies,-statements,-and-guidelines" TargetMode="External"/><Relationship Id="rId66" Type="http://schemas.openxmlformats.org/officeDocument/2006/relationships/hyperlink" Target="https://www.safercare.vic.gov.au/about/vpcc" TargetMode="External"/><Relationship Id="rId74" Type="http://schemas.openxmlformats.org/officeDocument/2006/relationships/header" Target="header5.xml"/><Relationship Id="rId5" Type="http://schemas.openxmlformats.org/officeDocument/2006/relationships/numbering" Target="numbering.xml"/><Relationship Id="rId61" Type="http://schemas.openxmlformats.org/officeDocument/2006/relationships/hyperlink" Target="https://www.cicm.org.au/Resources/Professional-Documents" TargetMode="External"/><Relationship Id="rId19" Type="http://schemas.openxmlformats.org/officeDocument/2006/relationships/hyperlink" Target="https://www.health.vic.gov.au/health-system-design-planning/perioperative-service-capability-framework-for-victoria" TargetMode="External"/><Relationship Id="rId14" Type="http://schemas.openxmlformats.org/officeDocument/2006/relationships/footer" Target="footer1.xml"/><Relationship Id="rId22" Type="http://schemas.openxmlformats.org/officeDocument/2006/relationships/hyperlink" Target="https://www.safetyandquality.gov.au/standards/nsqhs-standards/preventing-and-controlling-infections-standard" TargetMode="External"/><Relationship Id="rId27" Type="http://schemas.openxmlformats.org/officeDocument/2006/relationships/hyperlink" Target="https://www.vic.gov.au/about-child-safe-standards" TargetMode="External"/><Relationship Id="rId30" Type="http://schemas.openxmlformats.org/officeDocument/2006/relationships/hyperlink" Target="https://www.anmfvic.asn.au/~/media/files/anmf/eba%202020/campaign%20updates/200120-NandM-EBA-master-clean.pdf" TargetMode="External"/><Relationship Id="rId35" Type="http://schemas.openxmlformats.org/officeDocument/2006/relationships/hyperlink" Target="https://www.health.vic.gov.au/publications/language-services-policy" TargetMode="External"/><Relationship Id="rId43" Type="http://schemas.openxmlformats.org/officeDocument/2006/relationships/hyperlink" Target="https://www.safetyandquality.gov.au/standards/nsqhs-standards/medication-safety-standard" TargetMode="External"/><Relationship Id="rId48" Type="http://schemas.openxmlformats.org/officeDocument/2006/relationships/hyperlink" Target="https://www.anzca.edu.au/safety-advocacy/standards-of-practice/policies,-statements,-and-guidelines" TargetMode="External"/><Relationship Id="rId56" Type="http://schemas.openxmlformats.org/officeDocument/2006/relationships/hyperlink" Target="https://www.cicm.org.au/Resources/Professional-Documents" TargetMode="External"/><Relationship Id="rId64" Type="http://schemas.openxmlformats.org/officeDocument/2006/relationships/hyperlink" Target="https://www.safetyandquality.gov.au/standards/nsqhs-standards/preventing-and-controlling-infections-standard" TargetMode="External"/><Relationship Id="rId69" Type="http://schemas.openxmlformats.org/officeDocument/2006/relationships/hyperlink" Target="http://www.racgp.org.au/yourracgp/organisation/committees/joint-consultative-committees/jcca/"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healthfacilityguidelines.com.au/health-planning-units" TargetMode="External"/><Relationship Id="rId72" Type="http://schemas.openxmlformats.org/officeDocument/2006/relationships/hyperlink" Target="http://www.health.nsw.gov.au/services/Publications/guide-role-delineation-health-services.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png"/><Relationship Id="rId33" Type="http://schemas.openxmlformats.org/officeDocument/2006/relationships/hyperlink" Target="https://www.safetyandquality.gov.au/standards/nsqhs-standards/partnering-consumers-standard" TargetMode="External"/><Relationship Id="rId38" Type="http://schemas.openxmlformats.org/officeDocument/2006/relationships/hyperlink" Target="https://www.safercare.vic.gov.au/publications/partnering-in-healthcare" TargetMode="External"/><Relationship Id="rId46" Type="http://schemas.openxmlformats.org/officeDocument/2006/relationships/hyperlink" Target="https://www.anzca.edu.au/safety-advocacy/standards-of-practice/policies,-statements,-and-guidelines" TargetMode="External"/><Relationship Id="rId59" Type="http://schemas.openxmlformats.org/officeDocument/2006/relationships/hyperlink" Target="https://www.anzca.edu.au/safety-advocacy/standards-of-practice/policies,-statements,-and-guidelines" TargetMode="External"/><Relationship Id="rId67" Type="http://schemas.openxmlformats.org/officeDocument/2006/relationships/hyperlink" Target="https://www.health.vic.gov.au/planned-surgery-reform-blueprint" TargetMode="External"/><Relationship Id="rId20" Type="http://schemas.openxmlformats.org/officeDocument/2006/relationships/image" Target="media/image2.png"/><Relationship Id="rId41" Type="http://schemas.openxmlformats.org/officeDocument/2006/relationships/hyperlink" Target="https://www.safetyandquality.gov.au/standards/nsqhs-standards/assessment-nsqhs-standards/nsqhs-standards-advisories/advisory-as1807-reprocessing-reusable-medical-devices-health-service-organisations" TargetMode="External"/><Relationship Id="rId54" Type="http://schemas.openxmlformats.org/officeDocument/2006/relationships/hyperlink" Target="https://healthfacilityguidelines.com.au/health-planning-units" TargetMode="External"/><Relationship Id="rId62" Type="http://schemas.openxmlformats.org/officeDocument/2006/relationships/hyperlink" Target="https://www.safercare.vic.gov.au/publications/credentialing-and-scope-of-clinical-practice-for-senior-medical-practitioners-policy" TargetMode="External"/><Relationship Id="rId70" Type="http://schemas.openxmlformats.org/officeDocument/2006/relationships/hyperlink" Target="http://www.asa.org.au/" TargetMode="External"/><Relationship Id="rId75"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health.vic.gov.au/health-system-design-planning/perioperative-service-capability-framework-for-victoria" TargetMode="External"/><Relationship Id="rId28" Type="http://schemas.openxmlformats.org/officeDocument/2006/relationships/hyperlink" Target="https://www.safercare.vic.gov.au/publications/credentialing-and-scope-of-clinical-practice-for-senior-medical-practitioners-policy" TargetMode="External"/><Relationship Id="rId36" Type="http://schemas.openxmlformats.org/officeDocument/2006/relationships/hyperlink" Target="https://www.health.vic.gov.au/policy-and-funding-guidelines-for-health-services" TargetMode="External"/><Relationship Id="rId49" Type="http://schemas.openxmlformats.org/officeDocument/2006/relationships/hyperlink" Target="https://www.anzca.edu.au/safety-advocacy/standards-of-practice/policies,-statements,-and-guidelines" TargetMode="External"/><Relationship Id="rId57" Type="http://schemas.openxmlformats.org/officeDocument/2006/relationships/hyperlink" Target="https://www.anzca.edu.au/safety-advocacy/standards-of-practice/policies,-statements,-and-guidelines" TargetMode="External"/><Relationship Id="rId10" Type="http://schemas.openxmlformats.org/officeDocument/2006/relationships/endnotes" Target="endnotes.xml"/><Relationship Id="rId31" Type="http://schemas.openxmlformats.org/officeDocument/2006/relationships/hyperlink" Target="https://www.safetyandquality.gov.au/our-work/partnering-consumers/australian-charter-healthcare-rights" TargetMode="External"/><Relationship Id="rId44" Type="http://schemas.openxmlformats.org/officeDocument/2006/relationships/hyperlink" Target="https://src.health.vic.gov.au/about" TargetMode="External"/><Relationship Id="rId52" Type="http://schemas.openxmlformats.org/officeDocument/2006/relationships/hyperlink" Target="https://www.healthfacilityguidelines.com.au/health-planning-units" TargetMode="External"/><Relationship Id="rId60" Type="http://schemas.openxmlformats.org/officeDocument/2006/relationships/hyperlink" Target="https://www.anzca.edu.au/safety-advocacy/standards-of-practice/policies,-statements,-and-guidelines" TargetMode="External"/><Relationship Id="rId65" Type="http://schemas.openxmlformats.org/officeDocument/2006/relationships/hyperlink" Target="https://www.anzca.edu.au/safety-advocacy/standards-of-practice/policies,-statements,-and-guidelines" TargetMode="External"/><Relationship Id="rId73" Type="http://schemas.openxmlformats.org/officeDocument/2006/relationships/header" Target="header4.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perioperativeframework@health.vic.gov.au" TargetMode="External"/><Relationship Id="rId39" Type="http://schemas.openxmlformats.org/officeDocument/2006/relationships/hyperlink" Target="https://www.health.vic.gov.au/publications/victorian-health-incident-management-system-minimum-dataset" TargetMode="External"/><Relationship Id="rId34" Type="http://schemas.openxmlformats.org/officeDocument/2006/relationships/hyperlink" Target="https://www.anzca.edu.au/resources/professional-documents/standards-(1)/ps26-statement-on-informed-consent-for-anaesthesia" TargetMode="External"/><Relationship Id="rId50" Type="http://schemas.openxmlformats.org/officeDocument/2006/relationships/hyperlink" Target="https://www.anzca.edu.au/safety-advocacy/standards-of-practice/policies,-statements,-and-guidelines" TargetMode="External"/><Relationship Id="rId55" Type="http://schemas.openxmlformats.org/officeDocument/2006/relationships/hyperlink" Target="https://www.anzca.edu.au/safety-advocacy/standards-of-practice/policies,-statements,-and-guidelines" TargetMode="External"/><Relationship Id="rId76" Type="http://schemas.openxmlformats.org/officeDocument/2006/relationships/footer" Target="footer5.xml"/><Relationship Id="rId7" Type="http://schemas.openxmlformats.org/officeDocument/2006/relationships/settings" Target="settings.xml"/><Relationship Id="rId71" Type="http://schemas.openxmlformats.org/officeDocument/2006/relationships/hyperlink" Target="https://www.aihw.gov.au/reports/hospitals/national-definitions-for-elective-surgery-urgency/summary" TargetMode="External"/><Relationship Id="rId2" Type="http://schemas.openxmlformats.org/officeDocument/2006/relationships/customXml" Target="../customXml/item2.xml"/><Relationship Id="rId29" Type="http://schemas.openxmlformats.org/officeDocument/2006/relationships/hyperlink" Target="https://www.health.vic.gov.au/nursing-and-midwifery/nursing-and-midwifery-legislation-and-regulation"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health.vic.gov.au/publications/language-services-policy" TargetMode="External"/><Relationship Id="rId21" Type="http://schemas.openxmlformats.org/officeDocument/2006/relationships/hyperlink" Target="https://www.health.vic.gov.au/publications/aboriginal-cultural-safety-fixed-grant-guidelines-cultural-safety-planning-and" TargetMode="External"/><Relationship Id="rId42" Type="http://schemas.openxmlformats.org/officeDocument/2006/relationships/hyperlink" Target="https://src.health.vic.gov.au/about" TargetMode="External"/><Relationship Id="rId47" Type="http://schemas.openxmlformats.org/officeDocument/2006/relationships/hyperlink" Target="https://www.anzca.edu.au/safety-advocacy/standards-of-practice/policies,-statements,-and-guidelines" TargetMode="External"/><Relationship Id="rId63" Type="http://schemas.openxmlformats.org/officeDocument/2006/relationships/hyperlink" Target="https://www.anzca.edu.au/safety-advocacy/standards-of-practice/policies,-statements,-and-guidelines" TargetMode="External"/><Relationship Id="rId68" Type="http://schemas.openxmlformats.org/officeDocument/2006/relationships/hyperlink" Target="https://www.anzca.edu.au/safety-advocacy/standards-of-practice/policies,-statements,-and-guidelines" TargetMode="External"/><Relationship Id="rId84" Type="http://schemas.openxmlformats.org/officeDocument/2006/relationships/hyperlink" Target="http://www.anzca.edu.au/resources/professional-documents" TargetMode="External"/><Relationship Id="rId16" Type="http://schemas.openxmlformats.org/officeDocument/2006/relationships/hyperlink" Target="https://www.health.vic.gov.au/nursing-and-midwifery/nursing-and-midwifery-legislation-and-regulation" TargetMode="External"/><Relationship Id="rId11" Type="http://schemas.openxmlformats.org/officeDocument/2006/relationships/hyperlink" Target="https://www.safercare.vic.gov.au/notify-us/sentinel-events" TargetMode="External"/><Relationship Id="rId32" Type="http://schemas.openxmlformats.org/officeDocument/2006/relationships/hyperlink" Target="https://www.safercare.vic.gov.au/support-and-training/review-and-response" TargetMode="External"/><Relationship Id="rId37" Type="http://schemas.openxmlformats.org/officeDocument/2006/relationships/hyperlink" Target="https://www.safetyandquality.gov.au/our-work/recognising-and-responding-deterioration/recognising-and-responding-acute-physiological-deterioration/national-consensus-statement-essential-elements-recognising-and-responding-acute-physiological-deterioration" TargetMode="External"/><Relationship Id="rId53" Type="http://schemas.openxmlformats.org/officeDocument/2006/relationships/hyperlink" Target="https://www.healthfacilityguidelines.com.au/health-planning-units" TargetMode="External"/><Relationship Id="rId58" Type="http://schemas.openxmlformats.org/officeDocument/2006/relationships/hyperlink" Target="https://www.anzca.edu.au/safety-advocacy/standards-of-practice/policies,-statements,-and-guidelines" TargetMode="External"/><Relationship Id="rId74" Type="http://schemas.openxmlformats.org/officeDocument/2006/relationships/hyperlink" Target="https://www.safetyandquality.gov.au/standards/nsqhs-standards/preventing-and-controlling-infections-standard" TargetMode="External"/><Relationship Id="rId79" Type="http://schemas.openxmlformats.org/officeDocument/2006/relationships/hyperlink" Target="https://www.surgeons.org/about-racs/position-papers/outreach-surgery-in-regional-rural-and-remote-australia-and-new-zealand-2015" TargetMode="External"/><Relationship Id="rId5" Type="http://schemas.openxmlformats.org/officeDocument/2006/relationships/hyperlink" Target="https://www.safercare.vic.gov.au/publications/victorian-perioperative-consultative-council-annual-report-2021" TargetMode="External"/><Relationship Id="rId61" Type="http://schemas.openxmlformats.org/officeDocument/2006/relationships/hyperlink" Target="https://www.anzca.edu.au/safety-advocacy/standards-of-practice/policies,-statements,-and-guidelines" TargetMode="External"/><Relationship Id="rId82" Type="http://schemas.openxmlformats.org/officeDocument/2006/relationships/hyperlink" Target="https://www.safercare.vic.gov.au/publications/credentialing-and-scope-of-clinical-practice-for-senior-medical-practitioners-policy" TargetMode="External"/><Relationship Id="rId19" Type="http://schemas.openxmlformats.org/officeDocument/2006/relationships/hyperlink" Target="https://www.acorn.org.au/view-acorn-standards" TargetMode="External"/><Relationship Id="rId14" Type="http://schemas.openxmlformats.org/officeDocument/2006/relationships/hyperlink" Target="https://www.vic.gov.au/about-child-safe-standards" TargetMode="External"/><Relationship Id="rId22" Type="http://schemas.openxmlformats.org/officeDocument/2006/relationships/hyperlink" Target="https://www.safetyandquality.gov.au/our-work/partnering-consumers/australian-charter-healthcare-rights" TargetMode="External"/><Relationship Id="rId27" Type="http://schemas.openxmlformats.org/officeDocument/2006/relationships/hyperlink" Target="https://www.health.vic.gov.au/policy-and-funding-guidelines-for-health-services" TargetMode="External"/><Relationship Id="rId30" Type="http://schemas.openxmlformats.org/officeDocument/2006/relationships/hyperlink" Target="https://www.safetyandquality.gov.au/standards/nsqhs-standards/clinical-governance-standard/clinical-performance-and-effectiveness/action-125" TargetMode="External"/><Relationship Id="rId35" Type="http://schemas.openxmlformats.org/officeDocument/2006/relationships/hyperlink" Target="https://www.safetyandquality.gov.au/standards/nsqhs-standards/assessment-nsqhs-standards/nsqhs-standards-advisories/advisory-as1807-reprocessing-reusable-medical-devices-health-service-organisations" TargetMode="External"/><Relationship Id="rId43" Type="http://schemas.openxmlformats.org/officeDocument/2006/relationships/hyperlink" Target="https://src.health.vic.gov.au/specialities" TargetMode="External"/><Relationship Id="rId48" Type="http://schemas.openxmlformats.org/officeDocument/2006/relationships/hyperlink" Target="https://www.anzca.edu.au/safety-advocacy/standards-of-practice/policies,-statements,-and-guidelines" TargetMode="External"/><Relationship Id="rId56" Type="http://schemas.openxmlformats.org/officeDocument/2006/relationships/hyperlink" Target="https://healthfacilityguidelines.com.au/health-planning-units" TargetMode="External"/><Relationship Id="rId64" Type="http://schemas.openxmlformats.org/officeDocument/2006/relationships/hyperlink" Target="https://www.anzca.edu.au/safety-advocacy/standards-of-practice/policies,-statements,-and-guidelines" TargetMode="External"/><Relationship Id="rId69" Type="http://schemas.openxmlformats.org/officeDocument/2006/relationships/hyperlink" Target="https://www.safercare.vic.gov.au/publications/credentialing-and-scope-of-clinical-practice-for-senior-medical-practitioners-policy" TargetMode="External"/><Relationship Id="rId77" Type="http://schemas.openxmlformats.org/officeDocument/2006/relationships/hyperlink" Target="https://www.aihw.gov.au/reports-data/myhospitals/content/glossary" TargetMode="External"/><Relationship Id="rId8" Type="http://schemas.openxmlformats.org/officeDocument/2006/relationships/hyperlink" Target="https://www.safercare.vic.gov.au/publications/policy-adverse-patient-safety-events" TargetMode="External"/><Relationship Id="rId51" Type="http://schemas.openxmlformats.org/officeDocument/2006/relationships/hyperlink" Target="https://www.anzca.edu.au/safety-advocacy/standards-of-practice/policies,-statements,-and-guidelines" TargetMode="External"/><Relationship Id="rId72" Type="http://schemas.openxmlformats.org/officeDocument/2006/relationships/hyperlink" Target="https://www.anzca.edu.au/resources/professional-documents/guidelines/ps15-guidelines-for-the-perioperative-care-of-pati" TargetMode="External"/><Relationship Id="rId80" Type="http://schemas.openxmlformats.org/officeDocument/2006/relationships/hyperlink" Target="https://www.safercare.vic.gov.au/best-practice-improvement/publications/victorian-perioperative-consultative-council-annual-report-2021" TargetMode="External"/><Relationship Id="rId3" Type="http://schemas.openxmlformats.org/officeDocument/2006/relationships/hyperlink" Target="https://www.safetyandquality.gov.au/standards/nsqhs-standards" TargetMode="External"/><Relationship Id="rId12" Type="http://schemas.openxmlformats.org/officeDocument/2006/relationships/hyperlink" Target="https://www.safercare.vic.gov.au/notify-us/sentinel-events" TargetMode="External"/><Relationship Id="rId17" Type="http://schemas.openxmlformats.org/officeDocument/2006/relationships/hyperlink" Target="https://www.anmfvic.asn.au/~/media/files/anmf/eba%202020/campaign%20updates/200120-NandM-EBA-master-clean.pdf" TargetMode="External"/><Relationship Id="rId25" Type="http://schemas.openxmlformats.org/officeDocument/2006/relationships/hyperlink" Target="https://www.anzca.edu.au/resources/professional-documents/standards-(1)/ps26-statement-on-informed-consent-for-anaesthesia" TargetMode="External"/><Relationship Id="rId33" Type="http://schemas.openxmlformats.org/officeDocument/2006/relationships/hyperlink" Target="https://www.safetyandquality.gov.au/standards/nsqhs-standards/communicating-safety-standard/communication-clinical-handover/action-607" TargetMode="External"/><Relationship Id="rId38" Type="http://schemas.openxmlformats.org/officeDocument/2006/relationships/hyperlink" Target="https://www.nata.com.au" TargetMode="External"/><Relationship Id="rId46" Type="http://schemas.openxmlformats.org/officeDocument/2006/relationships/hyperlink" Target="https://www.acorn.org.au/standards/" TargetMode="External"/><Relationship Id="rId59" Type="http://schemas.openxmlformats.org/officeDocument/2006/relationships/hyperlink" Target="https://www.cicm.org.au/Resources/Professional-Documents" TargetMode="External"/><Relationship Id="rId67" Type="http://schemas.openxmlformats.org/officeDocument/2006/relationships/hyperlink" Target="https://www.health.vic.gov.au/patient-care/surgical-services-policies-and-guides" TargetMode="External"/><Relationship Id="rId20" Type="http://schemas.openxmlformats.org/officeDocument/2006/relationships/hyperlink" Target="https://www.health.vic.gov.au/publications/aboriginal-and-torres-strait-islander-cultural-safety-framework-part-1" TargetMode="External"/><Relationship Id="rId41" Type="http://schemas.openxmlformats.org/officeDocument/2006/relationships/hyperlink" Target="https://www.asahq.org/standards-and-practice-parameters/statement-on-asa-physical-status-classification-system" TargetMode="External"/><Relationship Id="rId54" Type="http://schemas.openxmlformats.org/officeDocument/2006/relationships/hyperlink" Target="https://www.healthfacilityguidelines.com.au/health-planning-units" TargetMode="External"/><Relationship Id="rId62" Type="http://schemas.openxmlformats.org/officeDocument/2006/relationships/hyperlink" Target="https://www.anzca.edu.au/safety-advocacy/standards-of-practice/policies,-statements,-and-guidelines" TargetMode="External"/><Relationship Id="rId70" Type="http://schemas.openxmlformats.org/officeDocument/2006/relationships/hyperlink" Target="https://www.ceh.org.au/wp-content/uploads/2015/12/CC1_A-framework-for-cultural-competence.pdf" TargetMode="External"/><Relationship Id="rId75" Type="http://schemas.openxmlformats.org/officeDocument/2006/relationships/hyperlink" Target="https://www.medicalboard.gov.au/registration/types/specialist-registration/medical-specialties-and-specialty-fields.aspx" TargetMode="External"/><Relationship Id="rId83" Type="http://schemas.openxmlformats.org/officeDocument/2006/relationships/hyperlink" Target="https://www.health.vic.gov.au/victorian-virtual-care-strategy/" TargetMode="External"/><Relationship Id="rId1" Type="http://schemas.openxmlformats.org/officeDocument/2006/relationships/hyperlink" Target="https://www.safercare.vic.gov.au/publications/victorianperioperative-consultative-council-annualreport-2021" TargetMode="External"/><Relationship Id="rId6" Type="http://schemas.openxmlformats.org/officeDocument/2006/relationships/hyperlink" Target="https://www.safercare.vic.gov.au/publications/victorian-audit-of-surgical-mortality-annual-report-2016-21" TargetMode="External"/><Relationship Id="rId15" Type="http://schemas.openxmlformats.org/officeDocument/2006/relationships/hyperlink" Target="https://www.safercare.vic.gov.au/publications/credentialing-and-scope-of-clinical-practice-for-senior-medical-practitioners-policy" TargetMode="External"/><Relationship Id="rId23" Type="http://schemas.openxmlformats.org/officeDocument/2006/relationships/hyperlink" Target="https://www.humanrights.vic.gov.au/legal-and-policy/victorias-human-rights-laws/the-charter/" TargetMode="External"/><Relationship Id="rId28" Type="http://schemas.openxmlformats.org/officeDocument/2006/relationships/hyperlink" Target="https://www.health.vic.gov.au/publications/hospital-access-for-people-seeking-asylum" TargetMode="External"/><Relationship Id="rId36" Type="http://schemas.openxmlformats.org/officeDocument/2006/relationships/hyperlink" Target="https://www.safetyandquality.gov.au/standards/nsqhs-standards/recognising-and-responding-acute-deterioration-standard" TargetMode="External"/><Relationship Id="rId49" Type="http://schemas.openxmlformats.org/officeDocument/2006/relationships/hyperlink" Target="https://www.anzca.edu.au/safety-advocacy/standards-of-practice/policies,-statements,-and-guidelines" TargetMode="External"/><Relationship Id="rId57" Type="http://schemas.openxmlformats.org/officeDocument/2006/relationships/hyperlink" Target="https://www.anzca.edu.au/safety-advocacy/standards-of-practice/policies,-statements,-and-guidelines" TargetMode="External"/><Relationship Id="rId10" Type="http://schemas.openxmlformats.org/officeDocument/2006/relationships/hyperlink" Target="https://www.safercare.vic.gov.au/notify-us/perioperative-harm-or-death" TargetMode="External"/><Relationship Id="rId31" Type="http://schemas.openxmlformats.org/officeDocument/2006/relationships/hyperlink" Target="https://www.health.vic.gov.au/publications/victorian-health-incident-management-system-minimum-dataset" TargetMode="External"/><Relationship Id="rId44" Type="http://schemas.openxmlformats.org/officeDocument/2006/relationships/hyperlink" Target="https://www.anzca.edu.au/safety-advocacy/standards-of-practice/policies,-statements,-and-guidelines" TargetMode="External"/><Relationship Id="rId52" Type="http://schemas.openxmlformats.org/officeDocument/2006/relationships/hyperlink" Target="https://www.health.vic.gov.au/virtual-care-operational-framework/virtual-care-operating-framework" TargetMode="External"/><Relationship Id="rId60" Type="http://schemas.openxmlformats.org/officeDocument/2006/relationships/hyperlink" Target="https://www.anzca.edu.au/safety-advocacy/standards-of-practice/policies,-statements,-and-guidelines" TargetMode="External"/><Relationship Id="rId65" Type="http://schemas.openxmlformats.org/officeDocument/2006/relationships/hyperlink" Target="https://www.cicm.org.au/Resources/Professional-Documents" TargetMode="External"/><Relationship Id="rId73" Type="http://schemas.openxmlformats.org/officeDocument/2006/relationships/hyperlink" Target="https://www.legislation.vic.gov.au/in-force/acts/health-services-act-1988/167" TargetMode="External"/><Relationship Id="rId78" Type="http://schemas.openxmlformats.org/officeDocument/2006/relationships/hyperlink" Target="https://www.surgeons.org/about-racs/position-papers/day-surgery-in-australia-2017" TargetMode="External"/><Relationship Id="rId81" Type="http://schemas.openxmlformats.org/officeDocument/2006/relationships/hyperlink" Target="https://www.healthfacilityguidelines.com.au/hpu/day-surgery-procedure-unit-2" TargetMode="External"/><Relationship Id="rId4" Type="http://schemas.openxmlformats.org/officeDocument/2006/relationships/hyperlink" Target="https://www.asahq.org/standards-and-practice-parameters/statement-on-asa-physical-status-classification-system" TargetMode="External"/><Relationship Id="rId9" Type="http://schemas.openxmlformats.org/officeDocument/2006/relationships/hyperlink" Target="https://www.safercare.vic.gov.au/publications/victorian-perioperative-consultative-council-annual-report-2021" TargetMode="External"/><Relationship Id="rId13" Type="http://schemas.openxmlformats.org/officeDocument/2006/relationships/hyperlink" Target="https://www.health.vic.gov.au/publications/elective-surgery-access-policy" TargetMode="External"/><Relationship Id="rId18" Type="http://schemas.openxmlformats.org/officeDocument/2006/relationships/hyperlink" Target="https://www.anzca.edu.au/resources/professional-documents/guidelines/ps29-guideline-for-the-provision-of-anaesthesia-ca" TargetMode="External"/><Relationship Id="rId39" Type="http://schemas.openxmlformats.org/officeDocument/2006/relationships/hyperlink" Target="https://www.safetyandquality.gov.au/standards/nsqhs-standards/blood-management-standard" TargetMode="External"/><Relationship Id="rId34" Type="http://schemas.openxmlformats.org/officeDocument/2006/relationships/hyperlink" Target="https://www.health.vic.gov.au/patient-care/surgical-services-policies-and-guides" TargetMode="External"/><Relationship Id="rId50" Type="http://schemas.openxmlformats.org/officeDocument/2006/relationships/hyperlink" Target="https://www.anzca.edu.au/safety-advocacy/standards-of-practice/policies,-statements,-and-guidelines" TargetMode="External"/><Relationship Id="rId55" Type="http://schemas.openxmlformats.org/officeDocument/2006/relationships/hyperlink" Target="https://www.anzca.edu.au/safety-advocacy/standards-of-practice/policies,-statements,-and-guidelines" TargetMode="External"/><Relationship Id="rId76" Type="http://schemas.openxmlformats.org/officeDocument/2006/relationships/hyperlink" Target="https://www.safercare.vic.gov.au/best-practice-improvement/publications/credentialing-and-scope-of-clinical-practice-for-senior-medical-practitioners-policy" TargetMode="External"/><Relationship Id="rId7" Type="http://schemas.openxmlformats.org/officeDocument/2006/relationships/hyperlink" Target="https://www.safercare.vic.gov.au/publications/policy-adverse-patient-safety-events" TargetMode="External"/><Relationship Id="rId71" Type="http://schemas.openxmlformats.org/officeDocument/2006/relationships/hyperlink" Target="https://www.surgeons.org/about-racs/position-papers/day-surgery-in-australia-2017" TargetMode="External"/><Relationship Id="rId2" Type="http://schemas.openxmlformats.org/officeDocument/2006/relationships/hyperlink" Target="https://www.vics.org.au/pics-resources" TargetMode="External"/><Relationship Id="rId29" Type="http://schemas.openxmlformats.org/officeDocument/2006/relationships/hyperlink" Target="https://www.safercare.vic.gov.au/publications/partnering-in-healthcare" TargetMode="External"/><Relationship Id="rId24" Type="http://schemas.openxmlformats.org/officeDocument/2006/relationships/hyperlink" Target="https://www.safetyandquality.gov.au/standards/nsqhs-standards/partnering-consumers-standard" TargetMode="External"/><Relationship Id="rId40" Type="http://schemas.openxmlformats.org/officeDocument/2006/relationships/hyperlink" Target="https://www.safetyandquality.gov.au/standards/nsqhs-standards/medication-safety-standard" TargetMode="External"/><Relationship Id="rId45" Type="http://schemas.openxmlformats.org/officeDocument/2006/relationships/hyperlink" Target="https://www.anzca.edu.au/safety-advocacy/standards-of-practice/policies,-statements,-and-guidelines" TargetMode="External"/><Relationship Id="rId66" Type="http://schemas.openxmlformats.org/officeDocument/2006/relationships/hyperlink" Target="https://www.cicm.org.au/Resources/Professional-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8" ma:contentTypeDescription="Create a new document." ma:contentTypeScope="" ma:versionID="9b21b9024fca86330d9bcef5c508dab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355cd8c7f5ffd46c71422e9d86bbe748"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cb00e7b-332d-4610-8aa3-5c2971790d90}"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SharedWithUsers xmlns="51ef5222-d273-4e86-adbf-8aa3d9e99a84">
      <UserInfo>
        <DisplayName>Jo Press (Health)</DisplayName>
        <AccountId>1215</AccountId>
        <AccountType/>
      </UserInfo>
      <UserInfo>
        <DisplayName>Mary Benson (Health)</DisplayName>
        <AccountId>602</AccountId>
        <AccountType/>
      </UserInfo>
      <UserInfo>
        <DisplayName>Miriam Brown (Health)</DisplayName>
        <AccountId>938</AccountId>
        <AccountType/>
      </UserInfo>
      <UserInfo>
        <DisplayName>Isabella Ryan (Health)</DisplayName>
        <AccountId>698</AccountId>
        <AccountType/>
      </UserInfo>
      <UserInfo>
        <DisplayName>Sonia Denisenko (Health)</DisplayName>
        <AccountId>16</AccountId>
        <AccountType/>
      </UserInfo>
      <UserInfo>
        <DisplayName>Ross Donnan (Health)</DisplayName>
        <AccountId>1357</AccountId>
        <AccountType/>
      </UserInfo>
      <UserInfo>
        <DisplayName>Matt Harnett (Health)</DisplayName>
        <AccountId>1208</AccountId>
        <AccountType/>
      </UserInfo>
      <UserInfo>
        <DisplayName>Claire East (Health)</DisplayName>
        <AccountId>1371</AccountId>
        <AccountType/>
      </UserInfo>
      <UserInfo>
        <DisplayName>Capability Frameworks (Health)</DisplayName>
        <AccountId>230</AccountId>
        <AccountType/>
      </UserInfo>
      <UserInfo>
        <DisplayName>Sarah Luscombe (Health)</DisplayName>
        <AccountId>1342</AccountId>
        <AccountType/>
      </UserInfo>
    </SharedWithUser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5480C38-4B51-4955-BE00-88EDE4843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06badf41-c0a1-41a6-983a-efd542c2c878"/>
    <ds:schemaRef ds:uri="5ce0f2b5-5be5-4508-bce9-d7011ece0659"/>
    <ds:schemaRef ds:uri="51ef5222-d273-4e86-adbf-8aa3d9e99a84"/>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15205</Words>
  <Characters>86670</Characters>
  <Application>Microsoft Office Word</Application>
  <DocSecurity>4</DocSecurity>
  <Lines>722</Lines>
  <Paragraphs>203</Paragraphs>
  <ScaleCrop>false</ScaleCrop>
  <Manager/>
  <Company>Victoria State Government, Department of Health</Company>
  <LinksUpToDate>false</LinksUpToDate>
  <CharactersWithSpaces>101672</CharactersWithSpaces>
  <SharedDoc>false</SharedDoc>
  <HyperlinkBase/>
  <HLinks>
    <vt:vector size="966" baseType="variant">
      <vt:variant>
        <vt:i4>83</vt:i4>
      </vt:variant>
      <vt:variant>
        <vt:i4>315</vt:i4>
      </vt:variant>
      <vt:variant>
        <vt:i4>0</vt:i4>
      </vt:variant>
      <vt:variant>
        <vt:i4>5</vt:i4>
      </vt:variant>
      <vt:variant>
        <vt:lpwstr>http://www.health.nsw.gov.au/services/Publications/guide-role-delineation-health-services.pdf</vt:lpwstr>
      </vt:variant>
      <vt:variant>
        <vt:lpwstr/>
      </vt:variant>
      <vt:variant>
        <vt:i4>3735648</vt:i4>
      </vt:variant>
      <vt:variant>
        <vt:i4>312</vt:i4>
      </vt:variant>
      <vt:variant>
        <vt:i4>0</vt:i4>
      </vt:variant>
      <vt:variant>
        <vt:i4>5</vt:i4>
      </vt:variant>
      <vt:variant>
        <vt:lpwstr>https://www.aihw.gov.au/reports/hospitals/national-definitions-for-elective-surgery-urgency/summary</vt:lpwstr>
      </vt:variant>
      <vt:variant>
        <vt:lpwstr/>
      </vt:variant>
      <vt:variant>
        <vt:i4>7143460</vt:i4>
      </vt:variant>
      <vt:variant>
        <vt:i4>309</vt:i4>
      </vt:variant>
      <vt:variant>
        <vt:i4>0</vt:i4>
      </vt:variant>
      <vt:variant>
        <vt:i4>5</vt:i4>
      </vt:variant>
      <vt:variant>
        <vt:lpwstr>http://www.asa.org.au/</vt:lpwstr>
      </vt:variant>
      <vt:variant>
        <vt:lpwstr/>
      </vt:variant>
      <vt:variant>
        <vt:i4>1507392</vt:i4>
      </vt:variant>
      <vt:variant>
        <vt:i4>306</vt:i4>
      </vt:variant>
      <vt:variant>
        <vt:i4>0</vt:i4>
      </vt:variant>
      <vt:variant>
        <vt:i4>5</vt:i4>
      </vt:variant>
      <vt:variant>
        <vt:lpwstr>http://www.racgp.org.au/yourracgp/organisation/committees/joint-consultative-committees/jcca/</vt:lpwstr>
      </vt:variant>
      <vt:variant>
        <vt:lpwstr/>
      </vt:variant>
      <vt:variant>
        <vt:i4>1507412</vt:i4>
      </vt:variant>
      <vt:variant>
        <vt:i4>303</vt:i4>
      </vt:variant>
      <vt:variant>
        <vt:i4>0</vt:i4>
      </vt:variant>
      <vt:variant>
        <vt:i4>5</vt:i4>
      </vt:variant>
      <vt:variant>
        <vt:lpwstr>http://www.safetyandquality.gov.au/our-work/accreditation-and-the-nsqhs-standards</vt:lpwstr>
      </vt:variant>
      <vt:variant>
        <vt:lpwstr/>
      </vt:variant>
      <vt:variant>
        <vt:i4>7929912</vt:i4>
      </vt:variant>
      <vt:variant>
        <vt:i4>300</vt:i4>
      </vt:variant>
      <vt:variant>
        <vt:i4>0</vt:i4>
      </vt:variant>
      <vt:variant>
        <vt:i4>5</vt:i4>
      </vt:variant>
      <vt:variant>
        <vt:lpwstr>https://www.health.vic.gov.au/planned-surgery-reform-blueprint</vt:lpwstr>
      </vt:variant>
      <vt:variant>
        <vt:lpwstr/>
      </vt:variant>
      <vt:variant>
        <vt:i4>7274529</vt:i4>
      </vt:variant>
      <vt:variant>
        <vt:i4>297</vt:i4>
      </vt:variant>
      <vt:variant>
        <vt:i4>0</vt:i4>
      </vt:variant>
      <vt:variant>
        <vt:i4>5</vt:i4>
      </vt:variant>
      <vt:variant>
        <vt:lpwstr>https://www.safercare.vic.gov.au/about/vpcc</vt:lpwstr>
      </vt:variant>
      <vt:variant>
        <vt:lpwstr/>
      </vt:variant>
      <vt:variant>
        <vt:i4>3997792</vt:i4>
      </vt:variant>
      <vt:variant>
        <vt:i4>294</vt:i4>
      </vt:variant>
      <vt:variant>
        <vt:i4>0</vt:i4>
      </vt:variant>
      <vt:variant>
        <vt:i4>5</vt:i4>
      </vt:variant>
      <vt:variant>
        <vt:lpwstr>https://www.anzca.edu.au/safety-advocacy/standards-of-practice/policies,-statements,-and-guidelines</vt:lpwstr>
      </vt:variant>
      <vt:variant>
        <vt:lpwstr/>
      </vt:variant>
      <vt:variant>
        <vt:i4>1507335</vt:i4>
      </vt:variant>
      <vt:variant>
        <vt:i4>291</vt:i4>
      </vt:variant>
      <vt:variant>
        <vt:i4>0</vt:i4>
      </vt:variant>
      <vt:variant>
        <vt:i4>5</vt:i4>
      </vt:variant>
      <vt:variant>
        <vt:lpwstr>https://www.safetyandquality.gov.au/standards/nsqhs-standards/preventing-and-controlling-infections-standard</vt:lpwstr>
      </vt:variant>
      <vt:variant>
        <vt:lpwstr/>
      </vt:variant>
      <vt:variant>
        <vt:i4>5177358</vt:i4>
      </vt:variant>
      <vt:variant>
        <vt:i4>288</vt:i4>
      </vt:variant>
      <vt:variant>
        <vt:i4>0</vt:i4>
      </vt:variant>
      <vt:variant>
        <vt:i4>5</vt:i4>
      </vt:variant>
      <vt:variant>
        <vt:lpwstr>https://www.legislation.vic.gov.au/in-force/acts/health-services-act-1988/167</vt:lpwstr>
      </vt:variant>
      <vt:variant>
        <vt:lpwstr/>
      </vt:variant>
      <vt:variant>
        <vt:i4>7405622</vt:i4>
      </vt:variant>
      <vt:variant>
        <vt:i4>285</vt:i4>
      </vt:variant>
      <vt:variant>
        <vt:i4>0</vt:i4>
      </vt:variant>
      <vt:variant>
        <vt:i4>5</vt:i4>
      </vt:variant>
      <vt:variant>
        <vt:lpwstr>https://www.safercare.vic.gov.au/publications/credentialing-and-scope-of-clinical-practice-for-senior-medical-practitioners-policy</vt:lpwstr>
      </vt:variant>
      <vt:variant>
        <vt:lpwstr/>
      </vt:variant>
      <vt:variant>
        <vt:i4>6225944</vt:i4>
      </vt:variant>
      <vt:variant>
        <vt:i4>282</vt:i4>
      </vt:variant>
      <vt:variant>
        <vt:i4>0</vt:i4>
      </vt:variant>
      <vt:variant>
        <vt:i4>5</vt:i4>
      </vt:variant>
      <vt:variant>
        <vt:lpwstr>https://www.cicm.org.au/Resources/Professional-Documents</vt:lpwstr>
      </vt:variant>
      <vt:variant>
        <vt:lpwstr>Policies</vt:lpwstr>
      </vt:variant>
      <vt:variant>
        <vt:i4>3997792</vt:i4>
      </vt:variant>
      <vt:variant>
        <vt:i4>279</vt:i4>
      </vt:variant>
      <vt:variant>
        <vt:i4>0</vt:i4>
      </vt:variant>
      <vt:variant>
        <vt:i4>5</vt:i4>
      </vt:variant>
      <vt:variant>
        <vt:lpwstr>https://www.anzca.edu.au/safety-advocacy/standards-of-practice/policies,-statements,-and-guidelines</vt:lpwstr>
      </vt:variant>
      <vt:variant>
        <vt:lpwstr/>
      </vt:variant>
      <vt:variant>
        <vt:i4>3997792</vt:i4>
      </vt:variant>
      <vt:variant>
        <vt:i4>276</vt:i4>
      </vt:variant>
      <vt:variant>
        <vt:i4>0</vt:i4>
      </vt:variant>
      <vt:variant>
        <vt:i4>5</vt:i4>
      </vt:variant>
      <vt:variant>
        <vt:lpwstr>https://www.anzca.edu.au/safety-advocacy/standards-of-practice/policies,-statements,-and-guidelines</vt:lpwstr>
      </vt:variant>
      <vt:variant>
        <vt:lpwstr/>
      </vt:variant>
      <vt:variant>
        <vt:i4>3997792</vt:i4>
      </vt:variant>
      <vt:variant>
        <vt:i4>273</vt:i4>
      </vt:variant>
      <vt:variant>
        <vt:i4>0</vt:i4>
      </vt:variant>
      <vt:variant>
        <vt:i4>5</vt:i4>
      </vt:variant>
      <vt:variant>
        <vt:lpwstr>https://www.anzca.edu.au/safety-advocacy/standards-of-practice/policies,-statements,-and-guidelines</vt:lpwstr>
      </vt:variant>
      <vt:variant>
        <vt:lpwstr/>
      </vt:variant>
      <vt:variant>
        <vt:i4>3997792</vt:i4>
      </vt:variant>
      <vt:variant>
        <vt:i4>270</vt:i4>
      </vt:variant>
      <vt:variant>
        <vt:i4>0</vt:i4>
      </vt:variant>
      <vt:variant>
        <vt:i4>5</vt:i4>
      </vt:variant>
      <vt:variant>
        <vt:lpwstr>https://www.anzca.edu.au/safety-advocacy/standards-of-practice/policies,-statements,-and-guidelines</vt:lpwstr>
      </vt:variant>
      <vt:variant>
        <vt:lpwstr/>
      </vt:variant>
      <vt:variant>
        <vt:i4>6225944</vt:i4>
      </vt:variant>
      <vt:variant>
        <vt:i4>267</vt:i4>
      </vt:variant>
      <vt:variant>
        <vt:i4>0</vt:i4>
      </vt:variant>
      <vt:variant>
        <vt:i4>5</vt:i4>
      </vt:variant>
      <vt:variant>
        <vt:lpwstr>https://www.cicm.org.au/Resources/Professional-Documents</vt:lpwstr>
      </vt:variant>
      <vt:variant>
        <vt:lpwstr>Policies</vt:lpwstr>
      </vt:variant>
      <vt:variant>
        <vt:i4>3997792</vt:i4>
      </vt:variant>
      <vt:variant>
        <vt:i4>264</vt:i4>
      </vt:variant>
      <vt:variant>
        <vt:i4>0</vt:i4>
      </vt:variant>
      <vt:variant>
        <vt:i4>5</vt:i4>
      </vt:variant>
      <vt:variant>
        <vt:lpwstr>https://www.anzca.edu.au/safety-advocacy/standards-of-practice/policies,-statements,-and-guidelines</vt:lpwstr>
      </vt:variant>
      <vt:variant>
        <vt:lpwstr/>
      </vt:variant>
      <vt:variant>
        <vt:i4>983069</vt:i4>
      </vt:variant>
      <vt:variant>
        <vt:i4>261</vt:i4>
      </vt:variant>
      <vt:variant>
        <vt:i4>0</vt:i4>
      </vt:variant>
      <vt:variant>
        <vt:i4>5</vt:i4>
      </vt:variant>
      <vt:variant>
        <vt:lpwstr>https://healthfacilityguidelines.com.au/health-planning-units</vt:lpwstr>
      </vt:variant>
      <vt:variant>
        <vt:lpwstr/>
      </vt:variant>
      <vt:variant>
        <vt:i4>3997792</vt:i4>
      </vt:variant>
      <vt:variant>
        <vt:i4>258</vt:i4>
      </vt:variant>
      <vt:variant>
        <vt:i4>0</vt:i4>
      </vt:variant>
      <vt:variant>
        <vt:i4>5</vt:i4>
      </vt:variant>
      <vt:variant>
        <vt:lpwstr>https://www.anzca.edu.au/safety-advocacy/standards-of-practice/policies,-statements,-and-guidelines</vt:lpwstr>
      </vt:variant>
      <vt:variant>
        <vt:lpwstr/>
      </vt:variant>
      <vt:variant>
        <vt:i4>5636125</vt:i4>
      </vt:variant>
      <vt:variant>
        <vt:i4>255</vt:i4>
      </vt:variant>
      <vt:variant>
        <vt:i4>0</vt:i4>
      </vt:variant>
      <vt:variant>
        <vt:i4>5</vt:i4>
      </vt:variant>
      <vt:variant>
        <vt:lpwstr>https://www.healthfacilityguidelines.com.au/health-planning-units</vt:lpwstr>
      </vt:variant>
      <vt:variant>
        <vt:lpwstr/>
      </vt:variant>
      <vt:variant>
        <vt:i4>5636125</vt:i4>
      </vt:variant>
      <vt:variant>
        <vt:i4>252</vt:i4>
      </vt:variant>
      <vt:variant>
        <vt:i4>0</vt:i4>
      </vt:variant>
      <vt:variant>
        <vt:i4>5</vt:i4>
      </vt:variant>
      <vt:variant>
        <vt:lpwstr>https://www.healthfacilityguidelines.com.au/health-planning-units</vt:lpwstr>
      </vt:variant>
      <vt:variant>
        <vt:lpwstr/>
      </vt:variant>
      <vt:variant>
        <vt:i4>3997792</vt:i4>
      </vt:variant>
      <vt:variant>
        <vt:i4>249</vt:i4>
      </vt:variant>
      <vt:variant>
        <vt:i4>0</vt:i4>
      </vt:variant>
      <vt:variant>
        <vt:i4>5</vt:i4>
      </vt:variant>
      <vt:variant>
        <vt:lpwstr>https://www.anzca.edu.au/safety-advocacy/standards-of-practice/policies,-statements,-and-guidelines</vt:lpwstr>
      </vt:variant>
      <vt:variant>
        <vt:lpwstr/>
      </vt:variant>
      <vt:variant>
        <vt:i4>3997792</vt:i4>
      </vt:variant>
      <vt:variant>
        <vt:i4>246</vt:i4>
      </vt:variant>
      <vt:variant>
        <vt:i4>0</vt:i4>
      </vt:variant>
      <vt:variant>
        <vt:i4>5</vt:i4>
      </vt:variant>
      <vt:variant>
        <vt:lpwstr>https://www.anzca.edu.au/safety-advocacy/standards-of-practice/policies,-statements,-and-guidelines</vt:lpwstr>
      </vt:variant>
      <vt:variant>
        <vt:lpwstr/>
      </vt:variant>
      <vt:variant>
        <vt:i4>3997792</vt:i4>
      </vt:variant>
      <vt:variant>
        <vt:i4>243</vt:i4>
      </vt:variant>
      <vt:variant>
        <vt:i4>0</vt:i4>
      </vt:variant>
      <vt:variant>
        <vt:i4>5</vt:i4>
      </vt:variant>
      <vt:variant>
        <vt:lpwstr>https://www.anzca.edu.au/safety-advocacy/standards-of-practice/policies,-statements,-and-guidelines</vt:lpwstr>
      </vt:variant>
      <vt:variant>
        <vt:lpwstr/>
      </vt:variant>
      <vt:variant>
        <vt:i4>3997792</vt:i4>
      </vt:variant>
      <vt:variant>
        <vt:i4>240</vt:i4>
      </vt:variant>
      <vt:variant>
        <vt:i4>0</vt:i4>
      </vt:variant>
      <vt:variant>
        <vt:i4>5</vt:i4>
      </vt:variant>
      <vt:variant>
        <vt:lpwstr>https://www.anzca.edu.au/safety-advocacy/standards-of-practice/policies,-statements,-and-guidelines</vt:lpwstr>
      </vt:variant>
      <vt:variant>
        <vt:lpwstr/>
      </vt:variant>
      <vt:variant>
        <vt:i4>3997792</vt:i4>
      </vt:variant>
      <vt:variant>
        <vt:i4>237</vt:i4>
      </vt:variant>
      <vt:variant>
        <vt:i4>0</vt:i4>
      </vt:variant>
      <vt:variant>
        <vt:i4>5</vt:i4>
      </vt:variant>
      <vt:variant>
        <vt:lpwstr>https://www.anzca.edu.au/safety-advocacy/standards-of-practice/policies,-statements,-and-guidelines</vt:lpwstr>
      </vt:variant>
      <vt:variant>
        <vt:lpwstr/>
      </vt:variant>
      <vt:variant>
        <vt:i4>3997792</vt:i4>
      </vt:variant>
      <vt:variant>
        <vt:i4>234</vt:i4>
      </vt:variant>
      <vt:variant>
        <vt:i4>0</vt:i4>
      </vt:variant>
      <vt:variant>
        <vt:i4>5</vt:i4>
      </vt:variant>
      <vt:variant>
        <vt:lpwstr>https://www.anzca.edu.au/safety-advocacy/standards-of-practice/policies,-statements,-and-guidelines</vt:lpwstr>
      </vt:variant>
      <vt:variant>
        <vt:lpwstr/>
      </vt:variant>
      <vt:variant>
        <vt:i4>7405694</vt:i4>
      </vt:variant>
      <vt:variant>
        <vt:i4>231</vt:i4>
      </vt:variant>
      <vt:variant>
        <vt:i4>0</vt:i4>
      </vt:variant>
      <vt:variant>
        <vt:i4>5</vt:i4>
      </vt:variant>
      <vt:variant>
        <vt:lpwstr>https://src.health.vic.gov.au/about</vt:lpwstr>
      </vt:variant>
      <vt:variant>
        <vt:lpwstr/>
      </vt:variant>
      <vt:variant>
        <vt:i4>720922</vt:i4>
      </vt:variant>
      <vt:variant>
        <vt:i4>228</vt:i4>
      </vt:variant>
      <vt:variant>
        <vt:i4>0</vt:i4>
      </vt:variant>
      <vt:variant>
        <vt:i4>5</vt:i4>
      </vt:variant>
      <vt:variant>
        <vt:lpwstr>https://www.safetyandquality.gov.au/standards/nsqhs-standards/medication-safety-standard</vt:lpwstr>
      </vt:variant>
      <vt:variant>
        <vt:lpwstr/>
      </vt:variant>
      <vt:variant>
        <vt:i4>7077991</vt:i4>
      </vt:variant>
      <vt:variant>
        <vt:i4>225</vt:i4>
      </vt:variant>
      <vt:variant>
        <vt:i4>0</vt:i4>
      </vt:variant>
      <vt:variant>
        <vt:i4>5</vt:i4>
      </vt:variant>
      <vt:variant>
        <vt:lpwstr>https://www.safetyandquality.gov.au/standards/nsqhs-standards/blood-management-standard</vt:lpwstr>
      </vt:variant>
      <vt:variant>
        <vt:lpwstr/>
      </vt:variant>
      <vt:variant>
        <vt:i4>7798897</vt:i4>
      </vt:variant>
      <vt:variant>
        <vt:i4>222</vt:i4>
      </vt:variant>
      <vt:variant>
        <vt:i4>0</vt:i4>
      </vt:variant>
      <vt:variant>
        <vt:i4>5</vt:i4>
      </vt:variant>
      <vt:variant>
        <vt:lpwstr>https://www.safetyandquality.gov.au/standards/nsqhs-standards/assessment-nsqhs-standards/nsqhs-standards-advisories/advisory-as1807-reprocessing-reusable-medical-devices-health-service-organisations</vt:lpwstr>
      </vt:variant>
      <vt:variant>
        <vt:lpwstr/>
      </vt:variant>
      <vt:variant>
        <vt:i4>4456465</vt:i4>
      </vt:variant>
      <vt:variant>
        <vt:i4>219</vt:i4>
      </vt:variant>
      <vt:variant>
        <vt:i4>0</vt:i4>
      </vt:variant>
      <vt:variant>
        <vt:i4>5</vt:i4>
      </vt:variant>
      <vt:variant>
        <vt:lpwstr>https://www.safercare.vic.gov.au/support-and-training/review-and-response</vt:lpwstr>
      </vt:variant>
      <vt:variant>
        <vt:lpwstr/>
      </vt:variant>
      <vt:variant>
        <vt:i4>7602236</vt:i4>
      </vt:variant>
      <vt:variant>
        <vt:i4>216</vt:i4>
      </vt:variant>
      <vt:variant>
        <vt:i4>0</vt:i4>
      </vt:variant>
      <vt:variant>
        <vt:i4>5</vt:i4>
      </vt:variant>
      <vt:variant>
        <vt:lpwstr>https://www.health.vic.gov.au/publications/victorian-health-incident-management-system-minimum-dataset</vt:lpwstr>
      </vt:variant>
      <vt:variant>
        <vt:lpwstr/>
      </vt:variant>
      <vt:variant>
        <vt:i4>7143460</vt:i4>
      </vt:variant>
      <vt:variant>
        <vt:i4>213</vt:i4>
      </vt:variant>
      <vt:variant>
        <vt:i4>0</vt:i4>
      </vt:variant>
      <vt:variant>
        <vt:i4>5</vt:i4>
      </vt:variant>
      <vt:variant>
        <vt:lpwstr>https://www.safercare.vic.gov.au/publications/partnering-in-healthcare</vt:lpwstr>
      </vt:variant>
      <vt:variant>
        <vt:lpwstr/>
      </vt:variant>
      <vt:variant>
        <vt:i4>5177422</vt:i4>
      </vt:variant>
      <vt:variant>
        <vt:i4>210</vt:i4>
      </vt:variant>
      <vt:variant>
        <vt:i4>0</vt:i4>
      </vt:variant>
      <vt:variant>
        <vt:i4>5</vt:i4>
      </vt:variant>
      <vt:variant>
        <vt:lpwstr>https://www.health.vic.gov.au/publications/hospital-access-for-people-seeking-asylum</vt:lpwstr>
      </vt:variant>
      <vt:variant>
        <vt:lpwstr/>
      </vt:variant>
      <vt:variant>
        <vt:i4>8061047</vt:i4>
      </vt:variant>
      <vt:variant>
        <vt:i4>207</vt:i4>
      </vt:variant>
      <vt:variant>
        <vt:i4>0</vt:i4>
      </vt:variant>
      <vt:variant>
        <vt:i4>5</vt:i4>
      </vt:variant>
      <vt:variant>
        <vt:lpwstr>https://www.health.vic.gov.au/policy-and-funding-guidelines-for-health-services</vt:lpwstr>
      </vt:variant>
      <vt:variant>
        <vt:lpwstr/>
      </vt:variant>
      <vt:variant>
        <vt:i4>3145846</vt:i4>
      </vt:variant>
      <vt:variant>
        <vt:i4>204</vt:i4>
      </vt:variant>
      <vt:variant>
        <vt:i4>0</vt:i4>
      </vt:variant>
      <vt:variant>
        <vt:i4>5</vt:i4>
      </vt:variant>
      <vt:variant>
        <vt:lpwstr>https://www.health.vic.gov.au/publications/language-services-policy</vt:lpwstr>
      </vt:variant>
      <vt:variant>
        <vt:lpwstr/>
      </vt:variant>
      <vt:variant>
        <vt:i4>7995439</vt:i4>
      </vt:variant>
      <vt:variant>
        <vt:i4>201</vt:i4>
      </vt:variant>
      <vt:variant>
        <vt:i4>0</vt:i4>
      </vt:variant>
      <vt:variant>
        <vt:i4>5</vt:i4>
      </vt:variant>
      <vt:variant>
        <vt:lpwstr>https://www.anzca.edu.au/resources/professional-documents/standards-(1)/ps26-statement-on-informed-consent-for-anaesthesia</vt:lpwstr>
      </vt:variant>
      <vt:variant>
        <vt:lpwstr/>
      </vt:variant>
      <vt:variant>
        <vt:i4>2490423</vt:i4>
      </vt:variant>
      <vt:variant>
        <vt:i4>198</vt:i4>
      </vt:variant>
      <vt:variant>
        <vt:i4>0</vt:i4>
      </vt:variant>
      <vt:variant>
        <vt:i4>5</vt:i4>
      </vt:variant>
      <vt:variant>
        <vt:lpwstr>https://www.safetyandquality.gov.au/standards/nsqhs-standards/partnering-consumers-standard</vt:lpwstr>
      </vt:variant>
      <vt:variant>
        <vt:lpwstr/>
      </vt:variant>
      <vt:variant>
        <vt:i4>1769542</vt:i4>
      </vt:variant>
      <vt:variant>
        <vt:i4>195</vt:i4>
      </vt:variant>
      <vt:variant>
        <vt:i4>0</vt:i4>
      </vt:variant>
      <vt:variant>
        <vt:i4>5</vt:i4>
      </vt:variant>
      <vt:variant>
        <vt:lpwstr>https://www.humanrights.vic.gov.au/legal-and-policy/victorias-human-rights-laws/the-charter/</vt:lpwstr>
      </vt:variant>
      <vt:variant>
        <vt:lpwstr/>
      </vt:variant>
      <vt:variant>
        <vt:i4>7929954</vt:i4>
      </vt:variant>
      <vt:variant>
        <vt:i4>192</vt:i4>
      </vt:variant>
      <vt:variant>
        <vt:i4>0</vt:i4>
      </vt:variant>
      <vt:variant>
        <vt:i4>5</vt:i4>
      </vt:variant>
      <vt:variant>
        <vt:lpwstr>https://www.safetyandquality.gov.au/our-work/partnering-consumers/australian-charter-healthcare-rights</vt:lpwstr>
      </vt:variant>
      <vt:variant>
        <vt:lpwstr/>
      </vt:variant>
      <vt:variant>
        <vt:i4>1769489</vt:i4>
      </vt:variant>
      <vt:variant>
        <vt:i4>189</vt:i4>
      </vt:variant>
      <vt:variant>
        <vt:i4>0</vt:i4>
      </vt:variant>
      <vt:variant>
        <vt:i4>5</vt:i4>
      </vt:variant>
      <vt:variant>
        <vt:lpwstr>https://www.anmfvic.asn.au/~/media/files/anmf/eba 2020/campaign updates/200120-NandM-EBA-master-clean.pdf</vt:lpwstr>
      </vt:variant>
      <vt:variant>
        <vt:lpwstr/>
      </vt:variant>
      <vt:variant>
        <vt:i4>131097</vt:i4>
      </vt:variant>
      <vt:variant>
        <vt:i4>186</vt:i4>
      </vt:variant>
      <vt:variant>
        <vt:i4>0</vt:i4>
      </vt:variant>
      <vt:variant>
        <vt:i4>5</vt:i4>
      </vt:variant>
      <vt:variant>
        <vt:lpwstr>https://www.health.vic.gov.au/nursing-and-midwifery/nursing-and-midwifery-legislation-and-regulation</vt:lpwstr>
      </vt:variant>
      <vt:variant>
        <vt:lpwstr/>
      </vt:variant>
      <vt:variant>
        <vt:i4>7405622</vt:i4>
      </vt:variant>
      <vt:variant>
        <vt:i4>183</vt:i4>
      </vt:variant>
      <vt:variant>
        <vt:i4>0</vt:i4>
      </vt:variant>
      <vt:variant>
        <vt:i4>5</vt:i4>
      </vt:variant>
      <vt:variant>
        <vt:lpwstr>https://www.safercare.vic.gov.au/publications/credentialing-and-scope-of-clinical-practice-for-senior-medical-practitioners-policy</vt:lpwstr>
      </vt:variant>
      <vt:variant>
        <vt:lpwstr/>
      </vt:variant>
      <vt:variant>
        <vt:i4>524313</vt:i4>
      </vt:variant>
      <vt:variant>
        <vt:i4>180</vt:i4>
      </vt:variant>
      <vt:variant>
        <vt:i4>0</vt:i4>
      </vt:variant>
      <vt:variant>
        <vt:i4>5</vt:i4>
      </vt:variant>
      <vt:variant>
        <vt:lpwstr>https://www.vic.gov.au/about-child-safe-standards</vt:lpwstr>
      </vt:variant>
      <vt:variant>
        <vt:lpwstr/>
      </vt:variant>
      <vt:variant>
        <vt:i4>5701717</vt:i4>
      </vt:variant>
      <vt:variant>
        <vt:i4>168</vt:i4>
      </vt:variant>
      <vt:variant>
        <vt:i4>0</vt:i4>
      </vt:variant>
      <vt:variant>
        <vt:i4>5</vt:i4>
      </vt:variant>
      <vt:variant>
        <vt:lpwstr>https://www.asahq.org/standards-and-practice-parameters/statement-on-asa-physical-status-classification-system</vt:lpwstr>
      </vt:variant>
      <vt:variant>
        <vt:lpwstr>:~:text=The%20purpose%20of%20the%20system%20is%20to%20assess,it%20can%20be%20helpful%20in%20predicting%20perioperative%20risks</vt:lpwstr>
      </vt:variant>
      <vt:variant>
        <vt:i4>7471159</vt:i4>
      </vt:variant>
      <vt:variant>
        <vt:i4>162</vt:i4>
      </vt:variant>
      <vt:variant>
        <vt:i4>0</vt:i4>
      </vt:variant>
      <vt:variant>
        <vt:i4>5</vt:i4>
      </vt:variant>
      <vt:variant>
        <vt:lpwstr>https://www.health.vic.gov.au/health-system-design-planning/perioperative-service-capability-framework-for-victoria</vt:lpwstr>
      </vt:variant>
      <vt:variant>
        <vt:lpwstr/>
      </vt:variant>
      <vt:variant>
        <vt:i4>7471159</vt:i4>
      </vt:variant>
      <vt:variant>
        <vt:i4>159</vt:i4>
      </vt:variant>
      <vt:variant>
        <vt:i4>0</vt:i4>
      </vt:variant>
      <vt:variant>
        <vt:i4>5</vt:i4>
      </vt:variant>
      <vt:variant>
        <vt:lpwstr>https://www.health.vic.gov.au/health-system-design-planning/perioperative-service-capability-framework-for-victoria</vt:lpwstr>
      </vt:variant>
      <vt:variant>
        <vt:lpwstr/>
      </vt:variant>
      <vt:variant>
        <vt:i4>1507335</vt:i4>
      </vt:variant>
      <vt:variant>
        <vt:i4>156</vt:i4>
      </vt:variant>
      <vt:variant>
        <vt:i4>0</vt:i4>
      </vt:variant>
      <vt:variant>
        <vt:i4>5</vt:i4>
      </vt:variant>
      <vt:variant>
        <vt:lpwstr>https://www.safetyandquality.gov.au/standards/nsqhs-standards/preventing-and-controlling-infections-standard</vt:lpwstr>
      </vt:variant>
      <vt:variant>
        <vt:lpwstr/>
      </vt:variant>
      <vt:variant>
        <vt:i4>3276860</vt:i4>
      </vt:variant>
      <vt:variant>
        <vt:i4>153</vt:i4>
      </vt:variant>
      <vt:variant>
        <vt:i4>0</vt:i4>
      </vt:variant>
      <vt:variant>
        <vt:i4>5</vt:i4>
      </vt:variant>
      <vt:variant>
        <vt:lpwstr>https://www.health.vic.gov.au/patient-care/capability-frameworks-for-maternity-and-newborn-care-in-victoria</vt:lpwstr>
      </vt:variant>
      <vt:variant>
        <vt:lpwstr/>
      </vt:variant>
      <vt:variant>
        <vt:i4>1376318</vt:i4>
      </vt:variant>
      <vt:variant>
        <vt:i4>143</vt:i4>
      </vt:variant>
      <vt:variant>
        <vt:i4>0</vt:i4>
      </vt:variant>
      <vt:variant>
        <vt:i4>5</vt:i4>
      </vt:variant>
      <vt:variant>
        <vt:lpwstr/>
      </vt:variant>
      <vt:variant>
        <vt:lpwstr>_Toc153792524</vt:lpwstr>
      </vt:variant>
      <vt:variant>
        <vt:i4>1376318</vt:i4>
      </vt:variant>
      <vt:variant>
        <vt:i4>137</vt:i4>
      </vt:variant>
      <vt:variant>
        <vt:i4>0</vt:i4>
      </vt:variant>
      <vt:variant>
        <vt:i4>5</vt:i4>
      </vt:variant>
      <vt:variant>
        <vt:lpwstr/>
      </vt:variant>
      <vt:variant>
        <vt:lpwstr>_Toc153792523</vt:lpwstr>
      </vt:variant>
      <vt:variant>
        <vt:i4>1376318</vt:i4>
      </vt:variant>
      <vt:variant>
        <vt:i4>131</vt:i4>
      </vt:variant>
      <vt:variant>
        <vt:i4>0</vt:i4>
      </vt:variant>
      <vt:variant>
        <vt:i4>5</vt:i4>
      </vt:variant>
      <vt:variant>
        <vt:lpwstr/>
      </vt:variant>
      <vt:variant>
        <vt:lpwstr>_Toc153792522</vt:lpwstr>
      </vt:variant>
      <vt:variant>
        <vt:i4>1376318</vt:i4>
      </vt:variant>
      <vt:variant>
        <vt:i4>125</vt:i4>
      </vt:variant>
      <vt:variant>
        <vt:i4>0</vt:i4>
      </vt:variant>
      <vt:variant>
        <vt:i4>5</vt:i4>
      </vt:variant>
      <vt:variant>
        <vt:lpwstr/>
      </vt:variant>
      <vt:variant>
        <vt:lpwstr>_Toc153792521</vt:lpwstr>
      </vt:variant>
      <vt:variant>
        <vt:i4>1376318</vt:i4>
      </vt:variant>
      <vt:variant>
        <vt:i4>119</vt:i4>
      </vt:variant>
      <vt:variant>
        <vt:i4>0</vt:i4>
      </vt:variant>
      <vt:variant>
        <vt:i4>5</vt:i4>
      </vt:variant>
      <vt:variant>
        <vt:lpwstr/>
      </vt:variant>
      <vt:variant>
        <vt:lpwstr>_Toc153792520</vt:lpwstr>
      </vt:variant>
      <vt:variant>
        <vt:i4>1441854</vt:i4>
      </vt:variant>
      <vt:variant>
        <vt:i4>113</vt:i4>
      </vt:variant>
      <vt:variant>
        <vt:i4>0</vt:i4>
      </vt:variant>
      <vt:variant>
        <vt:i4>5</vt:i4>
      </vt:variant>
      <vt:variant>
        <vt:lpwstr/>
      </vt:variant>
      <vt:variant>
        <vt:lpwstr>_Toc153792519</vt:lpwstr>
      </vt:variant>
      <vt:variant>
        <vt:i4>1441854</vt:i4>
      </vt:variant>
      <vt:variant>
        <vt:i4>107</vt:i4>
      </vt:variant>
      <vt:variant>
        <vt:i4>0</vt:i4>
      </vt:variant>
      <vt:variant>
        <vt:i4>5</vt:i4>
      </vt:variant>
      <vt:variant>
        <vt:lpwstr/>
      </vt:variant>
      <vt:variant>
        <vt:lpwstr>_Toc153792518</vt:lpwstr>
      </vt:variant>
      <vt:variant>
        <vt:i4>1441854</vt:i4>
      </vt:variant>
      <vt:variant>
        <vt:i4>101</vt:i4>
      </vt:variant>
      <vt:variant>
        <vt:i4>0</vt:i4>
      </vt:variant>
      <vt:variant>
        <vt:i4>5</vt:i4>
      </vt:variant>
      <vt:variant>
        <vt:lpwstr/>
      </vt:variant>
      <vt:variant>
        <vt:lpwstr>_Toc153792517</vt:lpwstr>
      </vt:variant>
      <vt:variant>
        <vt:i4>1441854</vt:i4>
      </vt:variant>
      <vt:variant>
        <vt:i4>95</vt:i4>
      </vt:variant>
      <vt:variant>
        <vt:i4>0</vt:i4>
      </vt:variant>
      <vt:variant>
        <vt:i4>5</vt:i4>
      </vt:variant>
      <vt:variant>
        <vt:lpwstr/>
      </vt:variant>
      <vt:variant>
        <vt:lpwstr>_Toc153792516</vt:lpwstr>
      </vt:variant>
      <vt:variant>
        <vt:i4>1441854</vt:i4>
      </vt:variant>
      <vt:variant>
        <vt:i4>89</vt:i4>
      </vt:variant>
      <vt:variant>
        <vt:i4>0</vt:i4>
      </vt:variant>
      <vt:variant>
        <vt:i4>5</vt:i4>
      </vt:variant>
      <vt:variant>
        <vt:lpwstr/>
      </vt:variant>
      <vt:variant>
        <vt:lpwstr>_Toc153792515</vt:lpwstr>
      </vt:variant>
      <vt:variant>
        <vt:i4>1441854</vt:i4>
      </vt:variant>
      <vt:variant>
        <vt:i4>83</vt:i4>
      </vt:variant>
      <vt:variant>
        <vt:i4>0</vt:i4>
      </vt:variant>
      <vt:variant>
        <vt:i4>5</vt:i4>
      </vt:variant>
      <vt:variant>
        <vt:lpwstr/>
      </vt:variant>
      <vt:variant>
        <vt:lpwstr>_Toc153792514</vt:lpwstr>
      </vt:variant>
      <vt:variant>
        <vt:i4>1441854</vt:i4>
      </vt:variant>
      <vt:variant>
        <vt:i4>77</vt:i4>
      </vt:variant>
      <vt:variant>
        <vt:i4>0</vt:i4>
      </vt:variant>
      <vt:variant>
        <vt:i4>5</vt:i4>
      </vt:variant>
      <vt:variant>
        <vt:lpwstr/>
      </vt:variant>
      <vt:variant>
        <vt:lpwstr>_Toc153792513</vt:lpwstr>
      </vt:variant>
      <vt:variant>
        <vt:i4>1441854</vt:i4>
      </vt:variant>
      <vt:variant>
        <vt:i4>71</vt:i4>
      </vt:variant>
      <vt:variant>
        <vt:i4>0</vt:i4>
      </vt:variant>
      <vt:variant>
        <vt:i4>5</vt:i4>
      </vt:variant>
      <vt:variant>
        <vt:lpwstr/>
      </vt:variant>
      <vt:variant>
        <vt:lpwstr>_Toc153792512</vt:lpwstr>
      </vt:variant>
      <vt:variant>
        <vt:i4>1441854</vt:i4>
      </vt:variant>
      <vt:variant>
        <vt:i4>65</vt:i4>
      </vt:variant>
      <vt:variant>
        <vt:i4>0</vt:i4>
      </vt:variant>
      <vt:variant>
        <vt:i4>5</vt:i4>
      </vt:variant>
      <vt:variant>
        <vt:lpwstr/>
      </vt:variant>
      <vt:variant>
        <vt:lpwstr>_Toc153792511</vt:lpwstr>
      </vt:variant>
      <vt:variant>
        <vt:i4>1441854</vt:i4>
      </vt:variant>
      <vt:variant>
        <vt:i4>59</vt:i4>
      </vt:variant>
      <vt:variant>
        <vt:i4>0</vt:i4>
      </vt:variant>
      <vt:variant>
        <vt:i4>5</vt:i4>
      </vt:variant>
      <vt:variant>
        <vt:lpwstr/>
      </vt:variant>
      <vt:variant>
        <vt:lpwstr>_Toc153792510</vt:lpwstr>
      </vt:variant>
      <vt:variant>
        <vt:i4>1507390</vt:i4>
      </vt:variant>
      <vt:variant>
        <vt:i4>53</vt:i4>
      </vt:variant>
      <vt:variant>
        <vt:i4>0</vt:i4>
      </vt:variant>
      <vt:variant>
        <vt:i4>5</vt:i4>
      </vt:variant>
      <vt:variant>
        <vt:lpwstr/>
      </vt:variant>
      <vt:variant>
        <vt:lpwstr>_Toc153792509</vt:lpwstr>
      </vt:variant>
      <vt:variant>
        <vt:i4>1507390</vt:i4>
      </vt:variant>
      <vt:variant>
        <vt:i4>47</vt:i4>
      </vt:variant>
      <vt:variant>
        <vt:i4>0</vt:i4>
      </vt:variant>
      <vt:variant>
        <vt:i4>5</vt:i4>
      </vt:variant>
      <vt:variant>
        <vt:lpwstr/>
      </vt:variant>
      <vt:variant>
        <vt:lpwstr>_Toc153792508</vt:lpwstr>
      </vt:variant>
      <vt:variant>
        <vt:i4>1507390</vt:i4>
      </vt:variant>
      <vt:variant>
        <vt:i4>41</vt:i4>
      </vt:variant>
      <vt:variant>
        <vt:i4>0</vt:i4>
      </vt:variant>
      <vt:variant>
        <vt:i4>5</vt:i4>
      </vt:variant>
      <vt:variant>
        <vt:lpwstr/>
      </vt:variant>
      <vt:variant>
        <vt:lpwstr>_Toc153792507</vt:lpwstr>
      </vt:variant>
      <vt:variant>
        <vt:i4>1507390</vt:i4>
      </vt:variant>
      <vt:variant>
        <vt:i4>35</vt:i4>
      </vt:variant>
      <vt:variant>
        <vt:i4>0</vt:i4>
      </vt:variant>
      <vt:variant>
        <vt:i4>5</vt:i4>
      </vt:variant>
      <vt:variant>
        <vt:lpwstr/>
      </vt:variant>
      <vt:variant>
        <vt:lpwstr>_Toc153792506</vt:lpwstr>
      </vt:variant>
      <vt:variant>
        <vt:i4>1507390</vt:i4>
      </vt:variant>
      <vt:variant>
        <vt:i4>29</vt:i4>
      </vt:variant>
      <vt:variant>
        <vt:i4>0</vt:i4>
      </vt:variant>
      <vt:variant>
        <vt:i4>5</vt:i4>
      </vt:variant>
      <vt:variant>
        <vt:lpwstr/>
      </vt:variant>
      <vt:variant>
        <vt:lpwstr>_Toc153792505</vt:lpwstr>
      </vt:variant>
      <vt:variant>
        <vt:i4>1507390</vt:i4>
      </vt:variant>
      <vt:variant>
        <vt:i4>23</vt:i4>
      </vt:variant>
      <vt:variant>
        <vt:i4>0</vt:i4>
      </vt:variant>
      <vt:variant>
        <vt:i4>5</vt:i4>
      </vt:variant>
      <vt:variant>
        <vt:lpwstr/>
      </vt:variant>
      <vt:variant>
        <vt:lpwstr>_Toc153792504</vt:lpwstr>
      </vt:variant>
      <vt:variant>
        <vt:i4>1507390</vt:i4>
      </vt:variant>
      <vt:variant>
        <vt:i4>17</vt:i4>
      </vt:variant>
      <vt:variant>
        <vt:i4>0</vt:i4>
      </vt:variant>
      <vt:variant>
        <vt:i4>5</vt:i4>
      </vt:variant>
      <vt:variant>
        <vt:lpwstr/>
      </vt:variant>
      <vt:variant>
        <vt:lpwstr>_Toc153792503</vt:lpwstr>
      </vt:variant>
      <vt:variant>
        <vt:i4>1507390</vt:i4>
      </vt:variant>
      <vt:variant>
        <vt:i4>11</vt:i4>
      </vt:variant>
      <vt:variant>
        <vt:i4>0</vt:i4>
      </vt:variant>
      <vt:variant>
        <vt:i4>5</vt:i4>
      </vt:variant>
      <vt:variant>
        <vt:lpwstr/>
      </vt:variant>
      <vt:variant>
        <vt:lpwstr>_Toc153792502</vt:lpwstr>
      </vt:variant>
      <vt:variant>
        <vt:i4>7471159</vt:i4>
      </vt:variant>
      <vt:variant>
        <vt:i4>6</vt:i4>
      </vt:variant>
      <vt:variant>
        <vt:i4>0</vt:i4>
      </vt:variant>
      <vt:variant>
        <vt:i4>5</vt:i4>
      </vt:variant>
      <vt:variant>
        <vt:lpwstr>https://www.health.vic.gov.au/health-system-design-planning/perioperative-service-capability-framework-for-victoria</vt:lpwstr>
      </vt:variant>
      <vt:variant>
        <vt:lpwstr/>
      </vt:variant>
      <vt:variant>
        <vt:i4>1048630</vt:i4>
      </vt:variant>
      <vt:variant>
        <vt:i4>3</vt:i4>
      </vt:variant>
      <vt:variant>
        <vt:i4>0</vt:i4>
      </vt:variant>
      <vt:variant>
        <vt:i4>5</vt:i4>
      </vt:variant>
      <vt:variant>
        <vt:lpwstr>http://perioperativeframework@health.vic.gov.au</vt:lpwstr>
      </vt:variant>
      <vt:variant>
        <vt:lpwstr/>
      </vt:variant>
      <vt:variant>
        <vt:i4>4587529</vt:i4>
      </vt:variant>
      <vt:variant>
        <vt:i4>252</vt:i4>
      </vt:variant>
      <vt:variant>
        <vt:i4>0</vt:i4>
      </vt:variant>
      <vt:variant>
        <vt:i4>5</vt:i4>
      </vt:variant>
      <vt:variant>
        <vt:lpwstr>http://www.anzca.edu.au/resources/professional-documents</vt:lpwstr>
      </vt:variant>
      <vt:variant>
        <vt:lpwstr/>
      </vt:variant>
      <vt:variant>
        <vt:i4>2621493</vt:i4>
      </vt:variant>
      <vt:variant>
        <vt:i4>249</vt:i4>
      </vt:variant>
      <vt:variant>
        <vt:i4>0</vt:i4>
      </vt:variant>
      <vt:variant>
        <vt:i4>5</vt:i4>
      </vt:variant>
      <vt:variant>
        <vt:lpwstr>https://www.health.vic.gov.au/victorian-virtual-care-strategy/</vt:lpwstr>
      </vt:variant>
      <vt:variant>
        <vt:lpwstr/>
      </vt:variant>
      <vt:variant>
        <vt:i4>7405622</vt:i4>
      </vt:variant>
      <vt:variant>
        <vt:i4>246</vt:i4>
      </vt:variant>
      <vt:variant>
        <vt:i4>0</vt:i4>
      </vt:variant>
      <vt:variant>
        <vt:i4>5</vt:i4>
      </vt:variant>
      <vt:variant>
        <vt:lpwstr>https://www.safercare.vic.gov.au/publications/credentialing-and-scope-of-clinical-practice-for-senior-medical-practitioners-policy</vt:lpwstr>
      </vt:variant>
      <vt:variant>
        <vt:lpwstr/>
      </vt:variant>
      <vt:variant>
        <vt:i4>5046299</vt:i4>
      </vt:variant>
      <vt:variant>
        <vt:i4>243</vt:i4>
      </vt:variant>
      <vt:variant>
        <vt:i4>0</vt:i4>
      </vt:variant>
      <vt:variant>
        <vt:i4>5</vt:i4>
      </vt:variant>
      <vt:variant>
        <vt:lpwstr>https://www.healthfacilityguidelines.com.au/hpu/day-surgery-procedure-unit-2</vt:lpwstr>
      </vt:variant>
      <vt:variant>
        <vt:lpwstr/>
      </vt:variant>
      <vt:variant>
        <vt:i4>2752608</vt:i4>
      </vt:variant>
      <vt:variant>
        <vt:i4>240</vt:i4>
      </vt:variant>
      <vt:variant>
        <vt:i4>0</vt:i4>
      </vt:variant>
      <vt:variant>
        <vt:i4>5</vt:i4>
      </vt:variant>
      <vt:variant>
        <vt:lpwstr>https://www.safercare.vic.gov.au/best-practice-improvement/publications/victorian-perioperative-consultative-council-annual-report-2021</vt:lpwstr>
      </vt:variant>
      <vt:variant>
        <vt:lpwstr/>
      </vt:variant>
      <vt:variant>
        <vt:i4>4194319</vt:i4>
      </vt:variant>
      <vt:variant>
        <vt:i4>237</vt:i4>
      </vt:variant>
      <vt:variant>
        <vt:i4>0</vt:i4>
      </vt:variant>
      <vt:variant>
        <vt:i4>5</vt:i4>
      </vt:variant>
      <vt:variant>
        <vt:lpwstr>https://www.surgeons.org/about-racs/position-papers/outreach-surgery-in-regional-rural-and-remote-australia-and-new-zealand-2015</vt:lpwstr>
      </vt:variant>
      <vt:variant>
        <vt:lpwstr/>
      </vt:variant>
      <vt:variant>
        <vt:i4>5701635</vt:i4>
      </vt:variant>
      <vt:variant>
        <vt:i4>234</vt:i4>
      </vt:variant>
      <vt:variant>
        <vt:i4>0</vt:i4>
      </vt:variant>
      <vt:variant>
        <vt:i4>5</vt:i4>
      </vt:variant>
      <vt:variant>
        <vt:lpwstr>https://www.surgeons.org/about-racs/position-papers/day-surgery-in-australia-2017</vt:lpwstr>
      </vt:variant>
      <vt:variant>
        <vt:lpwstr/>
      </vt:variant>
      <vt:variant>
        <vt:i4>4325402</vt:i4>
      </vt:variant>
      <vt:variant>
        <vt:i4>231</vt:i4>
      </vt:variant>
      <vt:variant>
        <vt:i4>0</vt:i4>
      </vt:variant>
      <vt:variant>
        <vt:i4>5</vt:i4>
      </vt:variant>
      <vt:variant>
        <vt:lpwstr>https://www.aihw.gov.au/reports-data/myhospitals/content/glossary</vt:lpwstr>
      </vt:variant>
      <vt:variant>
        <vt:lpwstr/>
      </vt:variant>
      <vt:variant>
        <vt:i4>5374025</vt:i4>
      </vt:variant>
      <vt:variant>
        <vt:i4>228</vt:i4>
      </vt:variant>
      <vt:variant>
        <vt:i4>0</vt:i4>
      </vt:variant>
      <vt:variant>
        <vt:i4>5</vt:i4>
      </vt:variant>
      <vt:variant>
        <vt:lpwstr>https://www.safercare.vic.gov.au/best-practice-improvement/publications/credentialing-and-scope-of-clinical-practice-for-senior-medical-practitioners-policy</vt:lpwstr>
      </vt:variant>
      <vt:variant>
        <vt:lpwstr/>
      </vt:variant>
      <vt:variant>
        <vt:i4>327708</vt:i4>
      </vt:variant>
      <vt:variant>
        <vt:i4>225</vt:i4>
      </vt:variant>
      <vt:variant>
        <vt:i4>0</vt:i4>
      </vt:variant>
      <vt:variant>
        <vt:i4>5</vt:i4>
      </vt:variant>
      <vt:variant>
        <vt:lpwstr>https://www.medicalboard.gov.au/registration/types/specialist-registration/medical-specialties-and-specialty-fields.aspx</vt:lpwstr>
      </vt:variant>
      <vt:variant>
        <vt:lpwstr/>
      </vt:variant>
      <vt:variant>
        <vt:i4>1507335</vt:i4>
      </vt:variant>
      <vt:variant>
        <vt:i4>222</vt:i4>
      </vt:variant>
      <vt:variant>
        <vt:i4>0</vt:i4>
      </vt:variant>
      <vt:variant>
        <vt:i4>5</vt:i4>
      </vt:variant>
      <vt:variant>
        <vt:lpwstr>https://www.safetyandquality.gov.au/standards/nsqhs-standards/preventing-and-controlling-infections-standard</vt:lpwstr>
      </vt:variant>
      <vt:variant>
        <vt:lpwstr/>
      </vt:variant>
      <vt:variant>
        <vt:i4>5177358</vt:i4>
      </vt:variant>
      <vt:variant>
        <vt:i4>219</vt:i4>
      </vt:variant>
      <vt:variant>
        <vt:i4>0</vt:i4>
      </vt:variant>
      <vt:variant>
        <vt:i4>5</vt:i4>
      </vt:variant>
      <vt:variant>
        <vt:lpwstr>https://www.legislation.vic.gov.au/in-force/acts/health-services-act-1988/167</vt:lpwstr>
      </vt:variant>
      <vt:variant>
        <vt:lpwstr/>
      </vt:variant>
      <vt:variant>
        <vt:i4>7077992</vt:i4>
      </vt:variant>
      <vt:variant>
        <vt:i4>216</vt:i4>
      </vt:variant>
      <vt:variant>
        <vt:i4>0</vt:i4>
      </vt:variant>
      <vt:variant>
        <vt:i4>5</vt:i4>
      </vt:variant>
      <vt:variant>
        <vt:lpwstr>https://www.anzca.edu.au/resources/professional-documents/guidelines/ps15-guidelines-for-the-perioperative-care-of-pati</vt:lpwstr>
      </vt:variant>
      <vt:variant>
        <vt:lpwstr/>
      </vt:variant>
      <vt:variant>
        <vt:i4>5701635</vt:i4>
      </vt:variant>
      <vt:variant>
        <vt:i4>213</vt:i4>
      </vt:variant>
      <vt:variant>
        <vt:i4>0</vt:i4>
      </vt:variant>
      <vt:variant>
        <vt:i4>5</vt:i4>
      </vt:variant>
      <vt:variant>
        <vt:lpwstr>https://www.surgeons.org/about-racs/position-papers/day-surgery-in-australia-2017</vt:lpwstr>
      </vt:variant>
      <vt:variant>
        <vt:lpwstr/>
      </vt:variant>
      <vt:variant>
        <vt:i4>3735571</vt:i4>
      </vt:variant>
      <vt:variant>
        <vt:i4>210</vt:i4>
      </vt:variant>
      <vt:variant>
        <vt:i4>0</vt:i4>
      </vt:variant>
      <vt:variant>
        <vt:i4>5</vt:i4>
      </vt:variant>
      <vt:variant>
        <vt:lpwstr>https://www.ceh.org.au/wp-content/uploads/2015/12/CC1_A-framework-for-cultural-competence.pdf</vt:lpwstr>
      </vt:variant>
      <vt:variant>
        <vt:lpwstr/>
      </vt:variant>
      <vt:variant>
        <vt:i4>7405622</vt:i4>
      </vt:variant>
      <vt:variant>
        <vt:i4>207</vt:i4>
      </vt:variant>
      <vt:variant>
        <vt:i4>0</vt:i4>
      </vt:variant>
      <vt:variant>
        <vt:i4>5</vt:i4>
      </vt:variant>
      <vt:variant>
        <vt:lpwstr>https://www.safercare.vic.gov.au/publications/credentialing-and-scope-of-clinical-practice-for-senior-medical-practitioners-policy</vt:lpwstr>
      </vt:variant>
      <vt:variant>
        <vt:lpwstr/>
      </vt:variant>
      <vt:variant>
        <vt:i4>3997792</vt:i4>
      </vt:variant>
      <vt:variant>
        <vt:i4>204</vt:i4>
      </vt:variant>
      <vt:variant>
        <vt:i4>0</vt:i4>
      </vt:variant>
      <vt:variant>
        <vt:i4>5</vt:i4>
      </vt:variant>
      <vt:variant>
        <vt:lpwstr>https://www.anzca.edu.au/safety-advocacy/standards-of-practice/policies,-statements,-and-guidelines</vt:lpwstr>
      </vt:variant>
      <vt:variant>
        <vt:lpwstr/>
      </vt:variant>
      <vt:variant>
        <vt:i4>1900548</vt:i4>
      </vt:variant>
      <vt:variant>
        <vt:i4>201</vt:i4>
      </vt:variant>
      <vt:variant>
        <vt:i4>0</vt:i4>
      </vt:variant>
      <vt:variant>
        <vt:i4>5</vt:i4>
      </vt:variant>
      <vt:variant>
        <vt:lpwstr>https://www.health.vic.gov.au/patient-care/surgical-services-policies-and-guides</vt:lpwstr>
      </vt:variant>
      <vt:variant>
        <vt:lpwstr/>
      </vt:variant>
      <vt:variant>
        <vt:i4>6225944</vt:i4>
      </vt:variant>
      <vt:variant>
        <vt:i4>198</vt:i4>
      </vt:variant>
      <vt:variant>
        <vt:i4>0</vt:i4>
      </vt:variant>
      <vt:variant>
        <vt:i4>5</vt:i4>
      </vt:variant>
      <vt:variant>
        <vt:lpwstr>https://www.cicm.org.au/Resources/Professional-Documents</vt:lpwstr>
      </vt:variant>
      <vt:variant>
        <vt:lpwstr>Policies</vt:lpwstr>
      </vt:variant>
      <vt:variant>
        <vt:i4>6225944</vt:i4>
      </vt:variant>
      <vt:variant>
        <vt:i4>195</vt:i4>
      </vt:variant>
      <vt:variant>
        <vt:i4>0</vt:i4>
      </vt:variant>
      <vt:variant>
        <vt:i4>5</vt:i4>
      </vt:variant>
      <vt:variant>
        <vt:lpwstr>https://www.cicm.org.au/Resources/Professional-Documents</vt:lpwstr>
      </vt:variant>
      <vt:variant>
        <vt:lpwstr>Policies</vt:lpwstr>
      </vt:variant>
      <vt:variant>
        <vt:i4>3997792</vt:i4>
      </vt:variant>
      <vt:variant>
        <vt:i4>192</vt:i4>
      </vt:variant>
      <vt:variant>
        <vt:i4>0</vt:i4>
      </vt:variant>
      <vt:variant>
        <vt:i4>5</vt:i4>
      </vt:variant>
      <vt:variant>
        <vt:lpwstr>https://www.anzca.edu.au/safety-advocacy/standards-of-practice/policies,-statements,-and-guidelines</vt:lpwstr>
      </vt:variant>
      <vt:variant>
        <vt:lpwstr/>
      </vt:variant>
      <vt:variant>
        <vt:i4>3997792</vt:i4>
      </vt:variant>
      <vt:variant>
        <vt:i4>189</vt:i4>
      </vt:variant>
      <vt:variant>
        <vt:i4>0</vt:i4>
      </vt:variant>
      <vt:variant>
        <vt:i4>5</vt:i4>
      </vt:variant>
      <vt:variant>
        <vt:lpwstr>https://www.anzca.edu.au/safety-advocacy/standards-of-practice/policies,-statements,-and-guidelines</vt:lpwstr>
      </vt:variant>
      <vt:variant>
        <vt:lpwstr/>
      </vt:variant>
      <vt:variant>
        <vt:i4>3997792</vt:i4>
      </vt:variant>
      <vt:variant>
        <vt:i4>186</vt:i4>
      </vt:variant>
      <vt:variant>
        <vt:i4>0</vt:i4>
      </vt:variant>
      <vt:variant>
        <vt:i4>5</vt:i4>
      </vt:variant>
      <vt:variant>
        <vt:lpwstr>https://www.anzca.edu.au/safety-advocacy/standards-of-practice/policies,-statements,-and-guidelines</vt:lpwstr>
      </vt:variant>
      <vt:variant>
        <vt:lpwstr/>
      </vt:variant>
      <vt:variant>
        <vt:i4>3997792</vt:i4>
      </vt:variant>
      <vt:variant>
        <vt:i4>183</vt:i4>
      </vt:variant>
      <vt:variant>
        <vt:i4>0</vt:i4>
      </vt:variant>
      <vt:variant>
        <vt:i4>5</vt:i4>
      </vt:variant>
      <vt:variant>
        <vt:lpwstr>https://www.anzca.edu.au/safety-advocacy/standards-of-practice/policies,-statements,-and-guidelines</vt:lpwstr>
      </vt:variant>
      <vt:variant>
        <vt:lpwstr/>
      </vt:variant>
      <vt:variant>
        <vt:i4>3997792</vt:i4>
      </vt:variant>
      <vt:variant>
        <vt:i4>180</vt:i4>
      </vt:variant>
      <vt:variant>
        <vt:i4>0</vt:i4>
      </vt:variant>
      <vt:variant>
        <vt:i4>5</vt:i4>
      </vt:variant>
      <vt:variant>
        <vt:lpwstr>https://www.anzca.edu.au/safety-advocacy/standards-of-practice/policies,-statements,-and-guidelines</vt:lpwstr>
      </vt:variant>
      <vt:variant>
        <vt:lpwstr/>
      </vt:variant>
      <vt:variant>
        <vt:i4>6225944</vt:i4>
      </vt:variant>
      <vt:variant>
        <vt:i4>177</vt:i4>
      </vt:variant>
      <vt:variant>
        <vt:i4>0</vt:i4>
      </vt:variant>
      <vt:variant>
        <vt:i4>5</vt:i4>
      </vt:variant>
      <vt:variant>
        <vt:lpwstr>https://www.cicm.org.au/Resources/Professional-Documents</vt:lpwstr>
      </vt:variant>
      <vt:variant>
        <vt:lpwstr>Policies</vt:lpwstr>
      </vt:variant>
      <vt:variant>
        <vt:i4>3997792</vt:i4>
      </vt:variant>
      <vt:variant>
        <vt:i4>174</vt:i4>
      </vt:variant>
      <vt:variant>
        <vt:i4>0</vt:i4>
      </vt:variant>
      <vt:variant>
        <vt:i4>5</vt:i4>
      </vt:variant>
      <vt:variant>
        <vt:lpwstr>https://www.anzca.edu.au/safety-advocacy/standards-of-practice/policies,-statements,-and-guidelines</vt:lpwstr>
      </vt:variant>
      <vt:variant>
        <vt:lpwstr/>
      </vt:variant>
      <vt:variant>
        <vt:i4>3997792</vt:i4>
      </vt:variant>
      <vt:variant>
        <vt:i4>171</vt:i4>
      </vt:variant>
      <vt:variant>
        <vt:i4>0</vt:i4>
      </vt:variant>
      <vt:variant>
        <vt:i4>5</vt:i4>
      </vt:variant>
      <vt:variant>
        <vt:lpwstr>https://www.anzca.edu.au/safety-advocacy/standards-of-practice/policies,-statements,-and-guidelines</vt:lpwstr>
      </vt:variant>
      <vt:variant>
        <vt:lpwstr/>
      </vt:variant>
      <vt:variant>
        <vt:i4>983069</vt:i4>
      </vt:variant>
      <vt:variant>
        <vt:i4>168</vt:i4>
      </vt:variant>
      <vt:variant>
        <vt:i4>0</vt:i4>
      </vt:variant>
      <vt:variant>
        <vt:i4>5</vt:i4>
      </vt:variant>
      <vt:variant>
        <vt:lpwstr>https://healthfacilityguidelines.com.au/health-planning-units</vt:lpwstr>
      </vt:variant>
      <vt:variant>
        <vt:lpwstr/>
      </vt:variant>
      <vt:variant>
        <vt:i4>3997792</vt:i4>
      </vt:variant>
      <vt:variant>
        <vt:i4>165</vt:i4>
      </vt:variant>
      <vt:variant>
        <vt:i4>0</vt:i4>
      </vt:variant>
      <vt:variant>
        <vt:i4>5</vt:i4>
      </vt:variant>
      <vt:variant>
        <vt:lpwstr>https://www.anzca.edu.au/safety-advocacy/standards-of-practice/policies,-statements,-and-guidelines</vt:lpwstr>
      </vt:variant>
      <vt:variant>
        <vt:lpwstr/>
      </vt:variant>
      <vt:variant>
        <vt:i4>5636125</vt:i4>
      </vt:variant>
      <vt:variant>
        <vt:i4>162</vt:i4>
      </vt:variant>
      <vt:variant>
        <vt:i4>0</vt:i4>
      </vt:variant>
      <vt:variant>
        <vt:i4>5</vt:i4>
      </vt:variant>
      <vt:variant>
        <vt:lpwstr>https://www.healthfacilityguidelines.com.au/health-planning-units</vt:lpwstr>
      </vt:variant>
      <vt:variant>
        <vt:lpwstr/>
      </vt:variant>
      <vt:variant>
        <vt:i4>5636125</vt:i4>
      </vt:variant>
      <vt:variant>
        <vt:i4>159</vt:i4>
      </vt:variant>
      <vt:variant>
        <vt:i4>0</vt:i4>
      </vt:variant>
      <vt:variant>
        <vt:i4>5</vt:i4>
      </vt:variant>
      <vt:variant>
        <vt:lpwstr>https://www.healthfacilityguidelines.com.au/health-planning-units</vt:lpwstr>
      </vt:variant>
      <vt:variant>
        <vt:lpwstr/>
      </vt:variant>
      <vt:variant>
        <vt:i4>6160412</vt:i4>
      </vt:variant>
      <vt:variant>
        <vt:i4>156</vt:i4>
      </vt:variant>
      <vt:variant>
        <vt:i4>0</vt:i4>
      </vt:variant>
      <vt:variant>
        <vt:i4>5</vt:i4>
      </vt:variant>
      <vt:variant>
        <vt:lpwstr>https://www.health.vic.gov.au/virtual-care-operational-framework/virtual-care-operating-framework</vt:lpwstr>
      </vt:variant>
      <vt:variant>
        <vt:lpwstr/>
      </vt:variant>
      <vt:variant>
        <vt:i4>3997792</vt:i4>
      </vt:variant>
      <vt:variant>
        <vt:i4>153</vt:i4>
      </vt:variant>
      <vt:variant>
        <vt:i4>0</vt:i4>
      </vt:variant>
      <vt:variant>
        <vt:i4>5</vt:i4>
      </vt:variant>
      <vt:variant>
        <vt:lpwstr>https://www.anzca.edu.au/safety-advocacy/standards-of-practice/policies,-statements,-and-guidelines</vt:lpwstr>
      </vt:variant>
      <vt:variant>
        <vt:lpwstr/>
      </vt:variant>
      <vt:variant>
        <vt:i4>3997792</vt:i4>
      </vt:variant>
      <vt:variant>
        <vt:i4>150</vt:i4>
      </vt:variant>
      <vt:variant>
        <vt:i4>0</vt:i4>
      </vt:variant>
      <vt:variant>
        <vt:i4>5</vt:i4>
      </vt:variant>
      <vt:variant>
        <vt:lpwstr>https://www.anzca.edu.au/safety-advocacy/standards-of-practice/policies,-statements,-and-guidelines</vt:lpwstr>
      </vt:variant>
      <vt:variant>
        <vt:lpwstr/>
      </vt:variant>
      <vt:variant>
        <vt:i4>3997792</vt:i4>
      </vt:variant>
      <vt:variant>
        <vt:i4>147</vt:i4>
      </vt:variant>
      <vt:variant>
        <vt:i4>0</vt:i4>
      </vt:variant>
      <vt:variant>
        <vt:i4>5</vt:i4>
      </vt:variant>
      <vt:variant>
        <vt:lpwstr>https://www.anzca.edu.au/safety-advocacy/standards-of-practice/policies,-statements,-and-guidelines</vt:lpwstr>
      </vt:variant>
      <vt:variant>
        <vt:lpwstr/>
      </vt:variant>
      <vt:variant>
        <vt:i4>3997792</vt:i4>
      </vt:variant>
      <vt:variant>
        <vt:i4>144</vt:i4>
      </vt:variant>
      <vt:variant>
        <vt:i4>0</vt:i4>
      </vt:variant>
      <vt:variant>
        <vt:i4>5</vt:i4>
      </vt:variant>
      <vt:variant>
        <vt:lpwstr>https://www.anzca.edu.au/safety-advocacy/standards-of-practice/policies,-statements,-and-guidelines</vt:lpwstr>
      </vt:variant>
      <vt:variant>
        <vt:lpwstr/>
      </vt:variant>
      <vt:variant>
        <vt:i4>3997792</vt:i4>
      </vt:variant>
      <vt:variant>
        <vt:i4>141</vt:i4>
      </vt:variant>
      <vt:variant>
        <vt:i4>0</vt:i4>
      </vt:variant>
      <vt:variant>
        <vt:i4>5</vt:i4>
      </vt:variant>
      <vt:variant>
        <vt:lpwstr>https://www.anzca.edu.au/safety-advocacy/standards-of-practice/policies,-statements,-and-guidelines</vt:lpwstr>
      </vt:variant>
      <vt:variant>
        <vt:lpwstr/>
      </vt:variant>
      <vt:variant>
        <vt:i4>2687097</vt:i4>
      </vt:variant>
      <vt:variant>
        <vt:i4>138</vt:i4>
      </vt:variant>
      <vt:variant>
        <vt:i4>0</vt:i4>
      </vt:variant>
      <vt:variant>
        <vt:i4>5</vt:i4>
      </vt:variant>
      <vt:variant>
        <vt:lpwstr>https://www.acorn.org.au/standards/</vt:lpwstr>
      </vt:variant>
      <vt:variant>
        <vt:lpwstr/>
      </vt:variant>
      <vt:variant>
        <vt:i4>3997792</vt:i4>
      </vt:variant>
      <vt:variant>
        <vt:i4>135</vt:i4>
      </vt:variant>
      <vt:variant>
        <vt:i4>0</vt:i4>
      </vt:variant>
      <vt:variant>
        <vt:i4>5</vt:i4>
      </vt:variant>
      <vt:variant>
        <vt:lpwstr>https://www.anzca.edu.au/safety-advocacy/standards-of-practice/policies,-statements,-and-guidelines</vt:lpwstr>
      </vt:variant>
      <vt:variant>
        <vt:lpwstr/>
      </vt:variant>
      <vt:variant>
        <vt:i4>3997792</vt:i4>
      </vt:variant>
      <vt:variant>
        <vt:i4>132</vt:i4>
      </vt:variant>
      <vt:variant>
        <vt:i4>0</vt:i4>
      </vt:variant>
      <vt:variant>
        <vt:i4>5</vt:i4>
      </vt:variant>
      <vt:variant>
        <vt:lpwstr>https://www.anzca.edu.au/safety-advocacy/standards-of-practice/policies,-statements,-and-guidelines</vt:lpwstr>
      </vt:variant>
      <vt:variant>
        <vt:lpwstr/>
      </vt:variant>
      <vt:variant>
        <vt:i4>6750322</vt:i4>
      </vt:variant>
      <vt:variant>
        <vt:i4>129</vt:i4>
      </vt:variant>
      <vt:variant>
        <vt:i4>0</vt:i4>
      </vt:variant>
      <vt:variant>
        <vt:i4>5</vt:i4>
      </vt:variant>
      <vt:variant>
        <vt:lpwstr>https://src.health.vic.gov.au/specialities</vt:lpwstr>
      </vt:variant>
      <vt:variant>
        <vt:lpwstr/>
      </vt:variant>
      <vt:variant>
        <vt:i4>7405694</vt:i4>
      </vt:variant>
      <vt:variant>
        <vt:i4>126</vt:i4>
      </vt:variant>
      <vt:variant>
        <vt:i4>0</vt:i4>
      </vt:variant>
      <vt:variant>
        <vt:i4>5</vt:i4>
      </vt:variant>
      <vt:variant>
        <vt:lpwstr>https://src.health.vic.gov.au/about</vt:lpwstr>
      </vt:variant>
      <vt:variant>
        <vt:lpwstr/>
      </vt:variant>
      <vt:variant>
        <vt:i4>3604523</vt:i4>
      </vt:variant>
      <vt:variant>
        <vt:i4>123</vt:i4>
      </vt:variant>
      <vt:variant>
        <vt:i4>0</vt:i4>
      </vt:variant>
      <vt:variant>
        <vt:i4>5</vt:i4>
      </vt:variant>
      <vt:variant>
        <vt:lpwstr>https://www.asahq.org/standards-and-practice-parameters/statement-on-asa-physical-status-classification-system</vt:lpwstr>
      </vt:variant>
      <vt:variant>
        <vt:lpwstr/>
      </vt:variant>
      <vt:variant>
        <vt:i4>720922</vt:i4>
      </vt:variant>
      <vt:variant>
        <vt:i4>120</vt:i4>
      </vt:variant>
      <vt:variant>
        <vt:i4>0</vt:i4>
      </vt:variant>
      <vt:variant>
        <vt:i4>5</vt:i4>
      </vt:variant>
      <vt:variant>
        <vt:lpwstr>https://www.safetyandquality.gov.au/standards/nsqhs-standards/medication-safety-standard</vt:lpwstr>
      </vt:variant>
      <vt:variant>
        <vt:lpwstr/>
      </vt:variant>
      <vt:variant>
        <vt:i4>7077991</vt:i4>
      </vt:variant>
      <vt:variant>
        <vt:i4>117</vt:i4>
      </vt:variant>
      <vt:variant>
        <vt:i4>0</vt:i4>
      </vt:variant>
      <vt:variant>
        <vt:i4>5</vt:i4>
      </vt:variant>
      <vt:variant>
        <vt:lpwstr>https://www.safetyandquality.gov.au/standards/nsqhs-standards/blood-management-standard</vt:lpwstr>
      </vt:variant>
      <vt:variant>
        <vt:lpwstr/>
      </vt:variant>
      <vt:variant>
        <vt:i4>524352</vt:i4>
      </vt:variant>
      <vt:variant>
        <vt:i4>114</vt:i4>
      </vt:variant>
      <vt:variant>
        <vt:i4>0</vt:i4>
      </vt:variant>
      <vt:variant>
        <vt:i4>5</vt:i4>
      </vt:variant>
      <vt:variant>
        <vt:lpwstr>https://www.nata.com.au/</vt:lpwstr>
      </vt:variant>
      <vt:variant>
        <vt:lpwstr/>
      </vt:variant>
      <vt:variant>
        <vt:i4>6291500</vt:i4>
      </vt:variant>
      <vt:variant>
        <vt:i4>111</vt:i4>
      </vt:variant>
      <vt:variant>
        <vt:i4>0</vt:i4>
      </vt:variant>
      <vt:variant>
        <vt:i4>5</vt:i4>
      </vt:variant>
      <vt:variant>
        <vt:lpwstr>https://www.safetyandquality.gov.au/our-work/recognising-and-responding-deterioration/recognising-and-responding-acute-physiological-deterioration/national-consensus-statement-essential-elements-recognising-and-responding-acute-physiological-deterioration</vt:lpwstr>
      </vt:variant>
      <vt:variant>
        <vt:lpwstr/>
      </vt:variant>
      <vt:variant>
        <vt:i4>5111822</vt:i4>
      </vt:variant>
      <vt:variant>
        <vt:i4>108</vt:i4>
      </vt:variant>
      <vt:variant>
        <vt:i4>0</vt:i4>
      </vt:variant>
      <vt:variant>
        <vt:i4>5</vt:i4>
      </vt:variant>
      <vt:variant>
        <vt:lpwstr>https://www.safetyandquality.gov.au/standards/nsqhs-standards/recognising-and-responding-acute-deterioration-standard</vt:lpwstr>
      </vt:variant>
      <vt:variant>
        <vt:lpwstr/>
      </vt:variant>
      <vt:variant>
        <vt:i4>7798897</vt:i4>
      </vt:variant>
      <vt:variant>
        <vt:i4>105</vt:i4>
      </vt:variant>
      <vt:variant>
        <vt:i4>0</vt:i4>
      </vt:variant>
      <vt:variant>
        <vt:i4>5</vt:i4>
      </vt:variant>
      <vt:variant>
        <vt:lpwstr>https://www.safetyandquality.gov.au/standards/nsqhs-standards/assessment-nsqhs-standards/nsqhs-standards-advisories/advisory-as1807-reprocessing-reusable-medical-devices-health-service-organisations</vt:lpwstr>
      </vt:variant>
      <vt:variant>
        <vt:lpwstr/>
      </vt:variant>
      <vt:variant>
        <vt:i4>1900548</vt:i4>
      </vt:variant>
      <vt:variant>
        <vt:i4>102</vt:i4>
      </vt:variant>
      <vt:variant>
        <vt:i4>0</vt:i4>
      </vt:variant>
      <vt:variant>
        <vt:i4>5</vt:i4>
      </vt:variant>
      <vt:variant>
        <vt:lpwstr>https://www.health.vic.gov.au/patient-care/surgical-services-policies-and-guides</vt:lpwstr>
      </vt:variant>
      <vt:variant>
        <vt:lpwstr/>
      </vt:variant>
      <vt:variant>
        <vt:i4>3014700</vt:i4>
      </vt:variant>
      <vt:variant>
        <vt:i4>99</vt:i4>
      </vt:variant>
      <vt:variant>
        <vt:i4>0</vt:i4>
      </vt:variant>
      <vt:variant>
        <vt:i4>5</vt:i4>
      </vt:variant>
      <vt:variant>
        <vt:lpwstr>https://www.safetyandquality.gov.au/standards/nsqhs-standards/communicating-safety-standard/communication-clinical-handover/action-607</vt:lpwstr>
      </vt:variant>
      <vt:variant>
        <vt:lpwstr/>
      </vt:variant>
      <vt:variant>
        <vt:i4>72</vt:i4>
      </vt:variant>
      <vt:variant>
        <vt:i4>96</vt:i4>
      </vt:variant>
      <vt:variant>
        <vt:i4>0</vt:i4>
      </vt:variant>
      <vt:variant>
        <vt:i4>5</vt:i4>
      </vt:variant>
      <vt:variant>
        <vt:lpwstr>https://www.safetyandquality.gov.au/standards/nsqhs-standards/clinical-governance-standard/clinical-performance-and-effectiveness/action-128</vt:lpwstr>
      </vt:variant>
      <vt:variant>
        <vt:lpwstr/>
      </vt:variant>
      <vt:variant>
        <vt:i4>4456465</vt:i4>
      </vt:variant>
      <vt:variant>
        <vt:i4>93</vt:i4>
      </vt:variant>
      <vt:variant>
        <vt:i4>0</vt:i4>
      </vt:variant>
      <vt:variant>
        <vt:i4>5</vt:i4>
      </vt:variant>
      <vt:variant>
        <vt:lpwstr>https://www.safercare.vic.gov.au/support-and-training/review-and-response</vt:lpwstr>
      </vt:variant>
      <vt:variant>
        <vt:lpwstr/>
      </vt:variant>
      <vt:variant>
        <vt:i4>7602236</vt:i4>
      </vt:variant>
      <vt:variant>
        <vt:i4>90</vt:i4>
      </vt:variant>
      <vt:variant>
        <vt:i4>0</vt:i4>
      </vt:variant>
      <vt:variant>
        <vt:i4>5</vt:i4>
      </vt:variant>
      <vt:variant>
        <vt:lpwstr>https://www.health.vic.gov.au/publications/victorian-health-incident-management-system-minimum-dataset</vt:lpwstr>
      </vt:variant>
      <vt:variant>
        <vt:lpwstr/>
      </vt:variant>
      <vt:variant>
        <vt:i4>852040</vt:i4>
      </vt:variant>
      <vt:variant>
        <vt:i4>87</vt:i4>
      </vt:variant>
      <vt:variant>
        <vt:i4>0</vt:i4>
      </vt:variant>
      <vt:variant>
        <vt:i4>5</vt:i4>
      </vt:variant>
      <vt:variant>
        <vt:lpwstr>https://www.safetyandquality.gov.au/standards/nsqhs-standards/clinical-governance-standard/clinical-performance-and-effectiveness/action-125</vt:lpwstr>
      </vt:variant>
      <vt:variant>
        <vt:lpwstr/>
      </vt:variant>
      <vt:variant>
        <vt:i4>7143460</vt:i4>
      </vt:variant>
      <vt:variant>
        <vt:i4>84</vt:i4>
      </vt:variant>
      <vt:variant>
        <vt:i4>0</vt:i4>
      </vt:variant>
      <vt:variant>
        <vt:i4>5</vt:i4>
      </vt:variant>
      <vt:variant>
        <vt:lpwstr>https://www.safercare.vic.gov.au/publications/partnering-in-healthcare</vt:lpwstr>
      </vt:variant>
      <vt:variant>
        <vt:lpwstr/>
      </vt:variant>
      <vt:variant>
        <vt:i4>5177422</vt:i4>
      </vt:variant>
      <vt:variant>
        <vt:i4>81</vt:i4>
      </vt:variant>
      <vt:variant>
        <vt:i4>0</vt:i4>
      </vt:variant>
      <vt:variant>
        <vt:i4>5</vt:i4>
      </vt:variant>
      <vt:variant>
        <vt:lpwstr>https://www.health.vic.gov.au/publications/hospital-access-for-people-seeking-asylum</vt:lpwstr>
      </vt:variant>
      <vt:variant>
        <vt:lpwstr/>
      </vt:variant>
      <vt:variant>
        <vt:i4>8061047</vt:i4>
      </vt:variant>
      <vt:variant>
        <vt:i4>78</vt:i4>
      </vt:variant>
      <vt:variant>
        <vt:i4>0</vt:i4>
      </vt:variant>
      <vt:variant>
        <vt:i4>5</vt:i4>
      </vt:variant>
      <vt:variant>
        <vt:lpwstr>https://www.health.vic.gov.au/policy-and-funding-guidelines-for-health-services</vt:lpwstr>
      </vt:variant>
      <vt:variant>
        <vt:lpwstr/>
      </vt:variant>
      <vt:variant>
        <vt:i4>3145846</vt:i4>
      </vt:variant>
      <vt:variant>
        <vt:i4>75</vt:i4>
      </vt:variant>
      <vt:variant>
        <vt:i4>0</vt:i4>
      </vt:variant>
      <vt:variant>
        <vt:i4>5</vt:i4>
      </vt:variant>
      <vt:variant>
        <vt:lpwstr>https://www.health.vic.gov.au/publications/language-services-policy</vt:lpwstr>
      </vt:variant>
      <vt:variant>
        <vt:lpwstr/>
      </vt:variant>
      <vt:variant>
        <vt:i4>7995439</vt:i4>
      </vt:variant>
      <vt:variant>
        <vt:i4>72</vt:i4>
      </vt:variant>
      <vt:variant>
        <vt:i4>0</vt:i4>
      </vt:variant>
      <vt:variant>
        <vt:i4>5</vt:i4>
      </vt:variant>
      <vt:variant>
        <vt:lpwstr>https://www.anzca.edu.au/resources/professional-documents/standards-(1)/ps26-statement-on-informed-consent-for-anaesthesia</vt:lpwstr>
      </vt:variant>
      <vt:variant>
        <vt:lpwstr/>
      </vt:variant>
      <vt:variant>
        <vt:i4>2490423</vt:i4>
      </vt:variant>
      <vt:variant>
        <vt:i4>69</vt:i4>
      </vt:variant>
      <vt:variant>
        <vt:i4>0</vt:i4>
      </vt:variant>
      <vt:variant>
        <vt:i4>5</vt:i4>
      </vt:variant>
      <vt:variant>
        <vt:lpwstr>https://www.safetyandquality.gov.au/standards/nsqhs-standards/partnering-consumers-standard</vt:lpwstr>
      </vt:variant>
      <vt:variant>
        <vt:lpwstr/>
      </vt:variant>
      <vt:variant>
        <vt:i4>1769542</vt:i4>
      </vt:variant>
      <vt:variant>
        <vt:i4>66</vt:i4>
      </vt:variant>
      <vt:variant>
        <vt:i4>0</vt:i4>
      </vt:variant>
      <vt:variant>
        <vt:i4>5</vt:i4>
      </vt:variant>
      <vt:variant>
        <vt:lpwstr>https://www.humanrights.vic.gov.au/legal-and-policy/victorias-human-rights-laws/the-charter/</vt:lpwstr>
      </vt:variant>
      <vt:variant>
        <vt:lpwstr/>
      </vt:variant>
      <vt:variant>
        <vt:i4>7929954</vt:i4>
      </vt:variant>
      <vt:variant>
        <vt:i4>63</vt:i4>
      </vt:variant>
      <vt:variant>
        <vt:i4>0</vt:i4>
      </vt:variant>
      <vt:variant>
        <vt:i4>5</vt:i4>
      </vt:variant>
      <vt:variant>
        <vt:lpwstr>https://www.safetyandquality.gov.au/our-work/partnering-consumers/australian-charter-healthcare-rights</vt:lpwstr>
      </vt:variant>
      <vt:variant>
        <vt:lpwstr/>
      </vt:variant>
      <vt:variant>
        <vt:i4>589840</vt:i4>
      </vt:variant>
      <vt:variant>
        <vt:i4>60</vt:i4>
      </vt:variant>
      <vt:variant>
        <vt:i4>0</vt:i4>
      </vt:variant>
      <vt:variant>
        <vt:i4>5</vt:i4>
      </vt:variant>
      <vt:variant>
        <vt:lpwstr>https://www.health.vic.gov.au/publications/aboriginal-cultural-safety-fixed-grant-guidelines-cultural-safety-planning-and</vt:lpwstr>
      </vt:variant>
      <vt:variant>
        <vt:lpwstr/>
      </vt:variant>
      <vt:variant>
        <vt:i4>6094943</vt:i4>
      </vt:variant>
      <vt:variant>
        <vt:i4>57</vt:i4>
      </vt:variant>
      <vt:variant>
        <vt:i4>0</vt:i4>
      </vt:variant>
      <vt:variant>
        <vt:i4>5</vt:i4>
      </vt:variant>
      <vt:variant>
        <vt:lpwstr>https://www.health.vic.gov.au/publications/aboriginal-and-torres-strait-islander-cultural-safety-framework-part-1</vt:lpwstr>
      </vt:variant>
      <vt:variant>
        <vt:lpwstr/>
      </vt:variant>
      <vt:variant>
        <vt:i4>4390940</vt:i4>
      </vt:variant>
      <vt:variant>
        <vt:i4>54</vt:i4>
      </vt:variant>
      <vt:variant>
        <vt:i4>0</vt:i4>
      </vt:variant>
      <vt:variant>
        <vt:i4>5</vt:i4>
      </vt:variant>
      <vt:variant>
        <vt:lpwstr>https://www.acorn.org.au/view-acorn-standards</vt:lpwstr>
      </vt:variant>
      <vt:variant>
        <vt:lpwstr/>
      </vt:variant>
      <vt:variant>
        <vt:i4>3211296</vt:i4>
      </vt:variant>
      <vt:variant>
        <vt:i4>51</vt:i4>
      </vt:variant>
      <vt:variant>
        <vt:i4>0</vt:i4>
      </vt:variant>
      <vt:variant>
        <vt:i4>5</vt:i4>
      </vt:variant>
      <vt:variant>
        <vt:lpwstr>https://www.anzca.edu.au/resources/professional-documents/guidelines/ps29-guideline-for-the-provision-of-anaesthesia-ca</vt:lpwstr>
      </vt:variant>
      <vt:variant>
        <vt:lpwstr/>
      </vt:variant>
      <vt:variant>
        <vt:i4>1769489</vt:i4>
      </vt:variant>
      <vt:variant>
        <vt:i4>48</vt:i4>
      </vt:variant>
      <vt:variant>
        <vt:i4>0</vt:i4>
      </vt:variant>
      <vt:variant>
        <vt:i4>5</vt:i4>
      </vt:variant>
      <vt:variant>
        <vt:lpwstr>https://www.anmfvic.asn.au/~/media/files/anmf/eba 2020/campaign updates/200120-NandM-EBA-master-clean.pdf</vt:lpwstr>
      </vt:variant>
      <vt:variant>
        <vt:lpwstr/>
      </vt:variant>
      <vt:variant>
        <vt:i4>131097</vt:i4>
      </vt:variant>
      <vt:variant>
        <vt:i4>45</vt:i4>
      </vt:variant>
      <vt:variant>
        <vt:i4>0</vt:i4>
      </vt:variant>
      <vt:variant>
        <vt:i4>5</vt:i4>
      </vt:variant>
      <vt:variant>
        <vt:lpwstr>https://www.health.vic.gov.au/nursing-and-midwifery/nursing-and-midwifery-legislation-and-regulation</vt:lpwstr>
      </vt:variant>
      <vt:variant>
        <vt:lpwstr/>
      </vt:variant>
      <vt:variant>
        <vt:i4>7405622</vt:i4>
      </vt:variant>
      <vt:variant>
        <vt:i4>42</vt:i4>
      </vt:variant>
      <vt:variant>
        <vt:i4>0</vt:i4>
      </vt:variant>
      <vt:variant>
        <vt:i4>5</vt:i4>
      </vt:variant>
      <vt:variant>
        <vt:lpwstr>https://www.safercare.vic.gov.au/publications/credentialing-and-scope-of-clinical-practice-for-senior-medical-practitioners-policy</vt:lpwstr>
      </vt:variant>
      <vt:variant>
        <vt:lpwstr/>
      </vt:variant>
      <vt:variant>
        <vt:i4>524313</vt:i4>
      </vt:variant>
      <vt:variant>
        <vt:i4>39</vt:i4>
      </vt:variant>
      <vt:variant>
        <vt:i4>0</vt:i4>
      </vt:variant>
      <vt:variant>
        <vt:i4>5</vt:i4>
      </vt:variant>
      <vt:variant>
        <vt:lpwstr>https://www.vic.gov.au/about-child-safe-standards</vt:lpwstr>
      </vt:variant>
      <vt:variant>
        <vt:lpwstr/>
      </vt:variant>
      <vt:variant>
        <vt:i4>1638422</vt:i4>
      </vt:variant>
      <vt:variant>
        <vt:i4>36</vt:i4>
      </vt:variant>
      <vt:variant>
        <vt:i4>0</vt:i4>
      </vt:variant>
      <vt:variant>
        <vt:i4>5</vt:i4>
      </vt:variant>
      <vt:variant>
        <vt:lpwstr>https://www.health.vic.gov.au/publications/elective-surgery-access-policy</vt:lpwstr>
      </vt:variant>
      <vt:variant>
        <vt:lpwstr/>
      </vt:variant>
      <vt:variant>
        <vt:i4>7667755</vt:i4>
      </vt:variant>
      <vt:variant>
        <vt:i4>33</vt:i4>
      </vt:variant>
      <vt:variant>
        <vt:i4>0</vt:i4>
      </vt:variant>
      <vt:variant>
        <vt:i4>5</vt:i4>
      </vt:variant>
      <vt:variant>
        <vt:lpwstr>https://www.safercare.vic.gov.au/notify-us/sentinel-events</vt:lpwstr>
      </vt:variant>
      <vt:variant>
        <vt:lpwstr/>
      </vt:variant>
      <vt:variant>
        <vt:i4>7667755</vt:i4>
      </vt:variant>
      <vt:variant>
        <vt:i4>30</vt:i4>
      </vt:variant>
      <vt:variant>
        <vt:i4>0</vt:i4>
      </vt:variant>
      <vt:variant>
        <vt:i4>5</vt:i4>
      </vt:variant>
      <vt:variant>
        <vt:lpwstr>https://www.safercare.vic.gov.au/notify-us/sentinel-events</vt:lpwstr>
      </vt:variant>
      <vt:variant>
        <vt:lpwstr/>
      </vt:variant>
      <vt:variant>
        <vt:i4>7274546</vt:i4>
      </vt:variant>
      <vt:variant>
        <vt:i4>27</vt:i4>
      </vt:variant>
      <vt:variant>
        <vt:i4>0</vt:i4>
      </vt:variant>
      <vt:variant>
        <vt:i4>5</vt:i4>
      </vt:variant>
      <vt:variant>
        <vt:lpwstr>https://www.safercare.vic.gov.au/notify-us/perioperative-harm-or-death</vt:lpwstr>
      </vt:variant>
      <vt:variant>
        <vt:lpwstr/>
      </vt:variant>
      <vt:variant>
        <vt:i4>589855</vt:i4>
      </vt:variant>
      <vt:variant>
        <vt:i4>24</vt:i4>
      </vt:variant>
      <vt:variant>
        <vt:i4>0</vt:i4>
      </vt:variant>
      <vt:variant>
        <vt:i4>5</vt:i4>
      </vt:variant>
      <vt:variant>
        <vt:lpwstr>https://www.safercare.vic.gov.au/publications/victorian-perioperative-consultative-council-annual-report-2021</vt:lpwstr>
      </vt:variant>
      <vt:variant>
        <vt:lpwstr/>
      </vt:variant>
      <vt:variant>
        <vt:i4>8323124</vt:i4>
      </vt:variant>
      <vt:variant>
        <vt:i4>21</vt:i4>
      </vt:variant>
      <vt:variant>
        <vt:i4>0</vt:i4>
      </vt:variant>
      <vt:variant>
        <vt:i4>5</vt:i4>
      </vt:variant>
      <vt:variant>
        <vt:lpwstr>https://www.safercare.vic.gov.au/publications/policy-adverse-patient-safety-events</vt:lpwstr>
      </vt:variant>
      <vt:variant>
        <vt:lpwstr/>
      </vt:variant>
      <vt:variant>
        <vt:i4>8323124</vt:i4>
      </vt:variant>
      <vt:variant>
        <vt:i4>18</vt:i4>
      </vt:variant>
      <vt:variant>
        <vt:i4>0</vt:i4>
      </vt:variant>
      <vt:variant>
        <vt:i4>5</vt:i4>
      </vt:variant>
      <vt:variant>
        <vt:lpwstr>https://www.safercare.vic.gov.au/publications/policy-adverse-patient-safety-events</vt:lpwstr>
      </vt:variant>
      <vt:variant>
        <vt:lpwstr/>
      </vt:variant>
      <vt:variant>
        <vt:i4>5374037</vt:i4>
      </vt:variant>
      <vt:variant>
        <vt:i4>15</vt:i4>
      </vt:variant>
      <vt:variant>
        <vt:i4>0</vt:i4>
      </vt:variant>
      <vt:variant>
        <vt:i4>5</vt:i4>
      </vt:variant>
      <vt:variant>
        <vt:lpwstr>https://www.safercare.vic.gov.au/publications/victorian-audit-of-surgical-mortality-annual-report-2016-21</vt:lpwstr>
      </vt:variant>
      <vt:variant>
        <vt:lpwstr/>
      </vt:variant>
      <vt:variant>
        <vt:i4>589855</vt:i4>
      </vt:variant>
      <vt:variant>
        <vt:i4>12</vt:i4>
      </vt:variant>
      <vt:variant>
        <vt:i4>0</vt:i4>
      </vt:variant>
      <vt:variant>
        <vt:i4>5</vt:i4>
      </vt:variant>
      <vt:variant>
        <vt:lpwstr>https://www.safercare.vic.gov.au/publications/victorian-perioperative-consultative-council-annual-report-2021</vt:lpwstr>
      </vt:variant>
      <vt:variant>
        <vt:lpwstr/>
      </vt:variant>
      <vt:variant>
        <vt:i4>5701717</vt:i4>
      </vt:variant>
      <vt:variant>
        <vt:i4>9</vt:i4>
      </vt:variant>
      <vt:variant>
        <vt:i4>0</vt:i4>
      </vt:variant>
      <vt:variant>
        <vt:i4>5</vt:i4>
      </vt:variant>
      <vt:variant>
        <vt:lpwstr>https://www.asahq.org/standards-and-practice-parameters/statement-on-asa-physical-status-classification-system</vt:lpwstr>
      </vt:variant>
      <vt:variant>
        <vt:lpwstr>:~:text=The%20purpose%20of%20the%20system%20is%20to%20assess,it%20can%20be%20helpful%20in%20predicting%20perioperative%20risks</vt:lpwstr>
      </vt:variant>
      <vt:variant>
        <vt:i4>1900620</vt:i4>
      </vt:variant>
      <vt:variant>
        <vt:i4>6</vt:i4>
      </vt:variant>
      <vt:variant>
        <vt:i4>0</vt:i4>
      </vt:variant>
      <vt:variant>
        <vt:i4>5</vt:i4>
      </vt:variant>
      <vt:variant>
        <vt:lpwstr>https://www.safetyandquality.gov.au/standards/nsqhs-standards</vt:lpwstr>
      </vt:variant>
      <vt:variant>
        <vt:lpwstr/>
      </vt:variant>
      <vt:variant>
        <vt:i4>6946929</vt:i4>
      </vt:variant>
      <vt:variant>
        <vt:i4>3</vt:i4>
      </vt:variant>
      <vt:variant>
        <vt:i4>0</vt:i4>
      </vt:variant>
      <vt:variant>
        <vt:i4>5</vt:i4>
      </vt:variant>
      <vt:variant>
        <vt:lpwstr>https://www.vics.org.au/pics-resources</vt:lpwstr>
      </vt:variant>
      <vt:variant>
        <vt:lpwstr/>
      </vt:variant>
      <vt:variant>
        <vt:i4>3538976</vt:i4>
      </vt:variant>
      <vt:variant>
        <vt:i4>0</vt:i4>
      </vt:variant>
      <vt:variant>
        <vt:i4>0</vt:i4>
      </vt:variant>
      <vt:variant>
        <vt:i4>5</vt:i4>
      </vt:variant>
      <vt:variant>
        <vt:lpwstr>https://www.safercare.vic.gov.au/publications/victorianperioperative-consultative-council-annualreport-2021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Perioperative service capability framework</dc:title>
  <dc:subject>Perioperative service capability framework</dc:subject>
  <dc:creator>Reform and Medical Research Division</dc:creator>
  <cp:keywords>perioperative, Victorian, services, framework</cp:keywords>
  <dc:description/>
  <cp:lastModifiedBy>Miriam Brown (Health)</cp:lastModifiedBy>
  <cp:revision>215</cp:revision>
  <cp:lastPrinted>2023-11-30T07:07:00Z</cp:lastPrinted>
  <dcterms:created xsi:type="dcterms:W3CDTF">2023-12-10T09:22:00Z</dcterms:created>
  <dcterms:modified xsi:type="dcterms:W3CDTF">2024-02-14T18:35:00Z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2023-10-27T03:53:44Z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568894d8-13bc-4371-9608-0912d19e6383</vt:lpwstr>
  </property>
  <property fmtid="{D5CDD505-2E9C-101B-9397-08002B2CF9AE}" pid="12" name="MSIP_Label_43e64453-338c-4f93-8a4d-0039a0a41f2a_ContentBits">
    <vt:lpwstr>2</vt:lpwstr>
  </property>
</Properties>
</file>