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F3DD8" w14:textId="77777777" w:rsidR="00056EC4" w:rsidRDefault="00A97BD3" w:rsidP="00056EC4">
      <w:pPr>
        <w:pStyle w:val="Body"/>
      </w:pPr>
      <w:r>
        <w:rPr>
          <w:noProof/>
          <w:lang w:eastAsia="en-AU"/>
        </w:rPr>
        <w:drawing>
          <wp:anchor distT="0" distB="0" distL="114300" distR="114300" simplePos="0" relativeHeight="251658240" behindDoc="1" locked="1" layoutInCell="1" allowOverlap="1" wp14:anchorId="50F723B2" wp14:editId="342148E5">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7346A3C" w14:textId="77777777" w:rsidTr="00431F42">
        <w:trPr>
          <w:cantSplit/>
        </w:trPr>
        <w:tc>
          <w:tcPr>
            <w:tcW w:w="0" w:type="auto"/>
            <w:tcMar>
              <w:top w:w="0" w:type="dxa"/>
              <w:left w:w="0" w:type="dxa"/>
              <w:right w:w="0" w:type="dxa"/>
            </w:tcMar>
          </w:tcPr>
          <w:p w14:paraId="7CC4711D" w14:textId="54B78179" w:rsidR="00AD784C" w:rsidRPr="00EA3649" w:rsidRDefault="00F74761" w:rsidP="00291F33">
            <w:pPr>
              <w:pStyle w:val="Documenttitle"/>
              <w:rPr>
                <w:b w:val="0"/>
                <w:bCs/>
                <w:color w:val="auto"/>
                <w:sz w:val="52"/>
                <w:szCs w:val="52"/>
              </w:rPr>
            </w:pPr>
            <w:r w:rsidRPr="00EA3649">
              <w:rPr>
                <w:b w:val="0"/>
                <w:bCs/>
                <w:color w:val="auto"/>
                <w:sz w:val="52"/>
                <w:szCs w:val="52"/>
              </w:rPr>
              <w:t xml:space="preserve">Standardised Schedule of Fees for Clinical Placement of Students in </w:t>
            </w:r>
            <w:r w:rsidR="00CF62F8" w:rsidRPr="00EA3649">
              <w:rPr>
                <w:b w:val="0"/>
                <w:bCs/>
                <w:color w:val="auto"/>
                <w:sz w:val="52"/>
                <w:szCs w:val="52"/>
              </w:rPr>
              <w:t>Victorian Public Health Services for 202</w:t>
            </w:r>
            <w:r w:rsidR="00EA3649" w:rsidRPr="00EA3649">
              <w:rPr>
                <w:b w:val="0"/>
                <w:bCs/>
                <w:color w:val="auto"/>
                <w:sz w:val="52"/>
                <w:szCs w:val="52"/>
              </w:rPr>
              <w:t>4</w:t>
            </w:r>
          </w:p>
        </w:tc>
      </w:tr>
      <w:tr w:rsidR="00AD784C" w14:paraId="2E9BA895" w14:textId="77777777" w:rsidTr="00431F42">
        <w:trPr>
          <w:cantSplit/>
        </w:trPr>
        <w:tc>
          <w:tcPr>
            <w:tcW w:w="0" w:type="auto"/>
          </w:tcPr>
          <w:p w14:paraId="50DC4DA6" w14:textId="1B3DD360" w:rsidR="00386109" w:rsidRPr="00EA3649" w:rsidRDefault="008445D0" w:rsidP="009315BE">
            <w:pPr>
              <w:pStyle w:val="Documentsubtitle"/>
              <w:rPr>
                <w:color w:val="auto"/>
                <w:szCs w:val="28"/>
              </w:rPr>
            </w:pPr>
            <w:r>
              <w:rPr>
                <w:color w:val="auto"/>
                <w:szCs w:val="28"/>
              </w:rPr>
              <w:t>January 2024</w:t>
            </w:r>
            <w:r w:rsidR="00D80C1C" w:rsidRPr="00EA3649">
              <w:rPr>
                <w:color w:val="auto"/>
                <w:szCs w:val="28"/>
              </w:rPr>
              <w:t xml:space="preserve"> </w:t>
            </w:r>
          </w:p>
        </w:tc>
      </w:tr>
      <w:tr w:rsidR="00430393" w14:paraId="06293358" w14:textId="77777777" w:rsidTr="00431F42">
        <w:trPr>
          <w:cantSplit/>
        </w:trPr>
        <w:tc>
          <w:tcPr>
            <w:tcW w:w="0" w:type="auto"/>
          </w:tcPr>
          <w:p w14:paraId="249F165A" w14:textId="77777777" w:rsidR="00430393" w:rsidRDefault="00000000" w:rsidP="00430393">
            <w:pPr>
              <w:pStyle w:val="Bannermarking"/>
            </w:pPr>
            <w:fldSimple w:instr="FILLIN  &quot;Type the protective marking&quot; \d OFFICIAL \o  \* MERGEFORMAT">
              <w:r w:rsidR="006662BF">
                <w:t>OFFICIAL</w:t>
              </w:r>
            </w:fldSimple>
          </w:p>
        </w:tc>
      </w:tr>
    </w:tbl>
    <w:p w14:paraId="75A376BB" w14:textId="77777777" w:rsidR="00FE4081" w:rsidRDefault="00FE4081" w:rsidP="00FE4081">
      <w:pPr>
        <w:pStyle w:val="Body"/>
      </w:pPr>
    </w:p>
    <w:p w14:paraId="1B0ED3E1"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B68B5AD" w14:textId="77777777" w:rsidTr="00431F42">
        <w:trPr>
          <w:trHeight w:val="7371"/>
        </w:trPr>
        <w:tc>
          <w:tcPr>
            <w:tcW w:w="7598" w:type="dxa"/>
            <w:vAlign w:val="center"/>
          </w:tcPr>
          <w:p w14:paraId="7E6680D1" w14:textId="21B303D9" w:rsidR="00431F42" w:rsidRPr="008E603A" w:rsidRDefault="00431F42" w:rsidP="00431F42">
            <w:pPr>
              <w:pStyle w:val="Documenttitle"/>
              <w:rPr>
                <w:b w:val="0"/>
                <w:bCs/>
                <w:color w:val="FF0066"/>
                <w:sz w:val="52"/>
                <w:szCs w:val="52"/>
              </w:rPr>
            </w:pPr>
            <w:r>
              <w:lastRenderedPageBreak/>
              <w:br w:type="page"/>
            </w:r>
            <w:r w:rsidR="00CF62F8" w:rsidRPr="008E603A">
              <w:rPr>
                <w:b w:val="0"/>
                <w:bCs/>
                <w:color w:val="FF0066"/>
                <w:sz w:val="52"/>
                <w:szCs w:val="52"/>
              </w:rPr>
              <w:t xml:space="preserve">Standardised Schedule of Fees for Clinical Placement of Students in Victorian Public Health Services for </w:t>
            </w:r>
            <w:r w:rsidR="00CF62F8" w:rsidRPr="00EA3649">
              <w:rPr>
                <w:b w:val="0"/>
                <w:bCs/>
                <w:color w:val="FF0066"/>
                <w:sz w:val="52"/>
                <w:szCs w:val="52"/>
              </w:rPr>
              <w:t>202</w:t>
            </w:r>
            <w:r w:rsidR="00EA3649" w:rsidRPr="00EA3649">
              <w:rPr>
                <w:b w:val="0"/>
                <w:bCs/>
                <w:color w:val="FF0066"/>
                <w:sz w:val="52"/>
                <w:szCs w:val="52"/>
              </w:rPr>
              <w:t>4</w:t>
            </w:r>
            <w:r w:rsidR="00FD4FF6">
              <w:rPr>
                <w:b w:val="0"/>
                <w:bCs/>
                <w:color w:val="FF0066"/>
                <w:sz w:val="52"/>
                <w:szCs w:val="52"/>
              </w:rPr>
              <w:t xml:space="preserve"> </w:t>
            </w:r>
          </w:p>
          <w:p w14:paraId="3D68E011" w14:textId="31AA0392" w:rsidR="00431F42" w:rsidRPr="00815CEB" w:rsidRDefault="00CF62F8" w:rsidP="00291F33">
            <w:pPr>
              <w:pStyle w:val="Documentsubtitle"/>
              <w:rPr>
                <w:szCs w:val="28"/>
              </w:rPr>
            </w:pPr>
            <w:r w:rsidRPr="00815CEB">
              <w:rPr>
                <w:color w:val="auto"/>
                <w:szCs w:val="28"/>
              </w:rPr>
              <w:t xml:space="preserve">Published </w:t>
            </w:r>
            <w:r w:rsidR="00EA3649">
              <w:rPr>
                <w:color w:val="auto"/>
                <w:szCs w:val="28"/>
              </w:rPr>
              <w:t>August 2023</w:t>
            </w:r>
          </w:p>
        </w:tc>
      </w:tr>
      <w:tr w:rsidR="00431F42" w14:paraId="7E4ECDD9" w14:textId="77777777" w:rsidTr="00431F42">
        <w:tc>
          <w:tcPr>
            <w:tcW w:w="7598" w:type="dxa"/>
          </w:tcPr>
          <w:p w14:paraId="7B0EB551" w14:textId="77777777" w:rsidR="00431F42" w:rsidRDefault="00431F42" w:rsidP="00431F42">
            <w:pPr>
              <w:pStyle w:val="Body"/>
            </w:pPr>
          </w:p>
        </w:tc>
      </w:tr>
    </w:tbl>
    <w:p w14:paraId="303BED8D" w14:textId="77777777" w:rsidR="000D2ABA" w:rsidRDefault="000D2ABA" w:rsidP="00431F42">
      <w:pPr>
        <w:pStyle w:val="Body"/>
      </w:pPr>
      <w:r>
        <w:br w:type="page"/>
      </w:r>
    </w:p>
    <w:p w14:paraId="06150D79" w14:textId="77777777" w:rsidR="00CF62F8" w:rsidRDefault="00CF62F8" w:rsidP="00CF62F8">
      <w:pPr>
        <w:spacing w:after="200" w:line="300" w:lineRule="atLeast"/>
        <w:rPr>
          <w:rFonts w:eastAsia="Times"/>
          <w:color w:val="000000" w:themeColor="text1"/>
          <w:sz w:val="24"/>
          <w:szCs w:val="19"/>
        </w:rPr>
      </w:pPr>
    </w:p>
    <w:p w14:paraId="70B286DD" w14:textId="77777777" w:rsidR="00CF62F8" w:rsidRDefault="00CF62F8" w:rsidP="00CF62F8">
      <w:pPr>
        <w:spacing w:after="200" w:line="300" w:lineRule="atLeast"/>
        <w:rPr>
          <w:rFonts w:eastAsia="Times"/>
          <w:color w:val="000000" w:themeColor="text1"/>
          <w:sz w:val="24"/>
          <w:szCs w:val="19"/>
        </w:rPr>
      </w:pPr>
    </w:p>
    <w:p w14:paraId="0BECB710" w14:textId="77777777" w:rsidR="00CF62F8" w:rsidRDefault="00CF62F8" w:rsidP="00CF62F8">
      <w:pPr>
        <w:spacing w:after="200" w:line="300" w:lineRule="atLeast"/>
        <w:rPr>
          <w:rFonts w:eastAsia="Times"/>
          <w:color w:val="000000" w:themeColor="text1"/>
          <w:sz w:val="24"/>
          <w:szCs w:val="19"/>
        </w:rPr>
      </w:pPr>
    </w:p>
    <w:p w14:paraId="13378E26" w14:textId="77777777" w:rsidR="00CF62F8" w:rsidRDefault="00CF62F8" w:rsidP="00CF62F8">
      <w:pPr>
        <w:spacing w:after="200" w:line="300" w:lineRule="atLeast"/>
        <w:rPr>
          <w:rFonts w:eastAsia="Times"/>
          <w:color w:val="000000" w:themeColor="text1"/>
          <w:sz w:val="24"/>
          <w:szCs w:val="19"/>
        </w:rPr>
      </w:pPr>
    </w:p>
    <w:p w14:paraId="5554F729" w14:textId="77777777" w:rsidR="00CF62F8" w:rsidRDefault="00CF62F8" w:rsidP="00CF62F8">
      <w:pPr>
        <w:spacing w:after="200" w:line="300" w:lineRule="atLeast"/>
        <w:rPr>
          <w:rFonts w:eastAsia="Times"/>
          <w:color w:val="000000" w:themeColor="text1"/>
          <w:sz w:val="24"/>
          <w:szCs w:val="19"/>
        </w:rPr>
      </w:pPr>
    </w:p>
    <w:p w14:paraId="379AB1F1" w14:textId="77777777" w:rsidR="00CF62F8" w:rsidRDefault="00CF62F8" w:rsidP="00CF62F8">
      <w:pPr>
        <w:spacing w:after="200" w:line="300" w:lineRule="atLeast"/>
        <w:rPr>
          <w:rFonts w:eastAsia="Times"/>
          <w:color w:val="000000" w:themeColor="text1"/>
          <w:sz w:val="24"/>
          <w:szCs w:val="19"/>
        </w:rPr>
      </w:pPr>
    </w:p>
    <w:p w14:paraId="44A9406B" w14:textId="77777777" w:rsidR="00CF62F8" w:rsidRDefault="00CF62F8" w:rsidP="00CF62F8">
      <w:pPr>
        <w:spacing w:after="200" w:line="300" w:lineRule="atLeast"/>
        <w:rPr>
          <w:rFonts w:eastAsia="Times"/>
          <w:color w:val="000000" w:themeColor="text1"/>
          <w:sz w:val="24"/>
          <w:szCs w:val="19"/>
        </w:rPr>
      </w:pPr>
    </w:p>
    <w:p w14:paraId="2C1928DB" w14:textId="77777777" w:rsidR="00CF62F8" w:rsidRDefault="00CF62F8" w:rsidP="00CF62F8">
      <w:pPr>
        <w:spacing w:after="200" w:line="300" w:lineRule="atLeast"/>
        <w:rPr>
          <w:rFonts w:eastAsia="Times"/>
          <w:color w:val="000000" w:themeColor="text1"/>
          <w:sz w:val="24"/>
          <w:szCs w:val="19"/>
        </w:rPr>
      </w:pPr>
    </w:p>
    <w:p w14:paraId="5C41272F" w14:textId="77777777" w:rsidR="00CF62F8" w:rsidRDefault="00CF62F8" w:rsidP="00CF62F8">
      <w:pPr>
        <w:spacing w:after="200" w:line="300" w:lineRule="atLeast"/>
        <w:rPr>
          <w:rFonts w:eastAsia="Times"/>
          <w:color w:val="000000" w:themeColor="text1"/>
          <w:sz w:val="24"/>
          <w:szCs w:val="19"/>
        </w:rPr>
      </w:pPr>
    </w:p>
    <w:p w14:paraId="4A8916CE" w14:textId="77777777" w:rsidR="00CF62F8" w:rsidRDefault="00CF62F8" w:rsidP="00CF62F8">
      <w:pPr>
        <w:spacing w:after="200" w:line="300" w:lineRule="atLeast"/>
        <w:rPr>
          <w:rFonts w:eastAsia="Times"/>
          <w:color w:val="000000" w:themeColor="text1"/>
          <w:sz w:val="24"/>
          <w:szCs w:val="19"/>
        </w:rPr>
      </w:pPr>
    </w:p>
    <w:p w14:paraId="083CC9C9" w14:textId="77777777" w:rsidR="00CF62F8" w:rsidRDefault="00CF62F8" w:rsidP="00CF62F8">
      <w:pPr>
        <w:spacing w:after="200" w:line="300" w:lineRule="atLeast"/>
        <w:rPr>
          <w:rFonts w:eastAsia="Times"/>
          <w:color w:val="000000" w:themeColor="text1"/>
          <w:sz w:val="24"/>
          <w:szCs w:val="19"/>
        </w:rPr>
      </w:pPr>
    </w:p>
    <w:p w14:paraId="1F15DB8B" w14:textId="77777777" w:rsidR="00CF62F8" w:rsidRDefault="00CF62F8" w:rsidP="00CF62F8">
      <w:pPr>
        <w:spacing w:after="200" w:line="300" w:lineRule="atLeast"/>
        <w:rPr>
          <w:rFonts w:eastAsia="Times"/>
          <w:color w:val="000000" w:themeColor="text1"/>
          <w:sz w:val="24"/>
          <w:szCs w:val="19"/>
        </w:rPr>
      </w:pPr>
    </w:p>
    <w:p w14:paraId="24942DD4" w14:textId="77777777" w:rsidR="00CF62F8" w:rsidRDefault="00CF62F8" w:rsidP="00CF62F8">
      <w:pPr>
        <w:spacing w:after="200" w:line="300" w:lineRule="atLeast"/>
        <w:rPr>
          <w:rFonts w:eastAsia="Times"/>
          <w:color w:val="000000" w:themeColor="text1"/>
          <w:sz w:val="24"/>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D2BA04D" w14:textId="77777777" w:rsidTr="00562507">
        <w:trPr>
          <w:cantSplit/>
          <w:trHeight w:val="5103"/>
        </w:trPr>
        <w:tc>
          <w:tcPr>
            <w:tcW w:w="9288" w:type="dxa"/>
            <w:vAlign w:val="bottom"/>
          </w:tcPr>
          <w:p w14:paraId="5FB88558" w14:textId="204E48B3" w:rsidR="00CF62F8" w:rsidRPr="00CF62F8" w:rsidRDefault="009F2182" w:rsidP="009F2182">
            <w:pPr>
              <w:pStyle w:val="Imprint"/>
              <w:rPr>
                <w:color w:val="auto"/>
              </w:rPr>
            </w:pPr>
            <w:r w:rsidRPr="00CF62F8">
              <w:rPr>
                <w:color w:val="auto"/>
              </w:rPr>
              <w:t xml:space="preserve">To receive this document in another format, </w:t>
            </w:r>
            <w:r w:rsidR="009E5FED">
              <w:rPr>
                <w:color w:val="auto"/>
              </w:rPr>
              <w:t xml:space="preserve">email </w:t>
            </w:r>
            <w:r w:rsidR="00CF62F8" w:rsidRPr="00CF62F8">
              <w:rPr>
                <w:color w:val="auto"/>
              </w:rPr>
              <w:t>vicworkforce@dhhs.vic.gov.au</w:t>
            </w:r>
            <w:r w:rsidR="009E5FED">
              <w:rPr>
                <w:color w:val="auto"/>
              </w:rPr>
              <w:t>.</w:t>
            </w:r>
            <w:r w:rsidR="00CF62F8" w:rsidRPr="00CF62F8">
              <w:rPr>
                <w:color w:val="auto"/>
              </w:rPr>
              <w:t xml:space="preserve"> </w:t>
            </w:r>
          </w:p>
          <w:p w14:paraId="5843321B" w14:textId="60F630BC" w:rsidR="009F2182" w:rsidRPr="00CF62F8" w:rsidRDefault="009F2182" w:rsidP="009F2182">
            <w:pPr>
              <w:pStyle w:val="Imprint"/>
              <w:rPr>
                <w:color w:val="auto"/>
              </w:rPr>
            </w:pPr>
            <w:r w:rsidRPr="00CF62F8">
              <w:rPr>
                <w:color w:val="auto"/>
              </w:rPr>
              <w:t>Authorised and published by the Victorian Government, 1 Treasury Place, Melbourne.</w:t>
            </w:r>
          </w:p>
          <w:p w14:paraId="24E61305" w14:textId="7647CE0B" w:rsidR="009F2182" w:rsidRPr="00CF62F8" w:rsidRDefault="009F2182" w:rsidP="009F2182">
            <w:pPr>
              <w:pStyle w:val="Imprint"/>
              <w:rPr>
                <w:color w:val="auto"/>
              </w:rPr>
            </w:pPr>
            <w:r w:rsidRPr="00CF62F8">
              <w:rPr>
                <w:color w:val="auto"/>
              </w:rPr>
              <w:t xml:space="preserve">© State of Victoria, Australia, Department of </w:t>
            </w:r>
            <w:r w:rsidR="003D5928" w:rsidRPr="00CF62F8">
              <w:rPr>
                <w:color w:val="auto"/>
              </w:rPr>
              <w:t>Health</w:t>
            </w:r>
            <w:r w:rsidRPr="00CF62F8">
              <w:rPr>
                <w:color w:val="auto"/>
              </w:rPr>
              <w:t xml:space="preserve">, </w:t>
            </w:r>
            <w:r w:rsidR="00966D5B">
              <w:rPr>
                <w:color w:val="auto"/>
              </w:rPr>
              <w:t>June</w:t>
            </w:r>
            <w:r w:rsidR="00CF62F8" w:rsidRPr="00E8449D">
              <w:rPr>
                <w:color w:val="auto"/>
              </w:rPr>
              <w:t xml:space="preserve"> 202</w:t>
            </w:r>
            <w:r w:rsidR="00E8449D">
              <w:rPr>
                <w:color w:val="auto"/>
              </w:rPr>
              <w:t>3</w:t>
            </w:r>
            <w:r w:rsidRPr="00E8449D">
              <w:rPr>
                <w:color w:val="auto"/>
              </w:rPr>
              <w:t>.</w:t>
            </w:r>
          </w:p>
          <w:p w14:paraId="753F0149" w14:textId="77777777" w:rsidR="009F2182" w:rsidRPr="00CF62F8" w:rsidRDefault="009F2182" w:rsidP="009F2182">
            <w:pPr>
              <w:pStyle w:val="Imprint"/>
              <w:rPr>
                <w:color w:val="auto"/>
              </w:rPr>
            </w:pPr>
            <w:bookmarkStart w:id="0" w:name="_Hlk62746129"/>
            <w:r w:rsidRPr="00CF62F8">
              <w:rPr>
                <w:color w:val="auto"/>
              </w:rPr>
              <w:t>In this document, ‘Aboriginal’ refers to both Aboriginal and Torres Strait Islander people. ‘Indigenous’ or ‘Koori/</w:t>
            </w:r>
            <w:proofErr w:type="spellStart"/>
            <w:r w:rsidRPr="00CF62F8">
              <w:rPr>
                <w:color w:val="auto"/>
              </w:rPr>
              <w:t>Koorie</w:t>
            </w:r>
            <w:proofErr w:type="spellEnd"/>
            <w:r w:rsidRPr="00CF62F8">
              <w:rPr>
                <w:color w:val="auto"/>
              </w:rPr>
              <w:t xml:space="preserve">’ is retained when part of the title of a report, </w:t>
            </w:r>
            <w:proofErr w:type="gramStart"/>
            <w:r w:rsidRPr="00CF62F8">
              <w:rPr>
                <w:color w:val="auto"/>
              </w:rPr>
              <w:t>program</w:t>
            </w:r>
            <w:proofErr w:type="gramEnd"/>
            <w:r w:rsidRPr="00CF62F8">
              <w:rPr>
                <w:color w:val="auto"/>
              </w:rPr>
              <w:t xml:space="preserve"> or quotation.</w:t>
            </w:r>
          </w:p>
          <w:p w14:paraId="2D5CA6F9" w14:textId="3E5B4829" w:rsidR="00CF62F8" w:rsidRPr="00CF62F8" w:rsidRDefault="009F2182" w:rsidP="009F2182">
            <w:pPr>
              <w:pStyle w:val="Body"/>
              <w:rPr>
                <w:sz w:val="20"/>
              </w:rPr>
            </w:pPr>
            <w:r w:rsidRPr="00CF62F8">
              <w:rPr>
                <w:sz w:val="20"/>
              </w:rPr>
              <w:t>Available at</w:t>
            </w:r>
            <w:r w:rsidR="009E5FED">
              <w:rPr>
                <w:sz w:val="20"/>
              </w:rPr>
              <w:t xml:space="preserve"> </w:t>
            </w:r>
            <w:hyperlink r:id="rId15" w:history="1">
              <w:r w:rsidR="009E5FED" w:rsidRPr="009E5FED">
                <w:rPr>
                  <w:rStyle w:val="Hyperlink"/>
                  <w:sz w:val="20"/>
                </w:rPr>
                <w:t>Fee Schedule for clinical placement in public health services</w:t>
              </w:r>
            </w:hyperlink>
            <w:r w:rsidRPr="00CF62F8">
              <w:rPr>
                <w:sz w:val="20"/>
              </w:rPr>
              <w:t xml:space="preserve"> </w:t>
            </w:r>
            <w:r w:rsidR="009E5FED">
              <w:rPr>
                <w:sz w:val="20"/>
              </w:rPr>
              <w:t>&lt;</w:t>
            </w:r>
            <w:r w:rsidR="009E5FED" w:rsidRPr="009E5FED">
              <w:rPr>
                <w:sz w:val="20"/>
              </w:rPr>
              <w:t>https://www.health.vic.gov.au/education-and-training/fee-schedule-for-clinical-placement-in-public-health-services</w:t>
            </w:r>
            <w:r w:rsidR="009E5FED">
              <w:rPr>
                <w:sz w:val="20"/>
              </w:rPr>
              <w:t>&gt;</w:t>
            </w:r>
          </w:p>
          <w:bookmarkEnd w:id="0"/>
          <w:p w14:paraId="7CA6FC57" w14:textId="3840DDF8" w:rsidR="009F2182" w:rsidRDefault="009F2182" w:rsidP="009F2182">
            <w:pPr>
              <w:pStyle w:val="Body"/>
            </w:pPr>
          </w:p>
        </w:tc>
      </w:tr>
      <w:tr w:rsidR="0008204A" w14:paraId="199CC7F8" w14:textId="77777777" w:rsidTr="0008204A">
        <w:trPr>
          <w:cantSplit/>
        </w:trPr>
        <w:tc>
          <w:tcPr>
            <w:tcW w:w="9288" w:type="dxa"/>
          </w:tcPr>
          <w:p w14:paraId="7DB165D6" w14:textId="77777777" w:rsidR="0008204A" w:rsidRPr="0055119B" w:rsidRDefault="0008204A" w:rsidP="0008204A">
            <w:pPr>
              <w:pStyle w:val="Body"/>
            </w:pPr>
          </w:p>
        </w:tc>
      </w:tr>
    </w:tbl>
    <w:p w14:paraId="2EB02713" w14:textId="77777777" w:rsidR="0008204A" w:rsidRPr="0008204A" w:rsidRDefault="0008204A" w:rsidP="0008204A">
      <w:pPr>
        <w:pStyle w:val="Body"/>
      </w:pPr>
      <w:r w:rsidRPr="0008204A">
        <w:br w:type="page"/>
      </w:r>
    </w:p>
    <w:p w14:paraId="36D7BD4C" w14:textId="77777777" w:rsidR="00AD784C" w:rsidRPr="00360AC3" w:rsidRDefault="00AD784C" w:rsidP="002365B4">
      <w:pPr>
        <w:pStyle w:val="TOCheadingreport"/>
        <w:rPr>
          <w:rFonts w:eastAsia="Times New Roman" w:cs="Times New Roman"/>
          <w:color w:val="FF0066"/>
          <w:kern w:val="0"/>
          <w:sz w:val="48"/>
          <w:szCs w:val="50"/>
        </w:rPr>
      </w:pPr>
      <w:r w:rsidRPr="00360AC3">
        <w:rPr>
          <w:rFonts w:eastAsia="Times New Roman" w:cs="Times New Roman"/>
          <w:color w:val="FF0066"/>
          <w:kern w:val="0"/>
          <w:sz w:val="48"/>
          <w:szCs w:val="50"/>
        </w:rPr>
        <w:lastRenderedPageBreak/>
        <w:t>Contents</w:t>
      </w:r>
    </w:p>
    <w:p w14:paraId="73966F88" w14:textId="1CD9E2CA" w:rsidR="009D1FD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75263156" w:history="1">
        <w:r w:rsidR="009D1FD6" w:rsidRPr="00176CC8">
          <w:rPr>
            <w:rStyle w:val="Hyperlink"/>
          </w:rPr>
          <w:t>Background and context</w:t>
        </w:r>
        <w:r w:rsidR="009D1FD6">
          <w:rPr>
            <w:webHidden/>
          </w:rPr>
          <w:tab/>
        </w:r>
        <w:r w:rsidR="009D1FD6">
          <w:rPr>
            <w:webHidden/>
          </w:rPr>
          <w:fldChar w:fldCharType="begin"/>
        </w:r>
        <w:r w:rsidR="009D1FD6">
          <w:rPr>
            <w:webHidden/>
          </w:rPr>
          <w:instrText xml:space="preserve"> PAGEREF _Toc75263156 \h </w:instrText>
        </w:r>
        <w:r w:rsidR="009D1FD6">
          <w:rPr>
            <w:webHidden/>
          </w:rPr>
        </w:r>
        <w:r w:rsidR="009D1FD6">
          <w:rPr>
            <w:webHidden/>
          </w:rPr>
          <w:fldChar w:fldCharType="separate"/>
        </w:r>
        <w:r w:rsidR="009D1FD6">
          <w:rPr>
            <w:webHidden/>
          </w:rPr>
          <w:t>6</w:t>
        </w:r>
        <w:r w:rsidR="009D1FD6">
          <w:rPr>
            <w:webHidden/>
          </w:rPr>
          <w:fldChar w:fldCharType="end"/>
        </w:r>
      </w:hyperlink>
    </w:p>
    <w:p w14:paraId="6D41BCED" w14:textId="5EFA2646" w:rsidR="009D1FD6" w:rsidRDefault="00000000">
      <w:pPr>
        <w:pStyle w:val="TOC2"/>
        <w:rPr>
          <w:rFonts w:asciiTheme="minorHAnsi" w:eastAsiaTheme="minorEastAsia" w:hAnsiTheme="minorHAnsi" w:cstheme="minorBidi"/>
          <w:sz w:val="22"/>
          <w:szCs w:val="22"/>
          <w:lang w:eastAsia="en-AU"/>
        </w:rPr>
      </w:pPr>
      <w:hyperlink w:anchor="_Toc75263157" w:history="1">
        <w:r w:rsidR="009D1FD6" w:rsidRPr="00176CC8">
          <w:rPr>
            <w:rStyle w:val="Hyperlink"/>
          </w:rPr>
          <w:t>Aim and Scope</w:t>
        </w:r>
        <w:r w:rsidR="009D1FD6">
          <w:rPr>
            <w:webHidden/>
          </w:rPr>
          <w:tab/>
        </w:r>
        <w:r w:rsidR="009D1FD6">
          <w:rPr>
            <w:webHidden/>
          </w:rPr>
          <w:fldChar w:fldCharType="begin"/>
        </w:r>
        <w:r w:rsidR="009D1FD6">
          <w:rPr>
            <w:webHidden/>
          </w:rPr>
          <w:instrText xml:space="preserve"> PAGEREF _Toc75263157 \h </w:instrText>
        </w:r>
        <w:r w:rsidR="009D1FD6">
          <w:rPr>
            <w:webHidden/>
          </w:rPr>
        </w:r>
        <w:r w:rsidR="009D1FD6">
          <w:rPr>
            <w:webHidden/>
          </w:rPr>
          <w:fldChar w:fldCharType="separate"/>
        </w:r>
        <w:r w:rsidR="009D1FD6">
          <w:rPr>
            <w:webHidden/>
          </w:rPr>
          <w:t>6</w:t>
        </w:r>
        <w:r w:rsidR="009D1FD6">
          <w:rPr>
            <w:webHidden/>
          </w:rPr>
          <w:fldChar w:fldCharType="end"/>
        </w:r>
      </w:hyperlink>
    </w:p>
    <w:p w14:paraId="0DF9B388" w14:textId="2CEF0126" w:rsidR="009D1FD6" w:rsidRDefault="00000000">
      <w:pPr>
        <w:pStyle w:val="TOC2"/>
        <w:rPr>
          <w:rFonts w:asciiTheme="minorHAnsi" w:eastAsiaTheme="minorEastAsia" w:hAnsiTheme="minorHAnsi" w:cstheme="minorBidi"/>
          <w:sz w:val="22"/>
          <w:szCs w:val="22"/>
          <w:lang w:eastAsia="en-AU"/>
        </w:rPr>
      </w:pPr>
      <w:hyperlink w:anchor="_Toc75263158" w:history="1">
        <w:r w:rsidR="009D1FD6" w:rsidRPr="00176CC8">
          <w:rPr>
            <w:rStyle w:val="Hyperlink"/>
          </w:rPr>
          <w:t>Principles and values</w:t>
        </w:r>
        <w:r w:rsidR="009D1FD6">
          <w:rPr>
            <w:webHidden/>
          </w:rPr>
          <w:tab/>
        </w:r>
        <w:r w:rsidR="009D1FD6">
          <w:rPr>
            <w:webHidden/>
          </w:rPr>
          <w:fldChar w:fldCharType="begin"/>
        </w:r>
        <w:r w:rsidR="009D1FD6">
          <w:rPr>
            <w:webHidden/>
          </w:rPr>
          <w:instrText xml:space="preserve"> PAGEREF _Toc75263158 \h </w:instrText>
        </w:r>
        <w:r w:rsidR="009D1FD6">
          <w:rPr>
            <w:webHidden/>
          </w:rPr>
        </w:r>
        <w:r w:rsidR="009D1FD6">
          <w:rPr>
            <w:webHidden/>
          </w:rPr>
          <w:fldChar w:fldCharType="separate"/>
        </w:r>
        <w:r w:rsidR="009D1FD6">
          <w:rPr>
            <w:webHidden/>
          </w:rPr>
          <w:t>6</w:t>
        </w:r>
        <w:r w:rsidR="009D1FD6">
          <w:rPr>
            <w:webHidden/>
          </w:rPr>
          <w:fldChar w:fldCharType="end"/>
        </w:r>
      </w:hyperlink>
    </w:p>
    <w:p w14:paraId="3F691D62" w14:textId="673BE931" w:rsidR="009D1FD6" w:rsidRDefault="00000000">
      <w:pPr>
        <w:pStyle w:val="TOC2"/>
        <w:rPr>
          <w:rFonts w:asciiTheme="minorHAnsi" w:eastAsiaTheme="minorEastAsia" w:hAnsiTheme="minorHAnsi" w:cstheme="minorBidi"/>
          <w:sz w:val="22"/>
          <w:szCs w:val="22"/>
          <w:lang w:eastAsia="en-AU"/>
        </w:rPr>
      </w:pPr>
      <w:hyperlink w:anchor="_Toc75263159" w:history="1">
        <w:r w:rsidR="009D1FD6" w:rsidRPr="00176CC8">
          <w:rPr>
            <w:rStyle w:val="Hyperlink"/>
          </w:rPr>
          <w:t>Applicability</w:t>
        </w:r>
        <w:r w:rsidR="009D1FD6">
          <w:rPr>
            <w:webHidden/>
          </w:rPr>
          <w:tab/>
        </w:r>
        <w:r w:rsidR="009D1FD6">
          <w:rPr>
            <w:webHidden/>
          </w:rPr>
          <w:fldChar w:fldCharType="begin"/>
        </w:r>
        <w:r w:rsidR="009D1FD6">
          <w:rPr>
            <w:webHidden/>
          </w:rPr>
          <w:instrText xml:space="preserve"> PAGEREF _Toc75263159 \h </w:instrText>
        </w:r>
        <w:r w:rsidR="009D1FD6">
          <w:rPr>
            <w:webHidden/>
          </w:rPr>
        </w:r>
        <w:r w:rsidR="009D1FD6">
          <w:rPr>
            <w:webHidden/>
          </w:rPr>
          <w:fldChar w:fldCharType="separate"/>
        </w:r>
        <w:r w:rsidR="009D1FD6">
          <w:rPr>
            <w:webHidden/>
          </w:rPr>
          <w:t>7</w:t>
        </w:r>
        <w:r w:rsidR="009D1FD6">
          <w:rPr>
            <w:webHidden/>
          </w:rPr>
          <w:fldChar w:fldCharType="end"/>
        </w:r>
      </w:hyperlink>
    </w:p>
    <w:p w14:paraId="3E98FC30" w14:textId="32FC15F0" w:rsidR="009D1FD6" w:rsidRDefault="00000000">
      <w:pPr>
        <w:pStyle w:val="TOC2"/>
        <w:rPr>
          <w:rFonts w:asciiTheme="minorHAnsi" w:eastAsiaTheme="minorEastAsia" w:hAnsiTheme="minorHAnsi" w:cstheme="minorBidi"/>
          <w:sz w:val="22"/>
          <w:szCs w:val="22"/>
          <w:lang w:eastAsia="en-AU"/>
        </w:rPr>
      </w:pPr>
      <w:hyperlink w:anchor="_Toc75263160" w:history="1">
        <w:r w:rsidR="009D1FD6" w:rsidRPr="00176CC8">
          <w:rPr>
            <w:rStyle w:val="Hyperlink"/>
          </w:rPr>
          <w:t>Definitions</w:t>
        </w:r>
        <w:r w:rsidR="009D1FD6">
          <w:rPr>
            <w:webHidden/>
          </w:rPr>
          <w:tab/>
        </w:r>
        <w:r w:rsidR="009D1FD6">
          <w:rPr>
            <w:webHidden/>
          </w:rPr>
          <w:fldChar w:fldCharType="begin"/>
        </w:r>
        <w:r w:rsidR="009D1FD6">
          <w:rPr>
            <w:webHidden/>
          </w:rPr>
          <w:instrText xml:space="preserve"> PAGEREF _Toc75263160 \h </w:instrText>
        </w:r>
        <w:r w:rsidR="009D1FD6">
          <w:rPr>
            <w:webHidden/>
          </w:rPr>
        </w:r>
        <w:r w:rsidR="009D1FD6">
          <w:rPr>
            <w:webHidden/>
          </w:rPr>
          <w:fldChar w:fldCharType="separate"/>
        </w:r>
        <w:r w:rsidR="009D1FD6">
          <w:rPr>
            <w:webHidden/>
          </w:rPr>
          <w:t>8</w:t>
        </w:r>
        <w:r w:rsidR="009D1FD6">
          <w:rPr>
            <w:webHidden/>
          </w:rPr>
          <w:fldChar w:fldCharType="end"/>
        </w:r>
      </w:hyperlink>
    </w:p>
    <w:p w14:paraId="0E0F9123" w14:textId="4CFE8FAA" w:rsidR="009D1FD6" w:rsidRDefault="00000000">
      <w:pPr>
        <w:pStyle w:val="TOC1"/>
        <w:rPr>
          <w:rFonts w:asciiTheme="minorHAnsi" w:eastAsiaTheme="minorEastAsia" w:hAnsiTheme="minorHAnsi" w:cstheme="minorBidi"/>
          <w:b w:val="0"/>
          <w:sz w:val="22"/>
          <w:szCs w:val="22"/>
          <w:lang w:eastAsia="en-AU"/>
        </w:rPr>
      </w:pPr>
      <w:hyperlink w:anchor="_Toc75263161" w:history="1">
        <w:r w:rsidR="009D1FD6" w:rsidRPr="00176CC8">
          <w:rPr>
            <w:rStyle w:val="Hyperlink"/>
          </w:rPr>
          <w:t>Fees chargeable to education providers</w:t>
        </w:r>
        <w:r w:rsidR="009D1FD6">
          <w:rPr>
            <w:webHidden/>
          </w:rPr>
          <w:tab/>
        </w:r>
        <w:r w:rsidR="009D1FD6">
          <w:rPr>
            <w:webHidden/>
          </w:rPr>
          <w:fldChar w:fldCharType="begin"/>
        </w:r>
        <w:r w:rsidR="009D1FD6">
          <w:rPr>
            <w:webHidden/>
          </w:rPr>
          <w:instrText xml:space="preserve"> PAGEREF _Toc75263161 \h </w:instrText>
        </w:r>
        <w:r w:rsidR="009D1FD6">
          <w:rPr>
            <w:webHidden/>
          </w:rPr>
        </w:r>
        <w:r w:rsidR="009D1FD6">
          <w:rPr>
            <w:webHidden/>
          </w:rPr>
          <w:fldChar w:fldCharType="separate"/>
        </w:r>
        <w:r w:rsidR="009D1FD6">
          <w:rPr>
            <w:webHidden/>
          </w:rPr>
          <w:t>9</w:t>
        </w:r>
        <w:r w:rsidR="009D1FD6">
          <w:rPr>
            <w:webHidden/>
          </w:rPr>
          <w:fldChar w:fldCharType="end"/>
        </w:r>
      </w:hyperlink>
    </w:p>
    <w:p w14:paraId="063F9B13" w14:textId="033BEF47" w:rsidR="009D1FD6" w:rsidRDefault="00000000">
      <w:pPr>
        <w:pStyle w:val="TOC2"/>
        <w:rPr>
          <w:rFonts w:asciiTheme="minorHAnsi" w:eastAsiaTheme="minorEastAsia" w:hAnsiTheme="minorHAnsi" w:cstheme="minorBidi"/>
          <w:sz w:val="22"/>
          <w:szCs w:val="22"/>
          <w:lang w:eastAsia="en-AU"/>
        </w:rPr>
      </w:pPr>
      <w:hyperlink w:anchor="_Toc75263162" w:history="1">
        <w:r w:rsidR="009D1FD6" w:rsidRPr="00176CC8">
          <w:rPr>
            <w:rStyle w:val="Hyperlink"/>
          </w:rPr>
          <w:t>Nursing, Midwifery and Allied Health</w:t>
        </w:r>
        <w:r w:rsidR="009D1FD6">
          <w:rPr>
            <w:webHidden/>
          </w:rPr>
          <w:tab/>
        </w:r>
        <w:r w:rsidR="009D1FD6">
          <w:rPr>
            <w:webHidden/>
          </w:rPr>
          <w:fldChar w:fldCharType="begin"/>
        </w:r>
        <w:r w:rsidR="009D1FD6">
          <w:rPr>
            <w:webHidden/>
          </w:rPr>
          <w:instrText xml:space="preserve"> PAGEREF _Toc75263162 \h </w:instrText>
        </w:r>
        <w:r w:rsidR="009D1FD6">
          <w:rPr>
            <w:webHidden/>
          </w:rPr>
        </w:r>
        <w:r w:rsidR="009D1FD6">
          <w:rPr>
            <w:webHidden/>
          </w:rPr>
          <w:fldChar w:fldCharType="separate"/>
        </w:r>
        <w:r w:rsidR="009D1FD6">
          <w:rPr>
            <w:webHidden/>
          </w:rPr>
          <w:t>9</w:t>
        </w:r>
        <w:r w:rsidR="009D1FD6">
          <w:rPr>
            <w:webHidden/>
          </w:rPr>
          <w:fldChar w:fldCharType="end"/>
        </w:r>
      </w:hyperlink>
    </w:p>
    <w:p w14:paraId="512CD396" w14:textId="7304B957" w:rsidR="009D1FD6" w:rsidRDefault="00000000">
      <w:pPr>
        <w:pStyle w:val="TOC2"/>
        <w:rPr>
          <w:rFonts w:asciiTheme="minorHAnsi" w:eastAsiaTheme="minorEastAsia" w:hAnsiTheme="minorHAnsi" w:cstheme="minorBidi"/>
          <w:sz w:val="22"/>
          <w:szCs w:val="22"/>
          <w:lang w:eastAsia="en-AU"/>
        </w:rPr>
      </w:pPr>
      <w:hyperlink w:anchor="_Toc75263163" w:history="1">
        <w:r w:rsidR="009D1FD6" w:rsidRPr="00176CC8">
          <w:rPr>
            <w:rStyle w:val="Hyperlink"/>
          </w:rPr>
          <w:t>Medicine</w:t>
        </w:r>
        <w:r w:rsidR="009D1FD6">
          <w:rPr>
            <w:webHidden/>
          </w:rPr>
          <w:tab/>
        </w:r>
        <w:r w:rsidR="009D1FD6">
          <w:rPr>
            <w:webHidden/>
          </w:rPr>
          <w:fldChar w:fldCharType="begin"/>
        </w:r>
        <w:r w:rsidR="009D1FD6">
          <w:rPr>
            <w:webHidden/>
          </w:rPr>
          <w:instrText xml:space="preserve"> PAGEREF _Toc75263163 \h </w:instrText>
        </w:r>
        <w:r w:rsidR="009D1FD6">
          <w:rPr>
            <w:webHidden/>
          </w:rPr>
        </w:r>
        <w:r w:rsidR="009D1FD6">
          <w:rPr>
            <w:webHidden/>
          </w:rPr>
          <w:fldChar w:fldCharType="separate"/>
        </w:r>
        <w:r w:rsidR="009D1FD6">
          <w:rPr>
            <w:webHidden/>
          </w:rPr>
          <w:t>9</w:t>
        </w:r>
        <w:r w:rsidR="009D1FD6">
          <w:rPr>
            <w:webHidden/>
          </w:rPr>
          <w:fldChar w:fldCharType="end"/>
        </w:r>
      </w:hyperlink>
    </w:p>
    <w:p w14:paraId="3FBDF75C" w14:textId="2AD22571" w:rsidR="009D1FD6" w:rsidRDefault="00000000">
      <w:pPr>
        <w:pStyle w:val="TOC2"/>
        <w:rPr>
          <w:rFonts w:asciiTheme="minorHAnsi" w:eastAsiaTheme="minorEastAsia" w:hAnsiTheme="minorHAnsi" w:cstheme="minorBidi"/>
          <w:sz w:val="22"/>
          <w:szCs w:val="22"/>
          <w:lang w:eastAsia="en-AU"/>
        </w:rPr>
      </w:pPr>
      <w:hyperlink w:anchor="_Toc75263164" w:history="1">
        <w:r w:rsidR="009D1FD6" w:rsidRPr="00176CC8">
          <w:rPr>
            <w:rStyle w:val="Hyperlink"/>
          </w:rPr>
          <w:t>Maximum chargeable fees for 2022</w:t>
        </w:r>
        <w:r w:rsidR="009D1FD6">
          <w:rPr>
            <w:webHidden/>
          </w:rPr>
          <w:tab/>
        </w:r>
        <w:r w:rsidR="009D1FD6">
          <w:rPr>
            <w:webHidden/>
          </w:rPr>
          <w:fldChar w:fldCharType="begin"/>
        </w:r>
        <w:r w:rsidR="009D1FD6">
          <w:rPr>
            <w:webHidden/>
          </w:rPr>
          <w:instrText xml:space="preserve"> PAGEREF _Toc75263164 \h </w:instrText>
        </w:r>
        <w:r w:rsidR="009D1FD6">
          <w:rPr>
            <w:webHidden/>
          </w:rPr>
        </w:r>
        <w:r w:rsidR="009D1FD6">
          <w:rPr>
            <w:webHidden/>
          </w:rPr>
          <w:fldChar w:fldCharType="separate"/>
        </w:r>
        <w:r w:rsidR="009D1FD6">
          <w:rPr>
            <w:webHidden/>
          </w:rPr>
          <w:t>10</w:t>
        </w:r>
        <w:r w:rsidR="009D1FD6">
          <w:rPr>
            <w:webHidden/>
          </w:rPr>
          <w:fldChar w:fldCharType="end"/>
        </w:r>
      </w:hyperlink>
    </w:p>
    <w:p w14:paraId="75C76467" w14:textId="36C93BE9" w:rsidR="009D1FD6" w:rsidRDefault="00000000">
      <w:pPr>
        <w:pStyle w:val="TOC2"/>
        <w:rPr>
          <w:rFonts w:asciiTheme="minorHAnsi" w:eastAsiaTheme="minorEastAsia" w:hAnsiTheme="minorHAnsi" w:cstheme="minorBidi"/>
          <w:sz w:val="22"/>
          <w:szCs w:val="22"/>
          <w:lang w:eastAsia="en-AU"/>
        </w:rPr>
      </w:pPr>
      <w:hyperlink w:anchor="_Toc75263165" w:history="1">
        <w:r w:rsidR="009D1FD6" w:rsidRPr="00176CC8">
          <w:rPr>
            <w:rStyle w:val="Hyperlink"/>
          </w:rPr>
          <w:t>Cancellations and absences</w:t>
        </w:r>
        <w:r w:rsidR="009D1FD6">
          <w:rPr>
            <w:webHidden/>
          </w:rPr>
          <w:tab/>
        </w:r>
        <w:r w:rsidR="009D1FD6">
          <w:rPr>
            <w:webHidden/>
          </w:rPr>
          <w:fldChar w:fldCharType="begin"/>
        </w:r>
        <w:r w:rsidR="009D1FD6">
          <w:rPr>
            <w:webHidden/>
          </w:rPr>
          <w:instrText xml:space="preserve"> PAGEREF _Toc75263165 \h </w:instrText>
        </w:r>
        <w:r w:rsidR="009D1FD6">
          <w:rPr>
            <w:webHidden/>
          </w:rPr>
        </w:r>
        <w:r w:rsidR="009D1FD6">
          <w:rPr>
            <w:webHidden/>
          </w:rPr>
          <w:fldChar w:fldCharType="separate"/>
        </w:r>
        <w:r w:rsidR="009D1FD6">
          <w:rPr>
            <w:webHidden/>
          </w:rPr>
          <w:t>10</w:t>
        </w:r>
        <w:r w:rsidR="009D1FD6">
          <w:rPr>
            <w:webHidden/>
          </w:rPr>
          <w:fldChar w:fldCharType="end"/>
        </w:r>
      </w:hyperlink>
    </w:p>
    <w:p w14:paraId="7D63B767" w14:textId="39931D87" w:rsidR="009D1FD6" w:rsidRDefault="00000000">
      <w:pPr>
        <w:pStyle w:val="TOC2"/>
        <w:rPr>
          <w:rFonts w:asciiTheme="minorHAnsi" w:eastAsiaTheme="minorEastAsia" w:hAnsiTheme="minorHAnsi" w:cstheme="minorBidi"/>
          <w:sz w:val="22"/>
          <w:szCs w:val="22"/>
          <w:lang w:eastAsia="en-AU"/>
        </w:rPr>
      </w:pPr>
      <w:hyperlink w:anchor="_Toc75263166" w:history="1">
        <w:r w:rsidR="009D1FD6" w:rsidRPr="00176CC8">
          <w:rPr>
            <w:rStyle w:val="Hyperlink"/>
          </w:rPr>
          <w:t>Make-up or supplementary days</w:t>
        </w:r>
        <w:r w:rsidR="009D1FD6">
          <w:rPr>
            <w:webHidden/>
          </w:rPr>
          <w:tab/>
        </w:r>
        <w:r w:rsidR="009D1FD6">
          <w:rPr>
            <w:webHidden/>
          </w:rPr>
          <w:fldChar w:fldCharType="begin"/>
        </w:r>
        <w:r w:rsidR="009D1FD6">
          <w:rPr>
            <w:webHidden/>
          </w:rPr>
          <w:instrText xml:space="preserve"> PAGEREF _Toc75263166 \h </w:instrText>
        </w:r>
        <w:r w:rsidR="009D1FD6">
          <w:rPr>
            <w:webHidden/>
          </w:rPr>
        </w:r>
        <w:r w:rsidR="009D1FD6">
          <w:rPr>
            <w:webHidden/>
          </w:rPr>
          <w:fldChar w:fldCharType="separate"/>
        </w:r>
        <w:r w:rsidR="009D1FD6">
          <w:rPr>
            <w:webHidden/>
          </w:rPr>
          <w:t>11</w:t>
        </w:r>
        <w:r w:rsidR="009D1FD6">
          <w:rPr>
            <w:webHidden/>
          </w:rPr>
          <w:fldChar w:fldCharType="end"/>
        </w:r>
      </w:hyperlink>
    </w:p>
    <w:p w14:paraId="757FF183" w14:textId="6D9E67BF" w:rsidR="009D1FD6" w:rsidRDefault="00000000">
      <w:pPr>
        <w:pStyle w:val="TOC2"/>
        <w:rPr>
          <w:rFonts w:asciiTheme="minorHAnsi" w:eastAsiaTheme="minorEastAsia" w:hAnsiTheme="minorHAnsi" w:cstheme="minorBidi"/>
          <w:sz w:val="22"/>
          <w:szCs w:val="22"/>
          <w:lang w:eastAsia="en-AU"/>
        </w:rPr>
      </w:pPr>
      <w:hyperlink w:anchor="_Toc75263167" w:history="1">
        <w:r w:rsidR="009D1FD6" w:rsidRPr="00176CC8">
          <w:rPr>
            <w:rStyle w:val="Hyperlink"/>
          </w:rPr>
          <w:t>Non-fee contributions to the cost of clinical placements</w:t>
        </w:r>
        <w:r w:rsidR="009D1FD6">
          <w:rPr>
            <w:webHidden/>
          </w:rPr>
          <w:tab/>
        </w:r>
        <w:r w:rsidR="009D1FD6">
          <w:rPr>
            <w:webHidden/>
          </w:rPr>
          <w:fldChar w:fldCharType="begin"/>
        </w:r>
        <w:r w:rsidR="009D1FD6">
          <w:rPr>
            <w:webHidden/>
          </w:rPr>
          <w:instrText xml:space="preserve"> PAGEREF _Toc75263167 \h </w:instrText>
        </w:r>
        <w:r w:rsidR="009D1FD6">
          <w:rPr>
            <w:webHidden/>
          </w:rPr>
        </w:r>
        <w:r w:rsidR="009D1FD6">
          <w:rPr>
            <w:webHidden/>
          </w:rPr>
          <w:fldChar w:fldCharType="separate"/>
        </w:r>
        <w:r w:rsidR="009D1FD6">
          <w:rPr>
            <w:webHidden/>
          </w:rPr>
          <w:t>11</w:t>
        </w:r>
        <w:r w:rsidR="009D1FD6">
          <w:rPr>
            <w:webHidden/>
          </w:rPr>
          <w:fldChar w:fldCharType="end"/>
        </w:r>
      </w:hyperlink>
    </w:p>
    <w:p w14:paraId="48611B9C" w14:textId="625925F6" w:rsidR="009D1FD6" w:rsidRDefault="00000000">
      <w:pPr>
        <w:pStyle w:val="TOC1"/>
        <w:rPr>
          <w:rFonts w:asciiTheme="minorHAnsi" w:eastAsiaTheme="minorEastAsia" w:hAnsiTheme="minorHAnsi" w:cstheme="minorBidi"/>
          <w:b w:val="0"/>
          <w:sz w:val="22"/>
          <w:szCs w:val="22"/>
          <w:lang w:eastAsia="en-AU"/>
        </w:rPr>
      </w:pPr>
      <w:hyperlink w:anchor="_Toc75263168" w:history="1">
        <w:r w:rsidR="009D1FD6" w:rsidRPr="00176CC8">
          <w:rPr>
            <w:rStyle w:val="Hyperlink"/>
          </w:rPr>
          <w:t>Implementation</w:t>
        </w:r>
        <w:r w:rsidR="009D1FD6">
          <w:rPr>
            <w:webHidden/>
          </w:rPr>
          <w:tab/>
        </w:r>
        <w:r w:rsidR="009D1FD6">
          <w:rPr>
            <w:webHidden/>
          </w:rPr>
          <w:fldChar w:fldCharType="begin"/>
        </w:r>
        <w:r w:rsidR="009D1FD6">
          <w:rPr>
            <w:webHidden/>
          </w:rPr>
          <w:instrText xml:space="preserve"> PAGEREF _Toc75263168 \h </w:instrText>
        </w:r>
        <w:r w:rsidR="009D1FD6">
          <w:rPr>
            <w:webHidden/>
          </w:rPr>
        </w:r>
        <w:r w:rsidR="009D1FD6">
          <w:rPr>
            <w:webHidden/>
          </w:rPr>
          <w:fldChar w:fldCharType="separate"/>
        </w:r>
        <w:r w:rsidR="009D1FD6">
          <w:rPr>
            <w:webHidden/>
          </w:rPr>
          <w:t>12</w:t>
        </w:r>
        <w:r w:rsidR="009D1FD6">
          <w:rPr>
            <w:webHidden/>
          </w:rPr>
          <w:fldChar w:fldCharType="end"/>
        </w:r>
      </w:hyperlink>
    </w:p>
    <w:p w14:paraId="506D1499" w14:textId="45D03736" w:rsidR="009D1FD6" w:rsidRDefault="00000000">
      <w:pPr>
        <w:pStyle w:val="TOC2"/>
        <w:rPr>
          <w:rFonts w:asciiTheme="minorHAnsi" w:eastAsiaTheme="minorEastAsia" w:hAnsiTheme="minorHAnsi" w:cstheme="minorBidi"/>
          <w:sz w:val="22"/>
          <w:szCs w:val="22"/>
          <w:lang w:eastAsia="en-AU"/>
        </w:rPr>
      </w:pPr>
      <w:hyperlink w:anchor="_Toc75263169" w:history="1">
        <w:r w:rsidR="009D1FD6" w:rsidRPr="00176CC8">
          <w:rPr>
            <w:rStyle w:val="Hyperlink"/>
            <w:bCs/>
          </w:rPr>
          <w:t>Documentation of established fees</w:t>
        </w:r>
        <w:r w:rsidR="009D1FD6">
          <w:rPr>
            <w:webHidden/>
          </w:rPr>
          <w:tab/>
        </w:r>
        <w:r w:rsidR="009D1FD6">
          <w:rPr>
            <w:webHidden/>
          </w:rPr>
          <w:fldChar w:fldCharType="begin"/>
        </w:r>
        <w:r w:rsidR="009D1FD6">
          <w:rPr>
            <w:webHidden/>
          </w:rPr>
          <w:instrText xml:space="preserve"> PAGEREF _Toc75263169 \h </w:instrText>
        </w:r>
        <w:r w:rsidR="009D1FD6">
          <w:rPr>
            <w:webHidden/>
          </w:rPr>
        </w:r>
        <w:r w:rsidR="009D1FD6">
          <w:rPr>
            <w:webHidden/>
          </w:rPr>
          <w:fldChar w:fldCharType="separate"/>
        </w:r>
        <w:r w:rsidR="009D1FD6">
          <w:rPr>
            <w:webHidden/>
          </w:rPr>
          <w:t>12</w:t>
        </w:r>
        <w:r w:rsidR="009D1FD6">
          <w:rPr>
            <w:webHidden/>
          </w:rPr>
          <w:fldChar w:fldCharType="end"/>
        </w:r>
      </w:hyperlink>
    </w:p>
    <w:p w14:paraId="03BC2520" w14:textId="64BB14B7" w:rsidR="009D1FD6" w:rsidRDefault="00000000">
      <w:pPr>
        <w:pStyle w:val="TOC2"/>
        <w:rPr>
          <w:rFonts w:asciiTheme="minorHAnsi" w:eastAsiaTheme="minorEastAsia" w:hAnsiTheme="minorHAnsi" w:cstheme="minorBidi"/>
          <w:sz w:val="22"/>
          <w:szCs w:val="22"/>
          <w:lang w:eastAsia="en-AU"/>
        </w:rPr>
      </w:pPr>
      <w:hyperlink w:anchor="_Toc75263170" w:history="1">
        <w:r w:rsidR="009D1FD6" w:rsidRPr="00176CC8">
          <w:rPr>
            <w:rStyle w:val="Hyperlink"/>
            <w:bCs/>
          </w:rPr>
          <w:t>Compliance</w:t>
        </w:r>
        <w:r w:rsidR="009D1FD6">
          <w:rPr>
            <w:webHidden/>
          </w:rPr>
          <w:tab/>
        </w:r>
        <w:r w:rsidR="009D1FD6">
          <w:rPr>
            <w:webHidden/>
          </w:rPr>
          <w:fldChar w:fldCharType="begin"/>
        </w:r>
        <w:r w:rsidR="009D1FD6">
          <w:rPr>
            <w:webHidden/>
          </w:rPr>
          <w:instrText xml:space="preserve"> PAGEREF _Toc75263170 \h </w:instrText>
        </w:r>
        <w:r w:rsidR="009D1FD6">
          <w:rPr>
            <w:webHidden/>
          </w:rPr>
        </w:r>
        <w:r w:rsidR="009D1FD6">
          <w:rPr>
            <w:webHidden/>
          </w:rPr>
          <w:fldChar w:fldCharType="separate"/>
        </w:r>
        <w:r w:rsidR="009D1FD6">
          <w:rPr>
            <w:webHidden/>
          </w:rPr>
          <w:t>12</w:t>
        </w:r>
        <w:r w:rsidR="009D1FD6">
          <w:rPr>
            <w:webHidden/>
          </w:rPr>
          <w:fldChar w:fldCharType="end"/>
        </w:r>
      </w:hyperlink>
    </w:p>
    <w:p w14:paraId="63E8F38C" w14:textId="421D4C05" w:rsidR="009D1FD6" w:rsidRDefault="00000000">
      <w:pPr>
        <w:pStyle w:val="TOC2"/>
        <w:rPr>
          <w:rFonts w:asciiTheme="minorHAnsi" w:eastAsiaTheme="minorEastAsia" w:hAnsiTheme="minorHAnsi" w:cstheme="minorBidi"/>
          <w:sz w:val="22"/>
          <w:szCs w:val="22"/>
          <w:lang w:eastAsia="en-AU"/>
        </w:rPr>
      </w:pPr>
      <w:hyperlink w:anchor="_Toc75263171" w:history="1">
        <w:r w:rsidR="009D1FD6" w:rsidRPr="00176CC8">
          <w:rPr>
            <w:rStyle w:val="Hyperlink"/>
          </w:rPr>
          <w:t>Allied health discipline</w:t>
        </w:r>
        <w:r w:rsidR="009D1FD6">
          <w:rPr>
            <w:webHidden/>
          </w:rPr>
          <w:tab/>
        </w:r>
        <w:r w:rsidR="009D1FD6">
          <w:rPr>
            <w:webHidden/>
          </w:rPr>
          <w:fldChar w:fldCharType="begin"/>
        </w:r>
        <w:r w:rsidR="009D1FD6">
          <w:rPr>
            <w:webHidden/>
          </w:rPr>
          <w:instrText xml:space="preserve"> PAGEREF _Toc75263171 \h </w:instrText>
        </w:r>
        <w:r w:rsidR="009D1FD6">
          <w:rPr>
            <w:webHidden/>
          </w:rPr>
        </w:r>
        <w:r w:rsidR="009D1FD6">
          <w:rPr>
            <w:webHidden/>
          </w:rPr>
          <w:fldChar w:fldCharType="separate"/>
        </w:r>
        <w:r w:rsidR="009D1FD6">
          <w:rPr>
            <w:webHidden/>
          </w:rPr>
          <w:t>13</w:t>
        </w:r>
        <w:r w:rsidR="009D1FD6">
          <w:rPr>
            <w:webHidden/>
          </w:rPr>
          <w:fldChar w:fldCharType="end"/>
        </w:r>
      </w:hyperlink>
    </w:p>
    <w:p w14:paraId="7AD4212A" w14:textId="3D97D634" w:rsidR="009D1FD6" w:rsidRDefault="00000000">
      <w:pPr>
        <w:pStyle w:val="TOC2"/>
        <w:rPr>
          <w:rFonts w:asciiTheme="minorHAnsi" w:eastAsiaTheme="minorEastAsia" w:hAnsiTheme="minorHAnsi" w:cstheme="minorBidi"/>
          <w:sz w:val="22"/>
          <w:szCs w:val="22"/>
          <w:lang w:eastAsia="en-AU"/>
        </w:rPr>
      </w:pPr>
      <w:hyperlink w:anchor="_Toc75263172" w:history="1">
        <w:r w:rsidR="009D1FD6" w:rsidRPr="00176CC8">
          <w:rPr>
            <w:rStyle w:val="Hyperlink"/>
          </w:rPr>
          <w:t>Arrangements to support education and training</w:t>
        </w:r>
        <w:r w:rsidR="009D1FD6">
          <w:rPr>
            <w:webHidden/>
          </w:rPr>
          <w:tab/>
        </w:r>
        <w:r w:rsidR="009D1FD6">
          <w:rPr>
            <w:webHidden/>
          </w:rPr>
          <w:fldChar w:fldCharType="begin"/>
        </w:r>
        <w:r w:rsidR="009D1FD6">
          <w:rPr>
            <w:webHidden/>
          </w:rPr>
          <w:instrText xml:space="preserve"> PAGEREF _Toc75263172 \h </w:instrText>
        </w:r>
        <w:r w:rsidR="009D1FD6">
          <w:rPr>
            <w:webHidden/>
          </w:rPr>
        </w:r>
        <w:r w:rsidR="009D1FD6">
          <w:rPr>
            <w:webHidden/>
          </w:rPr>
          <w:fldChar w:fldCharType="separate"/>
        </w:r>
        <w:r w:rsidR="009D1FD6">
          <w:rPr>
            <w:webHidden/>
          </w:rPr>
          <w:t>14</w:t>
        </w:r>
        <w:r w:rsidR="009D1FD6">
          <w:rPr>
            <w:webHidden/>
          </w:rPr>
          <w:fldChar w:fldCharType="end"/>
        </w:r>
      </w:hyperlink>
    </w:p>
    <w:p w14:paraId="37094A42" w14:textId="7DCB295D" w:rsidR="009D1FD6" w:rsidRDefault="00000000">
      <w:pPr>
        <w:pStyle w:val="TOC2"/>
        <w:rPr>
          <w:rFonts w:asciiTheme="minorHAnsi" w:eastAsiaTheme="minorEastAsia" w:hAnsiTheme="minorHAnsi" w:cstheme="minorBidi"/>
          <w:sz w:val="22"/>
          <w:szCs w:val="22"/>
          <w:lang w:eastAsia="en-AU"/>
        </w:rPr>
      </w:pPr>
      <w:hyperlink w:anchor="_Toc75263173" w:history="1">
        <w:r w:rsidR="009D1FD6" w:rsidRPr="00176CC8">
          <w:rPr>
            <w:rStyle w:val="Hyperlink"/>
          </w:rPr>
          <w:t>Arrangements to support research and service delivery</w:t>
        </w:r>
        <w:r w:rsidR="009D1FD6">
          <w:rPr>
            <w:webHidden/>
          </w:rPr>
          <w:tab/>
        </w:r>
        <w:r w:rsidR="009D1FD6">
          <w:rPr>
            <w:webHidden/>
          </w:rPr>
          <w:fldChar w:fldCharType="begin"/>
        </w:r>
        <w:r w:rsidR="009D1FD6">
          <w:rPr>
            <w:webHidden/>
          </w:rPr>
          <w:instrText xml:space="preserve"> PAGEREF _Toc75263173 \h </w:instrText>
        </w:r>
        <w:r w:rsidR="009D1FD6">
          <w:rPr>
            <w:webHidden/>
          </w:rPr>
        </w:r>
        <w:r w:rsidR="009D1FD6">
          <w:rPr>
            <w:webHidden/>
          </w:rPr>
          <w:fldChar w:fldCharType="separate"/>
        </w:r>
        <w:r w:rsidR="009D1FD6">
          <w:rPr>
            <w:webHidden/>
          </w:rPr>
          <w:t>15</w:t>
        </w:r>
        <w:r w:rsidR="009D1FD6">
          <w:rPr>
            <w:webHidden/>
          </w:rPr>
          <w:fldChar w:fldCharType="end"/>
        </w:r>
      </w:hyperlink>
    </w:p>
    <w:p w14:paraId="58AF0CFE" w14:textId="7A72A582" w:rsidR="00FB1F6E" w:rsidRDefault="00AD784C" w:rsidP="00D079AA">
      <w:pPr>
        <w:pStyle w:val="Body"/>
      </w:pPr>
      <w:r>
        <w:fldChar w:fldCharType="end"/>
      </w:r>
    </w:p>
    <w:p w14:paraId="4E926428" w14:textId="77777777" w:rsidR="00FB1F6E" w:rsidRDefault="00FB1F6E">
      <w:pPr>
        <w:spacing w:after="0" w:line="240" w:lineRule="auto"/>
        <w:rPr>
          <w:rFonts w:eastAsia="Times"/>
        </w:rPr>
      </w:pPr>
      <w:r>
        <w:br w:type="page"/>
      </w:r>
    </w:p>
    <w:p w14:paraId="215FE0CD" w14:textId="77777777" w:rsidR="00580394" w:rsidRPr="00B519CD" w:rsidRDefault="00580394" w:rsidP="007173CA">
      <w:pPr>
        <w:pStyle w:val="Body"/>
        <w:sectPr w:rsidR="00580394" w:rsidRPr="00B519CD" w:rsidSect="002C5B7C">
          <w:footerReference w:type="default" r:id="rId16"/>
          <w:pgSz w:w="11906" w:h="16838" w:code="9"/>
          <w:pgMar w:top="1701" w:right="1304" w:bottom="1418" w:left="1304" w:header="680" w:footer="851" w:gutter="0"/>
          <w:cols w:space="340"/>
          <w:docGrid w:linePitch="360"/>
        </w:sectPr>
      </w:pPr>
    </w:p>
    <w:p w14:paraId="763FE379" w14:textId="4D99A9F5" w:rsidR="00EE29AD" w:rsidRPr="008E603A" w:rsidRDefault="00CF62F8" w:rsidP="00562811">
      <w:pPr>
        <w:pStyle w:val="Heading1"/>
        <w:spacing w:before="0"/>
        <w:rPr>
          <w:rFonts w:eastAsia="Times New Roman" w:cs="Times New Roman"/>
          <w:color w:val="FF0066"/>
          <w:kern w:val="0"/>
        </w:rPr>
      </w:pPr>
      <w:bookmarkStart w:id="1" w:name="_Toc75263156"/>
      <w:r w:rsidRPr="008E603A">
        <w:rPr>
          <w:rFonts w:eastAsia="Times New Roman" w:cs="Times New Roman"/>
          <w:color w:val="FF0066"/>
          <w:kern w:val="0"/>
        </w:rPr>
        <w:lastRenderedPageBreak/>
        <w:t>Background and context</w:t>
      </w:r>
      <w:bookmarkEnd w:id="1"/>
    </w:p>
    <w:p w14:paraId="65BBE38C" w14:textId="77777777" w:rsidR="00D80C1C" w:rsidRDefault="00CF62F8" w:rsidP="00CF62F8">
      <w:pPr>
        <w:pStyle w:val="DHHSbody"/>
      </w:pPr>
      <w:r w:rsidRPr="00360AC3">
        <w:t xml:space="preserve">It is widely acknowledged that there are mutual benefits to all stakeholders from clinical placements of students and these are equally valued by education providers, health services and students. </w:t>
      </w:r>
    </w:p>
    <w:p w14:paraId="75022A47" w14:textId="77777777" w:rsidR="00D80C1C" w:rsidRDefault="00CF62F8" w:rsidP="00CF62F8">
      <w:pPr>
        <w:pStyle w:val="DHHSbody"/>
      </w:pPr>
      <w:r w:rsidRPr="00360AC3">
        <w:t xml:space="preserve">Students enrich the clinical </w:t>
      </w:r>
      <w:proofErr w:type="gramStart"/>
      <w:r w:rsidRPr="00360AC3">
        <w:t>environment</w:t>
      </w:r>
      <w:proofErr w:type="gramEnd"/>
      <w:r w:rsidRPr="00360AC3">
        <w:t xml:space="preserve"> and all health professionals have a responsibility to develop the future workforce through participation in clinical education and training activities. </w:t>
      </w:r>
    </w:p>
    <w:p w14:paraId="525AAA73" w14:textId="74156CF7" w:rsidR="00CF62F8" w:rsidRPr="00360AC3" w:rsidRDefault="00CF62F8" w:rsidP="00CF62F8">
      <w:pPr>
        <w:pStyle w:val="DHHSbody"/>
      </w:pPr>
      <w:r w:rsidRPr="00360AC3">
        <w:t xml:space="preserve">Education providers and students benefit from experienced health professionals imparting their knowledge, enabling students to complete their course requirements and be work ready. </w:t>
      </w:r>
    </w:p>
    <w:p w14:paraId="7B49EBD8" w14:textId="4E7C0180" w:rsidR="00CF62F8" w:rsidRPr="00360AC3" w:rsidRDefault="00CF62F8" w:rsidP="00CF62F8">
      <w:pPr>
        <w:pStyle w:val="DHHSbody"/>
      </w:pPr>
      <w:r w:rsidRPr="00360AC3">
        <w:t xml:space="preserve">The Schedule </w:t>
      </w:r>
      <w:r w:rsidR="00D80C1C">
        <w:t xml:space="preserve">continues to build on </w:t>
      </w:r>
      <w:r w:rsidRPr="00360AC3">
        <w:t>outcome</w:t>
      </w:r>
      <w:r w:rsidR="00D80C1C">
        <w:t>s</w:t>
      </w:r>
      <w:r w:rsidRPr="00360AC3">
        <w:t xml:space="preserve"> of </w:t>
      </w:r>
      <w:r w:rsidR="00D80C1C">
        <w:t xml:space="preserve">previous </w:t>
      </w:r>
      <w:r w:rsidRPr="00360AC3">
        <w:t>extensive consultation with Victorian stakeholders. The contribution of all those</w:t>
      </w:r>
      <w:r w:rsidR="00D80C1C">
        <w:t xml:space="preserve"> who were</w:t>
      </w:r>
      <w:r w:rsidRPr="00360AC3">
        <w:t xml:space="preserve"> involved in developing and reviewing the Schedule is acknowledged and valued.</w:t>
      </w:r>
    </w:p>
    <w:p w14:paraId="5DE9B727" w14:textId="77777777" w:rsidR="00CF62F8" w:rsidRPr="00815CEB" w:rsidRDefault="00CF62F8" w:rsidP="00CF62F8">
      <w:pPr>
        <w:pStyle w:val="Heading2"/>
        <w:rPr>
          <w:color w:val="FF0066"/>
          <w:sz w:val="28"/>
        </w:rPr>
      </w:pPr>
      <w:bookmarkStart w:id="2" w:name="_Toc447797541"/>
      <w:bookmarkStart w:id="3" w:name="_Toc11681740"/>
      <w:bookmarkStart w:id="4" w:name="_Toc75263157"/>
      <w:r w:rsidRPr="00815CEB">
        <w:rPr>
          <w:color w:val="FF0066"/>
          <w:sz w:val="28"/>
        </w:rPr>
        <w:t>Aim and Scope</w:t>
      </w:r>
      <w:bookmarkEnd w:id="2"/>
      <w:bookmarkEnd w:id="3"/>
      <w:bookmarkEnd w:id="4"/>
    </w:p>
    <w:p w14:paraId="23B5B8E1" w14:textId="77777777" w:rsidR="00D80C1C" w:rsidRDefault="00CF62F8" w:rsidP="00CF62F8">
      <w:pPr>
        <w:pStyle w:val="Body0"/>
        <w:rPr>
          <w:rFonts w:eastAsia="Times"/>
          <w:color w:val="auto"/>
          <w:szCs w:val="20"/>
          <w:lang w:eastAsia="en-US"/>
        </w:rPr>
      </w:pPr>
      <w:r w:rsidRPr="00360AC3">
        <w:rPr>
          <w:rFonts w:eastAsia="Times"/>
          <w:color w:val="auto"/>
          <w:szCs w:val="20"/>
          <w:lang w:eastAsia="en-US"/>
        </w:rPr>
        <w:t xml:space="preserve">The Schedule provides guidance and direction for public health services and partner education providers in establishing fees by setting maximum chargeable fees for clinical placements. </w:t>
      </w:r>
    </w:p>
    <w:p w14:paraId="6A242C68" w14:textId="06527095" w:rsidR="00CF62F8" w:rsidRPr="00360AC3" w:rsidRDefault="00CF62F8" w:rsidP="00CF62F8">
      <w:pPr>
        <w:pStyle w:val="Body0"/>
        <w:rPr>
          <w:rFonts w:eastAsia="Times"/>
          <w:color w:val="auto"/>
          <w:szCs w:val="20"/>
          <w:lang w:eastAsia="en-US"/>
        </w:rPr>
      </w:pPr>
      <w:r w:rsidRPr="00360AC3">
        <w:rPr>
          <w:rFonts w:eastAsia="Times"/>
          <w:color w:val="auto"/>
          <w:szCs w:val="20"/>
          <w:lang w:eastAsia="en-US"/>
        </w:rPr>
        <w:t>The Schedule is intended to:</w:t>
      </w:r>
    </w:p>
    <w:p w14:paraId="08C87870" w14:textId="5E612CB6" w:rsidR="00CF62F8" w:rsidRPr="00360AC3" w:rsidRDefault="00D80C1C" w:rsidP="00CF62F8">
      <w:pPr>
        <w:pStyle w:val="DHHSbullet1"/>
        <w:numPr>
          <w:ilvl w:val="0"/>
          <w:numId w:val="7"/>
        </w:numPr>
      </w:pPr>
      <w:r>
        <w:t>i</w:t>
      </w:r>
      <w:r w:rsidR="00CF62F8" w:rsidRPr="00360AC3">
        <w:t xml:space="preserve">ncrease the transparency of fee </w:t>
      </w:r>
      <w:proofErr w:type="gramStart"/>
      <w:r w:rsidR="00CF62F8" w:rsidRPr="00360AC3">
        <w:t>charges;</w:t>
      </w:r>
      <w:proofErr w:type="gramEnd"/>
    </w:p>
    <w:p w14:paraId="0DC10E52" w14:textId="1E1CDE84" w:rsidR="00CF62F8" w:rsidRPr="00360AC3" w:rsidRDefault="00D80C1C" w:rsidP="00CF62F8">
      <w:pPr>
        <w:pStyle w:val="DHHSbullet1"/>
        <w:numPr>
          <w:ilvl w:val="0"/>
          <w:numId w:val="7"/>
        </w:numPr>
      </w:pPr>
      <w:r>
        <w:t>p</w:t>
      </w:r>
      <w:r w:rsidR="00CF62F8" w:rsidRPr="00360AC3">
        <w:t>romote positive and constructive partnerships with clear accountabilities and responsibilities; and</w:t>
      </w:r>
    </w:p>
    <w:p w14:paraId="424F2B04" w14:textId="61A7A902" w:rsidR="00CF62F8" w:rsidRPr="00360AC3" w:rsidRDefault="00D80C1C" w:rsidP="00CF62F8">
      <w:pPr>
        <w:pStyle w:val="DHHSbullet1"/>
        <w:numPr>
          <w:ilvl w:val="0"/>
          <w:numId w:val="7"/>
        </w:numPr>
      </w:pPr>
      <w:r>
        <w:t>e</w:t>
      </w:r>
      <w:r w:rsidR="00CF62F8" w:rsidRPr="00360AC3">
        <w:t>nsure the sustainability of the Victorian clinical placement system by establishing maximum chargeable fees.</w:t>
      </w:r>
    </w:p>
    <w:p w14:paraId="72322060" w14:textId="77777777" w:rsidR="00CF62F8" w:rsidRPr="00360AC3" w:rsidRDefault="00CF62F8" w:rsidP="00CF62F8">
      <w:pPr>
        <w:pStyle w:val="DHHSbody"/>
      </w:pPr>
      <w:r w:rsidRPr="00360AC3">
        <w:t>The Schedule does not replace the requirement for negotiation and documentation of agreed terms and conditions for clinical placements through a student placement agreement.</w:t>
      </w:r>
    </w:p>
    <w:p w14:paraId="0811009C" w14:textId="77777777" w:rsidR="00CF62F8" w:rsidRPr="00815CEB" w:rsidRDefault="00CF62F8" w:rsidP="00CF62F8">
      <w:pPr>
        <w:pStyle w:val="Heading2"/>
        <w:rPr>
          <w:color w:val="FF0066"/>
          <w:sz w:val="28"/>
        </w:rPr>
      </w:pPr>
      <w:bookmarkStart w:id="5" w:name="_Toc447797542"/>
      <w:bookmarkStart w:id="6" w:name="_Toc11681741"/>
      <w:bookmarkStart w:id="7" w:name="_Toc75263158"/>
      <w:r w:rsidRPr="00815CEB">
        <w:rPr>
          <w:color w:val="FF0066"/>
          <w:sz w:val="28"/>
        </w:rPr>
        <w:t>Principles and values</w:t>
      </w:r>
      <w:bookmarkEnd w:id="5"/>
      <w:bookmarkEnd w:id="6"/>
      <w:bookmarkEnd w:id="7"/>
    </w:p>
    <w:p w14:paraId="0F510C5C" w14:textId="77777777" w:rsidR="00CF62F8" w:rsidRPr="00360AC3" w:rsidRDefault="00CF62F8" w:rsidP="00CF62F8">
      <w:pPr>
        <w:pStyle w:val="DHHSbody"/>
      </w:pPr>
      <w:r w:rsidRPr="00360AC3">
        <w:t xml:space="preserve">The Schedule is underpinned by the following principles and values. </w:t>
      </w:r>
    </w:p>
    <w:p w14:paraId="3353D4ED" w14:textId="77777777" w:rsidR="00CF62F8" w:rsidRPr="00360AC3" w:rsidRDefault="00CF62F8" w:rsidP="00CF62F8">
      <w:pPr>
        <w:pStyle w:val="DHHSbullet1"/>
        <w:numPr>
          <w:ilvl w:val="0"/>
          <w:numId w:val="7"/>
        </w:numPr>
      </w:pPr>
      <w:r w:rsidRPr="00360AC3">
        <w:t xml:space="preserve">Clinical placements are valuable to all stakeholders, government, education providers and health services. Fees contribute to the cost associated with clinical placements. This tripartite contribution is a long-standing, legitimate and </w:t>
      </w:r>
      <w:proofErr w:type="gramStart"/>
      <w:r w:rsidRPr="00360AC3">
        <w:t>widely-accepted</w:t>
      </w:r>
      <w:proofErr w:type="gramEnd"/>
      <w:r w:rsidRPr="00360AC3">
        <w:t xml:space="preserve"> principle in Victoria.</w:t>
      </w:r>
    </w:p>
    <w:p w14:paraId="321C6815" w14:textId="77777777" w:rsidR="00CF62F8" w:rsidRPr="00360AC3" w:rsidRDefault="00CF62F8" w:rsidP="00CF62F8">
      <w:pPr>
        <w:pStyle w:val="DHHSbullet1"/>
        <w:numPr>
          <w:ilvl w:val="0"/>
          <w:numId w:val="7"/>
        </w:numPr>
      </w:pPr>
      <w:r w:rsidRPr="00360AC3">
        <w:t>Clinical placements are a common good, and they need to be accessed with minimum encumbrance and utilised effectively. Financial and operational expenses from clinical placements are incurred by both health and education stakeholders, and stakeholders should work collaboratively and cooperatively – as well as bilaterally and multilaterally – on sustainable arrangements for clinical placements.</w:t>
      </w:r>
    </w:p>
    <w:p w14:paraId="06D1BB42" w14:textId="77777777" w:rsidR="00CF62F8" w:rsidRPr="00360AC3" w:rsidRDefault="00CF62F8" w:rsidP="00CF62F8">
      <w:pPr>
        <w:pStyle w:val="DHHSbullet1"/>
        <w:numPr>
          <w:ilvl w:val="0"/>
          <w:numId w:val="7"/>
        </w:numPr>
      </w:pPr>
      <w:r w:rsidRPr="00360AC3">
        <w:t xml:space="preserve">Clinical placement numbers, hours and supervision models will be employed to deliver the most cost-effective method of providing students with the skills and attributes required to meet the needs of the qualification and the sector. </w:t>
      </w:r>
    </w:p>
    <w:p w14:paraId="37098D59" w14:textId="77777777" w:rsidR="00CF62F8" w:rsidRPr="00360AC3" w:rsidRDefault="00CF62F8" w:rsidP="00CF62F8">
      <w:pPr>
        <w:pStyle w:val="DHHSbullet1"/>
        <w:numPr>
          <w:ilvl w:val="0"/>
          <w:numId w:val="7"/>
        </w:numPr>
      </w:pPr>
      <w:r w:rsidRPr="00360AC3">
        <w:t xml:space="preserve">Fees are a contribution to the cost of activities associated with clinical education and training; they are not intended for full cost recovery. A standardised schedule of fees is consistent with the principles of fairness, equity, </w:t>
      </w:r>
      <w:proofErr w:type="gramStart"/>
      <w:r w:rsidRPr="00360AC3">
        <w:t>transparency</w:t>
      </w:r>
      <w:proofErr w:type="gramEnd"/>
      <w:r w:rsidRPr="00360AC3">
        <w:t xml:space="preserve"> and consistency. </w:t>
      </w:r>
    </w:p>
    <w:p w14:paraId="048055EB" w14:textId="77777777" w:rsidR="00CF62F8" w:rsidRPr="00360AC3" w:rsidRDefault="00CF62F8" w:rsidP="00CF62F8">
      <w:pPr>
        <w:pStyle w:val="DHHSbullet1"/>
        <w:numPr>
          <w:ilvl w:val="0"/>
          <w:numId w:val="7"/>
        </w:numPr>
      </w:pPr>
      <w:r w:rsidRPr="00360AC3">
        <w:t>The broad disciplines of medicine, nursing and midwifery, and allied health are unique because of a range of differences, including historical arrangements, funding approaches/sources, custom and practice, and professional culture and values. These contextual factors are realised in variations in fee arrangements and supervision models/requirements and, therefore, impact on both the expectations and level of cost-sharing for clinical placements.</w:t>
      </w:r>
    </w:p>
    <w:p w14:paraId="4A6CCFE5" w14:textId="77777777" w:rsidR="00CF62F8" w:rsidRPr="00360AC3" w:rsidRDefault="00CF62F8" w:rsidP="00CF62F8">
      <w:pPr>
        <w:pStyle w:val="DHHSbullet1"/>
        <w:numPr>
          <w:ilvl w:val="0"/>
          <w:numId w:val="7"/>
        </w:numPr>
      </w:pPr>
      <w:r w:rsidRPr="00360AC3">
        <w:lastRenderedPageBreak/>
        <w:t>The Schedule reflects the maximum fee that could be charged. Effective communication, negotiation and documentation of agreed terms and conditions between health service and education provider partners are necessary elements for an effective relationship. Where existing charging is below the maximum fee, and this has been an effective working arrangement, it is expected and strongly encouraged that existing fee arrangements are preserved.</w:t>
      </w:r>
    </w:p>
    <w:p w14:paraId="4B704E85" w14:textId="6E4C4777" w:rsidR="00CF62F8" w:rsidRPr="00360AC3" w:rsidRDefault="00CF62F8" w:rsidP="00CF62F8">
      <w:pPr>
        <w:pStyle w:val="DHHSbullet1"/>
        <w:numPr>
          <w:ilvl w:val="0"/>
          <w:numId w:val="7"/>
        </w:numPr>
      </w:pPr>
      <w:r w:rsidRPr="00360AC3">
        <w:t xml:space="preserve">It is acknowledged that in-kind contributions for clinical placements are made by both health and education stakeholders and that these valuable contributions are of mutual benefit. Such contributions may be factored in the setting of fees. In-kind contributions are to be determined (by agreement) and on terms satisfactory to both partners. A list of example in-kind arrangements is provided at </w:t>
      </w:r>
      <w:hyperlink w:anchor="_Arrangements_to_support" w:history="1">
        <w:r w:rsidRPr="008E603A">
          <w:rPr>
            <w:rStyle w:val="Hyperlink"/>
            <w:color w:val="0070C0"/>
          </w:rPr>
          <w:t>Appendix</w:t>
        </w:r>
        <w:r w:rsidR="00D80C1C">
          <w:rPr>
            <w:rStyle w:val="Hyperlink"/>
            <w:color w:val="0070C0"/>
          </w:rPr>
          <w:t> </w:t>
        </w:r>
        <w:r w:rsidRPr="008E603A">
          <w:rPr>
            <w:rStyle w:val="Hyperlink"/>
            <w:color w:val="0070C0"/>
          </w:rPr>
          <w:t>2</w:t>
        </w:r>
        <w:r w:rsidRPr="00360AC3">
          <w:rPr>
            <w:rStyle w:val="Hyperlink"/>
            <w:color w:val="auto"/>
          </w:rPr>
          <w:t>.</w:t>
        </w:r>
      </w:hyperlink>
      <w:r w:rsidRPr="00360AC3">
        <w:t xml:space="preserve"> </w:t>
      </w:r>
    </w:p>
    <w:p w14:paraId="2E81255A" w14:textId="77777777" w:rsidR="00CF62F8" w:rsidRPr="00815CEB" w:rsidRDefault="00CF62F8" w:rsidP="00CF62F8">
      <w:pPr>
        <w:pStyle w:val="Heading2"/>
        <w:rPr>
          <w:color w:val="FF0066"/>
          <w:sz w:val="28"/>
        </w:rPr>
      </w:pPr>
      <w:bookmarkStart w:id="8" w:name="_Toc447797543"/>
      <w:bookmarkStart w:id="9" w:name="_Toc11681742"/>
      <w:bookmarkStart w:id="10" w:name="_Toc75263159"/>
      <w:r w:rsidRPr="00815CEB">
        <w:rPr>
          <w:color w:val="FF0066"/>
          <w:sz w:val="28"/>
        </w:rPr>
        <w:t>Applicability</w:t>
      </w:r>
      <w:bookmarkEnd w:id="8"/>
      <w:bookmarkEnd w:id="9"/>
      <w:bookmarkEnd w:id="10"/>
    </w:p>
    <w:p w14:paraId="2B82A9CA" w14:textId="77777777" w:rsidR="00CF62F8" w:rsidRPr="00360AC3" w:rsidRDefault="00CF62F8" w:rsidP="00CF62F8">
      <w:pPr>
        <w:pStyle w:val="DHHSbullet1"/>
        <w:numPr>
          <w:ilvl w:val="0"/>
          <w:numId w:val="7"/>
        </w:numPr>
      </w:pPr>
      <w:r w:rsidRPr="00360AC3">
        <w:t>The Schedule applies to professional-entry students on clinical placement within Victorian public health services in the following disciplines.</w:t>
      </w:r>
    </w:p>
    <w:p w14:paraId="4EB877C8" w14:textId="2ABD0952" w:rsidR="00CF62F8" w:rsidRPr="00360AC3" w:rsidRDefault="00CF62F8" w:rsidP="00CF62F8">
      <w:pPr>
        <w:pStyle w:val="DHHSbullet2"/>
        <w:numPr>
          <w:ilvl w:val="2"/>
          <w:numId w:val="7"/>
        </w:numPr>
        <w:ind w:left="567" w:hanging="283"/>
      </w:pPr>
      <w:r w:rsidRPr="00360AC3">
        <w:t>Medicine</w:t>
      </w:r>
      <w:r w:rsidR="00511569">
        <w:t>,</w:t>
      </w:r>
    </w:p>
    <w:p w14:paraId="15D825DA" w14:textId="7E8A93B5" w:rsidR="00CF62F8" w:rsidRPr="00360AC3" w:rsidRDefault="00CF62F8" w:rsidP="00CF62F8">
      <w:pPr>
        <w:pStyle w:val="DHHSbullet2"/>
        <w:numPr>
          <w:ilvl w:val="2"/>
          <w:numId w:val="7"/>
        </w:numPr>
        <w:ind w:left="567" w:hanging="283"/>
      </w:pPr>
      <w:r w:rsidRPr="00360AC3">
        <w:t>Nursing, including registered nursing and enrolled nursing and Initial Registration for Overseas Nurses (IRON)</w:t>
      </w:r>
      <w:r w:rsidR="00511569">
        <w:t>,</w:t>
      </w:r>
    </w:p>
    <w:p w14:paraId="193DC0B1" w14:textId="77777777" w:rsidR="00511569" w:rsidRDefault="00CF62F8" w:rsidP="00CF62F8">
      <w:pPr>
        <w:pStyle w:val="DHHSbullet2"/>
        <w:numPr>
          <w:ilvl w:val="2"/>
          <w:numId w:val="7"/>
        </w:numPr>
        <w:ind w:left="567" w:hanging="283"/>
      </w:pPr>
      <w:r w:rsidRPr="00360AC3">
        <w:t>Midwifery</w:t>
      </w:r>
      <w:r w:rsidR="00511569">
        <w:t>,</w:t>
      </w:r>
    </w:p>
    <w:p w14:paraId="2030C8C8" w14:textId="41C51322" w:rsidR="00CF62F8" w:rsidRPr="00360AC3" w:rsidRDefault="00511569" w:rsidP="00CF62F8">
      <w:pPr>
        <w:pStyle w:val="DHHSbullet2"/>
        <w:numPr>
          <w:ilvl w:val="2"/>
          <w:numId w:val="7"/>
        </w:numPr>
        <w:ind w:left="567" w:hanging="283"/>
      </w:pPr>
      <w:r>
        <w:t>Paramedic;</w:t>
      </w:r>
      <w:r w:rsidR="00CF62F8" w:rsidRPr="00360AC3">
        <w:t xml:space="preserve"> and</w:t>
      </w:r>
    </w:p>
    <w:p w14:paraId="0A93570F" w14:textId="281D4AF2" w:rsidR="00CF62F8" w:rsidRPr="00360AC3" w:rsidRDefault="00CF62F8" w:rsidP="00CF62F8">
      <w:pPr>
        <w:pStyle w:val="DHHSbullet2"/>
        <w:numPr>
          <w:ilvl w:val="2"/>
          <w:numId w:val="7"/>
        </w:numPr>
        <w:ind w:left="567" w:hanging="283"/>
      </w:pPr>
      <w:r w:rsidRPr="00360AC3">
        <w:t xml:space="preserve">Allied health (as outlined in </w:t>
      </w:r>
      <w:hyperlink w:anchor="_Table_1:_Maximum" w:history="1">
        <w:r w:rsidRPr="008E603A">
          <w:rPr>
            <w:rStyle w:val="Hyperlink"/>
            <w:color w:val="0070C0"/>
          </w:rPr>
          <w:t>Table 1</w:t>
        </w:r>
      </w:hyperlink>
      <w:r w:rsidRPr="00360AC3">
        <w:t xml:space="preserve"> and </w:t>
      </w:r>
      <w:hyperlink w:anchor="_Allied_health_discipline" w:history="1">
        <w:r w:rsidRPr="008E603A">
          <w:rPr>
            <w:rStyle w:val="Hyperlink"/>
            <w:color w:val="0070C0"/>
          </w:rPr>
          <w:t>Appendix 1</w:t>
        </w:r>
      </w:hyperlink>
      <w:r w:rsidRPr="00360AC3">
        <w:t>)</w:t>
      </w:r>
      <w:r w:rsidR="00C054CD">
        <w:t>.</w:t>
      </w:r>
    </w:p>
    <w:p w14:paraId="517F88FB" w14:textId="77777777" w:rsidR="00CF62F8" w:rsidRPr="00360AC3" w:rsidRDefault="00CF62F8" w:rsidP="00CF62F8">
      <w:pPr>
        <w:pStyle w:val="DHHSbullet1"/>
        <w:numPr>
          <w:ilvl w:val="0"/>
          <w:numId w:val="7"/>
        </w:numPr>
      </w:pPr>
      <w:r w:rsidRPr="00360AC3">
        <w:t>The Schedule applies to all professional-entry students enrolled in the above-listed disciplines, including those who are:</w:t>
      </w:r>
    </w:p>
    <w:p w14:paraId="24B6D74F" w14:textId="77777777" w:rsidR="00CF62F8" w:rsidRPr="00360AC3" w:rsidRDefault="00CF62F8" w:rsidP="00CF62F8">
      <w:pPr>
        <w:pStyle w:val="DHHSbullet2"/>
        <w:numPr>
          <w:ilvl w:val="2"/>
          <w:numId w:val="7"/>
        </w:numPr>
        <w:ind w:left="567" w:hanging="283"/>
      </w:pPr>
      <w:r w:rsidRPr="00360AC3">
        <w:t xml:space="preserve">Victorian-resident or </w:t>
      </w:r>
      <w:proofErr w:type="gramStart"/>
      <w:r w:rsidRPr="00360AC3">
        <w:t>non-resident;</w:t>
      </w:r>
      <w:proofErr w:type="gramEnd"/>
    </w:p>
    <w:p w14:paraId="156EA82D" w14:textId="77777777" w:rsidR="00CF62F8" w:rsidRPr="00360AC3" w:rsidRDefault="00CF62F8" w:rsidP="00CF62F8">
      <w:pPr>
        <w:pStyle w:val="DHHSbullet2"/>
        <w:numPr>
          <w:ilvl w:val="2"/>
          <w:numId w:val="7"/>
        </w:numPr>
        <w:ind w:left="567" w:hanging="283"/>
      </w:pPr>
      <w:r w:rsidRPr="00360AC3">
        <w:t>Full-fee paying or government-supported; and</w:t>
      </w:r>
    </w:p>
    <w:p w14:paraId="51367BD9" w14:textId="77777777" w:rsidR="00CF62F8" w:rsidRPr="00360AC3" w:rsidRDefault="00CF62F8" w:rsidP="00CF62F8">
      <w:pPr>
        <w:pStyle w:val="DHHSbullet2"/>
        <w:numPr>
          <w:ilvl w:val="2"/>
          <w:numId w:val="7"/>
        </w:numPr>
        <w:ind w:left="567" w:hanging="283"/>
      </w:pPr>
      <w:r w:rsidRPr="00360AC3">
        <w:t>Domestic or international.</w:t>
      </w:r>
    </w:p>
    <w:p w14:paraId="323A01D5" w14:textId="77777777" w:rsidR="00CF62F8" w:rsidRPr="00360AC3" w:rsidRDefault="00CF62F8" w:rsidP="00CF62F8">
      <w:pPr>
        <w:pStyle w:val="DHHSbullet1"/>
        <w:numPr>
          <w:ilvl w:val="0"/>
          <w:numId w:val="7"/>
        </w:numPr>
      </w:pPr>
      <w:r w:rsidRPr="00360AC3">
        <w:t>The Schedule applies to all education providers placing students in Victorian public health services, including:</w:t>
      </w:r>
    </w:p>
    <w:p w14:paraId="76652596" w14:textId="77777777" w:rsidR="00CF62F8" w:rsidRPr="00360AC3" w:rsidRDefault="00CF62F8" w:rsidP="00CF62F8">
      <w:pPr>
        <w:pStyle w:val="DHHSbullet2"/>
        <w:numPr>
          <w:ilvl w:val="2"/>
          <w:numId w:val="7"/>
        </w:numPr>
        <w:ind w:left="567" w:hanging="283"/>
      </w:pPr>
      <w:r w:rsidRPr="00360AC3">
        <w:t xml:space="preserve">Public or non-public education </w:t>
      </w:r>
      <w:proofErr w:type="gramStart"/>
      <w:r w:rsidRPr="00360AC3">
        <w:t>providers;</w:t>
      </w:r>
      <w:proofErr w:type="gramEnd"/>
    </w:p>
    <w:p w14:paraId="215FEA33" w14:textId="77777777" w:rsidR="00CF62F8" w:rsidRPr="00360AC3" w:rsidRDefault="00CF62F8" w:rsidP="00CF62F8">
      <w:pPr>
        <w:pStyle w:val="DHHSbullet2"/>
        <w:numPr>
          <w:ilvl w:val="2"/>
          <w:numId w:val="7"/>
        </w:numPr>
        <w:ind w:left="567" w:hanging="283"/>
      </w:pPr>
      <w:r w:rsidRPr="00360AC3">
        <w:t>Australian education providers (Victorian or interstate); and</w:t>
      </w:r>
    </w:p>
    <w:p w14:paraId="77A85FFF" w14:textId="77777777" w:rsidR="00CF62F8" w:rsidRPr="00360AC3" w:rsidRDefault="00CF62F8" w:rsidP="00CF62F8">
      <w:pPr>
        <w:pStyle w:val="DHHSbullet2"/>
        <w:numPr>
          <w:ilvl w:val="2"/>
          <w:numId w:val="7"/>
        </w:numPr>
        <w:ind w:left="567" w:hanging="283"/>
      </w:pPr>
      <w:r w:rsidRPr="00360AC3">
        <w:t>Universities (including dual-sector universities), non-university higher education providers, or vocational education and training (VET) providers (including registered training organisations [RTOs] and TAFEs).</w:t>
      </w:r>
    </w:p>
    <w:p w14:paraId="11779FB1" w14:textId="77777777" w:rsidR="00CF62F8" w:rsidRPr="00360AC3" w:rsidRDefault="00CF62F8" w:rsidP="00CF62F8">
      <w:pPr>
        <w:pStyle w:val="DHHSbullet1"/>
        <w:numPr>
          <w:ilvl w:val="0"/>
          <w:numId w:val="7"/>
        </w:numPr>
      </w:pPr>
      <w:r w:rsidRPr="00360AC3">
        <w:t>The Schedule does not apply to:</w:t>
      </w:r>
    </w:p>
    <w:p w14:paraId="35360C10" w14:textId="77777777" w:rsidR="00CF62F8" w:rsidRPr="00360AC3" w:rsidRDefault="00CF62F8" w:rsidP="00CF62F8">
      <w:pPr>
        <w:pStyle w:val="DHHSbullet2"/>
        <w:numPr>
          <w:ilvl w:val="2"/>
          <w:numId w:val="7"/>
        </w:numPr>
        <w:ind w:left="567" w:hanging="283"/>
      </w:pPr>
      <w:r w:rsidRPr="00360AC3">
        <w:t xml:space="preserve">Clinical placement providers who are not Victorian public health services; </w:t>
      </w:r>
      <w:proofErr w:type="gramStart"/>
      <w:r w:rsidRPr="00360AC3">
        <w:t>however</w:t>
      </w:r>
      <w:proofErr w:type="gramEnd"/>
      <w:r w:rsidRPr="00360AC3">
        <w:t xml:space="preserve"> these organisations are open to use the Schedule as a guide.</w:t>
      </w:r>
    </w:p>
    <w:p w14:paraId="75799594" w14:textId="77777777" w:rsidR="00CF62F8" w:rsidRPr="00360AC3" w:rsidRDefault="00CF62F8" w:rsidP="00CF62F8">
      <w:pPr>
        <w:pStyle w:val="DHHSbullet2"/>
        <w:numPr>
          <w:ilvl w:val="2"/>
          <w:numId w:val="7"/>
        </w:numPr>
        <w:ind w:left="567" w:hanging="283"/>
      </w:pPr>
      <w:r w:rsidRPr="00360AC3">
        <w:t>Internships or graduate programs that are undertaken once the student has graduated from a professional-entry course.</w:t>
      </w:r>
    </w:p>
    <w:p w14:paraId="546C51D0" w14:textId="77777777" w:rsidR="00CF62F8" w:rsidRPr="00360AC3" w:rsidRDefault="00CF62F8" w:rsidP="00CF62F8">
      <w:pPr>
        <w:pStyle w:val="DHHSbullet2"/>
        <w:numPr>
          <w:ilvl w:val="2"/>
          <w:numId w:val="7"/>
        </w:numPr>
        <w:ind w:left="567" w:hanging="283"/>
      </w:pPr>
      <w:r w:rsidRPr="00360AC3">
        <w:t xml:space="preserve">Academic teaching through lectures and/or tutorials delivered by health service staff nor the supervision of student-led projects onsite at health services as these activities do not fit within the definition of a clinical placement (see </w:t>
      </w:r>
      <w:hyperlink w:anchor="_Definitions" w:history="1">
        <w:r w:rsidRPr="008E603A">
          <w:rPr>
            <w:rStyle w:val="Hyperlink"/>
            <w:color w:val="0070C0"/>
          </w:rPr>
          <w:t>Definitions</w:t>
        </w:r>
      </w:hyperlink>
      <w:r w:rsidRPr="00360AC3">
        <w:t xml:space="preserve"> section below).</w:t>
      </w:r>
    </w:p>
    <w:p w14:paraId="5A8B8CED" w14:textId="77777777" w:rsidR="00CF62F8" w:rsidRPr="00360AC3" w:rsidRDefault="00CF62F8" w:rsidP="00CF62F8">
      <w:pPr>
        <w:rPr>
          <w:b/>
          <w:sz w:val="28"/>
          <w:szCs w:val="28"/>
        </w:rPr>
      </w:pPr>
      <w:bookmarkStart w:id="11" w:name="_Definitions"/>
      <w:bookmarkStart w:id="12" w:name="_Toc447797544"/>
      <w:bookmarkEnd w:id="11"/>
    </w:p>
    <w:p w14:paraId="36AA3D4F" w14:textId="77777777" w:rsidR="00CF62F8" w:rsidRPr="00815CEB" w:rsidRDefault="00CF62F8" w:rsidP="00CF62F8">
      <w:pPr>
        <w:pStyle w:val="Heading2"/>
        <w:rPr>
          <w:color w:val="auto"/>
          <w:sz w:val="28"/>
        </w:rPr>
      </w:pPr>
      <w:r w:rsidRPr="00360AC3">
        <w:rPr>
          <w:color w:val="auto"/>
        </w:rPr>
        <w:br w:type="page"/>
      </w:r>
      <w:bookmarkStart w:id="13" w:name="_Toc11681743"/>
      <w:bookmarkStart w:id="14" w:name="_Toc75263160"/>
      <w:r w:rsidRPr="00815CEB">
        <w:rPr>
          <w:color w:val="FF0066"/>
          <w:sz w:val="28"/>
        </w:rPr>
        <w:lastRenderedPageBreak/>
        <w:t>Definitions</w:t>
      </w:r>
      <w:bookmarkEnd w:id="12"/>
      <w:bookmarkEnd w:id="13"/>
      <w:bookmarkEnd w:id="14"/>
    </w:p>
    <w:p w14:paraId="3BFED80A" w14:textId="77777777" w:rsidR="00CF62F8" w:rsidRPr="00815CEB" w:rsidRDefault="00CF62F8" w:rsidP="00CF62F8">
      <w:pPr>
        <w:pStyle w:val="Heading3"/>
        <w:rPr>
          <w:b/>
          <w:bCs w:val="0"/>
          <w:color w:val="auto"/>
          <w:sz w:val="28"/>
          <w:szCs w:val="28"/>
        </w:rPr>
      </w:pPr>
      <w:r w:rsidRPr="00815CEB">
        <w:rPr>
          <w:b/>
          <w:bCs w:val="0"/>
          <w:color w:val="auto"/>
          <w:sz w:val="28"/>
          <w:szCs w:val="28"/>
        </w:rPr>
        <w:t>Clinical placement</w:t>
      </w:r>
    </w:p>
    <w:p w14:paraId="3AB2D764" w14:textId="77777777" w:rsidR="00CF62F8" w:rsidRPr="00815CEB" w:rsidRDefault="00CF62F8" w:rsidP="00CF62F8">
      <w:pPr>
        <w:pStyle w:val="DHHSbullet1"/>
        <w:numPr>
          <w:ilvl w:val="0"/>
          <w:numId w:val="7"/>
        </w:numPr>
      </w:pPr>
      <w:r w:rsidRPr="00815CEB">
        <w:t>A clinical placement (also referred to variously as ‘student placement’, ‘fieldwork placement’, ‘clinical practicum’, ‘practical placement’ or ‘clinical practice’) is defined as the component of an accredited curriculum conducted under supervision in a clinical environment that assists students to put theoretical knowledge into practice.</w:t>
      </w:r>
    </w:p>
    <w:p w14:paraId="79FDF669" w14:textId="77777777" w:rsidR="00CF62F8" w:rsidRPr="00815CEB" w:rsidRDefault="00CF62F8" w:rsidP="00CF62F8">
      <w:pPr>
        <w:pStyle w:val="DHHSbullet1"/>
        <w:numPr>
          <w:ilvl w:val="0"/>
          <w:numId w:val="7"/>
        </w:numPr>
      </w:pPr>
      <w:r w:rsidRPr="00815CEB">
        <w:t>The placement is usually associated with patient/client interaction but may also involve clinical skills acquisition via observation or simulation consistent with clinical learning objectives.</w:t>
      </w:r>
    </w:p>
    <w:p w14:paraId="1EE3073E" w14:textId="77777777" w:rsidR="00CF62F8" w:rsidRPr="00815CEB" w:rsidRDefault="00CF62F8" w:rsidP="00CF62F8">
      <w:pPr>
        <w:pStyle w:val="Heading3"/>
        <w:rPr>
          <w:b/>
          <w:bCs w:val="0"/>
          <w:color w:val="auto"/>
          <w:sz w:val="28"/>
          <w:szCs w:val="28"/>
        </w:rPr>
      </w:pPr>
      <w:r w:rsidRPr="00815CEB">
        <w:rPr>
          <w:b/>
          <w:bCs w:val="0"/>
          <w:color w:val="auto"/>
          <w:sz w:val="28"/>
          <w:szCs w:val="28"/>
        </w:rPr>
        <w:t>Clinical placement day</w:t>
      </w:r>
    </w:p>
    <w:p w14:paraId="06999AFC" w14:textId="77777777" w:rsidR="00CF62F8" w:rsidRPr="00815CEB" w:rsidRDefault="00CF62F8" w:rsidP="00CF62F8">
      <w:pPr>
        <w:pStyle w:val="DHHSbullet1"/>
        <w:numPr>
          <w:ilvl w:val="0"/>
          <w:numId w:val="7"/>
        </w:numPr>
      </w:pPr>
      <w:r w:rsidRPr="00815CEB">
        <w:t>A standard clinical placement day is defined as 7.6 hours in duration for all health disciplines. A shift that varies from this duration should be apportioned accordingly for the purpose of calculating clinical placement activity and establishing fees.</w:t>
      </w:r>
    </w:p>
    <w:p w14:paraId="4DDB77A2" w14:textId="77777777" w:rsidR="00CF62F8" w:rsidRPr="00815CEB" w:rsidRDefault="00CF62F8" w:rsidP="00CF62F8">
      <w:pPr>
        <w:pStyle w:val="Heading3"/>
        <w:rPr>
          <w:b/>
          <w:bCs w:val="0"/>
          <w:color w:val="auto"/>
          <w:sz w:val="28"/>
          <w:szCs w:val="28"/>
        </w:rPr>
      </w:pPr>
      <w:r w:rsidRPr="00815CEB">
        <w:rPr>
          <w:b/>
          <w:bCs w:val="0"/>
          <w:color w:val="auto"/>
          <w:sz w:val="28"/>
          <w:szCs w:val="28"/>
        </w:rPr>
        <w:t>Professional-entry course</w:t>
      </w:r>
    </w:p>
    <w:p w14:paraId="778963A1" w14:textId="77777777" w:rsidR="00CF62F8" w:rsidRPr="00815CEB" w:rsidRDefault="00CF62F8" w:rsidP="00CF62F8">
      <w:pPr>
        <w:pStyle w:val="DHHSbullet1"/>
        <w:numPr>
          <w:ilvl w:val="0"/>
          <w:numId w:val="7"/>
        </w:numPr>
      </w:pPr>
      <w:r w:rsidRPr="00815CEB">
        <w:t>A course provided by an Australian education provider, leading to initial registration for, or qualification to, practise as a health professional in Australia.</w:t>
      </w:r>
    </w:p>
    <w:p w14:paraId="6CC01943" w14:textId="77777777" w:rsidR="00CF62F8" w:rsidRPr="00815CEB" w:rsidRDefault="00CF62F8" w:rsidP="00CF62F8">
      <w:pPr>
        <w:pStyle w:val="Heading3"/>
        <w:rPr>
          <w:b/>
          <w:bCs w:val="0"/>
          <w:color w:val="auto"/>
          <w:sz w:val="28"/>
          <w:szCs w:val="28"/>
        </w:rPr>
      </w:pPr>
      <w:r w:rsidRPr="00815CEB">
        <w:rPr>
          <w:b/>
          <w:bCs w:val="0"/>
          <w:color w:val="auto"/>
          <w:sz w:val="28"/>
          <w:szCs w:val="28"/>
        </w:rPr>
        <w:t>Supervision</w:t>
      </w:r>
    </w:p>
    <w:p w14:paraId="20961042" w14:textId="77777777" w:rsidR="00CF62F8" w:rsidRPr="00815CEB" w:rsidRDefault="00CF62F8" w:rsidP="00CF62F8">
      <w:pPr>
        <w:pStyle w:val="DHHSbullet1"/>
        <w:numPr>
          <w:ilvl w:val="0"/>
          <w:numId w:val="7"/>
        </w:numPr>
      </w:pPr>
      <w:r w:rsidRPr="00815CEB">
        <w:t xml:space="preserve">Refers to the time a health professional supports a student’s learning while undertaking clinical placement. The supervisor has overall responsibility for teaching, </w:t>
      </w:r>
      <w:proofErr w:type="gramStart"/>
      <w:r w:rsidRPr="00815CEB">
        <w:t>assessment</w:t>
      </w:r>
      <w:proofErr w:type="gramEnd"/>
      <w:r w:rsidRPr="00815CEB">
        <w:t xml:space="preserve"> and performance development of the student.  </w:t>
      </w:r>
    </w:p>
    <w:p w14:paraId="37FA83A0" w14:textId="77777777" w:rsidR="00CF62F8" w:rsidRPr="00815CEB" w:rsidRDefault="00CF62F8" w:rsidP="00CF62F8">
      <w:pPr>
        <w:pStyle w:val="Heading3"/>
        <w:rPr>
          <w:b/>
          <w:bCs w:val="0"/>
          <w:color w:val="auto"/>
          <w:sz w:val="28"/>
          <w:szCs w:val="28"/>
        </w:rPr>
      </w:pPr>
      <w:r w:rsidRPr="00815CEB">
        <w:rPr>
          <w:b/>
          <w:bCs w:val="0"/>
          <w:color w:val="auto"/>
          <w:sz w:val="28"/>
          <w:szCs w:val="28"/>
        </w:rPr>
        <w:t>Student placement agreement</w:t>
      </w:r>
    </w:p>
    <w:p w14:paraId="20986E30" w14:textId="77777777" w:rsidR="00CF62F8" w:rsidRPr="00815CEB" w:rsidRDefault="00CF62F8" w:rsidP="00CF62F8">
      <w:pPr>
        <w:pStyle w:val="DHHSbullet1"/>
        <w:numPr>
          <w:ilvl w:val="0"/>
          <w:numId w:val="7"/>
        </w:numPr>
      </w:pPr>
      <w:r w:rsidRPr="00815CEB">
        <w:t xml:space="preserve">A student placement agreement formalises arrangements for clinical placements between a clinical placement provider and education provider and may be contained within a broader relationship agreement. It covers resources, induction and orientation, level of interaction, </w:t>
      </w:r>
      <w:proofErr w:type="gramStart"/>
      <w:r w:rsidRPr="00815CEB">
        <w:t>terms</w:t>
      </w:r>
      <w:proofErr w:type="gramEnd"/>
      <w:r w:rsidRPr="00815CEB">
        <w:t xml:space="preserve"> and conditions (including fees), timeframes for renegotiation, and other aspects of the partnership.</w:t>
      </w:r>
    </w:p>
    <w:p w14:paraId="05A56F05" w14:textId="1C7224BE" w:rsidR="00ED7762" w:rsidRPr="00360AC3" w:rsidRDefault="00CF62F8" w:rsidP="008E603A">
      <w:pPr>
        <w:pStyle w:val="Heading1"/>
        <w:spacing w:before="0"/>
        <w:rPr>
          <w:color w:val="auto"/>
        </w:rPr>
      </w:pPr>
      <w:r w:rsidRPr="00360AC3">
        <w:rPr>
          <w:color w:val="auto"/>
        </w:rPr>
        <w:br w:type="page"/>
      </w:r>
      <w:bookmarkStart w:id="15" w:name="_Toc75263161"/>
      <w:r w:rsidRPr="008E603A">
        <w:rPr>
          <w:rFonts w:eastAsia="Times New Roman" w:cs="Times New Roman"/>
          <w:color w:val="FF0066"/>
          <w:kern w:val="0"/>
        </w:rPr>
        <w:lastRenderedPageBreak/>
        <w:t>Fees chargeable to education providers</w:t>
      </w:r>
      <w:bookmarkEnd w:id="15"/>
      <w:r w:rsidR="00ED7762" w:rsidRPr="00360AC3">
        <w:rPr>
          <w:color w:val="auto"/>
        </w:rPr>
        <w:t xml:space="preserve"> </w:t>
      </w:r>
      <w:bookmarkStart w:id="16" w:name="_Hlk63948051"/>
    </w:p>
    <w:p w14:paraId="3B9867DB" w14:textId="77777777" w:rsidR="00CF62F8" w:rsidRPr="00360AC3" w:rsidRDefault="00CF62F8" w:rsidP="00CF62F8">
      <w:pPr>
        <w:pStyle w:val="Healthbody"/>
        <w:spacing w:after="100"/>
        <w:jc w:val="both"/>
        <w:rPr>
          <w:szCs w:val="20"/>
        </w:rPr>
      </w:pPr>
      <w:bookmarkStart w:id="17" w:name="_Toc410717546"/>
      <w:bookmarkEnd w:id="16"/>
      <w:r w:rsidRPr="00360AC3">
        <w:rPr>
          <w:szCs w:val="20"/>
        </w:rPr>
        <w:t>The following outlines the maximum fees public health services may charge to education providers for clinical placements.</w:t>
      </w:r>
    </w:p>
    <w:p w14:paraId="60D519EB" w14:textId="0956AD52" w:rsidR="00CF62F8" w:rsidRPr="00815CEB" w:rsidRDefault="00CF62F8" w:rsidP="00CF62F8">
      <w:pPr>
        <w:pStyle w:val="Heading2"/>
        <w:rPr>
          <w:color w:val="FF0066"/>
          <w:sz w:val="28"/>
        </w:rPr>
      </w:pPr>
      <w:bookmarkStart w:id="18" w:name="_Toc11681745"/>
      <w:bookmarkStart w:id="19" w:name="_Toc75263162"/>
      <w:r w:rsidRPr="00815CEB">
        <w:rPr>
          <w:color w:val="FF0066"/>
          <w:sz w:val="28"/>
        </w:rPr>
        <w:t>Nursing, Midwifery</w:t>
      </w:r>
      <w:r w:rsidR="001118A1">
        <w:rPr>
          <w:color w:val="FF0066"/>
          <w:sz w:val="28"/>
        </w:rPr>
        <w:t>, Paramedicine</w:t>
      </w:r>
      <w:r w:rsidRPr="00815CEB">
        <w:rPr>
          <w:color w:val="FF0066"/>
          <w:sz w:val="28"/>
        </w:rPr>
        <w:t xml:space="preserve"> and Allied Health</w:t>
      </w:r>
      <w:bookmarkEnd w:id="18"/>
      <w:bookmarkEnd w:id="19"/>
    </w:p>
    <w:p w14:paraId="6A5032A5" w14:textId="77777777" w:rsidR="00CF62F8" w:rsidRPr="00360AC3" w:rsidRDefault="00CF62F8" w:rsidP="00CF62F8">
      <w:pPr>
        <w:pStyle w:val="DHHSbullet1"/>
        <w:numPr>
          <w:ilvl w:val="0"/>
          <w:numId w:val="7"/>
        </w:numPr>
      </w:pPr>
      <w:r w:rsidRPr="00360AC3">
        <w:t>Maximum fees for nursing, midwifery and allied health disciplines are calculated on a per clinical placement day basis.</w:t>
      </w:r>
    </w:p>
    <w:p w14:paraId="21B3E1D3" w14:textId="125DC747" w:rsidR="00CF62F8" w:rsidRPr="00360AC3" w:rsidRDefault="00CF62F8" w:rsidP="00CF62F8">
      <w:pPr>
        <w:pStyle w:val="DHHSbullet1"/>
        <w:numPr>
          <w:ilvl w:val="0"/>
          <w:numId w:val="7"/>
        </w:numPr>
      </w:pPr>
      <w:r w:rsidRPr="00360AC3">
        <w:t>Actual fees will be negotiated at the local level (within the maximum amounts) based on the cost and cost effectiveness of supervision models, and may reflect</w:t>
      </w:r>
      <w:r w:rsidR="00D80C1C">
        <w:t xml:space="preserve">, </w:t>
      </w:r>
      <w:r w:rsidRPr="00360AC3">
        <w:t xml:space="preserve">subject to mutual agreement: </w:t>
      </w:r>
    </w:p>
    <w:p w14:paraId="0CEB1520" w14:textId="2E104B1F" w:rsidR="00CF62F8" w:rsidRPr="00360AC3" w:rsidRDefault="00CF62F8" w:rsidP="00CF62F8">
      <w:pPr>
        <w:pStyle w:val="DHHSbullet2"/>
        <w:numPr>
          <w:ilvl w:val="2"/>
          <w:numId w:val="7"/>
        </w:numPr>
        <w:ind w:left="567" w:hanging="283"/>
      </w:pPr>
      <w:r w:rsidRPr="00360AC3">
        <w:t xml:space="preserve">A supervisor engaged and paid for by the health service including innovative supervision </w:t>
      </w:r>
      <w:proofErr w:type="gramStart"/>
      <w:r w:rsidRPr="00360AC3">
        <w:t>models</w:t>
      </w:r>
      <w:proofErr w:type="gramEnd"/>
    </w:p>
    <w:p w14:paraId="31962C51" w14:textId="087E3476" w:rsidR="00CF62F8" w:rsidRPr="00360AC3" w:rsidRDefault="00CF62F8" w:rsidP="00CF62F8">
      <w:pPr>
        <w:pStyle w:val="DHHSbullet2"/>
        <w:numPr>
          <w:ilvl w:val="2"/>
          <w:numId w:val="7"/>
        </w:numPr>
        <w:ind w:left="567" w:hanging="283"/>
      </w:pPr>
      <w:r w:rsidRPr="00360AC3">
        <w:t>A supervisor engaged and paid for by the education provider</w:t>
      </w:r>
      <w:r w:rsidR="00D80C1C">
        <w:t>.</w:t>
      </w:r>
      <w:r w:rsidRPr="00360AC3">
        <w:t xml:space="preserve"> </w:t>
      </w:r>
    </w:p>
    <w:p w14:paraId="692EE209" w14:textId="77777777" w:rsidR="00CF62F8" w:rsidRPr="00360AC3" w:rsidRDefault="00CF62F8" w:rsidP="00CF62F8">
      <w:pPr>
        <w:pStyle w:val="DHHSbullet1"/>
        <w:numPr>
          <w:ilvl w:val="0"/>
          <w:numId w:val="7"/>
        </w:numPr>
      </w:pPr>
      <w:r w:rsidRPr="00360AC3">
        <w:t xml:space="preserve">Health services may not recoup costs associated with normal service delivery, or for the administration of clinical placements and other related costs incurred by the health service. These costs are contributed to by department through other funding streams. </w:t>
      </w:r>
    </w:p>
    <w:p w14:paraId="46A25F77" w14:textId="77777777" w:rsidR="00CF62F8" w:rsidRPr="00360AC3" w:rsidRDefault="00CF62F8" w:rsidP="00CF62F8">
      <w:pPr>
        <w:pStyle w:val="DHHSbullet1"/>
        <w:numPr>
          <w:ilvl w:val="0"/>
          <w:numId w:val="7"/>
        </w:numPr>
      </w:pPr>
      <w:r w:rsidRPr="00360AC3">
        <w:t>Information relating to cancellations and absences, and make-up or supplementary days is provided in the respective sections below.</w:t>
      </w:r>
    </w:p>
    <w:p w14:paraId="5E353D28" w14:textId="77777777" w:rsidR="00CF62F8" w:rsidRPr="00815CEB" w:rsidRDefault="00CF62F8" w:rsidP="00CF62F8">
      <w:pPr>
        <w:pStyle w:val="Heading2"/>
        <w:rPr>
          <w:color w:val="FF0066"/>
          <w:sz w:val="28"/>
        </w:rPr>
      </w:pPr>
      <w:bookmarkStart w:id="20" w:name="_Toc11681746"/>
      <w:bookmarkStart w:id="21" w:name="_Toc75263163"/>
      <w:r w:rsidRPr="00815CEB">
        <w:rPr>
          <w:color w:val="FF0066"/>
          <w:sz w:val="28"/>
        </w:rPr>
        <w:t>Medicine</w:t>
      </w:r>
      <w:bookmarkEnd w:id="20"/>
      <w:bookmarkEnd w:id="21"/>
    </w:p>
    <w:p w14:paraId="3B781B12" w14:textId="77777777" w:rsidR="00CF62F8" w:rsidRPr="00360AC3" w:rsidRDefault="00CF62F8" w:rsidP="00CF62F8">
      <w:pPr>
        <w:pStyle w:val="DHHSbullet1"/>
        <w:numPr>
          <w:ilvl w:val="0"/>
          <w:numId w:val="7"/>
        </w:numPr>
      </w:pPr>
      <w:r w:rsidRPr="00360AC3">
        <w:t>Fees for medicine are not calculated on a per clinical placement day basis.</w:t>
      </w:r>
    </w:p>
    <w:p w14:paraId="09B35ED4" w14:textId="77777777" w:rsidR="00CF62F8" w:rsidRPr="00360AC3" w:rsidRDefault="00CF62F8" w:rsidP="00CF62F8">
      <w:pPr>
        <w:pStyle w:val="DHHSbullet1"/>
        <w:numPr>
          <w:ilvl w:val="0"/>
          <w:numId w:val="7"/>
        </w:numPr>
      </w:pPr>
      <w:r w:rsidRPr="00360AC3">
        <w:t>The contribution of education providers to the clinical education of medical students is through historical arrangements previously outlined in the Relationship Agreement for the Public Hospital Sector. These arrangements include:</w:t>
      </w:r>
    </w:p>
    <w:p w14:paraId="4149A3F6" w14:textId="77777777" w:rsidR="00CF62F8" w:rsidRPr="00360AC3" w:rsidRDefault="00CF62F8" w:rsidP="00CF62F8">
      <w:pPr>
        <w:pStyle w:val="DHHSbullet2"/>
        <w:numPr>
          <w:ilvl w:val="2"/>
          <w:numId w:val="7"/>
        </w:numPr>
        <w:ind w:left="567" w:hanging="283"/>
      </w:pPr>
      <w:r w:rsidRPr="00360AC3">
        <w:t>A contribution for clinical placements based on the proportion of formal course requirements undertaken at the health service for each equivalent full-time student load (EFTSL) at a rate of:</w:t>
      </w:r>
    </w:p>
    <w:p w14:paraId="4123F001" w14:textId="3C0B4D45" w:rsidR="00CF62F8" w:rsidRPr="00360AC3" w:rsidRDefault="00CF62F8" w:rsidP="00CF62F8">
      <w:pPr>
        <w:pStyle w:val="Bllt2"/>
        <w:numPr>
          <w:ilvl w:val="1"/>
          <w:numId w:val="42"/>
        </w:numPr>
        <w:ind w:left="1134"/>
        <w:rPr>
          <w:color w:val="auto"/>
        </w:rPr>
      </w:pPr>
      <w:r w:rsidRPr="01B93FB0">
        <w:rPr>
          <w:color w:val="auto"/>
        </w:rPr>
        <w:t>Commonwealth-supported students</w:t>
      </w:r>
      <w:r>
        <w:tab/>
      </w:r>
      <w:r>
        <w:tab/>
      </w:r>
      <w:r w:rsidRPr="01B93FB0">
        <w:rPr>
          <w:color w:val="auto"/>
        </w:rPr>
        <w:t>$</w:t>
      </w:r>
      <w:r w:rsidR="00B52EF3" w:rsidRPr="01B93FB0">
        <w:rPr>
          <w:color w:val="auto"/>
        </w:rPr>
        <w:t xml:space="preserve"> </w:t>
      </w:r>
      <w:r w:rsidR="00DB79B5" w:rsidRPr="01B93FB0">
        <w:rPr>
          <w:color w:val="auto"/>
        </w:rPr>
        <w:t>1</w:t>
      </w:r>
      <w:r w:rsidR="00EB507F" w:rsidRPr="01B93FB0">
        <w:rPr>
          <w:color w:val="auto"/>
        </w:rPr>
        <w:t>,</w:t>
      </w:r>
      <w:r w:rsidR="59657C8D" w:rsidRPr="01B93FB0">
        <w:rPr>
          <w:color w:val="auto"/>
        </w:rPr>
        <w:t>610</w:t>
      </w:r>
      <w:r w:rsidRPr="01B93FB0">
        <w:rPr>
          <w:color w:val="auto"/>
        </w:rPr>
        <w:t xml:space="preserve"> per EFTSL </w:t>
      </w:r>
    </w:p>
    <w:p w14:paraId="1ABB35D3" w14:textId="03FAE707" w:rsidR="00CF62F8" w:rsidRPr="00360AC3" w:rsidRDefault="00CF62F8" w:rsidP="00CF62F8">
      <w:pPr>
        <w:pStyle w:val="Bllt2"/>
        <w:numPr>
          <w:ilvl w:val="1"/>
          <w:numId w:val="42"/>
        </w:numPr>
        <w:ind w:left="1134"/>
        <w:rPr>
          <w:color w:val="auto"/>
        </w:rPr>
      </w:pPr>
      <w:r w:rsidRPr="00360AC3">
        <w:rPr>
          <w:color w:val="auto"/>
        </w:rPr>
        <w:t>Domestic fee-paying students*</w:t>
      </w:r>
      <w:r w:rsidRPr="00360AC3">
        <w:rPr>
          <w:color w:val="auto"/>
        </w:rPr>
        <w:tab/>
      </w:r>
      <w:r w:rsidRPr="00360AC3">
        <w:rPr>
          <w:color w:val="auto"/>
        </w:rPr>
        <w:tab/>
        <w:t>$</w:t>
      </w:r>
      <w:r w:rsidR="00B52EF3">
        <w:rPr>
          <w:color w:val="auto"/>
        </w:rPr>
        <w:t xml:space="preserve"> </w:t>
      </w:r>
      <w:r w:rsidR="00FB6847">
        <w:rPr>
          <w:color w:val="auto"/>
        </w:rPr>
        <w:t>4</w:t>
      </w:r>
      <w:r w:rsidR="00EB507F">
        <w:rPr>
          <w:color w:val="auto"/>
        </w:rPr>
        <w:t>,</w:t>
      </w:r>
      <w:r w:rsidR="00FB6847">
        <w:rPr>
          <w:color w:val="auto"/>
        </w:rPr>
        <w:t>012</w:t>
      </w:r>
      <w:r w:rsidRPr="00360AC3">
        <w:rPr>
          <w:color w:val="auto"/>
        </w:rPr>
        <w:t xml:space="preserve"> per EFTSL </w:t>
      </w:r>
    </w:p>
    <w:p w14:paraId="1B0CA2DE" w14:textId="4492740D" w:rsidR="00CF62F8" w:rsidRPr="00360AC3" w:rsidRDefault="00CF62F8" w:rsidP="00CF62F8">
      <w:pPr>
        <w:pStyle w:val="Bllt2"/>
        <w:numPr>
          <w:ilvl w:val="1"/>
          <w:numId w:val="42"/>
        </w:numPr>
        <w:tabs>
          <w:tab w:val="left" w:pos="709"/>
        </w:tabs>
        <w:ind w:left="1134"/>
        <w:rPr>
          <w:color w:val="auto"/>
        </w:rPr>
      </w:pPr>
      <w:r w:rsidRPr="00360AC3">
        <w:rPr>
          <w:color w:val="auto"/>
        </w:rPr>
        <w:t>International students</w:t>
      </w:r>
      <w:r w:rsidRPr="00360AC3">
        <w:rPr>
          <w:color w:val="auto"/>
        </w:rPr>
        <w:tab/>
      </w:r>
      <w:r w:rsidRPr="00360AC3">
        <w:rPr>
          <w:color w:val="auto"/>
        </w:rPr>
        <w:tab/>
      </w:r>
      <w:r w:rsidRPr="00360AC3">
        <w:rPr>
          <w:color w:val="auto"/>
        </w:rPr>
        <w:tab/>
        <w:t>$</w:t>
      </w:r>
      <w:r w:rsidR="00B52EF3">
        <w:rPr>
          <w:color w:val="auto"/>
        </w:rPr>
        <w:t xml:space="preserve"> </w:t>
      </w:r>
      <w:r w:rsidR="00DB79B5">
        <w:rPr>
          <w:color w:val="auto"/>
        </w:rPr>
        <w:t>5</w:t>
      </w:r>
      <w:r w:rsidR="00EB507F">
        <w:rPr>
          <w:color w:val="auto"/>
        </w:rPr>
        <w:t>,</w:t>
      </w:r>
      <w:r w:rsidR="00FB6847">
        <w:rPr>
          <w:color w:val="auto"/>
        </w:rPr>
        <w:t>898</w:t>
      </w:r>
      <w:r w:rsidRPr="00360AC3">
        <w:rPr>
          <w:color w:val="auto"/>
        </w:rPr>
        <w:t xml:space="preserve"> per EFTSL </w:t>
      </w:r>
    </w:p>
    <w:p w14:paraId="4ED0CF80" w14:textId="77777777" w:rsidR="00CF62F8" w:rsidRPr="00360AC3" w:rsidRDefault="00CF62F8" w:rsidP="00CF62F8">
      <w:pPr>
        <w:pStyle w:val="DHHSbullet2"/>
        <w:numPr>
          <w:ilvl w:val="2"/>
          <w:numId w:val="7"/>
        </w:numPr>
        <w:ind w:left="567" w:hanging="283"/>
      </w:pPr>
      <w:r w:rsidRPr="00360AC3">
        <w:t xml:space="preserve">Using these rates, each education provider calculates the average EFTSL rate based on the overall proportion of students in each category. Payments to health services reflect the total level of placement activity (calculated as EFTSL) in that academic year. </w:t>
      </w:r>
    </w:p>
    <w:p w14:paraId="3BB54BD3" w14:textId="77777777" w:rsidR="00CF62F8" w:rsidRPr="00360AC3" w:rsidRDefault="00CF62F8" w:rsidP="00CF62F8">
      <w:pPr>
        <w:pStyle w:val="DHHSbullet1"/>
        <w:numPr>
          <w:ilvl w:val="0"/>
          <w:numId w:val="7"/>
        </w:numPr>
      </w:pPr>
      <w:r w:rsidRPr="00360AC3">
        <w:t xml:space="preserve">The rates outlined above should be documented in the student placement agreement between each health service and education provider. Further information is provided in the ‘Implementation’ section below. </w:t>
      </w:r>
    </w:p>
    <w:p w14:paraId="352AADD4" w14:textId="77777777" w:rsidR="00CF62F8" w:rsidRPr="00360AC3" w:rsidRDefault="00CF62F8" w:rsidP="00CF62F8">
      <w:pPr>
        <w:pStyle w:val="Bllt1"/>
        <w:numPr>
          <w:ilvl w:val="0"/>
          <w:numId w:val="0"/>
        </w:numPr>
        <w:rPr>
          <w:color w:val="auto"/>
        </w:rPr>
      </w:pPr>
      <w:r w:rsidRPr="00360AC3">
        <w:rPr>
          <w:color w:val="auto"/>
        </w:rPr>
        <w:t xml:space="preserve">* Higher fees for domestic fee-paying students only apply where student fees are greater than the combined Commonwealth Grant Scheme and HECS funding amounts. </w:t>
      </w:r>
    </w:p>
    <w:p w14:paraId="415B5F21" w14:textId="77777777" w:rsidR="00CF62F8" w:rsidRPr="00360AC3" w:rsidRDefault="00CF62F8" w:rsidP="00CF62F8">
      <w:pPr>
        <w:pStyle w:val="Body0"/>
        <w:rPr>
          <w:rFonts w:eastAsia="Times New Roman"/>
          <w:b/>
          <w:bCs/>
          <w:color w:val="auto"/>
        </w:rPr>
      </w:pPr>
      <w:r w:rsidRPr="00360AC3">
        <w:rPr>
          <w:color w:val="auto"/>
        </w:rPr>
        <w:t>Note: The rates outlined above are based on the ‘medical’ loading provided to universities through the Commonwealth Grant Scheme. Rates are updated annually.</w:t>
      </w:r>
    </w:p>
    <w:p w14:paraId="695D48E8" w14:textId="3EC93C8C" w:rsidR="00CF62F8" w:rsidRPr="00F20125" w:rsidRDefault="00CF62F8" w:rsidP="00CF62F8">
      <w:pPr>
        <w:pStyle w:val="Heading2"/>
        <w:rPr>
          <w:color w:val="FF0066"/>
          <w:sz w:val="28"/>
        </w:rPr>
      </w:pPr>
      <w:r w:rsidRPr="00360AC3">
        <w:rPr>
          <w:color w:val="auto"/>
        </w:rPr>
        <w:br w:type="page"/>
      </w:r>
      <w:bookmarkStart w:id="22" w:name="_Toc11681747"/>
      <w:bookmarkStart w:id="23" w:name="_Toc75263164"/>
      <w:r w:rsidRPr="00815CEB">
        <w:rPr>
          <w:color w:val="FF0066"/>
          <w:sz w:val="28"/>
        </w:rPr>
        <w:lastRenderedPageBreak/>
        <w:t xml:space="preserve">Maximum chargeable fees for </w:t>
      </w:r>
      <w:bookmarkEnd w:id="22"/>
      <w:r w:rsidR="009D1FD6" w:rsidRPr="00F20125">
        <w:rPr>
          <w:color w:val="FF0066"/>
          <w:sz w:val="28"/>
        </w:rPr>
        <w:t>202</w:t>
      </w:r>
      <w:bookmarkEnd w:id="23"/>
      <w:r w:rsidR="00CC7CAE" w:rsidRPr="00F20125">
        <w:rPr>
          <w:color w:val="FF0066"/>
          <w:sz w:val="28"/>
        </w:rPr>
        <w:t>4</w:t>
      </w:r>
    </w:p>
    <w:p w14:paraId="3AC2D6E8" w14:textId="1A478675" w:rsidR="00CF62F8" w:rsidRPr="00360AC3" w:rsidRDefault="00CF62F8" w:rsidP="00CF62F8">
      <w:pPr>
        <w:pStyle w:val="Heading4"/>
        <w:rPr>
          <w:color w:val="auto"/>
        </w:rPr>
      </w:pPr>
      <w:bookmarkStart w:id="24" w:name="_Table_1:_Maximum"/>
      <w:bookmarkEnd w:id="24"/>
      <w:r w:rsidRPr="00F20125">
        <w:rPr>
          <w:color w:val="auto"/>
        </w:rPr>
        <w:t xml:space="preserve">Table 1: Maximum chargeable fees (GST exclusive) for </w:t>
      </w:r>
      <w:r w:rsidR="009D1FD6" w:rsidRPr="00F20125">
        <w:rPr>
          <w:color w:val="auto"/>
        </w:rPr>
        <w:t>202</w:t>
      </w:r>
      <w:r w:rsidR="00CC7CAE" w:rsidRPr="00F20125">
        <w:rPr>
          <w:color w:val="auto"/>
        </w:rPr>
        <w:t>4</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4509"/>
        <w:gridCol w:w="2268"/>
      </w:tblGrid>
      <w:tr w:rsidR="00360AC3" w:rsidRPr="00360AC3" w14:paraId="49167FA0" w14:textId="77777777" w:rsidTr="00EA5C12">
        <w:trPr>
          <w:tblHeader/>
        </w:trPr>
        <w:tc>
          <w:tcPr>
            <w:tcW w:w="2324" w:type="dxa"/>
            <w:vMerge w:val="restart"/>
            <w:shd w:val="clear" w:color="auto" w:fill="auto"/>
          </w:tcPr>
          <w:p w14:paraId="5FBB47F7" w14:textId="77777777" w:rsidR="00CF62F8" w:rsidRPr="00815CEB" w:rsidRDefault="00CF62F8" w:rsidP="00F8206B">
            <w:pPr>
              <w:pStyle w:val="DHHStablecolhead"/>
              <w:rPr>
                <w:color w:val="auto"/>
              </w:rPr>
            </w:pPr>
            <w:r w:rsidRPr="00815CEB">
              <w:rPr>
                <w:color w:val="FF0066"/>
              </w:rPr>
              <w:t>Health discipline</w:t>
            </w:r>
            <w:r w:rsidRPr="00815CEB">
              <w:rPr>
                <w:color w:val="auto"/>
              </w:rPr>
              <w:t xml:space="preserve"> </w:t>
            </w:r>
          </w:p>
        </w:tc>
        <w:tc>
          <w:tcPr>
            <w:tcW w:w="6777" w:type="dxa"/>
            <w:gridSpan w:val="2"/>
            <w:shd w:val="clear" w:color="auto" w:fill="auto"/>
          </w:tcPr>
          <w:p w14:paraId="2EC4A5B9" w14:textId="77777777" w:rsidR="00CF62F8" w:rsidRPr="00360AC3" w:rsidRDefault="00CF62F8" w:rsidP="00F8206B">
            <w:pPr>
              <w:pStyle w:val="DHHStablecolhead"/>
              <w:rPr>
                <w:color w:val="auto"/>
              </w:rPr>
            </w:pPr>
            <w:r w:rsidRPr="00815CEB">
              <w:rPr>
                <w:color w:val="FF0066"/>
              </w:rPr>
              <w:t>Supervision provided by:</w:t>
            </w:r>
            <w:r w:rsidRPr="00360AC3">
              <w:rPr>
                <w:color w:val="auto"/>
              </w:rPr>
              <w:t xml:space="preserve"> </w:t>
            </w:r>
          </w:p>
        </w:tc>
      </w:tr>
      <w:tr w:rsidR="00360AC3" w:rsidRPr="00360AC3" w14:paraId="7B4B0D76" w14:textId="77777777" w:rsidTr="00EA5C12">
        <w:tc>
          <w:tcPr>
            <w:tcW w:w="2324" w:type="dxa"/>
            <w:vMerge/>
            <w:shd w:val="clear" w:color="auto" w:fill="auto"/>
          </w:tcPr>
          <w:p w14:paraId="7F2AF9A8" w14:textId="77777777" w:rsidR="00CF62F8" w:rsidRPr="00360AC3" w:rsidRDefault="00CF62F8" w:rsidP="00F8206B">
            <w:pPr>
              <w:pStyle w:val="DHHStabletext"/>
            </w:pPr>
          </w:p>
        </w:tc>
        <w:tc>
          <w:tcPr>
            <w:tcW w:w="4509" w:type="dxa"/>
            <w:shd w:val="clear" w:color="auto" w:fill="auto"/>
          </w:tcPr>
          <w:p w14:paraId="2EB8AEBF" w14:textId="77777777" w:rsidR="00CF62F8" w:rsidRPr="00815CEB" w:rsidRDefault="00CF62F8" w:rsidP="00F8206B">
            <w:pPr>
              <w:pStyle w:val="DHHStablecolhead"/>
              <w:rPr>
                <w:color w:val="FF0066"/>
              </w:rPr>
            </w:pPr>
            <w:r w:rsidRPr="00815CEB">
              <w:rPr>
                <w:color w:val="FF0066"/>
              </w:rPr>
              <w:t>Health service</w:t>
            </w:r>
          </w:p>
        </w:tc>
        <w:tc>
          <w:tcPr>
            <w:tcW w:w="2268" w:type="dxa"/>
            <w:shd w:val="clear" w:color="auto" w:fill="auto"/>
          </w:tcPr>
          <w:p w14:paraId="7E14B405" w14:textId="77777777" w:rsidR="00CF62F8" w:rsidRPr="00815CEB" w:rsidRDefault="00CF62F8" w:rsidP="00F8206B">
            <w:pPr>
              <w:pStyle w:val="DHHStablecolhead"/>
              <w:rPr>
                <w:color w:val="FF0066"/>
              </w:rPr>
            </w:pPr>
            <w:r w:rsidRPr="00815CEB">
              <w:rPr>
                <w:color w:val="FF0066"/>
              </w:rPr>
              <w:t>Education Provider</w:t>
            </w:r>
          </w:p>
        </w:tc>
      </w:tr>
      <w:tr w:rsidR="00360AC3" w:rsidRPr="00360AC3" w14:paraId="290C8A29" w14:textId="77777777" w:rsidTr="00EA5C12">
        <w:tc>
          <w:tcPr>
            <w:tcW w:w="2324" w:type="dxa"/>
            <w:shd w:val="clear" w:color="auto" w:fill="auto"/>
          </w:tcPr>
          <w:p w14:paraId="09506C92" w14:textId="77777777" w:rsidR="00CF62F8" w:rsidRPr="00360AC3" w:rsidRDefault="00CF62F8" w:rsidP="00F8206B">
            <w:pPr>
              <w:pStyle w:val="DHHStabletext"/>
              <w:rPr>
                <w:rFonts w:eastAsia="MS Mincho"/>
                <w:szCs w:val="24"/>
                <w:lang w:eastAsia="en-AU"/>
              </w:rPr>
            </w:pPr>
            <w:r w:rsidRPr="00360AC3">
              <w:rPr>
                <w:rFonts w:eastAsia="MS Mincho"/>
                <w:szCs w:val="24"/>
                <w:lang w:eastAsia="en-AU"/>
              </w:rPr>
              <w:t>Nursing and Midwifery</w:t>
            </w:r>
          </w:p>
        </w:tc>
        <w:tc>
          <w:tcPr>
            <w:tcW w:w="4509" w:type="dxa"/>
            <w:shd w:val="clear" w:color="auto" w:fill="auto"/>
          </w:tcPr>
          <w:p w14:paraId="6D61C486" w14:textId="3F2892B4" w:rsidR="00CF62F8" w:rsidRPr="00F20125" w:rsidRDefault="00CF62F8" w:rsidP="00291F33">
            <w:pPr>
              <w:pStyle w:val="DHHStabletext"/>
              <w:rPr>
                <w:rFonts w:eastAsia="MS Mincho"/>
                <w:szCs w:val="24"/>
                <w:lang w:eastAsia="en-AU"/>
              </w:rPr>
            </w:pPr>
            <w:r w:rsidRPr="00F20125">
              <w:rPr>
                <w:rFonts w:eastAsia="MS Mincho"/>
                <w:szCs w:val="24"/>
                <w:lang w:eastAsia="en-AU"/>
              </w:rPr>
              <w:t>$</w:t>
            </w:r>
            <w:r w:rsidR="00866FD9" w:rsidRPr="00F20125">
              <w:rPr>
                <w:rFonts w:eastAsia="MS Mincho"/>
                <w:szCs w:val="24"/>
                <w:lang w:eastAsia="en-AU"/>
              </w:rPr>
              <w:t>6</w:t>
            </w:r>
            <w:r w:rsidR="00C1551F" w:rsidRPr="00F20125">
              <w:rPr>
                <w:rFonts w:eastAsia="MS Mincho"/>
                <w:szCs w:val="24"/>
                <w:lang w:eastAsia="en-AU"/>
              </w:rPr>
              <w:t>9</w:t>
            </w:r>
            <w:r w:rsidR="00866FD9" w:rsidRPr="00F20125">
              <w:rPr>
                <w:rFonts w:eastAsia="MS Mincho"/>
                <w:szCs w:val="24"/>
                <w:lang w:eastAsia="en-AU"/>
              </w:rPr>
              <w:t>.</w:t>
            </w:r>
            <w:r w:rsidR="00C1551F" w:rsidRPr="00F20125">
              <w:rPr>
                <w:rFonts w:eastAsia="MS Mincho"/>
                <w:szCs w:val="24"/>
                <w:lang w:eastAsia="en-AU"/>
              </w:rPr>
              <w:t>71</w:t>
            </w:r>
            <w:r w:rsidRPr="00F20125">
              <w:rPr>
                <w:rFonts w:eastAsia="MS Mincho"/>
                <w:szCs w:val="24"/>
                <w:lang w:eastAsia="en-AU"/>
              </w:rPr>
              <w:t xml:space="preserve"> per student per </w:t>
            </w:r>
            <w:r w:rsidR="00EA5C12" w:rsidRPr="00F20125">
              <w:rPr>
                <w:rFonts w:eastAsia="MS Mincho"/>
                <w:szCs w:val="24"/>
                <w:lang w:eastAsia="en-AU"/>
              </w:rPr>
              <w:t xml:space="preserve">7.6-hour </w:t>
            </w:r>
            <w:r w:rsidRPr="00F20125">
              <w:rPr>
                <w:rFonts w:eastAsia="MS Mincho"/>
                <w:szCs w:val="24"/>
                <w:lang w:eastAsia="en-AU"/>
              </w:rPr>
              <w:t>clinical placement day</w:t>
            </w:r>
          </w:p>
        </w:tc>
        <w:tc>
          <w:tcPr>
            <w:tcW w:w="2268" w:type="dxa"/>
            <w:shd w:val="clear" w:color="auto" w:fill="auto"/>
          </w:tcPr>
          <w:p w14:paraId="5ABD3E51" w14:textId="77777777" w:rsidR="00CF62F8" w:rsidRPr="00360AC3" w:rsidRDefault="00CF62F8" w:rsidP="00F8206B">
            <w:pPr>
              <w:pStyle w:val="DHHStabletext"/>
              <w:rPr>
                <w:rFonts w:eastAsia="MS Mincho"/>
                <w:szCs w:val="24"/>
                <w:lang w:eastAsia="en-AU"/>
              </w:rPr>
            </w:pPr>
            <w:r w:rsidRPr="00360AC3">
              <w:rPr>
                <w:rFonts w:eastAsia="MS Mincho"/>
                <w:szCs w:val="24"/>
                <w:lang w:eastAsia="en-AU"/>
              </w:rPr>
              <w:t>No fee</w:t>
            </w:r>
          </w:p>
        </w:tc>
      </w:tr>
      <w:tr w:rsidR="00360AC3" w:rsidRPr="00360AC3" w14:paraId="78A93B28" w14:textId="77777777" w:rsidTr="00EA5C12">
        <w:tc>
          <w:tcPr>
            <w:tcW w:w="2324" w:type="dxa"/>
            <w:shd w:val="clear" w:color="auto" w:fill="auto"/>
          </w:tcPr>
          <w:p w14:paraId="611D0D7A" w14:textId="77777777" w:rsidR="00CF62F8" w:rsidRPr="00360AC3" w:rsidRDefault="00CF62F8" w:rsidP="00F8206B">
            <w:pPr>
              <w:pStyle w:val="DHHStabletext"/>
              <w:rPr>
                <w:rFonts w:eastAsia="MS Mincho"/>
                <w:szCs w:val="24"/>
                <w:lang w:eastAsia="en-AU"/>
              </w:rPr>
            </w:pPr>
            <w:r w:rsidRPr="00360AC3">
              <w:rPr>
                <w:rFonts w:eastAsia="MS Mincho"/>
                <w:szCs w:val="24"/>
                <w:lang w:eastAsia="en-AU"/>
              </w:rPr>
              <w:t xml:space="preserve">Allied Health </w:t>
            </w:r>
          </w:p>
        </w:tc>
        <w:tc>
          <w:tcPr>
            <w:tcW w:w="4509" w:type="dxa"/>
            <w:shd w:val="clear" w:color="auto" w:fill="auto"/>
          </w:tcPr>
          <w:p w14:paraId="329ADF35" w14:textId="4FFFF32C" w:rsidR="00CF62F8" w:rsidRPr="00F20125" w:rsidRDefault="00CF62F8" w:rsidP="00D017BD">
            <w:pPr>
              <w:pStyle w:val="DHHStabletext"/>
              <w:rPr>
                <w:rFonts w:eastAsia="MS Mincho"/>
                <w:szCs w:val="24"/>
                <w:lang w:eastAsia="en-AU"/>
              </w:rPr>
            </w:pPr>
            <w:r w:rsidRPr="00F20125">
              <w:rPr>
                <w:rFonts w:eastAsia="MS Mincho"/>
                <w:szCs w:val="24"/>
                <w:lang w:eastAsia="en-AU"/>
              </w:rPr>
              <w:t>$</w:t>
            </w:r>
            <w:r w:rsidR="00866FD9" w:rsidRPr="00F20125">
              <w:rPr>
                <w:rFonts w:eastAsia="MS Mincho"/>
                <w:szCs w:val="24"/>
                <w:lang w:eastAsia="en-AU"/>
              </w:rPr>
              <w:t>3</w:t>
            </w:r>
            <w:r w:rsidR="00C1551F" w:rsidRPr="00F20125">
              <w:rPr>
                <w:rFonts w:eastAsia="MS Mincho"/>
                <w:szCs w:val="24"/>
                <w:lang w:eastAsia="en-AU"/>
              </w:rPr>
              <w:t>9</w:t>
            </w:r>
            <w:r w:rsidR="00866FD9" w:rsidRPr="00F20125">
              <w:rPr>
                <w:rFonts w:eastAsia="MS Mincho"/>
                <w:szCs w:val="24"/>
                <w:lang w:eastAsia="en-AU"/>
              </w:rPr>
              <w:t>.</w:t>
            </w:r>
            <w:r w:rsidR="00C1551F" w:rsidRPr="00F20125">
              <w:rPr>
                <w:rFonts w:eastAsia="MS Mincho"/>
                <w:szCs w:val="24"/>
                <w:lang w:eastAsia="en-AU"/>
              </w:rPr>
              <w:t>18</w:t>
            </w:r>
            <w:r w:rsidRPr="00F20125">
              <w:rPr>
                <w:rFonts w:eastAsia="MS Mincho"/>
                <w:szCs w:val="24"/>
                <w:lang w:eastAsia="en-AU"/>
              </w:rPr>
              <w:t xml:space="preserve"> per student per</w:t>
            </w:r>
            <w:r w:rsidR="00EA5C12" w:rsidRPr="00F20125">
              <w:rPr>
                <w:rFonts w:eastAsia="MS Mincho"/>
                <w:szCs w:val="24"/>
                <w:lang w:eastAsia="en-AU"/>
              </w:rPr>
              <w:t xml:space="preserve"> 7.6-hour</w:t>
            </w:r>
            <w:r w:rsidRPr="00F20125">
              <w:rPr>
                <w:rFonts w:eastAsia="MS Mincho"/>
                <w:szCs w:val="24"/>
                <w:lang w:eastAsia="en-AU"/>
              </w:rPr>
              <w:t xml:space="preserve"> clinical placement day</w:t>
            </w:r>
          </w:p>
        </w:tc>
        <w:tc>
          <w:tcPr>
            <w:tcW w:w="2268" w:type="dxa"/>
            <w:shd w:val="clear" w:color="auto" w:fill="auto"/>
          </w:tcPr>
          <w:p w14:paraId="7A71BE94" w14:textId="77777777" w:rsidR="00CF62F8" w:rsidRPr="00360AC3" w:rsidRDefault="00CF62F8" w:rsidP="00F8206B">
            <w:pPr>
              <w:pStyle w:val="DHHStabletext"/>
              <w:rPr>
                <w:rFonts w:eastAsia="MS Mincho"/>
                <w:szCs w:val="24"/>
                <w:lang w:eastAsia="en-AU"/>
              </w:rPr>
            </w:pPr>
            <w:r w:rsidRPr="00360AC3">
              <w:rPr>
                <w:rFonts w:eastAsia="MS Mincho"/>
                <w:szCs w:val="24"/>
                <w:lang w:eastAsia="en-AU"/>
              </w:rPr>
              <w:t>No fee</w:t>
            </w:r>
          </w:p>
        </w:tc>
      </w:tr>
      <w:tr w:rsidR="001118A1" w:rsidRPr="00360AC3" w14:paraId="027D058D" w14:textId="77777777" w:rsidTr="00EA5C12">
        <w:tc>
          <w:tcPr>
            <w:tcW w:w="2324" w:type="dxa"/>
            <w:shd w:val="clear" w:color="auto" w:fill="auto"/>
          </w:tcPr>
          <w:p w14:paraId="2DC42DD3" w14:textId="7905B5EB" w:rsidR="001118A1" w:rsidRPr="00360AC3" w:rsidRDefault="001118A1" w:rsidP="001118A1">
            <w:pPr>
              <w:pStyle w:val="DHHStabletext"/>
              <w:rPr>
                <w:rFonts w:eastAsia="MS Mincho"/>
                <w:szCs w:val="24"/>
                <w:lang w:eastAsia="en-AU"/>
              </w:rPr>
            </w:pPr>
            <w:r>
              <w:rPr>
                <w:rFonts w:eastAsia="MS Mincho"/>
                <w:szCs w:val="24"/>
                <w:lang w:eastAsia="en-AU"/>
              </w:rPr>
              <w:t>Paramedicine</w:t>
            </w:r>
          </w:p>
        </w:tc>
        <w:tc>
          <w:tcPr>
            <w:tcW w:w="4509" w:type="dxa"/>
            <w:shd w:val="clear" w:color="auto" w:fill="auto"/>
          </w:tcPr>
          <w:p w14:paraId="5A1EC1E8" w14:textId="7287D6E0" w:rsidR="001118A1" w:rsidRPr="00F20125" w:rsidRDefault="001118A1" w:rsidP="001118A1">
            <w:pPr>
              <w:pStyle w:val="DHHStabletext"/>
              <w:rPr>
                <w:rFonts w:eastAsia="MS Mincho"/>
                <w:szCs w:val="24"/>
                <w:lang w:eastAsia="en-AU"/>
              </w:rPr>
            </w:pPr>
            <w:r w:rsidRPr="00F20125">
              <w:rPr>
                <w:rFonts w:eastAsia="MS Mincho"/>
                <w:szCs w:val="24"/>
                <w:lang w:eastAsia="en-AU"/>
              </w:rPr>
              <w:t>$39.18 per student per 7.6-hour clinical placement day</w:t>
            </w:r>
          </w:p>
        </w:tc>
        <w:tc>
          <w:tcPr>
            <w:tcW w:w="2268" w:type="dxa"/>
            <w:shd w:val="clear" w:color="auto" w:fill="auto"/>
          </w:tcPr>
          <w:p w14:paraId="6901BB58" w14:textId="604B5293" w:rsidR="001118A1" w:rsidRPr="00360AC3" w:rsidRDefault="001118A1" w:rsidP="001118A1">
            <w:pPr>
              <w:pStyle w:val="DHHStabletext"/>
              <w:rPr>
                <w:rFonts w:eastAsia="MS Mincho"/>
                <w:szCs w:val="24"/>
                <w:lang w:eastAsia="en-AU"/>
              </w:rPr>
            </w:pPr>
            <w:r w:rsidRPr="00360AC3">
              <w:rPr>
                <w:rFonts w:eastAsia="MS Mincho"/>
                <w:szCs w:val="24"/>
                <w:lang w:eastAsia="en-AU"/>
              </w:rPr>
              <w:t>No fee</w:t>
            </w:r>
          </w:p>
        </w:tc>
      </w:tr>
      <w:tr w:rsidR="001118A1" w:rsidRPr="00360AC3" w14:paraId="5F4401D5" w14:textId="77777777" w:rsidTr="00EA5C12">
        <w:tc>
          <w:tcPr>
            <w:tcW w:w="2324" w:type="dxa"/>
            <w:shd w:val="clear" w:color="auto" w:fill="auto"/>
          </w:tcPr>
          <w:p w14:paraId="0F4F766E" w14:textId="77777777" w:rsidR="001118A1" w:rsidRPr="00360AC3" w:rsidRDefault="001118A1" w:rsidP="001118A1">
            <w:pPr>
              <w:pStyle w:val="DHHStabletext"/>
              <w:rPr>
                <w:rFonts w:eastAsia="MS Mincho"/>
                <w:szCs w:val="24"/>
                <w:lang w:eastAsia="en-AU"/>
              </w:rPr>
            </w:pPr>
            <w:r w:rsidRPr="00360AC3">
              <w:rPr>
                <w:rFonts w:eastAsia="MS Mincho"/>
                <w:szCs w:val="24"/>
                <w:lang w:eastAsia="en-AU"/>
              </w:rPr>
              <w:t>Medicine</w:t>
            </w:r>
          </w:p>
        </w:tc>
        <w:tc>
          <w:tcPr>
            <w:tcW w:w="4509" w:type="dxa"/>
            <w:shd w:val="clear" w:color="auto" w:fill="auto"/>
          </w:tcPr>
          <w:p w14:paraId="767F080A" w14:textId="77777777" w:rsidR="001118A1" w:rsidRPr="00360AC3" w:rsidRDefault="001118A1" w:rsidP="001118A1">
            <w:pPr>
              <w:pStyle w:val="DHHStabletext"/>
              <w:rPr>
                <w:rFonts w:eastAsia="MS Mincho"/>
                <w:szCs w:val="24"/>
                <w:lang w:eastAsia="en-AU"/>
              </w:rPr>
            </w:pPr>
            <w:r w:rsidRPr="00360AC3">
              <w:rPr>
                <w:rFonts w:eastAsia="MS Mincho"/>
                <w:szCs w:val="24"/>
                <w:lang w:eastAsia="en-AU"/>
              </w:rPr>
              <w:t>Annual fee based on EFTSL activity in academic year</w:t>
            </w:r>
          </w:p>
        </w:tc>
        <w:tc>
          <w:tcPr>
            <w:tcW w:w="2268" w:type="dxa"/>
            <w:shd w:val="clear" w:color="auto" w:fill="auto"/>
          </w:tcPr>
          <w:p w14:paraId="02645CAD" w14:textId="77777777" w:rsidR="001118A1" w:rsidRPr="00360AC3" w:rsidRDefault="001118A1" w:rsidP="001118A1">
            <w:pPr>
              <w:pStyle w:val="DHHStabletext"/>
              <w:rPr>
                <w:rFonts w:eastAsia="MS Mincho"/>
                <w:szCs w:val="24"/>
                <w:lang w:eastAsia="en-AU"/>
              </w:rPr>
            </w:pPr>
            <w:r w:rsidRPr="00360AC3">
              <w:rPr>
                <w:rFonts w:eastAsia="MS Mincho"/>
                <w:szCs w:val="24"/>
                <w:lang w:eastAsia="en-AU"/>
              </w:rPr>
              <w:t>No fee</w:t>
            </w:r>
          </w:p>
        </w:tc>
      </w:tr>
    </w:tbl>
    <w:p w14:paraId="1531DABB" w14:textId="77777777" w:rsidR="00C1551F" w:rsidRDefault="00C1551F" w:rsidP="00CF62F8">
      <w:pPr>
        <w:pStyle w:val="Body0"/>
        <w:rPr>
          <w:color w:val="auto"/>
          <w:highlight w:val="yellow"/>
        </w:rPr>
      </w:pPr>
    </w:p>
    <w:p w14:paraId="38839070" w14:textId="2B56E86E" w:rsidR="00EA5C12" w:rsidRPr="00360AC3" w:rsidRDefault="00EA5C12" w:rsidP="00CF62F8">
      <w:pPr>
        <w:pStyle w:val="Body0"/>
        <w:rPr>
          <w:color w:val="auto"/>
        </w:rPr>
      </w:pPr>
      <w:r w:rsidRPr="00F20125">
        <w:rPr>
          <w:color w:val="auto"/>
        </w:rPr>
        <w:t>NOTE: The rates in Table 1 are per standard clinical placement day and should be apportioned to actual clinical placement activity. For example, the maximum char</w:t>
      </w:r>
      <w:r w:rsidR="00D017BD" w:rsidRPr="00F20125">
        <w:rPr>
          <w:color w:val="auto"/>
        </w:rPr>
        <w:t>g</w:t>
      </w:r>
      <w:r w:rsidRPr="00F20125">
        <w:rPr>
          <w:color w:val="auto"/>
        </w:rPr>
        <w:t>eable fee for an 8-hour shift would be $</w:t>
      </w:r>
      <w:r w:rsidR="00866FD9" w:rsidRPr="00F20125">
        <w:rPr>
          <w:color w:val="auto"/>
        </w:rPr>
        <w:t>7</w:t>
      </w:r>
      <w:r w:rsidR="00F20125" w:rsidRPr="00F20125">
        <w:rPr>
          <w:color w:val="auto"/>
        </w:rPr>
        <w:t>3</w:t>
      </w:r>
      <w:r w:rsidR="00866FD9" w:rsidRPr="00F20125">
        <w:rPr>
          <w:color w:val="auto"/>
        </w:rPr>
        <w:t>.</w:t>
      </w:r>
      <w:r w:rsidR="00F20125" w:rsidRPr="00F20125">
        <w:rPr>
          <w:color w:val="auto"/>
        </w:rPr>
        <w:t>38</w:t>
      </w:r>
      <w:r w:rsidRPr="00F20125">
        <w:rPr>
          <w:color w:val="auto"/>
        </w:rPr>
        <w:t xml:space="preserve"> for Nursing and Midwifery.</w:t>
      </w:r>
      <w:r>
        <w:rPr>
          <w:color w:val="auto"/>
        </w:rPr>
        <w:t xml:space="preserve"> </w:t>
      </w:r>
    </w:p>
    <w:p w14:paraId="61C6AF5A" w14:textId="77777777" w:rsidR="00CF62F8" w:rsidRPr="00815CEB" w:rsidRDefault="00CF62F8" w:rsidP="00CF62F8">
      <w:pPr>
        <w:pStyle w:val="Heading2"/>
        <w:rPr>
          <w:color w:val="FF0066"/>
          <w:sz w:val="28"/>
        </w:rPr>
      </w:pPr>
      <w:bookmarkStart w:id="25" w:name="_Toc11681748"/>
      <w:bookmarkStart w:id="26" w:name="_Toc75263165"/>
      <w:r w:rsidRPr="00815CEB">
        <w:rPr>
          <w:color w:val="FF0066"/>
          <w:sz w:val="28"/>
        </w:rPr>
        <w:t>Cancellations and absences</w:t>
      </w:r>
      <w:bookmarkEnd w:id="25"/>
      <w:bookmarkEnd w:id="26"/>
    </w:p>
    <w:p w14:paraId="1E41ED22" w14:textId="4646907B" w:rsidR="00CF62F8" w:rsidRPr="00360AC3" w:rsidRDefault="00CF62F8" w:rsidP="00CF62F8">
      <w:pPr>
        <w:pStyle w:val="DHHSbullet1"/>
        <w:numPr>
          <w:ilvl w:val="0"/>
          <w:numId w:val="7"/>
        </w:numPr>
      </w:pPr>
      <w:r w:rsidRPr="00360AC3">
        <w:t xml:space="preserve">A cancellation provision in the Schedule recognises that plans can change unexpectedly, but that there may be costs incurred by the health service for bookings that will not be fulfilled, particularly when the vacated booking cannot be </w:t>
      </w:r>
      <w:proofErr w:type="gramStart"/>
      <w:r w:rsidRPr="00360AC3">
        <w:t>replaced</w:t>
      </w:r>
      <w:proofErr w:type="gramEnd"/>
      <w:r w:rsidRPr="00360AC3">
        <w:t xml:space="preserve"> or staffing roster altered. A cancellation fee also provides a financial disincentive to education providers </w:t>
      </w:r>
      <w:r w:rsidR="00D80C1C" w:rsidRPr="00360AC3">
        <w:t>to</w:t>
      </w:r>
      <w:r w:rsidRPr="00360AC3">
        <w:t xml:space="preserve"> minimise or avert cancelled placements. </w:t>
      </w:r>
    </w:p>
    <w:p w14:paraId="6232F83B" w14:textId="77777777" w:rsidR="00CF62F8" w:rsidRPr="00360AC3" w:rsidRDefault="00CF62F8" w:rsidP="00CF62F8">
      <w:pPr>
        <w:pStyle w:val="DHHSbullet1"/>
        <w:numPr>
          <w:ilvl w:val="0"/>
          <w:numId w:val="7"/>
        </w:numPr>
      </w:pPr>
      <w:r w:rsidRPr="00360AC3">
        <w:t xml:space="preserve">Like the maximum daily fees presented above, the cancellation periods and associated fees are presented as the maximum time frame and cost which a health service may charge education providers for cancelled placement days. Reduced time periods and fees may be agreed between health service and education provider partners. </w:t>
      </w:r>
    </w:p>
    <w:p w14:paraId="5869E931" w14:textId="77777777" w:rsidR="00CF62F8" w:rsidRPr="00360AC3" w:rsidRDefault="00CF62F8" w:rsidP="00CF62F8">
      <w:pPr>
        <w:pStyle w:val="DHHSbullet1"/>
        <w:numPr>
          <w:ilvl w:val="0"/>
          <w:numId w:val="7"/>
        </w:numPr>
      </w:pPr>
      <w:r w:rsidRPr="00360AC3">
        <w:t xml:space="preserve">Partners are encouraged to consider the circumstances for cancellations in determining if, and/or how much of, a cancellation fee should be charged. </w:t>
      </w:r>
    </w:p>
    <w:p w14:paraId="7223DD02" w14:textId="77777777" w:rsidR="00CF62F8" w:rsidRPr="00360AC3" w:rsidRDefault="00CF62F8" w:rsidP="00CF62F8">
      <w:pPr>
        <w:pStyle w:val="DHHSbullet1"/>
        <w:numPr>
          <w:ilvl w:val="0"/>
          <w:numId w:val="7"/>
        </w:numPr>
      </w:pPr>
      <w:r w:rsidRPr="00360AC3">
        <w:t xml:space="preserve">Health services may apply the following fees to placements that have been confirmed by the education provider in </w:t>
      </w:r>
      <w:proofErr w:type="spellStart"/>
      <w:r w:rsidRPr="00360AC3">
        <w:t>Placeright</w:t>
      </w:r>
      <w:proofErr w:type="spellEnd"/>
      <w:r w:rsidRPr="00360AC3">
        <w:t>:</w:t>
      </w:r>
      <w:r w:rsidRPr="00360AC3" w:rsidDel="00663835">
        <w:t xml:space="preserve"> </w:t>
      </w:r>
    </w:p>
    <w:p w14:paraId="64E27841" w14:textId="77777777" w:rsidR="00CF62F8" w:rsidRPr="00360AC3" w:rsidRDefault="00CF62F8" w:rsidP="00CF62F8">
      <w:pPr>
        <w:pStyle w:val="DHHSbullet2"/>
        <w:numPr>
          <w:ilvl w:val="2"/>
          <w:numId w:val="7"/>
        </w:numPr>
        <w:ind w:left="567" w:hanging="283"/>
      </w:pPr>
      <w:r w:rsidRPr="00360AC3">
        <w:t xml:space="preserve">When a booking is formally cancelled (or student numbers reduced) in </w:t>
      </w:r>
      <w:proofErr w:type="spellStart"/>
      <w:r w:rsidRPr="00360AC3">
        <w:t>Placeright</w:t>
      </w:r>
      <w:proofErr w:type="spellEnd"/>
      <w:r w:rsidRPr="00360AC3">
        <w:t xml:space="preserve"> 60 or more calendar days prior to the first day of clinical placement, a maximum fee of $12 (GST exclusive) per student per cancelled day may be charged.</w:t>
      </w:r>
    </w:p>
    <w:p w14:paraId="5F2C506B" w14:textId="77777777" w:rsidR="00CF62F8" w:rsidRPr="00360AC3" w:rsidRDefault="00CF62F8" w:rsidP="00CF62F8">
      <w:pPr>
        <w:pStyle w:val="DHHSbullet2"/>
        <w:numPr>
          <w:ilvl w:val="2"/>
          <w:numId w:val="7"/>
        </w:numPr>
        <w:ind w:left="567" w:hanging="283"/>
      </w:pPr>
      <w:r w:rsidRPr="00360AC3">
        <w:t xml:space="preserve">When a booking is formally cancelled (or student numbers reduced) in </w:t>
      </w:r>
      <w:proofErr w:type="spellStart"/>
      <w:r w:rsidRPr="00360AC3">
        <w:t>Placeright</w:t>
      </w:r>
      <w:proofErr w:type="spellEnd"/>
      <w:r w:rsidRPr="00360AC3">
        <w:t xml:space="preserve"> less than 60 calendar days prior to the first day of clinical placement, the full fee per cancelled day may be charged (as agreed between partners in line with the rates stipulated above). </w:t>
      </w:r>
    </w:p>
    <w:p w14:paraId="42160DE9" w14:textId="77777777" w:rsidR="00CF62F8" w:rsidRPr="00360AC3" w:rsidRDefault="00CF62F8" w:rsidP="00CF62F8">
      <w:pPr>
        <w:pStyle w:val="DHHSbullet2"/>
        <w:numPr>
          <w:ilvl w:val="2"/>
          <w:numId w:val="7"/>
        </w:numPr>
        <w:ind w:left="567" w:hanging="283"/>
      </w:pPr>
      <w:r w:rsidRPr="00360AC3">
        <w:t xml:space="preserve">If a student is absent during a confirmed placement, up to the maximum fee per day may be charged, that is, the full fee per cancelled day. </w:t>
      </w:r>
    </w:p>
    <w:p w14:paraId="632072D8" w14:textId="77777777" w:rsidR="00CF62F8" w:rsidRPr="00360AC3" w:rsidRDefault="00CF62F8" w:rsidP="00CF62F8">
      <w:pPr>
        <w:pStyle w:val="DHHSbullet1"/>
        <w:numPr>
          <w:ilvl w:val="0"/>
          <w:numId w:val="7"/>
        </w:numPr>
      </w:pPr>
      <w:r w:rsidRPr="00360AC3">
        <w:t>No fee may be charged:</w:t>
      </w:r>
    </w:p>
    <w:p w14:paraId="6EE2A215" w14:textId="77777777" w:rsidR="00CF62F8" w:rsidRPr="00360AC3" w:rsidRDefault="00CF62F8" w:rsidP="00CF62F8">
      <w:pPr>
        <w:pStyle w:val="DHHSbullet2"/>
        <w:numPr>
          <w:ilvl w:val="2"/>
          <w:numId w:val="7"/>
        </w:numPr>
        <w:ind w:left="567" w:hanging="283"/>
      </w:pPr>
      <w:r w:rsidRPr="00360AC3">
        <w:t>If the education provider replaces cancelled or reduced bookings</w:t>
      </w:r>
    </w:p>
    <w:p w14:paraId="0770E2C3" w14:textId="77777777" w:rsidR="00CF62F8" w:rsidRPr="00360AC3" w:rsidRDefault="00CF62F8" w:rsidP="00CF62F8">
      <w:pPr>
        <w:pStyle w:val="DHHSbullet2"/>
        <w:numPr>
          <w:ilvl w:val="2"/>
          <w:numId w:val="7"/>
        </w:numPr>
        <w:ind w:left="567" w:hanging="283"/>
      </w:pPr>
      <w:r w:rsidRPr="00360AC3">
        <w:t xml:space="preserve">When a booking has not been confirmed in </w:t>
      </w:r>
      <w:proofErr w:type="spellStart"/>
      <w:r w:rsidRPr="00360AC3">
        <w:t>Placeright</w:t>
      </w:r>
      <w:proofErr w:type="spellEnd"/>
      <w:r w:rsidRPr="00360AC3">
        <w:t xml:space="preserve"> by the education provider as per timelines for clinical placement planning.</w:t>
      </w:r>
    </w:p>
    <w:p w14:paraId="10B8124F" w14:textId="77777777" w:rsidR="00CF62F8" w:rsidRPr="00360AC3" w:rsidRDefault="00CF62F8" w:rsidP="00CF62F8">
      <w:pPr>
        <w:pStyle w:val="DHHSbullet1"/>
        <w:numPr>
          <w:ilvl w:val="0"/>
          <w:numId w:val="7"/>
        </w:numPr>
      </w:pPr>
      <w:r w:rsidRPr="00360AC3">
        <w:lastRenderedPageBreak/>
        <w:t xml:space="preserve">If a public health service cancels a </w:t>
      </w:r>
      <w:proofErr w:type="gramStart"/>
      <w:r w:rsidRPr="00360AC3">
        <w:t>booking</w:t>
      </w:r>
      <w:proofErr w:type="gramEnd"/>
      <w:r w:rsidRPr="00360AC3">
        <w:t xml:space="preserve"> then no fee may be charged to education providers. Student placement agreements may detail any recompense for education providers under this scenario. </w:t>
      </w:r>
    </w:p>
    <w:p w14:paraId="00A30E69" w14:textId="77777777" w:rsidR="00CF62F8" w:rsidRPr="00815CEB" w:rsidRDefault="00CF62F8" w:rsidP="00CF62F8">
      <w:pPr>
        <w:pStyle w:val="Heading2"/>
        <w:rPr>
          <w:color w:val="FF0066"/>
          <w:sz w:val="28"/>
        </w:rPr>
      </w:pPr>
      <w:bookmarkStart w:id="27" w:name="_Toc11681749"/>
      <w:bookmarkStart w:id="28" w:name="_Toc75263166"/>
      <w:r w:rsidRPr="00815CEB">
        <w:rPr>
          <w:color w:val="FF0066"/>
          <w:sz w:val="28"/>
        </w:rPr>
        <w:t>Make-up or supplementary days</w:t>
      </w:r>
      <w:bookmarkEnd w:id="27"/>
      <w:bookmarkEnd w:id="28"/>
    </w:p>
    <w:p w14:paraId="0A6C7DFB" w14:textId="77777777" w:rsidR="00CF62F8" w:rsidRPr="00360AC3" w:rsidRDefault="00CF62F8" w:rsidP="00CF62F8">
      <w:pPr>
        <w:pStyle w:val="DHHSbullet1"/>
        <w:numPr>
          <w:ilvl w:val="0"/>
          <w:numId w:val="7"/>
        </w:numPr>
      </w:pPr>
      <w:r w:rsidRPr="00360AC3">
        <w:t xml:space="preserve">In the case of make-up or supplementary days, fees may be charged up to the maximum daily rates for any additional days formally arranged and confirmed in </w:t>
      </w:r>
      <w:proofErr w:type="spellStart"/>
      <w:r w:rsidRPr="00360AC3">
        <w:t>Placeright</w:t>
      </w:r>
      <w:proofErr w:type="spellEnd"/>
      <w:r w:rsidRPr="00360AC3">
        <w:t xml:space="preserve"> in addition to any fees charged for the original booking.</w:t>
      </w:r>
    </w:p>
    <w:p w14:paraId="7F29C39F" w14:textId="77777777" w:rsidR="00CF62F8" w:rsidRPr="00815CEB" w:rsidRDefault="00CF62F8" w:rsidP="00CF62F8">
      <w:pPr>
        <w:pStyle w:val="Heading2"/>
        <w:rPr>
          <w:color w:val="FF0066"/>
          <w:sz w:val="28"/>
        </w:rPr>
      </w:pPr>
      <w:bookmarkStart w:id="29" w:name="_Toc11681750"/>
      <w:bookmarkStart w:id="30" w:name="_Toc75263167"/>
      <w:r w:rsidRPr="00815CEB">
        <w:rPr>
          <w:color w:val="FF0066"/>
          <w:sz w:val="28"/>
        </w:rPr>
        <w:t>Non-fee contributions to the cost of clinical placements</w:t>
      </w:r>
      <w:bookmarkEnd w:id="29"/>
      <w:bookmarkEnd w:id="30"/>
    </w:p>
    <w:p w14:paraId="50695867" w14:textId="77777777" w:rsidR="00D80C1C" w:rsidRDefault="00CF62F8" w:rsidP="00CF62F8">
      <w:pPr>
        <w:pStyle w:val="DHHSbody"/>
      </w:pPr>
      <w:r w:rsidRPr="00360AC3">
        <w:t xml:space="preserve">Other than the fees outlined in this Schedule, no financial contributions for clinical placements may be charged to education providers (or students) or accepted by public health services. However, it is encouraged that in-kind arrangements are considered as part of the negotiation and establishment of fees (see </w:t>
      </w:r>
      <w:hyperlink w:anchor="_Arrangements_to_support" w:history="1">
        <w:r w:rsidRPr="008E603A">
          <w:rPr>
            <w:rStyle w:val="Hyperlink"/>
            <w:color w:val="0070C0"/>
          </w:rPr>
          <w:t>Appendix 2</w:t>
        </w:r>
      </w:hyperlink>
      <w:r w:rsidRPr="00360AC3">
        <w:t xml:space="preserve">). </w:t>
      </w:r>
    </w:p>
    <w:p w14:paraId="0042B45F" w14:textId="1C219BF9" w:rsidR="00CF62F8" w:rsidRPr="00360AC3" w:rsidRDefault="00CF62F8" w:rsidP="00CF62F8">
      <w:pPr>
        <w:pStyle w:val="DHHSbody"/>
      </w:pPr>
      <w:r w:rsidRPr="00360AC3">
        <w:t xml:space="preserve">It is also acknowledged that a higher-level agreement may exist between the health service and education provider which documents partnership matters outside of the clinical placement experience (for example, non-clinical teaching provided by health service staff, </w:t>
      </w:r>
      <w:proofErr w:type="gramStart"/>
      <w:r w:rsidRPr="00360AC3">
        <w:t>research</w:t>
      </w:r>
      <w:proofErr w:type="gramEnd"/>
      <w:r w:rsidRPr="00360AC3">
        <w:t xml:space="preserve"> and infrastructure).</w:t>
      </w:r>
    </w:p>
    <w:p w14:paraId="1A0E5749" w14:textId="18A11ACE" w:rsidR="00CF62F8" w:rsidRPr="00360AC3" w:rsidRDefault="00CF62F8" w:rsidP="00CF62F8">
      <w:pPr>
        <w:pStyle w:val="DHHSbody"/>
      </w:pPr>
      <w:r w:rsidRPr="00360AC3">
        <w:t xml:space="preserve">It should also be recognised that other defined contributions exist to contribute to the cost of, and build the capacity and quality of, clinical placements including the Training and Development </w:t>
      </w:r>
      <w:r w:rsidR="00DB79B5">
        <w:t>–</w:t>
      </w:r>
      <w:r w:rsidRPr="00360AC3">
        <w:t xml:space="preserve"> Professional-entry student placement subsidy (provided by the department) [further information available at: </w:t>
      </w:r>
      <w:hyperlink r:id="rId17" w:history="1">
        <w:r w:rsidRPr="00360AC3">
          <w:t>https://www2.health.vic.gov.au/health-workforce/education-and-training/training-development-grant</w:t>
        </w:r>
      </w:hyperlink>
      <w:r w:rsidRPr="00360AC3">
        <w:t>].</w:t>
      </w:r>
    </w:p>
    <w:p w14:paraId="33375CE5" w14:textId="77777777" w:rsidR="00CF62F8" w:rsidRPr="00360AC3" w:rsidRDefault="00CF62F8" w:rsidP="00CF62F8">
      <w:pPr>
        <w:pStyle w:val="DHHSbody"/>
      </w:pPr>
      <w:r w:rsidRPr="00360AC3">
        <w:t>Where the above funding sources, combined with any fees outlined in the Schedule, do not cover the full cost of clinical placements, Victorian public health services absorb the balance of cost through the WIES (Weighted Inlier Equivalent Separation) cost weights provided by the department.</w:t>
      </w:r>
    </w:p>
    <w:p w14:paraId="6DF38913" w14:textId="77777777" w:rsidR="00CF62F8" w:rsidRPr="00360AC3" w:rsidRDefault="00CF62F8" w:rsidP="00CF62F8">
      <w:pPr>
        <w:rPr>
          <w:bCs/>
          <w:sz w:val="44"/>
          <w:szCs w:val="44"/>
        </w:rPr>
      </w:pPr>
      <w:r w:rsidRPr="00360AC3">
        <w:br w:type="page"/>
      </w:r>
    </w:p>
    <w:p w14:paraId="0A0DF25D" w14:textId="77777777" w:rsidR="00360AC3" w:rsidRPr="008E603A" w:rsidRDefault="00360AC3" w:rsidP="008E603A">
      <w:pPr>
        <w:pStyle w:val="Heading1"/>
        <w:spacing w:before="0"/>
        <w:rPr>
          <w:rFonts w:eastAsia="Times New Roman" w:cs="Times New Roman"/>
          <w:color w:val="FF0066"/>
          <w:kern w:val="0"/>
        </w:rPr>
      </w:pPr>
      <w:bookmarkStart w:id="31" w:name="_Toc75263168"/>
      <w:bookmarkEnd w:id="17"/>
      <w:r w:rsidRPr="008E603A">
        <w:rPr>
          <w:rFonts w:eastAsia="Times New Roman" w:cs="Times New Roman"/>
          <w:color w:val="FF0066"/>
          <w:kern w:val="0"/>
        </w:rPr>
        <w:lastRenderedPageBreak/>
        <w:t>Implementation</w:t>
      </w:r>
      <w:bookmarkEnd w:id="31"/>
      <w:r w:rsidRPr="008E603A">
        <w:rPr>
          <w:rFonts w:eastAsia="Times New Roman" w:cs="Times New Roman"/>
          <w:color w:val="FF0066"/>
          <w:kern w:val="0"/>
        </w:rPr>
        <w:t xml:space="preserve"> </w:t>
      </w:r>
    </w:p>
    <w:p w14:paraId="54178E75" w14:textId="188F9836" w:rsidR="00360AC3" w:rsidRDefault="00360AC3" w:rsidP="00360AC3">
      <w:pPr>
        <w:pStyle w:val="DHHSbullet1"/>
        <w:numPr>
          <w:ilvl w:val="0"/>
          <w:numId w:val="7"/>
        </w:numPr>
      </w:pPr>
      <w:r w:rsidRPr="00E037D6">
        <w:t xml:space="preserve">This Schedule is effective </w:t>
      </w:r>
      <w:r>
        <w:t>for activity occurring from</w:t>
      </w:r>
      <w:r w:rsidRPr="00E037D6">
        <w:t xml:space="preserve"> 1 </w:t>
      </w:r>
      <w:r w:rsidRPr="0035546C">
        <w:t xml:space="preserve">January </w:t>
      </w:r>
      <w:r w:rsidR="009D1FD6" w:rsidRPr="0035546C">
        <w:t>202</w:t>
      </w:r>
      <w:r w:rsidR="0035546C" w:rsidRPr="0035546C">
        <w:t>4</w:t>
      </w:r>
      <w:r w:rsidRPr="0035546C">
        <w:t>. Public</w:t>
      </w:r>
      <w:r w:rsidRPr="00E037D6">
        <w:t xml:space="preserve"> health services and their partner education providers have a responsibility to establish fees in adherence not only with the maximum chargeable rates, but also with the principles and v</w:t>
      </w:r>
      <w:r>
        <w:t xml:space="preserve">alues outlined in the Schedule. </w:t>
      </w:r>
    </w:p>
    <w:p w14:paraId="26C112F2" w14:textId="77777777" w:rsidR="00360AC3" w:rsidRDefault="00360AC3" w:rsidP="00360AC3">
      <w:pPr>
        <w:pStyle w:val="DHHSbullet1"/>
        <w:numPr>
          <w:ilvl w:val="0"/>
          <w:numId w:val="7"/>
        </w:numPr>
      </w:pPr>
      <w:r w:rsidRPr="00E037D6">
        <w:t xml:space="preserve">Any fees (in accordance with the Schedule) should be communicated clearly to partners whilst planning </w:t>
      </w:r>
      <w:proofErr w:type="gramStart"/>
      <w:r w:rsidRPr="00E037D6">
        <w:t>placements, and</w:t>
      </w:r>
      <w:proofErr w:type="gramEnd"/>
      <w:r w:rsidRPr="00E037D6">
        <w:t xml:space="preserve"> reflected explicitly in current and/or future partnership agreements. </w:t>
      </w:r>
      <w:r>
        <w:t>Further information is provided in the ‘</w:t>
      </w:r>
      <w:r w:rsidRPr="00E037D6">
        <w:t>Documentation of established fees</w:t>
      </w:r>
      <w:r>
        <w:t>’</w:t>
      </w:r>
      <w:r w:rsidRPr="00E037D6">
        <w:t xml:space="preserve"> section</w:t>
      </w:r>
      <w:r>
        <w:t xml:space="preserve"> </w:t>
      </w:r>
      <w:r w:rsidRPr="00846763">
        <w:t>below.</w:t>
      </w:r>
      <w:r w:rsidRPr="00D43244">
        <w:t xml:space="preserve"> </w:t>
      </w:r>
    </w:p>
    <w:p w14:paraId="58008BBB" w14:textId="77777777" w:rsidR="00360AC3" w:rsidRPr="008E603A" w:rsidRDefault="00360AC3" w:rsidP="008E603A">
      <w:pPr>
        <w:pStyle w:val="Heading2"/>
        <w:rPr>
          <w:b w:val="0"/>
          <w:bCs/>
          <w:color w:val="FF0066"/>
          <w:sz w:val="44"/>
          <w:szCs w:val="44"/>
        </w:rPr>
      </w:pPr>
      <w:bookmarkStart w:id="32" w:name="_Toc11681752"/>
      <w:bookmarkStart w:id="33" w:name="_Toc75263169"/>
      <w:r w:rsidRPr="008E603A">
        <w:rPr>
          <w:b w:val="0"/>
          <w:bCs/>
          <w:color w:val="FF0066"/>
          <w:sz w:val="44"/>
          <w:szCs w:val="44"/>
        </w:rPr>
        <w:t>Documentation of established fees</w:t>
      </w:r>
      <w:bookmarkEnd w:id="32"/>
      <w:bookmarkEnd w:id="33"/>
    </w:p>
    <w:p w14:paraId="27FD5928" w14:textId="77777777" w:rsidR="00360AC3" w:rsidRPr="00D43244" w:rsidRDefault="00360AC3" w:rsidP="00360AC3">
      <w:pPr>
        <w:pStyle w:val="DHHSbullet1"/>
        <w:numPr>
          <w:ilvl w:val="0"/>
          <w:numId w:val="7"/>
        </w:numPr>
      </w:pPr>
      <w:r w:rsidRPr="00D43244">
        <w:t>The Schedule provides guidance and direction for public health services and partner education providers in establishing fees by setting maximum chargeable fees for clinical placements. It does not replace the requirement for negotiation and documentation of agreed terms and conditions for clinical placements through a partnership agreement.</w:t>
      </w:r>
    </w:p>
    <w:p w14:paraId="3D520D4D" w14:textId="77777777" w:rsidR="00360AC3" w:rsidRPr="00D43244" w:rsidRDefault="00360AC3" w:rsidP="00360AC3">
      <w:pPr>
        <w:pStyle w:val="DHHSbullet1"/>
        <w:numPr>
          <w:ilvl w:val="0"/>
          <w:numId w:val="7"/>
        </w:numPr>
      </w:pPr>
      <w:r>
        <w:t>Student placement a</w:t>
      </w:r>
      <w:r w:rsidRPr="00D43244" w:rsidDel="00C86C16">
        <w:t xml:space="preserve">greements should provide clarity on terms and conditions (including on </w:t>
      </w:r>
      <w:r w:rsidRPr="00D43244">
        <w:t xml:space="preserve">fees for clinical placements and any charges for </w:t>
      </w:r>
      <w:r w:rsidRPr="00D43244" w:rsidDel="00C86C16">
        <w:t>cancellations), roles and responsibilities, and expectations of partners.</w:t>
      </w:r>
      <w:r w:rsidRPr="00D43244">
        <w:t xml:space="preserve"> </w:t>
      </w:r>
    </w:p>
    <w:p w14:paraId="0FD51E8A" w14:textId="77777777" w:rsidR="00360AC3" w:rsidRPr="00D43244" w:rsidRDefault="00360AC3" w:rsidP="00360AC3">
      <w:pPr>
        <w:pStyle w:val="DHHSbullet1"/>
        <w:numPr>
          <w:ilvl w:val="0"/>
          <w:numId w:val="7"/>
        </w:numPr>
      </w:pPr>
      <w:r w:rsidRPr="00D43244">
        <w:t xml:space="preserve">Fees charged to each education provider should </w:t>
      </w:r>
      <w:r>
        <w:t>not be amended more frequently than annually</w:t>
      </w:r>
      <w:r w:rsidRPr="00D43244">
        <w:t xml:space="preserve">, with documentation uploaded to the </w:t>
      </w:r>
      <w:r>
        <w:t>‘</w:t>
      </w:r>
      <w:r w:rsidRPr="00D43244">
        <w:t>Partnership agreement</w:t>
      </w:r>
      <w:r>
        <w:t xml:space="preserve"> documentation’</w:t>
      </w:r>
      <w:r w:rsidRPr="00D43244">
        <w:t xml:space="preserve"> section of </w:t>
      </w:r>
      <w:proofErr w:type="spellStart"/>
      <w:r>
        <w:t>Placeright</w:t>
      </w:r>
      <w:proofErr w:type="spellEnd"/>
      <w:r w:rsidRPr="00D43244">
        <w:t>.</w:t>
      </w:r>
    </w:p>
    <w:p w14:paraId="7E014642" w14:textId="77777777" w:rsidR="00360AC3" w:rsidRPr="008E603A" w:rsidRDefault="00360AC3" w:rsidP="008E603A">
      <w:pPr>
        <w:pStyle w:val="Heading2"/>
        <w:rPr>
          <w:b w:val="0"/>
          <w:bCs/>
          <w:color w:val="FF0066"/>
          <w:sz w:val="44"/>
          <w:szCs w:val="44"/>
        </w:rPr>
      </w:pPr>
      <w:bookmarkStart w:id="34" w:name="_Toc11681753"/>
      <w:bookmarkStart w:id="35" w:name="_Toc75263170"/>
      <w:r w:rsidRPr="008E603A">
        <w:rPr>
          <w:b w:val="0"/>
          <w:bCs/>
          <w:color w:val="FF0066"/>
          <w:sz w:val="44"/>
          <w:szCs w:val="44"/>
        </w:rPr>
        <w:t>Compliance</w:t>
      </w:r>
      <w:bookmarkEnd w:id="34"/>
      <w:bookmarkEnd w:id="35"/>
    </w:p>
    <w:p w14:paraId="11F13FAD" w14:textId="7BC0F49F" w:rsidR="00360AC3" w:rsidRPr="008E603A" w:rsidRDefault="00360AC3" w:rsidP="00360AC3">
      <w:pPr>
        <w:pStyle w:val="DHHSbullet1"/>
        <w:ind w:left="0" w:firstLine="0"/>
        <w:rPr>
          <w:rFonts w:eastAsia="Times New Roman"/>
          <w:bCs/>
          <w:color w:val="FF0066"/>
          <w:sz w:val="44"/>
          <w:szCs w:val="44"/>
        </w:rPr>
      </w:pPr>
      <w:r w:rsidRPr="005B32DB">
        <w:t xml:space="preserve">Compliance with the Schedule is a condition of receiving the department’s Training and Development </w:t>
      </w:r>
      <w:r w:rsidR="00DB79B5">
        <w:t>–</w:t>
      </w:r>
      <w:r>
        <w:t xml:space="preserve"> P</w:t>
      </w:r>
      <w:r w:rsidRPr="005B32DB">
        <w:t>rofessional-entry student placement</w:t>
      </w:r>
      <w:r>
        <w:t xml:space="preserve"> subsidy</w:t>
      </w:r>
      <w:r w:rsidRPr="005B32DB">
        <w:t>, as specified in the annual Victorian Health</w:t>
      </w:r>
      <w:r>
        <w:t xml:space="preserve"> Services</w:t>
      </w:r>
      <w:r w:rsidRPr="005B32DB">
        <w:t xml:space="preserve"> Policy and Funding Guidelines.</w:t>
      </w:r>
      <w:r>
        <w:t xml:space="preserve"> Known breaches of the Schedule may be raised with the department via email to </w:t>
      </w:r>
      <w:hyperlink r:id="rId18" w:history="1">
        <w:r w:rsidRPr="004778AC">
          <w:rPr>
            <w:rStyle w:val="Hyperlink"/>
          </w:rPr>
          <w:t>vicworkforce@dhhs.vic.gov.au</w:t>
        </w:r>
      </w:hyperlink>
      <w:r>
        <w:t xml:space="preserve">. </w:t>
      </w:r>
      <w:r w:rsidRPr="00D43244">
        <w:br w:type="page"/>
      </w:r>
      <w:bookmarkStart w:id="36" w:name="_Toc447797547"/>
      <w:r w:rsidRPr="008E603A">
        <w:rPr>
          <w:rFonts w:eastAsia="Times New Roman"/>
          <w:color w:val="FF0066"/>
          <w:sz w:val="44"/>
          <w:szCs w:val="44"/>
        </w:rPr>
        <w:lastRenderedPageBreak/>
        <w:t>Appendix 1: Allied Health Disciplines</w:t>
      </w:r>
      <w:r w:rsidRPr="008E603A">
        <w:rPr>
          <w:rFonts w:eastAsia="Times New Roman"/>
          <w:bCs/>
          <w:color w:val="FF0066"/>
          <w:sz w:val="44"/>
          <w:szCs w:val="44"/>
        </w:rPr>
        <w:t xml:space="preserve"> </w:t>
      </w:r>
      <w:bookmarkEnd w:id="36"/>
    </w:p>
    <w:p w14:paraId="6F248053" w14:textId="77777777" w:rsidR="00360AC3" w:rsidRPr="00534B53" w:rsidRDefault="00360AC3" w:rsidP="00360AC3">
      <w:pPr>
        <w:pStyle w:val="Healthbody"/>
        <w:spacing w:after="100"/>
        <w:jc w:val="both"/>
        <w:rPr>
          <w:color w:val="000000"/>
          <w:szCs w:val="20"/>
        </w:rPr>
      </w:pPr>
    </w:p>
    <w:tbl>
      <w:tblPr>
        <w:tblW w:w="61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tblGrid>
      <w:tr w:rsidR="00360AC3" w:rsidRPr="003072C6" w14:paraId="6D606490" w14:textId="77777777" w:rsidTr="3FA05AD1">
        <w:trPr>
          <w:tblHeader/>
        </w:trPr>
        <w:tc>
          <w:tcPr>
            <w:tcW w:w="6124" w:type="dxa"/>
            <w:shd w:val="clear" w:color="auto" w:fill="auto"/>
          </w:tcPr>
          <w:p w14:paraId="665BDDFF" w14:textId="77777777" w:rsidR="00360AC3" w:rsidRPr="00815CEB" w:rsidRDefault="00360AC3" w:rsidP="00F8206B">
            <w:pPr>
              <w:pStyle w:val="Heading2"/>
              <w:rPr>
                <w:szCs w:val="32"/>
              </w:rPr>
            </w:pPr>
            <w:bookmarkStart w:id="37" w:name="_Allied_health_discipline"/>
            <w:bookmarkStart w:id="38" w:name="_Toc11681754"/>
            <w:bookmarkStart w:id="39" w:name="_Toc75263171"/>
            <w:bookmarkEnd w:id="37"/>
            <w:r w:rsidRPr="00815CEB">
              <w:rPr>
                <w:b w:val="0"/>
                <w:color w:val="FF0066"/>
                <w:szCs w:val="32"/>
              </w:rPr>
              <w:t>Allied health discipline</w:t>
            </w:r>
            <w:bookmarkEnd w:id="38"/>
            <w:bookmarkEnd w:id="39"/>
            <w:r w:rsidRPr="00815CEB">
              <w:rPr>
                <w:szCs w:val="32"/>
              </w:rPr>
              <w:t xml:space="preserve"> </w:t>
            </w:r>
          </w:p>
        </w:tc>
      </w:tr>
      <w:tr w:rsidR="00360AC3" w:rsidRPr="003072C6" w14:paraId="3D4517A2" w14:textId="77777777" w:rsidTr="3FA05AD1">
        <w:tc>
          <w:tcPr>
            <w:tcW w:w="6124" w:type="dxa"/>
            <w:shd w:val="clear" w:color="auto" w:fill="auto"/>
          </w:tcPr>
          <w:p w14:paraId="25FEDBDB" w14:textId="34756083" w:rsidR="00360AC3" w:rsidRPr="003072C6" w:rsidRDefault="00DB79B5" w:rsidP="00F8206B">
            <w:pPr>
              <w:pStyle w:val="DHHStabletext"/>
            </w:pPr>
            <w:r>
              <w:t>Allied Health Assistan</w:t>
            </w:r>
            <w:r w:rsidR="00245857">
              <w:t>t</w:t>
            </w:r>
            <w:r>
              <w:t xml:space="preserve"> (Cert III and Cert IV)</w:t>
            </w:r>
          </w:p>
        </w:tc>
      </w:tr>
      <w:tr w:rsidR="00DB79B5" w:rsidRPr="003072C6" w14:paraId="095CF341" w14:textId="77777777" w:rsidTr="3FA05AD1">
        <w:tc>
          <w:tcPr>
            <w:tcW w:w="6124" w:type="dxa"/>
            <w:shd w:val="clear" w:color="auto" w:fill="auto"/>
          </w:tcPr>
          <w:p w14:paraId="1A0D4000" w14:textId="7EDE5C5F" w:rsidR="00DB79B5" w:rsidDel="00DB79B5" w:rsidRDefault="00DB79B5" w:rsidP="00F8206B">
            <w:pPr>
              <w:pStyle w:val="DHHStabletext"/>
            </w:pPr>
            <w:r>
              <w:t>Art therapy</w:t>
            </w:r>
          </w:p>
        </w:tc>
      </w:tr>
      <w:tr w:rsidR="00DB79B5" w:rsidRPr="003072C6" w14:paraId="4A413CDB" w14:textId="77777777" w:rsidTr="3FA05AD1">
        <w:tc>
          <w:tcPr>
            <w:tcW w:w="6124" w:type="dxa"/>
            <w:shd w:val="clear" w:color="auto" w:fill="auto"/>
          </w:tcPr>
          <w:p w14:paraId="5385ACC1" w14:textId="56EB1DCF" w:rsidR="00DB79B5" w:rsidRDefault="00DB79B5" w:rsidP="00F8206B">
            <w:pPr>
              <w:pStyle w:val="DHHStabletext"/>
            </w:pPr>
            <w:r>
              <w:t>Audiology</w:t>
            </w:r>
          </w:p>
        </w:tc>
      </w:tr>
      <w:tr w:rsidR="00DB79B5" w:rsidRPr="003072C6" w14:paraId="3D04E0BA" w14:textId="77777777" w:rsidTr="3FA05AD1">
        <w:tc>
          <w:tcPr>
            <w:tcW w:w="6124" w:type="dxa"/>
            <w:shd w:val="clear" w:color="auto" w:fill="auto"/>
          </w:tcPr>
          <w:p w14:paraId="6051CBD0" w14:textId="31FDD2DD" w:rsidR="00DB79B5" w:rsidRDefault="00DB79B5" w:rsidP="00F8206B">
            <w:pPr>
              <w:pStyle w:val="DHHStabletext"/>
            </w:pPr>
            <w:r>
              <w:t>Biomedical Science</w:t>
            </w:r>
          </w:p>
        </w:tc>
      </w:tr>
      <w:tr w:rsidR="00360AC3" w:rsidRPr="003072C6" w14:paraId="3DC6C7B1" w14:textId="77777777" w:rsidTr="3FA05AD1">
        <w:tc>
          <w:tcPr>
            <w:tcW w:w="6124" w:type="dxa"/>
            <w:shd w:val="clear" w:color="auto" w:fill="auto"/>
          </w:tcPr>
          <w:p w14:paraId="1EA868BC" w14:textId="16045909" w:rsidR="00360AC3" w:rsidRDefault="00360AC3" w:rsidP="00F8206B">
            <w:pPr>
              <w:pStyle w:val="DHHStabletext"/>
            </w:pPr>
            <w:r>
              <w:t xml:space="preserve">Dietetics and </w:t>
            </w:r>
            <w:r w:rsidR="00DB79B5">
              <w:t>N</w:t>
            </w:r>
            <w:r>
              <w:t>utrition</w:t>
            </w:r>
          </w:p>
        </w:tc>
      </w:tr>
      <w:tr w:rsidR="00360AC3" w:rsidRPr="003072C6" w14:paraId="0C91AAC3" w14:textId="77777777" w:rsidTr="3FA05AD1">
        <w:tc>
          <w:tcPr>
            <w:tcW w:w="6124" w:type="dxa"/>
            <w:shd w:val="clear" w:color="auto" w:fill="auto"/>
          </w:tcPr>
          <w:p w14:paraId="0DE7B183" w14:textId="3FD860C6" w:rsidR="00360AC3" w:rsidRPr="003072C6" w:rsidRDefault="00360AC3" w:rsidP="00F8206B">
            <w:pPr>
              <w:pStyle w:val="DHHStabletext"/>
            </w:pPr>
            <w:r>
              <w:t xml:space="preserve">Exercise </w:t>
            </w:r>
            <w:r w:rsidR="00DB79B5">
              <w:t>P</w:t>
            </w:r>
            <w:r>
              <w:t xml:space="preserve">hysiology </w:t>
            </w:r>
          </w:p>
        </w:tc>
      </w:tr>
      <w:tr w:rsidR="00360AC3" w:rsidRPr="003072C6" w14:paraId="3A3A0574" w14:textId="77777777" w:rsidTr="3FA05AD1">
        <w:tc>
          <w:tcPr>
            <w:tcW w:w="6124" w:type="dxa"/>
            <w:shd w:val="clear" w:color="auto" w:fill="auto"/>
          </w:tcPr>
          <w:p w14:paraId="706A5489" w14:textId="45D0EE43" w:rsidR="00360AC3" w:rsidRPr="003072C6" w:rsidRDefault="4A1386B6" w:rsidP="3FA05AD1">
            <w:pPr>
              <w:pStyle w:val="DHHStabletext"/>
              <w:spacing w:line="259" w:lineRule="auto"/>
            </w:pPr>
            <w:r>
              <w:t xml:space="preserve">Medical </w:t>
            </w:r>
            <w:r w:rsidR="00DB79B5">
              <w:t>L</w:t>
            </w:r>
            <w:r>
              <w:t xml:space="preserve">aboratory </w:t>
            </w:r>
            <w:r w:rsidR="00DB79B5">
              <w:t>S</w:t>
            </w:r>
            <w:r>
              <w:t>cience</w:t>
            </w:r>
          </w:p>
        </w:tc>
      </w:tr>
      <w:tr w:rsidR="3FA05AD1" w14:paraId="0FFD3873" w14:textId="77777777" w:rsidTr="3FA05AD1">
        <w:tc>
          <w:tcPr>
            <w:tcW w:w="6124" w:type="dxa"/>
            <w:shd w:val="clear" w:color="auto" w:fill="auto"/>
          </w:tcPr>
          <w:p w14:paraId="5BC8D578" w14:textId="7B5149B1" w:rsidR="4A1386B6" w:rsidRDefault="4A1386B6" w:rsidP="3FA05AD1">
            <w:pPr>
              <w:pStyle w:val="DHHStabletext"/>
              <w:spacing w:line="259" w:lineRule="auto"/>
            </w:pPr>
            <w:r w:rsidRPr="3FA05AD1">
              <w:t xml:space="preserve">Medical </w:t>
            </w:r>
            <w:r w:rsidR="00DB79B5">
              <w:t>P</w:t>
            </w:r>
            <w:r w:rsidRPr="3FA05AD1">
              <w:t>hysics</w:t>
            </w:r>
          </w:p>
        </w:tc>
      </w:tr>
      <w:tr w:rsidR="00DB79B5" w14:paraId="5DF7A81D" w14:textId="77777777" w:rsidTr="3FA05AD1">
        <w:tc>
          <w:tcPr>
            <w:tcW w:w="6124" w:type="dxa"/>
            <w:shd w:val="clear" w:color="auto" w:fill="auto"/>
          </w:tcPr>
          <w:p w14:paraId="60A6116F" w14:textId="361AFB40" w:rsidR="00DB79B5" w:rsidRPr="3FA05AD1" w:rsidRDefault="00DB79B5" w:rsidP="3FA05AD1">
            <w:pPr>
              <w:pStyle w:val="DHHStabletext"/>
              <w:spacing w:line="259" w:lineRule="auto"/>
            </w:pPr>
            <w:r>
              <w:t xml:space="preserve">Music </w:t>
            </w:r>
            <w:r w:rsidR="00E27439">
              <w:t>T</w:t>
            </w:r>
            <w:r>
              <w:t>herapy</w:t>
            </w:r>
          </w:p>
        </w:tc>
      </w:tr>
      <w:tr w:rsidR="3FA05AD1" w14:paraId="059D0362" w14:textId="77777777" w:rsidTr="3FA05AD1">
        <w:tc>
          <w:tcPr>
            <w:tcW w:w="6124" w:type="dxa"/>
            <w:shd w:val="clear" w:color="auto" w:fill="auto"/>
          </w:tcPr>
          <w:p w14:paraId="394A763A" w14:textId="788504D5" w:rsidR="4A1386B6" w:rsidRDefault="4A1386B6" w:rsidP="3FA05AD1">
            <w:pPr>
              <w:pStyle w:val="DHHStabletext"/>
              <w:spacing w:line="259" w:lineRule="auto"/>
            </w:pPr>
            <w:r w:rsidRPr="3FA05AD1">
              <w:t xml:space="preserve">Nuclear </w:t>
            </w:r>
            <w:r w:rsidR="00E27439">
              <w:t>M</w:t>
            </w:r>
            <w:r w:rsidRPr="3FA05AD1">
              <w:t>edicine</w:t>
            </w:r>
          </w:p>
        </w:tc>
      </w:tr>
      <w:tr w:rsidR="00360AC3" w:rsidRPr="003072C6" w14:paraId="3A17CBE4" w14:textId="77777777" w:rsidTr="3FA05AD1">
        <w:tc>
          <w:tcPr>
            <w:tcW w:w="6124" w:type="dxa"/>
            <w:shd w:val="clear" w:color="auto" w:fill="auto"/>
          </w:tcPr>
          <w:p w14:paraId="5EF00C61" w14:textId="22175132" w:rsidR="00360AC3" w:rsidRDefault="00360AC3" w:rsidP="00F8206B">
            <w:pPr>
              <w:pStyle w:val="DHHStabletext"/>
            </w:pPr>
            <w:r>
              <w:t xml:space="preserve">Occupational </w:t>
            </w:r>
            <w:r w:rsidR="00E27439">
              <w:t>T</w:t>
            </w:r>
            <w:r>
              <w:t>herapy</w:t>
            </w:r>
          </w:p>
        </w:tc>
      </w:tr>
      <w:tr w:rsidR="00360AC3" w:rsidRPr="003072C6" w14:paraId="178012E2" w14:textId="77777777" w:rsidTr="3FA05AD1">
        <w:tc>
          <w:tcPr>
            <w:tcW w:w="6124" w:type="dxa"/>
            <w:shd w:val="clear" w:color="auto" w:fill="auto"/>
          </w:tcPr>
          <w:p w14:paraId="3DF5BDD3" w14:textId="77777777" w:rsidR="00360AC3" w:rsidRDefault="00360AC3" w:rsidP="00F8206B">
            <w:pPr>
              <w:pStyle w:val="DHHStabletext"/>
            </w:pPr>
            <w:r>
              <w:t>Optometry</w:t>
            </w:r>
          </w:p>
        </w:tc>
      </w:tr>
      <w:tr w:rsidR="00360AC3" w:rsidRPr="003072C6" w14:paraId="55883620" w14:textId="77777777" w:rsidTr="3FA05AD1">
        <w:tc>
          <w:tcPr>
            <w:tcW w:w="6124" w:type="dxa"/>
            <w:shd w:val="clear" w:color="auto" w:fill="auto"/>
          </w:tcPr>
          <w:p w14:paraId="276129AA" w14:textId="77777777" w:rsidR="00360AC3" w:rsidRDefault="00360AC3" w:rsidP="00F8206B">
            <w:pPr>
              <w:pStyle w:val="DHHStabletext"/>
            </w:pPr>
            <w:r>
              <w:t>Orthoptics</w:t>
            </w:r>
          </w:p>
        </w:tc>
      </w:tr>
      <w:tr w:rsidR="00360AC3" w:rsidRPr="003072C6" w14:paraId="0FA54B9D" w14:textId="77777777" w:rsidTr="3FA05AD1">
        <w:tc>
          <w:tcPr>
            <w:tcW w:w="6124" w:type="dxa"/>
            <w:shd w:val="clear" w:color="auto" w:fill="auto"/>
          </w:tcPr>
          <w:p w14:paraId="65913B85" w14:textId="77777777" w:rsidR="00360AC3" w:rsidRDefault="00360AC3" w:rsidP="00F8206B">
            <w:pPr>
              <w:pStyle w:val="DHHStabletext"/>
            </w:pPr>
            <w:r>
              <w:t>Pharmacy</w:t>
            </w:r>
          </w:p>
        </w:tc>
      </w:tr>
      <w:tr w:rsidR="00360AC3" w:rsidRPr="003072C6" w14:paraId="20344F6F" w14:textId="77777777" w:rsidTr="3FA05AD1">
        <w:tc>
          <w:tcPr>
            <w:tcW w:w="6124" w:type="dxa"/>
            <w:shd w:val="clear" w:color="auto" w:fill="auto"/>
          </w:tcPr>
          <w:p w14:paraId="535287E5" w14:textId="77777777" w:rsidR="00360AC3" w:rsidRDefault="00360AC3" w:rsidP="00F8206B">
            <w:pPr>
              <w:pStyle w:val="DHHStabletext"/>
            </w:pPr>
            <w:r>
              <w:t xml:space="preserve">Physiotherapy </w:t>
            </w:r>
          </w:p>
        </w:tc>
      </w:tr>
      <w:tr w:rsidR="00360AC3" w:rsidRPr="003072C6" w14:paraId="29ED1A17" w14:textId="77777777" w:rsidTr="3FA05AD1">
        <w:tc>
          <w:tcPr>
            <w:tcW w:w="6124" w:type="dxa"/>
            <w:shd w:val="clear" w:color="auto" w:fill="auto"/>
          </w:tcPr>
          <w:p w14:paraId="11D816BD" w14:textId="77777777" w:rsidR="00360AC3" w:rsidRDefault="00360AC3" w:rsidP="00F8206B">
            <w:pPr>
              <w:pStyle w:val="DHHStabletext"/>
            </w:pPr>
            <w:r>
              <w:t>Podiatry</w:t>
            </w:r>
          </w:p>
        </w:tc>
      </w:tr>
      <w:tr w:rsidR="00360AC3" w:rsidRPr="003072C6" w14:paraId="38AED552" w14:textId="77777777" w:rsidTr="3FA05AD1">
        <w:tc>
          <w:tcPr>
            <w:tcW w:w="6124" w:type="dxa"/>
            <w:shd w:val="clear" w:color="auto" w:fill="auto"/>
          </w:tcPr>
          <w:p w14:paraId="080EBE7F" w14:textId="7392C1B4" w:rsidR="00360AC3" w:rsidRDefault="00360AC3" w:rsidP="00F8206B">
            <w:pPr>
              <w:pStyle w:val="DHHStabletext"/>
            </w:pPr>
            <w:r>
              <w:t xml:space="preserve">Prosthetics and </w:t>
            </w:r>
            <w:r w:rsidR="00E27439">
              <w:t>O</w:t>
            </w:r>
            <w:r>
              <w:t>rthotics</w:t>
            </w:r>
          </w:p>
        </w:tc>
      </w:tr>
      <w:tr w:rsidR="00360AC3" w:rsidRPr="003072C6" w14:paraId="2B754364" w14:textId="77777777" w:rsidTr="3FA05AD1">
        <w:tc>
          <w:tcPr>
            <w:tcW w:w="6124" w:type="dxa"/>
            <w:shd w:val="clear" w:color="auto" w:fill="auto"/>
          </w:tcPr>
          <w:p w14:paraId="263A73B2" w14:textId="284DFA67" w:rsidR="00360AC3" w:rsidRDefault="00360AC3" w:rsidP="00F8206B">
            <w:pPr>
              <w:pStyle w:val="DHHStabletext"/>
            </w:pPr>
            <w:r>
              <w:t xml:space="preserve">Psychology </w:t>
            </w:r>
            <w:r w:rsidR="7196732B">
              <w:t>(</w:t>
            </w:r>
            <w:proofErr w:type="gramStart"/>
            <w:r w:rsidR="7196732B">
              <w:t>clinically-based</w:t>
            </w:r>
            <w:proofErr w:type="gramEnd"/>
            <w:r w:rsidR="7196732B">
              <w:t>)</w:t>
            </w:r>
          </w:p>
        </w:tc>
      </w:tr>
      <w:tr w:rsidR="3FA05AD1" w14:paraId="37EC8C7A" w14:textId="77777777" w:rsidTr="3FA05AD1">
        <w:tc>
          <w:tcPr>
            <w:tcW w:w="6124" w:type="dxa"/>
            <w:shd w:val="clear" w:color="auto" w:fill="auto"/>
          </w:tcPr>
          <w:p w14:paraId="637EAF1E" w14:textId="7C27C49E" w:rsidR="7196732B" w:rsidRDefault="7196732B" w:rsidP="3FA05AD1">
            <w:pPr>
              <w:pStyle w:val="DHHStabletext"/>
            </w:pPr>
            <w:r w:rsidRPr="3FA05AD1">
              <w:t xml:space="preserve">Radiography / </w:t>
            </w:r>
            <w:r w:rsidR="00E27439">
              <w:t>D</w:t>
            </w:r>
            <w:r w:rsidRPr="3FA05AD1">
              <w:t xml:space="preserve">iagnostic </w:t>
            </w:r>
            <w:r w:rsidR="00E27439">
              <w:t>I</w:t>
            </w:r>
            <w:r w:rsidRPr="3FA05AD1">
              <w:t>maging</w:t>
            </w:r>
          </w:p>
        </w:tc>
      </w:tr>
      <w:tr w:rsidR="3FA05AD1" w14:paraId="17DA073A" w14:textId="77777777" w:rsidTr="3FA05AD1">
        <w:tc>
          <w:tcPr>
            <w:tcW w:w="6124" w:type="dxa"/>
            <w:shd w:val="clear" w:color="auto" w:fill="auto"/>
          </w:tcPr>
          <w:p w14:paraId="00C5F73D" w14:textId="1CAED371" w:rsidR="7196732B" w:rsidRDefault="7196732B" w:rsidP="3FA05AD1">
            <w:pPr>
              <w:pStyle w:val="DHHStabletext"/>
            </w:pPr>
            <w:r w:rsidRPr="3FA05AD1">
              <w:t xml:space="preserve">Radiation </w:t>
            </w:r>
            <w:r w:rsidR="00E27439">
              <w:t>T</w:t>
            </w:r>
            <w:r w:rsidRPr="3FA05AD1">
              <w:t>herapy</w:t>
            </w:r>
          </w:p>
        </w:tc>
      </w:tr>
      <w:tr w:rsidR="00360AC3" w:rsidRPr="003072C6" w14:paraId="4043CCEB" w14:textId="77777777" w:rsidTr="3FA05AD1">
        <w:tc>
          <w:tcPr>
            <w:tcW w:w="6124" w:type="dxa"/>
            <w:shd w:val="clear" w:color="auto" w:fill="auto"/>
          </w:tcPr>
          <w:p w14:paraId="4CA710FE" w14:textId="79F25B35" w:rsidR="00360AC3" w:rsidRDefault="00360AC3" w:rsidP="00F8206B">
            <w:pPr>
              <w:pStyle w:val="DHHStabletext"/>
            </w:pPr>
            <w:r>
              <w:t xml:space="preserve">Social </w:t>
            </w:r>
            <w:r w:rsidR="00E27439">
              <w:t>W</w:t>
            </w:r>
            <w:r>
              <w:t>ork</w:t>
            </w:r>
          </w:p>
        </w:tc>
      </w:tr>
      <w:tr w:rsidR="00360AC3" w:rsidRPr="003072C6" w14:paraId="5715E933" w14:textId="77777777" w:rsidTr="3FA05AD1">
        <w:tc>
          <w:tcPr>
            <w:tcW w:w="6124" w:type="dxa"/>
            <w:shd w:val="clear" w:color="auto" w:fill="auto"/>
          </w:tcPr>
          <w:p w14:paraId="04193BC0" w14:textId="61A1F331" w:rsidR="00360AC3" w:rsidRDefault="00360AC3" w:rsidP="00F8206B">
            <w:pPr>
              <w:pStyle w:val="DHHStabletext"/>
            </w:pPr>
            <w:r>
              <w:t xml:space="preserve">Speech </w:t>
            </w:r>
            <w:r w:rsidR="00E27439">
              <w:t>P</w:t>
            </w:r>
            <w:r>
              <w:t>athology</w:t>
            </w:r>
          </w:p>
        </w:tc>
      </w:tr>
    </w:tbl>
    <w:p w14:paraId="7EA0290F" w14:textId="77777777" w:rsidR="00360AC3" w:rsidRPr="00534B53" w:rsidRDefault="00360AC3" w:rsidP="00360AC3">
      <w:pPr>
        <w:pStyle w:val="Healthbody"/>
        <w:spacing w:after="100"/>
        <w:jc w:val="both"/>
        <w:rPr>
          <w:color w:val="000000"/>
          <w:szCs w:val="20"/>
        </w:rPr>
      </w:pPr>
    </w:p>
    <w:p w14:paraId="615414FD" w14:textId="77777777" w:rsidR="00360AC3" w:rsidRPr="00846763" w:rsidRDefault="00360AC3" w:rsidP="00360AC3">
      <w:pPr>
        <w:pStyle w:val="Body0"/>
        <w:rPr>
          <w:color w:val="000000"/>
          <w:szCs w:val="20"/>
        </w:rPr>
      </w:pPr>
      <w:r>
        <w:rPr>
          <w:color w:val="000000"/>
          <w:szCs w:val="20"/>
        </w:rPr>
        <w:t xml:space="preserve">N.B: As per the ‘Applicability’ section of this document, the Schedule applies to clinical placement activity for the above-mentioned disciplines. </w:t>
      </w:r>
      <w:r>
        <w:rPr>
          <w:color w:val="000000"/>
          <w:szCs w:val="20"/>
        </w:rPr>
        <w:br w:type="page"/>
      </w:r>
      <w:r w:rsidRPr="008E603A">
        <w:rPr>
          <w:rFonts w:eastAsia="Times New Roman"/>
          <w:bCs/>
          <w:color w:val="FF0066"/>
          <w:sz w:val="44"/>
          <w:szCs w:val="44"/>
        </w:rPr>
        <w:lastRenderedPageBreak/>
        <w:t>Appendix 2: Suggested options for in-kind arrangements</w:t>
      </w:r>
    </w:p>
    <w:p w14:paraId="71B62784" w14:textId="77777777" w:rsidR="00360AC3" w:rsidRPr="00846763" w:rsidRDefault="00360AC3" w:rsidP="00360AC3">
      <w:pPr>
        <w:pStyle w:val="DHHSbody"/>
      </w:pPr>
      <w:r w:rsidRPr="00846763">
        <w:t xml:space="preserve">Some examples of in-kind contributions are listed below; </w:t>
      </w:r>
      <w:proofErr w:type="gramStart"/>
      <w:r w:rsidRPr="00846763">
        <w:t>however</w:t>
      </w:r>
      <w:proofErr w:type="gramEnd"/>
      <w:r w:rsidRPr="00846763">
        <w:t xml:space="preserve"> it should be noted that this list is not exhaustive.</w:t>
      </w:r>
    </w:p>
    <w:p w14:paraId="7416EB96" w14:textId="77777777" w:rsidR="00360AC3" w:rsidRPr="00815CEB" w:rsidRDefault="00360AC3" w:rsidP="00360AC3">
      <w:pPr>
        <w:pStyle w:val="Heading2"/>
        <w:rPr>
          <w:color w:val="FF0066"/>
          <w:sz w:val="28"/>
        </w:rPr>
      </w:pPr>
      <w:bookmarkStart w:id="40" w:name="_Arrangements_to_support"/>
      <w:bookmarkStart w:id="41" w:name="_Toc11681755"/>
      <w:bookmarkStart w:id="42" w:name="_Toc75263172"/>
      <w:bookmarkEnd w:id="40"/>
      <w:r w:rsidRPr="00815CEB">
        <w:rPr>
          <w:color w:val="FF0066"/>
          <w:sz w:val="28"/>
        </w:rPr>
        <w:t xml:space="preserve">Arrangements to support education and </w:t>
      </w:r>
      <w:proofErr w:type="gramStart"/>
      <w:r w:rsidRPr="00815CEB">
        <w:rPr>
          <w:color w:val="FF0066"/>
          <w:sz w:val="28"/>
        </w:rPr>
        <w:t>training</w:t>
      </w:r>
      <w:bookmarkEnd w:id="41"/>
      <w:bookmarkEnd w:id="42"/>
      <w:proofErr w:type="gramEnd"/>
    </w:p>
    <w:p w14:paraId="2E58C46B" w14:textId="77777777" w:rsidR="00360AC3" w:rsidRPr="00846763" w:rsidRDefault="00360AC3" w:rsidP="00360AC3">
      <w:pPr>
        <w:pStyle w:val="Body0"/>
        <w:rPr>
          <w:color w:val="auto"/>
        </w:rPr>
      </w:pPr>
      <w:r w:rsidRPr="00846763">
        <w:rPr>
          <w:b/>
          <w:color w:val="auto"/>
        </w:rPr>
        <w:t xml:space="preserve">Options to enhance student </w:t>
      </w:r>
      <w:proofErr w:type="gramStart"/>
      <w:r w:rsidRPr="00846763">
        <w:rPr>
          <w:b/>
          <w:color w:val="auto"/>
        </w:rPr>
        <w:t>supervision</w:t>
      </w:r>
      <w:proofErr w:type="gramEnd"/>
    </w:p>
    <w:p w14:paraId="1E73F824" w14:textId="77777777" w:rsidR="00360AC3" w:rsidRPr="00D43244" w:rsidRDefault="00360AC3" w:rsidP="00360AC3">
      <w:pPr>
        <w:pStyle w:val="DHHSbullet1"/>
        <w:numPr>
          <w:ilvl w:val="0"/>
          <w:numId w:val="7"/>
        </w:numPr>
      </w:pPr>
      <w:r w:rsidRPr="00D43244">
        <w:t>Options to enhance the supervision experience and potentially increase placement capacity with particular emphasis on those providing the supervision. This includes:</w:t>
      </w:r>
    </w:p>
    <w:p w14:paraId="62034A8D" w14:textId="77777777" w:rsidR="00360AC3" w:rsidRPr="00D43244" w:rsidRDefault="00360AC3" w:rsidP="00360AC3">
      <w:pPr>
        <w:pStyle w:val="DHHSbullet2"/>
        <w:numPr>
          <w:ilvl w:val="2"/>
          <w:numId w:val="7"/>
        </w:numPr>
        <w:ind w:left="567" w:hanging="283"/>
      </w:pPr>
      <w:r w:rsidRPr="00D43244">
        <w:t xml:space="preserve">Access to a clinical supervision course </w:t>
      </w:r>
    </w:p>
    <w:p w14:paraId="334FFC62" w14:textId="77777777" w:rsidR="00360AC3" w:rsidRPr="00D43244" w:rsidRDefault="00360AC3" w:rsidP="00360AC3">
      <w:pPr>
        <w:pStyle w:val="DHHSbullet2"/>
        <w:numPr>
          <w:ilvl w:val="2"/>
          <w:numId w:val="7"/>
        </w:numPr>
        <w:ind w:left="567" w:hanging="283"/>
      </w:pPr>
      <w:r w:rsidRPr="00D43244">
        <w:t xml:space="preserve">Access to adult learning education including new or innovative teaching </w:t>
      </w:r>
      <w:proofErr w:type="gramStart"/>
      <w:r w:rsidRPr="00D43244">
        <w:t>methods</w:t>
      </w:r>
      <w:proofErr w:type="gramEnd"/>
      <w:r w:rsidRPr="00D43244">
        <w:t xml:space="preserve"> </w:t>
      </w:r>
    </w:p>
    <w:p w14:paraId="1E920A6E" w14:textId="77777777" w:rsidR="00360AC3" w:rsidRPr="00D43244" w:rsidRDefault="00360AC3" w:rsidP="00360AC3">
      <w:pPr>
        <w:pStyle w:val="DHHSbullet2"/>
        <w:numPr>
          <w:ilvl w:val="2"/>
          <w:numId w:val="7"/>
        </w:numPr>
        <w:ind w:left="567" w:hanging="283"/>
      </w:pPr>
      <w:r w:rsidRPr="00D43244">
        <w:t xml:space="preserve">Development of, and access to, innovative models of clinical teaching and learning, including the use of simulation centre modules and </w:t>
      </w:r>
      <w:proofErr w:type="gramStart"/>
      <w:r w:rsidRPr="00D43244">
        <w:t>video-conferencing</w:t>
      </w:r>
      <w:proofErr w:type="gramEnd"/>
    </w:p>
    <w:p w14:paraId="63A6D4BB" w14:textId="77777777" w:rsidR="00360AC3" w:rsidRPr="00D43244" w:rsidRDefault="00360AC3" w:rsidP="00360AC3">
      <w:pPr>
        <w:pStyle w:val="DHHSbullet2"/>
        <w:numPr>
          <w:ilvl w:val="2"/>
          <w:numId w:val="7"/>
        </w:numPr>
        <w:ind w:left="567" w:hanging="283"/>
      </w:pPr>
      <w:r w:rsidRPr="00D43244">
        <w:t xml:space="preserve">Access to supervisor support models across disciplines and education providers – could be facilitated groups or one-on-one. </w:t>
      </w:r>
    </w:p>
    <w:p w14:paraId="123C01AC" w14:textId="77777777" w:rsidR="00360AC3" w:rsidRPr="00D43244" w:rsidRDefault="00360AC3" w:rsidP="00360AC3">
      <w:pPr>
        <w:pStyle w:val="DHHSbullet2"/>
        <w:numPr>
          <w:ilvl w:val="2"/>
          <w:numId w:val="7"/>
        </w:numPr>
        <w:ind w:left="567" w:hanging="283"/>
      </w:pPr>
      <w:r w:rsidRPr="00D43244">
        <w:t xml:space="preserve">Access to forums, workshops or other </w:t>
      </w:r>
      <w:r>
        <w:t>professional development</w:t>
      </w:r>
      <w:r w:rsidRPr="00D43244">
        <w:t xml:space="preserve"> related to planning and management of </w:t>
      </w:r>
      <w:proofErr w:type="gramStart"/>
      <w:r w:rsidRPr="00D43244">
        <w:t>placements</w:t>
      </w:r>
      <w:proofErr w:type="gramEnd"/>
    </w:p>
    <w:p w14:paraId="2318E101" w14:textId="77777777" w:rsidR="00360AC3" w:rsidRDefault="00360AC3" w:rsidP="00360AC3">
      <w:pPr>
        <w:pStyle w:val="DHHSbullet2"/>
        <w:numPr>
          <w:ilvl w:val="2"/>
          <w:numId w:val="7"/>
        </w:numPr>
        <w:ind w:left="567" w:hanging="283"/>
      </w:pPr>
      <w:r w:rsidRPr="00D43244">
        <w:t>Provision of academic awards or prizes</w:t>
      </w:r>
    </w:p>
    <w:p w14:paraId="0C7C9BB6" w14:textId="77777777" w:rsidR="00360AC3" w:rsidRDefault="00360AC3" w:rsidP="00360AC3">
      <w:pPr>
        <w:pStyle w:val="DHHSbullet2"/>
        <w:ind w:firstLine="0"/>
      </w:pPr>
    </w:p>
    <w:p w14:paraId="236E5F60" w14:textId="77777777" w:rsidR="00360AC3" w:rsidRPr="00846763" w:rsidRDefault="00360AC3" w:rsidP="00360AC3">
      <w:pPr>
        <w:pStyle w:val="Body0"/>
        <w:rPr>
          <w:b/>
          <w:color w:val="auto"/>
        </w:rPr>
      </w:pPr>
      <w:r w:rsidRPr="00846763">
        <w:rPr>
          <w:b/>
          <w:color w:val="auto"/>
        </w:rPr>
        <w:t xml:space="preserve">Options to enhance clinical staff </w:t>
      </w:r>
      <w:proofErr w:type="gramStart"/>
      <w:r w:rsidRPr="00846763">
        <w:rPr>
          <w:b/>
          <w:color w:val="auto"/>
        </w:rPr>
        <w:t>expertise</w:t>
      </w:r>
      <w:proofErr w:type="gramEnd"/>
    </w:p>
    <w:p w14:paraId="5C4D9993" w14:textId="77777777" w:rsidR="00360AC3" w:rsidRPr="00D43244" w:rsidRDefault="00360AC3" w:rsidP="00360AC3">
      <w:pPr>
        <w:pStyle w:val="DHHSbullet1"/>
        <w:numPr>
          <w:ilvl w:val="0"/>
          <w:numId w:val="7"/>
        </w:numPr>
      </w:pPr>
      <w:r w:rsidRPr="00D43244">
        <w:t>Access to facilities and other opportunities for all clinical staff, not only those involved in clinical teaching and supervision. Such access provides motivation for all discipline staff to support clinical placements. These include:</w:t>
      </w:r>
    </w:p>
    <w:p w14:paraId="280982FB" w14:textId="77777777" w:rsidR="00360AC3" w:rsidRPr="00D43244" w:rsidRDefault="00360AC3" w:rsidP="00360AC3">
      <w:pPr>
        <w:pStyle w:val="DHHSbullet2"/>
        <w:numPr>
          <w:ilvl w:val="2"/>
          <w:numId w:val="7"/>
        </w:numPr>
        <w:ind w:left="567" w:hanging="283"/>
      </w:pPr>
      <w:r w:rsidRPr="00D43244">
        <w:t xml:space="preserve">Access to skills training and other professional development, including </w:t>
      </w:r>
      <w:r>
        <w:t>medical i</w:t>
      </w:r>
      <w:r w:rsidRPr="00D43244">
        <w:t xml:space="preserve">mage </w:t>
      </w:r>
      <w:proofErr w:type="gramStart"/>
      <w:r w:rsidRPr="00D43244">
        <w:t>interpretation</w:t>
      </w:r>
      <w:proofErr w:type="gramEnd"/>
    </w:p>
    <w:p w14:paraId="0FF2A437" w14:textId="77777777" w:rsidR="00360AC3" w:rsidRPr="00D43244" w:rsidRDefault="00360AC3" w:rsidP="00360AC3">
      <w:pPr>
        <w:pStyle w:val="DHHSbullet2"/>
        <w:numPr>
          <w:ilvl w:val="2"/>
          <w:numId w:val="7"/>
        </w:numPr>
        <w:ind w:left="567" w:hanging="283"/>
      </w:pPr>
      <w:r w:rsidRPr="00D43244">
        <w:t xml:space="preserve">Access to library, journal publications, online resources </w:t>
      </w:r>
    </w:p>
    <w:p w14:paraId="6A927AF7" w14:textId="77777777" w:rsidR="00360AC3" w:rsidRPr="00D43244" w:rsidRDefault="00360AC3" w:rsidP="00360AC3">
      <w:pPr>
        <w:pStyle w:val="DHHSbullet2"/>
        <w:numPr>
          <w:ilvl w:val="2"/>
          <w:numId w:val="7"/>
        </w:numPr>
        <w:ind w:left="567" w:hanging="283"/>
      </w:pPr>
      <w:r w:rsidRPr="00D43244">
        <w:t>Subsidised post-graduate places in clinical areas through faculty scholarships or other arrangement</w:t>
      </w:r>
    </w:p>
    <w:p w14:paraId="10843D49" w14:textId="77777777" w:rsidR="00360AC3" w:rsidRPr="00D43244" w:rsidRDefault="00360AC3" w:rsidP="00360AC3">
      <w:pPr>
        <w:pStyle w:val="DHHSbullet2"/>
        <w:numPr>
          <w:ilvl w:val="2"/>
          <w:numId w:val="7"/>
        </w:numPr>
        <w:ind w:left="567" w:hanging="283"/>
      </w:pPr>
      <w:r w:rsidRPr="00D43244">
        <w:t>Provision of post-graduate units on-site at health services</w:t>
      </w:r>
    </w:p>
    <w:p w14:paraId="3C2FCE0B" w14:textId="77777777" w:rsidR="00360AC3" w:rsidRPr="00D43244" w:rsidRDefault="00360AC3" w:rsidP="00360AC3">
      <w:pPr>
        <w:pStyle w:val="DHHSbullet2"/>
        <w:numPr>
          <w:ilvl w:val="2"/>
          <w:numId w:val="7"/>
        </w:numPr>
        <w:ind w:left="567" w:hanging="283"/>
      </w:pPr>
      <w:r w:rsidRPr="00D43244">
        <w:t xml:space="preserve">Customised short courses, clinical practice updates, academic presentations made available on-site at health services or via video-link or </w:t>
      </w:r>
      <w:proofErr w:type="gramStart"/>
      <w:r w:rsidRPr="00D43244">
        <w:t>download</w:t>
      </w:r>
      <w:proofErr w:type="gramEnd"/>
    </w:p>
    <w:p w14:paraId="11006280" w14:textId="77777777" w:rsidR="00360AC3" w:rsidRPr="00D43244" w:rsidRDefault="00360AC3" w:rsidP="00360AC3">
      <w:pPr>
        <w:pStyle w:val="DHHSbullet2"/>
        <w:numPr>
          <w:ilvl w:val="2"/>
          <w:numId w:val="7"/>
        </w:numPr>
        <w:ind w:left="567" w:hanging="283"/>
      </w:pPr>
      <w:r w:rsidRPr="00D43244">
        <w:t xml:space="preserve">Access to affiliated </w:t>
      </w:r>
      <w:r>
        <w:t>a</w:t>
      </w:r>
      <w:r w:rsidRPr="00D43244">
        <w:t>ssociate</w:t>
      </w:r>
      <w:r>
        <w:t xml:space="preserve"> or adjunct</w:t>
      </w:r>
      <w:r w:rsidRPr="00D43244">
        <w:t xml:space="preserve"> </w:t>
      </w:r>
      <w:r>
        <w:t>p</w:t>
      </w:r>
      <w:r w:rsidRPr="00D43244">
        <w:t xml:space="preserve">rofessorial posts or other joint appointments for service-based clinical experts, such as Adjunct Fellow or </w:t>
      </w:r>
      <w:r>
        <w:t>h</w:t>
      </w:r>
      <w:r w:rsidRPr="00D43244">
        <w:t xml:space="preserve">onorary positions </w:t>
      </w:r>
    </w:p>
    <w:p w14:paraId="56CF8E8F" w14:textId="77777777" w:rsidR="00360AC3" w:rsidRPr="00D43244" w:rsidRDefault="00360AC3" w:rsidP="00360AC3">
      <w:pPr>
        <w:pStyle w:val="DHHSbullet2"/>
        <w:numPr>
          <w:ilvl w:val="2"/>
          <w:numId w:val="7"/>
        </w:numPr>
        <w:ind w:left="567" w:hanging="283"/>
      </w:pPr>
      <w:r w:rsidRPr="00D43244">
        <w:t xml:space="preserve">Opportunities for clinical staff to contribute to curriculum development and or implementation such as during accreditation processes or providing lectures, </w:t>
      </w:r>
      <w:proofErr w:type="gramStart"/>
      <w:r w:rsidRPr="00D43244">
        <w:t>tutorials</w:t>
      </w:r>
      <w:proofErr w:type="gramEnd"/>
      <w:r w:rsidRPr="00D43244">
        <w:t xml:space="preserve"> </w:t>
      </w:r>
    </w:p>
    <w:p w14:paraId="739CD76B" w14:textId="77777777" w:rsidR="00360AC3" w:rsidRDefault="00360AC3" w:rsidP="00360AC3">
      <w:pPr>
        <w:pStyle w:val="DHHSbullet2"/>
        <w:numPr>
          <w:ilvl w:val="2"/>
          <w:numId w:val="7"/>
        </w:numPr>
        <w:ind w:left="567" w:hanging="283"/>
      </w:pPr>
      <w:r w:rsidRPr="00D43244">
        <w:t>Access to revision opportunities for subjects such as anatomy and physiology</w:t>
      </w:r>
    </w:p>
    <w:p w14:paraId="63010B0C" w14:textId="77777777" w:rsidR="00360AC3" w:rsidRDefault="00360AC3" w:rsidP="00360AC3">
      <w:pPr>
        <w:pStyle w:val="Heading2"/>
      </w:pPr>
      <w:r>
        <w:br w:type="page"/>
      </w:r>
      <w:bookmarkStart w:id="43" w:name="_Toc11681756"/>
      <w:bookmarkStart w:id="44" w:name="_Toc75263173"/>
      <w:r w:rsidRPr="008E603A">
        <w:rPr>
          <w:color w:val="FF0066"/>
          <w:szCs w:val="32"/>
        </w:rPr>
        <w:lastRenderedPageBreak/>
        <w:t xml:space="preserve">Arrangements to support research and service </w:t>
      </w:r>
      <w:proofErr w:type="gramStart"/>
      <w:r w:rsidRPr="008E603A">
        <w:rPr>
          <w:color w:val="FF0066"/>
          <w:szCs w:val="32"/>
        </w:rPr>
        <w:t>delivery</w:t>
      </w:r>
      <w:bookmarkEnd w:id="43"/>
      <w:bookmarkEnd w:id="44"/>
      <w:proofErr w:type="gramEnd"/>
    </w:p>
    <w:p w14:paraId="3A11A9D8" w14:textId="77777777" w:rsidR="00360AC3" w:rsidRPr="00846763" w:rsidRDefault="00360AC3" w:rsidP="00360AC3">
      <w:pPr>
        <w:pStyle w:val="Body0"/>
        <w:rPr>
          <w:color w:val="auto"/>
        </w:rPr>
      </w:pPr>
      <w:r w:rsidRPr="00846763">
        <w:rPr>
          <w:b/>
          <w:color w:val="auto"/>
        </w:rPr>
        <w:t xml:space="preserve">Options to enhance research opportunities and </w:t>
      </w:r>
      <w:proofErr w:type="gramStart"/>
      <w:r w:rsidRPr="00846763">
        <w:rPr>
          <w:b/>
          <w:color w:val="auto"/>
        </w:rPr>
        <w:t>capacity</w:t>
      </w:r>
      <w:proofErr w:type="gramEnd"/>
    </w:p>
    <w:p w14:paraId="52AD9F2E" w14:textId="77777777" w:rsidR="00360AC3" w:rsidRPr="00D43244" w:rsidRDefault="00360AC3" w:rsidP="00360AC3">
      <w:pPr>
        <w:pStyle w:val="DHHSbullet1"/>
        <w:numPr>
          <w:ilvl w:val="0"/>
          <w:numId w:val="7"/>
        </w:numPr>
      </w:pPr>
      <w:r w:rsidRPr="00D43244">
        <w:t>Access to research expertise could be coupled with a strong clinical focus to enhance clinical practice and expand the evidence base for clinical interventions. Options include:</w:t>
      </w:r>
    </w:p>
    <w:p w14:paraId="69C08E23" w14:textId="77777777" w:rsidR="00360AC3" w:rsidRPr="00D43244" w:rsidRDefault="00360AC3" w:rsidP="00360AC3">
      <w:pPr>
        <w:pStyle w:val="DHHSbullet2"/>
        <w:numPr>
          <w:ilvl w:val="2"/>
          <w:numId w:val="7"/>
        </w:numPr>
        <w:ind w:left="567" w:hanging="283"/>
      </w:pPr>
      <w:r w:rsidRPr="00D43244">
        <w:t>Development of A</w:t>
      </w:r>
      <w:r>
        <w:t>ssociate or Adjunct</w:t>
      </w:r>
      <w:r w:rsidRPr="00D43244">
        <w:t xml:space="preserve"> Professor roles potentially both within and across disciplines, and across multiple health services</w:t>
      </w:r>
    </w:p>
    <w:p w14:paraId="1B19BA2C" w14:textId="77777777" w:rsidR="00360AC3" w:rsidRPr="00D43244" w:rsidRDefault="00360AC3" w:rsidP="00360AC3">
      <w:pPr>
        <w:pStyle w:val="DHHSbullet2"/>
        <w:numPr>
          <w:ilvl w:val="2"/>
          <w:numId w:val="7"/>
        </w:numPr>
        <w:ind w:left="567" w:hanging="283"/>
      </w:pPr>
      <w:r w:rsidRPr="00D43244">
        <w:t xml:space="preserve">Support for research/clinical appointments so staff can undertake clinical work and translational research at the same time – could include development of clinical </w:t>
      </w:r>
      <w:proofErr w:type="gramStart"/>
      <w:r w:rsidRPr="00D43244">
        <w:t>guidelines</w:t>
      </w:r>
      <w:proofErr w:type="gramEnd"/>
    </w:p>
    <w:p w14:paraId="4507DB36" w14:textId="77777777" w:rsidR="00360AC3" w:rsidRPr="00D43244" w:rsidRDefault="00360AC3" w:rsidP="00360AC3">
      <w:pPr>
        <w:pStyle w:val="DHHSbullet2"/>
        <w:numPr>
          <w:ilvl w:val="2"/>
          <w:numId w:val="7"/>
        </w:numPr>
        <w:ind w:left="567" w:hanging="283"/>
      </w:pPr>
      <w:r w:rsidRPr="00D43244">
        <w:t xml:space="preserve">Access to research mentors – with potential to transition clinical questioning to post-graduate </w:t>
      </w:r>
      <w:proofErr w:type="gramStart"/>
      <w:r w:rsidRPr="00D43244">
        <w:t>research</w:t>
      </w:r>
      <w:proofErr w:type="gramEnd"/>
    </w:p>
    <w:p w14:paraId="59718D6B" w14:textId="77777777" w:rsidR="00360AC3" w:rsidRPr="00D43244" w:rsidRDefault="00360AC3" w:rsidP="00360AC3">
      <w:pPr>
        <w:pStyle w:val="DHHSbullet2"/>
        <w:numPr>
          <w:ilvl w:val="2"/>
          <w:numId w:val="7"/>
        </w:numPr>
        <w:ind w:left="567" w:hanging="283"/>
      </w:pPr>
      <w:r w:rsidRPr="00D43244">
        <w:t xml:space="preserve">Access to research seminars and/or research methodology training (including statistical analysis) either on-site or </w:t>
      </w:r>
      <w:proofErr w:type="gramStart"/>
      <w:r w:rsidRPr="00D43244">
        <w:t>on-line</w:t>
      </w:r>
      <w:proofErr w:type="gramEnd"/>
    </w:p>
    <w:p w14:paraId="744B23CD" w14:textId="77777777" w:rsidR="00360AC3" w:rsidRPr="00D43244" w:rsidRDefault="00360AC3" w:rsidP="00360AC3">
      <w:pPr>
        <w:pStyle w:val="DHHSbullet2"/>
        <w:numPr>
          <w:ilvl w:val="2"/>
          <w:numId w:val="7"/>
        </w:numPr>
        <w:ind w:left="567" w:hanging="283"/>
      </w:pPr>
      <w:r w:rsidRPr="00D43244">
        <w:t xml:space="preserve">Assistance with writing grants applications and seeking funding </w:t>
      </w:r>
      <w:proofErr w:type="gramStart"/>
      <w:r w:rsidRPr="00D43244">
        <w:t>opportunities</w:t>
      </w:r>
      <w:proofErr w:type="gramEnd"/>
      <w:r w:rsidRPr="00D43244">
        <w:t xml:space="preserve">   </w:t>
      </w:r>
    </w:p>
    <w:p w14:paraId="01A958D3" w14:textId="77777777" w:rsidR="00360AC3" w:rsidRPr="00D43244" w:rsidRDefault="00360AC3" w:rsidP="00360AC3">
      <w:pPr>
        <w:pStyle w:val="DHHSbullet2"/>
        <w:numPr>
          <w:ilvl w:val="2"/>
          <w:numId w:val="7"/>
        </w:numPr>
        <w:ind w:left="567" w:hanging="283"/>
      </w:pPr>
      <w:r w:rsidRPr="00D43244">
        <w:t>Allocation of research assistants (potentially from the post-graduate pool) to health services</w:t>
      </w:r>
    </w:p>
    <w:p w14:paraId="58C1591D" w14:textId="77777777" w:rsidR="00360AC3" w:rsidRPr="00D43244" w:rsidRDefault="00360AC3" w:rsidP="00360AC3">
      <w:pPr>
        <w:pStyle w:val="DHHSbullet2"/>
        <w:numPr>
          <w:ilvl w:val="2"/>
          <w:numId w:val="7"/>
        </w:numPr>
        <w:ind w:left="567" w:hanging="283"/>
      </w:pPr>
      <w:r w:rsidRPr="00D43244">
        <w:t>Presentation skills training</w:t>
      </w:r>
    </w:p>
    <w:p w14:paraId="0C848BCD" w14:textId="77777777" w:rsidR="00360AC3" w:rsidRPr="00D43244" w:rsidRDefault="00360AC3" w:rsidP="00360AC3">
      <w:pPr>
        <w:pStyle w:val="DHHSbullet2"/>
        <w:numPr>
          <w:ilvl w:val="2"/>
          <w:numId w:val="7"/>
        </w:numPr>
        <w:ind w:left="567" w:hanging="283"/>
      </w:pPr>
      <w:r w:rsidRPr="00D43244">
        <w:t>Access to statistical software (</w:t>
      </w:r>
      <w:proofErr w:type="gramStart"/>
      <w:r>
        <w:t>e.g.</w:t>
      </w:r>
      <w:proofErr w:type="gramEnd"/>
      <w:r w:rsidRPr="00D43244">
        <w:t xml:space="preserve"> SPSS)</w:t>
      </w:r>
    </w:p>
    <w:p w14:paraId="53F3E361" w14:textId="77777777" w:rsidR="00360AC3" w:rsidRPr="00D43244" w:rsidRDefault="00360AC3" w:rsidP="00360AC3">
      <w:pPr>
        <w:pStyle w:val="DHHSbullet2"/>
        <w:numPr>
          <w:ilvl w:val="2"/>
          <w:numId w:val="7"/>
        </w:numPr>
        <w:ind w:left="567" w:hanging="283"/>
      </w:pPr>
      <w:r w:rsidRPr="00D43244">
        <w:t xml:space="preserve">Access to visiting </w:t>
      </w:r>
      <w:proofErr w:type="gramStart"/>
      <w:r>
        <w:t>professors</w:t>
      </w:r>
      <w:proofErr w:type="gramEnd"/>
    </w:p>
    <w:p w14:paraId="4E66EB03" w14:textId="77777777" w:rsidR="00360AC3" w:rsidRPr="00D43244" w:rsidRDefault="00360AC3" w:rsidP="00360AC3">
      <w:pPr>
        <w:pStyle w:val="DHHSbullet2"/>
        <w:numPr>
          <w:ilvl w:val="2"/>
          <w:numId w:val="7"/>
        </w:numPr>
        <w:ind w:left="567" w:hanging="283"/>
      </w:pPr>
      <w:r w:rsidRPr="00D43244">
        <w:t>Joint research agreements</w:t>
      </w:r>
    </w:p>
    <w:p w14:paraId="5D52A5B5" w14:textId="77777777" w:rsidR="00360AC3" w:rsidRDefault="00360AC3" w:rsidP="00360AC3">
      <w:pPr>
        <w:pStyle w:val="Body0"/>
      </w:pPr>
    </w:p>
    <w:p w14:paraId="46AC05DE" w14:textId="77777777" w:rsidR="00360AC3" w:rsidRPr="00846763" w:rsidRDefault="00360AC3" w:rsidP="00360AC3">
      <w:pPr>
        <w:pStyle w:val="Body0"/>
        <w:ind w:left="-284"/>
        <w:rPr>
          <w:color w:val="auto"/>
        </w:rPr>
      </w:pPr>
      <w:r w:rsidRPr="00846763">
        <w:rPr>
          <w:b/>
          <w:color w:val="auto"/>
        </w:rPr>
        <w:t xml:space="preserve">Options to enhance operational aspects of service </w:t>
      </w:r>
      <w:proofErr w:type="gramStart"/>
      <w:r w:rsidRPr="00846763">
        <w:rPr>
          <w:b/>
          <w:color w:val="auto"/>
        </w:rPr>
        <w:t>delivery</w:t>
      </w:r>
      <w:proofErr w:type="gramEnd"/>
    </w:p>
    <w:p w14:paraId="5069EBD1" w14:textId="77777777" w:rsidR="00360AC3" w:rsidRPr="00D43244" w:rsidRDefault="00360AC3" w:rsidP="00360AC3">
      <w:pPr>
        <w:pStyle w:val="DHHSbullet1"/>
        <w:numPr>
          <w:ilvl w:val="0"/>
          <w:numId w:val="7"/>
        </w:numPr>
      </w:pPr>
      <w:r w:rsidRPr="00D43244">
        <w:t>Opportunities for support for non-clinical aspects of health service delivery could assist development of those services to enhance operations management, including:</w:t>
      </w:r>
    </w:p>
    <w:p w14:paraId="0A88866C" w14:textId="77777777" w:rsidR="00360AC3" w:rsidRPr="00D43244" w:rsidRDefault="00360AC3" w:rsidP="00360AC3">
      <w:pPr>
        <w:pStyle w:val="DHHSbullet2"/>
        <w:numPr>
          <w:ilvl w:val="2"/>
          <w:numId w:val="7"/>
        </w:numPr>
        <w:ind w:left="567" w:hanging="283"/>
      </w:pPr>
      <w:r w:rsidRPr="00D43244">
        <w:t xml:space="preserve">Provision of data and interpretation from Schools of Public Health </w:t>
      </w:r>
    </w:p>
    <w:p w14:paraId="32999A61" w14:textId="77777777" w:rsidR="00360AC3" w:rsidRPr="00D43244" w:rsidRDefault="00360AC3" w:rsidP="00360AC3">
      <w:pPr>
        <w:pStyle w:val="DHHSbullet2"/>
        <w:numPr>
          <w:ilvl w:val="2"/>
          <w:numId w:val="7"/>
        </w:numPr>
        <w:ind w:left="567" w:hanging="283"/>
      </w:pPr>
      <w:r w:rsidRPr="00D43244">
        <w:t>Access to research and training opportunities from other areas of the education provider such as Schools of Business and Education</w:t>
      </w:r>
    </w:p>
    <w:p w14:paraId="49C4371B" w14:textId="77777777" w:rsidR="00360AC3" w:rsidRPr="00D43244" w:rsidRDefault="00360AC3" w:rsidP="00360AC3">
      <w:pPr>
        <w:pStyle w:val="DHHSbullet2"/>
        <w:numPr>
          <w:ilvl w:val="2"/>
          <w:numId w:val="7"/>
        </w:numPr>
        <w:ind w:left="567" w:hanging="283"/>
      </w:pPr>
      <w:r w:rsidRPr="00D43244">
        <w:t xml:space="preserve">Access to statistical analysis from areas within the education provider focused on </w:t>
      </w:r>
      <w:proofErr w:type="gramStart"/>
      <w:r w:rsidRPr="00D43244">
        <w:t>data</w:t>
      </w:r>
      <w:proofErr w:type="gramEnd"/>
    </w:p>
    <w:p w14:paraId="0782E5AC" w14:textId="77777777" w:rsidR="00360AC3" w:rsidRPr="00D43244" w:rsidRDefault="00360AC3" w:rsidP="00360AC3">
      <w:pPr>
        <w:pStyle w:val="DHHSbullet2"/>
        <w:numPr>
          <w:ilvl w:val="2"/>
          <w:numId w:val="7"/>
        </w:numPr>
        <w:ind w:left="567" w:hanging="283"/>
      </w:pPr>
      <w:r w:rsidRPr="00D43244">
        <w:t xml:space="preserve">Opportunities to present at job </w:t>
      </w:r>
      <w:proofErr w:type="gramStart"/>
      <w:r w:rsidRPr="00D43244">
        <w:t>expositions</w:t>
      </w:r>
      <w:proofErr w:type="gramEnd"/>
    </w:p>
    <w:p w14:paraId="43B1A950" w14:textId="77777777" w:rsidR="00360AC3" w:rsidRPr="003072C6" w:rsidRDefault="00360AC3" w:rsidP="00360AC3">
      <w:pPr>
        <w:pStyle w:val="DHHSTOCheadingreport"/>
      </w:pPr>
    </w:p>
    <w:p w14:paraId="11B933E3" w14:textId="77777777" w:rsidR="00360AC3" w:rsidRPr="003072C6" w:rsidRDefault="00360AC3" w:rsidP="00360AC3">
      <w:pPr>
        <w:pStyle w:val="DHHSTOCheadingreport"/>
      </w:pPr>
    </w:p>
    <w:p w14:paraId="1F38613D" w14:textId="0596ECFA" w:rsidR="00EB4BC7" w:rsidRPr="00360AC3" w:rsidRDefault="00EB4BC7" w:rsidP="00360AC3">
      <w:pPr>
        <w:pStyle w:val="Heading1"/>
        <w:rPr>
          <w:color w:val="auto"/>
        </w:rPr>
      </w:pPr>
    </w:p>
    <w:sectPr w:rsidR="00EB4BC7" w:rsidRPr="00360AC3" w:rsidSect="00815CEB">
      <w:headerReference w:type="even" r:id="rId19"/>
      <w:headerReference w:type="default" r:id="rId20"/>
      <w:footerReference w:type="even" r:id="rId21"/>
      <w:footerReference w:type="default" r:id="rId2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0C36" w14:textId="77777777" w:rsidR="00E47A20" w:rsidRDefault="00E47A20">
      <w:r>
        <w:separator/>
      </w:r>
    </w:p>
    <w:p w14:paraId="76D0601C" w14:textId="77777777" w:rsidR="00E47A20" w:rsidRDefault="00E47A20"/>
  </w:endnote>
  <w:endnote w:type="continuationSeparator" w:id="0">
    <w:p w14:paraId="3E58BD96" w14:textId="77777777" w:rsidR="00E47A20" w:rsidRDefault="00E47A20">
      <w:r>
        <w:continuationSeparator/>
      </w:r>
    </w:p>
    <w:p w14:paraId="6D6E093E" w14:textId="77777777" w:rsidR="00E47A20" w:rsidRDefault="00E47A20"/>
  </w:endnote>
  <w:endnote w:type="continuationNotice" w:id="1">
    <w:p w14:paraId="1E5EFA4E" w14:textId="77777777" w:rsidR="00E47A20" w:rsidRDefault="00E47A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panose1 w:val="00000000000000000000"/>
    <w:charset w:val="00"/>
    <w:family w:val="swiss"/>
    <w:notTrueType/>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088B" w14:textId="77777777" w:rsidR="00F8206B" w:rsidRDefault="00F8206B">
    <w:pPr>
      <w:pStyle w:val="Footer"/>
    </w:pPr>
    <w:r>
      <w:rPr>
        <w:noProof/>
        <w:lang w:eastAsia="en-AU"/>
      </w:rPr>
      <mc:AlternateContent>
        <mc:Choice Requires="wps">
          <w:drawing>
            <wp:anchor distT="0" distB="0" distL="114300" distR="114300" simplePos="0" relativeHeight="251658241" behindDoc="0" locked="0" layoutInCell="0" allowOverlap="1" wp14:anchorId="76B56E9C" wp14:editId="2961487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458EB9" w14:textId="77777777" w:rsidR="00F8206B" w:rsidRPr="00EB4BC7" w:rsidRDefault="00F8206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B56E9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B458EB9" w14:textId="77777777" w:rsidR="00F8206B" w:rsidRPr="00EB4BC7" w:rsidRDefault="00F8206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F85F" w14:textId="4627D474" w:rsidR="00F8206B" w:rsidRDefault="00F8206B">
    <w:pPr>
      <w:pStyle w:val="Footer"/>
    </w:pPr>
    <w:r>
      <w:rPr>
        <w:noProof/>
        <w:lang w:eastAsia="en-AU"/>
      </w:rPr>
      <mc:AlternateContent>
        <mc:Choice Requires="wps">
          <w:drawing>
            <wp:anchor distT="0" distB="0" distL="114300" distR="114300" simplePos="0" relativeHeight="251658249" behindDoc="0" locked="0" layoutInCell="0" allowOverlap="1" wp14:anchorId="010E40BC" wp14:editId="1E15852B">
              <wp:simplePos x="0" y="0"/>
              <wp:positionH relativeFrom="page">
                <wp:posOffset>0</wp:posOffset>
              </wp:positionH>
              <wp:positionV relativeFrom="page">
                <wp:posOffset>10189845</wp:posOffset>
              </wp:positionV>
              <wp:extent cx="7560310" cy="311785"/>
              <wp:effectExtent l="0" t="0" r="0" b="12065"/>
              <wp:wrapNone/>
              <wp:docPr id="10" name="Text Box 10" descr="{&quot;HashCode&quot;:-8819193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63ADC" w14:textId="26EBFD5C" w:rsidR="00F8206B" w:rsidRPr="003A0B15" w:rsidRDefault="003A0B15" w:rsidP="003A0B15">
                          <w:pPr>
                            <w:spacing w:after="0"/>
                            <w:jc w:val="center"/>
                            <w:rPr>
                              <w:rFonts w:ascii="Arial Black" w:hAnsi="Arial Black"/>
                              <w:color w:val="000000"/>
                              <w:sz w:val="20"/>
                            </w:rPr>
                          </w:pPr>
                          <w:r w:rsidRPr="003A0B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0E40BC" id="_x0000_t202" coordsize="21600,21600" o:spt="202" path="m,l,21600r21600,l21600,xe">
              <v:stroke joinstyle="miter"/>
              <v:path gradientshapeok="t" o:connecttype="rect"/>
            </v:shapetype>
            <v:shape id="Text Box 10" o:spid="_x0000_s1027" type="#_x0000_t202" alt="{&quot;HashCode&quot;:-881919350,&quot;Height&quot;:841.0,&quot;Width&quot;:595.0,&quot;Placement&quot;:&quot;Footer&quot;,&quot;Index&quot;:&quot;Primary&quot;,&quot;Section&quot;:1,&quot;Top&quot;:0.0,&quot;Left&quot;:0.0}" style="position:absolute;left:0;text-align:left;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1463ADC" w14:textId="26EBFD5C" w:rsidR="00F8206B" w:rsidRPr="003A0B15" w:rsidRDefault="003A0B15" w:rsidP="003A0B15">
                    <w:pPr>
                      <w:spacing w:after="0"/>
                      <w:jc w:val="center"/>
                      <w:rPr>
                        <w:rFonts w:ascii="Arial Black" w:hAnsi="Arial Black"/>
                        <w:color w:val="000000"/>
                        <w:sz w:val="20"/>
                      </w:rPr>
                    </w:pPr>
                    <w:r w:rsidRPr="003A0B15">
                      <w:rPr>
                        <w:rFonts w:ascii="Arial Black" w:hAnsi="Arial Black"/>
                        <w:color w:val="000000"/>
                        <w:sz w:val="20"/>
                      </w:rPr>
                      <w:t>OFFICIAL</w:t>
                    </w:r>
                  </w:p>
                </w:txbxContent>
              </v:textbox>
              <w10:wrap anchorx="page" anchory="page"/>
            </v:shape>
          </w:pict>
        </mc:Fallback>
      </mc:AlternateContent>
    </w:r>
    <w:sdt>
      <w:sdtPr>
        <w:id w:val="9311683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D4FF6">
          <w:rPr>
            <w:noProof/>
          </w:rPr>
          <w:t>1</w:t>
        </w:r>
        <w:r>
          <w:rPr>
            <w:noProof/>
          </w:rPr>
          <w:fldChar w:fldCharType="end"/>
        </w:r>
      </w:sdtContent>
    </w:sdt>
  </w:p>
  <w:p w14:paraId="71FE297D" w14:textId="6FF9720B" w:rsidR="00F8206B" w:rsidRDefault="00F82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0222" w14:textId="77777777" w:rsidR="00F8206B" w:rsidRDefault="00F8206B">
    <w:pPr>
      <w:pStyle w:val="Footer"/>
    </w:pPr>
    <w:r>
      <w:rPr>
        <w:noProof/>
        <w:lang w:eastAsia="en-AU"/>
      </w:rPr>
      <mc:AlternateContent>
        <mc:Choice Requires="wps">
          <w:drawing>
            <wp:anchor distT="0" distB="0" distL="114300" distR="114300" simplePos="0" relativeHeight="251658240" behindDoc="0" locked="0" layoutInCell="0" allowOverlap="1" wp14:anchorId="409D30EF" wp14:editId="696B24ED">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F264B1" w14:textId="77777777" w:rsidR="00F8206B" w:rsidRPr="00EB4BC7" w:rsidRDefault="00F8206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9D30EF"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AF264B1" w14:textId="77777777" w:rsidR="00F8206B" w:rsidRPr="00EB4BC7" w:rsidRDefault="00F8206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E9EE" w14:textId="77777777" w:rsidR="00F8206B" w:rsidRDefault="00F8206B">
    <w:pPr>
      <w:pStyle w:val="Footer"/>
    </w:pPr>
    <w:r>
      <w:rPr>
        <w:noProof/>
        <w:lang w:eastAsia="en-AU"/>
      </w:rPr>
      <mc:AlternateContent>
        <mc:Choice Requires="wps">
          <w:drawing>
            <wp:anchor distT="0" distB="0" distL="114300" distR="114300" simplePos="0" relativeHeight="251658242" behindDoc="0" locked="0" layoutInCell="0" allowOverlap="1" wp14:anchorId="4E748BB6" wp14:editId="5E0E596B">
              <wp:simplePos x="0" y="0"/>
              <wp:positionH relativeFrom="page">
                <wp:posOffset>0</wp:posOffset>
              </wp:positionH>
              <wp:positionV relativeFrom="page">
                <wp:posOffset>10189845</wp:posOffset>
              </wp:positionV>
              <wp:extent cx="7560310" cy="311785"/>
              <wp:effectExtent l="0" t="0" r="0" b="12065"/>
              <wp:wrapNone/>
              <wp:docPr id="8" name="Text Box 8" descr="{&quot;HashCode&quot;:-88191935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54EF0" w14:textId="010B54F8" w:rsidR="00F8206B" w:rsidRPr="003A0B15" w:rsidRDefault="003A0B15" w:rsidP="003A0B15">
                          <w:pPr>
                            <w:spacing w:after="0"/>
                            <w:jc w:val="center"/>
                            <w:rPr>
                              <w:rFonts w:ascii="Arial Black" w:hAnsi="Arial Black"/>
                              <w:color w:val="000000"/>
                              <w:sz w:val="20"/>
                            </w:rPr>
                          </w:pPr>
                          <w:r w:rsidRPr="003A0B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748BB6" id="_x0000_t202" coordsize="21600,21600" o:spt="202" path="m,l,21600r21600,l21600,xe">
              <v:stroke joinstyle="miter"/>
              <v:path gradientshapeok="t" o:connecttype="rect"/>
            </v:shapetype>
            <v:shape id="Text Box 8" o:spid="_x0000_s1029" type="#_x0000_t202" alt="{&quot;HashCode&quot;:-881919350,&quot;Height&quot;:841.0,&quot;Width&quot;:595.0,&quot;Placement&quot;:&quot;Footer&quot;,&quot;Index&quot;:&quot;Primary&quot;,&quot;Section&quot;:2,&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71754EF0" w14:textId="010B54F8" w:rsidR="00F8206B" w:rsidRPr="003A0B15" w:rsidRDefault="003A0B15" w:rsidP="003A0B15">
                    <w:pPr>
                      <w:spacing w:after="0"/>
                      <w:jc w:val="center"/>
                      <w:rPr>
                        <w:rFonts w:ascii="Arial Black" w:hAnsi="Arial Black"/>
                        <w:color w:val="000000"/>
                        <w:sz w:val="20"/>
                      </w:rPr>
                    </w:pPr>
                    <w:r w:rsidRPr="003A0B15">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4D0C" w14:textId="77777777" w:rsidR="00F8206B" w:rsidRDefault="00F8206B">
    <w:pPr>
      <w:pStyle w:val="Footer"/>
    </w:pPr>
    <w:r>
      <w:rPr>
        <w:noProof/>
        <w:lang w:eastAsia="en-AU"/>
      </w:rPr>
      <w:drawing>
        <wp:anchor distT="0" distB="0" distL="114300" distR="114300" simplePos="0" relativeHeight="251658245" behindDoc="1" locked="1" layoutInCell="1" allowOverlap="1" wp14:anchorId="475A3DB0" wp14:editId="6BFD5D8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4" behindDoc="0" locked="0" layoutInCell="0" allowOverlap="1" wp14:anchorId="71FA0704" wp14:editId="1FEC11C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9EC74" w14:textId="77777777" w:rsidR="00F8206B" w:rsidRPr="002C5B7C" w:rsidRDefault="00F8206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FA0704" id="_x0000_t202" coordsize="21600,21600" o:spt="202" path="m,l,21600r21600,l21600,xe">
              <v:stroke joinstyle="miter"/>
              <v:path gradientshapeok="t" o:connecttype="rect"/>
            </v:shapetype>
            <v:shape id="Text Box 4"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1C9EC74" w14:textId="77777777" w:rsidR="00F8206B" w:rsidRPr="002C5B7C" w:rsidRDefault="00F8206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A1DD" w14:textId="77777777" w:rsidR="00F8206B" w:rsidRDefault="00F8206B">
    <w:pPr>
      <w:pStyle w:val="Footer"/>
    </w:pPr>
    <w:r>
      <w:rPr>
        <w:noProof/>
        <w:lang w:eastAsia="en-AU"/>
      </w:rPr>
      <mc:AlternateContent>
        <mc:Choice Requires="wps">
          <w:drawing>
            <wp:anchor distT="0" distB="0" distL="114300" distR="114300" simplePos="0" relativeHeight="251658243" behindDoc="0" locked="0" layoutInCell="0" allowOverlap="1" wp14:anchorId="3E72B35E" wp14:editId="00D96774">
              <wp:simplePos x="0" y="0"/>
              <wp:positionH relativeFrom="page">
                <wp:posOffset>0</wp:posOffset>
              </wp:positionH>
              <wp:positionV relativeFrom="page">
                <wp:posOffset>10189845</wp:posOffset>
              </wp:positionV>
              <wp:extent cx="7560310" cy="311785"/>
              <wp:effectExtent l="0" t="0" r="0" b="12065"/>
              <wp:wrapNone/>
              <wp:docPr id="11" name="Text Box 11" descr="{&quot;HashCode&quot;:-881919350,&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EDA06" w14:textId="5D48D5A2" w:rsidR="00F8206B" w:rsidRPr="003A0B15" w:rsidRDefault="003A0B15" w:rsidP="003A0B15">
                          <w:pPr>
                            <w:spacing w:after="0"/>
                            <w:jc w:val="center"/>
                            <w:rPr>
                              <w:rFonts w:ascii="Arial Black" w:hAnsi="Arial Black"/>
                              <w:color w:val="000000"/>
                              <w:sz w:val="20"/>
                            </w:rPr>
                          </w:pPr>
                          <w:r w:rsidRPr="003A0B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72B35E" id="_x0000_t202" coordsize="21600,21600" o:spt="202" path="m,l,21600r21600,l21600,xe">
              <v:stroke joinstyle="miter"/>
              <v:path gradientshapeok="t" o:connecttype="rect"/>
            </v:shapetype>
            <v:shape id="Text Box 11" o:spid="_x0000_s1031" type="#_x0000_t202" alt="{&quot;HashCode&quot;:-881919350,&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1F4EDA06" w14:textId="5D48D5A2" w:rsidR="00F8206B" w:rsidRPr="003A0B15" w:rsidRDefault="003A0B15" w:rsidP="003A0B15">
                    <w:pPr>
                      <w:spacing w:after="0"/>
                      <w:jc w:val="center"/>
                      <w:rPr>
                        <w:rFonts w:ascii="Arial Black" w:hAnsi="Arial Black"/>
                        <w:color w:val="000000"/>
                        <w:sz w:val="20"/>
                      </w:rPr>
                    </w:pPr>
                    <w:r w:rsidRPr="003A0B15">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8246" behindDoc="1" locked="1" layoutInCell="1" allowOverlap="1" wp14:anchorId="380CA9AD" wp14:editId="58D62312">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C2AD8" w14:textId="77777777" w:rsidR="00E47A20" w:rsidRDefault="00E47A20" w:rsidP="00207717">
      <w:pPr>
        <w:spacing w:before="120"/>
      </w:pPr>
      <w:r>
        <w:separator/>
      </w:r>
    </w:p>
  </w:footnote>
  <w:footnote w:type="continuationSeparator" w:id="0">
    <w:p w14:paraId="4C507E2E" w14:textId="77777777" w:rsidR="00E47A20" w:rsidRDefault="00E47A20">
      <w:r>
        <w:continuationSeparator/>
      </w:r>
    </w:p>
    <w:p w14:paraId="470588E5" w14:textId="77777777" w:rsidR="00E47A20" w:rsidRDefault="00E47A20"/>
  </w:footnote>
  <w:footnote w:type="continuationNotice" w:id="1">
    <w:p w14:paraId="4E2CB63D" w14:textId="77777777" w:rsidR="00E47A20" w:rsidRDefault="00E47A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9BC0" w14:textId="212982A9" w:rsidR="00F8206B" w:rsidRDefault="00F8206B">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noProof/>
        <w:lang w:eastAsia="en-AU"/>
      </w:rPr>
      <w:drawing>
        <wp:anchor distT="0" distB="0" distL="114300" distR="114300" simplePos="0" relativeHeight="251658247" behindDoc="1" locked="1" layoutInCell="1" allowOverlap="1" wp14:anchorId="480E7CB3" wp14:editId="6ED2BB09">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Standardised Schedule of Fees for Clinical Placement of Students in Victorian Public Health Services for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0570" w14:textId="6F54CDED" w:rsidR="00F8206B" w:rsidRPr="0051568D" w:rsidRDefault="00F8206B" w:rsidP="0017674D">
    <w:pPr>
      <w:pStyle w:val="Header"/>
    </w:pPr>
    <w:r>
      <w:rPr>
        <w:noProof/>
        <w:lang w:eastAsia="en-AU"/>
      </w:rPr>
      <w:drawing>
        <wp:anchor distT="0" distB="0" distL="114300" distR="114300" simplePos="0" relativeHeight="251658248" behindDoc="1" locked="1" layoutInCell="1" allowOverlap="1" wp14:anchorId="255E4A92" wp14:editId="2D5F9816">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Standardised Schedule of Fees for Clinical Placement of Students in Victorian Public Health Services for 202</w:t>
    </w:r>
    <w:r w:rsidR="00E8449D">
      <w:t>4</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00FD4FF6">
      <w:rPr>
        <w:b/>
        <w:bCs/>
        <w:noProof/>
      </w:rPr>
      <w:t>15</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6355F36"/>
    <w:multiLevelType w:val="hybridMultilevel"/>
    <w:tmpl w:val="868E8048"/>
    <w:lvl w:ilvl="0" w:tplc="4ED81D1E">
      <w:start w:val="1"/>
      <w:numFmt w:val="bullet"/>
      <w:pStyle w:val="Bllt1"/>
      <w:lvlText w:val="•"/>
      <w:lvlJc w:val="left"/>
      <w:pPr>
        <w:ind w:left="284" w:hanging="284"/>
      </w:pPr>
      <w:rPr>
        <w:rFonts w:ascii="Arial" w:hAnsi="Arial" w:hint="default"/>
        <w:color w:val="4F81BD"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D51B47"/>
    <w:multiLevelType w:val="multilevel"/>
    <w:tmpl w:val="4B4E7622"/>
    <w:numStyleLink w:val="ZZNumbers"/>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B420B88"/>
    <w:multiLevelType w:val="hybridMultilevel"/>
    <w:tmpl w:val="E03016EC"/>
    <w:lvl w:ilvl="0" w:tplc="D63E9D6E">
      <w:start w:val="1"/>
      <w:numFmt w:val="bullet"/>
      <w:pStyle w:val="Bllt2"/>
      <w:lvlText w:val="–"/>
      <w:lvlJc w:val="left"/>
      <w:pPr>
        <w:ind w:left="709" w:hanging="283"/>
      </w:pPr>
      <w:rPr>
        <w:rFonts w:ascii="Arial" w:hAnsi="Arial"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42444038">
    <w:abstractNumId w:val="10"/>
  </w:num>
  <w:num w:numId="2" w16cid:durableId="1333951844">
    <w:abstractNumId w:val="21"/>
  </w:num>
  <w:num w:numId="3" w16cid:durableId="2011717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7799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619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9738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1976422">
    <w:abstractNumId w:val="25"/>
  </w:num>
  <w:num w:numId="8" w16cid:durableId="1362247490">
    <w:abstractNumId w:val="18"/>
  </w:num>
  <w:num w:numId="9" w16cid:durableId="164636619">
    <w:abstractNumId w:val="24"/>
  </w:num>
  <w:num w:numId="10" w16cid:durableId="18565805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5555918">
    <w:abstractNumId w:val="26"/>
  </w:num>
  <w:num w:numId="12" w16cid:durableId="14355875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73718">
    <w:abstractNumId w:val="22"/>
  </w:num>
  <w:num w:numId="14" w16cid:durableId="13754290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59375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75201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1482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440175">
    <w:abstractNumId w:val="28"/>
  </w:num>
  <w:num w:numId="19" w16cid:durableId="1896148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3489656">
    <w:abstractNumId w:val="15"/>
  </w:num>
  <w:num w:numId="21" w16cid:durableId="1360163353">
    <w:abstractNumId w:val="12"/>
  </w:num>
  <w:num w:numId="22" w16cid:durableId="886644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1337648">
    <w:abstractNumId w:val="16"/>
  </w:num>
  <w:num w:numId="24" w16cid:durableId="609973369">
    <w:abstractNumId w:val="29"/>
  </w:num>
  <w:num w:numId="25" w16cid:durableId="1187870585">
    <w:abstractNumId w:val="27"/>
  </w:num>
  <w:num w:numId="26" w16cid:durableId="53163636">
    <w:abstractNumId w:val="23"/>
  </w:num>
  <w:num w:numId="27" w16cid:durableId="861282257">
    <w:abstractNumId w:val="11"/>
  </w:num>
  <w:num w:numId="28" w16cid:durableId="1053697016">
    <w:abstractNumId w:val="30"/>
  </w:num>
  <w:num w:numId="29" w16cid:durableId="891649091">
    <w:abstractNumId w:val="9"/>
  </w:num>
  <w:num w:numId="30" w16cid:durableId="811288990">
    <w:abstractNumId w:val="7"/>
  </w:num>
  <w:num w:numId="31" w16cid:durableId="1645309830">
    <w:abstractNumId w:val="6"/>
  </w:num>
  <w:num w:numId="32" w16cid:durableId="1748769106">
    <w:abstractNumId w:val="5"/>
  </w:num>
  <w:num w:numId="33" w16cid:durableId="160044328">
    <w:abstractNumId w:val="4"/>
  </w:num>
  <w:num w:numId="34" w16cid:durableId="607272449">
    <w:abstractNumId w:val="8"/>
  </w:num>
  <w:num w:numId="35" w16cid:durableId="1023288784">
    <w:abstractNumId w:val="3"/>
  </w:num>
  <w:num w:numId="36" w16cid:durableId="1207529355">
    <w:abstractNumId w:val="2"/>
  </w:num>
  <w:num w:numId="37" w16cid:durableId="1521116863">
    <w:abstractNumId w:val="1"/>
  </w:num>
  <w:num w:numId="38" w16cid:durableId="1112943615">
    <w:abstractNumId w:val="0"/>
  </w:num>
  <w:num w:numId="39" w16cid:durableId="8565768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2725310">
    <w:abstractNumId w:val="20"/>
  </w:num>
  <w:num w:numId="41" w16cid:durableId="1758483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0542624">
    <w:abstractNumId w:val="19"/>
  </w:num>
  <w:num w:numId="43" w16cid:durableId="10554043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2BF"/>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342F"/>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07E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18A1"/>
    <w:rsid w:val="001120C5"/>
    <w:rsid w:val="00120BD3"/>
    <w:rsid w:val="00122FEA"/>
    <w:rsid w:val="001232BD"/>
    <w:rsid w:val="00124ED5"/>
    <w:rsid w:val="001276FA"/>
    <w:rsid w:val="001447B3"/>
    <w:rsid w:val="00152073"/>
    <w:rsid w:val="00152329"/>
    <w:rsid w:val="00152865"/>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0792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5857"/>
    <w:rsid w:val="00246207"/>
    <w:rsid w:val="0024677A"/>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1F3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4755"/>
    <w:rsid w:val="003459BD"/>
    <w:rsid w:val="00350D38"/>
    <w:rsid w:val="00351B36"/>
    <w:rsid w:val="0035546C"/>
    <w:rsid w:val="00357B4E"/>
    <w:rsid w:val="00360AC3"/>
    <w:rsid w:val="003716FD"/>
    <w:rsid w:val="0037204B"/>
    <w:rsid w:val="003744CF"/>
    <w:rsid w:val="00374717"/>
    <w:rsid w:val="0037676C"/>
    <w:rsid w:val="00381043"/>
    <w:rsid w:val="003829E5"/>
    <w:rsid w:val="00386109"/>
    <w:rsid w:val="00386944"/>
    <w:rsid w:val="003956CC"/>
    <w:rsid w:val="00395C9A"/>
    <w:rsid w:val="003A0853"/>
    <w:rsid w:val="003A0B15"/>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928"/>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0BA"/>
    <w:rsid w:val="004115A2"/>
    <w:rsid w:val="004148F9"/>
    <w:rsid w:val="0042084E"/>
    <w:rsid w:val="00421EEF"/>
    <w:rsid w:val="00424D65"/>
    <w:rsid w:val="00430393"/>
    <w:rsid w:val="00431806"/>
    <w:rsid w:val="00431A70"/>
    <w:rsid w:val="00431F42"/>
    <w:rsid w:val="0043349C"/>
    <w:rsid w:val="00442C6C"/>
    <w:rsid w:val="00443CBE"/>
    <w:rsid w:val="00443E8A"/>
    <w:rsid w:val="004441BC"/>
    <w:rsid w:val="004468B4"/>
    <w:rsid w:val="00446D86"/>
    <w:rsid w:val="0045230A"/>
    <w:rsid w:val="00454AD0"/>
    <w:rsid w:val="00456B74"/>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D4386"/>
    <w:rsid w:val="004E1106"/>
    <w:rsid w:val="004E138F"/>
    <w:rsid w:val="004E4649"/>
    <w:rsid w:val="004E5C2B"/>
    <w:rsid w:val="004F00DD"/>
    <w:rsid w:val="004F2133"/>
    <w:rsid w:val="004F5398"/>
    <w:rsid w:val="004F55F1"/>
    <w:rsid w:val="004F6936"/>
    <w:rsid w:val="00503DC6"/>
    <w:rsid w:val="00506F5D"/>
    <w:rsid w:val="00510C37"/>
    <w:rsid w:val="00511569"/>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3F9E"/>
    <w:rsid w:val="005A479D"/>
    <w:rsid w:val="005B1C6D"/>
    <w:rsid w:val="005B21B6"/>
    <w:rsid w:val="005B3A08"/>
    <w:rsid w:val="005B7A63"/>
    <w:rsid w:val="005C0955"/>
    <w:rsid w:val="005C49DA"/>
    <w:rsid w:val="005C50F3"/>
    <w:rsid w:val="005C54B5"/>
    <w:rsid w:val="005C5D80"/>
    <w:rsid w:val="005C5D91"/>
    <w:rsid w:val="005D07B8"/>
    <w:rsid w:val="005D42E3"/>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33F"/>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303B"/>
    <w:rsid w:val="006662BF"/>
    <w:rsid w:val="00667770"/>
    <w:rsid w:val="00670597"/>
    <w:rsid w:val="006706D0"/>
    <w:rsid w:val="00677574"/>
    <w:rsid w:val="006812ED"/>
    <w:rsid w:val="00683878"/>
    <w:rsid w:val="00684380"/>
    <w:rsid w:val="0068454C"/>
    <w:rsid w:val="00691B62"/>
    <w:rsid w:val="006933B5"/>
    <w:rsid w:val="00693D14"/>
    <w:rsid w:val="00696F27"/>
    <w:rsid w:val="006A15F9"/>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04FE"/>
    <w:rsid w:val="00782222"/>
    <w:rsid w:val="007833D8"/>
    <w:rsid w:val="00785677"/>
    <w:rsid w:val="00786F16"/>
    <w:rsid w:val="00791BD7"/>
    <w:rsid w:val="007933F7"/>
    <w:rsid w:val="00796E20"/>
    <w:rsid w:val="00797C32"/>
    <w:rsid w:val="007A11E8"/>
    <w:rsid w:val="007A36D4"/>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5CEB"/>
    <w:rsid w:val="00816735"/>
    <w:rsid w:val="00820141"/>
    <w:rsid w:val="00820E0C"/>
    <w:rsid w:val="00823275"/>
    <w:rsid w:val="0082366F"/>
    <w:rsid w:val="008338A2"/>
    <w:rsid w:val="00841AA9"/>
    <w:rsid w:val="008445D0"/>
    <w:rsid w:val="008474FE"/>
    <w:rsid w:val="00853EE4"/>
    <w:rsid w:val="00855535"/>
    <w:rsid w:val="00857C5A"/>
    <w:rsid w:val="0086255E"/>
    <w:rsid w:val="008633F0"/>
    <w:rsid w:val="00866FD9"/>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2E58"/>
    <w:rsid w:val="008D4236"/>
    <w:rsid w:val="008D462F"/>
    <w:rsid w:val="008D6501"/>
    <w:rsid w:val="008D6DCF"/>
    <w:rsid w:val="008E4376"/>
    <w:rsid w:val="008E603A"/>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7757"/>
    <w:rsid w:val="00950E2C"/>
    <w:rsid w:val="00951D50"/>
    <w:rsid w:val="009525EB"/>
    <w:rsid w:val="0095470B"/>
    <w:rsid w:val="00954874"/>
    <w:rsid w:val="0095615A"/>
    <w:rsid w:val="00961400"/>
    <w:rsid w:val="00963646"/>
    <w:rsid w:val="0096632D"/>
    <w:rsid w:val="00966D5B"/>
    <w:rsid w:val="00967124"/>
    <w:rsid w:val="0097166C"/>
    <w:rsid w:val="009718C7"/>
    <w:rsid w:val="0097559F"/>
    <w:rsid w:val="009761EA"/>
    <w:rsid w:val="0097761E"/>
    <w:rsid w:val="00982454"/>
    <w:rsid w:val="00982CF0"/>
    <w:rsid w:val="0098462B"/>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1FD6"/>
    <w:rsid w:val="009D51D0"/>
    <w:rsid w:val="009D70A4"/>
    <w:rsid w:val="009D7B14"/>
    <w:rsid w:val="009E08D1"/>
    <w:rsid w:val="009E0D96"/>
    <w:rsid w:val="009E1B95"/>
    <w:rsid w:val="009E496F"/>
    <w:rsid w:val="009E4B0D"/>
    <w:rsid w:val="009E5250"/>
    <w:rsid w:val="009E5FED"/>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BD3"/>
    <w:rsid w:val="00A97C72"/>
    <w:rsid w:val="00AA310B"/>
    <w:rsid w:val="00AA63D4"/>
    <w:rsid w:val="00AB06E8"/>
    <w:rsid w:val="00AB1CD3"/>
    <w:rsid w:val="00AB352F"/>
    <w:rsid w:val="00AB5488"/>
    <w:rsid w:val="00AC274B"/>
    <w:rsid w:val="00AC4764"/>
    <w:rsid w:val="00AC6D36"/>
    <w:rsid w:val="00AD0CBA"/>
    <w:rsid w:val="00AD26E2"/>
    <w:rsid w:val="00AD784C"/>
    <w:rsid w:val="00AE126A"/>
    <w:rsid w:val="00AE1BAE"/>
    <w:rsid w:val="00AE3005"/>
    <w:rsid w:val="00AE3BD5"/>
    <w:rsid w:val="00AE59A0"/>
    <w:rsid w:val="00AF0C57"/>
    <w:rsid w:val="00AF26F3"/>
    <w:rsid w:val="00AF5F04"/>
    <w:rsid w:val="00AF6F32"/>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2EF3"/>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A5682"/>
    <w:rsid w:val="00BB7A10"/>
    <w:rsid w:val="00BC60BE"/>
    <w:rsid w:val="00BC7468"/>
    <w:rsid w:val="00BC7D4F"/>
    <w:rsid w:val="00BC7ED7"/>
    <w:rsid w:val="00BD26EC"/>
    <w:rsid w:val="00BD2850"/>
    <w:rsid w:val="00BE28D2"/>
    <w:rsid w:val="00BE4A64"/>
    <w:rsid w:val="00BE5E43"/>
    <w:rsid w:val="00BF557D"/>
    <w:rsid w:val="00BF658D"/>
    <w:rsid w:val="00BF7F58"/>
    <w:rsid w:val="00C01381"/>
    <w:rsid w:val="00C01AB1"/>
    <w:rsid w:val="00C026A0"/>
    <w:rsid w:val="00C054CD"/>
    <w:rsid w:val="00C06137"/>
    <w:rsid w:val="00C06929"/>
    <w:rsid w:val="00C079B8"/>
    <w:rsid w:val="00C10037"/>
    <w:rsid w:val="00C115E1"/>
    <w:rsid w:val="00C123EA"/>
    <w:rsid w:val="00C12A49"/>
    <w:rsid w:val="00C133EE"/>
    <w:rsid w:val="00C149D0"/>
    <w:rsid w:val="00C1551F"/>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93DDA"/>
    <w:rsid w:val="00CA12E3"/>
    <w:rsid w:val="00CA1476"/>
    <w:rsid w:val="00CA6430"/>
    <w:rsid w:val="00CA6611"/>
    <w:rsid w:val="00CA6AE6"/>
    <w:rsid w:val="00CA782F"/>
    <w:rsid w:val="00CB187B"/>
    <w:rsid w:val="00CB2835"/>
    <w:rsid w:val="00CB3285"/>
    <w:rsid w:val="00CB4500"/>
    <w:rsid w:val="00CC0C72"/>
    <w:rsid w:val="00CC2BFD"/>
    <w:rsid w:val="00CC6F40"/>
    <w:rsid w:val="00CC7CAE"/>
    <w:rsid w:val="00CD3476"/>
    <w:rsid w:val="00CD64DF"/>
    <w:rsid w:val="00CE225F"/>
    <w:rsid w:val="00CE5A7A"/>
    <w:rsid w:val="00CF2F50"/>
    <w:rsid w:val="00CF6198"/>
    <w:rsid w:val="00CF62F8"/>
    <w:rsid w:val="00CF794F"/>
    <w:rsid w:val="00D017BD"/>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57900"/>
    <w:rsid w:val="00D618F4"/>
    <w:rsid w:val="00D63636"/>
    <w:rsid w:val="00D714CC"/>
    <w:rsid w:val="00D75EA7"/>
    <w:rsid w:val="00D80C1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B79B5"/>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439"/>
    <w:rsid w:val="00E27FFC"/>
    <w:rsid w:val="00E30B15"/>
    <w:rsid w:val="00E33237"/>
    <w:rsid w:val="00E40181"/>
    <w:rsid w:val="00E442E3"/>
    <w:rsid w:val="00E47A20"/>
    <w:rsid w:val="00E54950"/>
    <w:rsid w:val="00E55FB3"/>
    <w:rsid w:val="00E56A01"/>
    <w:rsid w:val="00E629A1"/>
    <w:rsid w:val="00E657A4"/>
    <w:rsid w:val="00E6794C"/>
    <w:rsid w:val="00E71591"/>
    <w:rsid w:val="00E71CEB"/>
    <w:rsid w:val="00E7474F"/>
    <w:rsid w:val="00E80DE3"/>
    <w:rsid w:val="00E82C55"/>
    <w:rsid w:val="00E8449D"/>
    <w:rsid w:val="00E8787E"/>
    <w:rsid w:val="00E92AC3"/>
    <w:rsid w:val="00EA2F6A"/>
    <w:rsid w:val="00EA3649"/>
    <w:rsid w:val="00EA5C12"/>
    <w:rsid w:val="00EB00E0"/>
    <w:rsid w:val="00EB05D5"/>
    <w:rsid w:val="00EB4BC7"/>
    <w:rsid w:val="00EB507F"/>
    <w:rsid w:val="00EB56B9"/>
    <w:rsid w:val="00EC059F"/>
    <w:rsid w:val="00EC1F24"/>
    <w:rsid w:val="00EC22F6"/>
    <w:rsid w:val="00EC3DB9"/>
    <w:rsid w:val="00EC432C"/>
    <w:rsid w:val="00ED5B9B"/>
    <w:rsid w:val="00ED6AF6"/>
    <w:rsid w:val="00ED6BAD"/>
    <w:rsid w:val="00ED743E"/>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0125"/>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0CF"/>
    <w:rsid w:val="00F53A66"/>
    <w:rsid w:val="00F5462D"/>
    <w:rsid w:val="00F55B21"/>
    <w:rsid w:val="00F56EF6"/>
    <w:rsid w:val="00F60082"/>
    <w:rsid w:val="00F61A9F"/>
    <w:rsid w:val="00F61B5F"/>
    <w:rsid w:val="00F64696"/>
    <w:rsid w:val="00F65AA9"/>
    <w:rsid w:val="00F6768F"/>
    <w:rsid w:val="00F72C2C"/>
    <w:rsid w:val="00F741F2"/>
    <w:rsid w:val="00F74761"/>
    <w:rsid w:val="00F76CAB"/>
    <w:rsid w:val="00F772C6"/>
    <w:rsid w:val="00F815B5"/>
    <w:rsid w:val="00F8206B"/>
    <w:rsid w:val="00F84925"/>
    <w:rsid w:val="00F85195"/>
    <w:rsid w:val="00F868E3"/>
    <w:rsid w:val="00F938BA"/>
    <w:rsid w:val="00F97919"/>
    <w:rsid w:val="00FA2C46"/>
    <w:rsid w:val="00FA3525"/>
    <w:rsid w:val="00FA5A53"/>
    <w:rsid w:val="00FB1F6E"/>
    <w:rsid w:val="00FB4769"/>
    <w:rsid w:val="00FB4CDA"/>
    <w:rsid w:val="00FB6481"/>
    <w:rsid w:val="00FB6847"/>
    <w:rsid w:val="00FB6D36"/>
    <w:rsid w:val="00FC0965"/>
    <w:rsid w:val="00FC0F81"/>
    <w:rsid w:val="00FC252F"/>
    <w:rsid w:val="00FC395C"/>
    <w:rsid w:val="00FC5E8E"/>
    <w:rsid w:val="00FD3766"/>
    <w:rsid w:val="00FD3D05"/>
    <w:rsid w:val="00FD47C4"/>
    <w:rsid w:val="00FD4FF6"/>
    <w:rsid w:val="00FE2DCF"/>
    <w:rsid w:val="00FE3FA7"/>
    <w:rsid w:val="00FE4081"/>
    <w:rsid w:val="00FF2A4E"/>
    <w:rsid w:val="00FF2FCE"/>
    <w:rsid w:val="00FF4F7D"/>
    <w:rsid w:val="00FF5593"/>
    <w:rsid w:val="00FF6D9D"/>
    <w:rsid w:val="00FF7620"/>
    <w:rsid w:val="00FF7DD5"/>
    <w:rsid w:val="01B93FB0"/>
    <w:rsid w:val="375180ED"/>
    <w:rsid w:val="3FA05AD1"/>
    <w:rsid w:val="4A1386B6"/>
    <w:rsid w:val="59657C8D"/>
    <w:rsid w:val="719673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93112"/>
  <w15:docId w15:val="{AE690E70-7483-44AC-A813-56EB2B37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CF62F8"/>
    <w:pPr>
      <w:spacing w:after="120" w:line="270" w:lineRule="atLeast"/>
    </w:pPr>
    <w:rPr>
      <w:rFonts w:ascii="Arial" w:eastAsia="Times" w:hAnsi="Arial"/>
      <w:lang w:eastAsia="en-US"/>
    </w:rPr>
  </w:style>
  <w:style w:type="paragraph" w:customStyle="1" w:styleId="DHHSbullet1">
    <w:name w:val="DHHS bullet 1"/>
    <w:basedOn w:val="DHHSbody"/>
    <w:qFormat/>
    <w:rsid w:val="00CF62F8"/>
    <w:pPr>
      <w:spacing w:after="40"/>
      <w:ind w:left="284" w:hanging="284"/>
    </w:pPr>
  </w:style>
  <w:style w:type="paragraph" w:customStyle="1" w:styleId="DHHSbullet2">
    <w:name w:val="DHHS bullet 2"/>
    <w:basedOn w:val="DHHSbody"/>
    <w:uiPriority w:val="2"/>
    <w:qFormat/>
    <w:rsid w:val="00CF62F8"/>
    <w:pPr>
      <w:spacing w:after="40"/>
      <w:ind w:left="567" w:hanging="283"/>
    </w:pPr>
  </w:style>
  <w:style w:type="paragraph" w:customStyle="1" w:styleId="DHHSbullet1lastline">
    <w:name w:val="DHHS bullet 1 last line"/>
    <w:basedOn w:val="DHHSbullet1"/>
    <w:qFormat/>
    <w:rsid w:val="00CF62F8"/>
    <w:pPr>
      <w:spacing w:after="120"/>
    </w:pPr>
  </w:style>
  <w:style w:type="paragraph" w:customStyle="1" w:styleId="DHHSbullet2lastline">
    <w:name w:val="DHHS bullet 2 last line"/>
    <w:basedOn w:val="DHHSbullet2"/>
    <w:uiPriority w:val="2"/>
    <w:qFormat/>
    <w:rsid w:val="00CF62F8"/>
    <w:pPr>
      <w:spacing w:after="120"/>
    </w:pPr>
  </w:style>
  <w:style w:type="paragraph" w:customStyle="1" w:styleId="DHHStablebullet">
    <w:name w:val="DHHS table bullet"/>
    <w:basedOn w:val="Normal"/>
    <w:uiPriority w:val="3"/>
    <w:qFormat/>
    <w:rsid w:val="00CF62F8"/>
    <w:pPr>
      <w:spacing w:before="80" w:after="60" w:line="240" w:lineRule="auto"/>
      <w:ind w:left="227" w:hanging="227"/>
    </w:pPr>
    <w:rPr>
      <w:sz w:val="20"/>
    </w:rPr>
  </w:style>
  <w:style w:type="paragraph" w:customStyle="1" w:styleId="DHHSbulletindent">
    <w:name w:val="DHHS bullet indent"/>
    <w:basedOn w:val="DHHSbody"/>
    <w:uiPriority w:val="4"/>
    <w:rsid w:val="00CF62F8"/>
    <w:pPr>
      <w:spacing w:after="40"/>
      <w:ind w:left="680" w:hanging="283"/>
    </w:pPr>
  </w:style>
  <w:style w:type="paragraph" w:customStyle="1" w:styleId="DHHSbulletindentlastline">
    <w:name w:val="DHHS bullet indent last line"/>
    <w:basedOn w:val="DHHSbody"/>
    <w:uiPriority w:val="4"/>
    <w:rsid w:val="00CF62F8"/>
    <w:pPr>
      <w:ind w:left="680" w:hanging="283"/>
    </w:pPr>
  </w:style>
  <w:style w:type="paragraph" w:customStyle="1" w:styleId="Body0">
    <w:name w:val="_Body"/>
    <w:qFormat/>
    <w:rsid w:val="00CF62F8"/>
    <w:pPr>
      <w:spacing w:after="120" w:line="270" w:lineRule="atLeast"/>
    </w:pPr>
    <w:rPr>
      <w:rFonts w:ascii="Arial" w:eastAsia="MS Mincho" w:hAnsi="Arial"/>
      <w:color w:val="253746"/>
      <w:szCs w:val="24"/>
    </w:rPr>
  </w:style>
  <w:style w:type="paragraph" w:customStyle="1" w:styleId="DHHSnumberloweralpha">
    <w:name w:val="DHHS number lower alpha"/>
    <w:basedOn w:val="DHHSbody"/>
    <w:uiPriority w:val="3"/>
    <w:rsid w:val="00CF62F8"/>
    <w:pPr>
      <w:numPr>
        <w:ilvl w:val="2"/>
        <w:numId w:val="41"/>
      </w:numPr>
    </w:pPr>
  </w:style>
  <w:style w:type="paragraph" w:customStyle="1" w:styleId="DHHSnumberloweralphaindent">
    <w:name w:val="DHHS number lower alpha indent"/>
    <w:basedOn w:val="DHHSbody"/>
    <w:uiPriority w:val="3"/>
    <w:rsid w:val="00CF62F8"/>
    <w:pPr>
      <w:numPr>
        <w:ilvl w:val="3"/>
        <w:numId w:val="41"/>
      </w:numPr>
    </w:pPr>
  </w:style>
  <w:style w:type="paragraph" w:customStyle="1" w:styleId="DHHStabletext">
    <w:name w:val="DHHS table text"/>
    <w:uiPriority w:val="3"/>
    <w:qFormat/>
    <w:rsid w:val="00CF62F8"/>
    <w:pPr>
      <w:spacing w:before="80" w:after="60"/>
    </w:pPr>
    <w:rPr>
      <w:rFonts w:ascii="Arial" w:hAnsi="Arial"/>
      <w:lang w:eastAsia="en-US"/>
    </w:rPr>
  </w:style>
  <w:style w:type="paragraph" w:customStyle="1" w:styleId="DHHSnumberdigit">
    <w:name w:val="DHHS number digit"/>
    <w:basedOn w:val="DHHSbody"/>
    <w:uiPriority w:val="2"/>
    <w:rsid w:val="00CF62F8"/>
    <w:pPr>
      <w:numPr>
        <w:numId w:val="41"/>
      </w:numPr>
    </w:pPr>
  </w:style>
  <w:style w:type="paragraph" w:customStyle="1" w:styleId="DHHStablecolhead">
    <w:name w:val="DHHS table col head"/>
    <w:uiPriority w:val="3"/>
    <w:qFormat/>
    <w:rsid w:val="00CF62F8"/>
    <w:pPr>
      <w:spacing w:before="80" w:after="60"/>
    </w:pPr>
    <w:rPr>
      <w:rFonts w:ascii="Arial" w:hAnsi="Arial"/>
      <w:b/>
      <w:color w:val="007B4B"/>
      <w:lang w:eastAsia="en-US"/>
    </w:rPr>
  </w:style>
  <w:style w:type="numbering" w:customStyle="1" w:styleId="ZZNumbers">
    <w:name w:val="ZZ Numbers"/>
    <w:rsid w:val="00CF62F8"/>
    <w:pPr>
      <w:numPr>
        <w:numId w:val="40"/>
      </w:numPr>
    </w:pPr>
  </w:style>
  <w:style w:type="paragraph" w:customStyle="1" w:styleId="DHHSnumberlowerroman">
    <w:name w:val="DHHS number lower roman"/>
    <w:basedOn w:val="DHHSbody"/>
    <w:uiPriority w:val="3"/>
    <w:rsid w:val="00CF62F8"/>
    <w:pPr>
      <w:numPr>
        <w:ilvl w:val="4"/>
        <w:numId w:val="41"/>
      </w:numPr>
    </w:pPr>
  </w:style>
  <w:style w:type="paragraph" w:customStyle="1" w:styleId="DHHSnumberlowerromanindent">
    <w:name w:val="DHHS number lower roman indent"/>
    <w:basedOn w:val="DHHSbody"/>
    <w:uiPriority w:val="3"/>
    <w:rsid w:val="00CF62F8"/>
    <w:pPr>
      <w:numPr>
        <w:ilvl w:val="5"/>
        <w:numId w:val="41"/>
      </w:numPr>
    </w:pPr>
  </w:style>
  <w:style w:type="paragraph" w:customStyle="1" w:styleId="DHHSnumberdigitindent">
    <w:name w:val="DHHS number digit indent"/>
    <w:basedOn w:val="DHHSnumberloweralphaindent"/>
    <w:uiPriority w:val="3"/>
    <w:rsid w:val="00CF62F8"/>
    <w:pPr>
      <w:numPr>
        <w:ilvl w:val="1"/>
      </w:numPr>
    </w:pPr>
  </w:style>
  <w:style w:type="paragraph" w:customStyle="1" w:styleId="Bllt1">
    <w:name w:val="_Bllt1"/>
    <w:basedOn w:val="Body0"/>
    <w:qFormat/>
    <w:rsid w:val="00CF62F8"/>
    <w:pPr>
      <w:numPr>
        <w:numId w:val="43"/>
      </w:numPr>
      <w:spacing w:after="40"/>
    </w:pPr>
  </w:style>
  <w:style w:type="paragraph" w:customStyle="1" w:styleId="Bllt2">
    <w:name w:val="_Bllt2"/>
    <w:basedOn w:val="Body0"/>
    <w:uiPriority w:val="1"/>
    <w:qFormat/>
    <w:rsid w:val="00CF62F8"/>
    <w:pPr>
      <w:numPr>
        <w:numId w:val="42"/>
      </w:numPr>
      <w:spacing w:after="40"/>
      <w:ind w:left="284" w:hanging="284"/>
    </w:pPr>
  </w:style>
  <w:style w:type="paragraph" w:customStyle="1" w:styleId="Healthbody">
    <w:name w:val="Health body"/>
    <w:link w:val="HealthbodyChar"/>
    <w:rsid w:val="00CF62F8"/>
    <w:pPr>
      <w:spacing w:after="120" w:line="270" w:lineRule="atLeast"/>
    </w:pPr>
    <w:rPr>
      <w:rFonts w:ascii="Arial" w:eastAsia="MS Mincho" w:hAnsi="Arial"/>
      <w:szCs w:val="24"/>
      <w:lang w:eastAsia="en-US"/>
    </w:rPr>
  </w:style>
  <w:style w:type="character" w:customStyle="1" w:styleId="HealthbodyChar">
    <w:name w:val="Health body Char"/>
    <w:link w:val="Healthbody"/>
    <w:locked/>
    <w:rsid w:val="00CF62F8"/>
    <w:rPr>
      <w:rFonts w:ascii="Arial" w:eastAsia="MS Mincho" w:hAnsi="Arial"/>
      <w:szCs w:val="24"/>
      <w:lang w:eastAsia="en-US"/>
    </w:rPr>
  </w:style>
  <w:style w:type="paragraph" w:customStyle="1" w:styleId="DHHSTOCheadingreport">
    <w:name w:val="DHHS TOC heading report"/>
    <w:basedOn w:val="Heading1"/>
    <w:link w:val="DHHSTOCheadingreportChar"/>
    <w:uiPriority w:val="5"/>
    <w:rsid w:val="00360AC3"/>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360AC3"/>
    <w:rPr>
      <w:rFonts w:ascii="Arial" w:hAnsi="Arial"/>
      <w:bCs/>
      <w:color w:val="007B4B"/>
      <w:sz w:val="44"/>
      <w:szCs w:val="44"/>
      <w:lang w:eastAsia="en-US"/>
    </w:rPr>
  </w:style>
  <w:style w:type="character" w:customStyle="1" w:styleId="FooterChar">
    <w:name w:val="Footer Char"/>
    <w:basedOn w:val="DefaultParagraphFont"/>
    <w:link w:val="Footer"/>
    <w:uiPriority w:val="99"/>
    <w:rsid w:val="0063433F"/>
    <w:rPr>
      <w:rFonts w:ascii="Arial" w:hAnsi="Arial" w:cs="Arial"/>
      <w:szCs w:val="18"/>
      <w:lang w:eastAsia="en-US"/>
    </w:rPr>
  </w:style>
  <w:style w:type="character" w:styleId="UnresolvedMention">
    <w:name w:val="Unresolved Mention"/>
    <w:basedOn w:val="DefaultParagraphFont"/>
    <w:uiPriority w:val="99"/>
    <w:semiHidden/>
    <w:unhideWhenUsed/>
    <w:rsid w:val="009E5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vicworkforce@dhhs.vic.gov.au"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2.health.vic.gov.au/health-workforce/education-and-training/training-development-grant"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vic.gov.au/education-and-training/fee-schedule-for-clinical-placement-in-public-health-servic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0906790-2644-474d-aac5-17d9a17289d8">
      <Terms xmlns="http://schemas.microsoft.com/office/infopath/2007/PartnerControls"/>
    </lcf76f155ced4ddcb4097134ff3c332f>
    <SharedWithUsers xmlns="79e59264-b8ee-460b-95e5-28d580a76c74">
      <UserInfo>
        <DisplayName>Matt Sykes (Health)</DisplayName>
        <AccountId>65</AccountId>
        <AccountType/>
      </UserInfo>
      <UserInfo>
        <DisplayName>Leoni Diamandopoulos (Health)</DisplayName>
        <AccountId>477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B213BD11843C46A54D5D2517FDEEED" ma:contentTypeVersion="14" ma:contentTypeDescription="Create a new document." ma:contentTypeScope="" ma:versionID="41440536ddf61ea9733f33d1e74c9582">
  <xsd:schema xmlns:xsd="http://www.w3.org/2001/XMLSchema" xmlns:xs="http://www.w3.org/2001/XMLSchema" xmlns:p="http://schemas.microsoft.com/office/2006/metadata/properties" xmlns:ns2="d0906790-2644-474d-aac5-17d9a17289d8" xmlns:ns3="79e59264-b8ee-460b-95e5-28d580a76c74" xmlns:ns4="5ce0f2b5-5be5-4508-bce9-d7011ece0659" targetNamespace="http://schemas.microsoft.com/office/2006/metadata/properties" ma:root="true" ma:fieldsID="8fd9d7c48b53f63cc253d9092f583da6" ns2:_="" ns3:_="" ns4:_="">
    <xsd:import namespace="d0906790-2644-474d-aac5-17d9a17289d8"/>
    <xsd:import namespace="79e59264-b8ee-460b-95e5-28d580a76c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790-2644-474d-aac5-17d9a1728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59264-b8ee-460b-95e5-28d580a76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b85a0d-1a63-4564-b363-44f3459c8f69}" ma:internalName="TaxCatchAll" ma:showField="CatchAllData" ma:web="79e59264-b8ee-460b-95e5-28d580a76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d0906790-2644-474d-aac5-17d9a17289d8"/>
    <ds:schemaRef ds:uri="79e59264-b8ee-460b-95e5-28d580a76c74"/>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99A42F85-4B0C-481F-A843-EC1E338A6644}">
  <ds:schemaRefs>
    <ds:schemaRef ds:uri="http://schemas.openxmlformats.org/officeDocument/2006/bibliography"/>
  </ds:schemaRefs>
</ds:datastoreItem>
</file>

<file path=customXml/itemProps4.xml><?xml version="1.0" encoding="utf-8"?>
<ds:datastoreItem xmlns:ds="http://schemas.openxmlformats.org/officeDocument/2006/customXml" ds:itemID="{7B83A01B-FAF2-4BFB-A3C4-42ABBC28E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790-2644-474d-aac5-17d9a17289d8"/>
    <ds:schemaRef ds:uri="79e59264-b8ee-460b-95e5-28d580a76c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Health</Company>
  <LinksUpToDate>false</LinksUpToDate>
  <CharactersWithSpaces>23557</CharactersWithSpaces>
  <SharedDoc>false</SharedDoc>
  <HyperlinkBase/>
  <HLinks>
    <vt:vector size="150" baseType="variant">
      <vt:variant>
        <vt:i4>4259955</vt:i4>
      </vt:variant>
      <vt:variant>
        <vt:i4>132</vt:i4>
      </vt:variant>
      <vt:variant>
        <vt:i4>0</vt:i4>
      </vt:variant>
      <vt:variant>
        <vt:i4>5</vt:i4>
      </vt:variant>
      <vt:variant>
        <vt:lpwstr>mailto:vicworkforce@dhhs.vic.gov.au</vt:lpwstr>
      </vt:variant>
      <vt:variant>
        <vt:lpwstr/>
      </vt:variant>
      <vt:variant>
        <vt:i4>65557</vt:i4>
      </vt:variant>
      <vt:variant>
        <vt:i4>129</vt:i4>
      </vt:variant>
      <vt:variant>
        <vt:i4>0</vt:i4>
      </vt:variant>
      <vt:variant>
        <vt:i4>5</vt:i4>
      </vt:variant>
      <vt:variant>
        <vt:lpwstr>https://www2.health.vic.gov.au/health-workforce/education-and-training/training-development-grant</vt:lpwstr>
      </vt:variant>
      <vt:variant>
        <vt:lpwstr/>
      </vt:variant>
      <vt:variant>
        <vt:i4>2162695</vt:i4>
      </vt:variant>
      <vt:variant>
        <vt:i4>126</vt:i4>
      </vt:variant>
      <vt:variant>
        <vt:i4>0</vt:i4>
      </vt:variant>
      <vt:variant>
        <vt:i4>5</vt:i4>
      </vt:variant>
      <vt:variant>
        <vt:lpwstr/>
      </vt:variant>
      <vt:variant>
        <vt:lpwstr>_Arrangements_to_support</vt:lpwstr>
      </vt:variant>
      <vt:variant>
        <vt:i4>262205</vt:i4>
      </vt:variant>
      <vt:variant>
        <vt:i4>123</vt:i4>
      </vt:variant>
      <vt:variant>
        <vt:i4>0</vt:i4>
      </vt:variant>
      <vt:variant>
        <vt:i4>5</vt:i4>
      </vt:variant>
      <vt:variant>
        <vt:lpwstr/>
      </vt:variant>
      <vt:variant>
        <vt:lpwstr>_Definitions</vt:lpwstr>
      </vt:variant>
      <vt:variant>
        <vt:i4>2752527</vt:i4>
      </vt:variant>
      <vt:variant>
        <vt:i4>120</vt:i4>
      </vt:variant>
      <vt:variant>
        <vt:i4>0</vt:i4>
      </vt:variant>
      <vt:variant>
        <vt:i4>5</vt:i4>
      </vt:variant>
      <vt:variant>
        <vt:lpwstr/>
      </vt:variant>
      <vt:variant>
        <vt:lpwstr>_Allied_health_discipline</vt:lpwstr>
      </vt:variant>
      <vt:variant>
        <vt:i4>6291535</vt:i4>
      </vt:variant>
      <vt:variant>
        <vt:i4>117</vt:i4>
      </vt:variant>
      <vt:variant>
        <vt:i4>0</vt:i4>
      </vt:variant>
      <vt:variant>
        <vt:i4>5</vt:i4>
      </vt:variant>
      <vt:variant>
        <vt:lpwstr/>
      </vt:variant>
      <vt:variant>
        <vt:lpwstr>_Table_1:_Maximum</vt:lpwstr>
      </vt:variant>
      <vt:variant>
        <vt:i4>2162695</vt:i4>
      </vt:variant>
      <vt:variant>
        <vt:i4>114</vt:i4>
      </vt:variant>
      <vt:variant>
        <vt:i4>0</vt:i4>
      </vt:variant>
      <vt:variant>
        <vt:i4>5</vt:i4>
      </vt:variant>
      <vt:variant>
        <vt:lpwstr/>
      </vt:variant>
      <vt:variant>
        <vt:lpwstr>_Arrangements_to_support</vt:lpwstr>
      </vt:variant>
      <vt:variant>
        <vt:i4>1441841</vt:i4>
      </vt:variant>
      <vt:variant>
        <vt:i4>107</vt:i4>
      </vt:variant>
      <vt:variant>
        <vt:i4>0</vt:i4>
      </vt:variant>
      <vt:variant>
        <vt:i4>5</vt:i4>
      </vt:variant>
      <vt:variant>
        <vt:lpwstr/>
      </vt:variant>
      <vt:variant>
        <vt:lpwstr>_Toc75263173</vt:lpwstr>
      </vt:variant>
      <vt:variant>
        <vt:i4>1507377</vt:i4>
      </vt:variant>
      <vt:variant>
        <vt:i4>101</vt:i4>
      </vt:variant>
      <vt:variant>
        <vt:i4>0</vt:i4>
      </vt:variant>
      <vt:variant>
        <vt:i4>5</vt:i4>
      </vt:variant>
      <vt:variant>
        <vt:lpwstr/>
      </vt:variant>
      <vt:variant>
        <vt:lpwstr>_Toc75263172</vt:lpwstr>
      </vt:variant>
      <vt:variant>
        <vt:i4>1310769</vt:i4>
      </vt:variant>
      <vt:variant>
        <vt:i4>95</vt:i4>
      </vt:variant>
      <vt:variant>
        <vt:i4>0</vt:i4>
      </vt:variant>
      <vt:variant>
        <vt:i4>5</vt:i4>
      </vt:variant>
      <vt:variant>
        <vt:lpwstr/>
      </vt:variant>
      <vt:variant>
        <vt:lpwstr>_Toc75263171</vt:lpwstr>
      </vt:variant>
      <vt:variant>
        <vt:i4>1376305</vt:i4>
      </vt:variant>
      <vt:variant>
        <vt:i4>89</vt:i4>
      </vt:variant>
      <vt:variant>
        <vt:i4>0</vt:i4>
      </vt:variant>
      <vt:variant>
        <vt:i4>5</vt:i4>
      </vt:variant>
      <vt:variant>
        <vt:lpwstr/>
      </vt:variant>
      <vt:variant>
        <vt:lpwstr>_Toc75263170</vt:lpwstr>
      </vt:variant>
      <vt:variant>
        <vt:i4>1835056</vt:i4>
      </vt:variant>
      <vt:variant>
        <vt:i4>83</vt:i4>
      </vt:variant>
      <vt:variant>
        <vt:i4>0</vt:i4>
      </vt:variant>
      <vt:variant>
        <vt:i4>5</vt:i4>
      </vt:variant>
      <vt:variant>
        <vt:lpwstr/>
      </vt:variant>
      <vt:variant>
        <vt:lpwstr>_Toc75263169</vt:lpwstr>
      </vt:variant>
      <vt:variant>
        <vt:i4>1900592</vt:i4>
      </vt:variant>
      <vt:variant>
        <vt:i4>77</vt:i4>
      </vt:variant>
      <vt:variant>
        <vt:i4>0</vt:i4>
      </vt:variant>
      <vt:variant>
        <vt:i4>5</vt:i4>
      </vt:variant>
      <vt:variant>
        <vt:lpwstr/>
      </vt:variant>
      <vt:variant>
        <vt:lpwstr>_Toc75263168</vt:lpwstr>
      </vt:variant>
      <vt:variant>
        <vt:i4>1179696</vt:i4>
      </vt:variant>
      <vt:variant>
        <vt:i4>71</vt:i4>
      </vt:variant>
      <vt:variant>
        <vt:i4>0</vt:i4>
      </vt:variant>
      <vt:variant>
        <vt:i4>5</vt:i4>
      </vt:variant>
      <vt:variant>
        <vt:lpwstr/>
      </vt:variant>
      <vt:variant>
        <vt:lpwstr>_Toc75263167</vt:lpwstr>
      </vt:variant>
      <vt:variant>
        <vt:i4>1245232</vt:i4>
      </vt:variant>
      <vt:variant>
        <vt:i4>65</vt:i4>
      </vt:variant>
      <vt:variant>
        <vt:i4>0</vt:i4>
      </vt:variant>
      <vt:variant>
        <vt:i4>5</vt:i4>
      </vt:variant>
      <vt:variant>
        <vt:lpwstr/>
      </vt:variant>
      <vt:variant>
        <vt:lpwstr>_Toc75263166</vt:lpwstr>
      </vt:variant>
      <vt:variant>
        <vt:i4>1048624</vt:i4>
      </vt:variant>
      <vt:variant>
        <vt:i4>59</vt:i4>
      </vt:variant>
      <vt:variant>
        <vt:i4>0</vt:i4>
      </vt:variant>
      <vt:variant>
        <vt:i4>5</vt:i4>
      </vt:variant>
      <vt:variant>
        <vt:lpwstr/>
      </vt:variant>
      <vt:variant>
        <vt:lpwstr>_Toc75263165</vt:lpwstr>
      </vt:variant>
      <vt:variant>
        <vt:i4>1114160</vt:i4>
      </vt:variant>
      <vt:variant>
        <vt:i4>53</vt:i4>
      </vt:variant>
      <vt:variant>
        <vt:i4>0</vt:i4>
      </vt:variant>
      <vt:variant>
        <vt:i4>5</vt:i4>
      </vt:variant>
      <vt:variant>
        <vt:lpwstr/>
      </vt:variant>
      <vt:variant>
        <vt:lpwstr>_Toc75263164</vt:lpwstr>
      </vt:variant>
      <vt:variant>
        <vt:i4>1441840</vt:i4>
      </vt:variant>
      <vt:variant>
        <vt:i4>47</vt:i4>
      </vt:variant>
      <vt:variant>
        <vt:i4>0</vt:i4>
      </vt:variant>
      <vt:variant>
        <vt:i4>5</vt:i4>
      </vt:variant>
      <vt:variant>
        <vt:lpwstr/>
      </vt:variant>
      <vt:variant>
        <vt:lpwstr>_Toc75263163</vt:lpwstr>
      </vt:variant>
      <vt:variant>
        <vt:i4>1507376</vt:i4>
      </vt:variant>
      <vt:variant>
        <vt:i4>41</vt:i4>
      </vt:variant>
      <vt:variant>
        <vt:i4>0</vt:i4>
      </vt:variant>
      <vt:variant>
        <vt:i4>5</vt:i4>
      </vt:variant>
      <vt:variant>
        <vt:lpwstr/>
      </vt:variant>
      <vt:variant>
        <vt:lpwstr>_Toc75263162</vt:lpwstr>
      </vt:variant>
      <vt:variant>
        <vt:i4>1310768</vt:i4>
      </vt:variant>
      <vt:variant>
        <vt:i4>35</vt:i4>
      </vt:variant>
      <vt:variant>
        <vt:i4>0</vt:i4>
      </vt:variant>
      <vt:variant>
        <vt:i4>5</vt:i4>
      </vt:variant>
      <vt:variant>
        <vt:lpwstr/>
      </vt:variant>
      <vt:variant>
        <vt:lpwstr>_Toc75263161</vt:lpwstr>
      </vt:variant>
      <vt:variant>
        <vt:i4>1376304</vt:i4>
      </vt:variant>
      <vt:variant>
        <vt:i4>29</vt:i4>
      </vt:variant>
      <vt:variant>
        <vt:i4>0</vt:i4>
      </vt:variant>
      <vt:variant>
        <vt:i4>5</vt:i4>
      </vt:variant>
      <vt:variant>
        <vt:lpwstr/>
      </vt:variant>
      <vt:variant>
        <vt:lpwstr>_Toc75263160</vt:lpwstr>
      </vt:variant>
      <vt:variant>
        <vt:i4>1835059</vt:i4>
      </vt:variant>
      <vt:variant>
        <vt:i4>23</vt:i4>
      </vt:variant>
      <vt:variant>
        <vt:i4>0</vt:i4>
      </vt:variant>
      <vt:variant>
        <vt:i4>5</vt:i4>
      </vt:variant>
      <vt:variant>
        <vt:lpwstr/>
      </vt:variant>
      <vt:variant>
        <vt:lpwstr>_Toc75263159</vt:lpwstr>
      </vt:variant>
      <vt:variant>
        <vt:i4>1900595</vt:i4>
      </vt:variant>
      <vt:variant>
        <vt:i4>17</vt:i4>
      </vt:variant>
      <vt:variant>
        <vt:i4>0</vt:i4>
      </vt:variant>
      <vt:variant>
        <vt:i4>5</vt:i4>
      </vt:variant>
      <vt:variant>
        <vt:lpwstr/>
      </vt:variant>
      <vt:variant>
        <vt:lpwstr>_Toc75263158</vt:lpwstr>
      </vt:variant>
      <vt:variant>
        <vt:i4>1179699</vt:i4>
      </vt:variant>
      <vt:variant>
        <vt:i4>11</vt:i4>
      </vt:variant>
      <vt:variant>
        <vt:i4>0</vt:i4>
      </vt:variant>
      <vt:variant>
        <vt:i4>5</vt:i4>
      </vt:variant>
      <vt:variant>
        <vt:lpwstr/>
      </vt:variant>
      <vt:variant>
        <vt:lpwstr>_Toc75263157</vt:lpwstr>
      </vt:variant>
      <vt:variant>
        <vt:i4>1245235</vt:i4>
      </vt:variant>
      <vt:variant>
        <vt:i4>5</vt:i4>
      </vt:variant>
      <vt:variant>
        <vt:i4>0</vt:i4>
      </vt:variant>
      <vt:variant>
        <vt:i4>5</vt:i4>
      </vt:variant>
      <vt:variant>
        <vt:lpwstr/>
      </vt:variant>
      <vt:variant>
        <vt:lpwstr>_Toc75263156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Schedule of Fees for Clinical Placement of Students in Victorian Public Health Services for 2024</dc:title>
  <dc:subject/>
  <cp:keywords>Schedule of Fees, Clinical Placement</cp:keywords>
  <cp:revision>21</cp:revision>
  <cp:lastPrinted>2021-01-30T00:27:00Z</cp:lastPrinted>
  <dcterms:created xsi:type="dcterms:W3CDTF">2023-08-09T18:17:00Z</dcterms:created>
  <dcterms:modified xsi:type="dcterms:W3CDTF">2024-01-29T02:07:00Z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0x010100DCB213BD11843C46A54D5D2517FDEEED</vt:lpwstr>
  </property>
  <property fmtid="{D5CDD505-2E9C-101B-9397-08002B2CF9AE}" pid="4" name="version">
    <vt:lpwstr>22 October 2020</vt:lpwstr>
  </property>
  <property fmtid="{D5CDD505-2E9C-101B-9397-08002B2CF9AE}" pid="5" name="TemplateVersion">
    <vt:i4>1</vt:i4>
  </property>
  <property fmtid="{D5CDD505-2E9C-101B-9397-08002B2CF9AE}" pid="6" name="DocumentSetDescription">
    <vt:lpwstr/>
  </property>
  <property fmtid="{D5CDD505-2E9C-101B-9397-08002B2CF9AE}" pid="7" name="MediaServiceImageTags">
    <vt:lpwstr/>
  </property>
  <property fmtid="{D5CDD505-2E9C-101B-9397-08002B2CF9AE}" pid="8" name="MSIP_Label_43e64453-338c-4f93-8a4d-0039a0a41f2a_Enabled">
    <vt:lpwstr>true</vt:lpwstr>
  </property>
  <property fmtid="{D5CDD505-2E9C-101B-9397-08002B2CF9AE}" pid="9" name="MSIP_Label_43e64453-338c-4f93-8a4d-0039a0a41f2a_SetDate">
    <vt:lpwstr>2023-08-09T01:17:15Z</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iteId">
    <vt:lpwstr>c0e0601f-0fac-449c-9c88-a104c4eb9f28</vt:lpwstr>
  </property>
  <property fmtid="{D5CDD505-2E9C-101B-9397-08002B2CF9AE}" pid="13" name="MSIP_Label_43e64453-338c-4f93-8a4d-0039a0a41f2a_ActionId">
    <vt:lpwstr>b619dbab-6e36-45a3-8f78-7623d954cff0</vt:lpwstr>
  </property>
  <property fmtid="{D5CDD505-2E9C-101B-9397-08002B2CF9AE}" pid="14" name="MSIP_Label_43e64453-338c-4f93-8a4d-0039a0a41f2a_ContentBits">
    <vt:lpwstr>2</vt:lpwstr>
  </property>
</Properties>
</file>